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3E3E5"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color w:val="000000"/>
        </w:rPr>
        <w:t xml:space="preserve">Name of Journal: </w:t>
      </w:r>
      <w:r w:rsidRPr="000B3360">
        <w:rPr>
          <w:rFonts w:ascii="Book Antiqua" w:eastAsia="Book Antiqua" w:hAnsi="Book Antiqua" w:cs="Book Antiqua"/>
          <w:i/>
          <w:color w:val="000000"/>
        </w:rPr>
        <w:t>World Journal of Clinical Cases</w:t>
      </w:r>
    </w:p>
    <w:p w14:paraId="79DA92BE"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color w:val="000000"/>
        </w:rPr>
        <w:t xml:space="preserve">Manuscript NO: </w:t>
      </w:r>
      <w:r w:rsidRPr="000B3360">
        <w:rPr>
          <w:rFonts w:ascii="Book Antiqua" w:eastAsia="Book Antiqua" w:hAnsi="Book Antiqua" w:cs="Book Antiqua"/>
          <w:color w:val="000000"/>
        </w:rPr>
        <w:t>73709</w:t>
      </w:r>
    </w:p>
    <w:p w14:paraId="513C78F6"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color w:val="000000"/>
        </w:rPr>
        <w:t xml:space="preserve">Manuscript Type: </w:t>
      </w:r>
      <w:r w:rsidRPr="000B3360">
        <w:rPr>
          <w:rFonts w:ascii="Book Antiqua" w:eastAsia="Book Antiqua" w:hAnsi="Book Antiqua" w:cs="Book Antiqua"/>
          <w:color w:val="000000"/>
        </w:rPr>
        <w:t>CASE REPORT</w:t>
      </w:r>
    </w:p>
    <w:p w14:paraId="17F94B9D" w14:textId="77777777" w:rsidR="00A77B3E" w:rsidRPr="000B3360" w:rsidRDefault="00A77B3E" w:rsidP="00CA6D9F">
      <w:pPr>
        <w:spacing w:line="360" w:lineRule="auto"/>
        <w:jc w:val="both"/>
        <w:rPr>
          <w:rFonts w:ascii="Book Antiqua" w:hAnsi="Book Antiqua"/>
        </w:rPr>
      </w:pPr>
    </w:p>
    <w:p w14:paraId="51D67C22" w14:textId="7E65C1AF"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color w:val="000000"/>
        </w:rPr>
        <w:t>Novel</w:t>
      </w:r>
      <w:r w:rsidR="00E46304" w:rsidRPr="000B3360">
        <w:rPr>
          <w:rFonts w:ascii="Book Antiqua" w:eastAsia="Book Antiqua" w:hAnsi="Book Antiqua" w:cs="Book Antiqua"/>
          <w:b/>
          <w:i/>
          <w:iCs/>
          <w:color w:val="000000"/>
        </w:rPr>
        <w:t xml:space="preserve"> </w:t>
      </w:r>
      <w:r w:rsidRPr="000B3360">
        <w:rPr>
          <w:rFonts w:ascii="Book Antiqua" w:eastAsia="Book Antiqua" w:hAnsi="Book Antiqua" w:cs="Book Antiqua"/>
          <w:b/>
          <w:color w:val="000000"/>
        </w:rPr>
        <w:t xml:space="preserve">compound heterozygous mutation </w:t>
      </w:r>
      <w:r w:rsidR="00E46304" w:rsidRPr="000B3360">
        <w:rPr>
          <w:rFonts w:ascii="Book Antiqua" w:eastAsia="Book Antiqua" w:hAnsi="Book Antiqua" w:cs="Book Antiqua"/>
          <w:b/>
          <w:color w:val="000000"/>
        </w:rPr>
        <w:t>of</w:t>
      </w:r>
      <w:r w:rsidR="00E46304" w:rsidRPr="000B3360">
        <w:rPr>
          <w:rFonts w:ascii="Book Antiqua" w:eastAsia="Book Antiqua" w:hAnsi="Book Antiqua" w:cs="Book Antiqua"/>
          <w:b/>
          <w:i/>
          <w:iCs/>
          <w:color w:val="000000"/>
        </w:rPr>
        <w:t xml:space="preserve"> SLC12A3</w:t>
      </w:r>
      <w:r w:rsidR="00E46304" w:rsidRPr="000B3360">
        <w:rPr>
          <w:rFonts w:ascii="Book Antiqua" w:eastAsia="Book Antiqua" w:hAnsi="Book Antiqua" w:cs="Book Antiqua"/>
          <w:b/>
          <w:color w:val="000000"/>
        </w:rPr>
        <w:t xml:space="preserve"> </w:t>
      </w:r>
      <w:r w:rsidRPr="000B3360">
        <w:rPr>
          <w:rFonts w:ascii="Book Antiqua" w:eastAsia="Book Antiqua" w:hAnsi="Book Antiqua" w:cs="Book Antiqua"/>
          <w:b/>
          <w:color w:val="000000"/>
        </w:rPr>
        <w:t>in Gitelman syndrome co-existent with hyperthyroidism: A case report and literature review</w:t>
      </w:r>
    </w:p>
    <w:p w14:paraId="2C6503BD" w14:textId="77777777" w:rsidR="00A77B3E" w:rsidRPr="000B3360" w:rsidRDefault="00A77B3E" w:rsidP="00CA6D9F">
      <w:pPr>
        <w:spacing w:line="360" w:lineRule="auto"/>
        <w:jc w:val="both"/>
        <w:rPr>
          <w:rFonts w:ascii="Book Antiqua" w:hAnsi="Book Antiqua"/>
        </w:rPr>
      </w:pPr>
    </w:p>
    <w:p w14:paraId="3A4D25E7" w14:textId="5F65DEF5" w:rsidR="00A77B3E" w:rsidRPr="000B3360" w:rsidRDefault="005C3CE7" w:rsidP="00CA6D9F">
      <w:pPr>
        <w:spacing w:line="360" w:lineRule="auto"/>
        <w:jc w:val="both"/>
        <w:rPr>
          <w:rFonts w:ascii="Book Antiqua" w:hAnsi="Book Antiqua"/>
        </w:rPr>
      </w:pPr>
      <w:r w:rsidRPr="000B3360">
        <w:rPr>
          <w:rFonts w:ascii="Book Antiqua" w:eastAsia="Book Antiqua" w:hAnsi="Book Antiqua" w:cs="Book Antiqua"/>
          <w:color w:val="000000"/>
        </w:rPr>
        <w:t xml:space="preserve">Qin YZ </w:t>
      </w:r>
      <w:r w:rsidRPr="000B3360">
        <w:rPr>
          <w:rFonts w:ascii="Book Antiqua" w:eastAsia="Book Antiqua" w:hAnsi="Book Antiqua" w:cs="Book Antiqua"/>
          <w:i/>
          <w:iCs/>
          <w:color w:val="000000"/>
        </w:rPr>
        <w:t>et al</w:t>
      </w:r>
      <w:r w:rsidRPr="000B3360">
        <w:rPr>
          <w:rFonts w:ascii="Book Antiqua" w:eastAsia="Book Antiqua" w:hAnsi="Book Antiqua" w:cs="Book Antiqua"/>
          <w:color w:val="000000"/>
        </w:rPr>
        <w:t xml:space="preserve">. </w:t>
      </w:r>
      <w:r w:rsidR="009B60C3" w:rsidRPr="000B3360">
        <w:rPr>
          <w:rFonts w:ascii="Book Antiqua" w:eastAsia="Book Antiqua" w:hAnsi="Book Antiqua" w:cs="Book Antiqua"/>
          <w:color w:val="000000"/>
        </w:rPr>
        <w:t xml:space="preserve">Novel </w:t>
      </w:r>
      <w:r w:rsidR="009B60C3" w:rsidRPr="000B3360">
        <w:rPr>
          <w:rFonts w:ascii="Book Antiqua" w:eastAsia="Book Antiqua" w:hAnsi="Book Antiqua" w:cs="Book Antiqua"/>
          <w:i/>
          <w:iCs/>
          <w:color w:val="000000"/>
        </w:rPr>
        <w:t>SLC12A3</w:t>
      </w:r>
      <w:r w:rsidR="009B60C3" w:rsidRPr="000B3360">
        <w:rPr>
          <w:rFonts w:ascii="Book Antiqua" w:eastAsia="Book Antiqua" w:hAnsi="Book Antiqua" w:cs="Book Antiqua"/>
          <w:color w:val="000000"/>
        </w:rPr>
        <w:t xml:space="preserve"> mutation in Gitelman</w:t>
      </w:r>
      <w:r w:rsidR="008876F8" w:rsidRPr="000B3360">
        <w:rPr>
          <w:rFonts w:ascii="Book Antiqua" w:eastAsia="Book Antiqua" w:hAnsi="Book Antiqua" w:cs="Book Antiqua"/>
          <w:color w:val="000000"/>
        </w:rPr>
        <w:t xml:space="preserve"> </w:t>
      </w:r>
      <w:r w:rsidR="009B60C3" w:rsidRPr="000B3360">
        <w:rPr>
          <w:rFonts w:ascii="Book Antiqua" w:eastAsia="Book Antiqua" w:hAnsi="Book Antiqua" w:cs="Book Antiqua"/>
          <w:color w:val="000000"/>
        </w:rPr>
        <w:t>syndrome</w:t>
      </w:r>
    </w:p>
    <w:p w14:paraId="3CB3EA42" w14:textId="77777777" w:rsidR="00A77B3E" w:rsidRPr="000B3360" w:rsidRDefault="00A77B3E" w:rsidP="00CA6D9F">
      <w:pPr>
        <w:spacing w:line="360" w:lineRule="auto"/>
        <w:jc w:val="both"/>
        <w:rPr>
          <w:rFonts w:ascii="Book Antiqua" w:hAnsi="Book Antiqua"/>
        </w:rPr>
      </w:pPr>
    </w:p>
    <w:p w14:paraId="5D2EA98F" w14:textId="7A891474"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Yong-Zhang Qin, Yan-Ming Liu, Yang Wang, Cong You, Long-Nian Li, Xue-Yan Zhou, Wei</w:t>
      </w:r>
      <w:r w:rsidR="005C3CE7" w:rsidRPr="000B3360">
        <w:rPr>
          <w:rFonts w:ascii="Book Antiqua" w:eastAsia="Book Antiqua" w:hAnsi="Book Antiqua" w:cs="Book Antiqua"/>
          <w:color w:val="000000"/>
        </w:rPr>
        <w:t>-M</w:t>
      </w:r>
      <w:r w:rsidRPr="000B3360">
        <w:rPr>
          <w:rFonts w:ascii="Book Antiqua" w:eastAsia="Book Antiqua" w:hAnsi="Book Antiqua" w:cs="Book Antiqua"/>
          <w:color w:val="000000"/>
        </w:rPr>
        <w:t>in Lv, Shi-Hua Hong, Li</w:t>
      </w:r>
      <w:r w:rsidR="005C3CE7" w:rsidRPr="000B3360">
        <w:rPr>
          <w:rFonts w:ascii="Book Antiqua" w:eastAsia="Book Antiqua" w:hAnsi="Book Antiqua" w:cs="Book Antiqua"/>
          <w:color w:val="000000"/>
        </w:rPr>
        <w:t>-X</w:t>
      </w:r>
      <w:r w:rsidRPr="000B3360">
        <w:rPr>
          <w:rFonts w:ascii="Book Antiqua" w:eastAsia="Book Antiqua" w:hAnsi="Book Antiqua" w:cs="Book Antiqua"/>
          <w:color w:val="000000"/>
        </w:rPr>
        <w:t>ia Xiao</w:t>
      </w:r>
    </w:p>
    <w:p w14:paraId="622BCD01" w14:textId="77777777" w:rsidR="00A77B3E" w:rsidRPr="000B3360" w:rsidRDefault="00A77B3E" w:rsidP="00CA6D9F">
      <w:pPr>
        <w:spacing w:line="360" w:lineRule="auto"/>
        <w:jc w:val="both"/>
        <w:rPr>
          <w:rFonts w:ascii="Book Antiqua" w:hAnsi="Book Antiqua"/>
        </w:rPr>
      </w:pPr>
    </w:p>
    <w:p w14:paraId="45649B72" w14:textId="6B03B1F2"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bCs/>
          <w:color w:val="000000"/>
        </w:rPr>
        <w:t xml:space="preserve">Yong-Zhang Qin, Yang Wang, Xue-Yan Zhou, </w:t>
      </w:r>
      <w:r w:rsidR="005C3CE7" w:rsidRPr="000B3360">
        <w:rPr>
          <w:rFonts w:ascii="Book Antiqua" w:eastAsia="Book Antiqua" w:hAnsi="Book Antiqua" w:cs="Book Antiqua"/>
          <w:b/>
          <w:bCs/>
          <w:color w:val="000000"/>
        </w:rPr>
        <w:t xml:space="preserve">Wei-Min Lv, </w:t>
      </w:r>
      <w:r w:rsidRPr="000B3360">
        <w:rPr>
          <w:rFonts w:ascii="Book Antiqua" w:eastAsia="Book Antiqua" w:hAnsi="Book Antiqua" w:cs="Book Antiqua"/>
          <w:b/>
          <w:bCs/>
          <w:color w:val="000000"/>
        </w:rPr>
        <w:t xml:space="preserve">Shi-Hua Hong, </w:t>
      </w:r>
      <w:r w:rsidR="005C3CE7" w:rsidRPr="000B3360">
        <w:rPr>
          <w:rFonts w:ascii="Book Antiqua" w:eastAsia="Book Antiqua" w:hAnsi="Book Antiqua" w:cs="Book Antiqua"/>
          <w:b/>
          <w:bCs/>
          <w:color w:val="000000"/>
        </w:rPr>
        <w:t xml:space="preserve">Li-Xia Xiao, </w:t>
      </w:r>
      <w:r w:rsidRPr="000B3360">
        <w:rPr>
          <w:rFonts w:ascii="Book Antiqua" w:eastAsia="Book Antiqua" w:hAnsi="Book Antiqua" w:cs="Book Antiqua"/>
          <w:color w:val="000000"/>
        </w:rPr>
        <w:t>Department of Endocrinology, The First Affiliated Hospital of Gannan Medical University, Ganzhou 341000, Jiangxi Province, China</w:t>
      </w:r>
    </w:p>
    <w:p w14:paraId="3FAC3676" w14:textId="77777777" w:rsidR="00A77B3E" w:rsidRPr="000B3360" w:rsidRDefault="00A77B3E" w:rsidP="00CA6D9F">
      <w:pPr>
        <w:spacing w:line="360" w:lineRule="auto"/>
        <w:jc w:val="both"/>
        <w:rPr>
          <w:rFonts w:ascii="Book Antiqua" w:hAnsi="Book Antiqua"/>
        </w:rPr>
      </w:pPr>
    </w:p>
    <w:p w14:paraId="4CB222BC"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bCs/>
          <w:color w:val="000000"/>
        </w:rPr>
        <w:t xml:space="preserve">Yan-Ming Liu, </w:t>
      </w:r>
      <w:r w:rsidRPr="000B3360">
        <w:rPr>
          <w:rFonts w:ascii="Book Antiqua" w:eastAsia="Book Antiqua" w:hAnsi="Book Antiqua" w:cs="Book Antiqua"/>
          <w:color w:val="000000"/>
        </w:rPr>
        <w:t>Department of Endocrinology, The First People’s Hospital of Nankang District, Ganzhou 341400, Jiangxi Province, China</w:t>
      </w:r>
    </w:p>
    <w:p w14:paraId="68EB6647" w14:textId="77777777" w:rsidR="00A77B3E" w:rsidRPr="000B3360" w:rsidRDefault="00A77B3E" w:rsidP="00CA6D9F">
      <w:pPr>
        <w:spacing w:line="360" w:lineRule="auto"/>
        <w:jc w:val="both"/>
        <w:rPr>
          <w:rFonts w:ascii="Book Antiqua" w:hAnsi="Book Antiqua"/>
        </w:rPr>
      </w:pPr>
    </w:p>
    <w:p w14:paraId="29BFA5C9"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bCs/>
          <w:color w:val="000000"/>
        </w:rPr>
        <w:t xml:space="preserve">Cong You, Long-Nian Li, </w:t>
      </w:r>
      <w:r w:rsidRPr="000B3360">
        <w:rPr>
          <w:rFonts w:ascii="Book Antiqua" w:eastAsia="Book Antiqua" w:hAnsi="Book Antiqua" w:cs="Book Antiqua"/>
          <w:color w:val="000000"/>
        </w:rPr>
        <w:t>Department of Dermatology and Venereology, The First Affiliated Hospital of Gannan Medical University, Ganzhou 341000, Jiangxi Province, China</w:t>
      </w:r>
    </w:p>
    <w:p w14:paraId="7990DC87" w14:textId="77777777" w:rsidR="00A77B3E" w:rsidRPr="000B3360" w:rsidRDefault="00A77B3E" w:rsidP="00CA6D9F">
      <w:pPr>
        <w:spacing w:line="360" w:lineRule="auto"/>
        <w:jc w:val="both"/>
        <w:rPr>
          <w:rFonts w:ascii="Book Antiqua" w:hAnsi="Book Antiqua"/>
        </w:rPr>
      </w:pPr>
    </w:p>
    <w:p w14:paraId="456917BC" w14:textId="7A121013"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bCs/>
          <w:color w:val="000000"/>
        </w:rPr>
        <w:t xml:space="preserve">Author contributions: </w:t>
      </w:r>
      <w:r w:rsidRPr="000B3360">
        <w:rPr>
          <w:rFonts w:ascii="Book Antiqua" w:eastAsia="Book Antiqua" w:hAnsi="Book Antiqua" w:cs="Book Antiqua"/>
          <w:color w:val="000000"/>
        </w:rPr>
        <w:t>Qin YZ, Liu YM</w:t>
      </w:r>
      <w:r w:rsidR="00E46304" w:rsidRPr="000B3360">
        <w:rPr>
          <w:rFonts w:ascii="Book Antiqua" w:eastAsia="Book Antiqua" w:hAnsi="Book Antiqua" w:cs="Book Antiqua"/>
          <w:color w:val="000000"/>
        </w:rPr>
        <w:t>,</w:t>
      </w:r>
      <w:r w:rsidRPr="000B3360">
        <w:rPr>
          <w:rFonts w:ascii="Book Antiqua" w:eastAsia="Book Antiqua" w:hAnsi="Book Antiqua" w:cs="Book Antiqua"/>
          <w:color w:val="000000"/>
        </w:rPr>
        <w:t xml:space="preserve"> and Wang Y contributed equally to this work;</w:t>
      </w:r>
      <w:r w:rsidR="008876F8"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 xml:space="preserve">Qin YZ and Xiao LX </w:t>
      </w:r>
      <w:r w:rsidRPr="000B3360">
        <w:rPr>
          <w:rFonts w:ascii="Book Antiqua" w:eastAsia="Book Antiqua" w:hAnsi="Book Antiqua" w:cs="Book Antiqua"/>
          <w:color w:val="000000"/>
          <w:shd w:val="clear" w:color="auto" w:fill="FFFFFF"/>
        </w:rPr>
        <w:t>contributed to</w:t>
      </w:r>
      <w:r w:rsidRPr="000B3360">
        <w:rPr>
          <w:rFonts w:ascii="Book Antiqua" w:eastAsia="Book Antiqua" w:hAnsi="Book Antiqua" w:cs="Book Antiqua"/>
          <w:color w:val="000000"/>
        </w:rPr>
        <w:t xml:space="preserve"> the design and conception of the study; Wang Y, You C, Li LN, Zhou XY</w:t>
      </w:r>
      <w:r w:rsidR="00E46304" w:rsidRPr="000B3360">
        <w:rPr>
          <w:rFonts w:ascii="Book Antiqua" w:eastAsia="Book Antiqua" w:hAnsi="Book Antiqua" w:cs="Book Antiqua"/>
          <w:color w:val="000000"/>
        </w:rPr>
        <w:t>,</w:t>
      </w:r>
      <w:r w:rsidR="008876F8"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 xml:space="preserve">and Lv WM </w:t>
      </w:r>
      <w:r w:rsidRPr="000B3360">
        <w:rPr>
          <w:rFonts w:ascii="Book Antiqua" w:eastAsia="Book Antiqua" w:hAnsi="Book Antiqua" w:cs="Book Antiqua"/>
          <w:color w:val="000000"/>
          <w:shd w:val="clear" w:color="auto" w:fill="FFFFFF"/>
        </w:rPr>
        <w:t>contributed to data</w:t>
      </w:r>
      <w:r w:rsidRPr="000B3360">
        <w:rPr>
          <w:rFonts w:ascii="Book Antiqua" w:eastAsia="Book Antiqua" w:hAnsi="Book Antiqua" w:cs="Book Antiqua"/>
          <w:color w:val="000000"/>
        </w:rPr>
        <w:t xml:space="preserve"> collection; Qin YZ and Liu YM </w:t>
      </w:r>
      <w:r w:rsidRPr="000B3360">
        <w:rPr>
          <w:rFonts w:ascii="Book Antiqua" w:eastAsia="Book Antiqua" w:hAnsi="Book Antiqua" w:cs="Book Antiqua"/>
          <w:color w:val="000000"/>
          <w:shd w:val="clear" w:color="auto" w:fill="FFFFFF"/>
        </w:rPr>
        <w:t>contributed to</w:t>
      </w:r>
      <w:r w:rsidRPr="000B3360">
        <w:rPr>
          <w:rFonts w:ascii="Book Antiqua" w:eastAsia="Book Antiqua" w:hAnsi="Book Antiqua" w:cs="Book Antiqua"/>
          <w:color w:val="000000"/>
        </w:rPr>
        <w:t xml:space="preserve"> writing the </w:t>
      </w:r>
      <w:r w:rsidRPr="000B3360">
        <w:rPr>
          <w:rFonts w:ascii="Book Antiqua" w:eastAsia="Book Antiqua" w:hAnsi="Book Antiqua" w:cs="Book Antiqua"/>
          <w:color w:val="000000"/>
          <w:shd w:val="clear" w:color="auto" w:fill="FFFFFF"/>
        </w:rPr>
        <w:t>original draft</w:t>
      </w:r>
      <w:r w:rsidRPr="000B3360">
        <w:rPr>
          <w:rFonts w:ascii="Book Antiqua" w:eastAsia="Book Antiqua" w:hAnsi="Book Antiqua" w:cs="Book Antiqua"/>
          <w:color w:val="000000"/>
        </w:rPr>
        <w:t xml:space="preserve">; Hong SH and Xiao LX </w:t>
      </w:r>
      <w:r w:rsidRPr="000B3360">
        <w:rPr>
          <w:rFonts w:ascii="Book Antiqua" w:eastAsia="Book Antiqua" w:hAnsi="Book Antiqua" w:cs="Book Antiqua"/>
          <w:color w:val="000000"/>
          <w:shd w:val="clear" w:color="auto" w:fill="FFFFFF"/>
        </w:rPr>
        <w:t>revised</w:t>
      </w:r>
      <w:r w:rsidRPr="000B3360">
        <w:rPr>
          <w:rFonts w:ascii="Book Antiqua" w:eastAsia="Book Antiqua" w:hAnsi="Book Antiqua" w:cs="Book Antiqua"/>
          <w:color w:val="000000"/>
        </w:rPr>
        <w:t xml:space="preserve"> the manuscript; </w:t>
      </w:r>
      <w:r w:rsidR="008876F8" w:rsidRPr="000B3360">
        <w:rPr>
          <w:rFonts w:ascii="Book Antiqua" w:eastAsia="Book Antiqua" w:hAnsi="Book Antiqua" w:cs="Book Antiqua"/>
          <w:color w:val="000000"/>
        </w:rPr>
        <w:t>and a</w:t>
      </w:r>
      <w:r w:rsidRPr="000B3360">
        <w:rPr>
          <w:rFonts w:ascii="Book Antiqua" w:eastAsia="Book Antiqua" w:hAnsi="Book Antiqua" w:cs="Book Antiqua"/>
          <w:color w:val="000000"/>
        </w:rPr>
        <w:t>ll the authors approved the final version of the manuscript.</w:t>
      </w:r>
    </w:p>
    <w:p w14:paraId="6BC06854" w14:textId="77777777" w:rsidR="00A77B3E" w:rsidRPr="000B3360" w:rsidRDefault="00A77B3E" w:rsidP="00CA6D9F">
      <w:pPr>
        <w:spacing w:line="360" w:lineRule="auto"/>
        <w:jc w:val="both"/>
        <w:rPr>
          <w:rFonts w:ascii="Book Antiqua" w:hAnsi="Book Antiqua"/>
        </w:rPr>
      </w:pPr>
    </w:p>
    <w:p w14:paraId="4F6F40F9" w14:textId="1C7DAC71"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bCs/>
          <w:color w:val="000000"/>
        </w:rPr>
        <w:t xml:space="preserve">Supported by </w:t>
      </w:r>
      <w:r w:rsidRPr="000B3360">
        <w:rPr>
          <w:rFonts w:ascii="Book Antiqua" w:eastAsia="Book Antiqua" w:hAnsi="Book Antiqua" w:cs="Book Antiqua"/>
          <w:color w:val="000000"/>
        </w:rPr>
        <w:t>the Science and Technology Plan of Health Commission of Jiangxi Province, No. 202130648</w:t>
      </w:r>
      <w:r w:rsidR="008876F8" w:rsidRPr="000B3360">
        <w:rPr>
          <w:rFonts w:ascii="Book Antiqua" w:eastAsia="Book Antiqua" w:hAnsi="Book Antiqua" w:cs="Book Antiqua"/>
          <w:color w:val="000000"/>
        </w:rPr>
        <w:t>;</w:t>
      </w:r>
      <w:r w:rsidRPr="000B3360">
        <w:rPr>
          <w:rFonts w:ascii="Book Antiqua" w:eastAsia="Book Antiqua" w:hAnsi="Book Antiqua" w:cs="Book Antiqua"/>
          <w:color w:val="000000"/>
        </w:rPr>
        <w:t xml:space="preserve"> </w:t>
      </w:r>
      <w:r w:rsidR="008876F8" w:rsidRPr="000B3360">
        <w:rPr>
          <w:rFonts w:ascii="Book Antiqua" w:eastAsia="Book Antiqua" w:hAnsi="Book Antiqua" w:cs="Book Antiqua"/>
          <w:color w:val="000000"/>
        </w:rPr>
        <w:t xml:space="preserve">and </w:t>
      </w:r>
      <w:r w:rsidRPr="000B3360">
        <w:rPr>
          <w:rFonts w:ascii="Book Antiqua" w:eastAsia="Book Antiqua" w:hAnsi="Book Antiqua" w:cs="Book Antiqua"/>
          <w:color w:val="000000"/>
        </w:rPr>
        <w:t>the Science and Technology Research Project of Department of Education of Jiangxi Province, No. GJJ201522.</w:t>
      </w:r>
    </w:p>
    <w:p w14:paraId="7A1C5E01" w14:textId="77777777" w:rsidR="00A77B3E" w:rsidRPr="000B3360" w:rsidRDefault="00A77B3E" w:rsidP="00CA6D9F">
      <w:pPr>
        <w:spacing w:line="360" w:lineRule="auto"/>
        <w:jc w:val="both"/>
        <w:rPr>
          <w:rFonts w:ascii="Book Antiqua" w:hAnsi="Book Antiqua"/>
        </w:rPr>
      </w:pPr>
    </w:p>
    <w:p w14:paraId="2D4F4C7E" w14:textId="1A70926C"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bCs/>
          <w:color w:val="000000"/>
        </w:rPr>
        <w:t>Corresponding author: Li</w:t>
      </w:r>
      <w:r w:rsidR="008876F8" w:rsidRPr="000B3360">
        <w:rPr>
          <w:rFonts w:ascii="Book Antiqua" w:eastAsia="Book Antiqua" w:hAnsi="Book Antiqua" w:cs="Book Antiqua"/>
          <w:b/>
          <w:bCs/>
          <w:color w:val="000000"/>
        </w:rPr>
        <w:t>-X</w:t>
      </w:r>
      <w:r w:rsidRPr="000B3360">
        <w:rPr>
          <w:rFonts w:ascii="Book Antiqua" w:eastAsia="Book Antiqua" w:hAnsi="Book Antiqua" w:cs="Book Antiqua"/>
          <w:b/>
          <w:bCs/>
          <w:color w:val="000000"/>
        </w:rPr>
        <w:t xml:space="preserve">ia Xiao, MD, Associate Chief Physician, </w:t>
      </w:r>
      <w:r w:rsidRPr="000B3360">
        <w:rPr>
          <w:rFonts w:ascii="Book Antiqua" w:eastAsia="Book Antiqua" w:hAnsi="Book Antiqua" w:cs="Book Antiqua"/>
          <w:color w:val="000000"/>
        </w:rPr>
        <w:t xml:space="preserve">Department of Endocrinology, </w:t>
      </w:r>
      <w:r w:rsidR="008876F8" w:rsidRPr="000B3360">
        <w:rPr>
          <w:rFonts w:ascii="Book Antiqua" w:eastAsia="Book Antiqua" w:hAnsi="Book Antiqua" w:cs="Book Antiqua"/>
          <w:color w:val="000000"/>
        </w:rPr>
        <w:t xml:space="preserve">The </w:t>
      </w:r>
      <w:r w:rsidRPr="000B3360">
        <w:rPr>
          <w:rFonts w:ascii="Book Antiqua" w:eastAsia="Book Antiqua" w:hAnsi="Book Antiqua" w:cs="Book Antiqua"/>
          <w:color w:val="000000"/>
        </w:rPr>
        <w:t>First Affiliated Hospital of Gannan Medical University, No.</w:t>
      </w:r>
      <w:r w:rsidR="008876F8"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128 Jinling Road, Ganzhou 341000, Jiangxi</w:t>
      </w:r>
      <w:r w:rsidR="008876F8" w:rsidRPr="000B3360">
        <w:rPr>
          <w:rFonts w:ascii="Book Antiqua" w:eastAsia="Book Antiqua" w:hAnsi="Book Antiqua" w:cs="Book Antiqua"/>
          <w:color w:val="000000"/>
        </w:rPr>
        <w:t xml:space="preserve"> Province</w:t>
      </w:r>
      <w:r w:rsidRPr="000B3360">
        <w:rPr>
          <w:rFonts w:ascii="Book Antiqua" w:eastAsia="Book Antiqua" w:hAnsi="Book Antiqua" w:cs="Book Antiqua"/>
          <w:color w:val="000000"/>
        </w:rPr>
        <w:t xml:space="preserve">, China. </w:t>
      </w:r>
      <w:r w:rsidR="007B0AB9" w:rsidRPr="000B3360">
        <w:rPr>
          <w:rFonts w:ascii="Book Antiqua" w:eastAsia="Book Antiqua" w:hAnsi="Book Antiqua" w:cs="Book Antiqua"/>
          <w:color w:val="000000"/>
        </w:rPr>
        <w:t>xlx981107</w:t>
      </w:r>
      <w:r w:rsidRPr="000B3360">
        <w:rPr>
          <w:rFonts w:ascii="Book Antiqua" w:eastAsia="Book Antiqua" w:hAnsi="Book Antiqua" w:cs="Book Antiqua"/>
          <w:color w:val="000000"/>
        </w:rPr>
        <w:t>@163.com</w:t>
      </w:r>
    </w:p>
    <w:p w14:paraId="563648A0" w14:textId="77777777" w:rsidR="00A77B3E" w:rsidRPr="000B3360" w:rsidRDefault="00A77B3E" w:rsidP="00CA6D9F">
      <w:pPr>
        <w:spacing w:line="360" w:lineRule="auto"/>
        <w:jc w:val="both"/>
        <w:rPr>
          <w:rFonts w:ascii="Book Antiqua" w:hAnsi="Book Antiqua"/>
        </w:rPr>
      </w:pPr>
    </w:p>
    <w:p w14:paraId="7B8D0D92"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bCs/>
          <w:color w:val="000000"/>
        </w:rPr>
        <w:t xml:space="preserve">Received: </w:t>
      </w:r>
      <w:r w:rsidRPr="000B3360">
        <w:rPr>
          <w:rFonts w:ascii="Book Antiqua" w:eastAsia="Book Antiqua" w:hAnsi="Book Antiqua" w:cs="Book Antiqua"/>
          <w:color w:val="000000"/>
        </w:rPr>
        <w:t>December 4, 2021</w:t>
      </w:r>
    </w:p>
    <w:p w14:paraId="6D4E8602"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bCs/>
          <w:color w:val="000000"/>
        </w:rPr>
        <w:t xml:space="preserve">Revised: </w:t>
      </w:r>
      <w:r w:rsidRPr="000B3360">
        <w:rPr>
          <w:rFonts w:ascii="Book Antiqua" w:eastAsia="Book Antiqua" w:hAnsi="Book Antiqua" w:cs="Book Antiqua"/>
          <w:color w:val="000000"/>
        </w:rPr>
        <w:t>January 27, 2022</w:t>
      </w:r>
    </w:p>
    <w:p w14:paraId="7877F12F" w14:textId="141E624D"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bCs/>
          <w:color w:val="000000"/>
        </w:rPr>
        <w:t>Accepted:</w:t>
      </w:r>
      <w:r w:rsidR="007C79F3" w:rsidRPr="000B3360">
        <w:t xml:space="preserve"> </w:t>
      </w:r>
      <w:r w:rsidR="007C79F3" w:rsidRPr="000B3360">
        <w:rPr>
          <w:rFonts w:ascii="Book Antiqua" w:eastAsia="Book Antiqua" w:hAnsi="Book Antiqua" w:cs="Book Antiqua"/>
          <w:bCs/>
          <w:color w:val="000000"/>
        </w:rPr>
        <w:t>May 27, 2022</w:t>
      </w:r>
      <w:r w:rsidRPr="000B3360">
        <w:rPr>
          <w:rFonts w:ascii="Book Antiqua" w:eastAsia="Book Antiqua" w:hAnsi="Book Antiqua" w:cs="Book Antiqua"/>
          <w:b/>
          <w:bCs/>
          <w:color w:val="000000"/>
        </w:rPr>
        <w:t xml:space="preserve"> </w:t>
      </w:r>
    </w:p>
    <w:p w14:paraId="2C6C9F06" w14:textId="050BE2FC"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bCs/>
          <w:color w:val="000000"/>
        </w:rPr>
        <w:t>Published online:</w:t>
      </w:r>
      <w:r w:rsidR="00913A32" w:rsidRPr="000B3360">
        <w:rPr>
          <w:rFonts w:ascii="Book Antiqua" w:eastAsia="Book Antiqua" w:hAnsi="Book Antiqua" w:cs="Book Antiqua"/>
          <w:b/>
          <w:bCs/>
          <w:color w:val="000000"/>
        </w:rPr>
        <w:t xml:space="preserve"> </w:t>
      </w:r>
      <w:r w:rsidR="00913A32" w:rsidRPr="000B3360">
        <w:rPr>
          <w:rFonts w:ascii="Book Antiqua" w:hAnsi="Book Antiqua"/>
          <w:color w:val="000000"/>
          <w:shd w:val="clear" w:color="auto" w:fill="FFFFFF"/>
        </w:rPr>
        <w:t>July 26, 2022</w:t>
      </w:r>
    </w:p>
    <w:p w14:paraId="5E1D61E6" w14:textId="77777777" w:rsidR="00A77B3E" w:rsidRPr="000B3360" w:rsidRDefault="00A77B3E" w:rsidP="00CA6D9F">
      <w:pPr>
        <w:spacing w:line="360" w:lineRule="auto"/>
        <w:jc w:val="both"/>
        <w:rPr>
          <w:rFonts w:ascii="Book Antiqua" w:hAnsi="Book Antiqua"/>
        </w:rPr>
        <w:sectPr w:rsidR="00A77B3E" w:rsidRPr="000B3360">
          <w:footerReference w:type="default" r:id="rId6"/>
          <w:pgSz w:w="12240" w:h="15840"/>
          <w:pgMar w:top="1440" w:right="1440" w:bottom="1440" w:left="1440" w:header="720" w:footer="720" w:gutter="0"/>
          <w:cols w:space="720"/>
          <w:docGrid w:linePitch="360"/>
        </w:sectPr>
      </w:pPr>
    </w:p>
    <w:p w14:paraId="2841A1A7"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color w:val="000000"/>
        </w:rPr>
        <w:lastRenderedPageBreak/>
        <w:t>Abstract</w:t>
      </w:r>
    </w:p>
    <w:p w14:paraId="78E34920"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BACKGROUND</w:t>
      </w:r>
    </w:p>
    <w:p w14:paraId="42793913"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shd w:val="clear" w:color="auto" w:fill="FFFFFF"/>
        </w:rPr>
        <w:t xml:space="preserve">Gitelman syndrome (GS) is a rare inherited </w:t>
      </w:r>
      <w:r w:rsidRPr="000B3360">
        <w:rPr>
          <w:rFonts w:ascii="Book Antiqua" w:eastAsia="Book Antiqua" w:hAnsi="Book Antiqua" w:cs="Book Antiqua"/>
          <w:color w:val="000000"/>
        </w:rPr>
        <w:t>autosomal recessive</w:t>
      </w:r>
      <w:r w:rsidRPr="000B3360">
        <w:rPr>
          <w:rFonts w:ascii="Book Antiqua" w:eastAsia="Book Antiqua" w:hAnsi="Book Antiqua" w:cs="Book Antiqua"/>
          <w:color w:val="000000"/>
          <w:shd w:val="clear" w:color="auto" w:fill="FFFFFF"/>
        </w:rPr>
        <w:t xml:space="preserve"> tubulopathy, characterized clinically by </w:t>
      </w:r>
      <w:r w:rsidRPr="000B3360">
        <w:rPr>
          <w:rFonts w:ascii="Book Antiqua" w:eastAsia="Book Antiqua" w:hAnsi="Book Antiqua" w:cs="Book Antiqua"/>
          <w:color w:val="000000"/>
        </w:rPr>
        <w:t xml:space="preserve">hypokalemia, hypomagnesemia, </w:t>
      </w:r>
      <w:r w:rsidRPr="000B3360">
        <w:rPr>
          <w:rFonts w:ascii="Book Antiqua" w:eastAsia="Book Antiqua" w:hAnsi="Book Antiqua" w:cs="Book Antiqua"/>
          <w:color w:val="000000"/>
          <w:shd w:val="clear" w:color="auto" w:fill="FFFFFF"/>
        </w:rPr>
        <w:t>hypocalciuria</w:t>
      </w:r>
      <w:r w:rsidRPr="000B3360">
        <w:rPr>
          <w:rFonts w:ascii="Book Antiqua" w:eastAsia="Book Antiqua" w:hAnsi="Book Antiqua" w:cs="Book Antiqua"/>
          <w:color w:val="000000"/>
        </w:rPr>
        <w:t xml:space="preserve">, and metabolic alkalosis, and is caused by an inactivating mutation in </w:t>
      </w:r>
      <w:r w:rsidRPr="000B3360">
        <w:rPr>
          <w:rFonts w:ascii="Book Antiqua" w:eastAsia="Book Antiqua" w:hAnsi="Book Antiqua" w:cs="Book Antiqua"/>
          <w:i/>
          <w:iCs/>
          <w:color w:val="000000"/>
        </w:rPr>
        <w:t>SLC12A3</w:t>
      </w:r>
      <w:r w:rsidRPr="000B3360">
        <w:rPr>
          <w:rFonts w:ascii="Book Antiqua" w:eastAsia="Book Antiqua" w:hAnsi="Book Antiqua" w:cs="Book Antiqua"/>
          <w:color w:val="000000"/>
        </w:rPr>
        <w:t xml:space="preserve">. GS is </w:t>
      </w:r>
      <w:r w:rsidRPr="000B3360">
        <w:rPr>
          <w:rFonts w:ascii="Book Antiqua" w:eastAsia="Book Antiqua" w:hAnsi="Book Antiqua" w:cs="Book Antiqua"/>
          <w:color w:val="000000"/>
          <w:shd w:val="clear" w:color="auto" w:fill="FFFFFF"/>
        </w:rPr>
        <w:t>prone to misdiagnosis when occurring simultaneously with hyperthyroidism.</w:t>
      </w:r>
      <w:r w:rsidRPr="000B3360">
        <w:rPr>
          <w:rFonts w:ascii="Book Antiqua" w:eastAsia="Book Antiqua" w:hAnsi="Book Antiqua" w:cs="Book Antiqua"/>
          <w:color w:val="000000"/>
        </w:rPr>
        <w:t xml:space="preserve"> It is important to consider the possibility of other diseases when hyperthyroidism is combined with hypokalemia, which is difficult to correct.</w:t>
      </w:r>
    </w:p>
    <w:p w14:paraId="3F8F6FD5" w14:textId="77777777" w:rsidR="00A77B3E" w:rsidRPr="000B3360" w:rsidRDefault="00A77B3E" w:rsidP="00CA6D9F">
      <w:pPr>
        <w:spacing w:line="360" w:lineRule="auto"/>
        <w:jc w:val="both"/>
        <w:rPr>
          <w:rFonts w:ascii="Book Antiqua" w:hAnsi="Book Antiqua"/>
        </w:rPr>
      </w:pPr>
    </w:p>
    <w:p w14:paraId="7CC227BA"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CASE SUMMARY</w:t>
      </w:r>
    </w:p>
    <w:p w14:paraId="3F7AF33F" w14:textId="256A7740"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shd w:val="clear" w:color="auto" w:fill="FFFFFF"/>
        </w:rPr>
        <w:t xml:space="preserve">A </w:t>
      </w:r>
      <w:r w:rsidRPr="000B3360">
        <w:rPr>
          <w:rFonts w:ascii="Book Antiqua" w:eastAsia="Book Antiqua" w:hAnsi="Book Antiqua" w:cs="Book Antiqua"/>
          <w:color w:val="000000"/>
        </w:rPr>
        <w:t>female patient with</w:t>
      </w:r>
      <w:r w:rsidRPr="000B3360">
        <w:rPr>
          <w:rFonts w:ascii="Book Antiqua" w:eastAsia="Book Antiqua" w:hAnsi="Book Antiqua" w:cs="Book Antiqua"/>
          <w:color w:val="000000"/>
          <w:shd w:val="clear" w:color="auto" w:fill="FFFFFF"/>
        </w:rPr>
        <w:t xml:space="preserve"> hyperthyroidism</w:t>
      </w:r>
      <w:r w:rsidRPr="000B3360">
        <w:rPr>
          <w:rFonts w:ascii="Book Antiqua" w:eastAsia="Book Antiqua" w:hAnsi="Book Antiqua" w:cs="Book Antiqua"/>
          <w:color w:val="000000"/>
        </w:rPr>
        <w:t xml:space="preserve"> complicated with limb weakness was diagnosed with thyrotoxic hypokalemic periodic paralysis for 4 mo. However, the patient’s serum potassium level remained low despite sufficient potassium replacement and </w:t>
      </w:r>
      <w:r w:rsidRPr="000B3360">
        <w:rPr>
          <w:rFonts w:ascii="Book Antiqua" w:eastAsia="Book Antiqua" w:hAnsi="Book Antiqua" w:cs="Book Antiqua"/>
          <w:color w:val="000000"/>
          <w:shd w:val="clear" w:color="auto" w:fill="FFFFFF"/>
        </w:rPr>
        <w:t>remission of hyperthyroidism</w:t>
      </w:r>
      <w:r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shd w:val="clear" w:color="auto" w:fill="FFFFFF"/>
        </w:rPr>
        <w:t xml:space="preserve">GS was confirmed by </w:t>
      </w:r>
      <w:r w:rsidRPr="000B3360">
        <w:rPr>
          <w:rFonts w:ascii="Book Antiqua" w:eastAsia="Book Antiqua" w:hAnsi="Book Antiqua" w:cs="Book Antiqua"/>
          <w:color w:val="000000"/>
        </w:rPr>
        <w:t xml:space="preserve">whole exome and Sanger sequencing. Gene sequencing revealed compound heterozygous mutations of c.488C&gt;T (p.Thr163Met), c.2612G&gt;A (p.Arg871His), and c.1171_1178dupGCCACCAT (p.Ile393fs) in </w:t>
      </w:r>
      <w:r w:rsidRPr="000B3360">
        <w:rPr>
          <w:rFonts w:ascii="Book Antiqua" w:eastAsia="Book Antiqua" w:hAnsi="Book Antiqua" w:cs="Book Antiqua"/>
          <w:i/>
          <w:iCs/>
          <w:color w:val="000000"/>
        </w:rPr>
        <w:t>SLC12A3</w:t>
      </w:r>
      <w:r w:rsidRPr="000B3360">
        <w:rPr>
          <w:rFonts w:ascii="Book Antiqua" w:eastAsia="Book Antiqua" w:hAnsi="Book Antiqua" w:cs="Book Antiqua"/>
          <w:color w:val="000000"/>
        </w:rPr>
        <w:t>. Protein molecular modeling was performed to predict the effects of the identified missense mutations. All three mutations cause changes in protein structure and may result in abnormal protein function. All previously reported cases of GS</w:t>
      </w:r>
      <w:r w:rsidR="008876F8"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 xml:space="preserve">coexisting with autoimmune thyroid disease </w:t>
      </w:r>
      <w:r w:rsidR="00E46304" w:rsidRPr="000B3360">
        <w:rPr>
          <w:rFonts w:ascii="Book Antiqua" w:eastAsia="Book Antiqua" w:hAnsi="Book Antiqua" w:cs="Book Antiqua"/>
          <w:color w:val="000000"/>
        </w:rPr>
        <w:t xml:space="preserve">are </w:t>
      </w:r>
      <w:r w:rsidRPr="000B3360">
        <w:rPr>
          <w:rFonts w:ascii="Book Antiqua" w:eastAsia="Book Antiqua" w:hAnsi="Book Antiqua" w:cs="Book Antiqua"/>
          <w:color w:val="000000"/>
        </w:rPr>
        <w:t>reviewed.</w:t>
      </w:r>
    </w:p>
    <w:p w14:paraId="6AD28848" w14:textId="77777777" w:rsidR="00A77B3E" w:rsidRPr="000B3360" w:rsidRDefault="00A77B3E" w:rsidP="00CA6D9F">
      <w:pPr>
        <w:spacing w:line="360" w:lineRule="auto"/>
        <w:jc w:val="both"/>
        <w:rPr>
          <w:rFonts w:ascii="Book Antiqua" w:hAnsi="Book Antiqua"/>
        </w:rPr>
      </w:pPr>
    </w:p>
    <w:p w14:paraId="29C32E8A"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CONCLUSION</w:t>
      </w:r>
    </w:p>
    <w:p w14:paraId="3FDD2BB1"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shd w:val="clear" w:color="auto" w:fill="FFFFFF"/>
        </w:rPr>
        <w:t>We have identified a novel</w:t>
      </w:r>
      <w:r w:rsidRPr="000B3360">
        <w:rPr>
          <w:rFonts w:ascii="Book Antiqua" w:eastAsia="Book Antiqua" w:hAnsi="Book Antiqua" w:cs="Book Antiqua"/>
          <w:color w:val="000000"/>
        </w:rPr>
        <w:t xml:space="preserve"> compound heterozygous</w:t>
      </w:r>
      <w:r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rPr>
        <w:t>mutation in</w:t>
      </w:r>
      <w:r w:rsidRPr="000B3360">
        <w:rPr>
          <w:rFonts w:ascii="Book Antiqua" w:eastAsia="Book Antiqua" w:hAnsi="Book Antiqua" w:cs="Book Antiqua"/>
          <w:i/>
          <w:iCs/>
          <w:color w:val="000000"/>
        </w:rPr>
        <w:t xml:space="preserve"> SLC12A3</w:t>
      </w:r>
      <w:r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shd w:val="clear" w:color="auto" w:fill="FFFFFF"/>
        </w:rPr>
        <w:t>The present study provides new genetic evidence for GS.</w:t>
      </w:r>
    </w:p>
    <w:p w14:paraId="22E1EAB0" w14:textId="77777777" w:rsidR="00A77B3E" w:rsidRPr="000B3360" w:rsidRDefault="00A77B3E" w:rsidP="00CA6D9F">
      <w:pPr>
        <w:spacing w:line="360" w:lineRule="auto"/>
        <w:jc w:val="both"/>
        <w:rPr>
          <w:rFonts w:ascii="Book Antiqua" w:hAnsi="Book Antiqua"/>
        </w:rPr>
      </w:pPr>
    </w:p>
    <w:p w14:paraId="4FF51D0E" w14:textId="15786DC1"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bCs/>
          <w:color w:val="000000"/>
        </w:rPr>
        <w:t xml:space="preserve">Key Words: </w:t>
      </w:r>
      <w:r w:rsidRPr="000B3360">
        <w:rPr>
          <w:rFonts w:ascii="Book Antiqua" w:eastAsia="Book Antiqua" w:hAnsi="Book Antiqua" w:cs="Book Antiqua"/>
          <w:i/>
          <w:iCs/>
          <w:color w:val="000000"/>
        </w:rPr>
        <w:t>SLC12A3</w:t>
      </w:r>
      <w:r w:rsidRPr="000B3360">
        <w:rPr>
          <w:rFonts w:ascii="Book Antiqua" w:eastAsia="Book Antiqua" w:hAnsi="Book Antiqua" w:cs="Book Antiqua"/>
          <w:color w:val="000000"/>
        </w:rPr>
        <w:t>; Gitelman</w:t>
      </w:r>
      <w:r w:rsidR="008876F8"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 xml:space="preserve">syndrome; Hyperthyroidism; </w:t>
      </w:r>
      <w:r w:rsidRPr="000B3360">
        <w:rPr>
          <w:rFonts w:ascii="Book Antiqua" w:eastAsia="Book Antiqua" w:hAnsi="Book Antiqua" w:cs="Book Antiqua"/>
          <w:color w:val="000000"/>
          <w:shd w:val="clear" w:color="auto" w:fill="FFFFFF"/>
        </w:rPr>
        <w:t>Hypokalemia</w:t>
      </w:r>
      <w:r w:rsidRPr="000B3360">
        <w:rPr>
          <w:rFonts w:ascii="Book Antiqua" w:eastAsia="Book Antiqua" w:hAnsi="Book Antiqua" w:cs="Book Antiqua"/>
          <w:color w:val="000000"/>
        </w:rPr>
        <w:t>; Gene sequencing; Case report</w:t>
      </w:r>
    </w:p>
    <w:p w14:paraId="096887FE" w14:textId="77777777" w:rsidR="00A77B3E" w:rsidRPr="000B3360" w:rsidRDefault="00A77B3E" w:rsidP="00CA6D9F">
      <w:pPr>
        <w:spacing w:line="360" w:lineRule="auto"/>
        <w:jc w:val="both"/>
        <w:rPr>
          <w:rFonts w:ascii="Book Antiqua" w:hAnsi="Book Antiqua"/>
        </w:rPr>
      </w:pPr>
    </w:p>
    <w:p w14:paraId="5C848254" w14:textId="77777777" w:rsidR="001A22DB" w:rsidRPr="000B3360" w:rsidRDefault="001A22DB" w:rsidP="001A22DB">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0B3360">
        <w:rPr>
          <w:rFonts w:ascii="Book Antiqua" w:eastAsia="Book Antiqua" w:hAnsi="Book Antiqua" w:cs="Book Antiqua" w:hint="eastAsia"/>
          <w:b/>
          <w:color w:val="000000"/>
        </w:rPr>
        <w:lastRenderedPageBreak/>
        <w:t>©</w:t>
      </w:r>
      <w:r w:rsidRPr="000B3360">
        <w:rPr>
          <w:rFonts w:ascii="Book Antiqua" w:eastAsia="Book Antiqua" w:hAnsi="Book Antiqua" w:cs="Book Antiqua"/>
          <w:b/>
          <w:color w:val="000000"/>
        </w:rPr>
        <w:t>The</w:t>
      </w:r>
      <w:r w:rsidRPr="000B3360">
        <w:rPr>
          <w:rFonts w:ascii="Book Antiqua" w:eastAsia="Book Antiqua" w:hAnsi="Book Antiqua" w:cs="Book Antiqua"/>
          <w:color w:val="000000"/>
        </w:rPr>
        <w:t xml:space="preserve"> </w:t>
      </w:r>
      <w:r w:rsidRPr="000B3360">
        <w:rPr>
          <w:rFonts w:ascii="Book Antiqua" w:eastAsia="Book Antiqua" w:hAnsi="Book Antiqua" w:cs="Book Antiqua"/>
          <w:b/>
          <w:color w:val="000000"/>
        </w:rPr>
        <w:t xml:space="preserve">Author(s) 2022. </w:t>
      </w:r>
      <w:r w:rsidRPr="000B3360">
        <w:rPr>
          <w:rFonts w:ascii="Book Antiqua" w:eastAsia="Book Antiqua" w:hAnsi="Book Antiqua" w:cs="Book Antiqua"/>
          <w:color w:val="000000"/>
        </w:rPr>
        <w:t>Published by Baishideng Publishing Group Inc. All rights reserved.</w:t>
      </w:r>
      <w:bookmarkEnd w:id="0"/>
      <w:r w:rsidRPr="000B3360">
        <w:rPr>
          <w:rFonts w:ascii="Book Antiqua" w:eastAsia="Book Antiqua" w:hAnsi="Book Antiqua" w:cs="Book Antiqua"/>
          <w:color w:val="000000"/>
        </w:rPr>
        <w:t xml:space="preserve"> </w:t>
      </w:r>
    </w:p>
    <w:bookmarkEnd w:id="1"/>
    <w:p w14:paraId="6288B405" w14:textId="77777777" w:rsidR="001A22DB" w:rsidRPr="000B3360" w:rsidRDefault="001A22DB" w:rsidP="001A22DB">
      <w:pPr>
        <w:spacing w:line="360" w:lineRule="auto"/>
        <w:jc w:val="both"/>
        <w:rPr>
          <w:lang w:eastAsia="zh-CN"/>
        </w:rPr>
      </w:pPr>
    </w:p>
    <w:p w14:paraId="764E83B4" w14:textId="77777777" w:rsidR="000B3360" w:rsidRPr="000B3360" w:rsidRDefault="001A22DB" w:rsidP="001A22DB">
      <w:pPr>
        <w:spacing w:line="360" w:lineRule="auto"/>
        <w:jc w:val="both"/>
        <w:rPr>
          <w:rFonts w:ascii="Book Antiqua" w:eastAsia="Book Antiqua" w:hAnsi="Book Antiqua" w:cs="Book Antiqua"/>
          <w:color w:val="000000"/>
        </w:rPr>
      </w:pPr>
      <w:bookmarkStart w:id="4" w:name="_Hlk88512899"/>
      <w:bookmarkStart w:id="5" w:name="_Hlk88512352"/>
      <w:bookmarkEnd w:id="2"/>
      <w:r w:rsidRPr="000B3360">
        <w:rPr>
          <w:rFonts w:ascii="Book Antiqua" w:hAnsi="Book Antiqua" w:cs="Book Antiqua" w:hint="eastAsia"/>
          <w:b/>
          <w:color w:val="000000"/>
          <w:lang w:eastAsia="zh-CN"/>
        </w:rPr>
        <w:t>Citation:</w:t>
      </w:r>
      <w:bookmarkEnd w:id="3"/>
      <w:bookmarkEnd w:id="4"/>
      <w:r w:rsidRPr="000B3360">
        <w:rPr>
          <w:rFonts w:ascii="Book Antiqua" w:hAnsi="Book Antiqua" w:cs="Book Antiqua" w:hint="eastAsia"/>
          <w:color w:val="000000"/>
          <w:lang w:eastAsia="zh-CN"/>
        </w:rPr>
        <w:t xml:space="preserve"> </w:t>
      </w:r>
      <w:bookmarkEnd w:id="5"/>
      <w:r w:rsidR="009B60C3" w:rsidRPr="000B3360">
        <w:rPr>
          <w:rFonts w:ascii="Book Antiqua" w:eastAsia="Book Antiqua" w:hAnsi="Book Antiqua" w:cs="Book Antiqua"/>
          <w:color w:val="000000"/>
        </w:rPr>
        <w:t>Qin YZ, Liu YM, Wang Y, You C, Li LN, Zhou XY, Lv W</w:t>
      </w:r>
      <w:r w:rsidR="008876F8" w:rsidRPr="000B3360">
        <w:rPr>
          <w:rFonts w:ascii="Book Antiqua" w:eastAsia="Book Antiqua" w:hAnsi="Book Antiqua" w:cs="Book Antiqua"/>
          <w:color w:val="000000"/>
        </w:rPr>
        <w:t>M</w:t>
      </w:r>
      <w:r w:rsidR="009B60C3" w:rsidRPr="000B3360">
        <w:rPr>
          <w:rFonts w:ascii="Book Antiqua" w:eastAsia="Book Antiqua" w:hAnsi="Book Antiqua" w:cs="Book Antiqua"/>
          <w:color w:val="000000"/>
        </w:rPr>
        <w:t>, Hong SH, Xiao L</w:t>
      </w:r>
      <w:r w:rsidR="008876F8" w:rsidRPr="000B3360">
        <w:rPr>
          <w:rFonts w:ascii="Book Antiqua" w:eastAsia="Book Antiqua" w:hAnsi="Book Antiqua" w:cs="Book Antiqua"/>
          <w:color w:val="000000"/>
        </w:rPr>
        <w:t>X</w:t>
      </w:r>
      <w:r w:rsidR="009B60C3" w:rsidRPr="000B3360">
        <w:rPr>
          <w:rFonts w:ascii="Book Antiqua" w:eastAsia="Book Antiqua" w:hAnsi="Book Antiqua" w:cs="Book Antiqua"/>
          <w:color w:val="000000"/>
        </w:rPr>
        <w:t>. Novel compound heterozygous mutation</w:t>
      </w:r>
      <w:r w:rsidR="00E46304" w:rsidRPr="000B3360">
        <w:rPr>
          <w:rFonts w:ascii="Book Antiqua" w:eastAsia="Book Antiqua" w:hAnsi="Book Antiqua" w:cs="Book Antiqua"/>
          <w:color w:val="000000"/>
        </w:rPr>
        <w:t xml:space="preserve"> of </w:t>
      </w:r>
      <w:r w:rsidR="00E46304" w:rsidRPr="000B3360">
        <w:rPr>
          <w:rFonts w:ascii="Book Antiqua" w:eastAsia="Book Antiqua" w:hAnsi="Book Antiqua" w:cs="Book Antiqua"/>
          <w:i/>
          <w:iCs/>
          <w:color w:val="000000"/>
        </w:rPr>
        <w:t>SLC12A3</w:t>
      </w:r>
      <w:r w:rsidR="009B60C3" w:rsidRPr="000B3360">
        <w:rPr>
          <w:rFonts w:ascii="Book Antiqua" w:eastAsia="Book Antiqua" w:hAnsi="Book Antiqua" w:cs="Book Antiqua"/>
          <w:color w:val="000000"/>
        </w:rPr>
        <w:t xml:space="preserve"> in Gitelman syndrome co-existent with hyperthyroidism: A case report and literature review. </w:t>
      </w:r>
      <w:r w:rsidR="009B60C3" w:rsidRPr="000B3360">
        <w:rPr>
          <w:rFonts w:ascii="Book Antiqua" w:eastAsia="Book Antiqua" w:hAnsi="Book Antiqua" w:cs="Book Antiqua"/>
          <w:i/>
          <w:iCs/>
          <w:color w:val="000000"/>
        </w:rPr>
        <w:t>World J Clin Cases</w:t>
      </w:r>
      <w:r w:rsidR="009B60C3" w:rsidRPr="000B3360">
        <w:rPr>
          <w:rFonts w:ascii="Book Antiqua" w:eastAsia="Book Antiqua" w:hAnsi="Book Antiqua" w:cs="Book Antiqua"/>
          <w:color w:val="000000"/>
        </w:rPr>
        <w:t xml:space="preserve"> 2022;</w:t>
      </w:r>
      <w:r w:rsidR="00913A32" w:rsidRPr="000B3360">
        <w:rPr>
          <w:rFonts w:ascii="Book Antiqua" w:eastAsia="Book Antiqua" w:hAnsi="Book Antiqua" w:cs="Book Antiqua"/>
          <w:color w:val="000000"/>
        </w:rPr>
        <w:t xml:space="preserve"> 10(21): </w:t>
      </w:r>
      <w:r w:rsidR="000B3360" w:rsidRPr="000B3360">
        <w:rPr>
          <w:rFonts w:ascii="Book Antiqua" w:eastAsia="Book Antiqua" w:hAnsi="Book Antiqua" w:cs="Book Antiqua"/>
          <w:color w:val="000000"/>
        </w:rPr>
        <w:t>7483</w:t>
      </w:r>
      <w:r w:rsidR="00913A32" w:rsidRPr="000B3360">
        <w:rPr>
          <w:rFonts w:ascii="Book Antiqua" w:eastAsia="Book Antiqua" w:hAnsi="Book Antiqua" w:cs="Book Antiqua"/>
          <w:color w:val="000000"/>
        </w:rPr>
        <w:t>-</w:t>
      </w:r>
      <w:r w:rsidR="000B3360" w:rsidRPr="000B3360">
        <w:rPr>
          <w:rFonts w:ascii="Book Antiqua" w:eastAsia="Book Antiqua" w:hAnsi="Book Antiqua" w:cs="Book Antiqua"/>
          <w:color w:val="000000"/>
        </w:rPr>
        <w:t>7494</w:t>
      </w:r>
    </w:p>
    <w:p w14:paraId="6F9D0DEB" w14:textId="524222E7" w:rsidR="000B3360" w:rsidRPr="000B3360" w:rsidRDefault="00913A32" w:rsidP="001A22DB">
      <w:pPr>
        <w:spacing w:line="360" w:lineRule="auto"/>
        <w:jc w:val="both"/>
        <w:rPr>
          <w:rFonts w:ascii="Book Antiqua" w:eastAsia="Book Antiqua" w:hAnsi="Book Antiqua" w:cs="Book Antiqua"/>
          <w:color w:val="000000"/>
        </w:rPr>
      </w:pPr>
      <w:r w:rsidRPr="000B3360">
        <w:rPr>
          <w:rFonts w:ascii="Book Antiqua" w:eastAsia="Book Antiqua" w:hAnsi="Book Antiqua" w:cs="Book Antiqua"/>
          <w:b/>
          <w:bCs/>
          <w:color w:val="000000"/>
        </w:rPr>
        <w:t>URL:</w:t>
      </w:r>
      <w:r w:rsidRPr="000B3360">
        <w:rPr>
          <w:rFonts w:ascii="Book Antiqua" w:eastAsia="Book Antiqua" w:hAnsi="Book Antiqua" w:cs="Book Antiqua"/>
          <w:color w:val="000000"/>
        </w:rPr>
        <w:t xml:space="preserve"> </w:t>
      </w:r>
      <w:hyperlink r:id="rId7" w:history="1">
        <w:r w:rsidR="000B3360" w:rsidRPr="000B3360">
          <w:rPr>
            <w:rStyle w:val="af0"/>
            <w:rFonts w:ascii="Book Antiqua" w:eastAsia="Book Antiqua" w:hAnsi="Book Antiqua" w:cs="Book Antiqua"/>
          </w:rPr>
          <w:t>https://www.wjgnet.com/2307-8960/full/v10/i21/7483.htm</w:t>
        </w:r>
      </w:hyperlink>
    </w:p>
    <w:p w14:paraId="0A35CFF4" w14:textId="4D1FDB0B" w:rsidR="00A77B3E" w:rsidRPr="000B3360" w:rsidRDefault="00913A32" w:rsidP="001A22DB">
      <w:pPr>
        <w:spacing w:line="360" w:lineRule="auto"/>
        <w:jc w:val="both"/>
        <w:rPr>
          <w:rFonts w:ascii="Book Antiqua" w:hAnsi="Book Antiqua"/>
        </w:rPr>
      </w:pPr>
      <w:r w:rsidRPr="000B3360">
        <w:rPr>
          <w:rFonts w:ascii="Book Antiqua" w:eastAsia="Book Antiqua" w:hAnsi="Book Antiqua" w:cs="Book Antiqua"/>
          <w:b/>
          <w:bCs/>
          <w:color w:val="000000"/>
        </w:rPr>
        <w:t>DOI:</w:t>
      </w:r>
      <w:r w:rsidRPr="000B3360">
        <w:rPr>
          <w:rFonts w:ascii="Book Antiqua" w:eastAsia="Book Antiqua" w:hAnsi="Book Antiqua" w:cs="Book Antiqua"/>
          <w:color w:val="000000"/>
        </w:rPr>
        <w:t xml:space="preserve"> https://dx.doi.org/10.12998/wjcc.v10.i21.</w:t>
      </w:r>
      <w:r w:rsidR="000B3360" w:rsidRPr="000B3360">
        <w:rPr>
          <w:rFonts w:ascii="Book Antiqua" w:eastAsia="Book Antiqua" w:hAnsi="Book Antiqua" w:cs="Book Antiqua"/>
          <w:color w:val="000000"/>
        </w:rPr>
        <w:t>7483</w:t>
      </w:r>
    </w:p>
    <w:p w14:paraId="4D776B5A" w14:textId="77777777" w:rsidR="00A77B3E" w:rsidRPr="000B3360" w:rsidRDefault="00A77B3E" w:rsidP="00CA6D9F">
      <w:pPr>
        <w:spacing w:line="360" w:lineRule="auto"/>
        <w:jc w:val="both"/>
        <w:rPr>
          <w:rFonts w:ascii="Book Antiqua" w:hAnsi="Book Antiqua"/>
        </w:rPr>
      </w:pPr>
    </w:p>
    <w:p w14:paraId="795E3FDF" w14:textId="082B8FDB"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bCs/>
          <w:color w:val="000000"/>
        </w:rPr>
        <w:t xml:space="preserve">Core Tip: </w:t>
      </w:r>
      <w:r w:rsidRPr="000B3360">
        <w:rPr>
          <w:rFonts w:ascii="Book Antiqua" w:eastAsia="Book Antiqua" w:hAnsi="Book Antiqua" w:cs="Book Antiqua"/>
          <w:color w:val="000000"/>
          <w:shd w:val="clear" w:color="auto" w:fill="FFFFFF"/>
        </w:rPr>
        <w:t xml:space="preserve">In the present study, we report a patient with hyperthyroidism who was diagnosed with Gitelman syndrome </w:t>
      </w:r>
      <w:r w:rsidR="00492792" w:rsidRPr="000B3360">
        <w:rPr>
          <w:rFonts w:ascii="Book Antiqua" w:eastAsia="Book Antiqua" w:hAnsi="Book Antiqua" w:cs="Book Antiqua"/>
          <w:color w:val="000000"/>
          <w:shd w:val="clear" w:color="auto" w:fill="FFFFFF"/>
        </w:rPr>
        <w:t xml:space="preserve">(GS) </w:t>
      </w:r>
      <w:r w:rsidRPr="000B3360">
        <w:rPr>
          <w:rFonts w:ascii="Book Antiqua" w:eastAsia="Book Antiqua" w:hAnsi="Book Antiqua" w:cs="Book Antiqua"/>
          <w:color w:val="000000"/>
          <w:shd w:val="clear" w:color="auto" w:fill="FFFFFF"/>
        </w:rPr>
        <w:t>through genome sequencing. We identified a novel</w:t>
      </w:r>
      <w:r w:rsidRPr="000B3360">
        <w:rPr>
          <w:rFonts w:ascii="Book Antiqua" w:eastAsia="Book Antiqua" w:hAnsi="Book Antiqua" w:cs="Book Antiqua"/>
          <w:color w:val="000000"/>
        </w:rPr>
        <w:t xml:space="preserve"> compound heterozygous</w:t>
      </w:r>
      <w:r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rPr>
        <w:t>mutation in</w:t>
      </w:r>
      <w:r w:rsidRPr="000B3360">
        <w:rPr>
          <w:rFonts w:ascii="Book Antiqua" w:eastAsia="Book Antiqua" w:hAnsi="Book Antiqua" w:cs="Book Antiqua"/>
          <w:i/>
          <w:iCs/>
          <w:color w:val="000000"/>
        </w:rPr>
        <w:t xml:space="preserve"> SLC12A3</w:t>
      </w:r>
      <w:r w:rsidRPr="000B3360">
        <w:rPr>
          <w:rFonts w:ascii="Book Antiqua" w:eastAsia="Book Antiqua" w:hAnsi="Book Antiqua" w:cs="Book Antiqua"/>
          <w:color w:val="000000"/>
        </w:rPr>
        <w:t>. Protein molecular modeling was performed to predict the effects of the identified missense mutations, which cause changes in protein structure and may result in abnormal protein function. All previously reported cases of GS</w:t>
      </w:r>
      <w:r w:rsidR="008876F8"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 xml:space="preserve">coexisting with autoimmune thyroid disease </w:t>
      </w:r>
      <w:r w:rsidR="00E46304" w:rsidRPr="000B3360">
        <w:rPr>
          <w:rFonts w:ascii="Book Antiqua" w:eastAsia="Book Antiqua" w:hAnsi="Book Antiqua" w:cs="Book Antiqua"/>
          <w:color w:val="000000"/>
        </w:rPr>
        <w:t xml:space="preserve">are </w:t>
      </w:r>
      <w:r w:rsidRPr="000B3360">
        <w:rPr>
          <w:rFonts w:ascii="Book Antiqua" w:eastAsia="Book Antiqua" w:hAnsi="Book Antiqua" w:cs="Book Antiqua"/>
          <w:color w:val="000000"/>
        </w:rPr>
        <w:t>reviewed.</w:t>
      </w:r>
    </w:p>
    <w:p w14:paraId="2FC54899" w14:textId="77777777" w:rsidR="00A77B3E" w:rsidRPr="000B3360" w:rsidRDefault="00A77B3E" w:rsidP="00CA6D9F">
      <w:pPr>
        <w:spacing w:line="360" w:lineRule="auto"/>
        <w:jc w:val="both"/>
        <w:rPr>
          <w:rFonts w:ascii="Book Antiqua" w:hAnsi="Book Antiqua"/>
        </w:rPr>
      </w:pPr>
    </w:p>
    <w:p w14:paraId="3E7ECF5A"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caps/>
          <w:color w:val="000000"/>
          <w:u w:val="single"/>
        </w:rPr>
        <w:t>INTRODUCTION</w:t>
      </w:r>
    </w:p>
    <w:p w14:paraId="21E58B43" w14:textId="0A3A7574"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shd w:val="clear" w:color="auto" w:fill="FFFFFF"/>
        </w:rPr>
        <w:t xml:space="preserve">Gitelman syndrome (GS) is a rare, inherited, </w:t>
      </w:r>
      <w:r w:rsidRPr="000B3360">
        <w:rPr>
          <w:rFonts w:ascii="Book Antiqua" w:eastAsia="Book Antiqua" w:hAnsi="Book Antiqua" w:cs="Book Antiqua"/>
          <w:color w:val="000000"/>
        </w:rPr>
        <w:t>autosomal recessive,</w:t>
      </w:r>
      <w:r w:rsidRPr="000B3360">
        <w:rPr>
          <w:rFonts w:ascii="Book Antiqua" w:eastAsia="Book Antiqua" w:hAnsi="Book Antiqua" w:cs="Book Antiqua"/>
          <w:color w:val="000000"/>
          <w:shd w:val="clear" w:color="auto" w:fill="FFFFFF"/>
        </w:rPr>
        <w:t xml:space="preserve"> salt-losing tubulopathy, characterized clinically by </w:t>
      </w:r>
      <w:r w:rsidRPr="000B3360">
        <w:rPr>
          <w:rFonts w:ascii="Book Antiqua" w:eastAsia="Book Antiqua" w:hAnsi="Book Antiqua" w:cs="Book Antiqua"/>
          <w:color w:val="000000"/>
        </w:rPr>
        <w:t xml:space="preserve">hypokalemia, hypomagnesemia, </w:t>
      </w:r>
      <w:r w:rsidRPr="000B3360">
        <w:rPr>
          <w:rFonts w:ascii="Book Antiqua" w:eastAsia="Book Antiqua" w:hAnsi="Book Antiqua" w:cs="Book Antiqua"/>
          <w:color w:val="000000"/>
          <w:shd w:val="clear" w:color="auto" w:fill="FFFFFF"/>
        </w:rPr>
        <w:t>hypocalciuria</w:t>
      </w:r>
      <w:r w:rsidRPr="000B3360">
        <w:rPr>
          <w:rFonts w:ascii="Book Antiqua" w:eastAsia="Book Antiqua" w:hAnsi="Book Antiqua" w:cs="Book Antiqua"/>
          <w:color w:val="000000"/>
        </w:rPr>
        <w:t xml:space="preserve">, and metabolic alkalosis. It is associated with an inactivating mutation in the </w:t>
      </w:r>
      <w:r w:rsidRPr="000B3360">
        <w:rPr>
          <w:rFonts w:ascii="Book Antiqua" w:eastAsia="Book Antiqua" w:hAnsi="Book Antiqua" w:cs="Book Antiqua"/>
          <w:i/>
          <w:iCs/>
          <w:color w:val="000000"/>
        </w:rPr>
        <w:t xml:space="preserve">SLC12A3 </w:t>
      </w:r>
      <w:r w:rsidRPr="000B3360">
        <w:rPr>
          <w:rFonts w:ascii="Book Antiqua" w:eastAsia="Book Antiqua" w:hAnsi="Book Antiqua" w:cs="Book Antiqua"/>
          <w:color w:val="000000"/>
        </w:rPr>
        <w:t>(OMIM: 600968) gene, which</w:t>
      </w:r>
      <w:r w:rsidRPr="000B3360">
        <w:rPr>
          <w:rFonts w:ascii="Book Antiqua" w:eastAsia="Book Antiqua" w:hAnsi="Book Antiqua" w:cs="Book Antiqua"/>
          <w:color w:val="000000"/>
          <w:shd w:val="clear" w:color="auto" w:fill="FFFFFF"/>
        </w:rPr>
        <w:t xml:space="preserve"> is </w:t>
      </w:r>
      <w:r w:rsidRPr="000B3360">
        <w:rPr>
          <w:rFonts w:ascii="Book Antiqua" w:eastAsia="Book Antiqua" w:hAnsi="Book Antiqua" w:cs="Book Antiqua"/>
          <w:color w:val="000000"/>
        </w:rPr>
        <w:t>located on</w:t>
      </w:r>
      <w:r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rPr>
        <w:t>chromosome</w:t>
      </w:r>
      <w:r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rPr>
        <w:t xml:space="preserve">16q13 and </w:t>
      </w:r>
      <w:r w:rsidRPr="000B3360">
        <w:rPr>
          <w:rFonts w:ascii="Book Antiqua" w:eastAsia="Book Antiqua" w:hAnsi="Book Antiqua" w:cs="Book Antiqua"/>
          <w:color w:val="000000"/>
          <w:shd w:val="clear" w:color="auto" w:fill="FFFFFF"/>
        </w:rPr>
        <w:t>encodes the thiazide-sensitive sodium chloride</w:t>
      </w:r>
      <w:r w:rsidRPr="000B3360">
        <w:rPr>
          <w:rFonts w:ascii="Book Antiqua" w:eastAsia="Book Antiqua" w:hAnsi="Book Antiqua" w:cs="Book Antiqua"/>
          <w:color w:val="000000"/>
        </w:rPr>
        <w:t xml:space="preserve"> cotransporter (NCCT)</w:t>
      </w:r>
      <w:r w:rsidRPr="000B3360">
        <w:rPr>
          <w:rFonts w:ascii="Book Antiqua" w:eastAsia="Book Antiqua" w:hAnsi="Book Antiqua" w:cs="Book Antiqua"/>
          <w:color w:val="000000"/>
          <w:vertAlign w:val="superscript"/>
        </w:rPr>
        <w:t>[1,2]</w:t>
      </w:r>
      <w:r w:rsidRPr="000B3360">
        <w:rPr>
          <w:rFonts w:ascii="Book Antiqua" w:eastAsia="Book Antiqua" w:hAnsi="Book Antiqua" w:cs="Book Antiqua"/>
          <w:color w:val="000000"/>
        </w:rPr>
        <w:t>.</w:t>
      </w:r>
      <w:r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rPr>
        <w:t>Thyrotoxic hypokalemic periodic paralysis (THPP) is characterized by recurrent episodic hypokalemia and muscle weakness, and is associated with hyperthyroidism</w:t>
      </w:r>
      <w:r w:rsidRPr="000B3360">
        <w:rPr>
          <w:rFonts w:ascii="Book Antiqua" w:eastAsia="Book Antiqua" w:hAnsi="Book Antiqua" w:cs="Book Antiqua"/>
          <w:color w:val="000000"/>
          <w:vertAlign w:val="superscript"/>
        </w:rPr>
        <w:t>[3]</w:t>
      </w:r>
      <w:r w:rsidRPr="000B3360">
        <w:rPr>
          <w:rFonts w:ascii="Book Antiqua" w:eastAsia="Book Antiqua" w:hAnsi="Book Antiqua" w:cs="Book Antiqua"/>
          <w:color w:val="000000"/>
        </w:rPr>
        <w:t xml:space="preserve">. GS </w:t>
      </w:r>
      <w:r w:rsidRPr="000B3360">
        <w:rPr>
          <w:rFonts w:ascii="Book Antiqua" w:eastAsia="Book Antiqua" w:hAnsi="Book Antiqua" w:cs="Book Antiqua"/>
          <w:color w:val="000000"/>
          <w:shd w:val="clear" w:color="auto" w:fill="FFFFFF"/>
        </w:rPr>
        <w:t>occurring simultaneously with hyperthyroidism</w:t>
      </w:r>
      <w:r w:rsidRPr="000B3360">
        <w:rPr>
          <w:rFonts w:ascii="Book Antiqua" w:eastAsia="Book Antiqua" w:hAnsi="Book Antiqua" w:cs="Book Antiqua"/>
          <w:color w:val="000000"/>
        </w:rPr>
        <w:t xml:space="preserve"> is </w:t>
      </w:r>
      <w:r w:rsidRPr="000B3360">
        <w:rPr>
          <w:rFonts w:ascii="Book Antiqua" w:eastAsia="Book Antiqua" w:hAnsi="Book Antiqua" w:cs="Book Antiqua"/>
          <w:color w:val="000000"/>
          <w:shd w:val="clear" w:color="auto" w:fill="FFFFFF"/>
        </w:rPr>
        <w:t xml:space="preserve">prone to misdiagnosis. Here, we report </w:t>
      </w:r>
      <w:r w:rsidR="00E46304" w:rsidRPr="000B3360">
        <w:rPr>
          <w:rFonts w:ascii="Book Antiqua" w:eastAsia="Book Antiqua" w:hAnsi="Book Antiqua" w:cs="Book Antiqua"/>
          <w:color w:val="000000"/>
          <w:shd w:val="clear" w:color="auto" w:fill="FFFFFF"/>
        </w:rPr>
        <w:t xml:space="preserve">the </w:t>
      </w:r>
      <w:r w:rsidRPr="000B3360">
        <w:rPr>
          <w:rFonts w:ascii="Book Antiqua" w:eastAsia="Book Antiqua" w:hAnsi="Book Antiqua" w:cs="Book Antiqua"/>
          <w:color w:val="000000"/>
          <w:shd w:val="clear" w:color="auto" w:fill="FFFFFF"/>
        </w:rPr>
        <w:t>case of a young Chinese woman with hyperthyroidism</w:t>
      </w:r>
      <w:r w:rsidRPr="000B3360">
        <w:rPr>
          <w:rFonts w:ascii="Book Antiqua" w:eastAsia="Book Antiqua" w:hAnsi="Book Antiqua" w:cs="Book Antiqua"/>
          <w:color w:val="000000"/>
        </w:rPr>
        <w:t xml:space="preserve"> complicated with GS caused by novel compound heterozygous variants of </w:t>
      </w:r>
      <w:r w:rsidRPr="000B3360">
        <w:rPr>
          <w:rFonts w:ascii="Book Antiqua" w:eastAsia="Book Antiqua" w:hAnsi="Book Antiqua" w:cs="Book Antiqua"/>
          <w:i/>
          <w:iCs/>
          <w:color w:val="000000"/>
        </w:rPr>
        <w:t>SLC12A3</w:t>
      </w:r>
      <w:r w:rsidRPr="000B3360">
        <w:rPr>
          <w:rFonts w:ascii="Book Antiqua" w:eastAsia="Book Antiqua" w:hAnsi="Book Antiqua" w:cs="Book Antiqua"/>
          <w:color w:val="000000"/>
        </w:rPr>
        <w:t>.</w:t>
      </w:r>
    </w:p>
    <w:p w14:paraId="7E1C3B77" w14:textId="77777777" w:rsidR="00A77B3E" w:rsidRPr="000B3360" w:rsidRDefault="00A77B3E" w:rsidP="00CA6D9F">
      <w:pPr>
        <w:spacing w:line="360" w:lineRule="auto"/>
        <w:jc w:val="both"/>
        <w:rPr>
          <w:rFonts w:ascii="Book Antiqua" w:hAnsi="Book Antiqua"/>
        </w:rPr>
      </w:pPr>
    </w:p>
    <w:p w14:paraId="1C2231EE"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caps/>
          <w:color w:val="000000"/>
          <w:u w:val="single"/>
        </w:rPr>
        <w:t>CASE PRESENTATION</w:t>
      </w:r>
    </w:p>
    <w:p w14:paraId="66E227F0"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i/>
          <w:color w:val="000000"/>
        </w:rPr>
        <w:t>Chief complaints</w:t>
      </w:r>
    </w:p>
    <w:p w14:paraId="0D231009" w14:textId="7FB89766"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shd w:val="clear" w:color="auto" w:fill="FFFFFF"/>
        </w:rPr>
        <w:lastRenderedPageBreak/>
        <w:t>A 29-year-old woman was admitted to the Department</w:t>
      </w:r>
      <w:r w:rsidR="00492792" w:rsidRPr="000B3360">
        <w:rPr>
          <w:rFonts w:ascii="Book Antiqua" w:eastAsia="Book Antiqua" w:hAnsi="Book Antiqua" w:cs="Book Antiqua"/>
          <w:color w:val="000000"/>
        </w:rPr>
        <w:t xml:space="preserve"> of Endocrinology</w:t>
      </w:r>
      <w:r w:rsidRPr="000B3360">
        <w:rPr>
          <w:rFonts w:ascii="Book Antiqua" w:eastAsia="Book Antiqua" w:hAnsi="Book Antiqua" w:cs="Book Antiqua"/>
          <w:color w:val="000000"/>
          <w:shd w:val="clear" w:color="auto" w:fill="FFFFFF"/>
        </w:rPr>
        <w:t xml:space="preserve"> with </w:t>
      </w:r>
      <w:r w:rsidR="00E46304" w:rsidRPr="000B3360">
        <w:rPr>
          <w:rFonts w:ascii="Book Antiqua" w:eastAsia="Book Antiqua" w:hAnsi="Book Antiqua" w:cs="Book Antiqua"/>
          <w:color w:val="000000"/>
          <w:shd w:val="clear" w:color="auto" w:fill="FFFFFF"/>
        </w:rPr>
        <w:t xml:space="preserve">a </w:t>
      </w:r>
      <w:r w:rsidRPr="000B3360">
        <w:rPr>
          <w:rFonts w:ascii="Book Antiqua" w:eastAsia="Book Antiqua" w:hAnsi="Book Antiqua" w:cs="Book Antiqua"/>
          <w:color w:val="000000"/>
          <w:shd w:val="clear" w:color="auto" w:fill="FFFFFF"/>
        </w:rPr>
        <w:t xml:space="preserve">complaint of </w:t>
      </w:r>
      <w:r w:rsidRPr="000B3360">
        <w:rPr>
          <w:rFonts w:ascii="Book Antiqua" w:eastAsia="Book Antiqua" w:hAnsi="Book Antiqua" w:cs="Book Antiqua"/>
          <w:color w:val="000000"/>
        </w:rPr>
        <w:t>weakness</w:t>
      </w:r>
      <w:r w:rsidRPr="000B3360">
        <w:rPr>
          <w:rFonts w:ascii="Book Antiqua" w:eastAsia="Book Antiqua" w:hAnsi="Book Antiqua" w:cs="Book Antiqua"/>
          <w:color w:val="000000"/>
          <w:shd w:val="clear" w:color="auto" w:fill="FFFFFF"/>
        </w:rPr>
        <w:t xml:space="preserve"> in</w:t>
      </w:r>
      <w:r w:rsidRPr="000B3360">
        <w:rPr>
          <w:rFonts w:ascii="Book Antiqua" w:eastAsia="Book Antiqua" w:hAnsi="Book Antiqua" w:cs="Book Antiqua"/>
          <w:color w:val="000000"/>
        </w:rPr>
        <w:t xml:space="preserve"> her lower limb</w:t>
      </w:r>
      <w:r w:rsidR="00E46304" w:rsidRPr="000B3360">
        <w:rPr>
          <w:rFonts w:ascii="Book Antiqua" w:eastAsia="Book Antiqua" w:hAnsi="Book Antiqua" w:cs="Book Antiqua"/>
          <w:color w:val="000000"/>
        </w:rPr>
        <w:t>s</w:t>
      </w:r>
      <w:r w:rsidRPr="000B3360">
        <w:rPr>
          <w:rFonts w:ascii="Book Antiqua" w:eastAsia="Book Antiqua" w:hAnsi="Book Antiqua" w:cs="Book Antiqua"/>
          <w:color w:val="000000"/>
          <w:shd w:val="clear" w:color="auto" w:fill="FFFFFF"/>
        </w:rPr>
        <w:t xml:space="preserve"> for </w:t>
      </w:r>
      <w:r w:rsidRPr="000B3360">
        <w:rPr>
          <w:rFonts w:ascii="Book Antiqua" w:eastAsia="Book Antiqua" w:hAnsi="Book Antiqua" w:cs="Book Antiqua"/>
          <w:color w:val="000000"/>
        </w:rPr>
        <w:t>4 mo.</w:t>
      </w:r>
    </w:p>
    <w:p w14:paraId="152AE7B0" w14:textId="77777777" w:rsidR="00A77B3E" w:rsidRPr="000B3360" w:rsidRDefault="00A77B3E" w:rsidP="00CA6D9F">
      <w:pPr>
        <w:spacing w:line="360" w:lineRule="auto"/>
        <w:jc w:val="both"/>
        <w:rPr>
          <w:rFonts w:ascii="Book Antiqua" w:hAnsi="Book Antiqua"/>
        </w:rPr>
      </w:pPr>
    </w:p>
    <w:p w14:paraId="2A070A2E"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i/>
          <w:color w:val="000000"/>
        </w:rPr>
        <w:t>History of present illness</w:t>
      </w:r>
    </w:p>
    <w:p w14:paraId="6B1E45E0"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The patient had a nearly 1-year history of bilateral lower limb weakness. In </w:t>
      </w:r>
      <w:r w:rsidRPr="000B3360">
        <w:rPr>
          <w:rFonts w:ascii="Book Antiqua" w:eastAsia="Book Antiqua" w:hAnsi="Book Antiqua" w:cs="Book Antiqua"/>
          <w:color w:val="000000"/>
          <w:shd w:val="clear" w:color="auto" w:fill="FFFFFF"/>
        </w:rPr>
        <w:t xml:space="preserve">August 2020, she was diagnosed with hyperthyroidism and </w:t>
      </w:r>
      <w:r w:rsidRPr="000B3360">
        <w:rPr>
          <w:rFonts w:ascii="Book Antiqua" w:eastAsia="Book Antiqua" w:hAnsi="Book Antiqua" w:cs="Book Antiqua"/>
          <w:color w:val="000000"/>
        </w:rPr>
        <w:t xml:space="preserve">THPP at a local hospital. The symptoms of her lower limb weakness were not relieved after 4 mo of antithyroid drug treatment and intermittent potassium supplementation. She presented to our hospital for evaluation in </w:t>
      </w:r>
      <w:r w:rsidRPr="000B3360">
        <w:rPr>
          <w:rFonts w:ascii="Book Antiqua" w:eastAsia="Book Antiqua" w:hAnsi="Book Antiqua" w:cs="Book Antiqua"/>
          <w:color w:val="000000"/>
          <w:shd w:val="clear" w:color="auto" w:fill="FFFFFF"/>
        </w:rPr>
        <w:t>December 2020</w:t>
      </w:r>
      <w:r w:rsidRPr="000B3360">
        <w:rPr>
          <w:rFonts w:ascii="Book Antiqua" w:eastAsia="Book Antiqua" w:hAnsi="Book Antiqua" w:cs="Book Antiqua"/>
          <w:color w:val="000000"/>
        </w:rPr>
        <w:t>.</w:t>
      </w:r>
    </w:p>
    <w:p w14:paraId="036B80F0" w14:textId="77777777" w:rsidR="00A77B3E" w:rsidRPr="000B3360" w:rsidRDefault="00A77B3E" w:rsidP="00CA6D9F">
      <w:pPr>
        <w:spacing w:line="360" w:lineRule="auto"/>
        <w:jc w:val="both"/>
        <w:rPr>
          <w:rFonts w:ascii="Book Antiqua" w:hAnsi="Book Antiqua"/>
        </w:rPr>
      </w:pPr>
    </w:p>
    <w:p w14:paraId="4E3E33A7"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i/>
          <w:color w:val="000000"/>
        </w:rPr>
        <w:t>History of past illness</w:t>
      </w:r>
    </w:p>
    <w:p w14:paraId="43507DE9" w14:textId="67952BB6" w:rsidR="00A77B3E" w:rsidRPr="000B3360" w:rsidRDefault="00E46304" w:rsidP="00CA6D9F">
      <w:pPr>
        <w:spacing w:line="360" w:lineRule="auto"/>
        <w:jc w:val="both"/>
        <w:rPr>
          <w:rFonts w:ascii="Book Antiqua" w:hAnsi="Book Antiqua"/>
        </w:rPr>
      </w:pPr>
      <w:r w:rsidRPr="000B3360">
        <w:rPr>
          <w:rFonts w:ascii="Book Antiqua" w:eastAsia="Book Antiqua" w:hAnsi="Book Antiqua" w:cs="Book Antiqua"/>
          <w:color w:val="000000"/>
        </w:rPr>
        <w:t xml:space="preserve">The patient </w:t>
      </w:r>
      <w:r w:rsidR="009B60C3" w:rsidRPr="000B3360">
        <w:rPr>
          <w:rFonts w:ascii="Book Antiqua" w:eastAsia="Book Antiqua" w:hAnsi="Book Antiqua" w:cs="Book Antiqua"/>
          <w:color w:val="000000"/>
        </w:rPr>
        <w:t>had no history of long-term vomiting or diarrhea and did not use diuretics, laxatives, or glycyrrhizin.</w:t>
      </w:r>
    </w:p>
    <w:p w14:paraId="01FB313C" w14:textId="77777777" w:rsidR="00A77B3E" w:rsidRPr="000B3360" w:rsidRDefault="00A77B3E" w:rsidP="00CA6D9F">
      <w:pPr>
        <w:spacing w:line="360" w:lineRule="auto"/>
        <w:jc w:val="both"/>
        <w:rPr>
          <w:rFonts w:ascii="Book Antiqua" w:hAnsi="Book Antiqua"/>
        </w:rPr>
      </w:pPr>
    </w:p>
    <w:p w14:paraId="1C9C7941"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i/>
          <w:color w:val="000000"/>
        </w:rPr>
        <w:t>Personal and family history</w:t>
      </w:r>
    </w:p>
    <w:p w14:paraId="39E47DC5"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No history of genetic diseases in the family was reported.</w:t>
      </w:r>
    </w:p>
    <w:p w14:paraId="0DB9C02B" w14:textId="77777777" w:rsidR="00A77B3E" w:rsidRPr="000B3360" w:rsidRDefault="00A77B3E" w:rsidP="00CA6D9F">
      <w:pPr>
        <w:spacing w:line="360" w:lineRule="auto"/>
        <w:jc w:val="both"/>
        <w:rPr>
          <w:rFonts w:ascii="Book Antiqua" w:hAnsi="Book Antiqua"/>
        </w:rPr>
      </w:pPr>
    </w:p>
    <w:p w14:paraId="2A0DDDAE"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i/>
          <w:color w:val="000000"/>
        </w:rPr>
        <w:t>Physical examination</w:t>
      </w:r>
    </w:p>
    <w:p w14:paraId="70FE2E8E" w14:textId="08634BE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The patient was 163.0 cm tall and weighed 49.0 kg (body mass index 18.4 kg/m</w:t>
      </w:r>
      <w:r w:rsidRPr="000B3360">
        <w:rPr>
          <w:rFonts w:ascii="Book Antiqua" w:eastAsia="Book Antiqua" w:hAnsi="Book Antiqua" w:cs="Book Antiqua"/>
          <w:color w:val="000000"/>
          <w:vertAlign w:val="superscript"/>
        </w:rPr>
        <w:t>2</w:t>
      </w:r>
      <w:r w:rsidRPr="000B3360">
        <w:rPr>
          <w:rFonts w:ascii="Book Antiqua" w:eastAsia="Book Antiqua" w:hAnsi="Book Antiqua" w:cs="Book Antiqua"/>
          <w:color w:val="000000"/>
        </w:rPr>
        <w:t xml:space="preserve">). </w:t>
      </w:r>
      <w:r w:rsidR="00E46304" w:rsidRPr="000B3360">
        <w:rPr>
          <w:rFonts w:ascii="Book Antiqua" w:eastAsia="Book Antiqua" w:hAnsi="Book Antiqua" w:cs="Book Antiqua"/>
          <w:color w:val="000000"/>
        </w:rPr>
        <w:t>She</w:t>
      </w:r>
      <w:r w:rsidRPr="000B3360">
        <w:rPr>
          <w:rFonts w:ascii="Book Antiqua" w:eastAsia="Book Antiqua" w:hAnsi="Book Antiqua" w:cs="Book Antiqua"/>
          <w:color w:val="000000"/>
        </w:rPr>
        <w:t xml:space="preserve"> </w:t>
      </w:r>
      <w:r w:rsidR="00E46304" w:rsidRPr="000B3360">
        <w:rPr>
          <w:rFonts w:ascii="Book Antiqua" w:eastAsia="Book Antiqua" w:hAnsi="Book Antiqua" w:cs="Book Antiqua"/>
          <w:color w:val="000000"/>
        </w:rPr>
        <w:t>had</w:t>
      </w:r>
      <w:r w:rsidRPr="000B3360">
        <w:rPr>
          <w:rFonts w:ascii="Book Antiqua" w:eastAsia="Book Antiqua" w:hAnsi="Book Antiqua" w:cs="Book Antiqua"/>
          <w:color w:val="000000"/>
        </w:rPr>
        <w:t xml:space="preserve"> grade I thyroid gland enlargement, and the muscle strength in her lower limbs was grade IV</w:t>
      </w:r>
      <w:r w:rsidRPr="000B3360">
        <w:rPr>
          <w:rFonts w:ascii="Book Antiqua" w:eastAsia="Book Antiqua" w:hAnsi="Book Antiqua" w:cs="Book Antiqua"/>
          <w:color w:val="000000"/>
          <w:vertAlign w:val="superscript"/>
        </w:rPr>
        <w:t>[4]</w:t>
      </w:r>
      <w:r w:rsidRPr="000B3360">
        <w:rPr>
          <w:rFonts w:ascii="Book Antiqua" w:eastAsia="Book Antiqua" w:hAnsi="Book Antiqua" w:cs="Book Antiqua"/>
          <w:color w:val="000000"/>
        </w:rPr>
        <w:t xml:space="preserve">. The limb muscle tone was normal and vital signs were as follows: </w:t>
      </w:r>
      <w:r w:rsidR="00492792" w:rsidRPr="000B3360">
        <w:rPr>
          <w:rFonts w:ascii="Book Antiqua" w:eastAsia="Book Antiqua" w:hAnsi="Book Antiqua" w:cs="Book Antiqua"/>
          <w:color w:val="000000"/>
        </w:rPr>
        <w:t>B</w:t>
      </w:r>
      <w:r w:rsidRPr="000B3360">
        <w:rPr>
          <w:rFonts w:ascii="Book Antiqua" w:eastAsia="Book Antiqua" w:hAnsi="Book Antiqua" w:cs="Book Antiqua"/>
          <w:color w:val="000000"/>
        </w:rPr>
        <w:t>ody temperature, 36.4 °C; pulse rate, 102 beats per minute; respiratory rate, 18 breaths per minute; and blood pressure, 112/78 mmHg.</w:t>
      </w:r>
    </w:p>
    <w:p w14:paraId="624CEF53" w14:textId="77777777" w:rsidR="00A77B3E" w:rsidRPr="000B3360" w:rsidRDefault="00A77B3E" w:rsidP="00CA6D9F">
      <w:pPr>
        <w:spacing w:line="360" w:lineRule="auto"/>
        <w:jc w:val="both"/>
        <w:rPr>
          <w:rFonts w:ascii="Book Antiqua" w:hAnsi="Book Antiqua"/>
        </w:rPr>
      </w:pPr>
    </w:p>
    <w:p w14:paraId="3C86392A"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i/>
          <w:color w:val="000000"/>
        </w:rPr>
        <w:t>Laboratory examinations</w:t>
      </w:r>
    </w:p>
    <w:p w14:paraId="1D162059" w14:textId="46559502" w:rsidR="00492792"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The biochemical parameters of the patient are shown in Table 1. Biochemical tests revealed hyperthyroidism </w:t>
      </w:r>
      <w:r w:rsidR="00492792" w:rsidRPr="000B3360">
        <w:rPr>
          <w:rFonts w:ascii="Book Antiqua" w:eastAsia="Book Antiqua" w:hAnsi="Book Antiqua" w:cs="Book Antiqua"/>
          <w:color w:val="000000"/>
        </w:rPr>
        <w:t>[</w:t>
      </w:r>
      <w:r w:rsidRPr="000B3360">
        <w:rPr>
          <w:rFonts w:ascii="Book Antiqua" w:eastAsia="Book Antiqua" w:hAnsi="Book Antiqua" w:cs="Book Antiqua"/>
          <w:color w:val="000000"/>
        </w:rPr>
        <w:t>thyroid stimulating hormone &lt;</w:t>
      </w:r>
      <w:r w:rsidR="00492792"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0.005 μU/mL, free</w:t>
      </w:r>
      <w:r w:rsidR="00492792"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 xml:space="preserve">triiodothyronine (FT3) 13.46 pmol/L, </w:t>
      </w:r>
      <w:r w:rsidR="00E46304" w:rsidRPr="000B3360">
        <w:rPr>
          <w:rFonts w:ascii="Book Antiqua" w:eastAsia="Book Antiqua" w:hAnsi="Book Antiqua" w:cs="Book Antiqua"/>
          <w:color w:val="000000"/>
        </w:rPr>
        <w:t xml:space="preserve">and </w:t>
      </w:r>
      <w:r w:rsidRPr="000B3360">
        <w:rPr>
          <w:rFonts w:ascii="Book Antiqua" w:eastAsia="Book Antiqua" w:hAnsi="Book Antiqua" w:cs="Book Antiqua"/>
          <w:color w:val="000000"/>
        </w:rPr>
        <w:t>FT4 37.15 pmol/L</w:t>
      </w:r>
      <w:r w:rsidR="00492792" w:rsidRPr="000B3360">
        <w:rPr>
          <w:rFonts w:ascii="Book Antiqua" w:eastAsia="Book Antiqua" w:hAnsi="Book Antiqua" w:cs="Book Antiqua"/>
          <w:color w:val="000000"/>
        </w:rPr>
        <w:t>]</w:t>
      </w:r>
      <w:r w:rsidRPr="000B3360">
        <w:rPr>
          <w:rFonts w:ascii="Book Antiqua" w:eastAsia="Book Antiqua" w:hAnsi="Book Antiqua" w:cs="Book Antiqua"/>
          <w:color w:val="000000"/>
        </w:rPr>
        <w:t xml:space="preserve">, and hypokalemia (serum </w:t>
      </w:r>
      <w:r w:rsidRPr="000B3360">
        <w:rPr>
          <w:rFonts w:ascii="Book Antiqua" w:eastAsia="Book Antiqua" w:hAnsi="Book Antiqua" w:cs="Book Antiqua"/>
          <w:color w:val="000000"/>
        </w:rPr>
        <w:lastRenderedPageBreak/>
        <w:t xml:space="preserve">potassium, 3.09 mmol/L). In addition, the patient had hypomagnesemia, </w:t>
      </w:r>
      <w:r w:rsidRPr="000B3360">
        <w:rPr>
          <w:rFonts w:ascii="Book Antiqua" w:eastAsia="Book Antiqua" w:hAnsi="Book Antiqua" w:cs="Book Antiqua"/>
          <w:color w:val="000000"/>
          <w:shd w:val="clear" w:color="auto" w:fill="FFFFFF"/>
        </w:rPr>
        <w:t>hypocalciuria, metabolic alkalosis</w:t>
      </w:r>
      <w:r w:rsidRPr="000B3360">
        <w:rPr>
          <w:rFonts w:ascii="Book Antiqua" w:eastAsia="Book Antiqua" w:hAnsi="Book Antiqua" w:cs="Book Antiqua"/>
          <w:color w:val="000000"/>
        </w:rPr>
        <w:t>, and hyperreninemic hyperaldosteronism.</w:t>
      </w:r>
    </w:p>
    <w:p w14:paraId="6D765D31" w14:textId="3CD66F18" w:rsidR="00A77B3E" w:rsidRPr="000B3360" w:rsidRDefault="009B60C3" w:rsidP="00CA6D9F">
      <w:pPr>
        <w:spacing w:line="360" w:lineRule="auto"/>
        <w:ind w:firstLineChars="100" w:firstLine="240"/>
        <w:jc w:val="both"/>
        <w:rPr>
          <w:rFonts w:ascii="Book Antiqua" w:hAnsi="Book Antiqua"/>
        </w:rPr>
      </w:pPr>
      <w:r w:rsidRPr="000B3360">
        <w:rPr>
          <w:rFonts w:ascii="Book Antiqua" w:eastAsia="Book Antiqua" w:hAnsi="Book Antiqua" w:cs="Book Antiqua"/>
          <w:color w:val="000000"/>
        </w:rPr>
        <w:t xml:space="preserve">Based on the above inspection results, we suspected that the patient did not have THPP but GS or Bartter </w:t>
      </w:r>
      <w:r w:rsidRPr="000B3360">
        <w:rPr>
          <w:rFonts w:ascii="Book Antiqua" w:eastAsia="Book Antiqua" w:hAnsi="Book Antiqua" w:cs="Book Antiqua"/>
          <w:color w:val="000000"/>
          <w:shd w:val="clear" w:color="auto" w:fill="FFFFFF"/>
        </w:rPr>
        <w:t>syndrome (BS)</w:t>
      </w:r>
      <w:r w:rsidRPr="000B3360">
        <w:rPr>
          <w:rFonts w:ascii="Book Antiqua" w:eastAsia="Book Antiqua" w:hAnsi="Book Antiqua" w:cs="Book Antiqua"/>
          <w:color w:val="000000"/>
        </w:rPr>
        <w:t>. Because patients with GS or type III BS also have hypomagnesemia and hypocalciuria, and</w:t>
      </w:r>
      <w:r w:rsidRPr="000B3360">
        <w:rPr>
          <w:rFonts w:ascii="Book Antiqua" w:eastAsia="Book Antiqua" w:hAnsi="Book Antiqua" w:cs="Book Antiqua"/>
          <w:color w:val="000000"/>
          <w:shd w:val="clear" w:color="auto" w:fill="FFFFFF"/>
        </w:rPr>
        <w:t xml:space="preserve"> a minority of GS patients harbor mutations in the</w:t>
      </w:r>
      <w:r w:rsidR="00492792"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i/>
          <w:iCs/>
          <w:color w:val="000000"/>
          <w:shd w:val="clear" w:color="auto" w:fill="FFFFFF"/>
        </w:rPr>
        <w:t>CLCNKB</w:t>
      </w:r>
      <w:r w:rsidR="00492792"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shd w:val="clear" w:color="auto" w:fill="FFFFFF"/>
        </w:rPr>
        <w:t>gene</w:t>
      </w:r>
      <w:r w:rsidRPr="000B3360">
        <w:rPr>
          <w:rFonts w:ascii="Book Antiqua" w:eastAsia="Book Antiqua" w:hAnsi="Book Antiqua" w:cs="Book Antiqua"/>
          <w:color w:val="000000"/>
          <w:shd w:val="clear" w:color="auto" w:fill="FFFFFF"/>
          <w:vertAlign w:val="superscript"/>
        </w:rPr>
        <w:t>[5]</w:t>
      </w:r>
      <w:r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shd w:val="clear" w:color="auto" w:fill="FFFFFF"/>
        </w:rPr>
        <w:t>further genetic counseling is needed to distinguish between these two possibilities.</w:t>
      </w:r>
    </w:p>
    <w:p w14:paraId="70E208CC" w14:textId="77777777" w:rsidR="00A77B3E" w:rsidRPr="000B3360" w:rsidRDefault="00A77B3E" w:rsidP="00CA6D9F">
      <w:pPr>
        <w:spacing w:line="360" w:lineRule="auto"/>
        <w:jc w:val="both"/>
        <w:rPr>
          <w:rFonts w:ascii="Book Antiqua" w:hAnsi="Book Antiqua"/>
        </w:rPr>
      </w:pPr>
    </w:p>
    <w:p w14:paraId="2A787ECF"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i/>
          <w:color w:val="000000"/>
        </w:rPr>
        <w:t>Imaging examinations</w:t>
      </w:r>
    </w:p>
    <w:p w14:paraId="6BA5990C"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shd w:val="clear" w:color="auto" w:fill="FFFFFF"/>
        </w:rPr>
        <w:t>Thyroid ultrasound showed diffuse thyromegaly with uniform echopattern. No abnormality was seen on X-ray chest film, abdominal ultrasound, and adrenal ultrasound.</w:t>
      </w:r>
    </w:p>
    <w:p w14:paraId="4AED56FF" w14:textId="77777777" w:rsidR="00A77B3E" w:rsidRPr="000B3360" w:rsidRDefault="00A77B3E" w:rsidP="00CA6D9F">
      <w:pPr>
        <w:spacing w:line="360" w:lineRule="auto"/>
        <w:jc w:val="both"/>
        <w:rPr>
          <w:rFonts w:ascii="Book Antiqua" w:hAnsi="Book Antiqua"/>
        </w:rPr>
      </w:pPr>
    </w:p>
    <w:p w14:paraId="0E2F555F"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bCs/>
          <w:i/>
          <w:iCs/>
          <w:color w:val="000000"/>
        </w:rPr>
        <w:t>Targeted sequencing</w:t>
      </w:r>
    </w:p>
    <w:p w14:paraId="48EAE418"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Whole blood samples were collected from the proband and her parents, son, and daughter. The patient had one elder brother, but we were unable to obtain a blood sample from him. We further examined for mutations in six genes (</w:t>
      </w:r>
      <w:r w:rsidRPr="000B3360">
        <w:rPr>
          <w:rFonts w:ascii="Book Antiqua" w:eastAsia="Book Antiqua" w:hAnsi="Book Antiqua" w:cs="Book Antiqua"/>
          <w:i/>
          <w:iCs/>
          <w:color w:val="000000"/>
        </w:rPr>
        <w:t>SLC12A3</w:t>
      </w:r>
      <w:r w:rsidRPr="000B3360">
        <w:rPr>
          <w:rFonts w:ascii="Book Antiqua" w:eastAsia="Book Antiqua" w:hAnsi="Book Antiqua" w:cs="Book Antiqua"/>
          <w:color w:val="000000"/>
        </w:rPr>
        <w:t xml:space="preserve">, </w:t>
      </w:r>
      <w:r w:rsidRPr="000B3360">
        <w:rPr>
          <w:rFonts w:ascii="Book Antiqua" w:eastAsia="Book Antiqua" w:hAnsi="Book Antiqua" w:cs="Book Antiqua"/>
          <w:i/>
          <w:iCs/>
          <w:color w:val="000000"/>
        </w:rPr>
        <w:t>SLC12A1</w:t>
      </w:r>
      <w:r w:rsidRPr="000B3360">
        <w:rPr>
          <w:rFonts w:ascii="Book Antiqua" w:eastAsia="Book Antiqua" w:hAnsi="Book Antiqua" w:cs="Book Antiqua"/>
          <w:color w:val="000000"/>
        </w:rPr>
        <w:t xml:space="preserve">, </w:t>
      </w:r>
      <w:r w:rsidRPr="000B3360">
        <w:rPr>
          <w:rFonts w:ascii="Book Antiqua" w:eastAsia="Book Antiqua" w:hAnsi="Book Antiqua" w:cs="Book Antiqua"/>
          <w:i/>
          <w:iCs/>
          <w:color w:val="000000"/>
        </w:rPr>
        <w:t>KCNJ1</w:t>
      </w:r>
      <w:r w:rsidRPr="000B3360">
        <w:rPr>
          <w:rFonts w:ascii="Book Antiqua" w:eastAsia="Book Antiqua" w:hAnsi="Book Antiqua" w:cs="Book Antiqua"/>
          <w:color w:val="000000"/>
        </w:rPr>
        <w:t xml:space="preserve">, </w:t>
      </w:r>
      <w:r w:rsidRPr="000B3360">
        <w:rPr>
          <w:rFonts w:ascii="Book Antiqua" w:eastAsia="Book Antiqua" w:hAnsi="Book Antiqua" w:cs="Book Antiqua"/>
          <w:i/>
          <w:iCs/>
          <w:color w:val="000000"/>
        </w:rPr>
        <w:t>CLCNKA</w:t>
      </w:r>
      <w:r w:rsidRPr="000B3360">
        <w:rPr>
          <w:rFonts w:ascii="Book Antiqua" w:eastAsia="Book Antiqua" w:hAnsi="Book Antiqua" w:cs="Book Antiqua"/>
          <w:color w:val="000000"/>
        </w:rPr>
        <w:t xml:space="preserve">, </w:t>
      </w:r>
      <w:r w:rsidRPr="000B3360">
        <w:rPr>
          <w:rFonts w:ascii="Book Antiqua" w:eastAsia="Book Antiqua" w:hAnsi="Book Antiqua" w:cs="Book Antiqua"/>
          <w:i/>
          <w:iCs/>
          <w:color w:val="000000"/>
        </w:rPr>
        <w:t>CLCNKB</w:t>
      </w:r>
      <w:r w:rsidRPr="000B3360">
        <w:rPr>
          <w:rFonts w:ascii="Book Antiqua" w:eastAsia="Book Antiqua" w:hAnsi="Book Antiqua" w:cs="Book Antiqua"/>
          <w:color w:val="000000"/>
        </w:rPr>
        <w:t xml:space="preserve">, and </w:t>
      </w:r>
      <w:r w:rsidRPr="000B3360">
        <w:rPr>
          <w:rFonts w:ascii="Book Antiqua" w:eastAsia="Book Antiqua" w:hAnsi="Book Antiqua" w:cs="Book Antiqua"/>
          <w:i/>
          <w:iCs/>
          <w:color w:val="000000"/>
        </w:rPr>
        <w:t>BSND</w:t>
      </w:r>
      <w:r w:rsidRPr="000B3360">
        <w:rPr>
          <w:rFonts w:ascii="Book Antiqua" w:eastAsia="Book Antiqua" w:hAnsi="Book Antiqua" w:cs="Book Antiqua"/>
          <w:color w:val="000000"/>
        </w:rPr>
        <w:t>) known to be associated with GS and BS using whole exome sequencing, and the suspected variations were verified by Sanger sequencing. Gene sequencing for all</w:t>
      </w:r>
      <w:r w:rsidRPr="000B3360">
        <w:rPr>
          <w:rFonts w:ascii="Book Antiqua" w:eastAsia="Book Antiqua" w:hAnsi="Book Antiqua" w:cs="Book Antiqua"/>
          <w:color w:val="000000"/>
          <w:shd w:val="clear" w:color="auto" w:fill="FFFFFF"/>
        </w:rPr>
        <w:t xml:space="preserve"> samples was performed at</w:t>
      </w:r>
      <w:r w:rsidRPr="000B3360">
        <w:rPr>
          <w:rFonts w:ascii="Book Antiqua" w:eastAsia="Book Antiqua" w:hAnsi="Book Antiqua" w:cs="Book Antiqua"/>
          <w:color w:val="000000"/>
        </w:rPr>
        <w:t xml:space="preserve"> KingMed Diagnostics (Guangzhou, China).</w:t>
      </w:r>
    </w:p>
    <w:p w14:paraId="763D4A9A" w14:textId="77777777" w:rsidR="00A77B3E" w:rsidRPr="000B3360" w:rsidRDefault="00A77B3E" w:rsidP="00CA6D9F">
      <w:pPr>
        <w:spacing w:line="360" w:lineRule="auto"/>
        <w:jc w:val="both"/>
        <w:rPr>
          <w:rFonts w:ascii="Book Antiqua" w:hAnsi="Book Antiqua"/>
        </w:rPr>
      </w:pPr>
    </w:p>
    <w:p w14:paraId="2863E6A4"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bCs/>
          <w:i/>
          <w:iCs/>
          <w:color w:val="000000"/>
        </w:rPr>
        <w:t>Molecular structural analysis</w:t>
      </w:r>
    </w:p>
    <w:p w14:paraId="1B93DC40" w14:textId="30F4C280"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To evaluate the effects of the three mutations in </w:t>
      </w:r>
      <w:r w:rsidRPr="000B3360">
        <w:rPr>
          <w:rFonts w:ascii="Book Antiqua" w:eastAsia="Book Antiqua" w:hAnsi="Book Antiqua" w:cs="Book Antiqua"/>
          <w:i/>
          <w:iCs/>
          <w:color w:val="000000"/>
        </w:rPr>
        <w:t>SLC12A3</w:t>
      </w:r>
      <w:r w:rsidRPr="000B3360">
        <w:rPr>
          <w:rFonts w:ascii="Book Antiqua" w:eastAsia="Book Antiqua" w:hAnsi="Book Antiqua" w:cs="Book Antiqua"/>
          <w:color w:val="000000"/>
        </w:rPr>
        <w:t>, protein molecular modeling was performed using SWISS-MODEL (https://swissmodel.expasy.org/) based on a template from the AlphaFold Protein Structure Database (</w:t>
      </w:r>
      <w:r w:rsidR="00D272B4" w:rsidRPr="000B3360">
        <w:rPr>
          <w:rFonts w:ascii="Book Antiqua" w:eastAsia="Book Antiqua" w:hAnsi="Book Antiqua" w:cs="Book Antiqua"/>
          <w:color w:val="000000"/>
          <w:u w:color="0000FF"/>
        </w:rPr>
        <w:t>https://alphafold.ebi.ac.uk/</w:t>
      </w:r>
      <w:r w:rsidRPr="000B3360">
        <w:rPr>
          <w:rFonts w:ascii="Book Antiqua" w:eastAsia="Book Antiqua" w:hAnsi="Book Antiqua" w:cs="Book Antiqua"/>
          <w:color w:val="000000"/>
        </w:rPr>
        <w:t>)</w:t>
      </w:r>
      <w:r w:rsidRPr="000B3360">
        <w:rPr>
          <w:rFonts w:ascii="Book Antiqua" w:eastAsia="Book Antiqua" w:hAnsi="Book Antiqua" w:cs="Book Antiqua"/>
          <w:color w:val="000000"/>
          <w:vertAlign w:val="superscript"/>
        </w:rPr>
        <w:t>[</w:t>
      </w:r>
      <w:r w:rsidR="00997D01" w:rsidRPr="000B3360">
        <w:rPr>
          <w:rFonts w:ascii="Book Antiqua" w:eastAsia="Book Antiqua" w:hAnsi="Book Antiqua" w:cs="Book Antiqua"/>
          <w:color w:val="000000"/>
          <w:vertAlign w:val="superscript"/>
        </w:rPr>
        <w:t>6,</w:t>
      </w:r>
      <w:r w:rsidRPr="000B3360">
        <w:rPr>
          <w:rFonts w:ascii="Book Antiqua" w:eastAsia="Book Antiqua" w:hAnsi="Book Antiqua" w:cs="Book Antiqua"/>
          <w:color w:val="000000"/>
          <w:vertAlign w:val="superscript"/>
        </w:rPr>
        <w:t>7]</w:t>
      </w:r>
      <w:r w:rsidRPr="000B3360">
        <w:rPr>
          <w:rFonts w:ascii="Book Antiqua" w:eastAsia="Book Antiqua" w:hAnsi="Book Antiqua" w:cs="Book Antiqua"/>
          <w:color w:val="000000"/>
        </w:rPr>
        <w:t xml:space="preserve">. PyMOL 1.7 was used for visualization and analysis of the </w:t>
      </w:r>
      <w:r w:rsidR="00997D01" w:rsidRPr="000B3360">
        <w:rPr>
          <w:rFonts w:ascii="Book Antiqua" w:eastAsia="Book Antiqua" w:hAnsi="Book Antiqua" w:cs="Book Antiqua"/>
          <w:color w:val="000000"/>
        </w:rPr>
        <w:t>three-dimensional</w:t>
      </w:r>
      <w:r w:rsidRPr="000B3360">
        <w:rPr>
          <w:rFonts w:ascii="Book Antiqua" w:eastAsia="Book Antiqua" w:hAnsi="Book Antiqua" w:cs="Book Antiqua"/>
          <w:color w:val="000000"/>
        </w:rPr>
        <w:t xml:space="preserve"> protein structure. In addition, conservation analysis between </w:t>
      </w:r>
      <w:r w:rsidRPr="000B3360">
        <w:rPr>
          <w:rFonts w:ascii="Book Antiqua" w:eastAsia="Book Antiqua" w:hAnsi="Book Antiqua" w:cs="Book Antiqua"/>
          <w:color w:val="000000"/>
        </w:rPr>
        <w:lastRenderedPageBreak/>
        <w:t>species of the two missense mutations, T163M and R871H, was also implemented using ClustalW</w:t>
      </w:r>
      <w:r w:rsidRPr="000B3360">
        <w:rPr>
          <w:rFonts w:ascii="Book Antiqua" w:eastAsia="Book Antiqua" w:hAnsi="Book Antiqua" w:cs="Book Antiqua"/>
          <w:color w:val="000000"/>
          <w:vertAlign w:val="superscript"/>
        </w:rPr>
        <w:t>[8]</w:t>
      </w:r>
      <w:r w:rsidRPr="000B3360">
        <w:rPr>
          <w:rFonts w:ascii="Book Antiqua" w:eastAsia="Book Antiqua" w:hAnsi="Book Antiqua" w:cs="Book Antiqua"/>
          <w:color w:val="000000"/>
        </w:rPr>
        <w:t>.</w:t>
      </w:r>
    </w:p>
    <w:p w14:paraId="12753F58" w14:textId="77777777" w:rsidR="00A77B3E" w:rsidRPr="000B3360" w:rsidRDefault="00A77B3E" w:rsidP="00CA6D9F">
      <w:pPr>
        <w:spacing w:line="360" w:lineRule="auto"/>
        <w:jc w:val="both"/>
        <w:rPr>
          <w:rFonts w:ascii="Book Antiqua" w:hAnsi="Book Antiqua"/>
        </w:rPr>
      </w:pPr>
    </w:p>
    <w:p w14:paraId="370BE05F"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bCs/>
          <w:i/>
          <w:iCs/>
          <w:color w:val="000000"/>
        </w:rPr>
        <w:t>Novel genetic findings</w:t>
      </w:r>
    </w:p>
    <w:p w14:paraId="5DAB6856" w14:textId="00B3E0A9"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As shown in Figures 1 and</w:t>
      </w:r>
      <w:r w:rsidRPr="000B3360">
        <w:rPr>
          <w:rFonts w:ascii="Book Antiqua" w:eastAsia="Book Antiqua" w:hAnsi="Book Antiqua" w:cs="Book Antiqua"/>
          <w:b/>
          <w:bCs/>
          <w:color w:val="000000"/>
        </w:rPr>
        <w:t xml:space="preserve"> </w:t>
      </w:r>
      <w:r w:rsidRPr="000B3360">
        <w:rPr>
          <w:rFonts w:ascii="Book Antiqua" w:eastAsia="Book Antiqua" w:hAnsi="Book Antiqua" w:cs="Book Antiqua"/>
          <w:color w:val="000000"/>
        </w:rPr>
        <w:t xml:space="preserve">2, the patient was found to have compound heterozygous mutations in </w:t>
      </w:r>
      <w:r w:rsidRPr="000B3360">
        <w:rPr>
          <w:rFonts w:ascii="Book Antiqua" w:eastAsia="Book Antiqua" w:hAnsi="Book Antiqua" w:cs="Book Antiqua"/>
          <w:i/>
          <w:iCs/>
          <w:color w:val="000000"/>
        </w:rPr>
        <w:t>SLC12A3</w:t>
      </w:r>
      <w:r w:rsidRPr="000B3360">
        <w:rPr>
          <w:rFonts w:ascii="Book Antiqua" w:eastAsia="Book Antiqua" w:hAnsi="Book Antiqua" w:cs="Book Antiqua"/>
          <w:color w:val="000000"/>
        </w:rPr>
        <w:t xml:space="preserve"> </w:t>
      </w:r>
      <w:r w:rsidR="00997D01" w:rsidRPr="000B3360">
        <w:rPr>
          <w:rFonts w:ascii="Book Antiqua" w:eastAsia="Book Antiqua" w:hAnsi="Book Antiqua" w:cs="Book Antiqua"/>
          <w:color w:val="000000"/>
        </w:rPr>
        <w:t>[</w:t>
      </w:r>
      <w:r w:rsidRPr="000B3360">
        <w:rPr>
          <w:rFonts w:ascii="Book Antiqua" w:eastAsia="Book Antiqua" w:hAnsi="Book Antiqua" w:cs="Book Antiqua"/>
          <w:color w:val="000000"/>
        </w:rPr>
        <w:t>c.488C&gt;T (p.Thr163Met) in exon 3, c.2612G&gt;A (p.Arg871His) in exon 22, and c.1171_1178dupGCCACCAT (p.Ile393fs) in exon 9</w:t>
      </w:r>
      <w:r w:rsidR="00997D01" w:rsidRPr="000B3360">
        <w:rPr>
          <w:rFonts w:ascii="Book Antiqua" w:eastAsia="Book Antiqua" w:hAnsi="Book Antiqua" w:cs="Book Antiqua"/>
          <w:color w:val="000000"/>
        </w:rPr>
        <w:t>]</w:t>
      </w:r>
      <w:r w:rsidRPr="000B3360">
        <w:rPr>
          <w:rFonts w:ascii="Book Antiqua" w:eastAsia="Book Antiqua" w:hAnsi="Book Antiqua" w:cs="Book Antiqua"/>
          <w:color w:val="000000"/>
        </w:rPr>
        <w:t>. Her mother carried a heterozygous mutation, p.Ile393fs (Figure 2</w:t>
      </w:r>
      <w:r w:rsidR="00997D01" w:rsidRPr="000B3360">
        <w:rPr>
          <w:rFonts w:ascii="Book Antiqua" w:eastAsia="Book Antiqua" w:hAnsi="Book Antiqua" w:cs="Book Antiqua"/>
          <w:color w:val="000000"/>
        </w:rPr>
        <w:t>B</w:t>
      </w:r>
      <w:r w:rsidRPr="000B3360">
        <w:rPr>
          <w:rFonts w:ascii="Book Antiqua" w:eastAsia="Book Antiqua" w:hAnsi="Book Antiqua" w:cs="Book Antiqua"/>
          <w:color w:val="000000"/>
        </w:rPr>
        <w:t>), and her father carried two heterozygous mutations, p.Thr163Met and p.Arg871His (Figure</w:t>
      </w:r>
      <w:r w:rsidR="00997D01" w:rsidRPr="000B3360">
        <w:rPr>
          <w:rFonts w:ascii="Book Antiqua" w:eastAsia="Book Antiqua" w:hAnsi="Book Antiqua" w:cs="Book Antiqua"/>
          <w:color w:val="000000"/>
        </w:rPr>
        <w:t>s</w:t>
      </w:r>
      <w:r w:rsidRPr="000B3360">
        <w:rPr>
          <w:rFonts w:ascii="Book Antiqua" w:eastAsia="Book Antiqua" w:hAnsi="Book Antiqua" w:cs="Book Antiqua"/>
          <w:color w:val="000000"/>
        </w:rPr>
        <w:t xml:space="preserve"> 2</w:t>
      </w:r>
      <w:r w:rsidR="00997D01" w:rsidRPr="000B3360">
        <w:rPr>
          <w:rFonts w:ascii="Book Antiqua" w:eastAsia="Book Antiqua" w:hAnsi="Book Antiqua" w:cs="Book Antiqua"/>
          <w:color w:val="000000"/>
        </w:rPr>
        <w:t>A</w:t>
      </w:r>
      <w:r w:rsidRPr="000B3360">
        <w:rPr>
          <w:rFonts w:ascii="Book Antiqua" w:eastAsia="Book Antiqua" w:hAnsi="Book Antiqua" w:cs="Book Antiqua"/>
          <w:color w:val="000000"/>
        </w:rPr>
        <w:t xml:space="preserve"> and 2</w:t>
      </w:r>
      <w:r w:rsidR="00997D01" w:rsidRPr="000B3360">
        <w:rPr>
          <w:rFonts w:ascii="Book Antiqua" w:eastAsia="Book Antiqua" w:hAnsi="Book Antiqua" w:cs="Book Antiqua"/>
          <w:color w:val="000000"/>
        </w:rPr>
        <w:t>C</w:t>
      </w:r>
      <w:r w:rsidRPr="000B3360">
        <w:rPr>
          <w:rFonts w:ascii="Book Antiqua" w:eastAsia="Book Antiqua" w:hAnsi="Book Antiqua" w:cs="Book Antiqua"/>
          <w:color w:val="000000"/>
        </w:rPr>
        <w:t>). Both p.Thr163Met and p.Arg871His missense mutations were inherited from her father, while the p.Ile393fs frameshift mutation was from her mother. These three mutations were passed on to the children. The variants c.488C&gt;T and c.2612G&gt;A have been described in the literature</w:t>
      </w:r>
      <w:r w:rsidRPr="000B3360">
        <w:rPr>
          <w:rFonts w:ascii="Book Antiqua" w:eastAsia="Book Antiqua" w:hAnsi="Book Antiqua" w:cs="Book Antiqua"/>
          <w:color w:val="000000"/>
          <w:vertAlign w:val="superscript"/>
        </w:rPr>
        <w:t>[9]</w:t>
      </w:r>
      <w:r w:rsidRPr="000B3360">
        <w:rPr>
          <w:rFonts w:ascii="Book Antiqua" w:eastAsia="Book Antiqua" w:hAnsi="Book Antiqua" w:cs="Book Antiqua"/>
          <w:color w:val="000000"/>
        </w:rPr>
        <w:t>. A new heterozygous frameshift duplication, c.1171_1178dupGCCACCAT, which has not been reported in the literature and databases (dbSNP, Clinvar, ExAC, and 1000 Genomes), was also identified. No variations were detected in the genes related to BS</w:t>
      </w:r>
      <w:r w:rsidRPr="000B3360">
        <w:rPr>
          <w:rFonts w:ascii="Book Antiqua" w:eastAsia="Book Antiqua" w:hAnsi="Book Antiqua" w:cs="Book Antiqua"/>
          <w:color w:val="000000"/>
          <w:shd w:val="clear" w:color="auto" w:fill="FFFFFF"/>
        </w:rPr>
        <w:t xml:space="preserve"> (data not shown)</w:t>
      </w:r>
      <w:r w:rsidRPr="000B3360">
        <w:rPr>
          <w:rFonts w:ascii="Book Antiqua" w:eastAsia="Book Antiqua" w:hAnsi="Book Antiqua" w:cs="Book Antiqua"/>
          <w:color w:val="000000"/>
        </w:rPr>
        <w:t>.</w:t>
      </w:r>
    </w:p>
    <w:p w14:paraId="13CEA48E" w14:textId="77777777" w:rsidR="00A77B3E" w:rsidRPr="000B3360" w:rsidRDefault="00A77B3E" w:rsidP="00CA6D9F">
      <w:pPr>
        <w:spacing w:line="360" w:lineRule="auto"/>
        <w:jc w:val="both"/>
        <w:rPr>
          <w:rFonts w:ascii="Book Antiqua" w:hAnsi="Book Antiqua"/>
        </w:rPr>
      </w:pPr>
    </w:p>
    <w:p w14:paraId="798B91FB"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bCs/>
          <w:i/>
          <w:iCs/>
          <w:color w:val="000000"/>
        </w:rPr>
        <w:t>Effects of the mutations on the protein structure of SLC12A3</w:t>
      </w:r>
    </w:p>
    <w:p w14:paraId="7A6C4570" w14:textId="76A64D00"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The effects of the three mutations on SLC12A3 structure were predicted. As shown in Figure 3, multiple sequence alignments focusing on mutation sites 163 and 871 show that these two loci are highly conserved in various species; thus, the replacements are more likely to cause disease (Figure 3</w:t>
      </w:r>
      <w:r w:rsidR="00997D01" w:rsidRPr="000B3360">
        <w:rPr>
          <w:rFonts w:ascii="Book Antiqua" w:eastAsia="Book Antiqua" w:hAnsi="Book Antiqua" w:cs="Book Antiqua"/>
          <w:color w:val="000000"/>
        </w:rPr>
        <w:t>A</w:t>
      </w:r>
      <w:r w:rsidRPr="000B3360">
        <w:rPr>
          <w:rFonts w:ascii="Book Antiqua" w:eastAsia="Book Antiqua" w:hAnsi="Book Antiqua" w:cs="Book Antiqua"/>
          <w:color w:val="000000"/>
        </w:rPr>
        <w:t>). Thr163 and Arg871 are located in two different protein domains (Figure 3</w:t>
      </w:r>
      <w:r w:rsidR="00997D01" w:rsidRPr="000B3360">
        <w:rPr>
          <w:rFonts w:ascii="Book Antiqua" w:eastAsia="Book Antiqua" w:hAnsi="Book Antiqua" w:cs="Book Antiqua"/>
          <w:color w:val="000000"/>
        </w:rPr>
        <w:t>B</w:t>
      </w:r>
      <w:r w:rsidRPr="000B3360">
        <w:rPr>
          <w:rFonts w:ascii="Book Antiqua" w:eastAsia="Book Antiqua" w:hAnsi="Book Antiqua" w:cs="Book Antiqua"/>
          <w:color w:val="000000"/>
        </w:rPr>
        <w:t>). Thr163 resides in an α-helix region and forms two hydrogen bonds with Leu159 and one hydrogen bond with Gly167. When mutated to Met, one of the hydrogen bonds that interacts with Leu159 was destroyed (Figure</w:t>
      </w:r>
      <w:r w:rsidR="00997D01" w:rsidRPr="000B3360">
        <w:rPr>
          <w:rFonts w:ascii="Book Antiqua" w:eastAsia="Book Antiqua" w:hAnsi="Book Antiqua" w:cs="Book Antiqua"/>
          <w:color w:val="000000"/>
        </w:rPr>
        <w:t>s</w:t>
      </w:r>
      <w:r w:rsidRPr="000B3360">
        <w:rPr>
          <w:rFonts w:ascii="Book Antiqua" w:eastAsia="Book Antiqua" w:hAnsi="Book Antiqua" w:cs="Book Antiqua"/>
          <w:color w:val="000000"/>
        </w:rPr>
        <w:t xml:space="preserve"> 3</w:t>
      </w:r>
      <w:r w:rsidR="00997D01" w:rsidRPr="000B3360">
        <w:rPr>
          <w:rFonts w:ascii="Book Antiqua" w:eastAsia="Book Antiqua" w:hAnsi="Book Antiqua" w:cs="Book Antiqua"/>
          <w:color w:val="000000"/>
        </w:rPr>
        <w:t>E</w:t>
      </w:r>
      <w:r w:rsidRPr="000B3360">
        <w:rPr>
          <w:rFonts w:ascii="Book Antiqua" w:eastAsia="Book Antiqua" w:hAnsi="Book Antiqua" w:cs="Book Antiqua"/>
          <w:color w:val="000000"/>
        </w:rPr>
        <w:t xml:space="preserve"> and 3</w:t>
      </w:r>
      <w:r w:rsidR="00997D01" w:rsidRPr="000B3360">
        <w:rPr>
          <w:rFonts w:ascii="Book Antiqua" w:eastAsia="Book Antiqua" w:hAnsi="Book Antiqua" w:cs="Book Antiqua"/>
          <w:color w:val="000000"/>
        </w:rPr>
        <w:t>F</w:t>
      </w:r>
      <w:r w:rsidRPr="000B3360">
        <w:rPr>
          <w:rFonts w:ascii="Book Antiqua" w:eastAsia="Book Antiqua" w:hAnsi="Book Antiqua" w:cs="Book Antiqua"/>
          <w:color w:val="000000"/>
        </w:rPr>
        <w:t xml:space="preserve">). R871H showed a huge change in the hydrogen bond network. Arg871 forms several H-bonds with Ile840, Asp841, Ile842, and Tyr975. When positively charged Arg was replaced by neutral ring-containing His at location 871, the three original H-bond interactions with </w:t>
      </w:r>
      <w:r w:rsidRPr="000B3360">
        <w:rPr>
          <w:rFonts w:ascii="Book Antiqua" w:eastAsia="Book Antiqua" w:hAnsi="Book Antiqua" w:cs="Book Antiqua"/>
          <w:color w:val="000000"/>
        </w:rPr>
        <w:lastRenderedPageBreak/>
        <w:t>Asp841 and Tyr975 were missed, and one new H-bond interaction with Glu901 was generated (Figure</w:t>
      </w:r>
      <w:r w:rsidR="00997D01" w:rsidRPr="000B3360">
        <w:rPr>
          <w:rFonts w:ascii="Book Antiqua" w:eastAsia="Book Antiqua" w:hAnsi="Book Antiqua" w:cs="Book Antiqua"/>
          <w:color w:val="000000"/>
        </w:rPr>
        <w:t>s</w:t>
      </w:r>
      <w:r w:rsidRPr="000B3360">
        <w:rPr>
          <w:rFonts w:ascii="Book Antiqua" w:eastAsia="Book Antiqua" w:hAnsi="Book Antiqua" w:cs="Book Antiqua"/>
          <w:color w:val="000000"/>
        </w:rPr>
        <w:t xml:space="preserve"> 3</w:t>
      </w:r>
      <w:r w:rsidR="00997D01" w:rsidRPr="000B3360">
        <w:rPr>
          <w:rFonts w:ascii="Book Antiqua" w:eastAsia="Book Antiqua" w:hAnsi="Book Antiqua" w:cs="Book Antiqua"/>
          <w:color w:val="000000"/>
        </w:rPr>
        <w:t>G</w:t>
      </w:r>
      <w:r w:rsidRPr="000B3360">
        <w:rPr>
          <w:rFonts w:ascii="Book Antiqua" w:eastAsia="Book Antiqua" w:hAnsi="Book Antiqua" w:cs="Book Antiqua"/>
          <w:color w:val="000000"/>
        </w:rPr>
        <w:t xml:space="preserve"> and 3</w:t>
      </w:r>
      <w:r w:rsidR="00997D01" w:rsidRPr="000B3360">
        <w:rPr>
          <w:rFonts w:ascii="Book Antiqua" w:eastAsia="Book Antiqua" w:hAnsi="Book Antiqua" w:cs="Book Antiqua"/>
          <w:color w:val="000000"/>
        </w:rPr>
        <w:t>H</w:t>
      </w:r>
      <w:r w:rsidRPr="000B3360">
        <w:rPr>
          <w:rFonts w:ascii="Book Antiqua" w:eastAsia="Book Antiqua" w:hAnsi="Book Antiqua" w:cs="Book Antiqua"/>
          <w:color w:val="000000"/>
        </w:rPr>
        <w:t>). Unlike the above two mutations, c.1171_1178dupGCCACCAT (p.Ile393fs) is a frameshift mutation that leads to a premature stop codon, because of which, some transmembrane regions and topological domains cannot be translated further (Figure</w:t>
      </w:r>
      <w:r w:rsidR="00997D01" w:rsidRPr="000B3360">
        <w:rPr>
          <w:rFonts w:ascii="Book Antiqua" w:eastAsia="Book Antiqua" w:hAnsi="Book Antiqua" w:cs="Book Antiqua"/>
          <w:color w:val="000000"/>
        </w:rPr>
        <w:t>s</w:t>
      </w:r>
      <w:r w:rsidRPr="000B3360">
        <w:rPr>
          <w:rFonts w:ascii="Book Antiqua" w:eastAsia="Book Antiqua" w:hAnsi="Book Antiqua" w:cs="Book Antiqua"/>
          <w:color w:val="000000"/>
        </w:rPr>
        <w:t xml:space="preserve"> 3</w:t>
      </w:r>
      <w:r w:rsidR="00997D01" w:rsidRPr="000B3360">
        <w:rPr>
          <w:rFonts w:ascii="Book Antiqua" w:eastAsia="Book Antiqua" w:hAnsi="Book Antiqua" w:cs="Book Antiqua"/>
          <w:color w:val="000000"/>
        </w:rPr>
        <w:t>C</w:t>
      </w:r>
      <w:r w:rsidRPr="000B3360">
        <w:rPr>
          <w:rFonts w:ascii="Book Antiqua" w:eastAsia="Book Antiqua" w:hAnsi="Book Antiqua" w:cs="Book Antiqua"/>
          <w:color w:val="000000"/>
        </w:rPr>
        <w:t xml:space="preserve"> and 3</w:t>
      </w:r>
      <w:r w:rsidR="00997D01" w:rsidRPr="000B3360">
        <w:rPr>
          <w:rFonts w:ascii="Book Antiqua" w:eastAsia="Book Antiqua" w:hAnsi="Book Antiqua" w:cs="Book Antiqua"/>
          <w:color w:val="000000"/>
        </w:rPr>
        <w:t>D</w:t>
      </w:r>
      <w:r w:rsidRPr="000B3360">
        <w:rPr>
          <w:rFonts w:ascii="Book Antiqua" w:eastAsia="Book Antiqua" w:hAnsi="Book Antiqua" w:cs="Book Antiqua"/>
          <w:color w:val="000000"/>
        </w:rPr>
        <w:t>). Therefore, all three mutations were predicted to cause changes in the protein structure and may result in abnormal protein function.</w:t>
      </w:r>
    </w:p>
    <w:p w14:paraId="26B0D240" w14:textId="77777777" w:rsidR="00A77B3E" w:rsidRPr="000B3360" w:rsidRDefault="00A77B3E" w:rsidP="00CA6D9F">
      <w:pPr>
        <w:spacing w:line="360" w:lineRule="auto"/>
        <w:jc w:val="both"/>
        <w:rPr>
          <w:rFonts w:ascii="Book Antiqua" w:hAnsi="Book Antiqua"/>
        </w:rPr>
      </w:pPr>
    </w:p>
    <w:p w14:paraId="687E9EC4"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caps/>
          <w:color w:val="000000"/>
          <w:u w:val="single"/>
        </w:rPr>
        <w:t>FINAL DIAGNOSIS</w:t>
      </w:r>
    </w:p>
    <w:p w14:paraId="5C9DA3E9"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shd w:val="clear" w:color="auto" w:fill="FFFFFF"/>
        </w:rPr>
        <w:t xml:space="preserve">According to the laboratory tests and </w:t>
      </w:r>
      <w:r w:rsidRPr="000B3360">
        <w:rPr>
          <w:rFonts w:ascii="Book Antiqua" w:eastAsia="Book Antiqua" w:hAnsi="Book Antiqua" w:cs="Book Antiqua"/>
          <w:color w:val="000000"/>
        </w:rPr>
        <w:t>genetic testing</w:t>
      </w:r>
      <w:r w:rsidRPr="000B3360">
        <w:rPr>
          <w:rFonts w:ascii="Book Antiqua" w:eastAsia="Book Antiqua" w:hAnsi="Book Antiqua" w:cs="Book Antiqua"/>
          <w:color w:val="000000"/>
          <w:shd w:val="clear" w:color="auto" w:fill="FFFFFF"/>
        </w:rPr>
        <w:t>, the patient was finally diagnosed with GS</w:t>
      </w:r>
      <w:r w:rsidRPr="000B3360">
        <w:rPr>
          <w:rFonts w:ascii="Book Antiqua" w:eastAsia="Book Antiqua" w:hAnsi="Book Antiqua" w:cs="Book Antiqua"/>
          <w:color w:val="000000"/>
        </w:rPr>
        <w:t xml:space="preserve"> concomitant with hyperthyroidism</w:t>
      </w:r>
      <w:r w:rsidRPr="000B3360">
        <w:rPr>
          <w:rFonts w:ascii="Book Antiqua" w:eastAsia="Book Antiqua" w:hAnsi="Book Antiqua" w:cs="Book Antiqua"/>
          <w:color w:val="000000"/>
          <w:shd w:val="clear" w:color="auto" w:fill="FFFFFF"/>
        </w:rPr>
        <w:t>.</w:t>
      </w:r>
    </w:p>
    <w:p w14:paraId="26A61243" w14:textId="77777777" w:rsidR="00A77B3E" w:rsidRPr="000B3360" w:rsidRDefault="00A77B3E" w:rsidP="00CA6D9F">
      <w:pPr>
        <w:spacing w:line="360" w:lineRule="auto"/>
        <w:jc w:val="both"/>
        <w:rPr>
          <w:rFonts w:ascii="Book Antiqua" w:hAnsi="Book Antiqua"/>
        </w:rPr>
      </w:pPr>
    </w:p>
    <w:p w14:paraId="4C176E67"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caps/>
          <w:color w:val="000000"/>
          <w:u w:val="single"/>
        </w:rPr>
        <w:t>TREATMENT</w:t>
      </w:r>
    </w:p>
    <w:p w14:paraId="39F34BFF" w14:textId="6463A42C"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Together with the antithyroid drug</w:t>
      </w:r>
      <w:r w:rsidR="00E43BBD"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methimazole (10 mg/d), we administered spironolactone (40 mg/d), oral potassium chloride (3 g/d), and potassium magnesium aspartate (two tablets three times a day; each tablet contained 158 mg of potassium aspartate and 140 mg of magnesium aspartate). The doses of the above medicines were adjusted according to careful monitoring of thyroid functions as well as serum potassium and magnesium levels. The patient regained normal strength, and was discharged after 7 d.</w:t>
      </w:r>
    </w:p>
    <w:p w14:paraId="45B742AA" w14:textId="77777777" w:rsidR="00A77B3E" w:rsidRPr="000B3360" w:rsidRDefault="00A77B3E" w:rsidP="00CA6D9F">
      <w:pPr>
        <w:spacing w:line="360" w:lineRule="auto"/>
        <w:jc w:val="both"/>
        <w:rPr>
          <w:rFonts w:ascii="Book Antiqua" w:hAnsi="Book Antiqua"/>
        </w:rPr>
      </w:pPr>
    </w:p>
    <w:p w14:paraId="2285431C"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caps/>
          <w:color w:val="000000"/>
          <w:u w:val="single"/>
        </w:rPr>
        <w:t>OUTCOME AND FOLLOW-UP</w:t>
      </w:r>
    </w:p>
    <w:p w14:paraId="6D6C4A5B" w14:textId="5D9E2238"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Following discharge from the hospital, hypokalemia persisted for more than one year of follow-up despite </w:t>
      </w:r>
      <w:r w:rsidRPr="000B3360">
        <w:rPr>
          <w:rFonts w:ascii="Book Antiqua" w:eastAsia="Book Antiqua" w:hAnsi="Book Antiqua" w:cs="Book Antiqua"/>
          <w:color w:val="000000"/>
          <w:shd w:val="clear" w:color="auto" w:fill="FFFFFF"/>
        </w:rPr>
        <w:t>remission of hyperthyroidism</w:t>
      </w:r>
      <w:r w:rsidRPr="000B3360">
        <w:rPr>
          <w:rFonts w:ascii="Book Antiqua" w:eastAsia="Book Antiqua" w:hAnsi="Book Antiqua" w:cs="Book Antiqua"/>
          <w:color w:val="000000"/>
        </w:rPr>
        <w:t xml:space="preserve">, </w:t>
      </w:r>
      <w:r w:rsidR="00E43BBD" w:rsidRPr="000B3360">
        <w:rPr>
          <w:rFonts w:ascii="Book Antiqua" w:eastAsia="Book Antiqua" w:hAnsi="Book Antiqua" w:cs="Book Antiqua"/>
          <w:color w:val="000000"/>
        </w:rPr>
        <w:t xml:space="preserve">and </w:t>
      </w:r>
      <w:r w:rsidRPr="000B3360">
        <w:rPr>
          <w:rFonts w:ascii="Book Antiqua" w:eastAsia="Book Antiqua" w:hAnsi="Book Antiqua" w:cs="Book Antiqua"/>
          <w:color w:val="000000"/>
        </w:rPr>
        <w:t xml:space="preserve">sufficient potassium and magnesium supplementation; however, limb weakness did not recur. The treatment and follow-up results for the thyroid functions and serum electrolyte levels are shown in Table </w:t>
      </w:r>
      <w:r w:rsidR="00674C6B" w:rsidRPr="000B3360">
        <w:rPr>
          <w:rFonts w:ascii="Book Antiqua" w:eastAsia="Book Antiqua" w:hAnsi="Book Antiqua" w:cs="Book Antiqua"/>
          <w:color w:val="000000"/>
        </w:rPr>
        <w:t xml:space="preserve">2 </w:t>
      </w:r>
      <w:r w:rsidRPr="000B3360">
        <w:rPr>
          <w:rFonts w:ascii="Book Antiqua" w:eastAsia="Book Antiqua" w:hAnsi="Book Antiqua" w:cs="Book Antiqua"/>
          <w:color w:val="000000"/>
        </w:rPr>
        <w:t>and Figure 4.</w:t>
      </w:r>
      <w:r w:rsidRPr="000B3360">
        <w:rPr>
          <w:rFonts w:ascii="Book Antiqua" w:eastAsia="Book Antiqua" w:hAnsi="Book Antiqua" w:cs="Book Antiqua"/>
          <w:color w:val="000000"/>
          <w:shd w:val="clear" w:color="auto" w:fill="FFFFFF"/>
        </w:rPr>
        <w:t xml:space="preserve"> According to the recommendations of the </w:t>
      </w:r>
      <w:r w:rsidR="00997D01" w:rsidRPr="000B3360">
        <w:rPr>
          <w:rFonts w:ascii="Book Antiqua" w:eastAsia="Book Antiqua" w:hAnsi="Book Antiqua" w:cs="Book Antiqua"/>
          <w:color w:val="000000"/>
        </w:rPr>
        <w:t>k</w:t>
      </w:r>
      <w:r w:rsidRPr="000B3360">
        <w:rPr>
          <w:rFonts w:ascii="Book Antiqua" w:eastAsia="Book Antiqua" w:hAnsi="Book Antiqua" w:cs="Book Antiqua"/>
          <w:color w:val="000000"/>
        </w:rPr>
        <w:t xml:space="preserve">idney </w:t>
      </w:r>
      <w:r w:rsidR="00997D01" w:rsidRPr="000B3360">
        <w:rPr>
          <w:rFonts w:ascii="Book Antiqua" w:eastAsia="Book Antiqua" w:hAnsi="Book Antiqua" w:cs="Book Antiqua"/>
          <w:color w:val="000000"/>
        </w:rPr>
        <w:t>d</w:t>
      </w:r>
      <w:r w:rsidRPr="000B3360">
        <w:rPr>
          <w:rFonts w:ascii="Book Antiqua" w:eastAsia="Book Antiqua" w:hAnsi="Book Antiqua" w:cs="Book Antiqua"/>
          <w:color w:val="000000"/>
        </w:rPr>
        <w:t xml:space="preserve">isease: Improving Global Outcomes Controversies Conference, a reasonable target for serum </w:t>
      </w:r>
      <w:r w:rsidRPr="000B3360">
        <w:rPr>
          <w:rFonts w:ascii="Book Antiqua" w:eastAsia="Book Antiqua" w:hAnsi="Book Antiqua" w:cs="Book Antiqua"/>
          <w:color w:val="000000"/>
        </w:rPr>
        <w:lastRenderedPageBreak/>
        <w:t>potassium and magnesium may be 3.0 and 0.6 mmol/L, respectively</w:t>
      </w:r>
      <w:r w:rsidRPr="000B3360">
        <w:rPr>
          <w:rFonts w:ascii="Book Antiqua" w:eastAsia="Book Antiqua" w:hAnsi="Book Antiqua" w:cs="Book Antiqua"/>
          <w:color w:val="000000"/>
          <w:vertAlign w:val="superscript"/>
        </w:rPr>
        <w:t>[10]</w:t>
      </w:r>
      <w:r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shd w:val="clear" w:color="auto" w:fill="FFFFFF"/>
        </w:rPr>
        <w:t xml:space="preserve">Genetic diseases, such as GS, often require lifelong treatment. We attempted to </w:t>
      </w:r>
      <w:r w:rsidRPr="000B3360">
        <w:rPr>
          <w:rFonts w:ascii="Book Antiqua" w:eastAsia="Book Antiqua" w:hAnsi="Book Antiqua" w:cs="Book Antiqua"/>
          <w:color w:val="000000"/>
        </w:rPr>
        <w:t xml:space="preserve">treat the patient with eplerenone, which has higher selectivity than spironolactone for the aldosterone receptor. However, the patient </w:t>
      </w:r>
      <w:r w:rsidRPr="000B3360">
        <w:rPr>
          <w:rFonts w:ascii="Book Antiqua" w:eastAsia="Book Antiqua" w:hAnsi="Book Antiqua" w:cs="Book Antiqua"/>
          <w:color w:val="000000"/>
          <w:shd w:val="clear" w:color="auto" w:fill="FFFFFF"/>
        </w:rPr>
        <w:t xml:space="preserve">could not tolerate </w:t>
      </w:r>
      <w:r w:rsidRPr="000B3360">
        <w:rPr>
          <w:rFonts w:ascii="Book Antiqua" w:eastAsia="Book Antiqua" w:hAnsi="Book Antiqua" w:cs="Book Antiqua"/>
          <w:color w:val="000000"/>
        </w:rPr>
        <w:t>the adverse effects of eplerenone</w:t>
      </w:r>
      <w:r w:rsidRPr="000B3360">
        <w:rPr>
          <w:rFonts w:ascii="Book Antiqua" w:eastAsia="Book Antiqua" w:hAnsi="Book Antiqua" w:cs="Book Antiqua"/>
          <w:color w:val="000000"/>
          <w:shd w:val="clear" w:color="auto" w:fill="FFFFFF"/>
        </w:rPr>
        <w:t xml:space="preserve"> because of</w:t>
      </w:r>
      <w:r w:rsidR="00997D01"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shd w:val="clear" w:color="auto" w:fill="FFFFFF"/>
        </w:rPr>
        <w:t>low blood pressure and dizziness. The patient is still being followed at our department.</w:t>
      </w:r>
    </w:p>
    <w:p w14:paraId="6E6D864F" w14:textId="77777777" w:rsidR="00A77B3E" w:rsidRPr="000B3360" w:rsidRDefault="00A77B3E" w:rsidP="00CA6D9F">
      <w:pPr>
        <w:spacing w:line="360" w:lineRule="auto"/>
        <w:jc w:val="both"/>
        <w:rPr>
          <w:rFonts w:ascii="Book Antiqua" w:hAnsi="Book Antiqua"/>
        </w:rPr>
      </w:pPr>
    </w:p>
    <w:p w14:paraId="7AC66B46"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caps/>
          <w:color w:val="000000"/>
          <w:u w:val="single"/>
        </w:rPr>
        <w:t>DISCUSSION</w:t>
      </w:r>
    </w:p>
    <w:p w14:paraId="6DBBA6C4" w14:textId="1693B050" w:rsidR="006333E0"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A clinical diagnosis of GS remains largely one of the exclusions, as many non-inherited conditions can mimic its presentation</w:t>
      </w:r>
      <w:r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rPr>
        <w:t>GS is usually detected during adulthood but can also be found in children, as early as infancy</w:t>
      </w:r>
      <w:r w:rsidRPr="000B3360">
        <w:rPr>
          <w:rFonts w:ascii="Book Antiqua" w:eastAsia="Book Antiqua" w:hAnsi="Book Antiqua" w:cs="Book Antiqua"/>
          <w:color w:val="000000"/>
          <w:vertAlign w:val="superscript"/>
        </w:rPr>
        <w:t>[11,12]</w:t>
      </w:r>
      <w:r w:rsidRPr="000B3360">
        <w:rPr>
          <w:rFonts w:ascii="Book Antiqua" w:eastAsia="Book Antiqua" w:hAnsi="Book Antiqua" w:cs="Book Antiqua"/>
          <w:color w:val="000000"/>
        </w:rPr>
        <w:t>.</w:t>
      </w:r>
      <w:r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rPr>
        <w:t xml:space="preserve">It is characterized by a </w:t>
      </w:r>
      <w:r w:rsidRPr="000B3360">
        <w:rPr>
          <w:rFonts w:ascii="Book Antiqua" w:eastAsia="Book Antiqua" w:hAnsi="Book Antiqua" w:cs="Book Antiqua"/>
          <w:color w:val="000000"/>
          <w:shd w:val="clear" w:color="auto" w:fill="FFFFFF"/>
        </w:rPr>
        <w:t xml:space="preserve">diversity of clinical manifestations and high </w:t>
      </w:r>
      <w:r w:rsidRPr="000B3360">
        <w:rPr>
          <w:rFonts w:ascii="Book Antiqua" w:eastAsia="Book Antiqua" w:hAnsi="Book Antiqua" w:cs="Book Antiqua"/>
          <w:color w:val="000000"/>
        </w:rPr>
        <w:t>phenotypic variability. A combination of sex, genetic</w:t>
      </w:r>
      <w:r w:rsidR="006333E0"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shd w:val="clear" w:color="auto" w:fill="FFFFFF"/>
        </w:rPr>
        <w:t>heterogeneity</w:t>
      </w:r>
      <w:r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shd w:val="clear" w:color="auto" w:fill="FFFFFF"/>
        </w:rPr>
        <w:t>modified genes</w:t>
      </w:r>
      <w:r w:rsidRPr="000B3360">
        <w:rPr>
          <w:rFonts w:ascii="Book Antiqua" w:eastAsia="Book Antiqua" w:hAnsi="Book Antiqua" w:cs="Book Antiqua"/>
          <w:color w:val="000000"/>
        </w:rPr>
        <w:t>, compensatory mechanisms, environmental factors, and dietary habits might be involved in such variability</w:t>
      </w:r>
      <w:r w:rsidRPr="000B3360">
        <w:rPr>
          <w:rFonts w:ascii="Book Antiqua" w:eastAsia="Book Antiqua" w:hAnsi="Book Antiqua" w:cs="Book Antiqua"/>
          <w:color w:val="000000"/>
          <w:vertAlign w:val="superscript"/>
        </w:rPr>
        <w:t>[13]</w:t>
      </w:r>
      <w:r w:rsidRPr="000B3360">
        <w:rPr>
          <w:rFonts w:ascii="Book Antiqua" w:eastAsia="Book Antiqua" w:hAnsi="Book Antiqua" w:cs="Book Antiqua"/>
          <w:color w:val="000000"/>
        </w:rPr>
        <w:t xml:space="preserve">. Therefore, GS </w:t>
      </w:r>
      <w:r w:rsidRPr="000B3360">
        <w:rPr>
          <w:rFonts w:ascii="Book Antiqua" w:eastAsia="Book Antiqua" w:hAnsi="Book Antiqua" w:cs="Book Antiqua"/>
          <w:color w:val="000000"/>
          <w:shd w:val="clear" w:color="auto" w:fill="FFFFFF"/>
        </w:rPr>
        <w:t>may</w:t>
      </w:r>
      <w:r w:rsidR="006333E0"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shd w:val="clear" w:color="auto" w:fill="FFFFFF"/>
        </w:rPr>
        <w:t>easily</w:t>
      </w:r>
      <w:r w:rsidR="006333E0"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shd w:val="clear" w:color="auto" w:fill="FFFFFF"/>
        </w:rPr>
        <w:t>be</w:t>
      </w:r>
      <w:r w:rsidR="006333E0"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shd w:val="clear" w:color="auto" w:fill="FFFFFF"/>
        </w:rPr>
        <w:t>missed or misdiagnosed.</w:t>
      </w:r>
      <w:r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shd w:val="clear" w:color="auto" w:fill="FFFFFF"/>
        </w:rPr>
        <w:t xml:space="preserve">In </w:t>
      </w:r>
      <w:r w:rsidRPr="000B3360">
        <w:rPr>
          <w:rFonts w:ascii="Book Antiqua" w:eastAsia="Book Antiqua" w:hAnsi="Book Antiqua" w:cs="Book Antiqua"/>
          <w:color w:val="000000"/>
        </w:rPr>
        <w:t xml:space="preserve">the present study, the case of hypokalemia in the young woman was initially diagnosed and treated as hyperthyroidism and was subsequently re-diagnosed as GS concomitant with hyperthyroidism, following genetic testing. Genetic testing revealed </w:t>
      </w:r>
      <w:r w:rsidRPr="000B3360">
        <w:rPr>
          <w:rFonts w:ascii="Book Antiqua" w:eastAsia="Book Antiqua" w:hAnsi="Book Antiqua" w:cs="Book Antiqua"/>
          <w:color w:val="000000"/>
          <w:shd w:val="clear" w:color="auto" w:fill="FFFFFF"/>
        </w:rPr>
        <w:t>triple</w:t>
      </w:r>
      <w:r w:rsidRPr="000B3360">
        <w:rPr>
          <w:rFonts w:ascii="Book Antiqua" w:eastAsia="Book Antiqua" w:hAnsi="Book Antiqua" w:cs="Book Antiqua"/>
          <w:color w:val="000000"/>
        </w:rPr>
        <w:t xml:space="preserve"> potential pathogenic variants in </w:t>
      </w:r>
      <w:r w:rsidRPr="000B3360">
        <w:rPr>
          <w:rFonts w:ascii="Book Antiqua" w:eastAsia="Book Antiqua" w:hAnsi="Book Antiqua" w:cs="Book Antiqua"/>
          <w:i/>
          <w:iCs/>
          <w:color w:val="000000"/>
        </w:rPr>
        <w:t>SLC12A3</w:t>
      </w:r>
      <w:r w:rsidRPr="000B3360">
        <w:rPr>
          <w:rFonts w:ascii="Book Antiqua" w:eastAsia="Book Antiqua" w:hAnsi="Book Antiqua" w:cs="Book Antiqua"/>
          <w:color w:val="000000"/>
        </w:rPr>
        <w:t xml:space="preserve"> of combined heterozygosity. These mutations are expected to modify the protein structure and are implicated in NCCT dysfunction.</w:t>
      </w:r>
    </w:p>
    <w:p w14:paraId="0A69001B" w14:textId="5EADCDCF" w:rsidR="006333E0" w:rsidRPr="000B3360" w:rsidRDefault="009B60C3" w:rsidP="00CA6D9F">
      <w:pPr>
        <w:spacing w:line="360" w:lineRule="auto"/>
        <w:ind w:firstLineChars="100" w:firstLine="240"/>
        <w:jc w:val="both"/>
        <w:rPr>
          <w:rFonts w:ascii="Book Antiqua" w:hAnsi="Book Antiqua"/>
        </w:rPr>
      </w:pPr>
      <w:r w:rsidRPr="000B3360">
        <w:rPr>
          <w:rFonts w:ascii="Book Antiqua" w:eastAsia="Book Antiqua" w:hAnsi="Book Antiqua" w:cs="Book Antiqua"/>
          <w:color w:val="000000"/>
        </w:rPr>
        <w:t xml:space="preserve">To date, </w:t>
      </w:r>
      <w:r w:rsidRPr="000B3360">
        <w:rPr>
          <w:rFonts w:ascii="Book Antiqua" w:eastAsia="Book Antiqua" w:hAnsi="Book Antiqua" w:cs="Book Antiqua"/>
          <w:color w:val="000000"/>
          <w:shd w:val="clear" w:color="auto" w:fill="FFFFFF"/>
        </w:rPr>
        <w:t>more than</w:t>
      </w:r>
      <w:r w:rsidR="006333E0"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rPr>
        <w:t>500</w:t>
      </w:r>
      <w:r w:rsidRPr="000B3360">
        <w:rPr>
          <w:rFonts w:ascii="Book Antiqua" w:eastAsia="Book Antiqua" w:hAnsi="Book Antiqua" w:cs="Book Antiqua"/>
          <w:i/>
          <w:iCs/>
          <w:color w:val="000000"/>
        </w:rPr>
        <w:t xml:space="preserve"> </w:t>
      </w:r>
      <w:r w:rsidRPr="000B3360">
        <w:rPr>
          <w:rFonts w:ascii="Book Antiqua" w:eastAsia="Book Antiqua" w:hAnsi="Book Antiqua" w:cs="Book Antiqua"/>
          <w:color w:val="000000"/>
        </w:rPr>
        <w:t>scattered mutations throughout</w:t>
      </w:r>
      <w:r w:rsidRPr="000B3360">
        <w:rPr>
          <w:rFonts w:ascii="Book Antiqua" w:eastAsia="Book Antiqua" w:hAnsi="Book Antiqua" w:cs="Book Antiqua"/>
          <w:i/>
          <w:iCs/>
          <w:color w:val="000000"/>
        </w:rPr>
        <w:t xml:space="preserve"> SLC12A3 </w:t>
      </w:r>
      <w:r w:rsidRPr="000B3360">
        <w:rPr>
          <w:rFonts w:ascii="Book Antiqua" w:eastAsia="Book Antiqua" w:hAnsi="Book Antiqua" w:cs="Book Antiqua"/>
          <w:color w:val="000000"/>
        </w:rPr>
        <w:t>have been reported in &gt;</w:t>
      </w:r>
      <w:r w:rsidR="006333E0"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1300 patients with GS</w:t>
      </w:r>
      <w:r w:rsidRPr="000B3360">
        <w:rPr>
          <w:rFonts w:ascii="Book Antiqua" w:eastAsia="Book Antiqua" w:hAnsi="Book Antiqua" w:cs="Book Antiqua"/>
          <w:color w:val="000000"/>
          <w:vertAlign w:val="superscript"/>
        </w:rPr>
        <w:t>[10,14]</w:t>
      </w:r>
      <w:r w:rsidRPr="000B3360">
        <w:rPr>
          <w:rFonts w:ascii="Book Antiqua" w:eastAsia="Book Antiqua" w:hAnsi="Book Antiqua" w:cs="Book Antiqua"/>
          <w:color w:val="000000"/>
        </w:rPr>
        <w:t>. The prevalence of GS in the Caucasian population was found to be approximately 1 to 10 per 40000, and is potentially higher in Asia</w:t>
      </w:r>
      <w:r w:rsidRPr="000B3360">
        <w:rPr>
          <w:rFonts w:ascii="Book Antiqua" w:eastAsia="Book Antiqua" w:hAnsi="Book Antiqua" w:cs="Book Antiqua"/>
          <w:color w:val="000000"/>
          <w:vertAlign w:val="superscript"/>
        </w:rPr>
        <w:t>[10,15,16]</w:t>
      </w:r>
      <w:r w:rsidRPr="000B3360">
        <w:rPr>
          <w:rFonts w:ascii="Book Antiqua" w:eastAsia="Book Antiqua" w:hAnsi="Book Antiqua" w:cs="Book Antiqua"/>
          <w:color w:val="000000"/>
        </w:rPr>
        <w:t>. The estimated incidence rates of Graves</w:t>
      </w:r>
      <w:r w:rsidR="006333E0"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disease (GD) and Hashimoto’s thyroiditis (HT) among the entire Chinese population are 120/100000/year and 100/100000/year, respectively</w:t>
      </w:r>
      <w:r w:rsidRPr="000B3360">
        <w:rPr>
          <w:rFonts w:ascii="Book Antiqua" w:eastAsia="Book Antiqua" w:hAnsi="Book Antiqua" w:cs="Book Antiqua"/>
          <w:color w:val="000000"/>
          <w:vertAlign w:val="superscript"/>
        </w:rPr>
        <w:t>[17]</w:t>
      </w:r>
      <w:r w:rsidRPr="000B3360">
        <w:rPr>
          <w:rFonts w:ascii="Book Antiqua" w:eastAsia="Book Antiqua" w:hAnsi="Book Antiqua" w:cs="Book Antiqua"/>
          <w:color w:val="000000"/>
        </w:rPr>
        <w:t xml:space="preserve">. Thus far, </w:t>
      </w:r>
      <w:r w:rsidRPr="000B3360">
        <w:rPr>
          <w:rFonts w:ascii="Book Antiqua" w:eastAsia="Book Antiqua" w:hAnsi="Book Antiqua" w:cs="Book Antiqua"/>
          <w:color w:val="000000"/>
          <w:shd w:val="clear" w:color="auto" w:fill="FFFFFF"/>
        </w:rPr>
        <w:t>many</w:t>
      </w:r>
      <w:r w:rsidR="006333E0"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rPr>
        <w:t xml:space="preserve">case reports have shown GS and autoimmune thyroid disease (AITD) coexisting in a patient, suggesting </w:t>
      </w:r>
      <w:r w:rsidR="00960C74" w:rsidRPr="000B3360">
        <w:rPr>
          <w:rFonts w:ascii="Book Antiqua" w:eastAsia="Book Antiqua" w:hAnsi="Book Antiqua" w:cs="Book Antiqua"/>
          <w:color w:val="000000"/>
        </w:rPr>
        <w:t xml:space="preserve">that </w:t>
      </w:r>
      <w:r w:rsidRPr="000B3360">
        <w:rPr>
          <w:rFonts w:ascii="Book Antiqua" w:eastAsia="Book Antiqua" w:hAnsi="Book Antiqua" w:cs="Book Antiqua"/>
          <w:color w:val="000000"/>
        </w:rPr>
        <w:t>there may be a correlation between them.</w:t>
      </w:r>
      <w:r w:rsidRPr="000B3360">
        <w:rPr>
          <w:rFonts w:ascii="Book Antiqua" w:eastAsia="Book Antiqua" w:hAnsi="Book Antiqua" w:cs="Book Antiqua"/>
          <w:color w:val="000000"/>
          <w:shd w:val="clear" w:color="auto" w:fill="FFFFFF"/>
        </w:rPr>
        <w:t xml:space="preserve"> In our </w:t>
      </w:r>
      <w:r w:rsidRPr="000B3360">
        <w:rPr>
          <w:rFonts w:ascii="Book Antiqua" w:eastAsia="Book Antiqua" w:hAnsi="Book Antiqua" w:cs="Book Antiqua"/>
          <w:color w:val="000000"/>
        </w:rPr>
        <w:t>l</w:t>
      </w:r>
      <w:r w:rsidRPr="000B3360">
        <w:rPr>
          <w:rFonts w:ascii="Book Antiqua" w:eastAsia="Book Antiqua" w:hAnsi="Book Antiqua" w:cs="Book Antiqua"/>
          <w:color w:val="000000"/>
          <w:shd w:val="clear" w:color="auto" w:fill="FFFFFF"/>
        </w:rPr>
        <w:t>iterature review, we found 22 case reports of patients with</w:t>
      </w:r>
      <w:r w:rsidRPr="000B3360">
        <w:rPr>
          <w:rFonts w:ascii="Book Antiqua" w:eastAsia="Book Antiqua" w:hAnsi="Book Antiqua" w:cs="Book Antiqua"/>
          <w:color w:val="000000"/>
        </w:rPr>
        <w:t xml:space="preserve"> GS complicated with AITD</w:t>
      </w:r>
      <w:r w:rsidRPr="000B3360">
        <w:rPr>
          <w:rFonts w:ascii="Book Antiqua" w:eastAsia="Book Antiqua" w:hAnsi="Book Antiqua" w:cs="Book Antiqua"/>
          <w:color w:val="000000"/>
          <w:shd w:val="clear" w:color="auto" w:fill="FFFFFF"/>
        </w:rPr>
        <w:t xml:space="preserve">, which are summarized in Table </w:t>
      </w:r>
      <w:r w:rsidR="00674C6B" w:rsidRPr="000B3360">
        <w:rPr>
          <w:rFonts w:ascii="Book Antiqua" w:eastAsia="Book Antiqua" w:hAnsi="Book Antiqua" w:cs="Book Antiqua"/>
          <w:color w:val="000000"/>
          <w:shd w:val="clear" w:color="auto" w:fill="FFFFFF"/>
        </w:rPr>
        <w:t>3</w:t>
      </w:r>
      <w:r w:rsidRPr="000B3360">
        <w:rPr>
          <w:rFonts w:ascii="Book Antiqua" w:eastAsia="Book Antiqua" w:hAnsi="Book Antiqua" w:cs="Book Antiqua"/>
          <w:color w:val="000000"/>
          <w:shd w:val="clear" w:color="auto" w:fill="FFFFFF"/>
        </w:rPr>
        <w:t xml:space="preserve">. All selected cases were genetically </w:t>
      </w:r>
      <w:r w:rsidRPr="000B3360">
        <w:rPr>
          <w:rFonts w:ascii="Book Antiqua" w:eastAsia="Book Antiqua" w:hAnsi="Book Antiqua" w:cs="Book Antiqua"/>
          <w:color w:val="000000"/>
          <w:shd w:val="clear" w:color="auto" w:fill="FFFFFF"/>
        </w:rPr>
        <w:lastRenderedPageBreak/>
        <w:t xml:space="preserve">confirmed by </w:t>
      </w:r>
      <w:r w:rsidRPr="000B3360">
        <w:rPr>
          <w:rFonts w:ascii="Book Antiqua" w:eastAsia="Book Antiqua" w:hAnsi="Book Antiqua" w:cs="Book Antiqua"/>
          <w:color w:val="000000"/>
        </w:rPr>
        <w:t xml:space="preserve">sequencing. As shown in </w:t>
      </w:r>
      <w:r w:rsidRPr="000B3360">
        <w:rPr>
          <w:rFonts w:ascii="Book Antiqua" w:eastAsia="Book Antiqua" w:hAnsi="Book Antiqua" w:cs="Book Antiqua"/>
          <w:color w:val="000000"/>
          <w:shd w:val="clear" w:color="auto" w:fill="FFFFFF"/>
        </w:rPr>
        <w:t xml:space="preserve">Table </w:t>
      </w:r>
      <w:r w:rsidR="00674C6B" w:rsidRPr="000B3360">
        <w:rPr>
          <w:rFonts w:ascii="Book Antiqua" w:eastAsia="Book Antiqua" w:hAnsi="Book Antiqua" w:cs="Book Antiqua"/>
          <w:color w:val="000000"/>
          <w:shd w:val="clear" w:color="auto" w:fill="FFFFFF"/>
        </w:rPr>
        <w:t>3</w:t>
      </w:r>
      <w:r w:rsidRPr="000B3360">
        <w:rPr>
          <w:rFonts w:ascii="Book Antiqua" w:eastAsia="Book Antiqua" w:hAnsi="Book Antiqua" w:cs="Book Antiqua"/>
          <w:color w:val="000000"/>
          <w:shd w:val="clear" w:color="auto" w:fill="FFFFFF"/>
        </w:rPr>
        <w:t>, the vast majority of cases described were compound heterozygous and were from Asian people. Among these patients with GS, 15 females (aged 18</w:t>
      </w:r>
      <w:r w:rsidR="006333E0" w:rsidRPr="000B3360">
        <w:rPr>
          <w:rFonts w:ascii="Book Antiqua" w:eastAsia="Book Antiqua" w:hAnsi="Book Antiqua" w:cs="Book Antiqua"/>
          <w:color w:val="000000"/>
          <w:shd w:val="clear" w:color="auto" w:fill="FFFFFF"/>
        </w:rPr>
        <w:t>-</w:t>
      </w:r>
      <w:r w:rsidRPr="000B3360">
        <w:rPr>
          <w:rFonts w:ascii="Book Antiqua" w:eastAsia="Book Antiqua" w:hAnsi="Book Antiqua" w:cs="Book Antiqua"/>
          <w:color w:val="000000"/>
          <w:shd w:val="clear" w:color="auto" w:fill="FFFFFF"/>
        </w:rPr>
        <w:t>56 years) and 8 males (aged 2</w:t>
      </w:r>
      <w:r w:rsidR="006333E0" w:rsidRPr="000B3360">
        <w:rPr>
          <w:rFonts w:ascii="Book Antiqua" w:eastAsia="Book Antiqua" w:hAnsi="Book Antiqua" w:cs="Book Antiqua"/>
          <w:color w:val="000000"/>
          <w:shd w:val="clear" w:color="auto" w:fill="FFFFFF"/>
        </w:rPr>
        <w:t>-</w:t>
      </w:r>
      <w:r w:rsidRPr="000B3360">
        <w:rPr>
          <w:rFonts w:ascii="Book Antiqua" w:eastAsia="Book Antiqua" w:hAnsi="Book Antiqua" w:cs="Book Antiqua"/>
          <w:color w:val="000000"/>
          <w:shd w:val="clear" w:color="auto" w:fill="FFFFFF"/>
        </w:rPr>
        <w:t xml:space="preserve">50 years) were included, 17 cases were </w:t>
      </w:r>
      <w:r w:rsidRPr="000B3360">
        <w:rPr>
          <w:rFonts w:ascii="Book Antiqua" w:eastAsia="Book Antiqua" w:hAnsi="Book Antiqua" w:cs="Book Antiqua"/>
          <w:color w:val="000000"/>
        </w:rPr>
        <w:t>complicated by GD, 4</w:t>
      </w:r>
      <w:r w:rsidR="00960C74"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had HT, 1</w:t>
      </w:r>
      <w:r w:rsidR="00960C74"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was diagnosed with subacute thyroiditis, and 1</w:t>
      </w:r>
      <w:r w:rsidR="00960C74"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 xml:space="preserve">was antibody-positive for AITD. It appears more likely that GS coexisted with GD compared with the other types of AITDs. THPP affects young Asian males more often than individuals of other ethnicities. A large genome-wide association study in </w:t>
      </w:r>
      <w:r w:rsidRPr="000B3360">
        <w:rPr>
          <w:rFonts w:ascii="Book Antiqua" w:eastAsia="Book Antiqua" w:hAnsi="Book Antiqua" w:cs="Book Antiqua"/>
          <w:color w:val="000000"/>
          <w:shd w:val="clear" w:color="auto" w:fill="FFFFFF"/>
        </w:rPr>
        <w:t xml:space="preserve">southern China </w:t>
      </w:r>
      <w:r w:rsidRPr="000B3360">
        <w:rPr>
          <w:rFonts w:ascii="Book Antiqua" w:eastAsia="Book Antiqua" w:hAnsi="Book Antiqua" w:cs="Book Antiqua"/>
          <w:color w:val="000000"/>
        </w:rPr>
        <w:t>identified a susceptibility locus for</w:t>
      </w:r>
      <w:r w:rsidR="006333E0"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 xml:space="preserve">THPP at 17q24.3, </w:t>
      </w:r>
      <w:r w:rsidRPr="000B3360">
        <w:rPr>
          <w:rFonts w:ascii="Book Antiqua" w:eastAsia="Book Antiqua" w:hAnsi="Book Antiqua" w:cs="Book Antiqua"/>
          <w:color w:val="000000"/>
          <w:shd w:val="clear" w:color="auto" w:fill="FFFFFF"/>
        </w:rPr>
        <w:t>which could potentially affect the expression of</w:t>
      </w:r>
      <w:r w:rsidRPr="000B3360">
        <w:rPr>
          <w:rFonts w:ascii="Book Antiqua" w:eastAsia="Book Antiqua" w:hAnsi="Book Antiqua" w:cs="Book Antiqua"/>
          <w:i/>
          <w:iCs/>
          <w:color w:val="000000"/>
          <w:shd w:val="clear" w:color="auto" w:fill="FFFFFF"/>
        </w:rPr>
        <w:t xml:space="preserve"> KCNJ2</w:t>
      </w:r>
      <w:r w:rsidRPr="000B3360">
        <w:rPr>
          <w:rFonts w:ascii="Book Antiqua" w:eastAsia="Book Antiqua" w:hAnsi="Book Antiqua" w:cs="Book Antiqua"/>
          <w:color w:val="000000"/>
          <w:shd w:val="clear" w:color="auto" w:fill="FFFFFF"/>
        </w:rPr>
        <w:t>, which is associated with hypokalemia</w:t>
      </w:r>
      <w:r w:rsidRPr="000B3360">
        <w:rPr>
          <w:rFonts w:ascii="Book Antiqua" w:eastAsia="Book Antiqua" w:hAnsi="Book Antiqua" w:cs="Book Antiqua"/>
          <w:color w:val="000000"/>
          <w:shd w:val="clear" w:color="auto" w:fill="FFFFFF"/>
          <w:vertAlign w:val="superscript"/>
        </w:rPr>
        <w:t>[18]</w:t>
      </w:r>
      <w:r w:rsidRPr="000B3360">
        <w:rPr>
          <w:rFonts w:ascii="Book Antiqua" w:eastAsia="Book Antiqua" w:hAnsi="Book Antiqua" w:cs="Book Antiqua"/>
          <w:color w:val="000000"/>
          <w:shd w:val="clear" w:color="auto" w:fill="FFFFFF"/>
        </w:rPr>
        <w:t>.</w:t>
      </w:r>
      <w:r w:rsidRPr="000B3360">
        <w:rPr>
          <w:rFonts w:ascii="Book Antiqua" w:eastAsia="Book Antiqua" w:hAnsi="Book Antiqua" w:cs="Book Antiqua"/>
          <w:color w:val="000000"/>
        </w:rPr>
        <w:t xml:space="preserve"> Nevertheless</w:t>
      </w:r>
      <w:r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rPr>
        <w:t>direct evidence for GS and THPP at the genetic level is not available.</w:t>
      </w:r>
    </w:p>
    <w:p w14:paraId="76831841" w14:textId="4CBD5AE3" w:rsidR="00A77B3E" w:rsidRPr="000B3360" w:rsidRDefault="009B60C3" w:rsidP="00CA6D9F">
      <w:pPr>
        <w:spacing w:line="360" w:lineRule="auto"/>
        <w:ind w:firstLineChars="100" w:firstLine="240"/>
        <w:jc w:val="both"/>
        <w:rPr>
          <w:rFonts w:ascii="Book Antiqua" w:hAnsi="Book Antiqua"/>
        </w:rPr>
      </w:pPr>
      <w:r w:rsidRPr="000B3360">
        <w:rPr>
          <w:rFonts w:ascii="Book Antiqua" w:eastAsia="Book Antiqua" w:hAnsi="Book Antiqua" w:cs="Book Antiqua"/>
          <w:color w:val="000000"/>
        </w:rPr>
        <w:t xml:space="preserve">NCCT, which is encoded by </w:t>
      </w:r>
      <w:r w:rsidRPr="000B3360">
        <w:rPr>
          <w:rFonts w:ascii="Book Antiqua" w:eastAsia="Book Antiqua" w:hAnsi="Book Antiqua" w:cs="Book Antiqua"/>
          <w:i/>
          <w:iCs/>
          <w:color w:val="000000"/>
        </w:rPr>
        <w:t>SLC12A3</w:t>
      </w:r>
      <w:r w:rsidRPr="000B3360">
        <w:rPr>
          <w:rFonts w:ascii="Book Antiqua" w:eastAsia="Book Antiqua" w:hAnsi="Book Antiqua" w:cs="Book Antiqua"/>
          <w:color w:val="000000"/>
        </w:rPr>
        <w:t xml:space="preserve"> in the early distal convoluted tubules (DCT) of the kidney, </w:t>
      </w:r>
      <w:r w:rsidRPr="000B3360">
        <w:rPr>
          <w:rFonts w:ascii="Book Antiqua" w:eastAsia="Book Antiqua" w:hAnsi="Book Antiqua" w:cs="Book Antiqua"/>
          <w:color w:val="000000"/>
          <w:shd w:val="clear" w:color="auto" w:fill="FFFFFF"/>
        </w:rPr>
        <w:t xml:space="preserve">facilitates the cotransport of </w:t>
      </w:r>
      <w:r w:rsidRPr="000B3360">
        <w:rPr>
          <w:rFonts w:ascii="Book Antiqua" w:eastAsia="Book Antiqua" w:hAnsi="Book Antiqua" w:cs="Book Antiqua"/>
          <w:color w:val="000000"/>
        </w:rPr>
        <w:t>sodium chloride</w:t>
      </w:r>
      <w:r w:rsidR="006333E0"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shd w:val="clear" w:color="auto" w:fill="FFFFFF"/>
        </w:rPr>
        <w:t xml:space="preserve">from the pro-urine to the intracellular compartment. </w:t>
      </w:r>
      <w:r w:rsidRPr="000B3360">
        <w:rPr>
          <w:rFonts w:ascii="Book Antiqua" w:eastAsia="Book Antiqua" w:hAnsi="Book Antiqua" w:cs="Book Antiqua"/>
          <w:color w:val="000000"/>
        </w:rPr>
        <w:t xml:space="preserve">The reduced reabsorption of sodium and </w:t>
      </w:r>
      <w:r w:rsidRPr="000B3360">
        <w:rPr>
          <w:rFonts w:ascii="Book Antiqua" w:eastAsia="Book Antiqua" w:hAnsi="Book Antiqua" w:cs="Book Antiqua"/>
          <w:color w:val="000000"/>
          <w:shd w:val="clear" w:color="auto" w:fill="FFFFFF"/>
        </w:rPr>
        <w:t>chloride ions</w:t>
      </w:r>
      <w:r w:rsidRPr="000B3360">
        <w:rPr>
          <w:rFonts w:ascii="Book Antiqua" w:eastAsia="Book Antiqua" w:hAnsi="Book Antiqua" w:cs="Book Antiqua"/>
          <w:color w:val="000000"/>
        </w:rPr>
        <w:t xml:space="preserve"> due to the inactivation of NCCT leads to compensatory excessive exchange of Na</w:t>
      </w:r>
      <w:r w:rsidRPr="000B3360">
        <w:rPr>
          <w:rFonts w:ascii="Book Antiqua" w:eastAsia="Book Antiqua" w:hAnsi="Book Antiqua" w:cs="Book Antiqua"/>
          <w:color w:val="000000"/>
          <w:vertAlign w:val="superscript"/>
        </w:rPr>
        <w:t>+</w:t>
      </w:r>
      <w:r w:rsidRPr="000B3360">
        <w:rPr>
          <w:rFonts w:ascii="Book Antiqua" w:eastAsia="Book Antiqua" w:hAnsi="Book Antiqua" w:cs="Book Antiqua"/>
          <w:color w:val="000000"/>
        </w:rPr>
        <w:t>-K</w:t>
      </w:r>
      <w:r w:rsidRPr="000B3360">
        <w:rPr>
          <w:rFonts w:ascii="Book Antiqua" w:eastAsia="Book Antiqua" w:hAnsi="Book Antiqua" w:cs="Book Antiqua"/>
          <w:color w:val="000000"/>
          <w:vertAlign w:val="superscript"/>
        </w:rPr>
        <w:t>+</w:t>
      </w:r>
      <w:r w:rsidRPr="000B3360">
        <w:rPr>
          <w:rFonts w:ascii="Book Antiqua" w:eastAsia="Book Antiqua" w:hAnsi="Book Antiqua" w:cs="Book Antiqua"/>
          <w:color w:val="000000"/>
        </w:rPr>
        <w:t xml:space="preserve"> and Na</w:t>
      </w:r>
      <w:r w:rsidRPr="000B3360">
        <w:rPr>
          <w:rFonts w:ascii="Book Antiqua" w:eastAsia="Book Antiqua" w:hAnsi="Book Antiqua" w:cs="Book Antiqua"/>
          <w:color w:val="000000"/>
          <w:vertAlign w:val="superscript"/>
        </w:rPr>
        <w:t>+</w:t>
      </w:r>
      <w:r w:rsidRPr="000B3360">
        <w:rPr>
          <w:rFonts w:ascii="Book Antiqua" w:eastAsia="Book Antiqua" w:hAnsi="Book Antiqua" w:cs="Book Antiqua"/>
          <w:color w:val="000000"/>
        </w:rPr>
        <w:t>-H</w:t>
      </w:r>
      <w:r w:rsidRPr="000B3360">
        <w:rPr>
          <w:rFonts w:ascii="Book Antiqua" w:eastAsia="Book Antiqua" w:hAnsi="Book Antiqua" w:cs="Book Antiqua"/>
          <w:color w:val="000000"/>
          <w:vertAlign w:val="superscript"/>
        </w:rPr>
        <w:t xml:space="preserve">+ </w:t>
      </w:r>
      <w:r w:rsidRPr="000B3360">
        <w:rPr>
          <w:rFonts w:ascii="Book Antiqua" w:eastAsia="Book Antiqua" w:hAnsi="Book Antiqua" w:cs="Book Antiqua"/>
          <w:color w:val="000000"/>
        </w:rPr>
        <w:t xml:space="preserve">pumps, which eventually results in excessive excretion of </w:t>
      </w:r>
      <w:r w:rsidRPr="000B3360">
        <w:rPr>
          <w:rFonts w:ascii="Book Antiqua" w:eastAsia="Book Antiqua" w:hAnsi="Book Antiqua" w:cs="Book Antiqua"/>
          <w:color w:val="000000"/>
          <w:shd w:val="clear" w:color="auto" w:fill="FFFFFF"/>
        </w:rPr>
        <w:t>potassium and hydrogen ions</w:t>
      </w:r>
      <w:r w:rsidRPr="000B3360">
        <w:rPr>
          <w:rFonts w:ascii="Book Antiqua" w:eastAsia="Book Antiqua" w:hAnsi="Book Antiqua" w:cs="Book Antiqua"/>
          <w:color w:val="000000"/>
        </w:rPr>
        <w:t xml:space="preserve"> and hypokalemic alkalosis</w:t>
      </w:r>
      <w:r w:rsidRPr="000B3360">
        <w:rPr>
          <w:rFonts w:ascii="Book Antiqua" w:eastAsia="Book Antiqua" w:hAnsi="Book Antiqua" w:cs="Book Antiqua"/>
          <w:color w:val="000000"/>
          <w:vertAlign w:val="superscript"/>
        </w:rPr>
        <w:t>[19]</w:t>
      </w:r>
      <w:r w:rsidRPr="000B3360">
        <w:rPr>
          <w:rFonts w:ascii="Book Antiqua" w:eastAsia="Book Antiqua" w:hAnsi="Book Antiqua" w:cs="Book Antiqua"/>
          <w:color w:val="000000"/>
        </w:rPr>
        <w:t xml:space="preserve">. A huge loss of </w:t>
      </w:r>
      <w:r w:rsidRPr="000B3360">
        <w:rPr>
          <w:rFonts w:ascii="Book Antiqua" w:eastAsia="Book Antiqua" w:hAnsi="Book Antiqua" w:cs="Book Antiqua"/>
          <w:color w:val="000000"/>
          <w:shd w:val="clear" w:color="auto" w:fill="FFFFFF"/>
        </w:rPr>
        <w:t>chloride ions</w:t>
      </w:r>
      <w:r w:rsidRPr="000B3360">
        <w:rPr>
          <w:rFonts w:ascii="Book Antiqua" w:eastAsia="Book Antiqua" w:hAnsi="Book Antiqua" w:cs="Book Antiqua"/>
          <w:color w:val="000000"/>
        </w:rPr>
        <w:t xml:space="preserve"> in the DCT further enhances the polarity of DCT cells, which evokes an </w:t>
      </w:r>
      <w:r w:rsidRPr="000B3360">
        <w:rPr>
          <w:rFonts w:ascii="Book Antiqua" w:eastAsia="Book Antiqua" w:hAnsi="Book Antiqua" w:cs="Book Antiqua"/>
          <w:color w:val="000000"/>
          <w:shd w:val="clear" w:color="auto" w:fill="FFFFFF"/>
        </w:rPr>
        <w:t>influx</w:t>
      </w:r>
      <w:r w:rsidRPr="000B3360">
        <w:rPr>
          <w:rFonts w:ascii="Book Antiqua" w:eastAsia="Book Antiqua" w:hAnsi="Book Antiqua" w:cs="Book Antiqua"/>
          <w:color w:val="000000"/>
        </w:rPr>
        <w:t xml:space="preserve"> of </w:t>
      </w:r>
      <w:r w:rsidRPr="000B3360">
        <w:rPr>
          <w:rFonts w:ascii="Book Antiqua" w:eastAsia="Book Antiqua" w:hAnsi="Book Antiqua" w:cs="Book Antiqua"/>
          <w:color w:val="000000"/>
          <w:shd w:val="clear" w:color="auto" w:fill="FFFFFF"/>
        </w:rPr>
        <w:t xml:space="preserve">extracellular calcium ions </w:t>
      </w:r>
      <w:r w:rsidRPr="000B3360">
        <w:rPr>
          <w:rFonts w:ascii="Book Antiqua" w:eastAsia="Book Antiqua" w:hAnsi="Book Antiqua" w:cs="Book Antiqua"/>
          <w:color w:val="000000"/>
        </w:rPr>
        <w:t xml:space="preserve">and </w:t>
      </w:r>
      <w:r w:rsidRPr="000B3360">
        <w:rPr>
          <w:rFonts w:ascii="Book Antiqua" w:eastAsia="Book Antiqua" w:hAnsi="Book Antiqua" w:cs="Book Antiqua"/>
          <w:color w:val="000000"/>
          <w:shd w:val="clear" w:color="auto" w:fill="FFFFFF"/>
        </w:rPr>
        <w:t>hypocalciuria. Downregulation of</w:t>
      </w:r>
      <w:r w:rsidRPr="000B3360">
        <w:rPr>
          <w:rFonts w:ascii="Book Antiqua" w:eastAsia="Book Antiqua" w:hAnsi="Book Antiqua" w:cs="Book Antiqua"/>
          <w:color w:val="000000"/>
        </w:rPr>
        <w:t xml:space="preserve"> the DCT </w:t>
      </w:r>
      <w:r w:rsidRPr="000B3360">
        <w:rPr>
          <w:rFonts w:ascii="Book Antiqua" w:eastAsia="Book Antiqua" w:hAnsi="Book Antiqua" w:cs="Book Antiqua"/>
          <w:color w:val="000000"/>
          <w:shd w:val="clear" w:color="auto" w:fill="FFFFFF"/>
        </w:rPr>
        <w:t>epithelial</w:t>
      </w:r>
      <w:r w:rsidR="006333E0"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shd w:val="clear" w:color="auto" w:fill="FFFFFF"/>
        </w:rPr>
        <w:t>magnesium ion</w:t>
      </w:r>
      <w:r w:rsidR="006333E0"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rPr>
        <w:t>channel</w:t>
      </w:r>
      <w:r w:rsidR="006333E0"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shd w:val="clear" w:color="auto" w:fill="FFFFFF"/>
        </w:rPr>
        <w:t>transient receptor potential</w:t>
      </w:r>
      <w:r w:rsidR="006333E0"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rPr>
        <w:t>channel</w:t>
      </w:r>
      <w:r w:rsidR="006333E0"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shd w:val="clear" w:color="auto" w:fill="FFFFFF"/>
        </w:rPr>
        <w:t xml:space="preserve">subfamily M, member 6 may </w:t>
      </w:r>
      <w:r w:rsidRPr="000B3360">
        <w:rPr>
          <w:rFonts w:ascii="Book Antiqua" w:eastAsia="Book Antiqua" w:hAnsi="Book Antiqua" w:cs="Book Antiqua"/>
          <w:color w:val="000000"/>
        </w:rPr>
        <w:t xml:space="preserve">be involved in the pathogenesis </w:t>
      </w:r>
      <w:r w:rsidRPr="000B3360">
        <w:rPr>
          <w:rFonts w:ascii="Book Antiqua" w:eastAsia="Book Antiqua" w:hAnsi="Book Antiqua" w:cs="Book Antiqua"/>
          <w:color w:val="000000"/>
          <w:shd w:val="clear" w:color="auto" w:fill="FFFFFF"/>
        </w:rPr>
        <w:t>of</w:t>
      </w:r>
      <w:r w:rsidR="006333E0"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rPr>
        <w:t>hypomagnesemia</w:t>
      </w:r>
      <w:r w:rsidR="006333E0"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shd w:val="clear" w:color="auto" w:fill="FFFFFF"/>
        </w:rPr>
        <w:t>accompanying NCCT inactivation</w:t>
      </w:r>
      <w:r w:rsidRPr="000B3360">
        <w:rPr>
          <w:rFonts w:ascii="Book Antiqua" w:eastAsia="Book Antiqua" w:hAnsi="Book Antiqua" w:cs="Book Antiqua"/>
          <w:color w:val="000000"/>
          <w:shd w:val="clear" w:color="auto" w:fill="FFFFFF"/>
          <w:vertAlign w:val="superscript"/>
        </w:rPr>
        <w:t>[20]</w:t>
      </w:r>
      <w:r w:rsidRPr="000B3360">
        <w:rPr>
          <w:rFonts w:ascii="Book Antiqua" w:eastAsia="Book Antiqua" w:hAnsi="Book Antiqua" w:cs="Book Antiqua"/>
          <w:color w:val="000000"/>
          <w:shd w:val="clear" w:color="auto" w:fill="FFFFFF"/>
        </w:rPr>
        <w:t>. In addit</w:t>
      </w:r>
      <w:r w:rsidR="006333E0" w:rsidRPr="000B3360">
        <w:rPr>
          <w:rFonts w:ascii="Book Antiqua" w:eastAsia="Book Antiqua" w:hAnsi="Book Antiqua" w:cs="Book Antiqua"/>
          <w:color w:val="000000"/>
          <w:shd w:val="clear" w:color="auto" w:fill="FFFFFF"/>
        </w:rPr>
        <w:t>i</w:t>
      </w:r>
      <w:r w:rsidRPr="000B3360">
        <w:rPr>
          <w:rFonts w:ascii="Book Antiqua" w:eastAsia="Book Antiqua" w:hAnsi="Book Antiqua" w:cs="Book Antiqua"/>
          <w:color w:val="000000"/>
          <w:shd w:val="clear" w:color="auto" w:fill="FFFFFF"/>
        </w:rPr>
        <w:t>on, low serum magnesium concentration may lead to rapid relapse of GD</w:t>
      </w:r>
      <w:r w:rsidRPr="000B3360">
        <w:rPr>
          <w:rFonts w:ascii="Book Antiqua" w:eastAsia="Book Antiqua" w:hAnsi="Book Antiqua" w:cs="Book Antiqua"/>
          <w:color w:val="000000"/>
          <w:vertAlign w:val="superscript"/>
        </w:rPr>
        <w:t>[21]</w:t>
      </w:r>
      <w:r w:rsidRPr="000B3360">
        <w:rPr>
          <w:rFonts w:ascii="Book Antiqua" w:eastAsia="Book Antiqua" w:hAnsi="Book Antiqua" w:cs="Book Antiqua"/>
          <w:color w:val="000000"/>
          <w:shd w:val="clear" w:color="auto" w:fill="FFFFFF"/>
        </w:rPr>
        <w:t xml:space="preserve">. In contrast, thyroid morphology and function can be improved after </w:t>
      </w:r>
      <w:r w:rsidRPr="000B3360">
        <w:rPr>
          <w:rFonts w:ascii="Book Antiqua" w:eastAsia="Book Antiqua" w:hAnsi="Book Antiqua" w:cs="Book Antiqua"/>
          <w:color w:val="000000"/>
        </w:rPr>
        <w:t>magnesium supplementation</w:t>
      </w:r>
      <w:r w:rsidRPr="000B3360">
        <w:rPr>
          <w:rFonts w:ascii="Book Antiqua" w:eastAsia="Book Antiqua" w:hAnsi="Book Antiqua" w:cs="Book Antiqua"/>
          <w:color w:val="000000"/>
          <w:vertAlign w:val="superscript"/>
        </w:rPr>
        <w:t>[22]</w:t>
      </w:r>
      <w:r w:rsidRPr="000B3360">
        <w:rPr>
          <w:rFonts w:ascii="Book Antiqua" w:eastAsia="Book Antiqua" w:hAnsi="Book Antiqua" w:cs="Book Antiqua"/>
          <w:color w:val="000000"/>
        </w:rPr>
        <w:t>.</w:t>
      </w:r>
      <w:r w:rsidRPr="000B3360">
        <w:rPr>
          <w:rFonts w:ascii="Book Antiqua" w:eastAsia="Book Antiqua" w:hAnsi="Book Antiqua" w:cs="Book Antiqua"/>
          <w:color w:val="000000"/>
          <w:shd w:val="clear" w:color="auto" w:fill="FFFFFF"/>
        </w:rPr>
        <w:t xml:space="preserve"> With regard to </w:t>
      </w:r>
      <w:r w:rsidRPr="000B3360">
        <w:rPr>
          <w:rFonts w:ascii="Book Antiqua" w:eastAsia="Book Antiqua" w:hAnsi="Book Antiqua" w:cs="Book Antiqua"/>
          <w:color w:val="000000"/>
        </w:rPr>
        <w:t xml:space="preserve">thyroid disease, thyroid hormone directly </w:t>
      </w:r>
      <w:r w:rsidRPr="000B3360">
        <w:rPr>
          <w:rFonts w:ascii="Book Antiqua" w:eastAsia="Book Antiqua" w:hAnsi="Book Antiqua" w:cs="Book Antiqua"/>
          <w:color w:val="000000"/>
          <w:shd w:val="clear" w:color="auto" w:fill="FFFFFF"/>
        </w:rPr>
        <w:t>participates in the regulation of</w:t>
      </w:r>
      <w:r w:rsidR="006333E0"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rPr>
        <w:t>the expression and/or activity of some ion channels and transporters, including Na</w:t>
      </w:r>
      <w:r w:rsidRPr="000B3360">
        <w:rPr>
          <w:rFonts w:ascii="Book Antiqua" w:eastAsia="Book Antiqua" w:hAnsi="Book Antiqua" w:cs="Book Antiqua"/>
          <w:color w:val="000000"/>
          <w:vertAlign w:val="superscript"/>
        </w:rPr>
        <w:t>+</w:t>
      </w:r>
      <w:r w:rsidRPr="000B3360">
        <w:rPr>
          <w:rFonts w:ascii="Book Antiqua" w:eastAsia="Book Antiqua" w:hAnsi="Book Antiqua" w:cs="Book Antiqua"/>
          <w:color w:val="000000"/>
        </w:rPr>
        <w:t>-K</w:t>
      </w:r>
      <w:r w:rsidRPr="000B3360">
        <w:rPr>
          <w:rFonts w:ascii="Book Antiqua" w:eastAsia="Book Antiqua" w:hAnsi="Book Antiqua" w:cs="Book Antiqua"/>
          <w:color w:val="000000"/>
          <w:vertAlign w:val="superscript"/>
        </w:rPr>
        <w:t>+</w:t>
      </w:r>
      <w:r w:rsidRPr="000B3360">
        <w:rPr>
          <w:rFonts w:ascii="Book Antiqua" w:eastAsia="Book Antiqua" w:hAnsi="Book Antiqua" w:cs="Book Antiqua"/>
          <w:color w:val="000000"/>
        </w:rPr>
        <w:t>-ATPase and Na</w:t>
      </w:r>
      <w:r w:rsidRPr="000B3360">
        <w:rPr>
          <w:rFonts w:ascii="Book Antiqua" w:eastAsia="Book Antiqua" w:hAnsi="Book Antiqua" w:cs="Book Antiqua"/>
          <w:color w:val="000000"/>
          <w:vertAlign w:val="superscript"/>
        </w:rPr>
        <w:t>+</w:t>
      </w:r>
      <w:r w:rsidRPr="000B3360">
        <w:rPr>
          <w:rFonts w:ascii="Book Antiqua" w:eastAsia="Book Antiqua" w:hAnsi="Book Antiqua" w:cs="Book Antiqua"/>
          <w:color w:val="000000"/>
        </w:rPr>
        <w:t>-H</w:t>
      </w:r>
      <w:r w:rsidRPr="000B3360">
        <w:rPr>
          <w:rFonts w:ascii="Book Antiqua" w:eastAsia="Book Antiqua" w:hAnsi="Book Antiqua" w:cs="Book Antiqua"/>
          <w:color w:val="000000"/>
          <w:vertAlign w:val="superscript"/>
        </w:rPr>
        <w:t>+</w:t>
      </w:r>
      <w:r w:rsidRPr="000B3360">
        <w:rPr>
          <w:rFonts w:ascii="Book Antiqua" w:eastAsia="Book Antiqua" w:hAnsi="Book Antiqua" w:cs="Book Antiqua"/>
          <w:color w:val="000000"/>
        </w:rPr>
        <w:t xml:space="preserve"> exchanger</w:t>
      </w:r>
      <w:r w:rsidRPr="000B3360">
        <w:rPr>
          <w:rFonts w:ascii="Book Antiqua" w:eastAsia="Book Antiqua" w:hAnsi="Book Antiqua" w:cs="Book Antiqua"/>
          <w:color w:val="000000"/>
          <w:vertAlign w:val="superscript"/>
        </w:rPr>
        <w:t>[23]</w:t>
      </w:r>
      <w:r w:rsidRPr="000B3360">
        <w:rPr>
          <w:rFonts w:ascii="Book Antiqua" w:eastAsia="Book Antiqua" w:hAnsi="Book Antiqua" w:cs="Book Antiqua"/>
          <w:color w:val="000000"/>
        </w:rPr>
        <w:t>.</w:t>
      </w:r>
      <w:r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rPr>
        <w:t>It is well established that excess</w:t>
      </w:r>
      <w:r w:rsidR="006333E0"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triiodothyronine has an indirect effect through adrenergic stimulation, resulting in an increase in Na</w:t>
      </w:r>
      <w:r w:rsidRPr="000B3360">
        <w:rPr>
          <w:rFonts w:ascii="Book Antiqua" w:eastAsia="Book Antiqua" w:hAnsi="Book Antiqua" w:cs="Book Antiqua"/>
          <w:color w:val="000000"/>
          <w:vertAlign w:val="superscript"/>
        </w:rPr>
        <w:t>+</w:t>
      </w:r>
      <w:r w:rsidRPr="000B3360">
        <w:rPr>
          <w:rFonts w:ascii="Book Antiqua" w:eastAsia="Book Antiqua" w:hAnsi="Book Antiqua" w:cs="Book Antiqua"/>
          <w:color w:val="000000"/>
        </w:rPr>
        <w:t>-K</w:t>
      </w:r>
      <w:r w:rsidRPr="000B3360">
        <w:rPr>
          <w:rFonts w:ascii="Book Antiqua" w:eastAsia="Book Antiqua" w:hAnsi="Book Antiqua" w:cs="Book Antiqua"/>
          <w:color w:val="000000"/>
          <w:vertAlign w:val="superscript"/>
        </w:rPr>
        <w:t>+</w:t>
      </w:r>
      <w:r w:rsidRPr="000B3360">
        <w:rPr>
          <w:rFonts w:ascii="Book Antiqua" w:eastAsia="Book Antiqua" w:hAnsi="Book Antiqua" w:cs="Book Antiqua"/>
          <w:color w:val="000000"/>
        </w:rPr>
        <w:t>-ATPase pump activity</w:t>
      </w:r>
      <w:r w:rsidRPr="000B3360">
        <w:rPr>
          <w:rFonts w:ascii="Book Antiqua" w:eastAsia="Book Antiqua" w:hAnsi="Book Antiqua" w:cs="Book Antiqua"/>
          <w:color w:val="000000"/>
          <w:vertAlign w:val="superscript"/>
        </w:rPr>
        <w:t>[24]</w:t>
      </w:r>
      <w:r w:rsidRPr="000B3360">
        <w:rPr>
          <w:rFonts w:ascii="Book Antiqua" w:eastAsia="Book Antiqua" w:hAnsi="Book Antiqua" w:cs="Book Antiqua"/>
          <w:color w:val="000000"/>
        </w:rPr>
        <w:t>. The Na</w:t>
      </w:r>
      <w:r w:rsidRPr="000B3360">
        <w:rPr>
          <w:rFonts w:ascii="Book Antiqua" w:eastAsia="Book Antiqua" w:hAnsi="Book Antiqua" w:cs="Book Antiqua"/>
          <w:color w:val="000000"/>
          <w:vertAlign w:val="superscript"/>
        </w:rPr>
        <w:t>+</w:t>
      </w:r>
      <w:r w:rsidRPr="000B3360">
        <w:rPr>
          <w:rFonts w:ascii="Book Antiqua" w:eastAsia="Book Antiqua" w:hAnsi="Book Antiqua" w:cs="Book Antiqua"/>
          <w:color w:val="000000"/>
        </w:rPr>
        <w:t>-K</w:t>
      </w:r>
      <w:r w:rsidRPr="000B3360">
        <w:rPr>
          <w:rFonts w:ascii="Book Antiqua" w:eastAsia="Book Antiqua" w:hAnsi="Book Antiqua" w:cs="Book Antiqua"/>
          <w:color w:val="000000"/>
          <w:vertAlign w:val="superscript"/>
        </w:rPr>
        <w:t>+</w:t>
      </w:r>
      <w:r w:rsidRPr="000B3360">
        <w:rPr>
          <w:rFonts w:ascii="Book Antiqua" w:eastAsia="Book Antiqua" w:hAnsi="Book Antiqua" w:cs="Book Antiqua"/>
          <w:color w:val="000000"/>
        </w:rPr>
        <w:t>-ATPase pump activity in untreated patients with THPP is higher than that in other</w:t>
      </w:r>
      <w:r w:rsidR="006333E0"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subjects with thyrotoxicity</w:t>
      </w:r>
      <w:r w:rsidRPr="000B3360">
        <w:rPr>
          <w:rFonts w:ascii="Book Antiqua" w:eastAsia="Book Antiqua" w:hAnsi="Book Antiqua" w:cs="Book Antiqua"/>
          <w:color w:val="000000"/>
          <w:vertAlign w:val="superscript"/>
        </w:rPr>
        <w:t>[25]</w:t>
      </w:r>
      <w:r w:rsidRPr="000B3360">
        <w:rPr>
          <w:rFonts w:ascii="Book Antiqua" w:eastAsia="Book Antiqua" w:hAnsi="Book Antiqua" w:cs="Book Antiqua"/>
          <w:color w:val="000000"/>
        </w:rPr>
        <w:t xml:space="preserve">. These may exacerbate </w:t>
      </w:r>
      <w:r w:rsidRPr="000B3360">
        <w:rPr>
          <w:rFonts w:ascii="Book Antiqua" w:eastAsia="Book Antiqua" w:hAnsi="Book Antiqua" w:cs="Book Antiqua"/>
          <w:color w:val="000000"/>
        </w:rPr>
        <w:lastRenderedPageBreak/>
        <w:t>the clinical features of GS. In the present case, the patient</w:t>
      </w:r>
      <w:r w:rsidR="006D1517" w:rsidRPr="000B3360">
        <w:rPr>
          <w:rFonts w:ascii="Book Antiqua" w:eastAsia="Book Antiqua" w:hAnsi="Book Antiqua" w:cs="Book Antiqua"/>
          <w:color w:val="000000"/>
        </w:rPr>
        <w:t>’</w:t>
      </w:r>
      <w:r w:rsidRPr="000B3360">
        <w:rPr>
          <w:rFonts w:ascii="Book Antiqua" w:eastAsia="Book Antiqua" w:hAnsi="Book Antiqua" w:cs="Book Antiqua"/>
          <w:color w:val="000000"/>
        </w:rPr>
        <w:t xml:space="preserve">s clinical symptoms were relieved after comprehensive treatment including </w:t>
      </w:r>
      <w:r w:rsidRPr="000B3360">
        <w:rPr>
          <w:rFonts w:ascii="Book Antiqua" w:eastAsia="Book Antiqua" w:hAnsi="Book Antiqua" w:cs="Book Antiqua"/>
          <w:color w:val="000000"/>
          <w:shd w:val="clear" w:color="auto" w:fill="FFFFFF"/>
        </w:rPr>
        <w:t>potassium</w:t>
      </w:r>
      <w:r w:rsidRPr="000B3360">
        <w:rPr>
          <w:rFonts w:ascii="Book Antiqua" w:eastAsia="Book Antiqua" w:hAnsi="Book Antiqua" w:cs="Book Antiqua"/>
          <w:color w:val="000000"/>
        </w:rPr>
        <w:t xml:space="preserve"> and magnesium supplementation and improvement of thyroid function. Indeed, </w:t>
      </w:r>
      <w:r w:rsidRPr="000B3360">
        <w:rPr>
          <w:rFonts w:ascii="Book Antiqua" w:eastAsia="Book Antiqua" w:hAnsi="Book Antiqua" w:cs="Book Antiqua"/>
          <w:color w:val="000000"/>
          <w:shd w:val="clear" w:color="auto" w:fill="FFFFFF"/>
        </w:rPr>
        <w:t>available</w:t>
      </w:r>
      <w:r w:rsidRPr="000B3360">
        <w:rPr>
          <w:rFonts w:ascii="Book Antiqua" w:eastAsia="Book Antiqua" w:hAnsi="Book Antiqua" w:cs="Book Antiqua"/>
          <w:color w:val="000000"/>
        </w:rPr>
        <w:t xml:space="preserve"> evidence indicates that THPP results from a combination of genetics, thyrotoxicosis, and the environment</w:t>
      </w:r>
      <w:r w:rsidRPr="000B3360">
        <w:rPr>
          <w:rFonts w:ascii="Book Antiqua" w:eastAsia="Book Antiqua" w:hAnsi="Book Antiqua" w:cs="Book Antiqua"/>
          <w:color w:val="000000"/>
          <w:vertAlign w:val="superscript"/>
        </w:rPr>
        <w:t>[24]</w:t>
      </w:r>
      <w:r w:rsidRPr="000B3360">
        <w:rPr>
          <w:rFonts w:ascii="Book Antiqua" w:eastAsia="Book Antiqua" w:hAnsi="Book Antiqua" w:cs="Book Antiqua"/>
          <w:color w:val="000000"/>
        </w:rPr>
        <w:t>.</w:t>
      </w:r>
      <w:r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i/>
          <w:iCs/>
          <w:color w:val="000000"/>
          <w:shd w:val="clear" w:color="auto" w:fill="FFFFFF"/>
        </w:rPr>
        <w:t>SLC12A3</w:t>
      </w:r>
      <w:r w:rsidRPr="000B3360">
        <w:rPr>
          <w:rFonts w:ascii="Book Antiqua" w:eastAsia="Book Antiqua" w:hAnsi="Book Antiqua" w:cs="Book Antiqua"/>
          <w:color w:val="000000"/>
          <w:shd w:val="clear" w:color="auto" w:fill="FFFFFF"/>
        </w:rPr>
        <w:t xml:space="preserve"> is composed of 26 exons (&gt;</w:t>
      </w:r>
      <w:r w:rsidR="006D1517"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shd w:val="clear" w:color="auto" w:fill="FFFFFF"/>
        </w:rPr>
        <w:t>130</w:t>
      </w:r>
      <w:r w:rsidRPr="000B3360">
        <w:rPr>
          <w:rFonts w:ascii="MS Mincho" w:eastAsia="MS Mincho" w:hAnsi="MS Mincho" w:cs="MS Mincho" w:hint="eastAsia"/>
          <w:color w:val="000000"/>
          <w:shd w:val="clear" w:color="auto" w:fill="FFFFFF"/>
        </w:rPr>
        <w:t> </w:t>
      </w:r>
      <w:r w:rsidRPr="000B3360">
        <w:rPr>
          <w:rFonts w:ascii="Book Antiqua" w:eastAsia="Book Antiqua" w:hAnsi="Book Antiqua" w:cs="Book Antiqua"/>
          <w:color w:val="000000"/>
          <w:shd w:val="clear" w:color="auto" w:fill="FFFFFF"/>
        </w:rPr>
        <w:t>kb</w:t>
      </w:r>
      <w:r w:rsidRPr="000B3360">
        <w:rPr>
          <w:rFonts w:ascii="Book Antiqua" w:eastAsia="Book Antiqua" w:hAnsi="Book Antiqua" w:cs="Book Antiqua"/>
          <w:color w:val="000000"/>
        </w:rPr>
        <w:t xml:space="preserve">). To date, all </w:t>
      </w:r>
      <w:r w:rsidRPr="000B3360">
        <w:rPr>
          <w:rFonts w:ascii="Book Antiqua" w:eastAsia="Book Antiqua" w:hAnsi="Book Antiqua" w:cs="Book Antiqua"/>
          <w:color w:val="000000"/>
          <w:shd w:val="clear" w:color="auto" w:fill="FFFFFF"/>
        </w:rPr>
        <w:t>the identified mutations are widely distributed along 26 exons and some introns of</w:t>
      </w:r>
      <w:r w:rsidR="006D1517"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i/>
          <w:iCs/>
          <w:color w:val="000000"/>
          <w:shd w:val="clear" w:color="auto" w:fill="FFFFFF"/>
        </w:rPr>
        <w:t>SLC12A3.</w:t>
      </w:r>
      <w:r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rPr>
        <w:t>Combined</w:t>
      </w:r>
      <w:r w:rsidRPr="000B3360">
        <w:rPr>
          <w:rFonts w:ascii="Book Antiqua" w:eastAsia="Book Antiqua" w:hAnsi="Book Antiqua" w:cs="Book Antiqua"/>
          <w:color w:val="000000"/>
          <w:shd w:val="clear" w:color="auto" w:fill="FFFFFF"/>
        </w:rPr>
        <w:t xml:space="preserve"> heterozygosity with different mutations </w:t>
      </w:r>
      <w:r w:rsidR="005C29DE" w:rsidRPr="000B3360">
        <w:rPr>
          <w:rFonts w:ascii="Book Antiqua" w:eastAsia="Book Antiqua" w:hAnsi="Book Antiqua" w:cs="Book Antiqua"/>
          <w:color w:val="000000"/>
          <w:shd w:val="clear" w:color="auto" w:fill="FFFFFF"/>
        </w:rPr>
        <w:t xml:space="preserve">in </w:t>
      </w:r>
      <w:r w:rsidRPr="000B3360">
        <w:rPr>
          <w:rFonts w:ascii="Book Antiqua" w:eastAsia="Book Antiqua" w:hAnsi="Book Antiqua" w:cs="Book Antiqua"/>
          <w:color w:val="000000"/>
          <w:shd w:val="clear" w:color="auto" w:fill="FFFFFF"/>
        </w:rPr>
        <w:t>each allele is the most frequent variant</w:t>
      </w:r>
      <w:r w:rsidRPr="000B3360">
        <w:rPr>
          <w:rFonts w:ascii="Book Antiqua" w:eastAsia="Book Antiqua" w:hAnsi="Book Antiqua" w:cs="Book Antiqua"/>
          <w:color w:val="000000"/>
        </w:rPr>
        <w:t>,</w:t>
      </w:r>
      <w:r w:rsidRPr="000B3360">
        <w:rPr>
          <w:rFonts w:ascii="Book Antiqua" w:eastAsia="Book Antiqua" w:hAnsi="Book Antiqua" w:cs="Book Antiqua"/>
          <w:color w:val="000000"/>
          <w:shd w:val="clear" w:color="auto" w:fill="FFFFFF"/>
        </w:rPr>
        <w:t xml:space="preserve"> with missense mutation being the most common type</w:t>
      </w:r>
      <w:r w:rsidRPr="000B3360">
        <w:rPr>
          <w:rFonts w:ascii="Book Antiqua" w:eastAsia="Book Antiqua" w:hAnsi="Book Antiqua" w:cs="Book Antiqua"/>
          <w:color w:val="000000"/>
          <w:shd w:val="clear" w:color="auto" w:fill="FFFFFF"/>
          <w:vertAlign w:val="superscript"/>
        </w:rPr>
        <w:t>[26</w:t>
      </w:r>
      <w:r w:rsidR="006D1517" w:rsidRPr="000B3360">
        <w:rPr>
          <w:rFonts w:ascii="Book Antiqua" w:eastAsia="Book Antiqua" w:hAnsi="Book Antiqua" w:cs="Book Antiqua"/>
          <w:color w:val="000000"/>
          <w:shd w:val="clear" w:color="auto" w:fill="FFFFFF"/>
          <w:vertAlign w:val="superscript"/>
        </w:rPr>
        <w:t>-</w:t>
      </w:r>
      <w:r w:rsidRPr="000B3360">
        <w:rPr>
          <w:rFonts w:ascii="Book Antiqua" w:eastAsia="Book Antiqua" w:hAnsi="Book Antiqua" w:cs="Book Antiqua"/>
          <w:color w:val="000000"/>
          <w:shd w:val="clear" w:color="auto" w:fill="FFFFFF"/>
          <w:vertAlign w:val="superscript"/>
        </w:rPr>
        <w:t>28]</w:t>
      </w:r>
      <w:r w:rsidRPr="000B3360">
        <w:rPr>
          <w:rFonts w:ascii="Book Antiqua" w:eastAsia="Book Antiqua" w:hAnsi="Book Antiqua" w:cs="Book Antiqua"/>
          <w:color w:val="000000"/>
          <w:shd w:val="clear" w:color="auto" w:fill="FFFFFF"/>
        </w:rPr>
        <w:t xml:space="preserve">. Notably, compound heterozygosity is a frequent occurrence in patients with GS </w:t>
      </w:r>
      <w:r w:rsidRPr="000B3360">
        <w:rPr>
          <w:rFonts w:ascii="Book Antiqua" w:eastAsia="Book Antiqua" w:hAnsi="Book Antiqua" w:cs="Book Antiqua"/>
          <w:color w:val="000000"/>
        </w:rPr>
        <w:t>coexisting with</w:t>
      </w:r>
      <w:r w:rsidRPr="000B3360">
        <w:rPr>
          <w:rFonts w:ascii="Book Antiqua" w:eastAsia="Book Antiqua" w:hAnsi="Book Antiqua" w:cs="Book Antiqua"/>
          <w:color w:val="000000"/>
          <w:shd w:val="clear" w:color="auto" w:fill="FFFFFF"/>
        </w:rPr>
        <w:t xml:space="preserve"> AITD (Table </w:t>
      </w:r>
      <w:r w:rsidR="00674C6B" w:rsidRPr="000B3360">
        <w:rPr>
          <w:rFonts w:ascii="Book Antiqua" w:eastAsia="Book Antiqua" w:hAnsi="Book Antiqua" w:cs="Book Antiqua"/>
          <w:color w:val="000000"/>
          <w:shd w:val="clear" w:color="auto" w:fill="FFFFFF"/>
        </w:rPr>
        <w:t>3</w:t>
      </w:r>
      <w:r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rPr>
        <w:t xml:space="preserve">In the present case, triple mutations, including two missense mutations and one frameshift duplication, were identified. Triple mutations, with one mutation in one </w:t>
      </w:r>
      <w:r w:rsidRPr="000B3360">
        <w:rPr>
          <w:rFonts w:ascii="Book Antiqua" w:eastAsia="Book Antiqua" w:hAnsi="Book Antiqua" w:cs="Book Antiqua"/>
          <w:color w:val="000000"/>
          <w:shd w:val="clear" w:color="auto" w:fill="FFFFFF"/>
        </w:rPr>
        <w:t>allele, have increasingly been reported in several studies</w:t>
      </w:r>
      <w:r w:rsidRPr="000B3360">
        <w:rPr>
          <w:rFonts w:ascii="Book Antiqua" w:eastAsia="Book Antiqua" w:hAnsi="Book Antiqua" w:cs="Book Antiqua"/>
          <w:color w:val="000000"/>
          <w:shd w:val="clear" w:color="auto" w:fill="FFFFFF"/>
          <w:vertAlign w:val="superscript"/>
        </w:rPr>
        <w:t>[26,28,29]</w:t>
      </w:r>
      <w:r w:rsidRPr="000B3360">
        <w:rPr>
          <w:rFonts w:ascii="Book Antiqua" w:eastAsia="Book Antiqua" w:hAnsi="Book Antiqua" w:cs="Book Antiqua"/>
          <w:color w:val="000000"/>
          <w:shd w:val="clear" w:color="auto" w:fill="FFFFFF"/>
        </w:rPr>
        <w:t xml:space="preserve">. Interestingly, </w:t>
      </w:r>
      <w:r w:rsidR="005C29DE" w:rsidRPr="000B3360">
        <w:rPr>
          <w:rFonts w:ascii="Book Antiqua" w:eastAsia="Book Antiqua" w:hAnsi="Book Antiqua" w:cs="Book Antiqua"/>
          <w:color w:val="000000"/>
          <w:shd w:val="clear" w:color="auto" w:fill="FFFFFF"/>
        </w:rPr>
        <w:t xml:space="preserve">the </w:t>
      </w:r>
      <w:r w:rsidRPr="000B3360">
        <w:rPr>
          <w:rFonts w:ascii="Book Antiqua" w:eastAsia="Book Antiqua" w:hAnsi="Book Antiqua" w:cs="Book Antiqua"/>
          <w:color w:val="000000"/>
          <w:shd w:val="clear" w:color="auto" w:fill="FFFFFF"/>
        </w:rPr>
        <w:t xml:space="preserve">mutations </w:t>
      </w:r>
      <w:r w:rsidRPr="000B3360">
        <w:rPr>
          <w:rFonts w:ascii="Book Antiqua" w:eastAsia="Book Antiqua" w:hAnsi="Book Antiqua" w:cs="Book Antiqua"/>
          <w:color w:val="000000"/>
        </w:rPr>
        <w:t>p.Thr163Met and p.Arg871His are consistent with our findings</w:t>
      </w:r>
      <w:r w:rsidRPr="000B3360">
        <w:rPr>
          <w:rFonts w:ascii="Book Antiqua" w:eastAsia="Book Antiqua" w:hAnsi="Book Antiqua" w:cs="Book Antiqua"/>
          <w:color w:val="000000"/>
          <w:shd w:val="clear" w:color="auto" w:fill="FFFFFF"/>
        </w:rPr>
        <w:t xml:space="preserve"> on the same allele in unrelated</w:t>
      </w:r>
      <w:r w:rsidR="006D1517"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shd w:val="clear" w:color="auto" w:fill="FFFFFF"/>
        </w:rPr>
        <w:t xml:space="preserve">Chinese-Taiwanese GS patients with triple mutations implying linkage disequilibrium, suggesting </w:t>
      </w:r>
      <w:r w:rsidRPr="000B3360">
        <w:rPr>
          <w:rFonts w:ascii="Book Antiqua" w:eastAsia="Book Antiqua" w:hAnsi="Book Antiqua" w:cs="Book Antiqua"/>
          <w:color w:val="000000"/>
        </w:rPr>
        <w:t>that there may be many</w:t>
      </w:r>
      <w:r w:rsidRPr="000B3360">
        <w:rPr>
          <w:rFonts w:ascii="Book Antiqua" w:eastAsia="Book Antiqua" w:hAnsi="Book Antiqua" w:cs="Book Antiqua"/>
          <w:color w:val="000000"/>
          <w:shd w:val="clear" w:color="auto" w:fill="FFFFFF"/>
        </w:rPr>
        <w:t xml:space="preserve"> hot spot mutations in </w:t>
      </w:r>
      <w:r w:rsidRPr="000B3360">
        <w:rPr>
          <w:rFonts w:ascii="Book Antiqua" w:eastAsia="Book Antiqua" w:hAnsi="Book Antiqua" w:cs="Book Antiqua"/>
          <w:i/>
          <w:iCs/>
          <w:color w:val="000000"/>
          <w:shd w:val="clear" w:color="auto" w:fill="FFFFFF"/>
        </w:rPr>
        <w:t>SLC12A3</w:t>
      </w:r>
      <w:r w:rsidRPr="000B3360">
        <w:rPr>
          <w:rFonts w:ascii="Book Antiqua" w:eastAsia="Book Antiqua" w:hAnsi="Book Antiqua" w:cs="Book Antiqua"/>
          <w:color w:val="000000"/>
          <w:shd w:val="clear" w:color="auto" w:fill="FFFFFF"/>
          <w:vertAlign w:val="superscript"/>
        </w:rPr>
        <w:t>[26]</w:t>
      </w:r>
      <w:r w:rsidR="00754FCD" w:rsidRPr="000B3360">
        <w:rPr>
          <w:rFonts w:ascii="Book Antiqua" w:eastAsia="Book Antiqua" w:hAnsi="Book Antiqua" w:cs="Book Antiqua"/>
          <w:color w:val="000000"/>
        </w:rPr>
        <w:t xml:space="preserve"> (Figure 2)</w:t>
      </w:r>
      <w:r w:rsidRPr="000B3360">
        <w:rPr>
          <w:rFonts w:ascii="Book Antiqua" w:eastAsia="Book Antiqua" w:hAnsi="Book Antiqua" w:cs="Book Antiqua"/>
          <w:i/>
          <w:iCs/>
          <w:color w:val="000000"/>
          <w:shd w:val="clear" w:color="auto" w:fill="FFFFFF"/>
        </w:rPr>
        <w:t xml:space="preserve">. </w:t>
      </w:r>
      <w:r w:rsidRPr="000B3360">
        <w:rPr>
          <w:rFonts w:ascii="Book Antiqua" w:eastAsia="Book Antiqua" w:hAnsi="Book Antiqua" w:cs="Book Antiqua"/>
          <w:color w:val="000000"/>
          <w:shd w:val="clear" w:color="auto" w:fill="FFFFFF"/>
        </w:rPr>
        <w:t>In contrast, the recurrent mutations are very different in Japanese and European GS patients</w:t>
      </w:r>
      <w:r w:rsidRPr="000B3360">
        <w:rPr>
          <w:rFonts w:ascii="Book Antiqua" w:eastAsia="Book Antiqua" w:hAnsi="Book Antiqua" w:cs="Book Antiqua"/>
          <w:color w:val="000000"/>
          <w:shd w:val="clear" w:color="auto" w:fill="FFFFFF"/>
          <w:vertAlign w:val="superscript"/>
        </w:rPr>
        <w:t>[30,31]</w:t>
      </w:r>
      <w:r w:rsidRPr="000B3360">
        <w:rPr>
          <w:rFonts w:ascii="Book Antiqua" w:eastAsia="Book Antiqua" w:hAnsi="Book Antiqua" w:cs="Book Antiqua"/>
          <w:i/>
          <w:iCs/>
          <w:color w:val="000000"/>
          <w:shd w:val="clear" w:color="auto" w:fill="FFFFFF"/>
        </w:rPr>
        <w:t xml:space="preserve">. </w:t>
      </w:r>
      <w:r w:rsidRPr="000B3360">
        <w:rPr>
          <w:rFonts w:ascii="Book Antiqua" w:eastAsia="Book Antiqua" w:hAnsi="Book Antiqua" w:cs="Book Antiqua"/>
          <w:color w:val="000000"/>
          <w:shd w:val="clear" w:color="auto" w:fill="FFFFFF"/>
        </w:rPr>
        <w:t>Screening these mutational hotspots will help us gain a better understanding of the genetic characteristics of GS in different</w:t>
      </w:r>
      <w:r w:rsidRPr="000B3360">
        <w:rPr>
          <w:rFonts w:ascii="Book Antiqua" w:eastAsia="Book Antiqua" w:hAnsi="Book Antiqua" w:cs="Book Antiqua"/>
          <w:i/>
          <w:iCs/>
          <w:color w:val="000000"/>
          <w:shd w:val="clear" w:color="auto" w:fill="FFFFFF"/>
        </w:rPr>
        <w:t xml:space="preserve"> </w:t>
      </w:r>
      <w:r w:rsidRPr="000B3360">
        <w:rPr>
          <w:rFonts w:ascii="Book Antiqua" w:eastAsia="Book Antiqua" w:hAnsi="Book Antiqua" w:cs="Book Antiqua"/>
          <w:color w:val="000000"/>
          <w:shd w:val="clear" w:color="auto" w:fill="FFFFFF"/>
        </w:rPr>
        <w:t xml:space="preserve">ethnicities. However, GS was observed with a diversity of clinical manifestations ranging from </w:t>
      </w:r>
      <w:r w:rsidR="005C29DE" w:rsidRPr="000B3360">
        <w:rPr>
          <w:rFonts w:ascii="Book Antiqua" w:eastAsia="Book Antiqua" w:hAnsi="Book Antiqua" w:cs="Book Antiqua"/>
          <w:color w:val="000000"/>
          <w:shd w:val="clear" w:color="auto" w:fill="FFFFFF"/>
        </w:rPr>
        <w:t xml:space="preserve">being </w:t>
      </w:r>
      <w:r w:rsidRPr="000B3360">
        <w:rPr>
          <w:rFonts w:ascii="Book Antiqua" w:eastAsia="Book Antiqua" w:hAnsi="Book Antiqua" w:cs="Book Antiqua"/>
          <w:color w:val="000000"/>
          <w:shd w:val="clear" w:color="auto" w:fill="FFFFFF"/>
        </w:rPr>
        <w:t>asymptomatic, fatigue, numbness, paresthesia, and neuromuscular weakness to paralysis or fatal arrhythmia</w:t>
      </w:r>
      <w:r w:rsidRPr="000B3360">
        <w:rPr>
          <w:rFonts w:ascii="Book Antiqua" w:eastAsia="Book Antiqua" w:hAnsi="Book Antiqua" w:cs="Book Antiqua"/>
          <w:color w:val="000000"/>
          <w:shd w:val="clear" w:color="auto" w:fill="FFFFFF"/>
          <w:vertAlign w:val="superscript"/>
        </w:rPr>
        <w:t>[32-34]</w:t>
      </w:r>
      <w:r w:rsidRPr="000B3360">
        <w:rPr>
          <w:rFonts w:ascii="Book Antiqua" w:eastAsia="Book Antiqua" w:hAnsi="Book Antiqua" w:cs="Book Antiqua"/>
          <w:color w:val="000000"/>
          <w:shd w:val="clear" w:color="auto" w:fill="FFFFFF"/>
        </w:rPr>
        <w:t xml:space="preserve">. Because </w:t>
      </w:r>
      <w:r w:rsidRPr="000B3360">
        <w:rPr>
          <w:rFonts w:ascii="Book Antiqua" w:eastAsia="Book Antiqua" w:hAnsi="Book Antiqua" w:cs="Book Antiqua"/>
          <w:color w:val="000000"/>
        </w:rPr>
        <w:t xml:space="preserve">direct sequencing does not necessarily cover large genomic rearrangements, a small number of false-negative genetic cases may be included in unsolved cases. </w:t>
      </w:r>
      <w:r w:rsidRPr="000B3360">
        <w:rPr>
          <w:rFonts w:ascii="Book Antiqua" w:eastAsia="Book Antiqua" w:hAnsi="Book Antiqua" w:cs="Book Antiqua"/>
          <w:color w:val="000000"/>
          <w:shd w:val="clear" w:color="auto" w:fill="FFFFFF"/>
        </w:rPr>
        <w:t>Although much research has already been conducted,</w:t>
      </w:r>
      <w:r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shd w:val="clear" w:color="auto" w:fill="FFFFFF"/>
        </w:rPr>
        <w:t xml:space="preserve">the association between phenotype and genotype in </w:t>
      </w:r>
      <w:r w:rsidRPr="000B3360">
        <w:rPr>
          <w:rFonts w:ascii="Book Antiqua" w:eastAsia="Book Antiqua" w:hAnsi="Book Antiqua" w:cs="Book Antiqua"/>
          <w:i/>
          <w:iCs/>
          <w:color w:val="000000"/>
          <w:shd w:val="clear" w:color="auto" w:fill="FFFFFF"/>
        </w:rPr>
        <w:t xml:space="preserve">SLC12A3 </w:t>
      </w:r>
      <w:r w:rsidRPr="000B3360">
        <w:rPr>
          <w:rFonts w:ascii="Book Antiqua" w:eastAsia="Book Antiqua" w:hAnsi="Book Antiqua" w:cs="Book Antiqua"/>
          <w:color w:val="000000"/>
          <w:shd w:val="clear" w:color="auto" w:fill="FFFFFF"/>
        </w:rPr>
        <w:t>remains obscure. Here</w:t>
      </w:r>
      <w:r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shd w:val="clear" w:color="auto" w:fill="FFFFFF"/>
        </w:rPr>
        <w:t>we summarize representative studies in different ethnic groups.</w:t>
      </w:r>
      <w:r w:rsidR="006D1517"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shd w:val="clear" w:color="auto" w:fill="FFFFFF"/>
        </w:rPr>
        <w:t>Among these constructive studies, GS genotypes caused by splicing, frameshift</w:t>
      </w:r>
      <w:r w:rsidRPr="000B3360">
        <w:rPr>
          <w:rFonts w:ascii="Book Antiqua" w:eastAsia="Book Antiqua" w:hAnsi="Book Antiqua" w:cs="Book Antiqua"/>
          <w:color w:val="000000"/>
        </w:rPr>
        <w:t>,</w:t>
      </w:r>
      <w:r w:rsidRPr="000B3360">
        <w:rPr>
          <w:rFonts w:ascii="Book Antiqua" w:eastAsia="Book Antiqua" w:hAnsi="Book Antiqua" w:cs="Book Antiqua"/>
          <w:color w:val="000000"/>
          <w:shd w:val="clear" w:color="auto" w:fill="FFFFFF"/>
        </w:rPr>
        <w:t xml:space="preserve"> and missense mutations are prone to a more severe phenotype than the other genotypes,</w:t>
      </w:r>
      <w:r w:rsidR="006D1517"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shd w:val="clear" w:color="auto" w:fill="FFFFFF"/>
        </w:rPr>
        <w:t xml:space="preserve">whereas </w:t>
      </w:r>
      <w:r w:rsidRPr="000B3360">
        <w:rPr>
          <w:rFonts w:ascii="Book Antiqua" w:eastAsia="Book Antiqua" w:hAnsi="Book Antiqua" w:cs="Book Antiqua"/>
          <w:color w:val="000000"/>
        </w:rPr>
        <w:t>GS patients with two or more mutations</w:t>
      </w:r>
      <w:r w:rsidRPr="000B3360">
        <w:rPr>
          <w:rFonts w:ascii="Book Antiqua" w:eastAsia="Book Antiqua" w:hAnsi="Book Antiqua" w:cs="Book Antiqua"/>
          <w:color w:val="000000"/>
          <w:shd w:val="clear" w:color="auto" w:fill="FFFFFF"/>
        </w:rPr>
        <w:t xml:space="preserve"> may also present with more severe clinical manifestations</w:t>
      </w:r>
      <w:r w:rsidRPr="000B3360">
        <w:rPr>
          <w:rFonts w:ascii="Book Antiqua" w:eastAsia="Book Antiqua" w:hAnsi="Book Antiqua" w:cs="Book Antiqua"/>
          <w:color w:val="000000"/>
          <w:shd w:val="clear" w:color="auto" w:fill="FFFFFF"/>
          <w:vertAlign w:val="superscript"/>
        </w:rPr>
        <w:t>[29,31,35,36]</w:t>
      </w:r>
      <w:r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shd w:val="clear" w:color="auto" w:fill="FFFFFF"/>
        </w:rPr>
        <w:lastRenderedPageBreak/>
        <w:t>Additionally, male</w:t>
      </w:r>
      <w:r w:rsidR="006D1517"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rPr>
        <w:t>patients</w:t>
      </w:r>
      <w:r w:rsidR="006D1517"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shd w:val="clear" w:color="auto" w:fill="FFFFFF"/>
        </w:rPr>
        <w:t>with GS have an earlier age of onset and more severe hypokalemia, suggesting that gender is an important factor</w:t>
      </w:r>
      <w:r w:rsidRPr="000B3360">
        <w:rPr>
          <w:rFonts w:ascii="Book Antiqua" w:eastAsia="Book Antiqua" w:hAnsi="Book Antiqua" w:cs="Book Antiqua"/>
          <w:color w:val="000000"/>
          <w:shd w:val="clear" w:color="auto" w:fill="FFFFFF"/>
          <w:vertAlign w:val="superscript"/>
        </w:rPr>
        <w:t>[36]</w:t>
      </w:r>
      <w:r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rPr>
        <w:t xml:space="preserve">Defining an association between phenotype and </w:t>
      </w:r>
      <w:r w:rsidRPr="000B3360">
        <w:rPr>
          <w:rFonts w:ascii="Book Antiqua" w:eastAsia="Book Antiqua" w:hAnsi="Book Antiqua" w:cs="Book Antiqua"/>
          <w:color w:val="000000"/>
          <w:shd w:val="clear" w:color="auto" w:fill="FFFFFF"/>
        </w:rPr>
        <w:t>genotype</w:t>
      </w:r>
      <w:r w:rsidRPr="000B3360">
        <w:rPr>
          <w:rFonts w:ascii="Book Antiqua" w:eastAsia="Book Antiqua" w:hAnsi="Book Antiqua" w:cs="Book Antiqua"/>
          <w:color w:val="000000"/>
        </w:rPr>
        <w:t xml:space="preserve"> is practically challenging. </w:t>
      </w:r>
      <w:r w:rsidRPr="000B3360">
        <w:rPr>
          <w:rFonts w:ascii="Book Antiqua" w:eastAsia="Book Antiqua" w:hAnsi="Book Antiqua" w:cs="Book Antiqua"/>
          <w:color w:val="000000"/>
          <w:shd w:val="clear" w:color="auto" w:fill="FFFFFF"/>
        </w:rPr>
        <w:t>However, further research is needed to clarify this relationship.</w:t>
      </w:r>
      <w:r w:rsidR="006D1517" w:rsidRPr="000B3360">
        <w:rPr>
          <w:rFonts w:ascii="Book Antiqua" w:hAnsi="Book Antiqua"/>
          <w:lang w:eastAsia="zh-CN"/>
        </w:rPr>
        <w:t xml:space="preserve"> </w:t>
      </w:r>
      <w:r w:rsidRPr="000B3360">
        <w:rPr>
          <w:rFonts w:ascii="Book Antiqua" w:eastAsia="Book Antiqua" w:hAnsi="Book Antiqua" w:cs="Book Antiqua"/>
          <w:color w:val="000000"/>
          <w:shd w:val="clear" w:color="auto" w:fill="FFFFFF"/>
        </w:rPr>
        <w:t>This study has some limitations. First, the research is limited to published studies that may miss some of the gray and/or non-English language literature. Second, only those GS patients who were confirmed by genetic testing were included in this study.</w:t>
      </w:r>
    </w:p>
    <w:p w14:paraId="1E465CB8" w14:textId="77777777" w:rsidR="00A77B3E" w:rsidRPr="000B3360" w:rsidRDefault="00A77B3E" w:rsidP="00CA6D9F">
      <w:pPr>
        <w:spacing w:line="360" w:lineRule="auto"/>
        <w:jc w:val="both"/>
        <w:rPr>
          <w:rFonts w:ascii="Book Antiqua" w:hAnsi="Book Antiqua"/>
        </w:rPr>
      </w:pPr>
    </w:p>
    <w:p w14:paraId="0C5FAFED"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caps/>
          <w:color w:val="000000"/>
          <w:u w:val="single"/>
        </w:rPr>
        <w:t>CONCLUSION</w:t>
      </w:r>
    </w:p>
    <w:p w14:paraId="4DECC999"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W</w:t>
      </w:r>
      <w:r w:rsidRPr="000B3360">
        <w:rPr>
          <w:rFonts w:ascii="Book Antiqua" w:eastAsia="Book Antiqua" w:hAnsi="Book Antiqua" w:cs="Book Antiqua"/>
          <w:color w:val="000000"/>
          <w:shd w:val="clear" w:color="auto" w:fill="FFFFFF"/>
        </w:rPr>
        <w:t>e have identified a novel</w:t>
      </w:r>
      <w:r w:rsidRPr="000B3360">
        <w:rPr>
          <w:rFonts w:ascii="Book Antiqua" w:eastAsia="Book Antiqua" w:hAnsi="Book Antiqua" w:cs="Book Antiqua"/>
          <w:color w:val="000000"/>
        </w:rPr>
        <w:t xml:space="preserve"> compound heterozygous</w:t>
      </w:r>
      <w:r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rPr>
        <w:t>mutation in</w:t>
      </w:r>
      <w:r w:rsidRPr="000B3360">
        <w:rPr>
          <w:rFonts w:ascii="Book Antiqua" w:eastAsia="Book Antiqua" w:hAnsi="Book Antiqua" w:cs="Book Antiqua"/>
          <w:i/>
          <w:iCs/>
          <w:color w:val="000000"/>
        </w:rPr>
        <w:t xml:space="preserve"> SLC12A3</w:t>
      </w:r>
      <w:r w:rsidRPr="000B3360">
        <w:rPr>
          <w:rFonts w:ascii="Book Antiqua" w:eastAsia="Book Antiqua" w:hAnsi="Book Antiqua" w:cs="Book Antiqua"/>
          <w:color w:val="000000"/>
        </w:rPr>
        <w:t xml:space="preserve">. It is important to consider other diseases when hyperthyroidism is combined with persistent hypokalemia. </w:t>
      </w:r>
      <w:r w:rsidRPr="000B3360">
        <w:rPr>
          <w:rFonts w:ascii="Book Antiqua" w:eastAsia="Book Antiqua" w:hAnsi="Book Antiqua" w:cs="Book Antiqua"/>
          <w:color w:val="000000"/>
          <w:shd w:val="clear" w:color="auto" w:fill="FFFFFF"/>
        </w:rPr>
        <w:t>The present study provides new genetic evidence for GS.</w:t>
      </w:r>
    </w:p>
    <w:p w14:paraId="0FFEDCC2" w14:textId="77777777" w:rsidR="00A77B3E" w:rsidRPr="000B3360" w:rsidRDefault="00A77B3E" w:rsidP="00CA6D9F">
      <w:pPr>
        <w:spacing w:line="360" w:lineRule="auto"/>
        <w:jc w:val="both"/>
        <w:rPr>
          <w:rFonts w:ascii="Book Antiqua" w:hAnsi="Book Antiqua"/>
        </w:rPr>
      </w:pPr>
    </w:p>
    <w:p w14:paraId="3F67C0B7"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caps/>
          <w:color w:val="000000"/>
          <w:u w:val="single"/>
        </w:rPr>
        <w:t>ACKNOWLEDGEMENTS</w:t>
      </w:r>
    </w:p>
    <w:p w14:paraId="0A58F5D7" w14:textId="17548465"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Yong-Zhang Qin </w:t>
      </w:r>
      <w:r w:rsidR="005C29DE" w:rsidRPr="000B3360">
        <w:rPr>
          <w:rFonts w:ascii="Book Antiqua" w:eastAsia="Book Antiqua" w:hAnsi="Book Antiqua" w:cs="Book Antiqua"/>
          <w:color w:val="000000"/>
        </w:rPr>
        <w:t>would like</w:t>
      </w:r>
      <w:r w:rsidRPr="000B3360">
        <w:rPr>
          <w:rFonts w:ascii="Book Antiqua" w:eastAsia="Book Antiqua" w:hAnsi="Book Antiqua" w:cs="Book Antiqua"/>
          <w:color w:val="000000"/>
        </w:rPr>
        <w:t xml:space="preserve"> acknowledge</w:t>
      </w:r>
      <w:r w:rsidR="006D1517"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the care and support from Liu</w:t>
      </w:r>
      <w:r w:rsidR="006D1517" w:rsidRPr="000B3360">
        <w:rPr>
          <w:rFonts w:ascii="Book Antiqua" w:eastAsia="Book Antiqua" w:hAnsi="Book Antiqua" w:cs="Book Antiqua"/>
          <w:color w:val="000000"/>
        </w:rPr>
        <w:t>-Q</w:t>
      </w:r>
      <w:r w:rsidRPr="000B3360">
        <w:rPr>
          <w:rFonts w:ascii="Book Antiqua" w:eastAsia="Book Antiqua" w:hAnsi="Book Antiqua" w:cs="Book Antiqua"/>
          <w:color w:val="000000"/>
        </w:rPr>
        <w:t>iong Liu over the years.</w:t>
      </w:r>
    </w:p>
    <w:p w14:paraId="11DBE5EA" w14:textId="77777777" w:rsidR="00A77B3E" w:rsidRPr="000B3360" w:rsidRDefault="00A77B3E" w:rsidP="00CA6D9F">
      <w:pPr>
        <w:spacing w:line="360" w:lineRule="auto"/>
        <w:jc w:val="both"/>
        <w:rPr>
          <w:rFonts w:ascii="Book Antiqua" w:hAnsi="Book Antiqua"/>
        </w:rPr>
      </w:pPr>
    </w:p>
    <w:p w14:paraId="3C100D50"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color w:val="000000"/>
        </w:rPr>
        <w:t>REFERENCES</w:t>
      </w:r>
    </w:p>
    <w:p w14:paraId="4EDB7E98"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1 </w:t>
      </w:r>
      <w:r w:rsidRPr="000B3360">
        <w:rPr>
          <w:rFonts w:ascii="Book Antiqua" w:eastAsia="Book Antiqua" w:hAnsi="Book Antiqua" w:cs="Book Antiqua"/>
          <w:b/>
          <w:bCs/>
          <w:color w:val="000000"/>
        </w:rPr>
        <w:t>Gitelman HJ</w:t>
      </w:r>
      <w:r w:rsidRPr="000B3360">
        <w:rPr>
          <w:rFonts w:ascii="Book Antiqua" w:eastAsia="Book Antiqua" w:hAnsi="Book Antiqua" w:cs="Book Antiqua"/>
          <w:color w:val="000000"/>
        </w:rPr>
        <w:t xml:space="preserve">, Graham JB, Welt LG. A new familial disorder characterized by hypokalemia and hypomagnesemia. </w:t>
      </w:r>
      <w:r w:rsidRPr="000B3360">
        <w:rPr>
          <w:rFonts w:ascii="Book Antiqua" w:eastAsia="Book Antiqua" w:hAnsi="Book Antiqua" w:cs="Book Antiqua"/>
          <w:i/>
          <w:iCs/>
          <w:color w:val="000000"/>
        </w:rPr>
        <w:t>Trans Assoc Am Physicians</w:t>
      </w:r>
      <w:r w:rsidRPr="000B3360">
        <w:rPr>
          <w:rFonts w:ascii="Book Antiqua" w:eastAsia="Book Antiqua" w:hAnsi="Book Antiqua" w:cs="Book Antiqua"/>
          <w:color w:val="000000"/>
        </w:rPr>
        <w:t xml:space="preserve"> 1966; </w:t>
      </w:r>
      <w:r w:rsidRPr="000B3360">
        <w:rPr>
          <w:rFonts w:ascii="Book Antiqua" w:eastAsia="Book Antiqua" w:hAnsi="Book Antiqua" w:cs="Book Antiqua"/>
          <w:b/>
          <w:bCs/>
          <w:color w:val="000000"/>
        </w:rPr>
        <w:t>79</w:t>
      </w:r>
      <w:r w:rsidRPr="000B3360">
        <w:rPr>
          <w:rFonts w:ascii="Book Antiqua" w:eastAsia="Book Antiqua" w:hAnsi="Book Antiqua" w:cs="Book Antiqua"/>
          <w:color w:val="000000"/>
        </w:rPr>
        <w:t>: 221-235 [PMID: 5929460]</w:t>
      </w:r>
    </w:p>
    <w:p w14:paraId="55946077"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2 </w:t>
      </w:r>
      <w:r w:rsidRPr="000B3360">
        <w:rPr>
          <w:rFonts w:ascii="Book Antiqua" w:eastAsia="Book Antiqua" w:hAnsi="Book Antiqua" w:cs="Book Antiqua"/>
          <w:b/>
          <w:bCs/>
          <w:color w:val="000000"/>
        </w:rPr>
        <w:t>Simon DB</w:t>
      </w:r>
      <w:r w:rsidRPr="000B3360">
        <w:rPr>
          <w:rFonts w:ascii="Book Antiqua" w:eastAsia="Book Antiqua" w:hAnsi="Book Antiqua" w:cs="Book Antiqua"/>
          <w:color w:val="000000"/>
        </w:rPr>
        <w:t xml:space="preserve">, Nelson-Williams C, Bia MJ, Ellison D, Karet FE, Molina AM, Vaara I, Iwata F, Cushner HM, Koolen M, Gainza FJ, Gitleman HJ, Lifton RP. Gitelman's variant of Bartter's syndrome, inherited hypokalaemic alkalosis, is caused by mutations in the thiazide-sensitive Na-Cl cotransporter. </w:t>
      </w:r>
      <w:r w:rsidRPr="000B3360">
        <w:rPr>
          <w:rFonts w:ascii="Book Antiqua" w:eastAsia="Book Antiqua" w:hAnsi="Book Antiqua" w:cs="Book Antiqua"/>
          <w:i/>
          <w:iCs/>
          <w:color w:val="000000"/>
        </w:rPr>
        <w:t>Nat Genet</w:t>
      </w:r>
      <w:r w:rsidRPr="000B3360">
        <w:rPr>
          <w:rFonts w:ascii="Book Antiqua" w:eastAsia="Book Antiqua" w:hAnsi="Book Antiqua" w:cs="Book Antiqua"/>
          <w:color w:val="000000"/>
        </w:rPr>
        <w:t xml:space="preserve"> 1996; </w:t>
      </w:r>
      <w:r w:rsidRPr="000B3360">
        <w:rPr>
          <w:rFonts w:ascii="Book Antiqua" w:eastAsia="Book Antiqua" w:hAnsi="Book Antiqua" w:cs="Book Antiqua"/>
          <w:b/>
          <w:bCs/>
          <w:color w:val="000000"/>
        </w:rPr>
        <w:t>12</w:t>
      </w:r>
      <w:r w:rsidRPr="000B3360">
        <w:rPr>
          <w:rFonts w:ascii="Book Antiqua" w:eastAsia="Book Antiqua" w:hAnsi="Book Antiqua" w:cs="Book Antiqua"/>
          <w:color w:val="000000"/>
        </w:rPr>
        <w:t>: 24-30 [PMID: 8528245 DOI: 10.1038/ng0196-24]</w:t>
      </w:r>
    </w:p>
    <w:p w14:paraId="38458781"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lastRenderedPageBreak/>
        <w:t xml:space="preserve">3 </w:t>
      </w:r>
      <w:r w:rsidRPr="000B3360">
        <w:rPr>
          <w:rFonts w:ascii="Book Antiqua" w:eastAsia="Book Antiqua" w:hAnsi="Book Antiqua" w:cs="Book Antiqua"/>
          <w:b/>
          <w:bCs/>
          <w:color w:val="000000"/>
        </w:rPr>
        <w:t>Abbasi B</w:t>
      </w:r>
      <w:r w:rsidRPr="000B3360">
        <w:rPr>
          <w:rFonts w:ascii="Book Antiqua" w:eastAsia="Book Antiqua" w:hAnsi="Book Antiqua" w:cs="Book Antiqua"/>
          <w:color w:val="000000"/>
        </w:rPr>
        <w:t xml:space="preserve">, Sharif Z, Sprabery LR. Hypokalemic thyrotoxic periodic paralysis with thyrotoxic psychosis and hypercapnic respiratory failure. </w:t>
      </w:r>
      <w:r w:rsidRPr="000B3360">
        <w:rPr>
          <w:rFonts w:ascii="Book Antiqua" w:eastAsia="Book Antiqua" w:hAnsi="Book Antiqua" w:cs="Book Antiqua"/>
          <w:i/>
          <w:iCs/>
          <w:color w:val="000000"/>
        </w:rPr>
        <w:t>Am J Med Sci</w:t>
      </w:r>
      <w:r w:rsidRPr="000B3360">
        <w:rPr>
          <w:rFonts w:ascii="Book Antiqua" w:eastAsia="Book Antiqua" w:hAnsi="Book Antiqua" w:cs="Book Antiqua"/>
          <w:color w:val="000000"/>
        </w:rPr>
        <w:t xml:space="preserve"> 2010; </w:t>
      </w:r>
      <w:r w:rsidRPr="000B3360">
        <w:rPr>
          <w:rFonts w:ascii="Book Antiqua" w:eastAsia="Book Antiqua" w:hAnsi="Book Antiqua" w:cs="Book Antiqua"/>
          <w:b/>
          <w:bCs/>
          <w:color w:val="000000"/>
        </w:rPr>
        <w:t>340</w:t>
      </w:r>
      <w:r w:rsidRPr="000B3360">
        <w:rPr>
          <w:rFonts w:ascii="Book Antiqua" w:eastAsia="Book Antiqua" w:hAnsi="Book Antiqua" w:cs="Book Antiqua"/>
          <w:color w:val="000000"/>
        </w:rPr>
        <w:t>: 147-153 [PMID: 20581656 DOI: 10.1097/MAJ.0b013e3181cbf567]</w:t>
      </w:r>
    </w:p>
    <w:p w14:paraId="5E6C2445"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4 </w:t>
      </w:r>
      <w:r w:rsidRPr="000B3360">
        <w:rPr>
          <w:rFonts w:ascii="Book Antiqua" w:eastAsia="Book Antiqua" w:hAnsi="Book Antiqua" w:cs="Book Antiqua"/>
          <w:b/>
          <w:bCs/>
          <w:color w:val="000000"/>
        </w:rPr>
        <w:t>Frese E</w:t>
      </w:r>
      <w:r w:rsidRPr="000B3360">
        <w:rPr>
          <w:rFonts w:ascii="Book Antiqua" w:eastAsia="Book Antiqua" w:hAnsi="Book Antiqua" w:cs="Book Antiqua"/>
          <w:color w:val="000000"/>
        </w:rPr>
        <w:t xml:space="preserve">, Brown M, Norton BJ. Clinical reliability of manual muscle testing. Middle trapezius and gluteus medius muscles. </w:t>
      </w:r>
      <w:r w:rsidRPr="000B3360">
        <w:rPr>
          <w:rFonts w:ascii="Book Antiqua" w:eastAsia="Book Antiqua" w:hAnsi="Book Antiqua" w:cs="Book Antiqua"/>
          <w:i/>
          <w:iCs/>
          <w:color w:val="000000"/>
        </w:rPr>
        <w:t>Phys Ther</w:t>
      </w:r>
      <w:r w:rsidRPr="000B3360">
        <w:rPr>
          <w:rFonts w:ascii="Book Antiqua" w:eastAsia="Book Antiqua" w:hAnsi="Book Antiqua" w:cs="Book Antiqua"/>
          <w:color w:val="000000"/>
        </w:rPr>
        <w:t xml:space="preserve"> 1987; </w:t>
      </w:r>
      <w:r w:rsidRPr="000B3360">
        <w:rPr>
          <w:rFonts w:ascii="Book Antiqua" w:eastAsia="Book Antiqua" w:hAnsi="Book Antiqua" w:cs="Book Antiqua"/>
          <w:b/>
          <w:bCs/>
          <w:color w:val="000000"/>
        </w:rPr>
        <w:t>67</w:t>
      </w:r>
      <w:r w:rsidRPr="000B3360">
        <w:rPr>
          <w:rFonts w:ascii="Book Antiqua" w:eastAsia="Book Antiqua" w:hAnsi="Book Antiqua" w:cs="Book Antiqua"/>
          <w:color w:val="000000"/>
        </w:rPr>
        <w:t>: 1072-1076 [PMID: 3602100 DOI: 10.1093/ptj/67.7.1072]</w:t>
      </w:r>
    </w:p>
    <w:p w14:paraId="75B8650C"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5 </w:t>
      </w:r>
      <w:r w:rsidRPr="000B3360">
        <w:rPr>
          <w:rFonts w:ascii="Book Antiqua" w:eastAsia="Book Antiqua" w:hAnsi="Book Antiqua" w:cs="Book Antiqua"/>
          <w:b/>
          <w:bCs/>
          <w:color w:val="000000"/>
        </w:rPr>
        <w:t>Zelikovic I</w:t>
      </w:r>
      <w:r w:rsidRPr="000B3360">
        <w:rPr>
          <w:rFonts w:ascii="Book Antiqua" w:eastAsia="Book Antiqua" w:hAnsi="Book Antiqua" w:cs="Book Antiqua"/>
          <w:color w:val="000000"/>
        </w:rPr>
        <w:t xml:space="preserve">, Szargel R, Hawash A, Labay V, Hatib I, Cohen N, Nakhoul F. A novel mutation in the chloride channel gene, CLCNKB, as a cause of Gitelman and Bartter syndromes. </w:t>
      </w:r>
      <w:r w:rsidRPr="000B3360">
        <w:rPr>
          <w:rFonts w:ascii="Book Antiqua" w:eastAsia="Book Antiqua" w:hAnsi="Book Antiqua" w:cs="Book Antiqua"/>
          <w:i/>
          <w:iCs/>
          <w:color w:val="000000"/>
        </w:rPr>
        <w:t>Kidney Int</w:t>
      </w:r>
      <w:r w:rsidRPr="000B3360">
        <w:rPr>
          <w:rFonts w:ascii="Book Antiqua" w:eastAsia="Book Antiqua" w:hAnsi="Book Antiqua" w:cs="Book Antiqua"/>
          <w:color w:val="000000"/>
        </w:rPr>
        <w:t xml:space="preserve"> 2003; </w:t>
      </w:r>
      <w:r w:rsidRPr="000B3360">
        <w:rPr>
          <w:rFonts w:ascii="Book Antiqua" w:eastAsia="Book Antiqua" w:hAnsi="Book Antiqua" w:cs="Book Antiqua"/>
          <w:b/>
          <w:bCs/>
          <w:color w:val="000000"/>
        </w:rPr>
        <w:t>63</w:t>
      </w:r>
      <w:r w:rsidRPr="000B3360">
        <w:rPr>
          <w:rFonts w:ascii="Book Antiqua" w:eastAsia="Book Antiqua" w:hAnsi="Book Antiqua" w:cs="Book Antiqua"/>
          <w:color w:val="000000"/>
        </w:rPr>
        <w:t>: 24-32 [PMID: 12472765 DOI: 10.1046/j.1523-1755.2003.00730.x]</w:t>
      </w:r>
    </w:p>
    <w:p w14:paraId="3E097279"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6 </w:t>
      </w:r>
      <w:r w:rsidRPr="000B3360">
        <w:rPr>
          <w:rFonts w:ascii="Book Antiqua" w:eastAsia="Book Antiqua" w:hAnsi="Book Antiqua" w:cs="Book Antiqua"/>
          <w:b/>
          <w:bCs/>
          <w:color w:val="000000"/>
        </w:rPr>
        <w:t>Waterhouse A</w:t>
      </w:r>
      <w:r w:rsidRPr="000B3360">
        <w:rPr>
          <w:rFonts w:ascii="Book Antiqua" w:eastAsia="Book Antiqua" w:hAnsi="Book Antiqua" w:cs="Book Antiqua"/>
          <w:color w:val="000000"/>
        </w:rPr>
        <w:t xml:space="preserve">, Bertoni M, Bienert S, Studer G, Tauriello G, Gumienny R, Heer FT, de Beer TAP, Rempfer C, Bordoli L, Lepore R, Schwede T. SWISS-MODEL: homology modelling of protein structures and complexes. </w:t>
      </w:r>
      <w:r w:rsidRPr="000B3360">
        <w:rPr>
          <w:rFonts w:ascii="Book Antiqua" w:eastAsia="Book Antiqua" w:hAnsi="Book Antiqua" w:cs="Book Antiqua"/>
          <w:i/>
          <w:iCs/>
          <w:color w:val="000000"/>
        </w:rPr>
        <w:t>Nucleic Acids Res</w:t>
      </w:r>
      <w:r w:rsidRPr="000B3360">
        <w:rPr>
          <w:rFonts w:ascii="Book Antiqua" w:eastAsia="Book Antiqua" w:hAnsi="Book Antiqua" w:cs="Book Antiqua"/>
          <w:color w:val="000000"/>
        </w:rPr>
        <w:t xml:space="preserve"> 2018; </w:t>
      </w:r>
      <w:r w:rsidRPr="000B3360">
        <w:rPr>
          <w:rFonts w:ascii="Book Antiqua" w:eastAsia="Book Antiqua" w:hAnsi="Book Antiqua" w:cs="Book Antiqua"/>
          <w:b/>
          <w:bCs/>
          <w:color w:val="000000"/>
        </w:rPr>
        <w:t>46</w:t>
      </w:r>
      <w:r w:rsidRPr="000B3360">
        <w:rPr>
          <w:rFonts w:ascii="Book Antiqua" w:eastAsia="Book Antiqua" w:hAnsi="Book Antiqua" w:cs="Book Antiqua"/>
          <w:color w:val="000000"/>
        </w:rPr>
        <w:t>: W296-W303 [PMID: 29788355 DOI: 10.1093/nar/gky427]</w:t>
      </w:r>
    </w:p>
    <w:p w14:paraId="0B796234"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7 </w:t>
      </w:r>
      <w:r w:rsidRPr="000B3360">
        <w:rPr>
          <w:rFonts w:ascii="Book Antiqua" w:eastAsia="Book Antiqua" w:hAnsi="Book Antiqua" w:cs="Book Antiqua"/>
          <w:b/>
          <w:bCs/>
          <w:color w:val="000000"/>
        </w:rPr>
        <w:t>Jumper J</w:t>
      </w:r>
      <w:r w:rsidRPr="000B3360">
        <w:rPr>
          <w:rFonts w:ascii="Book Antiqua" w:eastAsia="Book Antiqua" w:hAnsi="Book Antiqua" w:cs="Book Antiqua"/>
          <w:color w:val="000000"/>
        </w:rPr>
        <w:t xml:space="preserve">, Evans R, Pritzel A, Green T, Figurnov M, Ronneberger O, Tunyasuvunakool K, Bates R, Žídek A, Potapenko A, Bridgland A, Meyer C, Kohl SAA, Ballard AJ, Cowie A, Romera-Paredes B, Nikolov S, Jain R, Adler J, Back T, Petersen S, Reiman D, Clancy E, Zielinski M, Steinegger M, Pacholska M, Berghammer T, Bodenstein S, Silver D, Vinyals O, Senior AW, Kavukcuoglu K, Kohli P, Hassabis D. Highly accurate protein structure prediction with AlphaFold. </w:t>
      </w:r>
      <w:r w:rsidRPr="000B3360">
        <w:rPr>
          <w:rFonts w:ascii="Book Antiqua" w:eastAsia="Book Antiqua" w:hAnsi="Book Antiqua" w:cs="Book Antiqua"/>
          <w:i/>
          <w:iCs/>
          <w:color w:val="000000"/>
        </w:rPr>
        <w:t>Nature</w:t>
      </w:r>
      <w:r w:rsidRPr="000B3360">
        <w:rPr>
          <w:rFonts w:ascii="Book Antiqua" w:eastAsia="Book Antiqua" w:hAnsi="Book Antiqua" w:cs="Book Antiqua"/>
          <w:color w:val="000000"/>
        </w:rPr>
        <w:t xml:space="preserve"> 2021; </w:t>
      </w:r>
      <w:r w:rsidRPr="000B3360">
        <w:rPr>
          <w:rFonts w:ascii="Book Antiqua" w:eastAsia="Book Antiqua" w:hAnsi="Book Antiqua" w:cs="Book Antiqua"/>
          <w:b/>
          <w:bCs/>
          <w:color w:val="000000"/>
        </w:rPr>
        <w:t>596</w:t>
      </w:r>
      <w:r w:rsidRPr="000B3360">
        <w:rPr>
          <w:rFonts w:ascii="Book Antiqua" w:eastAsia="Book Antiqua" w:hAnsi="Book Antiqua" w:cs="Book Antiqua"/>
          <w:color w:val="000000"/>
        </w:rPr>
        <w:t>: 583-589 [PMID: 34265844 DOI: 10.1038/s41586-021-03819-2]</w:t>
      </w:r>
    </w:p>
    <w:p w14:paraId="4AB91AFD"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8 </w:t>
      </w:r>
      <w:r w:rsidRPr="000B3360">
        <w:rPr>
          <w:rFonts w:ascii="Book Antiqua" w:eastAsia="Book Antiqua" w:hAnsi="Book Antiqua" w:cs="Book Antiqua"/>
          <w:b/>
          <w:bCs/>
          <w:color w:val="000000"/>
        </w:rPr>
        <w:t>Larkin MA</w:t>
      </w:r>
      <w:r w:rsidRPr="000B3360">
        <w:rPr>
          <w:rFonts w:ascii="Book Antiqua" w:eastAsia="Book Antiqua" w:hAnsi="Book Antiqua" w:cs="Book Antiqua"/>
          <w:color w:val="000000"/>
        </w:rPr>
        <w:t xml:space="preserve">, Blackshields G, Brown NP, Chenna R, McGettigan PA, McWilliam H, Valentin F, Wallace IM, Wilm A, Lopez R, Thompson JD, Gibson TJ, Higgins DG. Clustal W and Clustal X version 2.0. </w:t>
      </w:r>
      <w:r w:rsidRPr="000B3360">
        <w:rPr>
          <w:rFonts w:ascii="Book Antiqua" w:eastAsia="Book Antiqua" w:hAnsi="Book Antiqua" w:cs="Book Antiqua"/>
          <w:i/>
          <w:iCs/>
          <w:color w:val="000000"/>
        </w:rPr>
        <w:t>Bioinformatics</w:t>
      </w:r>
      <w:r w:rsidRPr="000B3360">
        <w:rPr>
          <w:rFonts w:ascii="Book Antiqua" w:eastAsia="Book Antiqua" w:hAnsi="Book Antiqua" w:cs="Book Antiqua"/>
          <w:color w:val="000000"/>
        </w:rPr>
        <w:t xml:space="preserve"> 2007; </w:t>
      </w:r>
      <w:r w:rsidRPr="000B3360">
        <w:rPr>
          <w:rFonts w:ascii="Book Antiqua" w:eastAsia="Book Antiqua" w:hAnsi="Book Antiqua" w:cs="Book Antiqua"/>
          <w:b/>
          <w:bCs/>
          <w:color w:val="000000"/>
        </w:rPr>
        <w:t>23</w:t>
      </w:r>
      <w:r w:rsidRPr="000B3360">
        <w:rPr>
          <w:rFonts w:ascii="Book Antiqua" w:eastAsia="Book Antiqua" w:hAnsi="Book Antiqua" w:cs="Book Antiqua"/>
          <w:color w:val="000000"/>
        </w:rPr>
        <w:t>: 2947-2948 [PMID: 17846036 DOI: 10.1093/bioinformatics/btm404]</w:t>
      </w:r>
    </w:p>
    <w:p w14:paraId="3A4D3B4B"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9 </w:t>
      </w:r>
      <w:r w:rsidRPr="000B3360">
        <w:rPr>
          <w:rFonts w:ascii="Book Antiqua" w:eastAsia="Book Antiqua" w:hAnsi="Book Antiqua" w:cs="Book Antiqua"/>
          <w:b/>
          <w:bCs/>
          <w:color w:val="000000"/>
        </w:rPr>
        <w:t>Zeng Y</w:t>
      </w:r>
      <w:r w:rsidRPr="000B3360">
        <w:rPr>
          <w:rFonts w:ascii="Book Antiqua" w:eastAsia="Book Antiqua" w:hAnsi="Book Antiqua" w:cs="Book Antiqua"/>
          <w:color w:val="000000"/>
        </w:rPr>
        <w:t xml:space="preserve">, Li P, Fang S, Wu C, Zhang Y, Lin X, Guan M. Genetic Analysis of SLC12A3 Gene in Chinese Patients with Gitelman Syndrome. </w:t>
      </w:r>
      <w:r w:rsidRPr="000B3360">
        <w:rPr>
          <w:rFonts w:ascii="Book Antiqua" w:eastAsia="Book Antiqua" w:hAnsi="Book Antiqua" w:cs="Book Antiqua"/>
          <w:i/>
          <w:iCs/>
          <w:color w:val="000000"/>
        </w:rPr>
        <w:t>Med Sci Monit</w:t>
      </w:r>
      <w:r w:rsidRPr="000B3360">
        <w:rPr>
          <w:rFonts w:ascii="Book Antiqua" w:eastAsia="Book Antiqua" w:hAnsi="Book Antiqua" w:cs="Book Antiqua"/>
          <w:color w:val="000000"/>
        </w:rPr>
        <w:t xml:space="preserve"> 2019; </w:t>
      </w:r>
      <w:r w:rsidRPr="000B3360">
        <w:rPr>
          <w:rFonts w:ascii="Book Antiqua" w:eastAsia="Book Antiqua" w:hAnsi="Book Antiqua" w:cs="Book Antiqua"/>
          <w:b/>
          <w:bCs/>
          <w:color w:val="000000"/>
        </w:rPr>
        <w:t>25</w:t>
      </w:r>
      <w:r w:rsidRPr="000B3360">
        <w:rPr>
          <w:rFonts w:ascii="Book Antiqua" w:eastAsia="Book Antiqua" w:hAnsi="Book Antiqua" w:cs="Book Antiqua"/>
          <w:color w:val="000000"/>
        </w:rPr>
        <w:t>: 5942-5952 [PMID: 31398183 DOI: 10.12659/MSM.916069]</w:t>
      </w:r>
    </w:p>
    <w:p w14:paraId="3FE88EDA"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lastRenderedPageBreak/>
        <w:t xml:space="preserve">10 </w:t>
      </w:r>
      <w:r w:rsidRPr="000B3360">
        <w:rPr>
          <w:rFonts w:ascii="Book Antiqua" w:eastAsia="Book Antiqua" w:hAnsi="Book Antiqua" w:cs="Book Antiqua"/>
          <w:b/>
          <w:bCs/>
          <w:color w:val="000000"/>
        </w:rPr>
        <w:t>Blanchard A</w:t>
      </w:r>
      <w:r w:rsidRPr="000B3360">
        <w:rPr>
          <w:rFonts w:ascii="Book Antiqua" w:eastAsia="Book Antiqua" w:hAnsi="Book Antiqua" w:cs="Book Antiqua"/>
          <w:color w:val="000000"/>
        </w:rPr>
        <w:t xml:space="preserve">, Bockenhauer D, Bolignano D, Calò LA, Cosyns E, Devuyst O, Ellison DH, Karet Frankl FE, Knoers NV, Konrad M, Lin SH, Vargas-Poussou R. Gitelman syndrome: consensus and guidance from a Kidney Disease: Improving Global Outcomes (KDIGO) Controversies Conference. </w:t>
      </w:r>
      <w:r w:rsidRPr="000B3360">
        <w:rPr>
          <w:rFonts w:ascii="Book Antiqua" w:eastAsia="Book Antiqua" w:hAnsi="Book Antiqua" w:cs="Book Antiqua"/>
          <w:i/>
          <w:iCs/>
          <w:color w:val="000000"/>
        </w:rPr>
        <w:t>Kidney Int</w:t>
      </w:r>
      <w:r w:rsidRPr="000B3360">
        <w:rPr>
          <w:rFonts w:ascii="Book Antiqua" w:eastAsia="Book Antiqua" w:hAnsi="Book Antiqua" w:cs="Book Antiqua"/>
          <w:color w:val="000000"/>
        </w:rPr>
        <w:t xml:space="preserve"> 2017; </w:t>
      </w:r>
      <w:r w:rsidRPr="000B3360">
        <w:rPr>
          <w:rFonts w:ascii="Book Antiqua" w:eastAsia="Book Antiqua" w:hAnsi="Book Antiqua" w:cs="Book Antiqua"/>
          <w:b/>
          <w:bCs/>
          <w:color w:val="000000"/>
        </w:rPr>
        <w:t>91</w:t>
      </w:r>
      <w:r w:rsidRPr="000B3360">
        <w:rPr>
          <w:rFonts w:ascii="Book Antiqua" w:eastAsia="Book Antiqua" w:hAnsi="Book Antiqua" w:cs="Book Antiqua"/>
          <w:color w:val="000000"/>
        </w:rPr>
        <w:t>: 24-33 [PMID: 28003083 DOI: 10.1016/j.kint.2016.09.046]</w:t>
      </w:r>
    </w:p>
    <w:p w14:paraId="57BD1C88"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11 </w:t>
      </w:r>
      <w:r w:rsidRPr="000B3360">
        <w:rPr>
          <w:rFonts w:ascii="Book Antiqua" w:eastAsia="Book Antiqua" w:hAnsi="Book Antiqua" w:cs="Book Antiqua"/>
          <w:b/>
          <w:bCs/>
          <w:color w:val="000000"/>
        </w:rPr>
        <w:t>Peters M</w:t>
      </w:r>
      <w:r w:rsidRPr="000B3360">
        <w:rPr>
          <w:rFonts w:ascii="Book Antiqua" w:eastAsia="Book Antiqua" w:hAnsi="Book Antiqua" w:cs="Book Antiqua"/>
          <w:color w:val="000000"/>
        </w:rPr>
        <w:t xml:space="preserve">, Jeck N, Reinalter S, Leonhardt A, Tönshoff B, Klaus G Gü, Konrad M, Seyberth HW. Clinical presentation of genetically defined patients with hypokalemic salt-losing tubulopathies. </w:t>
      </w:r>
      <w:r w:rsidRPr="000B3360">
        <w:rPr>
          <w:rFonts w:ascii="Book Antiqua" w:eastAsia="Book Antiqua" w:hAnsi="Book Antiqua" w:cs="Book Antiqua"/>
          <w:i/>
          <w:iCs/>
          <w:color w:val="000000"/>
        </w:rPr>
        <w:t>Am J Med</w:t>
      </w:r>
      <w:r w:rsidRPr="000B3360">
        <w:rPr>
          <w:rFonts w:ascii="Book Antiqua" w:eastAsia="Book Antiqua" w:hAnsi="Book Antiqua" w:cs="Book Antiqua"/>
          <w:color w:val="000000"/>
        </w:rPr>
        <w:t xml:space="preserve"> 2002; </w:t>
      </w:r>
      <w:r w:rsidRPr="000B3360">
        <w:rPr>
          <w:rFonts w:ascii="Book Antiqua" w:eastAsia="Book Antiqua" w:hAnsi="Book Antiqua" w:cs="Book Antiqua"/>
          <w:b/>
          <w:bCs/>
          <w:color w:val="000000"/>
        </w:rPr>
        <w:t>112</w:t>
      </w:r>
      <w:r w:rsidRPr="000B3360">
        <w:rPr>
          <w:rFonts w:ascii="Book Antiqua" w:eastAsia="Book Antiqua" w:hAnsi="Book Antiqua" w:cs="Book Antiqua"/>
          <w:color w:val="000000"/>
        </w:rPr>
        <w:t>: 183-190 [PMID: 11893344 DOI: 10.1016/s0002-9343(01)01086-5]</w:t>
      </w:r>
    </w:p>
    <w:p w14:paraId="0CFC775C"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12 </w:t>
      </w:r>
      <w:r w:rsidRPr="000B3360">
        <w:rPr>
          <w:rFonts w:ascii="Book Antiqua" w:eastAsia="Book Antiqua" w:hAnsi="Book Antiqua" w:cs="Book Antiqua"/>
          <w:b/>
          <w:bCs/>
          <w:color w:val="000000"/>
        </w:rPr>
        <w:t>Tammaro F</w:t>
      </w:r>
      <w:r w:rsidRPr="000B3360">
        <w:rPr>
          <w:rFonts w:ascii="Book Antiqua" w:eastAsia="Book Antiqua" w:hAnsi="Book Antiqua" w:cs="Book Antiqua"/>
          <w:color w:val="000000"/>
        </w:rPr>
        <w:t xml:space="preserve">, Bettinelli A, Cattarelli D, Cavazza A, Colombo C, Syrén ML, Tedeschi S, Bianchetti MG. Early appearance of hypokalemia in Gitelman syndrome. </w:t>
      </w:r>
      <w:r w:rsidRPr="000B3360">
        <w:rPr>
          <w:rFonts w:ascii="Book Antiqua" w:eastAsia="Book Antiqua" w:hAnsi="Book Antiqua" w:cs="Book Antiqua"/>
          <w:i/>
          <w:iCs/>
          <w:color w:val="000000"/>
        </w:rPr>
        <w:t>Pediatr Nephrol</w:t>
      </w:r>
      <w:r w:rsidRPr="000B3360">
        <w:rPr>
          <w:rFonts w:ascii="Book Antiqua" w:eastAsia="Book Antiqua" w:hAnsi="Book Antiqua" w:cs="Book Antiqua"/>
          <w:color w:val="000000"/>
        </w:rPr>
        <w:t xml:space="preserve"> 2010; </w:t>
      </w:r>
      <w:r w:rsidRPr="000B3360">
        <w:rPr>
          <w:rFonts w:ascii="Book Antiqua" w:eastAsia="Book Antiqua" w:hAnsi="Book Antiqua" w:cs="Book Antiqua"/>
          <w:b/>
          <w:bCs/>
          <w:color w:val="000000"/>
        </w:rPr>
        <w:t>25</w:t>
      </w:r>
      <w:r w:rsidRPr="000B3360">
        <w:rPr>
          <w:rFonts w:ascii="Book Antiqua" w:eastAsia="Book Antiqua" w:hAnsi="Book Antiqua" w:cs="Book Antiqua"/>
          <w:color w:val="000000"/>
        </w:rPr>
        <w:t>: 2179-2182 [PMID: 20552229 DOI: 10.1007/s00467-010-1575-1]</w:t>
      </w:r>
    </w:p>
    <w:p w14:paraId="4C7BB1C1"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13 </w:t>
      </w:r>
      <w:r w:rsidRPr="000B3360">
        <w:rPr>
          <w:rFonts w:ascii="Book Antiqua" w:eastAsia="Book Antiqua" w:hAnsi="Book Antiqua" w:cs="Book Antiqua"/>
          <w:b/>
          <w:bCs/>
          <w:color w:val="000000"/>
        </w:rPr>
        <w:t>Riveira-Munoz E</w:t>
      </w:r>
      <w:r w:rsidRPr="000B3360">
        <w:rPr>
          <w:rFonts w:ascii="Book Antiqua" w:eastAsia="Book Antiqua" w:hAnsi="Book Antiqua" w:cs="Book Antiqua"/>
          <w:color w:val="000000"/>
        </w:rPr>
        <w:t xml:space="preserve">, Chang Q, Bindels RJ, Devuyst O. Gitelman's syndrome: towards genotype-phenotype correlations? </w:t>
      </w:r>
      <w:r w:rsidRPr="000B3360">
        <w:rPr>
          <w:rFonts w:ascii="Book Antiqua" w:eastAsia="Book Antiqua" w:hAnsi="Book Antiqua" w:cs="Book Antiqua"/>
          <w:i/>
          <w:iCs/>
          <w:color w:val="000000"/>
        </w:rPr>
        <w:t>Pediatr Nephrol</w:t>
      </w:r>
      <w:r w:rsidRPr="000B3360">
        <w:rPr>
          <w:rFonts w:ascii="Book Antiqua" w:eastAsia="Book Antiqua" w:hAnsi="Book Antiqua" w:cs="Book Antiqua"/>
          <w:color w:val="000000"/>
        </w:rPr>
        <w:t xml:space="preserve"> 2007; </w:t>
      </w:r>
      <w:r w:rsidRPr="000B3360">
        <w:rPr>
          <w:rFonts w:ascii="Book Antiqua" w:eastAsia="Book Antiqua" w:hAnsi="Book Antiqua" w:cs="Book Antiqua"/>
          <w:b/>
          <w:bCs/>
          <w:color w:val="000000"/>
        </w:rPr>
        <w:t>22</w:t>
      </w:r>
      <w:r w:rsidRPr="000B3360">
        <w:rPr>
          <w:rFonts w:ascii="Book Antiqua" w:eastAsia="Book Antiqua" w:hAnsi="Book Antiqua" w:cs="Book Antiqua"/>
          <w:color w:val="000000"/>
        </w:rPr>
        <w:t>: 326-332 [PMID: 17061123 DOI: 10.1007/s00467-006-0321-1]</w:t>
      </w:r>
    </w:p>
    <w:p w14:paraId="405F0ED5"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14 </w:t>
      </w:r>
      <w:r w:rsidRPr="000B3360">
        <w:rPr>
          <w:rFonts w:ascii="Book Antiqua" w:eastAsia="Book Antiqua" w:hAnsi="Book Antiqua" w:cs="Book Antiqua"/>
          <w:b/>
          <w:bCs/>
          <w:color w:val="000000"/>
        </w:rPr>
        <w:t>Lin SH</w:t>
      </w:r>
      <w:r w:rsidRPr="000B3360">
        <w:rPr>
          <w:rFonts w:ascii="Book Antiqua" w:eastAsia="Book Antiqua" w:hAnsi="Book Antiqua" w:cs="Book Antiqua"/>
          <w:color w:val="000000"/>
        </w:rPr>
        <w:t xml:space="preserve">, Shiang JC, Huang CC, Yang SS, Hsu YJ, Cheng CJ. Phenotype and genotype analysis in Chinese patients with Gitelman's syndrome. </w:t>
      </w:r>
      <w:r w:rsidRPr="000B3360">
        <w:rPr>
          <w:rFonts w:ascii="Book Antiqua" w:eastAsia="Book Antiqua" w:hAnsi="Book Antiqua" w:cs="Book Antiqua"/>
          <w:i/>
          <w:iCs/>
          <w:color w:val="000000"/>
        </w:rPr>
        <w:t>J Clin Endocrinol Metab</w:t>
      </w:r>
      <w:r w:rsidRPr="000B3360">
        <w:rPr>
          <w:rFonts w:ascii="Book Antiqua" w:eastAsia="Book Antiqua" w:hAnsi="Book Antiqua" w:cs="Book Antiqua"/>
          <w:color w:val="000000"/>
        </w:rPr>
        <w:t xml:space="preserve"> 2005; </w:t>
      </w:r>
      <w:r w:rsidRPr="000B3360">
        <w:rPr>
          <w:rFonts w:ascii="Book Antiqua" w:eastAsia="Book Antiqua" w:hAnsi="Book Antiqua" w:cs="Book Antiqua"/>
          <w:b/>
          <w:bCs/>
          <w:color w:val="000000"/>
        </w:rPr>
        <w:t>90</w:t>
      </w:r>
      <w:r w:rsidRPr="000B3360">
        <w:rPr>
          <w:rFonts w:ascii="Book Antiqua" w:eastAsia="Book Antiqua" w:hAnsi="Book Antiqua" w:cs="Book Antiqua"/>
          <w:color w:val="000000"/>
        </w:rPr>
        <w:t>: 2500-2507 [PMID: 15687331 DOI: 10.1210/jc.2004-1905]</w:t>
      </w:r>
    </w:p>
    <w:p w14:paraId="19C8D36E"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15 </w:t>
      </w:r>
      <w:r w:rsidRPr="000B3360">
        <w:rPr>
          <w:rFonts w:ascii="Book Antiqua" w:eastAsia="Book Antiqua" w:hAnsi="Book Antiqua" w:cs="Book Antiqua"/>
          <w:b/>
          <w:bCs/>
          <w:color w:val="000000"/>
        </w:rPr>
        <w:t>Tago N</w:t>
      </w:r>
      <w:r w:rsidRPr="000B3360">
        <w:rPr>
          <w:rFonts w:ascii="Book Antiqua" w:eastAsia="Book Antiqua" w:hAnsi="Book Antiqua" w:cs="Book Antiqua"/>
          <w:color w:val="000000"/>
        </w:rPr>
        <w:t xml:space="preserve">, Kokubo Y, Inamoto N, Naraba H, Tomoike H, Iwai N. A high prevalence of Gitelman's syndrome mutations in Japanese. </w:t>
      </w:r>
      <w:r w:rsidRPr="000B3360">
        <w:rPr>
          <w:rFonts w:ascii="Book Antiqua" w:eastAsia="Book Antiqua" w:hAnsi="Book Antiqua" w:cs="Book Antiqua"/>
          <w:i/>
          <w:iCs/>
          <w:color w:val="000000"/>
        </w:rPr>
        <w:t>Hypertens Res</w:t>
      </w:r>
      <w:r w:rsidRPr="000B3360">
        <w:rPr>
          <w:rFonts w:ascii="Book Antiqua" w:eastAsia="Book Antiqua" w:hAnsi="Book Antiqua" w:cs="Book Antiqua"/>
          <w:color w:val="000000"/>
        </w:rPr>
        <w:t xml:space="preserve"> 2004; </w:t>
      </w:r>
      <w:r w:rsidRPr="000B3360">
        <w:rPr>
          <w:rFonts w:ascii="Book Antiqua" w:eastAsia="Book Antiqua" w:hAnsi="Book Antiqua" w:cs="Book Antiqua"/>
          <w:b/>
          <w:bCs/>
          <w:color w:val="000000"/>
        </w:rPr>
        <w:t>27</w:t>
      </w:r>
      <w:r w:rsidRPr="000B3360">
        <w:rPr>
          <w:rFonts w:ascii="Book Antiqua" w:eastAsia="Book Antiqua" w:hAnsi="Book Antiqua" w:cs="Book Antiqua"/>
          <w:color w:val="000000"/>
        </w:rPr>
        <w:t>: 327-331 [PMID: 15198479 DOI: 10.1291/hypres.27.327]</w:t>
      </w:r>
    </w:p>
    <w:p w14:paraId="4863D277"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16 </w:t>
      </w:r>
      <w:r w:rsidRPr="000B3360">
        <w:rPr>
          <w:rFonts w:ascii="Book Antiqua" w:eastAsia="Book Antiqua" w:hAnsi="Book Antiqua" w:cs="Book Antiqua"/>
          <w:b/>
          <w:bCs/>
          <w:color w:val="000000"/>
        </w:rPr>
        <w:t>Hsu YJ</w:t>
      </w:r>
      <w:r w:rsidRPr="000B3360">
        <w:rPr>
          <w:rFonts w:ascii="Book Antiqua" w:eastAsia="Book Antiqua" w:hAnsi="Book Antiqua" w:cs="Book Antiqua"/>
          <w:color w:val="000000"/>
        </w:rPr>
        <w:t xml:space="preserve">, Yang SS, Chu NF, Sytwu HK, Cheng CJ, Lin SH. Heterozygous mutations of the sodium chloride cotransporter in Chinese children: prevalence and association with blood pressure. </w:t>
      </w:r>
      <w:r w:rsidRPr="000B3360">
        <w:rPr>
          <w:rFonts w:ascii="Book Antiqua" w:eastAsia="Book Antiqua" w:hAnsi="Book Antiqua" w:cs="Book Antiqua"/>
          <w:i/>
          <w:iCs/>
          <w:color w:val="000000"/>
        </w:rPr>
        <w:t>Nephrol Dial Transplant</w:t>
      </w:r>
      <w:r w:rsidRPr="000B3360">
        <w:rPr>
          <w:rFonts w:ascii="Book Antiqua" w:eastAsia="Book Antiqua" w:hAnsi="Book Antiqua" w:cs="Book Antiqua"/>
          <w:color w:val="000000"/>
        </w:rPr>
        <w:t xml:space="preserve"> 2009; </w:t>
      </w:r>
      <w:r w:rsidRPr="000B3360">
        <w:rPr>
          <w:rFonts w:ascii="Book Antiqua" w:eastAsia="Book Antiqua" w:hAnsi="Book Antiqua" w:cs="Book Antiqua"/>
          <w:b/>
          <w:bCs/>
          <w:color w:val="000000"/>
        </w:rPr>
        <w:t>24</w:t>
      </w:r>
      <w:r w:rsidRPr="000B3360">
        <w:rPr>
          <w:rFonts w:ascii="Book Antiqua" w:eastAsia="Book Antiqua" w:hAnsi="Book Antiqua" w:cs="Book Antiqua"/>
          <w:color w:val="000000"/>
        </w:rPr>
        <w:t>: 1170-1175 [PMID: 19033254 DOI: 10.1093/ndt/gfn619]</w:t>
      </w:r>
    </w:p>
    <w:p w14:paraId="388DFF37"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17 </w:t>
      </w:r>
      <w:r w:rsidRPr="000B3360">
        <w:rPr>
          <w:rFonts w:ascii="Book Antiqua" w:eastAsia="Book Antiqua" w:hAnsi="Book Antiqua" w:cs="Book Antiqua"/>
          <w:b/>
          <w:bCs/>
          <w:color w:val="000000"/>
        </w:rPr>
        <w:t>McLeod DS</w:t>
      </w:r>
      <w:r w:rsidRPr="000B3360">
        <w:rPr>
          <w:rFonts w:ascii="Book Antiqua" w:eastAsia="Book Antiqua" w:hAnsi="Book Antiqua" w:cs="Book Antiqua"/>
          <w:color w:val="000000"/>
        </w:rPr>
        <w:t xml:space="preserve">, Cooper DS. The incidence and prevalence of thyroid autoimmunity. </w:t>
      </w:r>
      <w:r w:rsidRPr="000B3360">
        <w:rPr>
          <w:rFonts w:ascii="Book Antiqua" w:eastAsia="Book Antiqua" w:hAnsi="Book Antiqua" w:cs="Book Antiqua"/>
          <w:i/>
          <w:iCs/>
          <w:color w:val="000000"/>
        </w:rPr>
        <w:t>Endocrine</w:t>
      </w:r>
      <w:r w:rsidRPr="000B3360">
        <w:rPr>
          <w:rFonts w:ascii="Book Antiqua" w:eastAsia="Book Antiqua" w:hAnsi="Book Antiqua" w:cs="Book Antiqua"/>
          <w:color w:val="000000"/>
        </w:rPr>
        <w:t xml:space="preserve"> 2012; </w:t>
      </w:r>
      <w:r w:rsidRPr="000B3360">
        <w:rPr>
          <w:rFonts w:ascii="Book Antiqua" w:eastAsia="Book Antiqua" w:hAnsi="Book Antiqua" w:cs="Book Antiqua"/>
          <w:b/>
          <w:bCs/>
          <w:color w:val="000000"/>
        </w:rPr>
        <w:t>42</w:t>
      </w:r>
      <w:r w:rsidRPr="000B3360">
        <w:rPr>
          <w:rFonts w:ascii="Book Antiqua" w:eastAsia="Book Antiqua" w:hAnsi="Book Antiqua" w:cs="Book Antiqua"/>
          <w:color w:val="000000"/>
        </w:rPr>
        <w:t>: 252-265 [PMID: 22644837 DOI: 10.1007/s12020-012-9703-2]</w:t>
      </w:r>
    </w:p>
    <w:p w14:paraId="3A84AE9B"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lastRenderedPageBreak/>
        <w:t xml:space="preserve">18 </w:t>
      </w:r>
      <w:r w:rsidRPr="000B3360">
        <w:rPr>
          <w:rFonts w:ascii="Book Antiqua" w:eastAsia="Book Antiqua" w:hAnsi="Book Antiqua" w:cs="Book Antiqua"/>
          <w:b/>
          <w:bCs/>
          <w:color w:val="000000"/>
        </w:rPr>
        <w:t>Cheung CL</w:t>
      </w:r>
      <w:r w:rsidRPr="000B3360">
        <w:rPr>
          <w:rFonts w:ascii="Book Antiqua" w:eastAsia="Book Antiqua" w:hAnsi="Book Antiqua" w:cs="Book Antiqua"/>
          <w:color w:val="000000"/>
        </w:rPr>
        <w:t xml:space="preserve">, Lau KS, Ho AY, Lee KK, Tiu SC, Lau EY, Leung J, Tsang MW, Chan KW, Yeung CY, Woo YC, Cheung EY, Hung VH, Pang HK, Hung CS, Sham PC, Kung AW. Genome-wide association study identifies a susceptibility locus for thyrotoxic periodic paralysis at 17q24.3. </w:t>
      </w:r>
      <w:r w:rsidRPr="000B3360">
        <w:rPr>
          <w:rFonts w:ascii="Book Antiqua" w:eastAsia="Book Antiqua" w:hAnsi="Book Antiqua" w:cs="Book Antiqua"/>
          <w:i/>
          <w:iCs/>
          <w:color w:val="000000"/>
        </w:rPr>
        <w:t>Nat Genet</w:t>
      </w:r>
      <w:r w:rsidRPr="000B3360">
        <w:rPr>
          <w:rFonts w:ascii="Book Antiqua" w:eastAsia="Book Antiqua" w:hAnsi="Book Antiqua" w:cs="Book Antiqua"/>
          <w:color w:val="000000"/>
        </w:rPr>
        <w:t xml:space="preserve"> 2012; </w:t>
      </w:r>
      <w:r w:rsidRPr="000B3360">
        <w:rPr>
          <w:rFonts w:ascii="Book Antiqua" w:eastAsia="Book Antiqua" w:hAnsi="Book Antiqua" w:cs="Book Antiqua"/>
          <w:b/>
          <w:bCs/>
          <w:color w:val="000000"/>
        </w:rPr>
        <w:t>44</w:t>
      </w:r>
      <w:r w:rsidRPr="000B3360">
        <w:rPr>
          <w:rFonts w:ascii="Book Antiqua" w:eastAsia="Book Antiqua" w:hAnsi="Book Antiqua" w:cs="Book Antiqua"/>
          <w:color w:val="000000"/>
        </w:rPr>
        <w:t>: 1026-1029 [PMID: 22863731 DOI: 10.1038/ng.2367]</w:t>
      </w:r>
    </w:p>
    <w:p w14:paraId="0F2B510B"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19 </w:t>
      </w:r>
      <w:r w:rsidRPr="000B3360">
        <w:rPr>
          <w:rFonts w:ascii="Book Antiqua" w:eastAsia="Book Antiqua" w:hAnsi="Book Antiqua" w:cs="Book Antiqua"/>
          <w:b/>
          <w:bCs/>
          <w:color w:val="000000"/>
        </w:rPr>
        <w:t>Palmer BF</w:t>
      </w:r>
      <w:r w:rsidRPr="000B3360">
        <w:rPr>
          <w:rFonts w:ascii="Book Antiqua" w:eastAsia="Book Antiqua" w:hAnsi="Book Antiqua" w:cs="Book Antiqua"/>
          <w:color w:val="000000"/>
        </w:rPr>
        <w:t xml:space="preserve">. Regulation of Potassium Homeostasis. </w:t>
      </w:r>
      <w:r w:rsidRPr="000B3360">
        <w:rPr>
          <w:rFonts w:ascii="Book Antiqua" w:eastAsia="Book Antiqua" w:hAnsi="Book Antiqua" w:cs="Book Antiqua"/>
          <w:i/>
          <w:iCs/>
          <w:color w:val="000000"/>
        </w:rPr>
        <w:t>Clin J Am Soc Nephrol</w:t>
      </w:r>
      <w:r w:rsidRPr="000B3360">
        <w:rPr>
          <w:rFonts w:ascii="Book Antiqua" w:eastAsia="Book Antiqua" w:hAnsi="Book Antiqua" w:cs="Book Antiqua"/>
          <w:color w:val="000000"/>
        </w:rPr>
        <w:t xml:space="preserve"> 2015; </w:t>
      </w:r>
      <w:r w:rsidRPr="000B3360">
        <w:rPr>
          <w:rFonts w:ascii="Book Antiqua" w:eastAsia="Book Antiqua" w:hAnsi="Book Antiqua" w:cs="Book Antiqua"/>
          <w:b/>
          <w:bCs/>
          <w:color w:val="000000"/>
        </w:rPr>
        <w:t>10</w:t>
      </w:r>
      <w:r w:rsidRPr="000B3360">
        <w:rPr>
          <w:rFonts w:ascii="Book Antiqua" w:eastAsia="Book Antiqua" w:hAnsi="Book Antiqua" w:cs="Book Antiqua"/>
          <w:color w:val="000000"/>
        </w:rPr>
        <w:t>: 1050-1060 [PMID: 24721891 DOI: 10.2215/CJN.08580813]</w:t>
      </w:r>
    </w:p>
    <w:p w14:paraId="0BD0D995"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20 </w:t>
      </w:r>
      <w:r w:rsidRPr="000B3360">
        <w:rPr>
          <w:rFonts w:ascii="Book Antiqua" w:eastAsia="Book Antiqua" w:hAnsi="Book Antiqua" w:cs="Book Antiqua"/>
          <w:b/>
          <w:bCs/>
          <w:color w:val="000000"/>
        </w:rPr>
        <w:t>Nijenhuis T</w:t>
      </w:r>
      <w:r w:rsidRPr="000B3360">
        <w:rPr>
          <w:rFonts w:ascii="Book Antiqua" w:eastAsia="Book Antiqua" w:hAnsi="Book Antiqua" w:cs="Book Antiqua"/>
          <w:color w:val="000000"/>
        </w:rPr>
        <w:t xml:space="preserve">, Vallon V, van der Kemp AW, Loffing J, Hoenderop JG, Bindels RJ. Enhanced passive Ca2+ reabsorption and reduced Mg2+ channel abundance explains thiazide-induced hypocalciuria and hypomagnesemia. </w:t>
      </w:r>
      <w:r w:rsidRPr="000B3360">
        <w:rPr>
          <w:rFonts w:ascii="Book Antiqua" w:eastAsia="Book Antiqua" w:hAnsi="Book Antiqua" w:cs="Book Antiqua"/>
          <w:i/>
          <w:iCs/>
          <w:color w:val="000000"/>
        </w:rPr>
        <w:t>J Clin Invest</w:t>
      </w:r>
      <w:r w:rsidRPr="000B3360">
        <w:rPr>
          <w:rFonts w:ascii="Book Antiqua" w:eastAsia="Book Antiqua" w:hAnsi="Book Antiqua" w:cs="Book Antiqua"/>
          <w:color w:val="000000"/>
        </w:rPr>
        <w:t xml:space="preserve"> 2005; </w:t>
      </w:r>
      <w:r w:rsidRPr="000B3360">
        <w:rPr>
          <w:rFonts w:ascii="Book Antiqua" w:eastAsia="Book Antiqua" w:hAnsi="Book Antiqua" w:cs="Book Antiqua"/>
          <w:b/>
          <w:bCs/>
          <w:color w:val="000000"/>
        </w:rPr>
        <w:t>115</w:t>
      </w:r>
      <w:r w:rsidRPr="000B3360">
        <w:rPr>
          <w:rFonts w:ascii="Book Antiqua" w:eastAsia="Book Antiqua" w:hAnsi="Book Antiqua" w:cs="Book Antiqua"/>
          <w:color w:val="000000"/>
        </w:rPr>
        <w:t>: 1651-1658 [PMID: 15902302 DOI: 10.1172/JCI24134]</w:t>
      </w:r>
    </w:p>
    <w:p w14:paraId="6637E0A6"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21 </w:t>
      </w:r>
      <w:r w:rsidRPr="000B3360">
        <w:rPr>
          <w:rFonts w:ascii="Book Antiqua" w:eastAsia="Book Antiqua" w:hAnsi="Book Antiqua" w:cs="Book Antiqua"/>
          <w:b/>
          <w:bCs/>
          <w:color w:val="000000"/>
        </w:rPr>
        <w:t>Klatka M</w:t>
      </w:r>
      <w:r w:rsidRPr="000B3360">
        <w:rPr>
          <w:rFonts w:ascii="Book Antiqua" w:eastAsia="Book Antiqua" w:hAnsi="Book Antiqua" w:cs="Book Antiqua"/>
          <w:color w:val="000000"/>
        </w:rPr>
        <w:t xml:space="preserve">, Grywalska E, Partyka M, Charytanowicz M, Rolinski J. Impact of methimazole treatment on magnesium concentration and lymphocytes activation in adolescents with Graves' disease. </w:t>
      </w:r>
      <w:r w:rsidRPr="000B3360">
        <w:rPr>
          <w:rFonts w:ascii="Book Antiqua" w:eastAsia="Book Antiqua" w:hAnsi="Book Antiqua" w:cs="Book Antiqua"/>
          <w:i/>
          <w:iCs/>
          <w:color w:val="000000"/>
        </w:rPr>
        <w:t>Biol Trace Elem Res</w:t>
      </w:r>
      <w:r w:rsidRPr="000B3360">
        <w:rPr>
          <w:rFonts w:ascii="Book Antiqua" w:eastAsia="Book Antiqua" w:hAnsi="Book Antiqua" w:cs="Book Antiqua"/>
          <w:color w:val="000000"/>
        </w:rPr>
        <w:t xml:space="preserve"> 2013; </w:t>
      </w:r>
      <w:r w:rsidRPr="000B3360">
        <w:rPr>
          <w:rFonts w:ascii="Book Antiqua" w:eastAsia="Book Antiqua" w:hAnsi="Book Antiqua" w:cs="Book Antiqua"/>
          <w:b/>
          <w:bCs/>
          <w:color w:val="000000"/>
        </w:rPr>
        <w:t>153</w:t>
      </w:r>
      <w:r w:rsidRPr="000B3360">
        <w:rPr>
          <w:rFonts w:ascii="Book Antiqua" w:eastAsia="Book Antiqua" w:hAnsi="Book Antiqua" w:cs="Book Antiqua"/>
          <w:color w:val="000000"/>
        </w:rPr>
        <w:t>: 155-170 [PMID: 23661330 DOI: 10.1007/s12011-013-9690-z]</w:t>
      </w:r>
    </w:p>
    <w:p w14:paraId="08B23100"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22 </w:t>
      </w:r>
      <w:r w:rsidRPr="000B3360">
        <w:rPr>
          <w:rFonts w:ascii="Book Antiqua" w:eastAsia="Book Antiqua" w:hAnsi="Book Antiqua" w:cs="Book Antiqua"/>
          <w:b/>
          <w:bCs/>
          <w:color w:val="000000"/>
        </w:rPr>
        <w:t>Moncayo R</w:t>
      </w:r>
      <w:r w:rsidRPr="000B3360">
        <w:rPr>
          <w:rFonts w:ascii="Book Antiqua" w:eastAsia="Book Antiqua" w:hAnsi="Book Antiqua" w:cs="Book Antiqua"/>
          <w:color w:val="000000"/>
        </w:rPr>
        <w:t xml:space="preserve">, Moncayo H. The WOMED model of benign thyroid disease: Acquired magnesium deficiency due to physical and psychological stressors relates to dysfunction of oxidative phosphorylation. </w:t>
      </w:r>
      <w:r w:rsidRPr="000B3360">
        <w:rPr>
          <w:rFonts w:ascii="Book Antiqua" w:eastAsia="Book Antiqua" w:hAnsi="Book Antiqua" w:cs="Book Antiqua"/>
          <w:i/>
          <w:iCs/>
          <w:color w:val="000000"/>
        </w:rPr>
        <w:t>BBA Clin</w:t>
      </w:r>
      <w:r w:rsidRPr="000B3360">
        <w:rPr>
          <w:rFonts w:ascii="Book Antiqua" w:eastAsia="Book Antiqua" w:hAnsi="Book Antiqua" w:cs="Book Antiqua"/>
          <w:color w:val="000000"/>
        </w:rPr>
        <w:t xml:space="preserve"> 2015; </w:t>
      </w:r>
      <w:r w:rsidRPr="000B3360">
        <w:rPr>
          <w:rFonts w:ascii="Book Antiqua" w:eastAsia="Book Antiqua" w:hAnsi="Book Antiqua" w:cs="Book Antiqua"/>
          <w:b/>
          <w:bCs/>
          <w:color w:val="000000"/>
        </w:rPr>
        <w:t>3</w:t>
      </w:r>
      <w:r w:rsidRPr="000B3360">
        <w:rPr>
          <w:rFonts w:ascii="Book Antiqua" w:eastAsia="Book Antiqua" w:hAnsi="Book Antiqua" w:cs="Book Antiqua"/>
          <w:color w:val="000000"/>
        </w:rPr>
        <w:t>: 44-64 [PMID: 26675817 DOI: 10.1016/j.bbacli.2014.11.002]</w:t>
      </w:r>
    </w:p>
    <w:p w14:paraId="370E87AB"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23 </w:t>
      </w:r>
      <w:r w:rsidRPr="000B3360">
        <w:rPr>
          <w:rFonts w:ascii="Book Antiqua" w:eastAsia="Book Antiqua" w:hAnsi="Book Antiqua" w:cs="Book Antiqua"/>
          <w:b/>
          <w:bCs/>
          <w:color w:val="000000"/>
        </w:rPr>
        <w:t>Mariani LH</w:t>
      </w:r>
      <w:r w:rsidRPr="000B3360">
        <w:rPr>
          <w:rFonts w:ascii="Book Antiqua" w:eastAsia="Book Antiqua" w:hAnsi="Book Antiqua" w:cs="Book Antiqua"/>
          <w:color w:val="000000"/>
        </w:rPr>
        <w:t xml:space="preserve">, Berns JS. The renal manifestations of thyroid disease. </w:t>
      </w:r>
      <w:r w:rsidRPr="000B3360">
        <w:rPr>
          <w:rFonts w:ascii="Book Antiqua" w:eastAsia="Book Antiqua" w:hAnsi="Book Antiqua" w:cs="Book Antiqua"/>
          <w:i/>
          <w:iCs/>
          <w:color w:val="000000"/>
        </w:rPr>
        <w:t>J Am Soc Nephrol</w:t>
      </w:r>
      <w:r w:rsidRPr="000B3360">
        <w:rPr>
          <w:rFonts w:ascii="Book Antiqua" w:eastAsia="Book Antiqua" w:hAnsi="Book Antiqua" w:cs="Book Antiqua"/>
          <w:color w:val="000000"/>
        </w:rPr>
        <w:t xml:space="preserve"> 2012; </w:t>
      </w:r>
      <w:r w:rsidRPr="000B3360">
        <w:rPr>
          <w:rFonts w:ascii="Book Antiqua" w:eastAsia="Book Antiqua" w:hAnsi="Book Antiqua" w:cs="Book Antiqua"/>
          <w:b/>
          <w:bCs/>
          <w:color w:val="000000"/>
        </w:rPr>
        <w:t>23</w:t>
      </w:r>
      <w:r w:rsidRPr="000B3360">
        <w:rPr>
          <w:rFonts w:ascii="Book Antiqua" w:eastAsia="Book Antiqua" w:hAnsi="Book Antiqua" w:cs="Book Antiqua"/>
          <w:color w:val="000000"/>
        </w:rPr>
        <w:t>: 22-26 [PMID: 22021708 DOI: 10.1681/ASN.2010070766]</w:t>
      </w:r>
    </w:p>
    <w:p w14:paraId="43778D94"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24 </w:t>
      </w:r>
      <w:r w:rsidRPr="000B3360">
        <w:rPr>
          <w:rFonts w:ascii="Book Antiqua" w:eastAsia="Book Antiqua" w:hAnsi="Book Antiqua" w:cs="Book Antiqua"/>
          <w:b/>
          <w:bCs/>
          <w:color w:val="000000"/>
        </w:rPr>
        <w:t>Maciel RM</w:t>
      </w:r>
      <w:r w:rsidRPr="000B3360">
        <w:rPr>
          <w:rFonts w:ascii="Book Antiqua" w:eastAsia="Book Antiqua" w:hAnsi="Book Antiqua" w:cs="Book Antiqua"/>
          <w:color w:val="000000"/>
        </w:rPr>
        <w:t xml:space="preserve">, Lindsey SC, Dias da Silva MR. Novel etiopathophysiological aspects of thyrotoxic periodic paralysis. </w:t>
      </w:r>
      <w:r w:rsidRPr="000B3360">
        <w:rPr>
          <w:rFonts w:ascii="Book Antiqua" w:eastAsia="Book Antiqua" w:hAnsi="Book Antiqua" w:cs="Book Antiqua"/>
          <w:i/>
          <w:iCs/>
          <w:color w:val="000000"/>
        </w:rPr>
        <w:t>Nat Rev Endocrinol</w:t>
      </w:r>
      <w:r w:rsidRPr="000B3360">
        <w:rPr>
          <w:rFonts w:ascii="Book Antiqua" w:eastAsia="Book Antiqua" w:hAnsi="Book Antiqua" w:cs="Book Antiqua"/>
          <w:color w:val="000000"/>
        </w:rPr>
        <w:t xml:space="preserve"> 2011; </w:t>
      </w:r>
      <w:r w:rsidRPr="000B3360">
        <w:rPr>
          <w:rFonts w:ascii="Book Antiqua" w:eastAsia="Book Antiqua" w:hAnsi="Book Antiqua" w:cs="Book Antiqua"/>
          <w:b/>
          <w:bCs/>
          <w:color w:val="000000"/>
        </w:rPr>
        <w:t>7</w:t>
      </w:r>
      <w:r w:rsidRPr="000B3360">
        <w:rPr>
          <w:rFonts w:ascii="Book Antiqua" w:eastAsia="Book Antiqua" w:hAnsi="Book Antiqua" w:cs="Book Antiqua"/>
          <w:color w:val="000000"/>
        </w:rPr>
        <w:t>: 657-667 [PMID: 21556020 DOI: 10.1038/nrendo.2011.58]</w:t>
      </w:r>
    </w:p>
    <w:p w14:paraId="5C7F342A"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25 </w:t>
      </w:r>
      <w:r w:rsidRPr="000B3360">
        <w:rPr>
          <w:rFonts w:ascii="Book Antiqua" w:eastAsia="Book Antiqua" w:hAnsi="Book Antiqua" w:cs="Book Antiqua"/>
          <w:b/>
          <w:bCs/>
          <w:color w:val="000000"/>
        </w:rPr>
        <w:t>Chan A</w:t>
      </w:r>
      <w:r w:rsidRPr="000B3360">
        <w:rPr>
          <w:rFonts w:ascii="Book Antiqua" w:eastAsia="Book Antiqua" w:hAnsi="Book Antiqua" w:cs="Book Antiqua"/>
          <w:color w:val="000000"/>
        </w:rPr>
        <w:t xml:space="preserve">, Shinde R, Chow CC, Cockram CS, Swaminathan R. In vivo and </w:t>
      </w:r>
      <w:r w:rsidRPr="000B3360">
        <w:rPr>
          <w:rFonts w:ascii="Book Antiqua" w:eastAsia="Book Antiqua" w:hAnsi="Book Antiqua" w:cs="Book Antiqua"/>
          <w:i/>
          <w:iCs/>
          <w:color w:val="000000"/>
        </w:rPr>
        <w:t>in vitro</w:t>
      </w:r>
      <w:r w:rsidRPr="000B3360">
        <w:rPr>
          <w:rFonts w:ascii="Book Antiqua" w:eastAsia="Book Antiqua" w:hAnsi="Book Antiqua" w:cs="Book Antiqua"/>
          <w:color w:val="000000"/>
        </w:rPr>
        <w:t xml:space="preserve"> sodium pump activity in subjects with thyrotoxic periodic paralysis. </w:t>
      </w:r>
      <w:r w:rsidRPr="000B3360">
        <w:rPr>
          <w:rFonts w:ascii="Book Antiqua" w:eastAsia="Book Antiqua" w:hAnsi="Book Antiqua" w:cs="Book Antiqua"/>
          <w:i/>
          <w:iCs/>
          <w:color w:val="000000"/>
        </w:rPr>
        <w:t>BMJ</w:t>
      </w:r>
      <w:r w:rsidRPr="000B3360">
        <w:rPr>
          <w:rFonts w:ascii="Book Antiqua" w:eastAsia="Book Antiqua" w:hAnsi="Book Antiqua" w:cs="Book Antiqua"/>
          <w:color w:val="000000"/>
        </w:rPr>
        <w:t xml:space="preserve"> 1991; </w:t>
      </w:r>
      <w:r w:rsidRPr="000B3360">
        <w:rPr>
          <w:rFonts w:ascii="Book Antiqua" w:eastAsia="Book Antiqua" w:hAnsi="Book Antiqua" w:cs="Book Antiqua"/>
          <w:b/>
          <w:bCs/>
          <w:color w:val="000000"/>
        </w:rPr>
        <w:t>303</w:t>
      </w:r>
      <w:r w:rsidRPr="000B3360">
        <w:rPr>
          <w:rFonts w:ascii="Book Antiqua" w:eastAsia="Book Antiqua" w:hAnsi="Book Antiqua" w:cs="Book Antiqua"/>
          <w:color w:val="000000"/>
        </w:rPr>
        <w:t>: 1096-1099 [PMID: 1660744 DOI: 10.1136/bmj.303.6810.1096]</w:t>
      </w:r>
    </w:p>
    <w:p w14:paraId="17012174"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26 </w:t>
      </w:r>
      <w:r w:rsidRPr="000B3360">
        <w:rPr>
          <w:rFonts w:ascii="Book Antiqua" w:eastAsia="Book Antiqua" w:hAnsi="Book Antiqua" w:cs="Book Antiqua"/>
          <w:b/>
          <w:bCs/>
          <w:color w:val="000000"/>
        </w:rPr>
        <w:t>Yan MT</w:t>
      </w:r>
      <w:r w:rsidRPr="000B3360">
        <w:rPr>
          <w:rFonts w:ascii="Book Antiqua" w:eastAsia="Book Antiqua" w:hAnsi="Book Antiqua" w:cs="Book Antiqua"/>
          <w:color w:val="000000"/>
        </w:rPr>
        <w:t xml:space="preserve">, Yang SS, Tseng MH, Cheng CJ, Tsai JD, Sung CC, Hsu YJ, Lin SH. Allele-specific RT-PCR for the rapid detection of recurrent SLC12A3 mutations for Gitelman </w:t>
      </w:r>
      <w:r w:rsidRPr="000B3360">
        <w:rPr>
          <w:rFonts w:ascii="Book Antiqua" w:eastAsia="Book Antiqua" w:hAnsi="Book Antiqua" w:cs="Book Antiqua"/>
          <w:color w:val="000000"/>
        </w:rPr>
        <w:lastRenderedPageBreak/>
        <w:t xml:space="preserve">syndrome. </w:t>
      </w:r>
      <w:r w:rsidRPr="000B3360">
        <w:rPr>
          <w:rFonts w:ascii="Book Antiqua" w:eastAsia="Book Antiqua" w:hAnsi="Book Antiqua" w:cs="Book Antiqua"/>
          <w:i/>
          <w:iCs/>
          <w:color w:val="000000"/>
        </w:rPr>
        <w:t>NPJ Genom Med</w:t>
      </w:r>
      <w:r w:rsidRPr="000B3360">
        <w:rPr>
          <w:rFonts w:ascii="Book Antiqua" w:eastAsia="Book Antiqua" w:hAnsi="Book Antiqua" w:cs="Book Antiqua"/>
          <w:color w:val="000000"/>
        </w:rPr>
        <w:t xml:space="preserve"> 2021; </w:t>
      </w:r>
      <w:r w:rsidRPr="000B3360">
        <w:rPr>
          <w:rFonts w:ascii="Book Antiqua" w:eastAsia="Book Antiqua" w:hAnsi="Book Antiqua" w:cs="Book Antiqua"/>
          <w:b/>
          <w:bCs/>
          <w:color w:val="000000"/>
        </w:rPr>
        <w:t>6</w:t>
      </w:r>
      <w:r w:rsidRPr="000B3360">
        <w:rPr>
          <w:rFonts w:ascii="Book Antiqua" w:eastAsia="Book Antiqua" w:hAnsi="Book Antiqua" w:cs="Book Antiqua"/>
          <w:color w:val="000000"/>
        </w:rPr>
        <w:t>: 68 [PMID: 34389731 DOI: 10.1038/s41525-021-00230-8]</w:t>
      </w:r>
    </w:p>
    <w:p w14:paraId="216D0BBA"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27 </w:t>
      </w:r>
      <w:r w:rsidRPr="000B3360">
        <w:rPr>
          <w:rFonts w:ascii="Book Antiqua" w:eastAsia="Book Antiqua" w:hAnsi="Book Antiqua" w:cs="Book Antiqua"/>
          <w:b/>
          <w:bCs/>
          <w:color w:val="000000"/>
        </w:rPr>
        <w:t>Ma J</w:t>
      </w:r>
      <w:r w:rsidRPr="000B3360">
        <w:rPr>
          <w:rFonts w:ascii="Book Antiqua" w:eastAsia="Book Antiqua" w:hAnsi="Book Antiqua" w:cs="Book Antiqua"/>
          <w:color w:val="000000"/>
        </w:rPr>
        <w:t xml:space="preserve">, Ren H, Lin L, Zhang C, Wang Z, Xie J, Shen PY, Zhang W, Wang W, Chen XN, Chen N. Genetic Features of Chinese Patients with Gitelman Syndrome: Sixteen Novel SLC12A3 Mutations Identified in a New Cohort. </w:t>
      </w:r>
      <w:r w:rsidRPr="000B3360">
        <w:rPr>
          <w:rFonts w:ascii="Book Antiqua" w:eastAsia="Book Antiqua" w:hAnsi="Book Antiqua" w:cs="Book Antiqua"/>
          <w:i/>
          <w:iCs/>
          <w:color w:val="000000"/>
        </w:rPr>
        <w:t>Am J Nephrol</w:t>
      </w:r>
      <w:r w:rsidRPr="000B3360">
        <w:rPr>
          <w:rFonts w:ascii="Book Antiqua" w:eastAsia="Book Antiqua" w:hAnsi="Book Antiqua" w:cs="Book Antiqua"/>
          <w:color w:val="000000"/>
        </w:rPr>
        <w:t xml:space="preserve"> 2016; </w:t>
      </w:r>
      <w:r w:rsidRPr="000B3360">
        <w:rPr>
          <w:rFonts w:ascii="Book Antiqua" w:eastAsia="Book Antiqua" w:hAnsi="Book Antiqua" w:cs="Book Antiqua"/>
          <w:b/>
          <w:bCs/>
          <w:color w:val="000000"/>
        </w:rPr>
        <w:t>44</w:t>
      </w:r>
      <w:r w:rsidRPr="000B3360">
        <w:rPr>
          <w:rFonts w:ascii="Book Antiqua" w:eastAsia="Book Antiqua" w:hAnsi="Book Antiqua" w:cs="Book Antiqua"/>
          <w:color w:val="000000"/>
        </w:rPr>
        <w:t>: 113-121 [PMID: 27454426 DOI: 10.1159/000447366]</w:t>
      </w:r>
    </w:p>
    <w:p w14:paraId="6F6794F7"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28 </w:t>
      </w:r>
      <w:r w:rsidRPr="000B3360">
        <w:rPr>
          <w:rFonts w:ascii="Book Antiqua" w:eastAsia="Book Antiqua" w:hAnsi="Book Antiqua" w:cs="Book Antiqua"/>
          <w:b/>
          <w:bCs/>
          <w:color w:val="000000"/>
        </w:rPr>
        <w:t>Vargas-Poussou R</w:t>
      </w:r>
      <w:r w:rsidRPr="000B3360">
        <w:rPr>
          <w:rFonts w:ascii="Book Antiqua" w:eastAsia="Book Antiqua" w:hAnsi="Book Antiqua" w:cs="Book Antiqua"/>
          <w:color w:val="000000"/>
        </w:rPr>
        <w:t xml:space="preserve">, Dahan K, Kahila D, Venisse A, Riveira-Munoz E, Debaix H, Grisart B, Bridoux F, Unwin R, Moulin B, Haymann JP, Vantyghem MC, Rigothier C, Dussol B, Godin M, Nivet H, Dubourg L, Tack I, Gimenez-Roqueplo AP, Houillier P, Blanchard A, Devuyst O, Jeunemaitre X. Spectrum of mutations in Gitelman syndrome. </w:t>
      </w:r>
      <w:r w:rsidRPr="000B3360">
        <w:rPr>
          <w:rFonts w:ascii="Book Antiqua" w:eastAsia="Book Antiqua" w:hAnsi="Book Antiqua" w:cs="Book Antiqua"/>
          <w:i/>
          <w:iCs/>
          <w:color w:val="000000"/>
        </w:rPr>
        <w:t>J Am Soc Nephrol</w:t>
      </w:r>
      <w:r w:rsidRPr="000B3360">
        <w:rPr>
          <w:rFonts w:ascii="Book Antiqua" w:eastAsia="Book Antiqua" w:hAnsi="Book Antiqua" w:cs="Book Antiqua"/>
          <w:color w:val="000000"/>
        </w:rPr>
        <w:t xml:space="preserve"> 2011; </w:t>
      </w:r>
      <w:r w:rsidRPr="000B3360">
        <w:rPr>
          <w:rFonts w:ascii="Book Antiqua" w:eastAsia="Book Antiqua" w:hAnsi="Book Antiqua" w:cs="Book Antiqua"/>
          <w:b/>
          <w:bCs/>
          <w:color w:val="000000"/>
        </w:rPr>
        <w:t>22</w:t>
      </w:r>
      <w:r w:rsidRPr="000B3360">
        <w:rPr>
          <w:rFonts w:ascii="Book Antiqua" w:eastAsia="Book Antiqua" w:hAnsi="Book Antiqua" w:cs="Book Antiqua"/>
          <w:color w:val="000000"/>
        </w:rPr>
        <w:t>: 693-703 [PMID: 21415153 DOI: 10.1681/ASN.2010090907]</w:t>
      </w:r>
    </w:p>
    <w:p w14:paraId="73CAC2FC"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29 </w:t>
      </w:r>
      <w:r w:rsidRPr="000B3360">
        <w:rPr>
          <w:rFonts w:ascii="Book Antiqua" w:eastAsia="Book Antiqua" w:hAnsi="Book Antiqua" w:cs="Book Antiqua"/>
          <w:b/>
          <w:bCs/>
          <w:color w:val="000000"/>
        </w:rPr>
        <w:t>Liu T</w:t>
      </w:r>
      <w:r w:rsidRPr="000B3360">
        <w:rPr>
          <w:rFonts w:ascii="Book Antiqua" w:eastAsia="Book Antiqua" w:hAnsi="Book Antiqua" w:cs="Book Antiqua"/>
          <w:color w:val="000000"/>
        </w:rPr>
        <w:t xml:space="preserve">, Wang C, Lu J, Zhao X, Lang Y, Shao L. Genotype/Phenotype Analysis in 67 Chinese Patients with Gitelman's Syndrome. </w:t>
      </w:r>
      <w:r w:rsidRPr="000B3360">
        <w:rPr>
          <w:rFonts w:ascii="Book Antiqua" w:eastAsia="Book Antiqua" w:hAnsi="Book Antiqua" w:cs="Book Antiqua"/>
          <w:i/>
          <w:iCs/>
          <w:color w:val="000000"/>
        </w:rPr>
        <w:t>Am J Nephrol</w:t>
      </w:r>
      <w:r w:rsidRPr="000B3360">
        <w:rPr>
          <w:rFonts w:ascii="Book Antiqua" w:eastAsia="Book Antiqua" w:hAnsi="Book Antiqua" w:cs="Book Antiqua"/>
          <w:color w:val="000000"/>
        </w:rPr>
        <w:t xml:space="preserve"> 2016; </w:t>
      </w:r>
      <w:r w:rsidRPr="000B3360">
        <w:rPr>
          <w:rFonts w:ascii="Book Antiqua" w:eastAsia="Book Antiqua" w:hAnsi="Book Antiqua" w:cs="Book Antiqua"/>
          <w:b/>
          <w:bCs/>
          <w:color w:val="000000"/>
        </w:rPr>
        <w:t>44</w:t>
      </w:r>
      <w:r w:rsidRPr="000B3360">
        <w:rPr>
          <w:rFonts w:ascii="Book Antiqua" w:eastAsia="Book Antiqua" w:hAnsi="Book Antiqua" w:cs="Book Antiqua"/>
          <w:color w:val="000000"/>
        </w:rPr>
        <w:t>: 159-168 [PMID: 27529443 DOI: 10.1159/000448694]</w:t>
      </w:r>
    </w:p>
    <w:p w14:paraId="44A7361B"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30 </w:t>
      </w:r>
      <w:r w:rsidRPr="000B3360">
        <w:rPr>
          <w:rFonts w:ascii="Book Antiqua" w:eastAsia="Book Antiqua" w:hAnsi="Book Antiqua" w:cs="Book Antiqua"/>
          <w:b/>
          <w:bCs/>
          <w:color w:val="000000"/>
        </w:rPr>
        <w:t>Glaudemans B</w:t>
      </w:r>
      <w:r w:rsidRPr="000B3360">
        <w:rPr>
          <w:rFonts w:ascii="Book Antiqua" w:eastAsia="Book Antiqua" w:hAnsi="Book Antiqua" w:cs="Book Antiqua"/>
          <w:color w:val="000000"/>
        </w:rPr>
        <w:t xml:space="preserve">, Yntema HG, San-Cristobal P, Schoots J, Pfundt R, Kamsteeg EJ, Bindels RJ, Knoers NV, Hoenderop JG, Hoefsloot LH. Novel NCC mutants and functional analysis in a new cohort of patients with Gitelman syndrome. </w:t>
      </w:r>
      <w:r w:rsidRPr="000B3360">
        <w:rPr>
          <w:rFonts w:ascii="Book Antiqua" w:eastAsia="Book Antiqua" w:hAnsi="Book Antiqua" w:cs="Book Antiqua"/>
          <w:i/>
          <w:iCs/>
          <w:color w:val="000000"/>
        </w:rPr>
        <w:t>Eur J Hum Genet</w:t>
      </w:r>
      <w:r w:rsidRPr="000B3360">
        <w:rPr>
          <w:rFonts w:ascii="Book Antiqua" w:eastAsia="Book Antiqua" w:hAnsi="Book Antiqua" w:cs="Book Antiqua"/>
          <w:color w:val="000000"/>
        </w:rPr>
        <w:t xml:space="preserve"> 2012; </w:t>
      </w:r>
      <w:r w:rsidRPr="000B3360">
        <w:rPr>
          <w:rFonts w:ascii="Book Antiqua" w:eastAsia="Book Antiqua" w:hAnsi="Book Antiqua" w:cs="Book Antiqua"/>
          <w:b/>
          <w:bCs/>
          <w:color w:val="000000"/>
        </w:rPr>
        <w:t>20</w:t>
      </w:r>
      <w:r w:rsidRPr="000B3360">
        <w:rPr>
          <w:rFonts w:ascii="Book Antiqua" w:eastAsia="Book Antiqua" w:hAnsi="Book Antiqua" w:cs="Book Antiqua"/>
          <w:color w:val="000000"/>
        </w:rPr>
        <w:t>: 263-270 [PMID: 22009145 DOI: 10.1038/ejhg.2011.189]</w:t>
      </w:r>
    </w:p>
    <w:p w14:paraId="5DD38DB0"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31 </w:t>
      </w:r>
      <w:r w:rsidRPr="000B3360">
        <w:rPr>
          <w:rFonts w:ascii="Book Antiqua" w:eastAsia="Book Antiqua" w:hAnsi="Book Antiqua" w:cs="Book Antiqua"/>
          <w:b/>
          <w:bCs/>
          <w:color w:val="000000"/>
        </w:rPr>
        <w:t>Fujimura J</w:t>
      </w:r>
      <w:r w:rsidRPr="000B3360">
        <w:rPr>
          <w:rFonts w:ascii="Book Antiqua" w:eastAsia="Book Antiqua" w:hAnsi="Book Antiqua" w:cs="Book Antiqua"/>
          <w:color w:val="000000"/>
        </w:rPr>
        <w:t xml:space="preserve">, Nozu K, Yamamura T, Minamikawa S, Nakanishi K, Horinouchi T, Nagano C, Sakakibara N, Nakanishi K, Shima Y, Miyako K, Nozu Y, Morisada N, Nagase H, Ninchoji T, Kaito H, Iijima K. Clinical and Genetic Characteristics in Patients With Gitelman Syndrome. </w:t>
      </w:r>
      <w:r w:rsidRPr="000B3360">
        <w:rPr>
          <w:rFonts w:ascii="Book Antiqua" w:eastAsia="Book Antiqua" w:hAnsi="Book Antiqua" w:cs="Book Antiqua"/>
          <w:i/>
          <w:iCs/>
          <w:color w:val="000000"/>
        </w:rPr>
        <w:t>Kidney Int Rep</w:t>
      </w:r>
      <w:r w:rsidRPr="000B3360">
        <w:rPr>
          <w:rFonts w:ascii="Book Antiqua" w:eastAsia="Book Antiqua" w:hAnsi="Book Antiqua" w:cs="Book Antiqua"/>
          <w:color w:val="000000"/>
        </w:rPr>
        <w:t xml:space="preserve"> 2019; </w:t>
      </w:r>
      <w:r w:rsidRPr="000B3360">
        <w:rPr>
          <w:rFonts w:ascii="Book Antiqua" w:eastAsia="Book Antiqua" w:hAnsi="Book Antiqua" w:cs="Book Antiqua"/>
          <w:b/>
          <w:bCs/>
          <w:color w:val="000000"/>
        </w:rPr>
        <w:t>4</w:t>
      </w:r>
      <w:r w:rsidRPr="000B3360">
        <w:rPr>
          <w:rFonts w:ascii="Book Antiqua" w:eastAsia="Book Antiqua" w:hAnsi="Book Antiqua" w:cs="Book Antiqua"/>
          <w:color w:val="000000"/>
        </w:rPr>
        <w:t>: 119-125 [PMID: 30596175 DOI: 10.1016/j.ekir.2018.09.015]</w:t>
      </w:r>
    </w:p>
    <w:p w14:paraId="17EF77A6"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32 </w:t>
      </w:r>
      <w:r w:rsidRPr="000B3360">
        <w:rPr>
          <w:rFonts w:ascii="Book Antiqua" w:eastAsia="Book Antiqua" w:hAnsi="Book Antiqua" w:cs="Book Antiqua"/>
          <w:b/>
          <w:bCs/>
          <w:color w:val="000000"/>
        </w:rPr>
        <w:t>Ellison DH</w:t>
      </w:r>
      <w:r w:rsidRPr="000B3360">
        <w:rPr>
          <w:rFonts w:ascii="Book Antiqua" w:eastAsia="Book Antiqua" w:hAnsi="Book Antiqua" w:cs="Book Antiqua"/>
          <w:color w:val="000000"/>
        </w:rPr>
        <w:t xml:space="preserve">, Lin SH. Enemy Action in the Distal Convoluted Tubule. </w:t>
      </w:r>
      <w:r w:rsidRPr="000B3360">
        <w:rPr>
          <w:rFonts w:ascii="Book Antiqua" w:eastAsia="Book Antiqua" w:hAnsi="Book Antiqua" w:cs="Book Antiqua"/>
          <w:i/>
          <w:iCs/>
          <w:color w:val="000000"/>
        </w:rPr>
        <w:t>J Am Soc Nephrol</w:t>
      </w:r>
      <w:r w:rsidRPr="000B3360">
        <w:rPr>
          <w:rFonts w:ascii="Book Antiqua" w:eastAsia="Book Antiqua" w:hAnsi="Book Antiqua" w:cs="Book Antiqua"/>
          <w:color w:val="000000"/>
        </w:rPr>
        <w:t xml:space="preserve"> 2019; </w:t>
      </w:r>
      <w:r w:rsidRPr="000B3360">
        <w:rPr>
          <w:rFonts w:ascii="Book Antiqua" w:eastAsia="Book Antiqua" w:hAnsi="Book Antiqua" w:cs="Book Antiqua"/>
          <w:b/>
          <w:bCs/>
          <w:color w:val="000000"/>
        </w:rPr>
        <w:t>30</w:t>
      </w:r>
      <w:r w:rsidRPr="000B3360">
        <w:rPr>
          <w:rFonts w:ascii="Book Antiqua" w:eastAsia="Book Antiqua" w:hAnsi="Book Antiqua" w:cs="Book Antiqua"/>
          <w:color w:val="000000"/>
        </w:rPr>
        <w:t>: 1345-1348 [PMID: 31366695 DOI: 10.1681/ASN.2019050475]</w:t>
      </w:r>
    </w:p>
    <w:p w14:paraId="58CDE58F"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33 </w:t>
      </w:r>
      <w:r w:rsidRPr="000B3360">
        <w:rPr>
          <w:rFonts w:ascii="Book Antiqua" w:eastAsia="Book Antiqua" w:hAnsi="Book Antiqua" w:cs="Book Antiqua"/>
          <w:b/>
          <w:bCs/>
          <w:color w:val="000000"/>
        </w:rPr>
        <w:t>Li C</w:t>
      </w:r>
      <w:r w:rsidRPr="000B3360">
        <w:rPr>
          <w:rFonts w:ascii="Book Antiqua" w:eastAsia="Book Antiqua" w:hAnsi="Book Antiqua" w:cs="Book Antiqua"/>
          <w:color w:val="000000"/>
        </w:rPr>
        <w:t xml:space="preserve">, Zhou X, Han W, Jiang X, Liu J, Fang L, Wang H, Guan Q, Gao L, Zhao J, Xu J, Xu C. Identification of two novel mutations in SLC12A3 gene in two Chinese pedigrees with </w:t>
      </w:r>
      <w:r w:rsidRPr="000B3360">
        <w:rPr>
          <w:rFonts w:ascii="Book Antiqua" w:eastAsia="Book Antiqua" w:hAnsi="Book Antiqua" w:cs="Book Antiqua"/>
          <w:color w:val="000000"/>
        </w:rPr>
        <w:lastRenderedPageBreak/>
        <w:t xml:space="preserve">Gitelman syndrome and review of literature. </w:t>
      </w:r>
      <w:r w:rsidRPr="000B3360">
        <w:rPr>
          <w:rFonts w:ascii="Book Antiqua" w:eastAsia="Book Antiqua" w:hAnsi="Book Antiqua" w:cs="Book Antiqua"/>
          <w:i/>
          <w:iCs/>
          <w:color w:val="000000"/>
        </w:rPr>
        <w:t>Clin Endocrinol (Oxf)</w:t>
      </w:r>
      <w:r w:rsidRPr="000B3360">
        <w:rPr>
          <w:rFonts w:ascii="Book Antiqua" w:eastAsia="Book Antiqua" w:hAnsi="Book Antiqua" w:cs="Book Antiqua"/>
          <w:color w:val="000000"/>
        </w:rPr>
        <w:t xml:space="preserve"> 2015; </w:t>
      </w:r>
      <w:r w:rsidRPr="000B3360">
        <w:rPr>
          <w:rFonts w:ascii="Book Antiqua" w:eastAsia="Book Antiqua" w:hAnsi="Book Antiqua" w:cs="Book Antiqua"/>
          <w:b/>
          <w:bCs/>
          <w:color w:val="000000"/>
        </w:rPr>
        <w:t>83</w:t>
      </w:r>
      <w:r w:rsidRPr="000B3360">
        <w:rPr>
          <w:rFonts w:ascii="Book Antiqua" w:eastAsia="Book Antiqua" w:hAnsi="Book Antiqua" w:cs="Book Antiqua"/>
          <w:color w:val="000000"/>
        </w:rPr>
        <w:t>: 985-993 [PMID: 25990047 DOI: 10.1111/cen.12820]</w:t>
      </w:r>
    </w:p>
    <w:p w14:paraId="6DEC7903"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34 </w:t>
      </w:r>
      <w:r w:rsidRPr="000B3360">
        <w:rPr>
          <w:rFonts w:ascii="Book Antiqua" w:eastAsia="Book Antiqua" w:hAnsi="Book Antiqua" w:cs="Book Antiqua"/>
          <w:b/>
          <w:bCs/>
          <w:color w:val="000000"/>
        </w:rPr>
        <w:t>Cruz DN</w:t>
      </w:r>
      <w:r w:rsidRPr="000B3360">
        <w:rPr>
          <w:rFonts w:ascii="Book Antiqua" w:eastAsia="Book Antiqua" w:hAnsi="Book Antiqua" w:cs="Book Antiqua"/>
          <w:color w:val="000000"/>
        </w:rPr>
        <w:t xml:space="preserve">, Shaer AJ, Bia MJ, Lifton RP, Simon DB; Yale Gitelman's and Bartter's Syndrome Collaborative Study Group. Gitelman's syndrome revisited: an evaluation of symptoms and health-related quality of life. </w:t>
      </w:r>
      <w:r w:rsidRPr="000B3360">
        <w:rPr>
          <w:rFonts w:ascii="Book Antiqua" w:eastAsia="Book Antiqua" w:hAnsi="Book Antiqua" w:cs="Book Antiqua"/>
          <w:i/>
          <w:iCs/>
          <w:color w:val="000000"/>
        </w:rPr>
        <w:t>Kidney Int</w:t>
      </w:r>
      <w:r w:rsidRPr="000B3360">
        <w:rPr>
          <w:rFonts w:ascii="Book Antiqua" w:eastAsia="Book Antiqua" w:hAnsi="Book Antiqua" w:cs="Book Antiqua"/>
          <w:color w:val="000000"/>
        </w:rPr>
        <w:t xml:space="preserve"> 2001; </w:t>
      </w:r>
      <w:r w:rsidRPr="000B3360">
        <w:rPr>
          <w:rFonts w:ascii="Book Antiqua" w:eastAsia="Book Antiqua" w:hAnsi="Book Antiqua" w:cs="Book Antiqua"/>
          <w:b/>
          <w:bCs/>
          <w:color w:val="000000"/>
        </w:rPr>
        <w:t>59</w:t>
      </w:r>
      <w:r w:rsidRPr="000B3360">
        <w:rPr>
          <w:rFonts w:ascii="Book Antiqua" w:eastAsia="Book Antiqua" w:hAnsi="Book Antiqua" w:cs="Book Antiqua"/>
          <w:color w:val="000000"/>
        </w:rPr>
        <w:t>: 710-717 [PMID: 11168953 DOI: 10.1046/j.1523-1755.2001.059002710.x]</w:t>
      </w:r>
    </w:p>
    <w:p w14:paraId="23EB4EAB"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35 </w:t>
      </w:r>
      <w:r w:rsidRPr="000B3360">
        <w:rPr>
          <w:rFonts w:ascii="Book Antiqua" w:eastAsia="Book Antiqua" w:hAnsi="Book Antiqua" w:cs="Book Antiqua"/>
          <w:b/>
          <w:bCs/>
          <w:color w:val="000000"/>
        </w:rPr>
        <w:t>Balavoine AS</w:t>
      </w:r>
      <w:r w:rsidRPr="000B3360">
        <w:rPr>
          <w:rFonts w:ascii="Book Antiqua" w:eastAsia="Book Antiqua" w:hAnsi="Book Antiqua" w:cs="Book Antiqua"/>
          <w:color w:val="000000"/>
        </w:rPr>
        <w:t xml:space="preserve">, Bataille P, Vanhille P, Azar R, Noël C, Asseman P, Soudan B, Wémeau JL, Vantyghem MC. Phenotype-genotype correlation and follow-up in adult patients with hypokalaemia of renal origin suggesting Gitelman syndrome. </w:t>
      </w:r>
      <w:r w:rsidRPr="000B3360">
        <w:rPr>
          <w:rFonts w:ascii="Book Antiqua" w:eastAsia="Book Antiqua" w:hAnsi="Book Antiqua" w:cs="Book Antiqua"/>
          <w:i/>
          <w:iCs/>
          <w:color w:val="000000"/>
        </w:rPr>
        <w:t>Eur J Endocrinol</w:t>
      </w:r>
      <w:r w:rsidRPr="000B3360">
        <w:rPr>
          <w:rFonts w:ascii="Book Antiqua" w:eastAsia="Book Antiqua" w:hAnsi="Book Antiqua" w:cs="Book Antiqua"/>
          <w:color w:val="000000"/>
        </w:rPr>
        <w:t xml:space="preserve"> 2011; </w:t>
      </w:r>
      <w:r w:rsidRPr="000B3360">
        <w:rPr>
          <w:rFonts w:ascii="Book Antiqua" w:eastAsia="Book Antiqua" w:hAnsi="Book Antiqua" w:cs="Book Antiqua"/>
          <w:b/>
          <w:bCs/>
          <w:color w:val="000000"/>
        </w:rPr>
        <w:t>165</w:t>
      </w:r>
      <w:r w:rsidRPr="000B3360">
        <w:rPr>
          <w:rFonts w:ascii="Book Antiqua" w:eastAsia="Book Antiqua" w:hAnsi="Book Antiqua" w:cs="Book Antiqua"/>
          <w:color w:val="000000"/>
        </w:rPr>
        <w:t>: 665-673 [PMID: 21753071 DOI: 10.1530/EJE-11-0224]</w:t>
      </w:r>
    </w:p>
    <w:p w14:paraId="1535C33A"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36 </w:t>
      </w:r>
      <w:r w:rsidRPr="000B3360">
        <w:rPr>
          <w:rFonts w:ascii="Book Antiqua" w:eastAsia="Book Antiqua" w:hAnsi="Book Antiqua" w:cs="Book Antiqua"/>
          <w:b/>
          <w:bCs/>
          <w:color w:val="000000"/>
        </w:rPr>
        <w:t>Tseng MH</w:t>
      </w:r>
      <w:r w:rsidRPr="000B3360">
        <w:rPr>
          <w:rFonts w:ascii="Book Antiqua" w:eastAsia="Book Antiqua" w:hAnsi="Book Antiqua" w:cs="Book Antiqua"/>
          <w:color w:val="000000"/>
        </w:rPr>
        <w:t xml:space="preserve">, Yang SS, Hsu YJ, Fang YW, Wu CJ, Tsai JD, Hwang DY, Lin SH. Genotype, phenotype, and follow-up in Taiwanese patients with salt-losing tubulopathy associated with SLC12A3 mutation. </w:t>
      </w:r>
      <w:r w:rsidRPr="000B3360">
        <w:rPr>
          <w:rFonts w:ascii="Book Antiqua" w:eastAsia="Book Antiqua" w:hAnsi="Book Antiqua" w:cs="Book Antiqua"/>
          <w:i/>
          <w:iCs/>
          <w:color w:val="000000"/>
        </w:rPr>
        <w:t>J Clin Endocrinol Metab</w:t>
      </w:r>
      <w:r w:rsidRPr="000B3360">
        <w:rPr>
          <w:rFonts w:ascii="Book Antiqua" w:eastAsia="Book Antiqua" w:hAnsi="Book Antiqua" w:cs="Book Antiqua"/>
          <w:color w:val="000000"/>
        </w:rPr>
        <w:t xml:space="preserve"> 2012; </w:t>
      </w:r>
      <w:r w:rsidRPr="000B3360">
        <w:rPr>
          <w:rFonts w:ascii="Book Antiqua" w:eastAsia="Book Antiqua" w:hAnsi="Book Antiqua" w:cs="Book Antiqua"/>
          <w:b/>
          <w:bCs/>
          <w:color w:val="000000"/>
        </w:rPr>
        <w:t>97</w:t>
      </w:r>
      <w:r w:rsidRPr="000B3360">
        <w:rPr>
          <w:rFonts w:ascii="Book Antiqua" w:eastAsia="Book Antiqua" w:hAnsi="Book Antiqua" w:cs="Book Antiqua"/>
          <w:color w:val="000000"/>
        </w:rPr>
        <w:t>: E1478-E1482 [PMID: 22679066 DOI: 10.1210/jc.2012-1707]</w:t>
      </w:r>
    </w:p>
    <w:p w14:paraId="4A8F3806"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37 </w:t>
      </w:r>
      <w:r w:rsidRPr="000B3360">
        <w:rPr>
          <w:rFonts w:ascii="Book Antiqua" w:eastAsia="Book Antiqua" w:hAnsi="Book Antiqua" w:cs="Book Antiqua"/>
          <w:b/>
          <w:bCs/>
          <w:color w:val="000000"/>
        </w:rPr>
        <w:t>Aoi N</w:t>
      </w:r>
      <w:r w:rsidRPr="000B3360">
        <w:rPr>
          <w:rFonts w:ascii="Book Antiqua" w:eastAsia="Book Antiqua" w:hAnsi="Book Antiqua" w:cs="Book Antiqua"/>
          <w:color w:val="000000"/>
        </w:rPr>
        <w:t xml:space="preserve">, Nakayama T, Tahira Y, Haketa A, Yabuki M, Sekiyama T, Nakane C, Mano H, Kawachi H, Sato N, Soma M, Matsumoto K. Two novel genotypes of the thiazide-sensitive Na-Cl cotransporter (SLC12A3) gene in patients with Gitelman's syndrome. </w:t>
      </w:r>
      <w:r w:rsidRPr="000B3360">
        <w:rPr>
          <w:rFonts w:ascii="Book Antiqua" w:eastAsia="Book Antiqua" w:hAnsi="Book Antiqua" w:cs="Book Antiqua"/>
          <w:i/>
          <w:iCs/>
          <w:color w:val="000000"/>
        </w:rPr>
        <w:t>Endocrine</w:t>
      </w:r>
      <w:r w:rsidRPr="000B3360">
        <w:rPr>
          <w:rFonts w:ascii="Book Antiqua" w:eastAsia="Book Antiqua" w:hAnsi="Book Antiqua" w:cs="Book Antiqua"/>
          <w:color w:val="000000"/>
        </w:rPr>
        <w:t xml:space="preserve"> 2007; </w:t>
      </w:r>
      <w:r w:rsidRPr="000B3360">
        <w:rPr>
          <w:rFonts w:ascii="Book Antiqua" w:eastAsia="Book Antiqua" w:hAnsi="Book Antiqua" w:cs="Book Antiqua"/>
          <w:b/>
          <w:bCs/>
          <w:color w:val="000000"/>
        </w:rPr>
        <w:t>31</w:t>
      </w:r>
      <w:r w:rsidRPr="000B3360">
        <w:rPr>
          <w:rFonts w:ascii="Book Antiqua" w:eastAsia="Book Antiqua" w:hAnsi="Book Antiqua" w:cs="Book Antiqua"/>
          <w:color w:val="000000"/>
        </w:rPr>
        <w:t>: 149-153 [PMID: 17873326 DOI: 10.1007/s12020-007-0024-9]</w:t>
      </w:r>
    </w:p>
    <w:p w14:paraId="7365219B"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38 </w:t>
      </w:r>
      <w:r w:rsidRPr="000B3360">
        <w:rPr>
          <w:rFonts w:ascii="Book Antiqua" w:eastAsia="Book Antiqua" w:hAnsi="Book Antiqua" w:cs="Book Antiqua"/>
          <w:b/>
          <w:bCs/>
          <w:color w:val="000000"/>
        </w:rPr>
        <w:t>Mizokami T</w:t>
      </w:r>
      <w:r w:rsidRPr="000B3360">
        <w:rPr>
          <w:rFonts w:ascii="Book Antiqua" w:eastAsia="Book Antiqua" w:hAnsi="Book Antiqua" w:cs="Book Antiqua"/>
          <w:color w:val="000000"/>
        </w:rPr>
        <w:t xml:space="preserve">, Hishinuma A, Kogai T, Hamada K, Maruta T, Higashi K, Tajiri J. Graves' disease and Gitelman syndrome. </w:t>
      </w:r>
      <w:r w:rsidRPr="000B3360">
        <w:rPr>
          <w:rFonts w:ascii="Book Antiqua" w:eastAsia="Book Antiqua" w:hAnsi="Book Antiqua" w:cs="Book Antiqua"/>
          <w:i/>
          <w:iCs/>
          <w:color w:val="000000"/>
        </w:rPr>
        <w:t>Clin Endocrinol (Oxf)</w:t>
      </w:r>
      <w:r w:rsidRPr="000B3360">
        <w:rPr>
          <w:rFonts w:ascii="Book Antiqua" w:eastAsia="Book Antiqua" w:hAnsi="Book Antiqua" w:cs="Book Antiqua"/>
          <w:color w:val="000000"/>
        </w:rPr>
        <w:t xml:space="preserve"> 2016; </w:t>
      </w:r>
      <w:r w:rsidRPr="000B3360">
        <w:rPr>
          <w:rFonts w:ascii="Book Antiqua" w:eastAsia="Book Antiqua" w:hAnsi="Book Antiqua" w:cs="Book Antiqua"/>
          <w:b/>
          <w:bCs/>
          <w:color w:val="000000"/>
        </w:rPr>
        <w:t>84</w:t>
      </w:r>
      <w:r w:rsidRPr="000B3360">
        <w:rPr>
          <w:rFonts w:ascii="Book Antiqua" w:eastAsia="Book Antiqua" w:hAnsi="Book Antiqua" w:cs="Book Antiqua"/>
          <w:color w:val="000000"/>
        </w:rPr>
        <w:t>: 149-150 [PMID: 26041598 DOI: 10.1111/cen.12829]</w:t>
      </w:r>
    </w:p>
    <w:p w14:paraId="09C738F0"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39 </w:t>
      </w:r>
      <w:r w:rsidRPr="000B3360">
        <w:rPr>
          <w:rFonts w:ascii="Book Antiqua" w:eastAsia="Book Antiqua" w:hAnsi="Book Antiqua" w:cs="Book Antiqua"/>
          <w:b/>
          <w:bCs/>
          <w:color w:val="000000"/>
        </w:rPr>
        <w:t>Zha B</w:t>
      </w:r>
      <w:r w:rsidRPr="000B3360">
        <w:rPr>
          <w:rFonts w:ascii="Book Antiqua" w:eastAsia="Book Antiqua" w:hAnsi="Book Antiqua" w:cs="Book Antiqua"/>
          <w:color w:val="000000"/>
        </w:rPr>
        <w:t xml:space="preserve">, Zheng P, Liu J, Huang X. Coexistence of Graves' Disease in a 14-year-old young girl with Gitelman Syndrome. </w:t>
      </w:r>
      <w:r w:rsidRPr="000B3360">
        <w:rPr>
          <w:rFonts w:ascii="Book Antiqua" w:eastAsia="Book Antiqua" w:hAnsi="Book Antiqua" w:cs="Book Antiqua"/>
          <w:i/>
          <w:iCs/>
          <w:color w:val="000000"/>
        </w:rPr>
        <w:t>Clin Endocrinol (Oxf)</w:t>
      </w:r>
      <w:r w:rsidRPr="000B3360">
        <w:rPr>
          <w:rFonts w:ascii="Book Antiqua" w:eastAsia="Book Antiqua" w:hAnsi="Book Antiqua" w:cs="Book Antiqua"/>
          <w:color w:val="000000"/>
        </w:rPr>
        <w:t xml:space="preserve"> 2015; </w:t>
      </w:r>
      <w:r w:rsidRPr="000B3360">
        <w:rPr>
          <w:rFonts w:ascii="Book Antiqua" w:eastAsia="Book Antiqua" w:hAnsi="Book Antiqua" w:cs="Book Antiqua"/>
          <w:b/>
          <w:bCs/>
          <w:color w:val="000000"/>
        </w:rPr>
        <w:t>83</w:t>
      </w:r>
      <w:r w:rsidRPr="000B3360">
        <w:rPr>
          <w:rFonts w:ascii="Book Antiqua" w:eastAsia="Book Antiqua" w:hAnsi="Book Antiqua" w:cs="Book Antiqua"/>
          <w:color w:val="000000"/>
        </w:rPr>
        <w:t>: 995-997 [PMID: 25892104 DOI: 10.1111/cen.12800]</w:t>
      </w:r>
    </w:p>
    <w:p w14:paraId="3AE00BF4" w14:textId="3618A94C"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40 </w:t>
      </w:r>
      <w:r w:rsidRPr="000B3360">
        <w:rPr>
          <w:rFonts w:ascii="Book Antiqua" w:eastAsia="Book Antiqua" w:hAnsi="Book Antiqua" w:cs="Book Antiqua"/>
          <w:b/>
          <w:bCs/>
          <w:color w:val="000000"/>
        </w:rPr>
        <w:t>Liu S</w:t>
      </w:r>
      <w:r w:rsidRPr="000B3360">
        <w:rPr>
          <w:rFonts w:ascii="Book Antiqua" w:eastAsia="Book Antiqua" w:hAnsi="Book Antiqua" w:cs="Book Antiqua"/>
          <w:color w:val="000000"/>
        </w:rPr>
        <w:t xml:space="preserve">, Ke J, Zhang B, Yu C, Feng Y, Zhao D. A </w:t>
      </w:r>
      <w:r w:rsidR="00E1596E" w:rsidRPr="000B3360">
        <w:rPr>
          <w:rFonts w:ascii="Book Antiqua" w:eastAsia="Book Antiqua" w:hAnsi="Book Antiqua" w:cs="Book Antiqua"/>
          <w:color w:val="000000"/>
        </w:rPr>
        <w:t>novel compound heterozygous variant of SLC12A3 gene in a pedigree with gitelman syndrome co-existent with thyroid dysfunction</w:t>
      </w:r>
      <w:r w:rsidRPr="000B3360">
        <w:rPr>
          <w:rFonts w:ascii="Book Antiqua" w:eastAsia="Book Antiqua" w:hAnsi="Book Antiqua" w:cs="Book Antiqua"/>
          <w:color w:val="000000"/>
        </w:rPr>
        <w:t xml:space="preserve">. </w:t>
      </w:r>
      <w:r w:rsidRPr="000B3360">
        <w:rPr>
          <w:rFonts w:ascii="Book Antiqua" w:eastAsia="Book Antiqua" w:hAnsi="Book Antiqua" w:cs="Book Antiqua"/>
          <w:i/>
          <w:iCs/>
          <w:color w:val="000000"/>
        </w:rPr>
        <w:t>Endocr Pract</w:t>
      </w:r>
      <w:r w:rsidRPr="000B3360">
        <w:rPr>
          <w:rFonts w:ascii="Book Antiqua" w:eastAsia="Book Antiqua" w:hAnsi="Book Antiqua" w:cs="Book Antiqua"/>
          <w:color w:val="000000"/>
        </w:rPr>
        <w:t xml:space="preserve"> 2018; </w:t>
      </w:r>
      <w:r w:rsidRPr="000B3360">
        <w:rPr>
          <w:rFonts w:ascii="Book Antiqua" w:eastAsia="Book Antiqua" w:hAnsi="Book Antiqua" w:cs="Book Antiqua"/>
          <w:b/>
          <w:bCs/>
          <w:color w:val="000000"/>
        </w:rPr>
        <w:t>24</w:t>
      </w:r>
      <w:r w:rsidRPr="000B3360">
        <w:rPr>
          <w:rFonts w:ascii="Book Antiqua" w:eastAsia="Book Antiqua" w:hAnsi="Book Antiqua" w:cs="Book Antiqua"/>
          <w:color w:val="000000"/>
        </w:rPr>
        <w:t>: 889-893 [PMID: 30084681 DOI: 10.4158/EP-2018-0218]</w:t>
      </w:r>
    </w:p>
    <w:p w14:paraId="40377565"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lastRenderedPageBreak/>
        <w:t xml:space="preserve">41 </w:t>
      </w:r>
      <w:r w:rsidRPr="000B3360">
        <w:rPr>
          <w:rFonts w:ascii="Book Antiqua" w:eastAsia="Book Antiqua" w:hAnsi="Book Antiqua" w:cs="Book Antiqua"/>
          <w:b/>
          <w:bCs/>
          <w:color w:val="000000"/>
        </w:rPr>
        <w:t>Zhang JH</w:t>
      </w:r>
      <w:r w:rsidRPr="000B3360">
        <w:rPr>
          <w:rFonts w:ascii="Book Antiqua" w:eastAsia="Book Antiqua" w:hAnsi="Book Antiqua" w:cs="Book Antiqua"/>
          <w:color w:val="000000"/>
        </w:rPr>
        <w:t xml:space="preserve">, Ruan DD, Hu YN, Ruan XL, Zhu YB, Yang X, Wu JB, Lin XF, Luo JW, Tang FQ. Review and Analysis of Two Gitelman Syndrome Pedigrees Complicated with Proteinuria or Hashimoto's Thyroiditis Caused by Compound Heterozygous </w:t>
      </w:r>
      <w:r w:rsidRPr="000B3360">
        <w:rPr>
          <w:rFonts w:ascii="Book Antiqua" w:eastAsia="Book Antiqua" w:hAnsi="Book Antiqua" w:cs="Book Antiqua"/>
          <w:i/>
          <w:iCs/>
          <w:color w:val="000000"/>
        </w:rPr>
        <w:t>SLC12A3</w:t>
      </w:r>
      <w:r w:rsidRPr="000B3360">
        <w:rPr>
          <w:rFonts w:ascii="Book Antiqua" w:eastAsia="Book Antiqua" w:hAnsi="Book Antiqua" w:cs="Book Antiqua"/>
          <w:color w:val="000000"/>
        </w:rPr>
        <w:t xml:space="preserve"> Mutations. </w:t>
      </w:r>
      <w:r w:rsidRPr="000B3360">
        <w:rPr>
          <w:rFonts w:ascii="Book Antiqua" w:eastAsia="Book Antiqua" w:hAnsi="Book Antiqua" w:cs="Book Antiqua"/>
          <w:i/>
          <w:iCs/>
          <w:color w:val="000000"/>
        </w:rPr>
        <w:t>Biomed Res Int</w:t>
      </w:r>
      <w:r w:rsidRPr="000B3360">
        <w:rPr>
          <w:rFonts w:ascii="Book Antiqua" w:eastAsia="Book Antiqua" w:hAnsi="Book Antiqua" w:cs="Book Antiqua"/>
          <w:color w:val="000000"/>
        </w:rPr>
        <w:t xml:space="preserve"> 2021; </w:t>
      </w:r>
      <w:r w:rsidRPr="000B3360">
        <w:rPr>
          <w:rFonts w:ascii="Book Antiqua" w:eastAsia="Book Antiqua" w:hAnsi="Book Antiqua" w:cs="Book Antiqua"/>
          <w:b/>
          <w:bCs/>
          <w:color w:val="000000"/>
        </w:rPr>
        <w:t>2021</w:t>
      </w:r>
      <w:r w:rsidRPr="000B3360">
        <w:rPr>
          <w:rFonts w:ascii="Book Antiqua" w:eastAsia="Book Antiqua" w:hAnsi="Book Antiqua" w:cs="Book Antiqua"/>
          <w:color w:val="000000"/>
        </w:rPr>
        <w:t>: 9973161 [PMID: 34046503 DOI: 10.1155/2021/9973161]</w:t>
      </w:r>
    </w:p>
    <w:p w14:paraId="2A9F70CB"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42 </w:t>
      </w:r>
      <w:r w:rsidRPr="000B3360">
        <w:rPr>
          <w:rFonts w:ascii="Book Antiqua" w:eastAsia="Book Antiqua" w:hAnsi="Book Antiqua" w:cs="Book Antiqua"/>
          <w:b/>
          <w:bCs/>
          <w:color w:val="000000"/>
        </w:rPr>
        <w:t>Yu S</w:t>
      </w:r>
      <w:r w:rsidRPr="000B3360">
        <w:rPr>
          <w:rFonts w:ascii="Book Antiqua" w:eastAsia="Book Antiqua" w:hAnsi="Book Antiqua" w:cs="Book Antiqua"/>
          <w:color w:val="000000"/>
        </w:rPr>
        <w:t xml:space="preserve">, Wang C. Genetic Analysis of Gitelman Syndrome: Co-existence with Hyperthyroidism in a Two-year-old Boy. </w:t>
      </w:r>
      <w:r w:rsidRPr="000B3360">
        <w:rPr>
          <w:rFonts w:ascii="Book Antiqua" w:eastAsia="Book Antiqua" w:hAnsi="Book Antiqua" w:cs="Book Antiqua"/>
          <w:i/>
          <w:iCs/>
          <w:color w:val="000000"/>
        </w:rPr>
        <w:t>Endocr Metab Immune Disord Drug Targets</w:t>
      </w:r>
      <w:r w:rsidRPr="000B3360">
        <w:rPr>
          <w:rFonts w:ascii="Book Antiqua" w:eastAsia="Book Antiqua" w:hAnsi="Book Antiqua" w:cs="Book Antiqua"/>
          <w:color w:val="000000"/>
        </w:rPr>
        <w:t xml:space="preserve"> 2021; </w:t>
      </w:r>
      <w:r w:rsidRPr="000B3360">
        <w:rPr>
          <w:rFonts w:ascii="Book Antiqua" w:eastAsia="Book Antiqua" w:hAnsi="Book Antiqua" w:cs="Book Antiqua"/>
          <w:b/>
          <w:bCs/>
          <w:color w:val="000000"/>
        </w:rPr>
        <w:t>21</w:t>
      </w:r>
      <w:r w:rsidRPr="000B3360">
        <w:rPr>
          <w:rFonts w:ascii="Book Antiqua" w:eastAsia="Book Antiqua" w:hAnsi="Book Antiqua" w:cs="Book Antiqua"/>
          <w:color w:val="000000"/>
        </w:rPr>
        <w:t>: 1524-1530 [PMID: 33121425 DOI: 10.2174/1871530320666201029142730]</w:t>
      </w:r>
    </w:p>
    <w:p w14:paraId="41B6F210"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43 </w:t>
      </w:r>
      <w:r w:rsidRPr="000B3360">
        <w:rPr>
          <w:rFonts w:ascii="Book Antiqua" w:eastAsia="Book Antiqua" w:hAnsi="Book Antiqua" w:cs="Book Antiqua"/>
          <w:b/>
          <w:bCs/>
          <w:color w:val="000000"/>
        </w:rPr>
        <w:t>Zhou H</w:t>
      </w:r>
      <w:r w:rsidRPr="000B3360">
        <w:rPr>
          <w:rFonts w:ascii="Book Antiqua" w:eastAsia="Book Antiqua" w:hAnsi="Book Antiqua" w:cs="Book Antiqua"/>
          <w:color w:val="000000"/>
        </w:rPr>
        <w:t xml:space="preserve">, Liang X, Qing Y, Meng B, Zhou J, Huang S, Lu S, Huang Z, Yang H, Ma Y, Luo Z. Complicated Gitelman syndrome and autoimmune thyroid disease: a case report with a new homozygous mutation in the SLC12A3 gene and literature review. </w:t>
      </w:r>
      <w:r w:rsidRPr="000B3360">
        <w:rPr>
          <w:rFonts w:ascii="Book Antiqua" w:eastAsia="Book Antiqua" w:hAnsi="Book Antiqua" w:cs="Book Antiqua"/>
          <w:i/>
          <w:iCs/>
          <w:color w:val="000000"/>
        </w:rPr>
        <w:t>BMC Endocr Disord</w:t>
      </w:r>
      <w:r w:rsidRPr="000B3360">
        <w:rPr>
          <w:rFonts w:ascii="Book Antiqua" w:eastAsia="Book Antiqua" w:hAnsi="Book Antiqua" w:cs="Book Antiqua"/>
          <w:color w:val="000000"/>
        </w:rPr>
        <w:t xml:space="preserve"> 2018; </w:t>
      </w:r>
      <w:r w:rsidRPr="000B3360">
        <w:rPr>
          <w:rFonts w:ascii="Book Antiqua" w:eastAsia="Book Antiqua" w:hAnsi="Book Antiqua" w:cs="Book Antiqua"/>
          <w:b/>
          <w:bCs/>
          <w:color w:val="000000"/>
        </w:rPr>
        <w:t>18</w:t>
      </w:r>
      <w:r w:rsidRPr="000B3360">
        <w:rPr>
          <w:rFonts w:ascii="Book Antiqua" w:eastAsia="Book Antiqua" w:hAnsi="Book Antiqua" w:cs="Book Antiqua"/>
          <w:color w:val="000000"/>
        </w:rPr>
        <w:t>: 82 [PMID: 30409157 DOI: 10.1186/s12902-018-0298-3]</w:t>
      </w:r>
    </w:p>
    <w:p w14:paraId="2271333F"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44 </w:t>
      </w:r>
      <w:r w:rsidRPr="000B3360">
        <w:rPr>
          <w:rFonts w:ascii="Book Antiqua" w:eastAsia="Book Antiqua" w:hAnsi="Book Antiqua" w:cs="Book Antiqua"/>
          <w:b/>
          <w:bCs/>
          <w:color w:val="000000"/>
        </w:rPr>
        <w:t>Oba T</w:t>
      </w:r>
      <w:r w:rsidRPr="000B3360">
        <w:rPr>
          <w:rFonts w:ascii="Book Antiqua" w:eastAsia="Book Antiqua" w:hAnsi="Book Antiqua" w:cs="Book Antiqua"/>
          <w:color w:val="000000"/>
        </w:rPr>
        <w:t xml:space="preserve">, Kobayashi S, Nakamura Y, Nagao M, Nozu K, Fukuda I, Iijima K, Sugihara H. A Case of Gitelman Syndrome that Was Difficult to Distinguish from Hypokalemic Periodic Paralysis Caused by Graves' Disease. </w:t>
      </w:r>
      <w:r w:rsidRPr="000B3360">
        <w:rPr>
          <w:rFonts w:ascii="Book Antiqua" w:eastAsia="Book Antiqua" w:hAnsi="Book Antiqua" w:cs="Book Antiqua"/>
          <w:i/>
          <w:iCs/>
          <w:color w:val="000000"/>
        </w:rPr>
        <w:t>J Nippon Med Sch</w:t>
      </w:r>
      <w:r w:rsidRPr="000B3360">
        <w:rPr>
          <w:rFonts w:ascii="Book Antiqua" w:eastAsia="Book Antiqua" w:hAnsi="Book Antiqua" w:cs="Book Antiqua"/>
          <w:color w:val="000000"/>
        </w:rPr>
        <w:t xml:space="preserve"> 2019; </w:t>
      </w:r>
      <w:r w:rsidRPr="000B3360">
        <w:rPr>
          <w:rFonts w:ascii="Book Antiqua" w:eastAsia="Book Antiqua" w:hAnsi="Book Antiqua" w:cs="Book Antiqua"/>
          <w:b/>
          <w:bCs/>
          <w:color w:val="000000"/>
        </w:rPr>
        <w:t>86</w:t>
      </w:r>
      <w:r w:rsidRPr="000B3360">
        <w:rPr>
          <w:rFonts w:ascii="Book Antiqua" w:eastAsia="Book Antiqua" w:hAnsi="Book Antiqua" w:cs="Book Antiqua"/>
          <w:color w:val="000000"/>
        </w:rPr>
        <w:t>: 301-306 [PMID: 31105122 DOI: 10.1272/jnms.JNMS.2019_86-505]</w:t>
      </w:r>
    </w:p>
    <w:p w14:paraId="6BC7ACC9"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45 </w:t>
      </w:r>
      <w:r w:rsidRPr="000B3360">
        <w:rPr>
          <w:rFonts w:ascii="Book Antiqua" w:eastAsia="Book Antiqua" w:hAnsi="Book Antiqua" w:cs="Book Antiqua"/>
          <w:b/>
          <w:bCs/>
          <w:color w:val="000000"/>
        </w:rPr>
        <w:t>Baldane S</w:t>
      </w:r>
      <w:r w:rsidRPr="000B3360">
        <w:rPr>
          <w:rFonts w:ascii="Book Antiqua" w:eastAsia="Book Antiqua" w:hAnsi="Book Antiqua" w:cs="Book Antiqua"/>
          <w:color w:val="000000"/>
        </w:rPr>
        <w:t xml:space="preserve">, Ipekci SH, Celik S, Gundogdu A, Kebapcilar L. Hypokalemic paralysis due to thyrotoxicosis accompanied by Gitelman's syndrome. </w:t>
      </w:r>
      <w:r w:rsidRPr="000B3360">
        <w:rPr>
          <w:rFonts w:ascii="Book Antiqua" w:eastAsia="Book Antiqua" w:hAnsi="Book Antiqua" w:cs="Book Antiqua"/>
          <w:i/>
          <w:iCs/>
          <w:color w:val="000000"/>
        </w:rPr>
        <w:t>Indian J Nephrol</w:t>
      </w:r>
      <w:r w:rsidRPr="000B3360">
        <w:rPr>
          <w:rFonts w:ascii="Book Antiqua" w:eastAsia="Book Antiqua" w:hAnsi="Book Antiqua" w:cs="Book Antiqua"/>
          <w:color w:val="000000"/>
        </w:rPr>
        <w:t xml:space="preserve"> 2015; </w:t>
      </w:r>
      <w:r w:rsidRPr="000B3360">
        <w:rPr>
          <w:rFonts w:ascii="Book Antiqua" w:eastAsia="Book Antiqua" w:hAnsi="Book Antiqua" w:cs="Book Antiqua"/>
          <w:b/>
          <w:bCs/>
          <w:color w:val="000000"/>
        </w:rPr>
        <w:t>25</w:t>
      </w:r>
      <w:r w:rsidRPr="000B3360">
        <w:rPr>
          <w:rFonts w:ascii="Book Antiqua" w:eastAsia="Book Antiqua" w:hAnsi="Book Antiqua" w:cs="Book Antiqua"/>
          <w:color w:val="000000"/>
        </w:rPr>
        <w:t>: 103-105 [PMID: 25838649 DOI: 10.4103/0971-4065.140719]</w:t>
      </w:r>
    </w:p>
    <w:p w14:paraId="663C7DFF" w14:textId="46A96C1F"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46 </w:t>
      </w:r>
      <w:r w:rsidRPr="000B3360">
        <w:rPr>
          <w:rFonts w:ascii="Book Antiqua" w:eastAsia="Book Antiqua" w:hAnsi="Book Antiqua" w:cs="Book Antiqua"/>
          <w:b/>
          <w:bCs/>
          <w:color w:val="000000"/>
        </w:rPr>
        <w:t>Que CX</w:t>
      </w:r>
      <w:r w:rsidRPr="000B3360">
        <w:rPr>
          <w:rFonts w:ascii="Book Antiqua" w:eastAsia="Book Antiqua" w:hAnsi="Book Antiqua" w:cs="Book Antiqua"/>
          <w:color w:val="000000"/>
        </w:rPr>
        <w:t xml:space="preserve">, Zhang Jun, Chen YF, Hou NN. A case of Gitelman syndrome with Hashimoto's thyroiditis. </w:t>
      </w:r>
      <w:r w:rsidRPr="000B3360">
        <w:rPr>
          <w:rFonts w:ascii="Book Antiqua" w:eastAsia="Book Antiqua" w:hAnsi="Book Antiqua" w:cs="Book Antiqua"/>
          <w:i/>
          <w:iCs/>
          <w:color w:val="000000"/>
        </w:rPr>
        <w:t>Shanghai Med J</w:t>
      </w:r>
      <w:r w:rsidRPr="000B3360">
        <w:rPr>
          <w:rFonts w:ascii="Book Antiqua" w:eastAsia="Book Antiqua" w:hAnsi="Book Antiqua" w:cs="Book Antiqua"/>
          <w:color w:val="000000"/>
        </w:rPr>
        <w:t xml:space="preserve"> 2020; </w:t>
      </w:r>
      <w:r w:rsidRPr="000B3360">
        <w:rPr>
          <w:rFonts w:ascii="Book Antiqua" w:eastAsia="Book Antiqua" w:hAnsi="Book Antiqua" w:cs="Book Antiqua"/>
          <w:b/>
          <w:bCs/>
          <w:color w:val="000000"/>
        </w:rPr>
        <w:t>43</w:t>
      </w:r>
      <w:r w:rsidRPr="000B3360">
        <w:rPr>
          <w:rFonts w:ascii="Book Antiqua" w:eastAsia="Book Antiqua" w:hAnsi="Book Antiqua" w:cs="Book Antiqua"/>
          <w:color w:val="000000"/>
        </w:rPr>
        <w:t>: 762-764 [DOI:</w:t>
      </w:r>
      <w:r w:rsidR="00C363FD"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10.19842/j.cnki.issn.0253-9934.2020.12.013]</w:t>
      </w:r>
    </w:p>
    <w:p w14:paraId="39BA9DE4" w14:textId="6CA5C4FD"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47 </w:t>
      </w:r>
      <w:r w:rsidRPr="000B3360">
        <w:rPr>
          <w:rFonts w:ascii="Book Antiqua" w:eastAsia="Book Antiqua" w:hAnsi="Book Antiqua" w:cs="Book Antiqua"/>
          <w:b/>
          <w:bCs/>
          <w:color w:val="000000"/>
        </w:rPr>
        <w:t>Xie Q</w:t>
      </w:r>
      <w:r w:rsidRPr="000B3360">
        <w:rPr>
          <w:rFonts w:ascii="Book Antiqua" w:eastAsia="Book Antiqua" w:hAnsi="Book Antiqua" w:cs="Book Antiqua"/>
          <w:color w:val="000000"/>
        </w:rPr>
        <w:t xml:space="preserve">, Su QL, Li SQ. A case of Gitelman syndrome with Hashimoto's thyroiditis coexisted pregnancy as initial diagnosis. </w:t>
      </w:r>
      <w:r w:rsidRPr="000B3360">
        <w:rPr>
          <w:rFonts w:ascii="Book Antiqua" w:eastAsia="Book Antiqua" w:hAnsi="Book Antiqua" w:cs="Book Antiqua"/>
          <w:i/>
          <w:iCs/>
          <w:color w:val="000000"/>
        </w:rPr>
        <w:t>Chin J Postgraduates of Med</w:t>
      </w:r>
      <w:r w:rsidRPr="000B3360">
        <w:rPr>
          <w:rFonts w:ascii="Book Antiqua" w:eastAsia="Book Antiqua" w:hAnsi="Book Antiqua" w:cs="Book Antiqua"/>
          <w:color w:val="000000"/>
        </w:rPr>
        <w:t xml:space="preserve"> 2021; </w:t>
      </w:r>
      <w:r w:rsidRPr="000B3360">
        <w:rPr>
          <w:rFonts w:ascii="Book Antiqua" w:eastAsia="Book Antiqua" w:hAnsi="Book Antiqua" w:cs="Book Antiqua"/>
          <w:b/>
          <w:bCs/>
          <w:color w:val="000000"/>
        </w:rPr>
        <w:t>44</w:t>
      </w:r>
      <w:r w:rsidRPr="000B3360">
        <w:rPr>
          <w:rFonts w:ascii="Book Antiqua" w:eastAsia="Book Antiqua" w:hAnsi="Book Antiqua" w:cs="Book Antiqua"/>
          <w:color w:val="000000"/>
        </w:rPr>
        <w:t>: 274-276 [DOI:</w:t>
      </w:r>
      <w:r w:rsidR="00C363FD"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10.3760/cma.j.cn115455-20201027-01441]</w:t>
      </w:r>
    </w:p>
    <w:p w14:paraId="47481024" w14:textId="6ABFDC9B"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48 </w:t>
      </w:r>
      <w:r w:rsidRPr="000B3360">
        <w:rPr>
          <w:rFonts w:ascii="Book Antiqua" w:eastAsia="Book Antiqua" w:hAnsi="Book Antiqua" w:cs="Book Antiqua"/>
          <w:b/>
          <w:bCs/>
          <w:color w:val="000000"/>
        </w:rPr>
        <w:t>Peng B</w:t>
      </w:r>
      <w:r w:rsidRPr="000B3360">
        <w:rPr>
          <w:rFonts w:ascii="Book Antiqua" w:eastAsia="Book Antiqua" w:hAnsi="Book Antiqua" w:cs="Book Antiqua"/>
          <w:color w:val="000000"/>
        </w:rPr>
        <w:t xml:space="preserve">, Wang H, Yang Y, Xu WJ, Yuan G. A case of Gitelman syndrome with Graves disease as initial diagnosis. </w:t>
      </w:r>
      <w:r w:rsidRPr="000B3360">
        <w:rPr>
          <w:rFonts w:ascii="Book Antiqua" w:eastAsia="Book Antiqua" w:hAnsi="Book Antiqua" w:cs="Book Antiqua"/>
          <w:i/>
          <w:iCs/>
          <w:color w:val="000000"/>
        </w:rPr>
        <w:t>Chin J Intern Med</w:t>
      </w:r>
      <w:r w:rsidRPr="000B3360">
        <w:rPr>
          <w:rFonts w:ascii="Book Antiqua" w:eastAsia="Book Antiqua" w:hAnsi="Book Antiqua" w:cs="Book Antiqua"/>
          <w:color w:val="000000"/>
        </w:rPr>
        <w:t xml:space="preserve"> 2020; </w:t>
      </w:r>
      <w:r w:rsidRPr="000B3360">
        <w:rPr>
          <w:rFonts w:ascii="Book Antiqua" w:eastAsia="Book Antiqua" w:hAnsi="Book Antiqua" w:cs="Book Antiqua"/>
          <w:b/>
          <w:bCs/>
          <w:color w:val="000000"/>
        </w:rPr>
        <w:t>59</w:t>
      </w:r>
      <w:r w:rsidRPr="000B3360">
        <w:rPr>
          <w:rFonts w:ascii="Book Antiqua" w:eastAsia="Book Antiqua" w:hAnsi="Book Antiqua" w:cs="Book Antiqua"/>
          <w:color w:val="000000"/>
        </w:rPr>
        <w:t>: 382-384 [DOI:</w:t>
      </w:r>
      <w:r w:rsidR="00353D0A"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10.3760/cma.j.cn112138-20190509-00356]</w:t>
      </w:r>
    </w:p>
    <w:p w14:paraId="32A00687" w14:textId="069CA005"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lastRenderedPageBreak/>
        <w:t xml:space="preserve">49 </w:t>
      </w:r>
      <w:r w:rsidRPr="000B3360">
        <w:rPr>
          <w:rFonts w:ascii="Book Antiqua" w:eastAsia="Book Antiqua" w:hAnsi="Book Antiqua" w:cs="Book Antiqua"/>
          <w:b/>
          <w:bCs/>
          <w:color w:val="000000"/>
        </w:rPr>
        <w:t>Xu XY</w:t>
      </w:r>
      <w:r w:rsidRPr="000B3360">
        <w:rPr>
          <w:rFonts w:ascii="Book Antiqua" w:eastAsia="Book Antiqua" w:hAnsi="Book Antiqua" w:cs="Book Antiqua"/>
          <w:color w:val="000000"/>
        </w:rPr>
        <w:t xml:space="preserve">, Sun Min, Liu XY, Chen Heng, Xu KF, Tang Wei. Clinical feature and genetic analysis of Gitelman’s syndrome accompanied by autoimmune thyroid disease. </w:t>
      </w:r>
      <w:r w:rsidRPr="000B3360">
        <w:rPr>
          <w:rFonts w:ascii="Book Antiqua" w:eastAsia="Book Antiqua" w:hAnsi="Book Antiqua" w:cs="Book Antiqua"/>
          <w:i/>
          <w:iCs/>
          <w:color w:val="000000"/>
        </w:rPr>
        <w:t>Chin J Endocrinol Metab</w:t>
      </w:r>
      <w:r w:rsidRPr="000B3360">
        <w:rPr>
          <w:rFonts w:ascii="Book Antiqua" w:eastAsia="Book Antiqua" w:hAnsi="Book Antiqua" w:cs="Book Antiqua"/>
          <w:color w:val="000000"/>
        </w:rPr>
        <w:t xml:space="preserve"> 2013; </w:t>
      </w:r>
      <w:r w:rsidRPr="000B3360">
        <w:rPr>
          <w:rFonts w:ascii="Book Antiqua" w:eastAsia="Book Antiqua" w:hAnsi="Book Antiqua" w:cs="Book Antiqua"/>
          <w:b/>
          <w:bCs/>
          <w:color w:val="000000"/>
        </w:rPr>
        <w:t>29</w:t>
      </w:r>
      <w:r w:rsidRPr="000B3360">
        <w:rPr>
          <w:rFonts w:ascii="Book Antiqua" w:eastAsia="Book Antiqua" w:hAnsi="Book Antiqua" w:cs="Book Antiqua"/>
          <w:color w:val="000000"/>
        </w:rPr>
        <w:t>: 50-54 [DOI:</w:t>
      </w:r>
      <w:r w:rsidR="00B23B2E"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10.3760/cma.j.issn.1000-6699.2013.01.015]</w:t>
      </w:r>
    </w:p>
    <w:p w14:paraId="40272D87" w14:textId="41B3952A"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50 </w:t>
      </w:r>
      <w:r w:rsidRPr="000B3360">
        <w:rPr>
          <w:rFonts w:ascii="Book Antiqua" w:eastAsia="Book Antiqua" w:hAnsi="Book Antiqua" w:cs="Book Antiqua"/>
          <w:b/>
          <w:bCs/>
          <w:color w:val="000000"/>
        </w:rPr>
        <w:t>Wang L</w:t>
      </w:r>
      <w:r w:rsidRPr="000B3360">
        <w:rPr>
          <w:rFonts w:ascii="Book Antiqua" w:eastAsia="Book Antiqua" w:hAnsi="Book Antiqua" w:cs="Book Antiqua"/>
          <w:color w:val="000000"/>
        </w:rPr>
        <w:t xml:space="preserve">, Mou LJ, Zhao HY, Zhu H. A case of Gitelman syndrome with hyperthyroidism. </w:t>
      </w:r>
      <w:r w:rsidRPr="000B3360">
        <w:rPr>
          <w:rFonts w:ascii="Book Antiqua" w:eastAsia="Book Antiqua" w:hAnsi="Book Antiqua" w:cs="Book Antiqua"/>
          <w:i/>
          <w:iCs/>
          <w:color w:val="000000"/>
        </w:rPr>
        <w:t>Chin J Emergency Med</w:t>
      </w:r>
      <w:r w:rsidRPr="000B3360">
        <w:rPr>
          <w:rFonts w:ascii="Book Antiqua" w:eastAsia="Book Antiqua" w:hAnsi="Book Antiqua" w:cs="Book Antiqua"/>
          <w:color w:val="000000"/>
        </w:rPr>
        <w:t xml:space="preserve"> 2020; </w:t>
      </w:r>
      <w:r w:rsidRPr="000B3360">
        <w:rPr>
          <w:rFonts w:ascii="Book Antiqua" w:eastAsia="Book Antiqua" w:hAnsi="Book Antiqua" w:cs="Book Antiqua"/>
          <w:b/>
          <w:bCs/>
          <w:color w:val="000000"/>
        </w:rPr>
        <w:t>29</w:t>
      </w:r>
      <w:r w:rsidRPr="000B3360">
        <w:rPr>
          <w:rFonts w:ascii="Book Antiqua" w:eastAsia="Book Antiqua" w:hAnsi="Book Antiqua" w:cs="Book Antiqua"/>
          <w:color w:val="000000"/>
        </w:rPr>
        <w:t>: 1375-1377 [DOI:</w:t>
      </w:r>
      <w:r w:rsidR="00B23B2E"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10.3760/cma.j.issn.1671-0282.2020.10.023]</w:t>
      </w:r>
    </w:p>
    <w:p w14:paraId="3A0A6EA2" w14:textId="216E52B0"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51 </w:t>
      </w:r>
      <w:r w:rsidRPr="000B3360">
        <w:rPr>
          <w:rFonts w:ascii="Book Antiqua" w:eastAsia="Book Antiqua" w:hAnsi="Book Antiqua" w:cs="Book Antiqua"/>
          <w:b/>
          <w:bCs/>
          <w:color w:val="000000"/>
        </w:rPr>
        <w:t>Dong H</w:t>
      </w:r>
      <w:r w:rsidRPr="000B3360">
        <w:rPr>
          <w:rFonts w:ascii="Book Antiqua" w:eastAsia="Book Antiqua" w:hAnsi="Book Antiqua" w:cs="Book Antiqua"/>
          <w:color w:val="000000"/>
        </w:rPr>
        <w:t xml:space="preserve">, Lang YH, Shao ZP, Li Lin, Shao LP. Coexistence of Gitelman’s syndrome and thyroid disease: SLCl2A3 gene analysis in two patients. </w:t>
      </w:r>
      <w:r w:rsidRPr="000B3360">
        <w:rPr>
          <w:rFonts w:ascii="Book Antiqua" w:eastAsia="Book Antiqua" w:hAnsi="Book Antiqua" w:cs="Book Antiqua"/>
          <w:i/>
          <w:iCs/>
          <w:color w:val="000000"/>
        </w:rPr>
        <w:t>Chin J Endocrinol Metab</w:t>
      </w:r>
      <w:r w:rsidRPr="000B3360">
        <w:rPr>
          <w:rFonts w:ascii="Book Antiqua" w:eastAsia="Book Antiqua" w:hAnsi="Book Antiqua" w:cs="Book Antiqua"/>
          <w:color w:val="000000"/>
        </w:rPr>
        <w:t xml:space="preserve"> 2010; </w:t>
      </w:r>
      <w:r w:rsidRPr="000B3360">
        <w:rPr>
          <w:rFonts w:ascii="Book Antiqua" w:eastAsia="Book Antiqua" w:hAnsi="Book Antiqua" w:cs="Book Antiqua"/>
          <w:b/>
          <w:bCs/>
          <w:color w:val="000000"/>
        </w:rPr>
        <w:t>26</w:t>
      </w:r>
      <w:r w:rsidRPr="000B3360">
        <w:rPr>
          <w:rFonts w:ascii="Book Antiqua" w:eastAsia="Book Antiqua" w:hAnsi="Book Antiqua" w:cs="Book Antiqua"/>
          <w:color w:val="000000"/>
        </w:rPr>
        <w:t>: 395-398 [DOI:</w:t>
      </w:r>
      <w:r w:rsidR="00B23B2E"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10.3760/cma.j.issn.1000-6699.2010.05.015]</w:t>
      </w:r>
    </w:p>
    <w:p w14:paraId="3D43077B" w14:textId="5E92A106"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 xml:space="preserve">52 </w:t>
      </w:r>
      <w:r w:rsidRPr="000B3360">
        <w:rPr>
          <w:rFonts w:ascii="Book Antiqua" w:eastAsia="Book Antiqua" w:hAnsi="Book Antiqua" w:cs="Book Antiqua"/>
          <w:b/>
          <w:bCs/>
          <w:color w:val="000000"/>
        </w:rPr>
        <w:t>Song M</w:t>
      </w:r>
      <w:r w:rsidRPr="000B3360">
        <w:rPr>
          <w:rFonts w:ascii="Book Antiqua" w:eastAsia="Book Antiqua" w:hAnsi="Book Antiqua" w:cs="Book Antiqua"/>
          <w:color w:val="000000"/>
        </w:rPr>
        <w:t xml:space="preserve">, Wang Na, Li Z, Yin PY. Clinical feature and gene mutation analysis of 2 cases of hyperthyroidism complicated with Gitelman syndrome. </w:t>
      </w:r>
      <w:r w:rsidRPr="000B3360">
        <w:rPr>
          <w:rFonts w:ascii="Book Antiqua" w:eastAsia="Book Antiqua" w:hAnsi="Book Antiqua" w:cs="Book Antiqua"/>
          <w:i/>
          <w:iCs/>
          <w:color w:val="000000"/>
        </w:rPr>
        <w:t>Jiangsu Med J</w:t>
      </w:r>
      <w:r w:rsidRPr="000B3360">
        <w:rPr>
          <w:rFonts w:ascii="Book Antiqua" w:eastAsia="Book Antiqua" w:hAnsi="Book Antiqua" w:cs="Book Antiqua"/>
          <w:color w:val="000000"/>
        </w:rPr>
        <w:t xml:space="preserve"> 2021; </w:t>
      </w:r>
      <w:r w:rsidRPr="000B3360">
        <w:rPr>
          <w:rFonts w:ascii="Book Antiqua" w:eastAsia="Book Antiqua" w:hAnsi="Book Antiqua" w:cs="Book Antiqua"/>
          <w:b/>
          <w:bCs/>
          <w:color w:val="000000"/>
        </w:rPr>
        <w:t>47</w:t>
      </w:r>
      <w:r w:rsidRPr="000B3360">
        <w:rPr>
          <w:rFonts w:ascii="Book Antiqua" w:eastAsia="Book Antiqua" w:hAnsi="Book Antiqua" w:cs="Book Antiqua"/>
          <w:color w:val="000000"/>
        </w:rPr>
        <w:t>: 424-428 [DOI:</w:t>
      </w:r>
      <w:r w:rsidR="00B23B2E" w:rsidRPr="000B3360">
        <w:rPr>
          <w:rFonts w:ascii="Book Antiqua" w:eastAsia="Book Antiqua" w:hAnsi="Book Antiqua" w:cs="Book Antiqua"/>
          <w:color w:val="000000"/>
        </w:rPr>
        <w:t xml:space="preserve"> </w:t>
      </w:r>
      <w:r w:rsidRPr="000B3360">
        <w:rPr>
          <w:rFonts w:ascii="Book Antiqua" w:eastAsia="Book Antiqua" w:hAnsi="Book Antiqua" w:cs="Book Antiqua"/>
          <w:color w:val="000000"/>
        </w:rPr>
        <w:t>10.19460/j.cnki.0253-3685.2021.04.02</w:t>
      </w:r>
      <w:r w:rsidR="00F90E71" w:rsidRPr="000B3360">
        <w:rPr>
          <w:rFonts w:ascii="Book Antiqua" w:eastAsia="Book Antiqua" w:hAnsi="Book Antiqua" w:cs="Book Antiqua"/>
          <w:color w:val="000000"/>
        </w:rPr>
        <w:t>8</w:t>
      </w:r>
      <w:r w:rsidRPr="000B3360">
        <w:rPr>
          <w:rFonts w:ascii="Book Antiqua" w:eastAsia="Book Antiqua" w:hAnsi="Book Antiqua" w:cs="Book Antiqua"/>
          <w:color w:val="000000"/>
        </w:rPr>
        <w:t>]</w:t>
      </w:r>
    </w:p>
    <w:p w14:paraId="4F82D03A" w14:textId="77777777" w:rsidR="00A77B3E" w:rsidRPr="000B3360" w:rsidRDefault="00A77B3E" w:rsidP="00CA6D9F">
      <w:pPr>
        <w:spacing w:line="360" w:lineRule="auto"/>
        <w:jc w:val="both"/>
        <w:rPr>
          <w:rFonts w:ascii="Book Antiqua" w:hAnsi="Book Antiqua"/>
        </w:rPr>
        <w:sectPr w:rsidR="00A77B3E" w:rsidRPr="000B3360">
          <w:pgSz w:w="12240" w:h="15840"/>
          <w:pgMar w:top="1440" w:right="1440" w:bottom="1440" w:left="1440" w:header="720" w:footer="720" w:gutter="0"/>
          <w:cols w:space="720"/>
          <w:docGrid w:linePitch="360"/>
        </w:sectPr>
      </w:pPr>
    </w:p>
    <w:p w14:paraId="687B130A"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color w:val="000000"/>
        </w:rPr>
        <w:lastRenderedPageBreak/>
        <w:t>Footnotes</w:t>
      </w:r>
    </w:p>
    <w:p w14:paraId="54965BE5" w14:textId="2067C693"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bCs/>
          <w:color w:val="000000"/>
        </w:rPr>
        <w:t xml:space="preserve">Informed consent statement: </w:t>
      </w:r>
      <w:r w:rsidRPr="000B3360">
        <w:rPr>
          <w:rFonts w:ascii="Book Antiqua" w:eastAsia="Book Antiqua" w:hAnsi="Book Antiqua" w:cs="Book Antiqua"/>
          <w:color w:val="000000"/>
        </w:rPr>
        <w:t>The present study was approved by the Medical Ethics Committee of the First Affiliated Hospital of Gannan Medical University (Ethics Approval Number: LLSC-2021092201)</w:t>
      </w:r>
      <w:r w:rsidR="00F52F3B"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shd w:val="clear" w:color="auto" w:fill="FFFFFF"/>
        </w:rPr>
        <w:t>in accordance with</w:t>
      </w:r>
      <w:r w:rsidR="00F52F3B" w:rsidRPr="000B3360">
        <w:rPr>
          <w:rFonts w:ascii="Book Antiqua" w:eastAsia="Book Antiqua" w:hAnsi="Book Antiqua" w:cs="Book Antiqua"/>
          <w:color w:val="000000"/>
          <w:shd w:val="clear" w:color="auto" w:fill="FFFFFF"/>
        </w:rPr>
        <w:t xml:space="preserve"> </w:t>
      </w:r>
      <w:r w:rsidRPr="000B3360">
        <w:rPr>
          <w:rFonts w:ascii="Book Antiqua" w:eastAsia="Book Antiqua" w:hAnsi="Book Antiqua" w:cs="Book Antiqua"/>
          <w:color w:val="000000"/>
        </w:rPr>
        <w:t xml:space="preserve">the tenets of the Declaration of Helsinki. </w:t>
      </w:r>
      <w:r w:rsidR="005C29DE" w:rsidRPr="000B3360">
        <w:rPr>
          <w:rFonts w:ascii="Book Antiqua" w:eastAsia="Book Antiqua" w:hAnsi="Book Antiqua" w:cs="Book Antiqua"/>
          <w:color w:val="000000"/>
        </w:rPr>
        <w:t>The patient</w:t>
      </w:r>
      <w:r w:rsidRPr="000B3360">
        <w:rPr>
          <w:rFonts w:ascii="Book Antiqua" w:eastAsia="Book Antiqua" w:hAnsi="Book Antiqua" w:cs="Book Antiqua"/>
          <w:color w:val="000000"/>
        </w:rPr>
        <w:t xml:space="preserve"> provided written informed consent for publication of this case report.</w:t>
      </w:r>
    </w:p>
    <w:p w14:paraId="2750444C" w14:textId="77777777" w:rsidR="00A77B3E" w:rsidRPr="000B3360" w:rsidRDefault="00A77B3E" w:rsidP="00CA6D9F">
      <w:pPr>
        <w:spacing w:line="360" w:lineRule="auto"/>
        <w:jc w:val="both"/>
        <w:rPr>
          <w:rFonts w:ascii="Book Antiqua" w:hAnsi="Book Antiqua"/>
        </w:rPr>
      </w:pPr>
    </w:p>
    <w:p w14:paraId="4D58E4DC"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bCs/>
          <w:color w:val="000000"/>
        </w:rPr>
        <w:t xml:space="preserve">Conflict-of-interest statement: </w:t>
      </w:r>
      <w:r w:rsidRPr="000B3360">
        <w:rPr>
          <w:rFonts w:ascii="Book Antiqua" w:eastAsia="Book Antiqua" w:hAnsi="Book Antiqua" w:cs="Book Antiqua"/>
          <w:color w:val="000000"/>
        </w:rPr>
        <w:t>All the authors report no relevant conflicts of interest for this article.</w:t>
      </w:r>
    </w:p>
    <w:p w14:paraId="6650B02D" w14:textId="77777777" w:rsidR="00A77B3E" w:rsidRPr="000B3360" w:rsidRDefault="00A77B3E" w:rsidP="00CA6D9F">
      <w:pPr>
        <w:spacing w:line="360" w:lineRule="auto"/>
        <w:jc w:val="both"/>
        <w:rPr>
          <w:rFonts w:ascii="Book Antiqua" w:hAnsi="Book Antiqua"/>
        </w:rPr>
      </w:pPr>
    </w:p>
    <w:p w14:paraId="40838989"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bCs/>
          <w:color w:val="000000"/>
        </w:rPr>
        <w:t xml:space="preserve">CARE Checklist (2016) statement: </w:t>
      </w:r>
      <w:bookmarkStart w:id="6" w:name="_Hlk104274011"/>
      <w:r w:rsidRPr="000B3360">
        <w:rPr>
          <w:rFonts w:ascii="Book Antiqua" w:eastAsia="Book Antiqua" w:hAnsi="Book Antiqua" w:cs="Book Antiqua"/>
          <w:color w:val="000000"/>
        </w:rPr>
        <w:t>The authors have read the CARE</w:t>
      </w:r>
      <w:r w:rsidRPr="000B3360">
        <w:rPr>
          <w:rFonts w:ascii="Book Antiqua" w:eastAsia="Book Antiqua" w:hAnsi="Book Antiqua" w:cs="Book Antiqua"/>
          <w:b/>
          <w:bCs/>
          <w:color w:val="000000"/>
        </w:rPr>
        <w:t xml:space="preserve"> </w:t>
      </w:r>
      <w:r w:rsidRPr="000B3360">
        <w:rPr>
          <w:rFonts w:ascii="Book Antiqua" w:eastAsia="Book Antiqua" w:hAnsi="Book Antiqua" w:cs="Book Antiqua"/>
          <w:color w:val="000000"/>
        </w:rPr>
        <w:t>Checklist (2016), and the</w:t>
      </w:r>
      <w:r w:rsidRPr="000B3360">
        <w:rPr>
          <w:rFonts w:ascii="Book Antiqua" w:eastAsia="Book Antiqua" w:hAnsi="Book Antiqua" w:cs="Book Antiqua"/>
          <w:b/>
          <w:bCs/>
          <w:color w:val="000000"/>
        </w:rPr>
        <w:t xml:space="preserve"> </w:t>
      </w:r>
      <w:r w:rsidRPr="000B3360">
        <w:rPr>
          <w:rFonts w:ascii="Book Antiqua" w:eastAsia="Book Antiqua" w:hAnsi="Book Antiqua" w:cs="Book Antiqua"/>
          <w:color w:val="000000"/>
        </w:rPr>
        <w:t>manuscript was prepared and</w:t>
      </w:r>
      <w:r w:rsidRPr="000B3360">
        <w:rPr>
          <w:rFonts w:ascii="Book Antiqua" w:eastAsia="Book Antiqua" w:hAnsi="Book Antiqua" w:cs="Book Antiqua"/>
          <w:b/>
          <w:bCs/>
          <w:color w:val="000000"/>
        </w:rPr>
        <w:t xml:space="preserve"> </w:t>
      </w:r>
      <w:r w:rsidRPr="000B3360">
        <w:rPr>
          <w:rFonts w:ascii="Book Antiqua" w:eastAsia="Book Antiqua" w:hAnsi="Book Antiqua" w:cs="Book Antiqua"/>
          <w:color w:val="000000"/>
        </w:rPr>
        <w:t>revised according to the CARE Checklist (2016).</w:t>
      </w:r>
      <w:bookmarkEnd w:id="6"/>
    </w:p>
    <w:p w14:paraId="114028C9" w14:textId="77777777" w:rsidR="00A77B3E" w:rsidRPr="000B3360" w:rsidRDefault="00A77B3E" w:rsidP="00CA6D9F">
      <w:pPr>
        <w:spacing w:line="360" w:lineRule="auto"/>
        <w:jc w:val="both"/>
        <w:rPr>
          <w:rFonts w:ascii="Book Antiqua" w:hAnsi="Book Antiqua"/>
        </w:rPr>
      </w:pPr>
    </w:p>
    <w:p w14:paraId="65695C97"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bCs/>
          <w:color w:val="000000"/>
        </w:rPr>
        <w:t xml:space="preserve">Open-Access: </w:t>
      </w:r>
      <w:r w:rsidRPr="000B336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6120831" w14:textId="77777777" w:rsidR="00A77B3E" w:rsidRPr="000B3360" w:rsidRDefault="00A77B3E" w:rsidP="00CA6D9F">
      <w:pPr>
        <w:spacing w:line="360" w:lineRule="auto"/>
        <w:jc w:val="both"/>
        <w:rPr>
          <w:rFonts w:ascii="Book Antiqua" w:hAnsi="Book Antiqua"/>
        </w:rPr>
      </w:pPr>
    </w:p>
    <w:p w14:paraId="4CD0F287" w14:textId="27068923"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color w:val="000000"/>
        </w:rPr>
        <w:t xml:space="preserve">Provenance and peer review: </w:t>
      </w:r>
      <w:r w:rsidRPr="000B3360">
        <w:rPr>
          <w:rFonts w:ascii="Book Antiqua" w:eastAsia="Book Antiqua" w:hAnsi="Book Antiqua" w:cs="Book Antiqua"/>
          <w:color w:val="000000"/>
        </w:rPr>
        <w:t>Unsolicited article; Externally peer reviewed</w:t>
      </w:r>
    </w:p>
    <w:p w14:paraId="06F4FDC3"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color w:val="000000"/>
        </w:rPr>
        <w:t xml:space="preserve">Peer-review model: </w:t>
      </w:r>
      <w:r w:rsidRPr="000B3360">
        <w:rPr>
          <w:rFonts w:ascii="Book Antiqua" w:eastAsia="Book Antiqua" w:hAnsi="Book Antiqua" w:cs="Book Antiqua"/>
          <w:color w:val="000000"/>
        </w:rPr>
        <w:t>Single blind</w:t>
      </w:r>
    </w:p>
    <w:p w14:paraId="7FB7D7B6" w14:textId="77777777" w:rsidR="00A77B3E" w:rsidRPr="000B3360" w:rsidRDefault="00A77B3E" w:rsidP="00CA6D9F">
      <w:pPr>
        <w:spacing w:line="360" w:lineRule="auto"/>
        <w:jc w:val="both"/>
        <w:rPr>
          <w:rFonts w:ascii="Book Antiqua" w:hAnsi="Book Antiqua"/>
        </w:rPr>
      </w:pPr>
    </w:p>
    <w:p w14:paraId="4ADB51F5"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color w:val="000000"/>
        </w:rPr>
        <w:t xml:space="preserve">Peer-review started: </w:t>
      </w:r>
      <w:r w:rsidRPr="000B3360">
        <w:rPr>
          <w:rFonts w:ascii="Book Antiqua" w:eastAsia="Book Antiqua" w:hAnsi="Book Antiqua" w:cs="Book Antiqua"/>
          <w:color w:val="000000"/>
        </w:rPr>
        <w:t>December 4, 2021</w:t>
      </w:r>
    </w:p>
    <w:p w14:paraId="5AE4131F"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color w:val="000000"/>
        </w:rPr>
        <w:t xml:space="preserve">First decision: </w:t>
      </w:r>
      <w:r w:rsidRPr="000B3360">
        <w:rPr>
          <w:rFonts w:ascii="Book Antiqua" w:eastAsia="Book Antiqua" w:hAnsi="Book Antiqua" w:cs="Book Antiqua"/>
          <w:color w:val="000000"/>
        </w:rPr>
        <w:t>January 25, 2022</w:t>
      </w:r>
    </w:p>
    <w:p w14:paraId="7ABE7469" w14:textId="6E477B00"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color w:val="000000"/>
        </w:rPr>
        <w:t xml:space="preserve">Article in press: </w:t>
      </w:r>
      <w:r w:rsidR="00913A32" w:rsidRPr="000B3360">
        <w:rPr>
          <w:rFonts w:ascii="Book Antiqua" w:eastAsia="Book Antiqua" w:hAnsi="Book Antiqua" w:cs="Book Antiqua"/>
          <w:bCs/>
          <w:color w:val="000000"/>
        </w:rPr>
        <w:t>May 27, 2022</w:t>
      </w:r>
    </w:p>
    <w:p w14:paraId="7784CC6A" w14:textId="77777777" w:rsidR="00A77B3E" w:rsidRPr="000B3360" w:rsidRDefault="00A77B3E" w:rsidP="00CA6D9F">
      <w:pPr>
        <w:spacing w:line="360" w:lineRule="auto"/>
        <w:jc w:val="both"/>
        <w:rPr>
          <w:rFonts w:ascii="Book Antiqua" w:hAnsi="Book Antiqua"/>
        </w:rPr>
      </w:pPr>
    </w:p>
    <w:p w14:paraId="3CA2EA7B" w14:textId="4E4059A0"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color w:val="000000"/>
        </w:rPr>
        <w:t xml:space="preserve">Specialty type: </w:t>
      </w:r>
      <w:bookmarkStart w:id="7" w:name="OLE_LINK1739"/>
      <w:bookmarkStart w:id="8" w:name="OLE_LINK1740"/>
      <w:bookmarkStart w:id="9" w:name="OLE_LINK1741"/>
      <w:bookmarkStart w:id="10" w:name="OLE_LINK1762"/>
      <w:bookmarkStart w:id="11" w:name="OLE_LINK1890"/>
      <w:bookmarkStart w:id="12" w:name="OLE_LINK2005"/>
      <w:bookmarkStart w:id="13" w:name="OLE_LINK1973"/>
      <w:bookmarkStart w:id="14" w:name="OLE_LINK1988"/>
      <w:bookmarkStart w:id="15" w:name="OLE_LINK293"/>
      <w:r w:rsidR="00B23B2E" w:rsidRPr="000B3360">
        <w:rPr>
          <w:rFonts w:ascii="Book Antiqua" w:eastAsia="微软雅黑" w:hAnsi="Book Antiqua" w:cs="宋体"/>
        </w:rPr>
        <w:t>Medicine, research and experimental</w:t>
      </w:r>
      <w:bookmarkEnd w:id="7"/>
      <w:bookmarkEnd w:id="8"/>
      <w:bookmarkEnd w:id="9"/>
      <w:bookmarkEnd w:id="10"/>
      <w:bookmarkEnd w:id="11"/>
      <w:bookmarkEnd w:id="12"/>
      <w:bookmarkEnd w:id="13"/>
      <w:bookmarkEnd w:id="14"/>
      <w:bookmarkEnd w:id="15"/>
    </w:p>
    <w:p w14:paraId="510A40C8"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color w:val="000000"/>
        </w:rPr>
        <w:lastRenderedPageBreak/>
        <w:t xml:space="preserve">Country/Territory of origin: </w:t>
      </w:r>
      <w:r w:rsidRPr="000B3360">
        <w:rPr>
          <w:rFonts w:ascii="Book Antiqua" w:eastAsia="Book Antiqua" w:hAnsi="Book Antiqua" w:cs="Book Antiqua"/>
          <w:color w:val="000000"/>
        </w:rPr>
        <w:t>China</w:t>
      </w:r>
    </w:p>
    <w:p w14:paraId="1164192B"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b/>
          <w:color w:val="000000"/>
        </w:rPr>
        <w:t>Peer-review report’s scientific quality classification</w:t>
      </w:r>
    </w:p>
    <w:p w14:paraId="4826384C"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Grade A (Excellent): 0</w:t>
      </w:r>
    </w:p>
    <w:p w14:paraId="7D4AA5DB"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Grade B (Very good): 0</w:t>
      </w:r>
    </w:p>
    <w:p w14:paraId="33C9B221"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Grade C (Good): C, C</w:t>
      </w:r>
    </w:p>
    <w:p w14:paraId="5BC3614C"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Grade D (Fair): 0</w:t>
      </w:r>
    </w:p>
    <w:p w14:paraId="71787B1F" w14:textId="77777777" w:rsidR="00A77B3E" w:rsidRPr="000B3360" w:rsidRDefault="009B60C3" w:rsidP="00CA6D9F">
      <w:pPr>
        <w:spacing w:line="360" w:lineRule="auto"/>
        <w:jc w:val="both"/>
        <w:rPr>
          <w:rFonts w:ascii="Book Antiqua" w:hAnsi="Book Antiqua"/>
        </w:rPr>
      </w:pPr>
      <w:r w:rsidRPr="000B3360">
        <w:rPr>
          <w:rFonts w:ascii="Book Antiqua" w:eastAsia="Book Antiqua" w:hAnsi="Book Antiqua" w:cs="Book Antiqua"/>
          <w:color w:val="000000"/>
        </w:rPr>
        <w:t>Grade E (Poor): 0</w:t>
      </w:r>
    </w:p>
    <w:p w14:paraId="36183E49" w14:textId="77777777" w:rsidR="00A77B3E" w:rsidRPr="000B3360" w:rsidRDefault="00A77B3E" w:rsidP="00CA6D9F">
      <w:pPr>
        <w:spacing w:line="360" w:lineRule="auto"/>
        <w:jc w:val="both"/>
        <w:rPr>
          <w:rFonts w:ascii="Book Antiqua" w:hAnsi="Book Antiqua"/>
        </w:rPr>
      </w:pPr>
    </w:p>
    <w:p w14:paraId="25E5991B" w14:textId="434F2AD6" w:rsidR="005C3CE7" w:rsidRPr="000B3360" w:rsidRDefault="009B60C3" w:rsidP="00CA6D9F">
      <w:pPr>
        <w:spacing w:line="360" w:lineRule="auto"/>
        <w:jc w:val="both"/>
        <w:rPr>
          <w:rFonts w:ascii="Book Antiqua" w:eastAsia="Book Antiqua" w:hAnsi="Book Antiqua" w:cs="Book Antiqua"/>
          <w:b/>
          <w:color w:val="000000"/>
        </w:rPr>
      </w:pPr>
      <w:r w:rsidRPr="000B3360">
        <w:rPr>
          <w:rFonts w:ascii="Book Antiqua" w:eastAsia="Book Antiqua" w:hAnsi="Book Antiqua" w:cs="Book Antiqua"/>
          <w:b/>
          <w:color w:val="000000"/>
        </w:rPr>
        <w:t xml:space="preserve">P-Reviewer: </w:t>
      </w:r>
      <w:r w:rsidRPr="000B3360">
        <w:rPr>
          <w:rFonts w:ascii="Book Antiqua" w:eastAsia="Book Antiqua" w:hAnsi="Book Antiqua" w:cs="Book Antiqua"/>
          <w:color w:val="000000"/>
        </w:rPr>
        <w:t>Munoz de Nova JL, Spain; Sintusek P, Thailand</w:t>
      </w:r>
      <w:r w:rsidRPr="000B3360">
        <w:rPr>
          <w:rFonts w:ascii="Book Antiqua" w:eastAsia="Book Antiqua" w:hAnsi="Book Antiqua" w:cs="Book Antiqua"/>
          <w:b/>
          <w:color w:val="000000"/>
        </w:rPr>
        <w:t xml:space="preserve"> A-Editor: </w:t>
      </w:r>
      <w:r w:rsidRPr="000B3360">
        <w:rPr>
          <w:rFonts w:ascii="Book Antiqua" w:eastAsia="Book Antiqua" w:hAnsi="Book Antiqua" w:cs="Book Antiqua"/>
          <w:color w:val="000000"/>
        </w:rPr>
        <w:t>Yao QG, China</w:t>
      </w:r>
      <w:r w:rsidRPr="000B3360">
        <w:rPr>
          <w:rFonts w:ascii="Book Antiqua" w:eastAsia="Book Antiqua" w:hAnsi="Book Antiqua" w:cs="Book Antiqua"/>
          <w:b/>
          <w:color w:val="000000"/>
        </w:rPr>
        <w:t xml:space="preserve"> S-Editor: </w:t>
      </w:r>
      <w:r w:rsidR="000F746A" w:rsidRPr="000B3360">
        <w:rPr>
          <w:rFonts w:ascii="Book Antiqua" w:eastAsia="Book Antiqua" w:hAnsi="Book Antiqua" w:cs="Book Antiqua"/>
          <w:bCs/>
          <w:color w:val="000000"/>
        </w:rPr>
        <w:t xml:space="preserve">Wang JJ </w:t>
      </w:r>
      <w:r w:rsidRPr="000B3360">
        <w:rPr>
          <w:rFonts w:ascii="Book Antiqua" w:eastAsia="Book Antiqua" w:hAnsi="Book Antiqua" w:cs="Book Antiqua"/>
          <w:b/>
          <w:color w:val="000000"/>
        </w:rPr>
        <w:t>L-Editor:</w:t>
      </w:r>
      <w:r w:rsidR="00AD6D72" w:rsidRPr="000B3360">
        <w:rPr>
          <w:rFonts w:ascii="Book Antiqua" w:eastAsia="Book Antiqua" w:hAnsi="Book Antiqua" w:cs="Book Antiqua"/>
          <w:b/>
          <w:color w:val="000000"/>
        </w:rPr>
        <w:t xml:space="preserve"> </w:t>
      </w:r>
      <w:r w:rsidR="005C29DE" w:rsidRPr="000B3360">
        <w:rPr>
          <w:rFonts w:ascii="Book Antiqua" w:eastAsia="Book Antiqua" w:hAnsi="Book Antiqua" w:cs="Book Antiqua"/>
          <w:bCs/>
          <w:color w:val="000000"/>
        </w:rPr>
        <w:t>Wang TQ</w:t>
      </w:r>
      <w:r w:rsidR="005C29DE" w:rsidRPr="000B3360">
        <w:rPr>
          <w:rFonts w:ascii="Book Antiqua" w:eastAsia="Book Antiqua" w:hAnsi="Book Antiqua" w:cs="Book Antiqua"/>
          <w:b/>
          <w:color w:val="000000"/>
        </w:rPr>
        <w:t xml:space="preserve"> </w:t>
      </w:r>
      <w:r w:rsidRPr="000B3360">
        <w:rPr>
          <w:rFonts w:ascii="Book Antiqua" w:eastAsia="Book Antiqua" w:hAnsi="Book Antiqua" w:cs="Book Antiqua"/>
          <w:b/>
          <w:color w:val="000000"/>
        </w:rPr>
        <w:t>P-Editor:</w:t>
      </w:r>
      <w:r w:rsidR="000F746A" w:rsidRPr="000B3360">
        <w:rPr>
          <w:rFonts w:ascii="Book Antiqua" w:eastAsia="Book Antiqua" w:hAnsi="Book Antiqua" w:cs="Book Antiqua"/>
          <w:bCs/>
          <w:color w:val="000000"/>
        </w:rPr>
        <w:t xml:space="preserve"> </w:t>
      </w:r>
      <w:r w:rsidR="00921AE9" w:rsidRPr="00921AE9">
        <w:rPr>
          <w:rFonts w:ascii="Book Antiqua" w:eastAsia="Book Antiqua" w:hAnsi="Book Antiqua" w:cs="Book Antiqua"/>
          <w:bCs/>
          <w:color w:val="000000"/>
        </w:rPr>
        <w:t>Wang JJ</w:t>
      </w:r>
    </w:p>
    <w:p w14:paraId="537C6778" w14:textId="77777777" w:rsidR="005C3CE7" w:rsidRPr="000B3360" w:rsidRDefault="005C3CE7" w:rsidP="00CA6D9F">
      <w:pPr>
        <w:spacing w:line="360" w:lineRule="auto"/>
        <w:jc w:val="both"/>
        <w:rPr>
          <w:rFonts w:ascii="Book Antiqua" w:eastAsia="Book Antiqua" w:hAnsi="Book Antiqua" w:cs="Book Antiqua"/>
          <w:b/>
          <w:color w:val="000000"/>
        </w:rPr>
      </w:pPr>
    </w:p>
    <w:p w14:paraId="1BAC298B" w14:textId="10F50548" w:rsidR="00A77B3E" w:rsidRPr="000B3360" w:rsidRDefault="009B60C3" w:rsidP="00CA6D9F">
      <w:pPr>
        <w:spacing w:line="360" w:lineRule="auto"/>
        <w:jc w:val="both"/>
        <w:rPr>
          <w:rFonts w:ascii="Book Antiqua" w:eastAsia="Book Antiqua" w:hAnsi="Book Antiqua" w:cs="Book Antiqua"/>
          <w:b/>
          <w:color w:val="000000"/>
        </w:rPr>
      </w:pPr>
      <w:r w:rsidRPr="000B3360">
        <w:rPr>
          <w:rFonts w:ascii="Book Antiqua" w:eastAsia="Book Antiqua" w:hAnsi="Book Antiqua" w:cs="Book Antiqua"/>
          <w:b/>
          <w:color w:val="000000"/>
        </w:rPr>
        <w:t>Figure Legends</w:t>
      </w:r>
    </w:p>
    <w:p w14:paraId="22D84318" w14:textId="35191B57" w:rsidR="00B23B2E" w:rsidRPr="000B3360" w:rsidRDefault="005A6EAC" w:rsidP="00CA6D9F">
      <w:pPr>
        <w:spacing w:line="360" w:lineRule="auto"/>
        <w:jc w:val="both"/>
        <w:rPr>
          <w:rFonts w:ascii="Book Antiqua" w:hAnsi="Book Antiqua"/>
        </w:rPr>
      </w:pPr>
      <w:r>
        <w:rPr>
          <w:rFonts w:ascii="Book Antiqua" w:hAnsi="Book Antiqua"/>
          <w:noProof/>
          <w:lang w:eastAsia="zh-CN"/>
        </w:rPr>
        <w:drawing>
          <wp:inline distT="0" distB="0" distL="0" distR="0" wp14:anchorId="36681B7B" wp14:editId="71C88812">
            <wp:extent cx="2966720" cy="2169160"/>
            <wp:effectExtent l="0" t="0" r="508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6720" cy="2169160"/>
                    </a:xfrm>
                    <a:prstGeom prst="rect">
                      <a:avLst/>
                    </a:prstGeom>
                    <a:noFill/>
                    <a:ln>
                      <a:noFill/>
                    </a:ln>
                  </pic:spPr>
                </pic:pic>
              </a:graphicData>
            </a:graphic>
          </wp:inline>
        </w:drawing>
      </w:r>
    </w:p>
    <w:p w14:paraId="36C287CC" w14:textId="1A24E270" w:rsidR="00A77B3E" w:rsidRPr="000B3360" w:rsidRDefault="009B60C3" w:rsidP="00CA6D9F">
      <w:pPr>
        <w:spacing w:line="360" w:lineRule="auto"/>
        <w:jc w:val="both"/>
        <w:rPr>
          <w:rFonts w:ascii="Book Antiqua" w:eastAsia="Book Antiqua" w:hAnsi="Book Antiqua" w:cs="Book Antiqua"/>
          <w:b/>
          <w:bCs/>
          <w:color w:val="000000"/>
        </w:rPr>
      </w:pPr>
      <w:r w:rsidRPr="000B3360">
        <w:rPr>
          <w:rFonts w:ascii="Book Antiqua" w:eastAsia="Book Antiqua" w:hAnsi="Book Antiqua" w:cs="Book Antiqua"/>
          <w:b/>
          <w:bCs/>
          <w:color w:val="000000"/>
        </w:rPr>
        <w:t xml:space="preserve">Figure 1 Pedigree diagram showing proband (arrow) and segregation of </w:t>
      </w:r>
      <w:r w:rsidRPr="000B3360">
        <w:rPr>
          <w:rFonts w:ascii="Book Antiqua" w:eastAsia="Book Antiqua" w:hAnsi="Book Antiqua" w:cs="Book Antiqua"/>
          <w:b/>
          <w:bCs/>
          <w:i/>
          <w:iCs/>
          <w:color w:val="000000"/>
        </w:rPr>
        <w:t>SLC12A3</w:t>
      </w:r>
      <w:r w:rsidRPr="000B3360">
        <w:rPr>
          <w:rFonts w:ascii="Book Antiqua" w:eastAsia="Book Antiqua" w:hAnsi="Book Antiqua" w:cs="Book Antiqua"/>
          <w:b/>
          <w:bCs/>
          <w:color w:val="000000"/>
        </w:rPr>
        <w:t>.</w:t>
      </w:r>
    </w:p>
    <w:p w14:paraId="140FAAB2" w14:textId="3814377F" w:rsidR="00B23B2E" w:rsidRPr="000B3360" w:rsidRDefault="00B23B2E" w:rsidP="00CA6D9F">
      <w:pPr>
        <w:spacing w:line="360" w:lineRule="auto"/>
        <w:jc w:val="both"/>
        <w:rPr>
          <w:rFonts w:ascii="Book Antiqua" w:eastAsia="Book Antiqua" w:hAnsi="Book Antiqua" w:cs="Book Antiqua"/>
          <w:b/>
          <w:bCs/>
          <w:color w:val="000000"/>
        </w:rPr>
      </w:pPr>
    </w:p>
    <w:p w14:paraId="7AA1CBE4" w14:textId="0898314B" w:rsidR="00B23B2E" w:rsidRPr="000B3360" w:rsidRDefault="005A6EAC" w:rsidP="00CA6D9F">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A342D86" wp14:editId="3D267D0D">
            <wp:extent cx="5146040" cy="38595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6040" cy="3859530"/>
                    </a:xfrm>
                    <a:prstGeom prst="rect">
                      <a:avLst/>
                    </a:prstGeom>
                    <a:noFill/>
                    <a:ln>
                      <a:noFill/>
                    </a:ln>
                  </pic:spPr>
                </pic:pic>
              </a:graphicData>
            </a:graphic>
          </wp:inline>
        </w:drawing>
      </w:r>
    </w:p>
    <w:p w14:paraId="5FE06FD4" w14:textId="56F7274E" w:rsidR="00A77B3E" w:rsidRPr="000B3360" w:rsidRDefault="009B60C3" w:rsidP="00CA6D9F">
      <w:pPr>
        <w:spacing w:line="360" w:lineRule="auto"/>
        <w:jc w:val="both"/>
        <w:rPr>
          <w:rFonts w:ascii="Book Antiqua" w:eastAsia="Book Antiqua" w:hAnsi="Book Antiqua" w:cs="Book Antiqua"/>
          <w:color w:val="000000"/>
        </w:rPr>
      </w:pPr>
      <w:r w:rsidRPr="000B3360">
        <w:rPr>
          <w:rFonts w:ascii="Book Antiqua" w:eastAsia="Book Antiqua" w:hAnsi="Book Antiqua" w:cs="Book Antiqua"/>
          <w:b/>
          <w:bCs/>
          <w:color w:val="000000"/>
        </w:rPr>
        <w:t>Figure 2 Sanger sequencing image</w:t>
      </w:r>
      <w:r w:rsidR="005C29DE" w:rsidRPr="000B3360">
        <w:rPr>
          <w:rFonts w:ascii="Book Antiqua" w:eastAsia="Book Antiqua" w:hAnsi="Book Antiqua" w:cs="Book Antiqua"/>
          <w:b/>
          <w:bCs/>
          <w:color w:val="000000"/>
        </w:rPr>
        <w:t>s</w:t>
      </w:r>
      <w:r w:rsidRPr="000B3360">
        <w:rPr>
          <w:rFonts w:ascii="Book Antiqua" w:eastAsia="Book Antiqua" w:hAnsi="Book Antiqua" w:cs="Book Antiqua"/>
          <w:b/>
          <w:bCs/>
          <w:color w:val="000000"/>
        </w:rPr>
        <w:t xml:space="preserve"> of pedigree mutation type in </w:t>
      </w:r>
      <w:r w:rsidRPr="000B3360">
        <w:rPr>
          <w:rFonts w:ascii="Book Antiqua" w:eastAsia="Book Antiqua" w:hAnsi="Book Antiqua" w:cs="Book Antiqua"/>
          <w:b/>
          <w:bCs/>
          <w:i/>
          <w:iCs/>
          <w:color w:val="000000"/>
        </w:rPr>
        <w:t>SLC12A3</w:t>
      </w:r>
      <w:r w:rsidRPr="000B3360">
        <w:rPr>
          <w:rFonts w:ascii="Book Antiqua" w:eastAsia="Book Antiqua" w:hAnsi="Book Antiqua" w:cs="Book Antiqua"/>
          <w:b/>
          <w:bCs/>
          <w:color w:val="000000"/>
        </w:rPr>
        <w:t xml:space="preserve">. </w:t>
      </w:r>
      <w:r w:rsidRPr="000B3360">
        <w:rPr>
          <w:rFonts w:ascii="Book Antiqua" w:eastAsia="Book Antiqua" w:hAnsi="Book Antiqua" w:cs="Book Antiqua"/>
          <w:color w:val="000000"/>
        </w:rPr>
        <w:t xml:space="preserve">The sequence diagram from the first to the fourth row represents the mother, father, proband, and son or daughter, respectively. </w:t>
      </w:r>
      <w:r w:rsidR="00B23B2E" w:rsidRPr="000B3360">
        <w:rPr>
          <w:rFonts w:ascii="Book Antiqua" w:eastAsia="Book Antiqua" w:hAnsi="Book Antiqua" w:cs="Book Antiqua"/>
          <w:color w:val="000000"/>
        </w:rPr>
        <w:t>A:</w:t>
      </w:r>
      <w:r w:rsidRPr="000B3360">
        <w:rPr>
          <w:rFonts w:ascii="Book Antiqua" w:eastAsia="Book Antiqua" w:hAnsi="Book Antiqua" w:cs="Book Antiqua"/>
          <w:color w:val="000000"/>
        </w:rPr>
        <w:t xml:space="preserve"> The NM_000339.2:c.488C&gt;T(p.Thr163Met) (indicated by the red arrow) is </w:t>
      </w:r>
      <w:r w:rsidR="005C29DE" w:rsidRPr="000B3360">
        <w:rPr>
          <w:rFonts w:ascii="Book Antiqua" w:eastAsia="Book Antiqua" w:hAnsi="Book Antiqua" w:cs="Book Antiqua"/>
          <w:color w:val="000000"/>
        </w:rPr>
        <w:t xml:space="preserve">a </w:t>
      </w:r>
      <w:r w:rsidRPr="000B3360">
        <w:rPr>
          <w:rFonts w:ascii="Book Antiqua" w:eastAsia="Book Antiqua" w:hAnsi="Book Antiqua" w:cs="Book Antiqua"/>
          <w:color w:val="000000"/>
        </w:rPr>
        <w:t xml:space="preserve">heterozygous missense mutation in exon 3; </w:t>
      </w:r>
      <w:r w:rsidR="00B23B2E" w:rsidRPr="000B3360">
        <w:rPr>
          <w:rFonts w:ascii="Book Antiqua" w:eastAsia="Book Antiqua" w:hAnsi="Book Antiqua" w:cs="Book Antiqua"/>
          <w:color w:val="000000"/>
        </w:rPr>
        <w:t>B:</w:t>
      </w:r>
      <w:r w:rsidRPr="000B3360">
        <w:rPr>
          <w:rFonts w:ascii="Book Antiqua" w:eastAsia="Book Antiqua" w:hAnsi="Book Antiqua" w:cs="Book Antiqua"/>
          <w:color w:val="000000"/>
        </w:rPr>
        <w:t xml:space="preserve"> The NM_000339.2:c.1171_1178dupGCCACCAT(p.Ile393fs) (indicated by the red arrow) is </w:t>
      </w:r>
      <w:r w:rsidR="005C29DE" w:rsidRPr="000B3360">
        <w:rPr>
          <w:rFonts w:ascii="Book Antiqua" w:eastAsia="Book Antiqua" w:hAnsi="Book Antiqua" w:cs="Book Antiqua"/>
          <w:color w:val="000000"/>
        </w:rPr>
        <w:t xml:space="preserve">a </w:t>
      </w:r>
      <w:r w:rsidRPr="000B3360">
        <w:rPr>
          <w:rFonts w:ascii="Book Antiqua" w:eastAsia="Book Antiqua" w:hAnsi="Book Antiqua" w:cs="Book Antiqua"/>
          <w:color w:val="000000"/>
        </w:rPr>
        <w:t xml:space="preserve">heterozygous frameshift mutation in exon 9; </w:t>
      </w:r>
      <w:r w:rsidR="00B23B2E" w:rsidRPr="000B3360">
        <w:rPr>
          <w:rFonts w:ascii="Book Antiqua" w:eastAsia="Book Antiqua" w:hAnsi="Book Antiqua" w:cs="Book Antiqua"/>
          <w:color w:val="000000"/>
        </w:rPr>
        <w:t>C:</w:t>
      </w:r>
      <w:r w:rsidRPr="000B3360">
        <w:rPr>
          <w:rFonts w:ascii="Book Antiqua" w:eastAsia="Book Antiqua" w:hAnsi="Book Antiqua" w:cs="Book Antiqua"/>
          <w:color w:val="000000"/>
        </w:rPr>
        <w:t xml:space="preserve"> The NM_000339.2:c.2612G&gt;A(p.Arg871His) (indicated by the red arrow) is </w:t>
      </w:r>
      <w:r w:rsidR="005C29DE" w:rsidRPr="000B3360">
        <w:rPr>
          <w:rFonts w:ascii="Book Antiqua" w:eastAsia="Book Antiqua" w:hAnsi="Book Antiqua" w:cs="Book Antiqua"/>
          <w:color w:val="000000"/>
        </w:rPr>
        <w:t xml:space="preserve">a </w:t>
      </w:r>
      <w:r w:rsidRPr="000B3360">
        <w:rPr>
          <w:rFonts w:ascii="Book Antiqua" w:eastAsia="Book Antiqua" w:hAnsi="Book Antiqua" w:cs="Book Antiqua"/>
          <w:color w:val="000000"/>
        </w:rPr>
        <w:t>heterozygous missense mutation in exon 22.</w:t>
      </w:r>
    </w:p>
    <w:p w14:paraId="309B1003" w14:textId="47C22000" w:rsidR="00B23B2E" w:rsidRPr="000B3360" w:rsidRDefault="00B23B2E" w:rsidP="00CA6D9F">
      <w:pPr>
        <w:spacing w:line="360" w:lineRule="auto"/>
        <w:jc w:val="both"/>
        <w:rPr>
          <w:rFonts w:ascii="Book Antiqua" w:eastAsia="Book Antiqua" w:hAnsi="Book Antiqua" w:cs="Book Antiqua"/>
          <w:color w:val="000000"/>
        </w:rPr>
      </w:pPr>
    </w:p>
    <w:p w14:paraId="7D5282D4" w14:textId="60FA218C" w:rsidR="00B23B2E" w:rsidRPr="000B3360" w:rsidRDefault="005A6EAC" w:rsidP="00CA6D9F">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2B665A6" wp14:editId="4D7D74E4">
            <wp:extent cx="4253230" cy="54121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3230" cy="5412105"/>
                    </a:xfrm>
                    <a:prstGeom prst="rect">
                      <a:avLst/>
                    </a:prstGeom>
                    <a:noFill/>
                    <a:ln>
                      <a:noFill/>
                    </a:ln>
                  </pic:spPr>
                </pic:pic>
              </a:graphicData>
            </a:graphic>
          </wp:inline>
        </w:drawing>
      </w:r>
    </w:p>
    <w:p w14:paraId="402F063C" w14:textId="2647E5CA" w:rsidR="00A77B3E" w:rsidRPr="000B3360" w:rsidRDefault="009B60C3" w:rsidP="00CA6D9F">
      <w:pPr>
        <w:spacing w:line="360" w:lineRule="auto"/>
        <w:jc w:val="both"/>
        <w:rPr>
          <w:rFonts w:ascii="Book Antiqua" w:eastAsia="Book Antiqua" w:hAnsi="Book Antiqua" w:cs="Book Antiqua"/>
          <w:color w:val="000000"/>
        </w:rPr>
      </w:pPr>
      <w:r w:rsidRPr="000B3360">
        <w:rPr>
          <w:rFonts w:ascii="Book Antiqua" w:eastAsia="Book Antiqua" w:hAnsi="Book Antiqua" w:cs="Book Antiqua"/>
          <w:b/>
          <w:bCs/>
          <w:color w:val="000000"/>
        </w:rPr>
        <w:t>Figure 3 Schematic presentation of the structure of SLC12A3.</w:t>
      </w:r>
      <w:r w:rsidRPr="000B3360">
        <w:rPr>
          <w:rFonts w:ascii="Book Antiqua" w:eastAsia="Book Antiqua" w:hAnsi="Book Antiqua" w:cs="Book Antiqua"/>
          <w:color w:val="000000"/>
        </w:rPr>
        <w:t xml:space="preserve"> </w:t>
      </w:r>
      <w:r w:rsidR="00B23B2E" w:rsidRPr="000B3360">
        <w:rPr>
          <w:rFonts w:ascii="Book Antiqua" w:eastAsia="Book Antiqua" w:hAnsi="Book Antiqua" w:cs="Book Antiqua"/>
          <w:color w:val="000000"/>
        </w:rPr>
        <w:t>A:</w:t>
      </w:r>
      <w:r w:rsidRPr="000B3360">
        <w:rPr>
          <w:rFonts w:ascii="Book Antiqua" w:eastAsia="Book Antiqua" w:hAnsi="Book Antiqua" w:cs="Book Antiqua"/>
          <w:color w:val="000000"/>
        </w:rPr>
        <w:t xml:space="preserve"> Thr163 and Arg871 are highly conserved amino acids in various species (the locations colored yellow)</w:t>
      </w:r>
      <w:r w:rsidR="00B23B2E" w:rsidRPr="000B3360">
        <w:rPr>
          <w:rFonts w:ascii="Book Antiqua" w:eastAsia="Book Antiqua" w:hAnsi="Book Antiqua" w:cs="Book Antiqua"/>
          <w:color w:val="000000"/>
        </w:rPr>
        <w:t>;</w:t>
      </w:r>
      <w:r w:rsidRPr="000B3360">
        <w:rPr>
          <w:rFonts w:ascii="Book Antiqua" w:eastAsia="Book Antiqua" w:hAnsi="Book Antiqua" w:cs="Book Antiqua"/>
          <w:color w:val="000000"/>
        </w:rPr>
        <w:t xml:space="preserve"> </w:t>
      </w:r>
      <w:r w:rsidR="00B23B2E" w:rsidRPr="000B3360">
        <w:rPr>
          <w:rFonts w:ascii="Book Antiqua" w:eastAsia="Book Antiqua" w:hAnsi="Book Antiqua" w:cs="Book Antiqua"/>
          <w:color w:val="000000"/>
        </w:rPr>
        <w:t>B:</w:t>
      </w:r>
      <w:r w:rsidRPr="000B3360">
        <w:rPr>
          <w:rFonts w:ascii="Book Antiqua" w:eastAsia="Book Antiqua" w:hAnsi="Book Antiqua" w:cs="Book Antiqua"/>
          <w:color w:val="000000"/>
        </w:rPr>
        <w:t xml:space="preserve"> Overview of the locations of Thr163 and Arg871 in the global </w:t>
      </w:r>
      <w:r w:rsidR="00997D01" w:rsidRPr="000B3360">
        <w:rPr>
          <w:rFonts w:ascii="Book Antiqua" w:eastAsia="Book Antiqua" w:hAnsi="Book Antiqua" w:cs="Book Antiqua"/>
          <w:color w:val="000000"/>
        </w:rPr>
        <w:t>three-dimensional</w:t>
      </w:r>
      <w:r w:rsidRPr="000B3360">
        <w:rPr>
          <w:rFonts w:ascii="Book Antiqua" w:eastAsia="Book Antiqua" w:hAnsi="Book Antiqua" w:cs="Book Antiqua"/>
          <w:color w:val="000000"/>
        </w:rPr>
        <w:t xml:space="preserve"> structure of the protein. Thr163 and Arg871 are shown in green spheres, and the global protein structure is shown in the cartoon model</w:t>
      </w:r>
      <w:r w:rsidR="00B23B2E" w:rsidRPr="000B3360">
        <w:rPr>
          <w:rFonts w:ascii="Book Antiqua" w:eastAsia="Book Antiqua" w:hAnsi="Book Antiqua" w:cs="Book Antiqua"/>
          <w:color w:val="000000"/>
        </w:rPr>
        <w:t>;</w:t>
      </w:r>
      <w:r w:rsidRPr="000B3360">
        <w:rPr>
          <w:rFonts w:ascii="Book Antiqua" w:eastAsia="Book Antiqua" w:hAnsi="Book Antiqua" w:cs="Book Antiqua"/>
          <w:color w:val="000000"/>
        </w:rPr>
        <w:t xml:space="preserve"> </w:t>
      </w:r>
      <w:r w:rsidR="00B23B2E" w:rsidRPr="000B3360">
        <w:rPr>
          <w:rFonts w:ascii="Book Antiqua" w:eastAsia="Book Antiqua" w:hAnsi="Book Antiqua" w:cs="Book Antiqua"/>
          <w:color w:val="000000"/>
        </w:rPr>
        <w:t>C</w:t>
      </w:r>
      <w:r w:rsidRPr="000B3360">
        <w:rPr>
          <w:rFonts w:ascii="Book Antiqua" w:eastAsia="Book Antiqua" w:hAnsi="Book Antiqua" w:cs="Book Antiqua"/>
          <w:color w:val="000000"/>
        </w:rPr>
        <w:t xml:space="preserve"> and </w:t>
      </w:r>
      <w:r w:rsidR="00B23B2E" w:rsidRPr="000B3360">
        <w:rPr>
          <w:rFonts w:ascii="Book Antiqua" w:eastAsia="Book Antiqua" w:hAnsi="Book Antiqua" w:cs="Book Antiqua"/>
          <w:color w:val="000000"/>
        </w:rPr>
        <w:t>D:</w:t>
      </w:r>
      <w:r w:rsidRPr="000B3360">
        <w:rPr>
          <w:rFonts w:ascii="Book Antiqua" w:eastAsia="Book Antiqua" w:hAnsi="Book Antiqua" w:cs="Book Antiqua"/>
          <w:color w:val="000000"/>
        </w:rPr>
        <w:t xml:space="preserve"> </w:t>
      </w:r>
      <w:r w:rsidR="005C29DE" w:rsidRPr="000B3360">
        <w:rPr>
          <w:rFonts w:ascii="Book Antiqua" w:eastAsia="Book Antiqua" w:hAnsi="Book Antiqua" w:cs="Book Antiqua"/>
          <w:color w:val="000000"/>
        </w:rPr>
        <w:t xml:space="preserve">The mutation </w:t>
      </w:r>
      <w:r w:rsidRPr="000B3360">
        <w:rPr>
          <w:rFonts w:ascii="Book Antiqua" w:eastAsia="Book Antiqua" w:hAnsi="Book Antiqua" w:cs="Book Antiqua"/>
          <w:color w:val="000000"/>
        </w:rPr>
        <w:t>Ile393fs causes missing of some protein regions and domains (magenta), and transfer of MPPLAPAW* novel sequence (cyan)</w:t>
      </w:r>
      <w:r w:rsidR="00B23B2E" w:rsidRPr="000B3360">
        <w:rPr>
          <w:rFonts w:ascii="Book Antiqua" w:eastAsia="Book Antiqua" w:hAnsi="Book Antiqua" w:cs="Book Antiqua"/>
          <w:color w:val="000000"/>
        </w:rPr>
        <w:t>;</w:t>
      </w:r>
      <w:r w:rsidRPr="000B3360">
        <w:rPr>
          <w:rFonts w:ascii="Book Antiqua" w:eastAsia="Book Antiqua" w:hAnsi="Book Antiqua" w:cs="Book Antiqua"/>
          <w:color w:val="000000"/>
        </w:rPr>
        <w:t xml:space="preserve"> </w:t>
      </w:r>
      <w:r w:rsidR="00B23B2E" w:rsidRPr="000B3360">
        <w:rPr>
          <w:rFonts w:ascii="Book Antiqua" w:eastAsia="Book Antiqua" w:hAnsi="Book Antiqua" w:cs="Book Antiqua"/>
          <w:color w:val="000000"/>
        </w:rPr>
        <w:t>E</w:t>
      </w:r>
      <w:r w:rsidRPr="000B3360">
        <w:rPr>
          <w:rFonts w:ascii="Book Antiqua" w:eastAsia="Book Antiqua" w:hAnsi="Book Antiqua" w:cs="Book Antiqua"/>
          <w:color w:val="000000"/>
        </w:rPr>
        <w:t xml:space="preserve"> and </w:t>
      </w:r>
      <w:r w:rsidR="00B23B2E" w:rsidRPr="000B3360">
        <w:rPr>
          <w:rFonts w:ascii="Book Antiqua" w:eastAsia="Book Antiqua" w:hAnsi="Book Antiqua" w:cs="Book Antiqua"/>
          <w:color w:val="000000"/>
        </w:rPr>
        <w:t>F:</w:t>
      </w:r>
      <w:r w:rsidRPr="000B3360">
        <w:rPr>
          <w:rFonts w:ascii="Book Antiqua" w:eastAsia="Book Antiqua" w:hAnsi="Book Antiqua" w:cs="Book Antiqua"/>
          <w:color w:val="000000"/>
        </w:rPr>
        <w:t xml:space="preserve"> Analysis of changes in hydrogen bonds for the Thr163Met mutation. The key amino acids are shown as sticks and H-bonds are shown as red dotted line. One H-bond is destroyed when Thr163 is replaced by Met</w:t>
      </w:r>
      <w:r w:rsidR="00B23B2E" w:rsidRPr="000B3360">
        <w:rPr>
          <w:rFonts w:ascii="Book Antiqua" w:eastAsia="Book Antiqua" w:hAnsi="Book Antiqua" w:cs="Book Antiqua"/>
          <w:color w:val="000000"/>
        </w:rPr>
        <w:t>;</w:t>
      </w:r>
      <w:r w:rsidRPr="000B3360">
        <w:rPr>
          <w:rFonts w:ascii="Book Antiqua" w:eastAsia="Book Antiqua" w:hAnsi="Book Antiqua" w:cs="Book Antiqua"/>
          <w:color w:val="000000"/>
        </w:rPr>
        <w:t xml:space="preserve"> </w:t>
      </w:r>
      <w:r w:rsidR="00B23B2E" w:rsidRPr="000B3360">
        <w:rPr>
          <w:rFonts w:ascii="Book Antiqua" w:eastAsia="Book Antiqua" w:hAnsi="Book Antiqua" w:cs="Book Antiqua"/>
          <w:color w:val="000000"/>
        </w:rPr>
        <w:t>G</w:t>
      </w:r>
      <w:r w:rsidRPr="000B3360">
        <w:rPr>
          <w:rFonts w:ascii="Book Antiqua" w:eastAsia="Book Antiqua" w:hAnsi="Book Antiqua" w:cs="Book Antiqua"/>
          <w:color w:val="000000"/>
        </w:rPr>
        <w:t xml:space="preserve"> and </w:t>
      </w:r>
      <w:r w:rsidR="00B23B2E" w:rsidRPr="000B3360">
        <w:rPr>
          <w:rFonts w:ascii="Book Antiqua" w:eastAsia="Book Antiqua" w:hAnsi="Book Antiqua" w:cs="Book Antiqua"/>
          <w:color w:val="000000"/>
        </w:rPr>
        <w:t>H:</w:t>
      </w:r>
      <w:r w:rsidRPr="000B3360">
        <w:rPr>
          <w:rFonts w:ascii="Book Antiqua" w:eastAsia="Book Antiqua" w:hAnsi="Book Antiqua" w:cs="Book Antiqua"/>
          <w:color w:val="000000"/>
        </w:rPr>
        <w:t xml:space="preserve"> </w:t>
      </w:r>
      <w:r w:rsidR="005C29DE" w:rsidRPr="000B3360">
        <w:rPr>
          <w:rFonts w:ascii="Book Antiqua" w:eastAsia="Book Antiqua" w:hAnsi="Book Antiqua" w:cs="Book Antiqua"/>
          <w:color w:val="000000"/>
        </w:rPr>
        <w:t xml:space="preserve">The mutation </w:t>
      </w:r>
      <w:r w:rsidRPr="000B3360">
        <w:rPr>
          <w:rFonts w:ascii="Book Antiqua" w:eastAsia="Book Antiqua" w:hAnsi="Book Antiqua" w:cs="Book Antiqua"/>
          <w:color w:val="000000"/>
        </w:rPr>
        <w:lastRenderedPageBreak/>
        <w:t>Arg871His will cause large changes in the H-bond network</w:t>
      </w:r>
      <w:r w:rsidR="005C29DE" w:rsidRPr="000B3360">
        <w:rPr>
          <w:rFonts w:ascii="Book Antiqua" w:eastAsia="Book Antiqua" w:hAnsi="Book Antiqua" w:cs="Book Antiqua"/>
          <w:color w:val="000000"/>
        </w:rPr>
        <w:t xml:space="preserve">, destruction </w:t>
      </w:r>
      <w:r w:rsidRPr="000B3360">
        <w:rPr>
          <w:rFonts w:ascii="Book Antiqua" w:eastAsia="Book Antiqua" w:hAnsi="Book Antiqua" w:cs="Book Antiqua"/>
          <w:color w:val="000000"/>
        </w:rPr>
        <w:t>of H-bond interaction with Asp841 and Tyr975</w:t>
      </w:r>
      <w:r w:rsidR="005C29DE" w:rsidRPr="000B3360">
        <w:rPr>
          <w:rFonts w:ascii="Book Antiqua" w:eastAsia="Book Antiqua" w:hAnsi="Book Antiqua" w:cs="Book Antiqua"/>
          <w:color w:val="000000"/>
        </w:rPr>
        <w:t>,</w:t>
      </w:r>
      <w:r w:rsidRPr="000B3360">
        <w:rPr>
          <w:rFonts w:ascii="Book Antiqua" w:eastAsia="Book Antiqua" w:hAnsi="Book Antiqua" w:cs="Book Antiqua"/>
          <w:color w:val="000000"/>
        </w:rPr>
        <w:t xml:space="preserve"> and generation of a new interaction with Glu901.</w:t>
      </w:r>
    </w:p>
    <w:p w14:paraId="2CCDDCAF" w14:textId="08D3E3B8" w:rsidR="00B23B2E" w:rsidRPr="000B3360" w:rsidRDefault="00B23B2E" w:rsidP="00CA6D9F">
      <w:pPr>
        <w:spacing w:line="360" w:lineRule="auto"/>
        <w:jc w:val="both"/>
        <w:rPr>
          <w:rFonts w:ascii="Book Antiqua" w:hAnsi="Book Antiqua"/>
        </w:rPr>
      </w:pPr>
    </w:p>
    <w:p w14:paraId="43D3CE8E" w14:textId="4E8D76AA" w:rsidR="004B416C" w:rsidRPr="000B3360" w:rsidRDefault="005A6EAC" w:rsidP="00CA6D9F">
      <w:pPr>
        <w:spacing w:line="360" w:lineRule="auto"/>
        <w:jc w:val="both"/>
        <w:rPr>
          <w:rFonts w:ascii="Book Antiqua" w:hAnsi="Book Antiqua"/>
        </w:rPr>
      </w:pPr>
      <w:r>
        <w:rPr>
          <w:rFonts w:ascii="Book Antiqua" w:hAnsi="Book Antiqua"/>
          <w:noProof/>
          <w:lang w:eastAsia="zh-CN"/>
        </w:rPr>
        <w:drawing>
          <wp:inline distT="0" distB="0" distL="0" distR="0" wp14:anchorId="68A80EED" wp14:editId="5CEEC1CB">
            <wp:extent cx="5507355" cy="34766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7355" cy="3476625"/>
                    </a:xfrm>
                    <a:prstGeom prst="rect">
                      <a:avLst/>
                    </a:prstGeom>
                    <a:noFill/>
                    <a:ln>
                      <a:noFill/>
                    </a:ln>
                  </pic:spPr>
                </pic:pic>
              </a:graphicData>
            </a:graphic>
          </wp:inline>
        </w:drawing>
      </w:r>
    </w:p>
    <w:p w14:paraId="669A375D" w14:textId="2F473D0B" w:rsidR="005C3CE7" w:rsidRPr="000B3360" w:rsidRDefault="009B60C3" w:rsidP="00CA6D9F">
      <w:pPr>
        <w:spacing w:line="360" w:lineRule="auto"/>
        <w:jc w:val="both"/>
        <w:rPr>
          <w:rFonts w:ascii="Book Antiqua" w:eastAsia="Book Antiqua" w:hAnsi="Book Antiqua" w:cs="Book Antiqua"/>
          <w:color w:val="000000"/>
        </w:rPr>
        <w:sectPr w:rsidR="005C3CE7" w:rsidRPr="000B3360">
          <w:pgSz w:w="12240" w:h="15840"/>
          <w:pgMar w:top="1440" w:right="1440" w:bottom="1440" w:left="1440" w:header="720" w:footer="720" w:gutter="0"/>
          <w:cols w:space="720"/>
          <w:docGrid w:linePitch="360"/>
        </w:sectPr>
      </w:pPr>
      <w:r w:rsidRPr="000B3360">
        <w:rPr>
          <w:rFonts w:ascii="Book Antiqua" w:eastAsia="Book Antiqua" w:hAnsi="Book Antiqua" w:cs="Book Antiqua"/>
          <w:b/>
          <w:bCs/>
          <w:color w:val="000000"/>
        </w:rPr>
        <w:t xml:space="preserve">Figure 4 </w:t>
      </w:r>
      <w:r w:rsidR="005C29DE" w:rsidRPr="000B3360">
        <w:rPr>
          <w:rFonts w:ascii="Book Antiqua" w:eastAsia="Book Antiqua" w:hAnsi="Book Antiqua" w:cs="Book Antiqua"/>
          <w:b/>
          <w:bCs/>
          <w:color w:val="000000"/>
        </w:rPr>
        <w:t>H</w:t>
      </w:r>
      <w:r w:rsidRPr="000B3360">
        <w:rPr>
          <w:rFonts w:ascii="Book Antiqua" w:eastAsia="Book Antiqua" w:hAnsi="Book Antiqua" w:cs="Book Antiqua"/>
          <w:b/>
          <w:bCs/>
          <w:color w:val="000000"/>
        </w:rPr>
        <w:t>ospital discharge follow-up results for serum electrolyte levels.</w:t>
      </w:r>
      <w:r w:rsidRPr="000B3360">
        <w:rPr>
          <w:rFonts w:ascii="Book Antiqua" w:eastAsia="Book Antiqua" w:hAnsi="Book Antiqua" w:cs="Book Antiqua"/>
          <w:color w:val="000000"/>
        </w:rPr>
        <w:t xml:space="preserve"> The abscissa represents the date (format: </w:t>
      </w:r>
      <w:r w:rsidR="00754FCD" w:rsidRPr="000B3360">
        <w:rPr>
          <w:rFonts w:ascii="Book Antiqua" w:eastAsia="Book Antiqua" w:hAnsi="Book Antiqua" w:cs="Book Antiqua"/>
          <w:color w:val="000000"/>
        </w:rPr>
        <w:t>Day</w:t>
      </w:r>
      <w:r w:rsidRPr="000B3360">
        <w:rPr>
          <w:rFonts w:ascii="Book Antiqua" w:eastAsia="Book Antiqua" w:hAnsi="Book Antiqua" w:cs="Book Antiqua"/>
          <w:color w:val="000000"/>
        </w:rPr>
        <w:t xml:space="preserve">/month/year). The double ordinates represent serum potassium level (the red line) and magnesium level (the </w:t>
      </w:r>
      <w:r w:rsidR="00DB645F" w:rsidRPr="000B3360">
        <w:rPr>
          <w:rFonts w:ascii="Book Antiqua" w:eastAsia="Book Antiqua" w:hAnsi="Book Antiqua" w:cs="Book Antiqua"/>
          <w:color w:val="000000"/>
        </w:rPr>
        <w:t xml:space="preserve">blue </w:t>
      </w:r>
      <w:r w:rsidRPr="000B3360">
        <w:rPr>
          <w:rFonts w:ascii="Book Antiqua" w:eastAsia="Book Antiqua" w:hAnsi="Book Antiqua" w:cs="Book Antiqua"/>
          <w:color w:val="000000"/>
        </w:rPr>
        <w:t>line), respectively.</w:t>
      </w:r>
    </w:p>
    <w:p w14:paraId="3456D06F" w14:textId="77777777" w:rsidR="005C3CE7" w:rsidRPr="000B3360" w:rsidRDefault="005C3CE7" w:rsidP="00CA6D9F">
      <w:pPr>
        <w:spacing w:line="360" w:lineRule="auto"/>
        <w:jc w:val="both"/>
        <w:rPr>
          <w:rFonts w:ascii="Book Antiqua" w:eastAsia="宋体" w:hAnsi="Book Antiqua"/>
          <w:b/>
          <w:bCs/>
          <w:color w:val="000000"/>
        </w:rPr>
      </w:pPr>
      <w:r w:rsidRPr="000B3360">
        <w:rPr>
          <w:rFonts w:ascii="Book Antiqua" w:eastAsia="宋体" w:hAnsi="Book Antiqua"/>
          <w:b/>
          <w:bCs/>
          <w:color w:val="000000"/>
        </w:rPr>
        <w:lastRenderedPageBreak/>
        <w:t>Table 1 Laboratory findings of the proband on admission</w:t>
      </w:r>
    </w:p>
    <w:tbl>
      <w:tblPr>
        <w:tblW w:w="9889" w:type="dxa"/>
        <w:jc w:val="center"/>
        <w:tblLook w:val="04A0" w:firstRow="1" w:lastRow="0" w:firstColumn="1" w:lastColumn="0" w:noHBand="0" w:noVBand="1"/>
      </w:tblPr>
      <w:tblGrid>
        <w:gridCol w:w="2050"/>
        <w:gridCol w:w="1283"/>
        <w:gridCol w:w="1310"/>
        <w:gridCol w:w="2978"/>
        <w:gridCol w:w="1418"/>
        <w:gridCol w:w="1310"/>
      </w:tblGrid>
      <w:tr w:rsidR="005C3CE7" w:rsidRPr="000B3360" w14:paraId="547E6F90" w14:textId="77777777" w:rsidTr="00F90E71">
        <w:trPr>
          <w:trHeight w:val="315"/>
          <w:jc w:val="center"/>
        </w:trPr>
        <w:tc>
          <w:tcPr>
            <w:tcW w:w="2050" w:type="dxa"/>
            <w:tcBorders>
              <w:top w:val="single" w:sz="4" w:space="0" w:color="auto"/>
              <w:bottom w:val="single" w:sz="4" w:space="0" w:color="auto"/>
            </w:tcBorders>
            <w:noWrap/>
            <w:hideMark/>
          </w:tcPr>
          <w:p w14:paraId="0186F29E" w14:textId="5AFD8D7C" w:rsidR="005C3CE7" w:rsidRPr="000B3360" w:rsidRDefault="005C3CE7" w:rsidP="00CA6D9F">
            <w:pPr>
              <w:spacing w:line="360" w:lineRule="auto"/>
              <w:jc w:val="both"/>
              <w:rPr>
                <w:rFonts w:ascii="Book Antiqua" w:eastAsia="宋体" w:hAnsi="Book Antiqua"/>
                <w:b/>
                <w:bCs/>
                <w:color w:val="000000" w:themeColor="text1"/>
              </w:rPr>
            </w:pPr>
            <w:r w:rsidRPr="000B3360">
              <w:rPr>
                <w:rFonts w:ascii="Book Antiqua" w:eastAsia="宋体" w:hAnsi="Book Antiqua"/>
                <w:b/>
                <w:bCs/>
                <w:color w:val="000000" w:themeColor="text1"/>
              </w:rPr>
              <w:t>Characteristic</w:t>
            </w:r>
          </w:p>
        </w:tc>
        <w:tc>
          <w:tcPr>
            <w:tcW w:w="1283" w:type="dxa"/>
            <w:tcBorders>
              <w:top w:val="single" w:sz="4" w:space="0" w:color="auto"/>
              <w:bottom w:val="single" w:sz="4" w:space="0" w:color="auto"/>
            </w:tcBorders>
            <w:noWrap/>
            <w:hideMark/>
          </w:tcPr>
          <w:p w14:paraId="31164508" w14:textId="77777777" w:rsidR="005C3CE7" w:rsidRPr="000B3360" w:rsidRDefault="005C3CE7" w:rsidP="00CA6D9F">
            <w:pPr>
              <w:spacing w:line="360" w:lineRule="auto"/>
              <w:jc w:val="both"/>
              <w:rPr>
                <w:rFonts w:ascii="Book Antiqua" w:eastAsia="宋体" w:hAnsi="Book Antiqua"/>
                <w:b/>
                <w:bCs/>
                <w:color w:val="000000" w:themeColor="text1"/>
              </w:rPr>
            </w:pPr>
            <w:r w:rsidRPr="000B3360">
              <w:rPr>
                <w:rFonts w:ascii="Book Antiqua" w:eastAsia="宋体" w:hAnsi="Book Antiqua"/>
                <w:b/>
                <w:bCs/>
                <w:color w:val="000000" w:themeColor="text1"/>
              </w:rPr>
              <w:t>Detection value</w:t>
            </w:r>
          </w:p>
        </w:tc>
        <w:tc>
          <w:tcPr>
            <w:tcW w:w="1310" w:type="dxa"/>
            <w:tcBorders>
              <w:top w:val="single" w:sz="4" w:space="0" w:color="auto"/>
              <w:bottom w:val="single" w:sz="4" w:space="0" w:color="auto"/>
            </w:tcBorders>
            <w:noWrap/>
            <w:hideMark/>
          </w:tcPr>
          <w:p w14:paraId="3E630F23" w14:textId="77777777" w:rsidR="005C3CE7" w:rsidRPr="000B3360" w:rsidRDefault="005C3CE7" w:rsidP="00CA6D9F">
            <w:pPr>
              <w:spacing w:line="360" w:lineRule="auto"/>
              <w:jc w:val="both"/>
              <w:rPr>
                <w:rFonts w:ascii="Book Antiqua" w:eastAsia="宋体" w:hAnsi="Book Antiqua"/>
                <w:b/>
                <w:bCs/>
                <w:color w:val="000000" w:themeColor="text1"/>
              </w:rPr>
            </w:pPr>
            <w:r w:rsidRPr="000B3360">
              <w:rPr>
                <w:rFonts w:ascii="Book Antiqua" w:eastAsia="宋体" w:hAnsi="Book Antiqua"/>
                <w:b/>
                <w:bCs/>
                <w:color w:val="000000" w:themeColor="text1"/>
              </w:rPr>
              <w:t>Reference range</w:t>
            </w:r>
          </w:p>
        </w:tc>
        <w:tc>
          <w:tcPr>
            <w:tcW w:w="2978" w:type="dxa"/>
            <w:tcBorders>
              <w:top w:val="single" w:sz="4" w:space="0" w:color="auto"/>
              <w:bottom w:val="single" w:sz="4" w:space="0" w:color="auto"/>
            </w:tcBorders>
            <w:noWrap/>
            <w:hideMark/>
          </w:tcPr>
          <w:p w14:paraId="79487EC7" w14:textId="77777777" w:rsidR="005C3CE7" w:rsidRPr="000B3360" w:rsidRDefault="005C3CE7" w:rsidP="00CA6D9F">
            <w:pPr>
              <w:spacing w:line="360" w:lineRule="auto"/>
              <w:jc w:val="both"/>
              <w:rPr>
                <w:rFonts w:ascii="Book Antiqua" w:eastAsia="宋体" w:hAnsi="Book Antiqua"/>
                <w:b/>
                <w:bCs/>
                <w:color w:val="000000" w:themeColor="text1"/>
              </w:rPr>
            </w:pPr>
            <w:r w:rsidRPr="000B3360">
              <w:rPr>
                <w:rFonts w:ascii="Book Antiqua" w:eastAsia="宋体" w:hAnsi="Book Antiqua"/>
                <w:b/>
                <w:bCs/>
                <w:color w:val="000000" w:themeColor="text1"/>
              </w:rPr>
              <w:t>Characteristics</w:t>
            </w:r>
          </w:p>
        </w:tc>
        <w:tc>
          <w:tcPr>
            <w:tcW w:w="1418" w:type="dxa"/>
            <w:tcBorders>
              <w:top w:val="single" w:sz="4" w:space="0" w:color="auto"/>
              <w:bottom w:val="single" w:sz="4" w:space="0" w:color="auto"/>
            </w:tcBorders>
            <w:noWrap/>
            <w:hideMark/>
          </w:tcPr>
          <w:p w14:paraId="6D347E58" w14:textId="77777777" w:rsidR="005C3CE7" w:rsidRPr="000B3360" w:rsidRDefault="005C3CE7" w:rsidP="00CA6D9F">
            <w:pPr>
              <w:spacing w:line="360" w:lineRule="auto"/>
              <w:jc w:val="both"/>
              <w:rPr>
                <w:rFonts w:ascii="Book Antiqua" w:eastAsia="宋体" w:hAnsi="Book Antiqua"/>
                <w:b/>
                <w:bCs/>
                <w:color w:val="000000" w:themeColor="text1"/>
              </w:rPr>
            </w:pPr>
            <w:r w:rsidRPr="000B3360">
              <w:rPr>
                <w:rFonts w:ascii="Book Antiqua" w:eastAsia="宋体" w:hAnsi="Book Antiqua"/>
                <w:b/>
                <w:bCs/>
                <w:color w:val="000000" w:themeColor="text1"/>
              </w:rPr>
              <w:t>Detection value</w:t>
            </w:r>
          </w:p>
        </w:tc>
        <w:tc>
          <w:tcPr>
            <w:tcW w:w="850" w:type="dxa"/>
            <w:tcBorders>
              <w:top w:val="single" w:sz="4" w:space="0" w:color="auto"/>
              <w:bottom w:val="single" w:sz="4" w:space="0" w:color="auto"/>
            </w:tcBorders>
            <w:noWrap/>
            <w:hideMark/>
          </w:tcPr>
          <w:p w14:paraId="11DFDF19" w14:textId="77777777" w:rsidR="005C3CE7" w:rsidRPr="000B3360" w:rsidRDefault="005C3CE7" w:rsidP="00CA6D9F">
            <w:pPr>
              <w:spacing w:line="360" w:lineRule="auto"/>
              <w:jc w:val="both"/>
              <w:rPr>
                <w:rFonts w:ascii="Book Antiqua" w:eastAsia="宋体" w:hAnsi="Book Antiqua"/>
                <w:b/>
                <w:bCs/>
                <w:color w:val="000000" w:themeColor="text1"/>
              </w:rPr>
            </w:pPr>
            <w:r w:rsidRPr="000B3360">
              <w:rPr>
                <w:rFonts w:ascii="Book Antiqua" w:eastAsia="宋体" w:hAnsi="Book Antiqua"/>
                <w:b/>
                <w:bCs/>
                <w:color w:val="000000" w:themeColor="text1"/>
              </w:rPr>
              <w:t>Reference range</w:t>
            </w:r>
          </w:p>
        </w:tc>
      </w:tr>
      <w:tr w:rsidR="005C3CE7" w:rsidRPr="000B3360" w14:paraId="0830E94B" w14:textId="77777777" w:rsidTr="00F90E71">
        <w:trPr>
          <w:trHeight w:val="315"/>
          <w:jc w:val="center"/>
        </w:trPr>
        <w:tc>
          <w:tcPr>
            <w:tcW w:w="2050" w:type="dxa"/>
            <w:tcBorders>
              <w:top w:val="single" w:sz="4" w:space="0" w:color="auto"/>
            </w:tcBorders>
            <w:noWrap/>
            <w:hideMark/>
          </w:tcPr>
          <w:p w14:paraId="118ACAF8"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Age (yr)</w:t>
            </w:r>
          </w:p>
        </w:tc>
        <w:tc>
          <w:tcPr>
            <w:tcW w:w="1283" w:type="dxa"/>
            <w:tcBorders>
              <w:top w:val="single" w:sz="4" w:space="0" w:color="auto"/>
            </w:tcBorders>
            <w:noWrap/>
            <w:hideMark/>
          </w:tcPr>
          <w:p w14:paraId="149955E7"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29</w:t>
            </w:r>
          </w:p>
        </w:tc>
        <w:tc>
          <w:tcPr>
            <w:tcW w:w="1310" w:type="dxa"/>
            <w:tcBorders>
              <w:top w:val="single" w:sz="4" w:space="0" w:color="auto"/>
            </w:tcBorders>
            <w:noWrap/>
            <w:hideMark/>
          </w:tcPr>
          <w:p w14:paraId="59812F2C"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s="Tahoma"/>
                <w:color w:val="000000" w:themeColor="text1"/>
              </w:rPr>
              <w:t>-</w:t>
            </w:r>
          </w:p>
        </w:tc>
        <w:tc>
          <w:tcPr>
            <w:tcW w:w="2978" w:type="dxa"/>
            <w:tcBorders>
              <w:top w:val="single" w:sz="4" w:space="0" w:color="auto"/>
            </w:tcBorders>
            <w:noWrap/>
            <w:hideMark/>
          </w:tcPr>
          <w:p w14:paraId="4BFB83ED"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Hormones</w:t>
            </w:r>
          </w:p>
        </w:tc>
        <w:tc>
          <w:tcPr>
            <w:tcW w:w="1418" w:type="dxa"/>
            <w:tcBorders>
              <w:top w:val="single" w:sz="4" w:space="0" w:color="auto"/>
            </w:tcBorders>
            <w:noWrap/>
            <w:hideMark/>
          </w:tcPr>
          <w:p w14:paraId="0B00E5E1" w14:textId="77777777" w:rsidR="005C3CE7" w:rsidRPr="000B3360" w:rsidRDefault="005C3CE7" w:rsidP="00CA6D9F">
            <w:pPr>
              <w:spacing w:line="360" w:lineRule="auto"/>
              <w:jc w:val="both"/>
              <w:rPr>
                <w:rFonts w:ascii="Book Antiqua" w:eastAsia="宋体" w:hAnsi="Book Antiqua" w:cs="Tahoma"/>
                <w:color w:val="000000" w:themeColor="text1"/>
              </w:rPr>
            </w:pPr>
          </w:p>
        </w:tc>
        <w:tc>
          <w:tcPr>
            <w:tcW w:w="850" w:type="dxa"/>
            <w:tcBorders>
              <w:top w:val="single" w:sz="4" w:space="0" w:color="auto"/>
            </w:tcBorders>
            <w:noWrap/>
            <w:hideMark/>
          </w:tcPr>
          <w:p w14:paraId="3C7FA6DB" w14:textId="77777777" w:rsidR="005C3CE7" w:rsidRPr="000B3360" w:rsidRDefault="005C3CE7" w:rsidP="00CA6D9F">
            <w:pPr>
              <w:spacing w:line="360" w:lineRule="auto"/>
              <w:jc w:val="both"/>
              <w:rPr>
                <w:rFonts w:ascii="Book Antiqua" w:eastAsia="宋体" w:hAnsi="Book Antiqua" w:cs="Tahoma"/>
                <w:color w:val="000000" w:themeColor="text1"/>
              </w:rPr>
            </w:pPr>
          </w:p>
        </w:tc>
      </w:tr>
      <w:tr w:rsidR="005C3CE7" w:rsidRPr="000B3360" w14:paraId="21C0E24F" w14:textId="77777777" w:rsidTr="00F90E71">
        <w:trPr>
          <w:trHeight w:val="315"/>
          <w:jc w:val="center"/>
        </w:trPr>
        <w:tc>
          <w:tcPr>
            <w:tcW w:w="2050" w:type="dxa"/>
            <w:noWrap/>
            <w:hideMark/>
          </w:tcPr>
          <w:p w14:paraId="57728B88"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Height (cm)</w:t>
            </w:r>
          </w:p>
        </w:tc>
        <w:tc>
          <w:tcPr>
            <w:tcW w:w="1283" w:type="dxa"/>
            <w:noWrap/>
            <w:hideMark/>
          </w:tcPr>
          <w:p w14:paraId="605FBD77"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163.0</w:t>
            </w:r>
          </w:p>
        </w:tc>
        <w:tc>
          <w:tcPr>
            <w:tcW w:w="1310" w:type="dxa"/>
            <w:noWrap/>
            <w:hideMark/>
          </w:tcPr>
          <w:p w14:paraId="53F46EFF"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s="Tahoma"/>
                <w:color w:val="000000" w:themeColor="text1"/>
              </w:rPr>
              <w:t>-</w:t>
            </w:r>
          </w:p>
        </w:tc>
        <w:tc>
          <w:tcPr>
            <w:tcW w:w="2978" w:type="dxa"/>
            <w:noWrap/>
            <w:hideMark/>
          </w:tcPr>
          <w:p w14:paraId="635314A3" w14:textId="2D0CCB6D"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Thyroid stimulating hormone (μU/mL)</w:t>
            </w:r>
          </w:p>
        </w:tc>
        <w:tc>
          <w:tcPr>
            <w:tcW w:w="1418" w:type="dxa"/>
            <w:noWrap/>
            <w:hideMark/>
          </w:tcPr>
          <w:p w14:paraId="054B8F8E"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&lt; 0.005</w:t>
            </w:r>
          </w:p>
        </w:tc>
        <w:tc>
          <w:tcPr>
            <w:tcW w:w="850" w:type="dxa"/>
            <w:noWrap/>
            <w:hideMark/>
          </w:tcPr>
          <w:p w14:paraId="3ECEE200"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0.27-4.2</w:t>
            </w:r>
          </w:p>
        </w:tc>
      </w:tr>
      <w:tr w:rsidR="005C3CE7" w:rsidRPr="000B3360" w14:paraId="6ED04E67" w14:textId="77777777" w:rsidTr="00F90E71">
        <w:trPr>
          <w:trHeight w:val="315"/>
          <w:jc w:val="center"/>
        </w:trPr>
        <w:tc>
          <w:tcPr>
            <w:tcW w:w="2050" w:type="dxa"/>
            <w:noWrap/>
            <w:hideMark/>
          </w:tcPr>
          <w:p w14:paraId="7FB6AF09"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Weight (kg)</w:t>
            </w:r>
          </w:p>
        </w:tc>
        <w:tc>
          <w:tcPr>
            <w:tcW w:w="1283" w:type="dxa"/>
            <w:noWrap/>
            <w:hideMark/>
          </w:tcPr>
          <w:p w14:paraId="1E65F145"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49.0</w:t>
            </w:r>
          </w:p>
        </w:tc>
        <w:tc>
          <w:tcPr>
            <w:tcW w:w="1310" w:type="dxa"/>
            <w:noWrap/>
            <w:hideMark/>
          </w:tcPr>
          <w:p w14:paraId="47E5A76D"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s="Tahoma"/>
                <w:color w:val="000000" w:themeColor="text1"/>
              </w:rPr>
              <w:t>-</w:t>
            </w:r>
          </w:p>
        </w:tc>
        <w:tc>
          <w:tcPr>
            <w:tcW w:w="2978" w:type="dxa"/>
            <w:noWrap/>
            <w:hideMark/>
          </w:tcPr>
          <w:p w14:paraId="5054E5C0"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Free triiodothyronine (pmol/L)</w:t>
            </w:r>
          </w:p>
        </w:tc>
        <w:tc>
          <w:tcPr>
            <w:tcW w:w="1418" w:type="dxa"/>
            <w:noWrap/>
            <w:hideMark/>
          </w:tcPr>
          <w:p w14:paraId="63FED8D4"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13.46</w:t>
            </w:r>
          </w:p>
        </w:tc>
        <w:tc>
          <w:tcPr>
            <w:tcW w:w="850" w:type="dxa"/>
            <w:noWrap/>
            <w:hideMark/>
          </w:tcPr>
          <w:p w14:paraId="42D1344D"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3.1-6.8</w:t>
            </w:r>
          </w:p>
        </w:tc>
      </w:tr>
      <w:tr w:rsidR="005C3CE7" w:rsidRPr="000B3360" w14:paraId="4D5F3897" w14:textId="77777777" w:rsidTr="00F90E71">
        <w:trPr>
          <w:trHeight w:val="375"/>
          <w:jc w:val="center"/>
        </w:trPr>
        <w:tc>
          <w:tcPr>
            <w:tcW w:w="2050" w:type="dxa"/>
            <w:noWrap/>
            <w:hideMark/>
          </w:tcPr>
          <w:p w14:paraId="485CBCDA"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Body mass index (kg/m</w:t>
            </w:r>
            <w:r w:rsidRPr="000B3360">
              <w:rPr>
                <w:rFonts w:ascii="Book Antiqua" w:eastAsia="宋体" w:hAnsi="Book Antiqua"/>
                <w:color w:val="000000" w:themeColor="text1"/>
                <w:vertAlign w:val="superscript"/>
              </w:rPr>
              <w:t>2</w:t>
            </w:r>
            <w:r w:rsidRPr="000B3360">
              <w:rPr>
                <w:rFonts w:ascii="Book Antiqua" w:eastAsia="宋体" w:hAnsi="Book Antiqua"/>
                <w:color w:val="000000" w:themeColor="text1"/>
              </w:rPr>
              <w:t>)</w:t>
            </w:r>
          </w:p>
        </w:tc>
        <w:tc>
          <w:tcPr>
            <w:tcW w:w="1283" w:type="dxa"/>
            <w:noWrap/>
            <w:hideMark/>
          </w:tcPr>
          <w:p w14:paraId="28C5E5B7"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18.4</w:t>
            </w:r>
          </w:p>
        </w:tc>
        <w:tc>
          <w:tcPr>
            <w:tcW w:w="1310" w:type="dxa"/>
            <w:noWrap/>
            <w:hideMark/>
          </w:tcPr>
          <w:p w14:paraId="4B0A743F"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s="Tahoma"/>
                <w:color w:val="000000" w:themeColor="text1"/>
              </w:rPr>
              <w:t>-</w:t>
            </w:r>
          </w:p>
        </w:tc>
        <w:tc>
          <w:tcPr>
            <w:tcW w:w="2978" w:type="dxa"/>
            <w:noWrap/>
            <w:hideMark/>
          </w:tcPr>
          <w:p w14:paraId="6B1A7BC3"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Free tetraiodothyronine (pmol/L)</w:t>
            </w:r>
          </w:p>
        </w:tc>
        <w:tc>
          <w:tcPr>
            <w:tcW w:w="1418" w:type="dxa"/>
            <w:noWrap/>
            <w:hideMark/>
          </w:tcPr>
          <w:p w14:paraId="720AD0BD"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37.15</w:t>
            </w:r>
          </w:p>
        </w:tc>
        <w:tc>
          <w:tcPr>
            <w:tcW w:w="850" w:type="dxa"/>
            <w:noWrap/>
            <w:hideMark/>
          </w:tcPr>
          <w:p w14:paraId="23F6C7E4"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12-22</w:t>
            </w:r>
          </w:p>
        </w:tc>
      </w:tr>
      <w:tr w:rsidR="005C3CE7" w:rsidRPr="000B3360" w14:paraId="06012EF0" w14:textId="77777777" w:rsidTr="00F90E71">
        <w:trPr>
          <w:trHeight w:val="315"/>
          <w:jc w:val="center"/>
        </w:trPr>
        <w:tc>
          <w:tcPr>
            <w:tcW w:w="2050" w:type="dxa"/>
            <w:noWrap/>
            <w:hideMark/>
          </w:tcPr>
          <w:p w14:paraId="590ACCA0"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Blood pressure (mmHg)</w:t>
            </w:r>
          </w:p>
        </w:tc>
        <w:tc>
          <w:tcPr>
            <w:tcW w:w="1283" w:type="dxa"/>
            <w:noWrap/>
            <w:hideMark/>
          </w:tcPr>
          <w:p w14:paraId="0E58F2D1"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112/78</w:t>
            </w:r>
          </w:p>
        </w:tc>
        <w:tc>
          <w:tcPr>
            <w:tcW w:w="1310" w:type="dxa"/>
            <w:noWrap/>
            <w:hideMark/>
          </w:tcPr>
          <w:p w14:paraId="0567E37E"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s="Tahoma"/>
                <w:color w:val="000000" w:themeColor="text1"/>
              </w:rPr>
              <w:t>-</w:t>
            </w:r>
          </w:p>
        </w:tc>
        <w:tc>
          <w:tcPr>
            <w:tcW w:w="2978" w:type="dxa"/>
            <w:noWrap/>
            <w:hideMark/>
          </w:tcPr>
          <w:p w14:paraId="7D8F08A6"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Anti-thyroid peroxidase antibody (U/mL)</w:t>
            </w:r>
          </w:p>
        </w:tc>
        <w:tc>
          <w:tcPr>
            <w:tcW w:w="1418" w:type="dxa"/>
            <w:noWrap/>
            <w:hideMark/>
          </w:tcPr>
          <w:p w14:paraId="734BCB20"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18.2</w:t>
            </w:r>
          </w:p>
        </w:tc>
        <w:tc>
          <w:tcPr>
            <w:tcW w:w="850" w:type="dxa"/>
            <w:noWrap/>
            <w:hideMark/>
          </w:tcPr>
          <w:p w14:paraId="3DBC9086"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&lt; 34</w:t>
            </w:r>
          </w:p>
        </w:tc>
      </w:tr>
      <w:tr w:rsidR="005C3CE7" w:rsidRPr="000B3360" w14:paraId="572C28FA" w14:textId="77777777" w:rsidTr="00F90E71">
        <w:trPr>
          <w:trHeight w:val="315"/>
          <w:jc w:val="center"/>
        </w:trPr>
        <w:tc>
          <w:tcPr>
            <w:tcW w:w="2050" w:type="dxa"/>
            <w:noWrap/>
            <w:hideMark/>
          </w:tcPr>
          <w:p w14:paraId="767260E3"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Biochemistry</w:t>
            </w:r>
          </w:p>
        </w:tc>
        <w:tc>
          <w:tcPr>
            <w:tcW w:w="1283" w:type="dxa"/>
            <w:noWrap/>
            <w:hideMark/>
          </w:tcPr>
          <w:p w14:paraId="1CFBCB0B" w14:textId="77777777" w:rsidR="005C3CE7" w:rsidRPr="000B3360" w:rsidRDefault="005C3CE7" w:rsidP="00CA6D9F">
            <w:pPr>
              <w:spacing w:line="360" w:lineRule="auto"/>
              <w:jc w:val="both"/>
              <w:rPr>
                <w:rFonts w:ascii="Book Antiqua" w:eastAsia="宋体" w:hAnsi="Book Antiqua"/>
                <w:color w:val="000000" w:themeColor="text1"/>
              </w:rPr>
            </w:pPr>
          </w:p>
        </w:tc>
        <w:tc>
          <w:tcPr>
            <w:tcW w:w="1310" w:type="dxa"/>
            <w:noWrap/>
            <w:hideMark/>
          </w:tcPr>
          <w:p w14:paraId="02A9321A" w14:textId="77777777" w:rsidR="005C3CE7" w:rsidRPr="000B3360" w:rsidRDefault="005C3CE7" w:rsidP="00CA6D9F">
            <w:pPr>
              <w:spacing w:line="360" w:lineRule="auto"/>
              <w:jc w:val="both"/>
              <w:rPr>
                <w:rFonts w:ascii="Book Antiqua" w:eastAsia="宋体" w:hAnsi="Book Antiqua" w:cs="Tahoma"/>
                <w:color w:val="000000" w:themeColor="text1"/>
              </w:rPr>
            </w:pPr>
          </w:p>
        </w:tc>
        <w:tc>
          <w:tcPr>
            <w:tcW w:w="2978" w:type="dxa"/>
            <w:noWrap/>
            <w:hideMark/>
          </w:tcPr>
          <w:p w14:paraId="2FF3BF67"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Antithyroglobulin antibody (U/mL)</w:t>
            </w:r>
          </w:p>
        </w:tc>
        <w:tc>
          <w:tcPr>
            <w:tcW w:w="1418" w:type="dxa"/>
            <w:noWrap/>
            <w:hideMark/>
          </w:tcPr>
          <w:p w14:paraId="35028F7D"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179.6</w:t>
            </w:r>
          </w:p>
        </w:tc>
        <w:tc>
          <w:tcPr>
            <w:tcW w:w="850" w:type="dxa"/>
            <w:noWrap/>
            <w:hideMark/>
          </w:tcPr>
          <w:p w14:paraId="3E477A50"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&lt; 115</w:t>
            </w:r>
          </w:p>
        </w:tc>
      </w:tr>
      <w:tr w:rsidR="005C3CE7" w:rsidRPr="000B3360" w14:paraId="5EBE7E47" w14:textId="77777777" w:rsidTr="00F90E71">
        <w:trPr>
          <w:trHeight w:val="315"/>
          <w:jc w:val="center"/>
        </w:trPr>
        <w:tc>
          <w:tcPr>
            <w:tcW w:w="2050" w:type="dxa"/>
            <w:noWrap/>
            <w:hideMark/>
          </w:tcPr>
          <w:p w14:paraId="542CD776"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Total cholesterol (mmol/L)</w:t>
            </w:r>
          </w:p>
        </w:tc>
        <w:tc>
          <w:tcPr>
            <w:tcW w:w="1283" w:type="dxa"/>
            <w:noWrap/>
            <w:hideMark/>
          </w:tcPr>
          <w:p w14:paraId="57529F22"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4.23</w:t>
            </w:r>
          </w:p>
        </w:tc>
        <w:tc>
          <w:tcPr>
            <w:tcW w:w="1310" w:type="dxa"/>
            <w:noWrap/>
            <w:hideMark/>
          </w:tcPr>
          <w:p w14:paraId="17AFD051"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olor w:val="000000" w:themeColor="text1"/>
              </w:rPr>
              <w:t>&lt; 5.20</w:t>
            </w:r>
          </w:p>
        </w:tc>
        <w:tc>
          <w:tcPr>
            <w:tcW w:w="2978" w:type="dxa"/>
            <w:noWrap/>
            <w:hideMark/>
          </w:tcPr>
          <w:p w14:paraId="4ED77BA8"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Thyrotrophin receptor antibody (U/L)</w:t>
            </w:r>
          </w:p>
        </w:tc>
        <w:tc>
          <w:tcPr>
            <w:tcW w:w="1418" w:type="dxa"/>
            <w:noWrap/>
            <w:hideMark/>
          </w:tcPr>
          <w:p w14:paraId="3BAFB9C4"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2.8</w:t>
            </w:r>
          </w:p>
        </w:tc>
        <w:tc>
          <w:tcPr>
            <w:tcW w:w="850" w:type="dxa"/>
            <w:noWrap/>
            <w:hideMark/>
          </w:tcPr>
          <w:p w14:paraId="5F7676F5"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0-1.75</w:t>
            </w:r>
          </w:p>
        </w:tc>
      </w:tr>
      <w:tr w:rsidR="005C3CE7" w:rsidRPr="000B3360" w14:paraId="54FF736E" w14:textId="77777777" w:rsidTr="00F90E71">
        <w:trPr>
          <w:trHeight w:val="315"/>
          <w:jc w:val="center"/>
        </w:trPr>
        <w:tc>
          <w:tcPr>
            <w:tcW w:w="2050" w:type="dxa"/>
            <w:noWrap/>
            <w:hideMark/>
          </w:tcPr>
          <w:p w14:paraId="4CFF4B80"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Triglyceride (mmol/L)</w:t>
            </w:r>
          </w:p>
        </w:tc>
        <w:tc>
          <w:tcPr>
            <w:tcW w:w="1283" w:type="dxa"/>
            <w:noWrap/>
            <w:hideMark/>
          </w:tcPr>
          <w:p w14:paraId="790041F1"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1.32</w:t>
            </w:r>
          </w:p>
        </w:tc>
        <w:tc>
          <w:tcPr>
            <w:tcW w:w="1310" w:type="dxa"/>
            <w:noWrap/>
            <w:hideMark/>
          </w:tcPr>
          <w:p w14:paraId="19EEAF97"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olor w:val="000000" w:themeColor="text1"/>
              </w:rPr>
              <w:t>&lt; 1.70</w:t>
            </w:r>
          </w:p>
        </w:tc>
        <w:tc>
          <w:tcPr>
            <w:tcW w:w="2978" w:type="dxa"/>
            <w:noWrap/>
            <w:hideMark/>
          </w:tcPr>
          <w:p w14:paraId="74D30334"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 xml:space="preserve">Aldosterone (pg/mL), </w:t>
            </w:r>
            <w:r w:rsidRPr="000B3360">
              <w:rPr>
                <w:rFonts w:ascii="Book Antiqua" w:eastAsia="宋体" w:hAnsi="Book Antiqua"/>
                <w:iCs/>
                <w:color w:val="000000" w:themeColor="text1"/>
              </w:rPr>
              <w:t>upright position</w:t>
            </w:r>
          </w:p>
        </w:tc>
        <w:tc>
          <w:tcPr>
            <w:tcW w:w="1418" w:type="dxa"/>
            <w:noWrap/>
            <w:hideMark/>
          </w:tcPr>
          <w:p w14:paraId="5E2EC971"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451.0</w:t>
            </w:r>
          </w:p>
        </w:tc>
        <w:tc>
          <w:tcPr>
            <w:tcW w:w="850" w:type="dxa"/>
            <w:noWrap/>
            <w:hideMark/>
          </w:tcPr>
          <w:p w14:paraId="43F2CF17"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40-310</w:t>
            </w:r>
          </w:p>
        </w:tc>
      </w:tr>
      <w:tr w:rsidR="005C3CE7" w:rsidRPr="000B3360" w14:paraId="40DB0D99" w14:textId="77777777" w:rsidTr="00F90E71">
        <w:trPr>
          <w:trHeight w:val="315"/>
          <w:jc w:val="center"/>
        </w:trPr>
        <w:tc>
          <w:tcPr>
            <w:tcW w:w="2050" w:type="dxa"/>
            <w:noWrap/>
            <w:hideMark/>
          </w:tcPr>
          <w:p w14:paraId="66FC2723"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High-density lipoprotein (mmol/L)</w:t>
            </w:r>
          </w:p>
        </w:tc>
        <w:tc>
          <w:tcPr>
            <w:tcW w:w="1283" w:type="dxa"/>
            <w:noWrap/>
            <w:hideMark/>
          </w:tcPr>
          <w:p w14:paraId="7276644B"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0.89</w:t>
            </w:r>
          </w:p>
        </w:tc>
        <w:tc>
          <w:tcPr>
            <w:tcW w:w="1310" w:type="dxa"/>
            <w:noWrap/>
            <w:hideMark/>
          </w:tcPr>
          <w:p w14:paraId="42F297BE"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olor w:val="000000" w:themeColor="text1"/>
              </w:rPr>
              <w:t>1.04-1.55</w:t>
            </w:r>
          </w:p>
        </w:tc>
        <w:tc>
          <w:tcPr>
            <w:tcW w:w="2978" w:type="dxa"/>
            <w:noWrap/>
            <w:hideMark/>
          </w:tcPr>
          <w:p w14:paraId="6FB42FA8"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 xml:space="preserve">Renin (pg/mL), </w:t>
            </w:r>
            <w:r w:rsidRPr="000B3360">
              <w:rPr>
                <w:rFonts w:ascii="Book Antiqua" w:eastAsia="宋体" w:hAnsi="Book Antiqua"/>
                <w:iCs/>
                <w:color w:val="000000" w:themeColor="text1"/>
              </w:rPr>
              <w:t>upright position</w:t>
            </w:r>
          </w:p>
        </w:tc>
        <w:tc>
          <w:tcPr>
            <w:tcW w:w="1418" w:type="dxa"/>
            <w:noWrap/>
            <w:hideMark/>
          </w:tcPr>
          <w:p w14:paraId="6E9545DA"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454.0</w:t>
            </w:r>
          </w:p>
        </w:tc>
        <w:tc>
          <w:tcPr>
            <w:tcW w:w="850" w:type="dxa"/>
            <w:noWrap/>
            <w:hideMark/>
          </w:tcPr>
          <w:p w14:paraId="6FA5A5EB"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4-38</w:t>
            </w:r>
          </w:p>
        </w:tc>
      </w:tr>
      <w:tr w:rsidR="005C3CE7" w:rsidRPr="000B3360" w14:paraId="0EF97274" w14:textId="77777777" w:rsidTr="00F90E71">
        <w:trPr>
          <w:trHeight w:val="315"/>
          <w:jc w:val="center"/>
        </w:trPr>
        <w:tc>
          <w:tcPr>
            <w:tcW w:w="2050" w:type="dxa"/>
            <w:noWrap/>
            <w:hideMark/>
          </w:tcPr>
          <w:p w14:paraId="2EA58FB5"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Low-density lipoprotein (mmol/L)</w:t>
            </w:r>
          </w:p>
        </w:tc>
        <w:tc>
          <w:tcPr>
            <w:tcW w:w="1283" w:type="dxa"/>
            <w:noWrap/>
            <w:hideMark/>
          </w:tcPr>
          <w:p w14:paraId="2086E687"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2.12</w:t>
            </w:r>
          </w:p>
        </w:tc>
        <w:tc>
          <w:tcPr>
            <w:tcW w:w="1310" w:type="dxa"/>
            <w:noWrap/>
            <w:hideMark/>
          </w:tcPr>
          <w:p w14:paraId="72467F5D"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olor w:val="000000" w:themeColor="text1"/>
              </w:rPr>
              <w:t>&lt; 3.40</w:t>
            </w:r>
          </w:p>
        </w:tc>
        <w:tc>
          <w:tcPr>
            <w:tcW w:w="2978" w:type="dxa"/>
            <w:noWrap/>
            <w:hideMark/>
          </w:tcPr>
          <w:p w14:paraId="15910714"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 xml:space="preserve">Aldosterone (pg/mL), </w:t>
            </w:r>
            <w:r w:rsidRPr="000B3360">
              <w:rPr>
                <w:rFonts w:ascii="Book Antiqua" w:eastAsia="宋体" w:hAnsi="Book Antiqua"/>
                <w:iCs/>
                <w:color w:val="000000" w:themeColor="text1"/>
              </w:rPr>
              <w:t>supine position</w:t>
            </w:r>
          </w:p>
        </w:tc>
        <w:tc>
          <w:tcPr>
            <w:tcW w:w="1418" w:type="dxa"/>
            <w:noWrap/>
            <w:hideMark/>
          </w:tcPr>
          <w:p w14:paraId="77C93A24"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287</w:t>
            </w:r>
          </w:p>
        </w:tc>
        <w:tc>
          <w:tcPr>
            <w:tcW w:w="850" w:type="dxa"/>
            <w:noWrap/>
            <w:hideMark/>
          </w:tcPr>
          <w:p w14:paraId="7DC879E6"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10-160</w:t>
            </w:r>
          </w:p>
        </w:tc>
      </w:tr>
      <w:tr w:rsidR="005C3CE7" w:rsidRPr="000B3360" w14:paraId="43B20DA1" w14:textId="77777777" w:rsidTr="00F90E71">
        <w:trPr>
          <w:trHeight w:val="375"/>
          <w:jc w:val="center"/>
        </w:trPr>
        <w:tc>
          <w:tcPr>
            <w:tcW w:w="2050" w:type="dxa"/>
            <w:noWrap/>
            <w:hideMark/>
          </w:tcPr>
          <w:p w14:paraId="12A89666"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eGFR (mL/min/1.73 m</w:t>
            </w:r>
            <w:r w:rsidRPr="000B3360">
              <w:rPr>
                <w:rFonts w:ascii="Book Antiqua" w:eastAsia="宋体" w:hAnsi="Book Antiqua"/>
                <w:color w:val="000000" w:themeColor="text1"/>
                <w:vertAlign w:val="superscript"/>
              </w:rPr>
              <w:t>2</w:t>
            </w:r>
            <w:r w:rsidRPr="000B3360">
              <w:rPr>
                <w:rFonts w:ascii="Book Antiqua" w:eastAsia="宋体" w:hAnsi="Book Antiqua"/>
                <w:color w:val="000000" w:themeColor="text1"/>
              </w:rPr>
              <w:t>)</w:t>
            </w:r>
          </w:p>
        </w:tc>
        <w:tc>
          <w:tcPr>
            <w:tcW w:w="1283" w:type="dxa"/>
            <w:noWrap/>
            <w:hideMark/>
          </w:tcPr>
          <w:p w14:paraId="689E7AC1"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120.3</w:t>
            </w:r>
          </w:p>
        </w:tc>
        <w:tc>
          <w:tcPr>
            <w:tcW w:w="1310" w:type="dxa"/>
            <w:noWrap/>
            <w:hideMark/>
          </w:tcPr>
          <w:p w14:paraId="22D824B1"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s="Tahoma"/>
                <w:color w:val="000000" w:themeColor="text1"/>
              </w:rPr>
              <w:t>-</w:t>
            </w:r>
          </w:p>
        </w:tc>
        <w:tc>
          <w:tcPr>
            <w:tcW w:w="2978" w:type="dxa"/>
            <w:noWrap/>
            <w:hideMark/>
          </w:tcPr>
          <w:p w14:paraId="59046753"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 xml:space="preserve">Renin (pg/mL), </w:t>
            </w:r>
            <w:r w:rsidRPr="000B3360">
              <w:rPr>
                <w:rFonts w:ascii="Book Antiqua" w:eastAsia="宋体" w:hAnsi="Book Antiqua"/>
                <w:iCs/>
                <w:color w:val="000000" w:themeColor="text1"/>
              </w:rPr>
              <w:t>supine position</w:t>
            </w:r>
          </w:p>
        </w:tc>
        <w:tc>
          <w:tcPr>
            <w:tcW w:w="1418" w:type="dxa"/>
            <w:noWrap/>
            <w:hideMark/>
          </w:tcPr>
          <w:p w14:paraId="18FCD0DE"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206</w:t>
            </w:r>
          </w:p>
        </w:tc>
        <w:tc>
          <w:tcPr>
            <w:tcW w:w="850" w:type="dxa"/>
            <w:noWrap/>
            <w:hideMark/>
          </w:tcPr>
          <w:p w14:paraId="35E595D6"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4-24</w:t>
            </w:r>
          </w:p>
        </w:tc>
      </w:tr>
      <w:tr w:rsidR="005C3CE7" w:rsidRPr="000B3360" w14:paraId="1BC8A58E" w14:textId="77777777" w:rsidTr="00F90E71">
        <w:trPr>
          <w:trHeight w:val="315"/>
          <w:jc w:val="center"/>
        </w:trPr>
        <w:tc>
          <w:tcPr>
            <w:tcW w:w="2050" w:type="dxa"/>
            <w:noWrap/>
            <w:hideMark/>
          </w:tcPr>
          <w:p w14:paraId="20C1BFFE" w14:textId="3464203B"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Serum uric a</w:t>
            </w:r>
            <w:r w:rsidRPr="000B3360">
              <w:rPr>
                <w:rFonts w:ascii="Book Antiqua" w:hAnsi="Book Antiqua"/>
                <w:color w:val="000000" w:themeColor="text1"/>
              </w:rPr>
              <w:t>ci</w:t>
            </w:r>
            <w:r w:rsidRPr="000B3360">
              <w:rPr>
                <w:rFonts w:ascii="Book Antiqua" w:eastAsia="宋体" w:hAnsi="Book Antiqua"/>
                <w:color w:val="000000" w:themeColor="text1"/>
              </w:rPr>
              <w:t>d (μmol/L)</w:t>
            </w:r>
          </w:p>
        </w:tc>
        <w:tc>
          <w:tcPr>
            <w:tcW w:w="1283" w:type="dxa"/>
            <w:noWrap/>
            <w:hideMark/>
          </w:tcPr>
          <w:p w14:paraId="43EF3955"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391.0</w:t>
            </w:r>
          </w:p>
        </w:tc>
        <w:tc>
          <w:tcPr>
            <w:tcW w:w="1310" w:type="dxa"/>
            <w:noWrap/>
            <w:hideMark/>
          </w:tcPr>
          <w:p w14:paraId="4B774559"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olor w:val="000000" w:themeColor="text1"/>
              </w:rPr>
              <w:t>155-357</w:t>
            </w:r>
          </w:p>
        </w:tc>
        <w:tc>
          <w:tcPr>
            <w:tcW w:w="2978" w:type="dxa"/>
            <w:noWrap/>
            <w:hideMark/>
          </w:tcPr>
          <w:p w14:paraId="39AC4E82"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Parathyroid hormone (pg/mL)</w:t>
            </w:r>
          </w:p>
        </w:tc>
        <w:tc>
          <w:tcPr>
            <w:tcW w:w="1418" w:type="dxa"/>
            <w:noWrap/>
            <w:hideMark/>
          </w:tcPr>
          <w:p w14:paraId="224CAFA3"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34.1</w:t>
            </w:r>
          </w:p>
        </w:tc>
        <w:tc>
          <w:tcPr>
            <w:tcW w:w="850" w:type="dxa"/>
            <w:noWrap/>
            <w:hideMark/>
          </w:tcPr>
          <w:p w14:paraId="72FAD4F5"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15-65</w:t>
            </w:r>
          </w:p>
        </w:tc>
      </w:tr>
      <w:tr w:rsidR="005C3CE7" w:rsidRPr="000B3360" w14:paraId="7165DC05" w14:textId="77777777" w:rsidTr="00F90E71">
        <w:trPr>
          <w:trHeight w:val="315"/>
          <w:jc w:val="center"/>
        </w:trPr>
        <w:tc>
          <w:tcPr>
            <w:tcW w:w="2050" w:type="dxa"/>
            <w:noWrap/>
            <w:hideMark/>
          </w:tcPr>
          <w:p w14:paraId="7B83F773" w14:textId="0E06C299"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Alanine transaminase (U/L)</w:t>
            </w:r>
          </w:p>
        </w:tc>
        <w:tc>
          <w:tcPr>
            <w:tcW w:w="1283" w:type="dxa"/>
            <w:noWrap/>
            <w:hideMark/>
          </w:tcPr>
          <w:p w14:paraId="10B8DFD4"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13</w:t>
            </w:r>
          </w:p>
        </w:tc>
        <w:tc>
          <w:tcPr>
            <w:tcW w:w="1310" w:type="dxa"/>
            <w:noWrap/>
            <w:hideMark/>
          </w:tcPr>
          <w:p w14:paraId="1F6F94F8"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olor w:val="000000" w:themeColor="text1"/>
              </w:rPr>
              <w:t>7-40</w:t>
            </w:r>
          </w:p>
        </w:tc>
        <w:tc>
          <w:tcPr>
            <w:tcW w:w="2978" w:type="dxa"/>
            <w:noWrap/>
            <w:hideMark/>
          </w:tcPr>
          <w:p w14:paraId="16B2B67A"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Adrenocorticotrophic hormone (pg/mL)</w:t>
            </w:r>
          </w:p>
        </w:tc>
        <w:tc>
          <w:tcPr>
            <w:tcW w:w="1418" w:type="dxa"/>
            <w:noWrap/>
            <w:hideMark/>
          </w:tcPr>
          <w:p w14:paraId="610F2BA1" w14:textId="77777777" w:rsidR="005C3CE7" w:rsidRPr="000B3360" w:rsidRDefault="005C3CE7" w:rsidP="00CA6D9F">
            <w:pPr>
              <w:spacing w:line="360" w:lineRule="auto"/>
              <w:jc w:val="both"/>
              <w:rPr>
                <w:rFonts w:ascii="Book Antiqua" w:eastAsia="宋体" w:hAnsi="Book Antiqua"/>
                <w:color w:val="000000" w:themeColor="text1"/>
              </w:rPr>
            </w:pPr>
          </w:p>
        </w:tc>
        <w:tc>
          <w:tcPr>
            <w:tcW w:w="850" w:type="dxa"/>
            <w:noWrap/>
            <w:hideMark/>
          </w:tcPr>
          <w:p w14:paraId="1E099A01" w14:textId="77777777" w:rsidR="005C3CE7" w:rsidRPr="000B3360" w:rsidRDefault="005C3CE7" w:rsidP="00CA6D9F">
            <w:pPr>
              <w:spacing w:line="360" w:lineRule="auto"/>
              <w:jc w:val="both"/>
              <w:rPr>
                <w:rFonts w:ascii="Book Antiqua" w:eastAsia="宋体" w:hAnsi="Book Antiqua"/>
                <w:color w:val="000000" w:themeColor="text1"/>
              </w:rPr>
            </w:pPr>
          </w:p>
        </w:tc>
      </w:tr>
      <w:tr w:rsidR="005C3CE7" w:rsidRPr="000B3360" w14:paraId="34E55766" w14:textId="77777777" w:rsidTr="00F90E71">
        <w:trPr>
          <w:trHeight w:val="315"/>
          <w:jc w:val="center"/>
        </w:trPr>
        <w:tc>
          <w:tcPr>
            <w:tcW w:w="2050" w:type="dxa"/>
            <w:noWrap/>
            <w:hideMark/>
          </w:tcPr>
          <w:p w14:paraId="6BB6ACD7" w14:textId="5EE4E3DF"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Aspartate aminotransferase (U/L)</w:t>
            </w:r>
          </w:p>
        </w:tc>
        <w:tc>
          <w:tcPr>
            <w:tcW w:w="1283" w:type="dxa"/>
            <w:noWrap/>
            <w:hideMark/>
          </w:tcPr>
          <w:p w14:paraId="5A11AC37"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17</w:t>
            </w:r>
          </w:p>
        </w:tc>
        <w:tc>
          <w:tcPr>
            <w:tcW w:w="1310" w:type="dxa"/>
            <w:noWrap/>
            <w:hideMark/>
          </w:tcPr>
          <w:p w14:paraId="73089A69"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olor w:val="000000" w:themeColor="text1"/>
              </w:rPr>
              <w:t>13-35</w:t>
            </w:r>
          </w:p>
        </w:tc>
        <w:tc>
          <w:tcPr>
            <w:tcW w:w="2978" w:type="dxa"/>
            <w:noWrap/>
            <w:hideMark/>
          </w:tcPr>
          <w:p w14:paraId="2C18A595"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8 am</w:t>
            </w:r>
          </w:p>
        </w:tc>
        <w:tc>
          <w:tcPr>
            <w:tcW w:w="1418" w:type="dxa"/>
            <w:noWrap/>
            <w:hideMark/>
          </w:tcPr>
          <w:p w14:paraId="48950D49"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15.76</w:t>
            </w:r>
          </w:p>
        </w:tc>
        <w:tc>
          <w:tcPr>
            <w:tcW w:w="850" w:type="dxa"/>
            <w:noWrap/>
            <w:hideMark/>
          </w:tcPr>
          <w:p w14:paraId="192B804A"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1.6-13.9</w:t>
            </w:r>
          </w:p>
        </w:tc>
      </w:tr>
      <w:tr w:rsidR="005C3CE7" w:rsidRPr="000B3360" w14:paraId="61593392" w14:textId="77777777" w:rsidTr="00F90E71">
        <w:trPr>
          <w:trHeight w:val="315"/>
          <w:jc w:val="center"/>
        </w:trPr>
        <w:tc>
          <w:tcPr>
            <w:tcW w:w="2050" w:type="dxa"/>
            <w:noWrap/>
            <w:hideMark/>
          </w:tcPr>
          <w:p w14:paraId="5D56A697"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Total bilirubin (μmol/L)</w:t>
            </w:r>
          </w:p>
        </w:tc>
        <w:tc>
          <w:tcPr>
            <w:tcW w:w="1283" w:type="dxa"/>
            <w:noWrap/>
            <w:hideMark/>
          </w:tcPr>
          <w:p w14:paraId="6041D415"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28.4</w:t>
            </w:r>
          </w:p>
        </w:tc>
        <w:tc>
          <w:tcPr>
            <w:tcW w:w="1310" w:type="dxa"/>
            <w:noWrap/>
            <w:hideMark/>
          </w:tcPr>
          <w:p w14:paraId="587212AD"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olor w:val="000000" w:themeColor="text1"/>
              </w:rPr>
              <w:t>&lt; 21.0</w:t>
            </w:r>
          </w:p>
        </w:tc>
        <w:tc>
          <w:tcPr>
            <w:tcW w:w="2978" w:type="dxa"/>
            <w:noWrap/>
            <w:hideMark/>
          </w:tcPr>
          <w:p w14:paraId="2B436A04"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4 pm</w:t>
            </w:r>
          </w:p>
        </w:tc>
        <w:tc>
          <w:tcPr>
            <w:tcW w:w="1418" w:type="dxa"/>
            <w:noWrap/>
            <w:hideMark/>
          </w:tcPr>
          <w:p w14:paraId="5446D5E5"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12.35</w:t>
            </w:r>
          </w:p>
        </w:tc>
        <w:tc>
          <w:tcPr>
            <w:tcW w:w="850" w:type="dxa"/>
            <w:noWrap/>
            <w:hideMark/>
          </w:tcPr>
          <w:p w14:paraId="3C88A61B"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w:t>
            </w:r>
          </w:p>
        </w:tc>
      </w:tr>
      <w:tr w:rsidR="005C3CE7" w:rsidRPr="000B3360" w14:paraId="7E6E4760" w14:textId="77777777" w:rsidTr="00F90E71">
        <w:trPr>
          <w:trHeight w:val="315"/>
          <w:jc w:val="center"/>
        </w:trPr>
        <w:tc>
          <w:tcPr>
            <w:tcW w:w="2050" w:type="dxa"/>
            <w:noWrap/>
            <w:hideMark/>
          </w:tcPr>
          <w:p w14:paraId="361C591B"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lastRenderedPageBreak/>
              <w:t>Direct bilirubin (μmol/L)</w:t>
            </w:r>
          </w:p>
        </w:tc>
        <w:tc>
          <w:tcPr>
            <w:tcW w:w="1283" w:type="dxa"/>
            <w:noWrap/>
            <w:hideMark/>
          </w:tcPr>
          <w:p w14:paraId="78933E51"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8.6</w:t>
            </w:r>
          </w:p>
        </w:tc>
        <w:tc>
          <w:tcPr>
            <w:tcW w:w="1310" w:type="dxa"/>
            <w:noWrap/>
            <w:hideMark/>
          </w:tcPr>
          <w:p w14:paraId="43CA9DA4"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olor w:val="000000" w:themeColor="text1"/>
              </w:rPr>
              <w:t>&lt; 8.0</w:t>
            </w:r>
          </w:p>
        </w:tc>
        <w:tc>
          <w:tcPr>
            <w:tcW w:w="2978" w:type="dxa"/>
            <w:noWrap/>
            <w:hideMark/>
          </w:tcPr>
          <w:p w14:paraId="4F0E6BED"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0 am</w:t>
            </w:r>
          </w:p>
        </w:tc>
        <w:tc>
          <w:tcPr>
            <w:tcW w:w="1418" w:type="dxa"/>
            <w:noWrap/>
            <w:hideMark/>
          </w:tcPr>
          <w:p w14:paraId="774F4AA5"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5.02</w:t>
            </w:r>
          </w:p>
        </w:tc>
        <w:tc>
          <w:tcPr>
            <w:tcW w:w="850" w:type="dxa"/>
            <w:noWrap/>
            <w:hideMark/>
          </w:tcPr>
          <w:p w14:paraId="37EF9D32"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w:t>
            </w:r>
          </w:p>
        </w:tc>
      </w:tr>
      <w:tr w:rsidR="005C3CE7" w:rsidRPr="000B3360" w14:paraId="2B7C6DDD" w14:textId="77777777" w:rsidTr="00F90E71">
        <w:trPr>
          <w:trHeight w:val="315"/>
          <w:jc w:val="center"/>
        </w:trPr>
        <w:tc>
          <w:tcPr>
            <w:tcW w:w="2050" w:type="dxa"/>
            <w:noWrap/>
            <w:hideMark/>
          </w:tcPr>
          <w:p w14:paraId="67B52143"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Sodium (mmol/L)</w:t>
            </w:r>
          </w:p>
        </w:tc>
        <w:tc>
          <w:tcPr>
            <w:tcW w:w="1283" w:type="dxa"/>
            <w:noWrap/>
            <w:hideMark/>
          </w:tcPr>
          <w:p w14:paraId="2AC9FD0E"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137.0</w:t>
            </w:r>
          </w:p>
        </w:tc>
        <w:tc>
          <w:tcPr>
            <w:tcW w:w="1310" w:type="dxa"/>
            <w:noWrap/>
            <w:hideMark/>
          </w:tcPr>
          <w:p w14:paraId="21FDC347"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olor w:val="000000" w:themeColor="text1"/>
              </w:rPr>
              <w:t>137-147</w:t>
            </w:r>
          </w:p>
        </w:tc>
        <w:tc>
          <w:tcPr>
            <w:tcW w:w="2978" w:type="dxa"/>
            <w:noWrap/>
            <w:hideMark/>
          </w:tcPr>
          <w:p w14:paraId="1F392F52"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Serum cortisol (μg/dL)</w:t>
            </w:r>
          </w:p>
        </w:tc>
        <w:tc>
          <w:tcPr>
            <w:tcW w:w="1418" w:type="dxa"/>
            <w:noWrap/>
            <w:hideMark/>
          </w:tcPr>
          <w:p w14:paraId="6FD91CED" w14:textId="77777777" w:rsidR="005C3CE7" w:rsidRPr="000B3360" w:rsidRDefault="005C3CE7" w:rsidP="00CA6D9F">
            <w:pPr>
              <w:spacing w:line="360" w:lineRule="auto"/>
              <w:jc w:val="both"/>
              <w:rPr>
                <w:rFonts w:ascii="Book Antiqua" w:eastAsia="宋体" w:hAnsi="Book Antiqua" w:cs="Tahoma"/>
                <w:color w:val="000000" w:themeColor="text1"/>
              </w:rPr>
            </w:pPr>
          </w:p>
        </w:tc>
        <w:tc>
          <w:tcPr>
            <w:tcW w:w="850" w:type="dxa"/>
            <w:noWrap/>
            <w:hideMark/>
          </w:tcPr>
          <w:p w14:paraId="77379C84" w14:textId="77777777" w:rsidR="005C3CE7" w:rsidRPr="000B3360" w:rsidRDefault="005C3CE7" w:rsidP="00CA6D9F">
            <w:pPr>
              <w:spacing w:line="360" w:lineRule="auto"/>
              <w:jc w:val="both"/>
              <w:rPr>
                <w:rFonts w:ascii="Book Antiqua" w:eastAsia="宋体" w:hAnsi="Book Antiqua"/>
                <w:color w:val="000000" w:themeColor="text1"/>
              </w:rPr>
            </w:pPr>
          </w:p>
        </w:tc>
      </w:tr>
      <w:tr w:rsidR="005C3CE7" w:rsidRPr="000B3360" w14:paraId="28EE0F4D" w14:textId="77777777" w:rsidTr="00F90E71">
        <w:trPr>
          <w:trHeight w:val="315"/>
          <w:jc w:val="center"/>
        </w:trPr>
        <w:tc>
          <w:tcPr>
            <w:tcW w:w="2050" w:type="dxa"/>
            <w:noWrap/>
            <w:hideMark/>
          </w:tcPr>
          <w:p w14:paraId="5F8F7F24"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Potassium (mmol/L)</w:t>
            </w:r>
          </w:p>
        </w:tc>
        <w:tc>
          <w:tcPr>
            <w:tcW w:w="1283" w:type="dxa"/>
            <w:noWrap/>
            <w:hideMark/>
          </w:tcPr>
          <w:p w14:paraId="1F0D6956"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3.09</w:t>
            </w:r>
          </w:p>
        </w:tc>
        <w:tc>
          <w:tcPr>
            <w:tcW w:w="1310" w:type="dxa"/>
            <w:noWrap/>
            <w:hideMark/>
          </w:tcPr>
          <w:p w14:paraId="608ED93D"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olor w:val="000000" w:themeColor="text1"/>
              </w:rPr>
              <w:t>3.5-5.3</w:t>
            </w:r>
          </w:p>
        </w:tc>
        <w:tc>
          <w:tcPr>
            <w:tcW w:w="2978" w:type="dxa"/>
            <w:noWrap/>
            <w:hideMark/>
          </w:tcPr>
          <w:p w14:paraId="6330E08F"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8 am</w:t>
            </w:r>
          </w:p>
        </w:tc>
        <w:tc>
          <w:tcPr>
            <w:tcW w:w="1418" w:type="dxa"/>
            <w:noWrap/>
            <w:hideMark/>
          </w:tcPr>
          <w:p w14:paraId="6523C143"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12.03</w:t>
            </w:r>
          </w:p>
        </w:tc>
        <w:tc>
          <w:tcPr>
            <w:tcW w:w="850" w:type="dxa"/>
            <w:noWrap/>
            <w:hideMark/>
          </w:tcPr>
          <w:p w14:paraId="27BA1616"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6.02-18.4</w:t>
            </w:r>
          </w:p>
        </w:tc>
      </w:tr>
      <w:tr w:rsidR="005C3CE7" w:rsidRPr="000B3360" w14:paraId="6340C3F2" w14:textId="77777777" w:rsidTr="00F90E71">
        <w:trPr>
          <w:trHeight w:val="315"/>
          <w:jc w:val="center"/>
        </w:trPr>
        <w:tc>
          <w:tcPr>
            <w:tcW w:w="2050" w:type="dxa"/>
            <w:noWrap/>
            <w:hideMark/>
          </w:tcPr>
          <w:p w14:paraId="4FCDD77C"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Chloride (mmol/L)</w:t>
            </w:r>
          </w:p>
        </w:tc>
        <w:tc>
          <w:tcPr>
            <w:tcW w:w="1283" w:type="dxa"/>
            <w:noWrap/>
            <w:hideMark/>
          </w:tcPr>
          <w:p w14:paraId="26D09A13"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94.5</w:t>
            </w:r>
          </w:p>
        </w:tc>
        <w:tc>
          <w:tcPr>
            <w:tcW w:w="1310" w:type="dxa"/>
            <w:noWrap/>
            <w:hideMark/>
          </w:tcPr>
          <w:p w14:paraId="2BB37F34"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olor w:val="000000" w:themeColor="text1"/>
              </w:rPr>
              <w:t>99-110</w:t>
            </w:r>
          </w:p>
        </w:tc>
        <w:tc>
          <w:tcPr>
            <w:tcW w:w="2978" w:type="dxa"/>
            <w:noWrap/>
            <w:hideMark/>
          </w:tcPr>
          <w:p w14:paraId="2023BF7D"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4 pm</w:t>
            </w:r>
          </w:p>
        </w:tc>
        <w:tc>
          <w:tcPr>
            <w:tcW w:w="1418" w:type="dxa"/>
            <w:noWrap/>
            <w:hideMark/>
          </w:tcPr>
          <w:p w14:paraId="1675F0D6"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8.14</w:t>
            </w:r>
          </w:p>
        </w:tc>
        <w:tc>
          <w:tcPr>
            <w:tcW w:w="850" w:type="dxa"/>
            <w:noWrap/>
            <w:hideMark/>
          </w:tcPr>
          <w:p w14:paraId="45A4EDBA"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2.3-11.9</w:t>
            </w:r>
          </w:p>
        </w:tc>
      </w:tr>
      <w:tr w:rsidR="005C3CE7" w:rsidRPr="000B3360" w14:paraId="6DDE78DC" w14:textId="77777777" w:rsidTr="00F90E71">
        <w:trPr>
          <w:trHeight w:val="315"/>
          <w:jc w:val="center"/>
        </w:trPr>
        <w:tc>
          <w:tcPr>
            <w:tcW w:w="2050" w:type="dxa"/>
            <w:noWrap/>
            <w:hideMark/>
          </w:tcPr>
          <w:p w14:paraId="46AA10C7"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Calcium (mmol/L)</w:t>
            </w:r>
          </w:p>
        </w:tc>
        <w:tc>
          <w:tcPr>
            <w:tcW w:w="1283" w:type="dxa"/>
            <w:noWrap/>
            <w:hideMark/>
          </w:tcPr>
          <w:p w14:paraId="0552716C"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2.33</w:t>
            </w:r>
          </w:p>
        </w:tc>
        <w:tc>
          <w:tcPr>
            <w:tcW w:w="1310" w:type="dxa"/>
            <w:noWrap/>
            <w:hideMark/>
          </w:tcPr>
          <w:p w14:paraId="46D5E884"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olor w:val="000000" w:themeColor="text1"/>
              </w:rPr>
              <w:t>2.11-2.52</w:t>
            </w:r>
          </w:p>
        </w:tc>
        <w:tc>
          <w:tcPr>
            <w:tcW w:w="2978" w:type="dxa"/>
            <w:noWrap/>
            <w:hideMark/>
          </w:tcPr>
          <w:p w14:paraId="1745F735"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0 am</w:t>
            </w:r>
          </w:p>
        </w:tc>
        <w:tc>
          <w:tcPr>
            <w:tcW w:w="1418" w:type="dxa"/>
            <w:noWrap/>
            <w:hideMark/>
          </w:tcPr>
          <w:p w14:paraId="72296B44"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4.29</w:t>
            </w:r>
          </w:p>
        </w:tc>
        <w:tc>
          <w:tcPr>
            <w:tcW w:w="850" w:type="dxa"/>
            <w:noWrap/>
            <w:hideMark/>
          </w:tcPr>
          <w:p w14:paraId="3A0506B1"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w:t>
            </w:r>
          </w:p>
        </w:tc>
      </w:tr>
      <w:tr w:rsidR="005C3CE7" w:rsidRPr="000B3360" w14:paraId="2C77A216" w14:textId="77777777" w:rsidTr="00F90E71">
        <w:trPr>
          <w:trHeight w:val="315"/>
          <w:jc w:val="center"/>
        </w:trPr>
        <w:tc>
          <w:tcPr>
            <w:tcW w:w="2050" w:type="dxa"/>
            <w:noWrap/>
            <w:hideMark/>
          </w:tcPr>
          <w:p w14:paraId="0ACF717B"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Magnesium (mmol/L)</w:t>
            </w:r>
          </w:p>
        </w:tc>
        <w:tc>
          <w:tcPr>
            <w:tcW w:w="1283" w:type="dxa"/>
            <w:noWrap/>
            <w:hideMark/>
          </w:tcPr>
          <w:p w14:paraId="53414257"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0.60</w:t>
            </w:r>
          </w:p>
        </w:tc>
        <w:tc>
          <w:tcPr>
            <w:tcW w:w="1310" w:type="dxa"/>
            <w:noWrap/>
            <w:hideMark/>
          </w:tcPr>
          <w:p w14:paraId="099AE876"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olor w:val="000000" w:themeColor="text1"/>
              </w:rPr>
              <w:t>0.65-1.25</w:t>
            </w:r>
          </w:p>
        </w:tc>
        <w:tc>
          <w:tcPr>
            <w:tcW w:w="2978" w:type="dxa"/>
            <w:noWrap/>
            <w:hideMark/>
          </w:tcPr>
          <w:p w14:paraId="16D4BD14"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Arterial blood gas analysis</w:t>
            </w:r>
          </w:p>
        </w:tc>
        <w:tc>
          <w:tcPr>
            <w:tcW w:w="1418" w:type="dxa"/>
            <w:noWrap/>
            <w:hideMark/>
          </w:tcPr>
          <w:p w14:paraId="7A66634E" w14:textId="77777777" w:rsidR="005C3CE7" w:rsidRPr="000B3360" w:rsidRDefault="005C3CE7" w:rsidP="00CA6D9F">
            <w:pPr>
              <w:spacing w:line="360" w:lineRule="auto"/>
              <w:jc w:val="both"/>
              <w:rPr>
                <w:rFonts w:ascii="Book Antiqua" w:eastAsia="宋体" w:hAnsi="Book Antiqua"/>
                <w:color w:val="000000" w:themeColor="text1"/>
              </w:rPr>
            </w:pPr>
          </w:p>
        </w:tc>
        <w:tc>
          <w:tcPr>
            <w:tcW w:w="850" w:type="dxa"/>
            <w:noWrap/>
            <w:hideMark/>
          </w:tcPr>
          <w:p w14:paraId="44FCACA2" w14:textId="77777777" w:rsidR="005C3CE7" w:rsidRPr="000B3360" w:rsidRDefault="005C3CE7" w:rsidP="00CA6D9F">
            <w:pPr>
              <w:spacing w:line="360" w:lineRule="auto"/>
              <w:jc w:val="both"/>
              <w:rPr>
                <w:rFonts w:ascii="Book Antiqua" w:eastAsia="宋体" w:hAnsi="Book Antiqua" w:cs="Tahoma"/>
                <w:color w:val="000000" w:themeColor="text1"/>
              </w:rPr>
            </w:pPr>
          </w:p>
        </w:tc>
      </w:tr>
      <w:tr w:rsidR="005C3CE7" w:rsidRPr="000B3360" w14:paraId="37090922" w14:textId="77777777" w:rsidTr="00F90E71">
        <w:trPr>
          <w:trHeight w:val="315"/>
          <w:jc w:val="center"/>
        </w:trPr>
        <w:tc>
          <w:tcPr>
            <w:tcW w:w="2050" w:type="dxa"/>
            <w:noWrap/>
            <w:hideMark/>
          </w:tcPr>
          <w:p w14:paraId="0491FAAA"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24-h urinary electrolytes</w:t>
            </w:r>
          </w:p>
        </w:tc>
        <w:tc>
          <w:tcPr>
            <w:tcW w:w="1283" w:type="dxa"/>
            <w:noWrap/>
            <w:hideMark/>
          </w:tcPr>
          <w:p w14:paraId="6F4A08F9" w14:textId="77777777" w:rsidR="005C3CE7" w:rsidRPr="000B3360" w:rsidRDefault="005C3CE7" w:rsidP="00CA6D9F">
            <w:pPr>
              <w:spacing w:line="360" w:lineRule="auto"/>
              <w:jc w:val="both"/>
              <w:rPr>
                <w:rFonts w:ascii="Book Antiqua" w:eastAsia="宋体" w:hAnsi="Book Antiqua" w:cs="Tahoma"/>
                <w:color w:val="000000" w:themeColor="text1"/>
              </w:rPr>
            </w:pPr>
          </w:p>
        </w:tc>
        <w:tc>
          <w:tcPr>
            <w:tcW w:w="1310" w:type="dxa"/>
            <w:noWrap/>
            <w:hideMark/>
          </w:tcPr>
          <w:p w14:paraId="064721A9" w14:textId="77777777" w:rsidR="005C3CE7" w:rsidRPr="000B3360" w:rsidRDefault="005C3CE7" w:rsidP="00CA6D9F">
            <w:pPr>
              <w:spacing w:line="360" w:lineRule="auto"/>
              <w:jc w:val="both"/>
              <w:rPr>
                <w:rFonts w:ascii="Book Antiqua" w:eastAsia="宋体" w:hAnsi="Book Antiqua" w:cs="Tahoma"/>
                <w:color w:val="000000" w:themeColor="text1"/>
              </w:rPr>
            </w:pPr>
          </w:p>
        </w:tc>
        <w:tc>
          <w:tcPr>
            <w:tcW w:w="2978" w:type="dxa"/>
            <w:noWrap/>
            <w:hideMark/>
          </w:tcPr>
          <w:p w14:paraId="71E304C4"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pH</w:t>
            </w:r>
          </w:p>
        </w:tc>
        <w:tc>
          <w:tcPr>
            <w:tcW w:w="1418" w:type="dxa"/>
            <w:noWrap/>
            <w:hideMark/>
          </w:tcPr>
          <w:p w14:paraId="2D3AD222"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7.49</w:t>
            </w:r>
          </w:p>
        </w:tc>
        <w:tc>
          <w:tcPr>
            <w:tcW w:w="850" w:type="dxa"/>
            <w:noWrap/>
            <w:hideMark/>
          </w:tcPr>
          <w:p w14:paraId="449C30CD"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7.35-7.45</w:t>
            </w:r>
          </w:p>
        </w:tc>
      </w:tr>
      <w:tr w:rsidR="005C3CE7" w:rsidRPr="000B3360" w14:paraId="4BF965D7" w14:textId="77777777" w:rsidTr="00F90E71">
        <w:trPr>
          <w:trHeight w:val="375"/>
          <w:jc w:val="center"/>
        </w:trPr>
        <w:tc>
          <w:tcPr>
            <w:tcW w:w="2050" w:type="dxa"/>
            <w:noWrap/>
            <w:hideMark/>
          </w:tcPr>
          <w:p w14:paraId="70B01CF7"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Sodium (mmol/24 h)</w:t>
            </w:r>
          </w:p>
        </w:tc>
        <w:tc>
          <w:tcPr>
            <w:tcW w:w="1283" w:type="dxa"/>
            <w:noWrap/>
            <w:hideMark/>
          </w:tcPr>
          <w:p w14:paraId="2F5411BD"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127.60</w:t>
            </w:r>
          </w:p>
        </w:tc>
        <w:tc>
          <w:tcPr>
            <w:tcW w:w="1310" w:type="dxa"/>
            <w:noWrap/>
            <w:hideMark/>
          </w:tcPr>
          <w:p w14:paraId="4739499D"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olor w:val="000000" w:themeColor="text1"/>
              </w:rPr>
              <w:t>137-257</w:t>
            </w:r>
          </w:p>
        </w:tc>
        <w:tc>
          <w:tcPr>
            <w:tcW w:w="2978" w:type="dxa"/>
            <w:noWrap/>
            <w:hideMark/>
          </w:tcPr>
          <w:p w14:paraId="7BC9F096"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pCO</w:t>
            </w:r>
            <w:r w:rsidRPr="000B3360">
              <w:rPr>
                <w:rFonts w:ascii="Book Antiqua" w:eastAsia="宋体" w:hAnsi="Book Antiqua"/>
                <w:color w:val="000000" w:themeColor="text1"/>
                <w:vertAlign w:val="subscript"/>
              </w:rPr>
              <w:t>2</w:t>
            </w:r>
            <w:r w:rsidRPr="000B3360">
              <w:rPr>
                <w:rFonts w:ascii="Book Antiqua" w:eastAsia="宋体" w:hAnsi="Book Antiqua"/>
                <w:color w:val="000000" w:themeColor="text1"/>
              </w:rPr>
              <w:t xml:space="preserve"> (mmHg)</w:t>
            </w:r>
          </w:p>
        </w:tc>
        <w:tc>
          <w:tcPr>
            <w:tcW w:w="1418" w:type="dxa"/>
            <w:noWrap/>
            <w:hideMark/>
          </w:tcPr>
          <w:p w14:paraId="0D1FA18F"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40</w:t>
            </w:r>
          </w:p>
        </w:tc>
        <w:tc>
          <w:tcPr>
            <w:tcW w:w="850" w:type="dxa"/>
            <w:noWrap/>
            <w:hideMark/>
          </w:tcPr>
          <w:p w14:paraId="11859031"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35-45</w:t>
            </w:r>
          </w:p>
        </w:tc>
      </w:tr>
      <w:tr w:rsidR="005C3CE7" w:rsidRPr="000B3360" w14:paraId="662449AF" w14:textId="77777777" w:rsidTr="00F90E71">
        <w:trPr>
          <w:trHeight w:val="375"/>
          <w:jc w:val="center"/>
        </w:trPr>
        <w:tc>
          <w:tcPr>
            <w:tcW w:w="2050" w:type="dxa"/>
            <w:noWrap/>
            <w:hideMark/>
          </w:tcPr>
          <w:p w14:paraId="39C4D23B"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Potassium (mmol/24 h)</w:t>
            </w:r>
          </w:p>
        </w:tc>
        <w:tc>
          <w:tcPr>
            <w:tcW w:w="1283" w:type="dxa"/>
            <w:noWrap/>
            <w:hideMark/>
          </w:tcPr>
          <w:p w14:paraId="4EC1F534"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67.98</w:t>
            </w:r>
          </w:p>
        </w:tc>
        <w:tc>
          <w:tcPr>
            <w:tcW w:w="1310" w:type="dxa"/>
            <w:noWrap/>
            <w:hideMark/>
          </w:tcPr>
          <w:p w14:paraId="01E8A895"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olor w:val="000000" w:themeColor="text1"/>
              </w:rPr>
              <w:t>36-90</w:t>
            </w:r>
          </w:p>
        </w:tc>
        <w:tc>
          <w:tcPr>
            <w:tcW w:w="2978" w:type="dxa"/>
            <w:noWrap/>
            <w:hideMark/>
          </w:tcPr>
          <w:p w14:paraId="559803B1"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pO</w:t>
            </w:r>
            <w:r w:rsidRPr="000B3360">
              <w:rPr>
                <w:rFonts w:ascii="Book Antiqua" w:eastAsia="宋体" w:hAnsi="Book Antiqua"/>
                <w:color w:val="000000" w:themeColor="text1"/>
                <w:vertAlign w:val="subscript"/>
              </w:rPr>
              <w:t>2</w:t>
            </w:r>
            <w:r w:rsidRPr="000B3360">
              <w:rPr>
                <w:rFonts w:ascii="Book Antiqua" w:eastAsia="宋体" w:hAnsi="Book Antiqua"/>
                <w:color w:val="000000" w:themeColor="text1"/>
              </w:rPr>
              <w:t xml:space="preserve"> (mmHg)</w:t>
            </w:r>
          </w:p>
        </w:tc>
        <w:tc>
          <w:tcPr>
            <w:tcW w:w="1418" w:type="dxa"/>
            <w:noWrap/>
            <w:hideMark/>
          </w:tcPr>
          <w:p w14:paraId="43D2738C"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135</w:t>
            </w:r>
          </w:p>
        </w:tc>
        <w:tc>
          <w:tcPr>
            <w:tcW w:w="850" w:type="dxa"/>
            <w:noWrap/>
            <w:hideMark/>
          </w:tcPr>
          <w:p w14:paraId="7BA78EF5"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80-100</w:t>
            </w:r>
          </w:p>
        </w:tc>
      </w:tr>
      <w:tr w:rsidR="005C3CE7" w:rsidRPr="000B3360" w14:paraId="3E5D1E5E" w14:textId="77777777" w:rsidTr="00F90E71">
        <w:trPr>
          <w:trHeight w:val="405"/>
          <w:jc w:val="center"/>
        </w:trPr>
        <w:tc>
          <w:tcPr>
            <w:tcW w:w="2050" w:type="dxa"/>
            <w:noWrap/>
            <w:hideMark/>
          </w:tcPr>
          <w:p w14:paraId="192BA202"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Chloride (mmol/24 h)</w:t>
            </w:r>
          </w:p>
        </w:tc>
        <w:tc>
          <w:tcPr>
            <w:tcW w:w="1283" w:type="dxa"/>
            <w:noWrap/>
            <w:hideMark/>
          </w:tcPr>
          <w:p w14:paraId="39F2DBA0"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166.10</w:t>
            </w:r>
          </w:p>
        </w:tc>
        <w:tc>
          <w:tcPr>
            <w:tcW w:w="1310" w:type="dxa"/>
            <w:noWrap/>
            <w:hideMark/>
          </w:tcPr>
          <w:p w14:paraId="34E06C1B"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olor w:val="000000" w:themeColor="text1"/>
              </w:rPr>
              <w:t>170-250</w:t>
            </w:r>
          </w:p>
        </w:tc>
        <w:tc>
          <w:tcPr>
            <w:tcW w:w="2978" w:type="dxa"/>
            <w:noWrap/>
            <w:hideMark/>
          </w:tcPr>
          <w:p w14:paraId="20A01FA0"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HCO</w:t>
            </w:r>
            <w:r w:rsidRPr="000B3360">
              <w:rPr>
                <w:rFonts w:ascii="Book Antiqua" w:eastAsia="宋体" w:hAnsi="Book Antiqua"/>
                <w:color w:val="000000" w:themeColor="text1"/>
                <w:vertAlign w:val="subscript"/>
              </w:rPr>
              <w:t>3</w:t>
            </w:r>
            <w:r w:rsidRPr="000B3360">
              <w:rPr>
                <w:rFonts w:ascii="Book Antiqua" w:eastAsia="宋体" w:hAnsi="Book Antiqua"/>
                <w:color w:val="000000" w:themeColor="text1"/>
                <w:vertAlign w:val="superscript"/>
              </w:rPr>
              <w:t xml:space="preserve">- </w:t>
            </w:r>
            <w:r w:rsidRPr="000B3360">
              <w:rPr>
                <w:rFonts w:ascii="Book Antiqua" w:eastAsia="宋体" w:hAnsi="Book Antiqua"/>
                <w:color w:val="000000" w:themeColor="text1"/>
              </w:rPr>
              <w:t>(mmol/L)</w:t>
            </w:r>
          </w:p>
        </w:tc>
        <w:tc>
          <w:tcPr>
            <w:tcW w:w="1418" w:type="dxa"/>
            <w:noWrap/>
            <w:hideMark/>
          </w:tcPr>
          <w:p w14:paraId="39EA1278"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30.5</w:t>
            </w:r>
          </w:p>
        </w:tc>
        <w:tc>
          <w:tcPr>
            <w:tcW w:w="850" w:type="dxa"/>
            <w:noWrap/>
            <w:hideMark/>
          </w:tcPr>
          <w:p w14:paraId="63D35B29"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22-27</w:t>
            </w:r>
          </w:p>
        </w:tc>
      </w:tr>
      <w:tr w:rsidR="005C3CE7" w:rsidRPr="000B3360" w14:paraId="406746C2" w14:textId="77777777" w:rsidTr="00F90E71">
        <w:trPr>
          <w:trHeight w:val="315"/>
          <w:jc w:val="center"/>
        </w:trPr>
        <w:tc>
          <w:tcPr>
            <w:tcW w:w="2050" w:type="dxa"/>
            <w:noWrap/>
            <w:hideMark/>
          </w:tcPr>
          <w:p w14:paraId="1562DA43"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Calcium (mmol/24 h)</w:t>
            </w:r>
          </w:p>
        </w:tc>
        <w:tc>
          <w:tcPr>
            <w:tcW w:w="1283" w:type="dxa"/>
            <w:noWrap/>
            <w:hideMark/>
          </w:tcPr>
          <w:p w14:paraId="0C5BF537"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0.24</w:t>
            </w:r>
          </w:p>
        </w:tc>
        <w:tc>
          <w:tcPr>
            <w:tcW w:w="1310" w:type="dxa"/>
            <w:noWrap/>
            <w:hideMark/>
          </w:tcPr>
          <w:p w14:paraId="3EDAED49"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olor w:val="000000" w:themeColor="text1"/>
              </w:rPr>
              <w:t>2.5-7.5</w:t>
            </w:r>
          </w:p>
        </w:tc>
        <w:tc>
          <w:tcPr>
            <w:tcW w:w="2978" w:type="dxa"/>
            <w:noWrap/>
            <w:hideMark/>
          </w:tcPr>
          <w:p w14:paraId="6FCDED19"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Base excess (mmol/L)</w:t>
            </w:r>
          </w:p>
        </w:tc>
        <w:tc>
          <w:tcPr>
            <w:tcW w:w="1418" w:type="dxa"/>
            <w:noWrap/>
            <w:hideMark/>
          </w:tcPr>
          <w:p w14:paraId="4A0DC148"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6.6</w:t>
            </w:r>
          </w:p>
        </w:tc>
        <w:tc>
          <w:tcPr>
            <w:tcW w:w="850" w:type="dxa"/>
            <w:noWrap/>
            <w:hideMark/>
          </w:tcPr>
          <w:p w14:paraId="0CBCC1E6"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-2.3-2.3</w:t>
            </w:r>
          </w:p>
        </w:tc>
      </w:tr>
      <w:tr w:rsidR="005C3CE7" w:rsidRPr="000B3360" w14:paraId="5199125E" w14:textId="77777777" w:rsidTr="00F90E71">
        <w:trPr>
          <w:trHeight w:val="315"/>
          <w:jc w:val="center"/>
        </w:trPr>
        <w:tc>
          <w:tcPr>
            <w:tcW w:w="2050" w:type="dxa"/>
            <w:noWrap/>
            <w:hideMark/>
          </w:tcPr>
          <w:p w14:paraId="55124EC7"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Phosphate (mmol/24 h)</w:t>
            </w:r>
          </w:p>
        </w:tc>
        <w:tc>
          <w:tcPr>
            <w:tcW w:w="1283" w:type="dxa"/>
            <w:noWrap/>
            <w:hideMark/>
          </w:tcPr>
          <w:p w14:paraId="3A64FB04"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13.39</w:t>
            </w:r>
          </w:p>
        </w:tc>
        <w:tc>
          <w:tcPr>
            <w:tcW w:w="1310" w:type="dxa"/>
            <w:noWrap/>
            <w:hideMark/>
          </w:tcPr>
          <w:p w14:paraId="4EFE904F"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olor w:val="000000" w:themeColor="text1"/>
              </w:rPr>
              <w:t>16.15-42</w:t>
            </w:r>
          </w:p>
        </w:tc>
        <w:tc>
          <w:tcPr>
            <w:tcW w:w="2978" w:type="dxa"/>
            <w:noWrap/>
            <w:hideMark/>
          </w:tcPr>
          <w:p w14:paraId="16F307F5"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Potassium (mmol/L)</w:t>
            </w:r>
          </w:p>
        </w:tc>
        <w:tc>
          <w:tcPr>
            <w:tcW w:w="1418" w:type="dxa"/>
            <w:noWrap/>
            <w:hideMark/>
          </w:tcPr>
          <w:p w14:paraId="04851301"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2.4</w:t>
            </w:r>
          </w:p>
        </w:tc>
        <w:tc>
          <w:tcPr>
            <w:tcW w:w="850" w:type="dxa"/>
            <w:noWrap/>
            <w:hideMark/>
          </w:tcPr>
          <w:p w14:paraId="0036CE68"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3.5-5.5</w:t>
            </w:r>
          </w:p>
        </w:tc>
      </w:tr>
      <w:tr w:rsidR="005C3CE7" w:rsidRPr="000B3360" w14:paraId="673C42A7" w14:textId="77777777" w:rsidTr="00F90E71">
        <w:trPr>
          <w:trHeight w:val="315"/>
          <w:jc w:val="center"/>
        </w:trPr>
        <w:tc>
          <w:tcPr>
            <w:tcW w:w="2050" w:type="dxa"/>
            <w:tcBorders>
              <w:bottom w:val="single" w:sz="4" w:space="0" w:color="auto"/>
            </w:tcBorders>
            <w:noWrap/>
            <w:hideMark/>
          </w:tcPr>
          <w:p w14:paraId="78628EE4"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Urine volume (L/24 h)</w:t>
            </w:r>
          </w:p>
        </w:tc>
        <w:tc>
          <w:tcPr>
            <w:tcW w:w="1283" w:type="dxa"/>
            <w:tcBorders>
              <w:bottom w:val="single" w:sz="4" w:space="0" w:color="auto"/>
            </w:tcBorders>
            <w:noWrap/>
            <w:hideMark/>
          </w:tcPr>
          <w:p w14:paraId="7810BAE2"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color w:val="000000" w:themeColor="text1"/>
              </w:rPr>
              <w:t>1.10</w:t>
            </w:r>
          </w:p>
        </w:tc>
        <w:tc>
          <w:tcPr>
            <w:tcW w:w="1310" w:type="dxa"/>
            <w:tcBorders>
              <w:bottom w:val="single" w:sz="4" w:space="0" w:color="auto"/>
            </w:tcBorders>
            <w:noWrap/>
            <w:hideMark/>
          </w:tcPr>
          <w:p w14:paraId="34DE6C42" w14:textId="77777777" w:rsidR="005C3CE7" w:rsidRPr="000B3360" w:rsidRDefault="005C3CE7" w:rsidP="00CA6D9F">
            <w:pPr>
              <w:spacing w:line="360" w:lineRule="auto"/>
              <w:jc w:val="both"/>
              <w:rPr>
                <w:rFonts w:ascii="Book Antiqua" w:eastAsia="宋体" w:hAnsi="Book Antiqua" w:cs="Tahoma"/>
                <w:color w:val="000000" w:themeColor="text1"/>
              </w:rPr>
            </w:pPr>
            <w:r w:rsidRPr="000B3360">
              <w:rPr>
                <w:rFonts w:ascii="Book Antiqua" w:eastAsia="宋体" w:hAnsi="Book Antiqua"/>
                <w:color w:val="000000" w:themeColor="text1"/>
              </w:rPr>
              <w:t>-</w:t>
            </w:r>
          </w:p>
        </w:tc>
        <w:tc>
          <w:tcPr>
            <w:tcW w:w="2978" w:type="dxa"/>
            <w:tcBorders>
              <w:bottom w:val="single" w:sz="4" w:space="0" w:color="auto"/>
            </w:tcBorders>
            <w:noWrap/>
            <w:hideMark/>
          </w:tcPr>
          <w:p w14:paraId="53EBF911" w14:textId="77777777" w:rsidR="005C3CE7" w:rsidRPr="000B3360" w:rsidRDefault="005C3CE7" w:rsidP="00CA6D9F">
            <w:pPr>
              <w:spacing w:line="360" w:lineRule="auto"/>
              <w:jc w:val="both"/>
              <w:rPr>
                <w:rFonts w:ascii="Book Antiqua" w:eastAsia="宋体" w:hAnsi="Book Antiqua" w:cs="Tahoma"/>
                <w:color w:val="000000" w:themeColor="text1"/>
              </w:rPr>
            </w:pPr>
          </w:p>
        </w:tc>
        <w:tc>
          <w:tcPr>
            <w:tcW w:w="1418" w:type="dxa"/>
            <w:tcBorders>
              <w:bottom w:val="single" w:sz="4" w:space="0" w:color="auto"/>
            </w:tcBorders>
            <w:noWrap/>
            <w:hideMark/>
          </w:tcPr>
          <w:p w14:paraId="1EBED9E5" w14:textId="77777777" w:rsidR="005C3CE7" w:rsidRPr="000B3360" w:rsidRDefault="005C3CE7" w:rsidP="00CA6D9F">
            <w:pPr>
              <w:spacing w:line="360" w:lineRule="auto"/>
              <w:jc w:val="both"/>
              <w:rPr>
                <w:rFonts w:ascii="Book Antiqua" w:eastAsia="宋体" w:hAnsi="Book Antiqua" w:cs="Tahoma"/>
                <w:color w:val="000000" w:themeColor="text1"/>
              </w:rPr>
            </w:pPr>
          </w:p>
        </w:tc>
        <w:tc>
          <w:tcPr>
            <w:tcW w:w="850" w:type="dxa"/>
            <w:tcBorders>
              <w:bottom w:val="single" w:sz="4" w:space="0" w:color="auto"/>
            </w:tcBorders>
            <w:noWrap/>
            <w:hideMark/>
          </w:tcPr>
          <w:p w14:paraId="1AB9DC11" w14:textId="77777777" w:rsidR="005C3CE7" w:rsidRPr="000B3360" w:rsidRDefault="005C3CE7" w:rsidP="00CA6D9F">
            <w:pPr>
              <w:spacing w:line="360" w:lineRule="auto"/>
              <w:jc w:val="both"/>
              <w:rPr>
                <w:rFonts w:ascii="Book Antiqua" w:eastAsia="宋体" w:hAnsi="Book Antiqua" w:cs="Tahoma"/>
                <w:color w:val="000000" w:themeColor="text1"/>
              </w:rPr>
            </w:pPr>
          </w:p>
        </w:tc>
      </w:tr>
    </w:tbl>
    <w:p w14:paraId="0DD5EFA4" w14:textId="77777777" w:rsidR="005C3CE7" w:rsidRPr="000B3360" w:rsidRDefault="005C3CE7" w:rsidP="00CA6D9F">
      <w:pPr>
        <w:spacing w:line="360" w:lineRule="auto"/>
        <w:jc w:val="both"/>
        <w:rPr>
          <w:rFonts w:ascii="Book Antiqua" w:hAnsi="Book Antiqua"/>
          <w:b/>
          <w:bCs/>
          <w:color w:val="000000" w:themeColor="text1"/>
        </w:rPr>
        <w:sectPr w:rsidR="005C3CE7" w:rsidRPr="000B3360" w:rsidSect="00F90E71">
          <w:pgSz w:w="12240" w:h="20160" w:code="5"/>
          <w:pgMar w:top="1440" w:right="1800" w:bottom="1440" w:left="1800" w:header="708" w:footer="708" w:gutter="0"/>
          <w:cols w:space="708"/>
          <w:docGrid w:linePitch="360"/>
        </w:sectPr>
      </w:pPr>
    </w:p>
    <w:p w14:paraId="56FA7013" w14:textId="77777777" w:rsidR="00D265E1" w:rsidRPr="000B3360" w:rsidRDefault="00D265E1" w:rsidP="00CA6D9F">
      <w:pPr>
        <w:spacing w:line="360" w:lineRule="auto"/>
        <w:jc w:val="both"/>
        <w:rPr>
          <w:rFonts w:ascii="Book Antiqua" w:hAnsi="Book Antiqua"/>
          <w:color w:val="000000" w:themeColor="text1"/>
        </w:rPr>
      </w:pPr>
      <w:r w:rsidRPr="000B3360">
        <w:rPr>
          <w:rFonts w:ascii="Book Antiqua" w:eastAsia="Book Antiqua" w:hAnsi="Book Antiqua" w:cs="Tahoma"/>
          <w:b/>
          <w:bCs/>
          <w:color w:val="000000" w:themeColor="text1"/>
        </w:rPr>
        <w:lastRenderedPageBreak/>
        <w:t>Table 2 Results of thyroid function tests on admission and follow-up</w:t>
      </w:r>
    </w:p>
    <w:tbl>
      <w:tblPr>
        <w:tblW w:w="9343" w:type="dxa"/>
        <w:jc w:val="center"/>
        <w:tblLook w:val="04A0" w:firstRow="1" w:lastRow="0" w:firstColumn="1" w:lastColumn="0" w:noHBand="0" w:noVBand="1"/>
      </w:tblPr>
      <w:tblGrid>
        <w:gridCol w:w="2231"/>
        <w:gridCol w:w="1365"/>
        <w:gridCol w:w="1274"/>
        <w:gridCol w:w="1484"/>
        <w:gridCol w:w="1053"/>
        <w:gridCol w:w="1056"/>
        <w:gridCol w:w="995"/>
      </w:tblGrid>
      <w:tr w:rsidR="00D265E1" w:rsidRPr="000B3360" w14:paraId="2EBC75ED" w14:textId="77777777" w:rsidTr="00F90E71">
        <w:trPr>
          <w:trHeight w:val="631"/>
          <w:jc w:val="center"/>
        </w:trPr>
        <w:tc>
          <w:tcPr>
            <w:tcW w:w="2231" w:type="dxa"/>
            <w:tcBorders>
              <w:top w:val="single" w:sz="4" w:space="0" w:color="auto"/>
              <w:bottom w:val="single" w:sz="4" w:space="0" w:color="auto"/>
            </w:tcBorders>
            <w:noWrap/>
            <w:hideMark/>
          </w:tcPr>
          <w:p w14:paraId="60AA7E17" w14:textId="77777777" w:rsidR="00D265E1" w:rsidRPr="000B3360" w:rsidRDefault="00D265E1" w:rsidP="00CA6D9F">
            <w:pPr>
              <w:spacing w:line="360" w:lineRule="auto"/>
              <w:jc w:val="both"/>
              <w:rPr>
                <w:rFonts w:ascii="Book Antiqua" w:eastAsia="Book Antiqua" w:hAnsi="Book Antiqua" w:cs="Tahoma"/>
                <w:b/>
                <w:bCs/>
                <w:color w:val="000000" w:themeColor="text1"/>
              </w:rPr>
            </w:pPr>
            <w:r w:rsidRPr="000B3360">
              <w:rPr>
                <w:rFonts w:ascii="Book Antiqua" w:eastAsia="Book Antiqua" w:hAnsi="Book Antiqua" w:cs="Tahoma"/>
                <w:b/>
                <w:bCs/>
                <w:color w:val="000000" w:themeColor="text1"/>
              </w:rPr>
              <w:t>Date</w:t>
            </w:r>
          </w:p>
        </w:tc>
        <w:tc>
          <w:tcPr>
            <w:tcW w:w="1365" w:type="dxa"/>
            <w:tcBorders>
              <w:top w:val="single" w:sz="4" w:space="0" w:color="auto"/>
              <w:bottom w:val="single" w:sz="4" w:space="0" w:color="auto"/>
            </w:tcBorders>
            <w:noWrap/>
            <w:hideMark/>
          </w:tcPr>
          <w:p w14:paraId="07B4157F" w14:textId="77777777" w:rsidR="00D265E1" w:rsidRPr="000B3360" w:rsidRDefault="00D265E1" w:rsidP="00CA6D9F">
            <w:pPr>
              <w:spacing w:line="360" w:lineRule="auto"/>
              <w:jc w:val="both"/>
              <w:rPr>
                <w:rFonts w:ascii="Book Antiqua" w:eastAsia="Book Antiqua" w:hAnsi="Book Antiqua" w:cs="Tahoma"/>
                <w:b/>
                <w:bCs/>
                <w:color w:val="000000" w:themeColor="text1"/>
              </w:rPr>
            </w:pPr>
            <w:r w:rsidRPr="000B3360">
              <w:rPr>
                <w:rFonts w:ascii="Book Antiqua" w:eastAsia="Book Antiqua" w:hAnsi="Book Antiqua" w:cs="Tahoma"/>
                <w:b/>
                <w:bCs/>
                <w:color w:val="000000" w:themeColor="text1"/>
              </w:rPr>
              <w:t>FT3 (3.1-6.8 pmol/L)</w:t>
            </w:r>
          </w:p>
        </w:tc>
        <w:tc>
          <w:tcPr>
            <w:tcW w:w="1274" w:type="dxa"/>
            <w:tcBorders>
              <w:top w:val="single" w:sz="4" w:space="0" w:color="auto"/>
              <w:bottom w:val="single" w:sz="4" w:space="0" w:color="auto"/>
            </w:tcBorders>
            <w:noWrap/>
            <w:hideMark/>
          </w:tcPr>
          <w:p w14:paraId="22A95426" w14:textId="77777777" w:rsidR="00D265E1" w:rsidRPr="000B3360" w:rsidRDefault="00D265E1" w:rsidP="00CA6D9F">
            <w:pPr>
              <w:spacing w:line="360" w:lineRule="auto"/>
              <w:jc w:val="both"/>
              <w:rPr>
                <w:rFonts w:ascii="Book Antiqua" w:eastAsia="Book Antiqua" w:hAnsi="Book Antiqua" w:cs="Tahoma"/>
                <w:b/>
                <w:bCs/>
                <w:color w:val="000000" w:themeColor="text1"/>
              </w:rPr>
            </w:pPr>
            <w:r w:rsidRPr="000B3360">
              <w:rPr>
                <w:rFonts w:ascii="Book Antiqua" w:eastAsia="Book Antiqua" w:hAnsi="Book Antiqua" w:cs="Tahoma"/>
                <w:b/>
                <w:bCs/>
                <w:color w:val="000000" w:themeColor="text1"/>
              </w:rPr>
              <w:t>FT4</w:t>
            </w:r>
            <w:r w:rsidRPr="000B3360">
              <w:rPr>
                <w:rFonts w:ascii="Book Antiqua" w:hAnsi="Book Antiqua" w:cs="Tahoma"/>
                <w:b/>
                <w:bCs/>
                <w:color w:val="000000" w:themeColor="text1"/>
              </w:rPr>
              <w:t xml:space="preserve"> </w:t>
            </w:r>
            <w:r w:rsidRPr="000B3360">
              <w:rPr>
                <w:rFonts w:ascii="Book Antiqua" w:eastAsia="Book Antiqua" w:hAnsi="Book Antiqua" w:cs="Tahoma"/>
                <w:b/>
                <w:bCs/>
                <w:color w:val="000000" w:themeColor="text1"/>
              </w:rPr>
              <w:t>(12-22 pmol/L)</w:t>
            </w:r>
          </w:p>
        </w:tc>
        <w:tc>
          <w:tcPr>
            <w:tcW w:w="1484" w:type="dxa"/>
            <w:tcBorders>
              <w:top w:val="single" w:sz="4" w:space="0" w:color="auto"/>
              <w:bottom w:val="single" w:sz="4" w:space="0" w:color="auto"/>
            </w:tcBorders>
            <w:noWrap/>
            <w:hideMark/>
          </w:tcPr>
          <w:p w14:paraId="550DF352" w14:textId="77777777" w:rsidR="00D265E1" w:rsidRPr="000B3360" w:rsidRDefault="00D265E1" w:rsidP="00CA6D9F">
            <w:pPr>
              <w:spacing w:line="360" w:lineRule="auto"/>
              <w:jc w:val="both"/>
              <w:rPr>
                <w:rFonts w:ascii="Book Antiqua" w:eastAsia="Book Antiqua" w:hAnsi="Book Antiqua" w:cs="Tahoma"/>
                <w:b/>
                <w:bCs/>
                <w:color w:val="000000" w:themeColor="text1"/>
              </w:rPr>
            </w:pPr>
            <w:r w:rsidRPr="000B3360">
              <w:rPr>
                <w:rFonts w:ascii="Book Antiqua" w:eastAsia="Book Antiqua" w:hAnsi="Book Antiqua" w:cs="Tahoma"/>
                <w:b/>
                <w:bCs/>
                <w:color w:val="000000" w:themeColor="text1"/>
              </w:rPr>
              <w:t>TSH</w:t>
            </w:r>
            <w:r w:rsidRPr="000B3360">
              <w:rPr>
                <w:rFonts w:ascii="Book Antiqua" w:hAnsi="Book Antiqua" w:cs="Tahoma"/>
                <w:b/>
                <w:bCs/>
                <w:color w:val="000000" w:themeColor="text1"/>
              </w:rPr>
              <w:t xml:space="preserve"> </w:t>
            </w:r>
            <w:r w:rsidRPr="000B3360">
              <w:rPr>
                <w:rFonts w:ascii="Book Antiqua" w:eastAsia="Book Antiqua" w:hAnsi="Book Antiqua" w:cs="Tahoma"/>
                <w:b/>
                <w:bCs/>
                <w:color w:val="000000" w:themeColor="text1"/>
              </w:rPr>
              <w:t>(0.27-4.2 μU/mL)</w:t>
            </w:r>
          </w:p>
        </w:tc>
        <w:tc>
          <w:tcPr>
            <w:tcW w:w="1053" w:type="dxa"/>
            <w:tcBorders>
              <w:top w:val="single" w:sz="4" w:space="0" w:color="auto"/>
              <w:bottom w:val="single" w:sz="4" w:space="0" w:color="auto"/>
            </w:tcBorders>
            <w:noWrap/>
            <w:hideMark/>
          </w:tcPr>
          <w:p w14:paraId="133C6F80" w14:textId="77777777" w:rsidR="00D265E1" w:rsidRPr="000B3360" w:rsidRDefault="00D265E1" w:rsidP="00CA6D9F">
            <w:pPr>
              <w:spacing w:line="360" w:lineRule="auto"/>
              <w:jc w:val="both"/>
              <w:rPr>
                <w:rFonts w:ascii="Book Antiqua" w:eastAsia="Book Antiqua" w:hAnsi="Book Antiqua" w:cs="Tahoma"/>
                <w:b/>
                <w:bCs/>
                <w:color w:val="000000" w:themeColor="text1"/>
              </w:rPr>
            </w:pPr>
            <w:r w:rsidRPr="000B3360">
              <w:rPr>
                <w:rFonts w:ascii="Book Antiqua" w:eastAsia="Book Antiqua" w:hAnsi="Book Antiqua" w:cs="Tahoma"/>
                <w:b/>
                <w:bCs/>
                <w:color w:val="000000" w:themeColor="text1"/>
              </w:rPr>
              <w:t>TGAb</w:t>
            </w:r>
            <w:r w:rsidRPr="000B3360">
              <w:rPr>
                <w:rFonts w:ascii="Book Antiqua" w:hAnsi="Book Antiqua" w:cs="Tahoma"/>
                <w:b/>
                <w:bCs/>
                <w:color w:val="000000" w:themeColor="text1"/>
              </w:rPr>
              <w:t xml:space="preserve"> </w:t>
            </w:r>
            <w:r w:rsidRPr="000B3360">
              <w:rPr>
                <w:rFonts w:ascii="Book Antiqua" w:eastAsia="Book Antiqua" w:hAnsi="Book Antiqua" w:cs="Tahoma"/>
                <w:b/>
                <w:bCs/>
                <w:color w:val="000000" w:themeColor="text1"/>
              </w:rPr>
              <w:t>(&lt; 115 U/mL)</w:t>
            </w:r>
          </w:p>
        </w:tc>
        <w:tc>
          <w:tcPr>
            <w:tcW w:w="941" w:type="dxa"/>
            <w:tcBorders>
              <w:top w:val="single" w:sz="4" w:space="0" w:color="auto"/>
              <w:bottom w:val="single" w:sz="4" w:space="0" w:color="auto"/>
            </w:tcBorders>
            <w:noWrap/>
            <w:hideMark/>
          </w:tcPr>
          <w:p w14:paraId="108E4BC2" w14:textId="77777777" w:rsidR="00D265E1" w:rsidRPr="000B3360" w:rsidRDefault="00D265E1" w:rsidP="00CA6D9F">
            <w:pPr>
              <w:spacing w:line="360" w:lineRule="auto"/>
              <w:jc w:val="both"/>
              <w:rPr>
                <w:rFonts w:ascii="Book Antiqua" w:eastAsia="Book Antiqua" w:hAnsi="Book Antiqua" w:cs="Tahoma"/>
                <w:b/>
                <w:bCs/>
                <w:color w:val="000000" w:themeColor="text1"/>
              </w:rPr>
            </w:pPr>
            <w:r w:rsidRPr="000B3360">
              <w:rPr>
                <w:rFonts w:ascii="Book Antiqua" w:eastAsia="Book Antiqua" w:hAnsi="Book Antiqua" w:cs="Tahoma"/>
                <w:b/>
                <w:bCs/>
                <w:color w:val="000000" w:themeColor="text1"/>
              </w:rPr>
              <w:t>TPOAb</w:t>
            </w:r>
            <w:r w:rsidRPr="000B3360">
              <w:rPr>
                <w:rFonts w:ascii="Book Antiqua" w:hAnsi="Book Antiqua" w:cs="Tahoma"/>
                <w:b/>
                <w:bCs/>
                <w:color w:val="000000" w:themeColor="text1"/>
              </w:rPr>
              <w:t xml:space="preserve"> </w:t>
            </w:r>
            <w:r w:rsidRPr="000B3360">
              <w:rPr>
                <w:rFonts w:ascii="Book Antiqua" w:eastAsia="Book Antiqua" w:hAnsi="Book Antiqua" w:cs="Tahoma"/>
                <w:b/>
                <w:bCs/>
                <w:color w:val="000000" w:themeColor="text1"/>
              </w:rPr>
              <w:t>(&lt; 34 U/mL)</w:t>
            </w:r>
          </w:p>
        </w:tc>
        <w:tc>
          <w:tcPr>
            <w:tcW w:w="995" w:type="dxa"/>
            <w:tcBorders>
              <w:top w:val="single" w:sz="4" w:space="0" w:color="auto"/>
              <w:bottom w:val="single" w:sz="4" w:space="0" w:color="auto"/>
            </w:tcBorders>
            <w:noWrap/>
            <w:hideMark/>
          </w:tcPr>
          <w:p w14:paraId="3DFD052D" w14:textId="77777777" w:rsidR="00D265E1" w:rsidRPr="000B3360" w:rsidRDefault="00D265E1" w:rsidP="00CA6D9F">
            <w:pPr>
              <w:spacing w:line="360" w:lineRule="auto"/>
              <w:jc w:val="both"/>
              <w:rPr>
                <w:rFonts w:ascii="Book Antiqua" w:eastAsia="Book Antiqua" w:hAnsi="Book Antiqua" w:cs="Tahoma"/>
                <w:b/>
                <w:bCs/>
                <w:color w:val="000000" w:themeColor="text1"/>
              </w:rPr>
            </w:pPr>
            <w:r w:rsidRPr="000B3360">
              <w:rPr>
                <w:rFonts w:ascii="Book Antiqua" w:eastAsia="Book Antiqua" w:hAnsi="Book Antiqua" w:cs="Tahoma"/>
                <w:b/>
                <w:bCs/>
                <w:color w:val="000000" w:themeColor="text1"/>
              </w:rPr>
              <w:t>TRAb</w:t>
            </w:r>
            <w:r w:rsidRPr="000B3360">
              <w:rPr>
                <w:rFonts w:ascii="Book Antiqua" w:hAnsi="Book Antiqua" w:cs="Tahoma"/>
                <w:b/>
                <w:bCs/>
                <w:color w:val="000000" w:themeColor="text1"/>
              </w:rPr>
              <w:t xml:space="preserve"> </w:t>
            </w:r>
            <w:r w:rsidRPr="000B3360">
              <w:rPr>
                <w:rFonts w:ascii="Book Antiqua" w:eastAsia="Book Antiqua" w:hAnsi="Book Antiqua" w:cs="Tahoma"/>
                <w:b/>
                <w:bCs/>
                <w:color w:val="000000" w:themeColor="text1"/>
              </w:rPr>
              <w:t>(0-1.75 U/L)</w:t>
            </w:r>
          </w:p>
        </w:tc>
      </w:tr>
      <w:tr w:rsidR="00D265E1" w:rsidRPr="000B3360" w14:paraId="5AAA0564" w14:textId="77777777" w:rsidTr="00F90E71">
        <w:trPr>
          <w:trHeight w:val="296"/>
          <w:jc w:val="center"/>
        </w:trPr>
        <w:tc>
          <w:tcPr>
            <w:tcW w:w="2231" w:type="dxa"/>
            <w:tcBorders>
              <w:top w:val="single" w:sz="4" w:space="0" w:color="auto"/>
            </w:tcBorders>
            <w:noWrap/>
            <w:hideMark/>
          </w:tcPr>
          <w:p w14:paraId="0F04D221"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October 2020</w:t>
            </w:r>
          </w:p>
        </w:tc>
        <w:tc>
          <w:tcPr>
            <w:tcW w:w="1365" w:type="dxa"/>
            <w:tcBorders>
              <w:top w:val="single" w:sz="4" w:space="0" w:color="auto"/>
            </w:tcBorders>
            <w:noWrap/>
            <w:hideMark/>
          </w:tcPr>
          <w:p w14:paraId="46FDE4F9"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23.28</w:t>
            </w:r>
          </w:p>
        </w:tc>
        <w:tc>
          <w:tcPr>
            <w:tcW w:w="1274" w:type="dxa"/>
            <w:tcBorders>
              <w:top w:val="single" w:sz="4" w:space="0" w:color="auto"/>
            </w:tcBorders>
            <w:noWrap/>
            <w:hideMark/>
          </w:tcPr>
          <w:p w14:paraId="15460C03"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48.61 </w:t>
            </w:r>
          </w:p>
        </w:tc>
        <w:tc>
          <w:tcPr>
            <w:tcW w:w="1484" w:type="dxa"/>
            <w:tcBorders>
              <w:top w:val="single" w:sz="4" w:space="0" w:color="auto"/>
            </w:tcBorders>
            <w:noWrap/>
            <w:hideMark/>
          </w:tcPr>
          <w:p w14:paraId="3B47839D"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&lt; 0.005</w:t>
            </w:r>
          </w:p>
        </w:tc>
        <w:tc>
          <w:tcPr>
            <w:tcW w:w="1053" w:type="dxa"/>
            <w:tcBorders>
              <w:top w:val="single" w:sz="4" w:space="0" w:color="auto"/>
            </w:tcBorders>
            <w:noWrap/>
            <w:hideMark/>
          </w:tcPr>
          <w:p w14:paraId="4191048A" w14:textId="0E338296"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NA</w:t>
            </w:r>
          </w:p>
        </w:tc>
        <w:tc>
          <w:tcPr>
            <w:tcW w:w="941" w:type="dxa"/>
            <w:tcBorders>
              <w:top w:val="single" w:sz="4" w:space="0" w:color="auto"/>
            </w:tcBorders>
            <w:noWrap/>
            <w:hideMark/>
          </w:tcPr>
          <w:p w14:paraId="7367E830" w14:textId="692577A0"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NA</w:t>
            </w:r>
          </w:p>
        </w:tc>
        <w:tc>
          <w:tcPr>
            <w:tcW w:w="995" w:type="dxa"/>
            <w:tcBorders>
              <w:top w:val="single" w:sz="4" w:space="0" w:color="auto"/>
            </w:tcBorders>
            <w:noWrap/>
            <w:hideMark/>
          </w:tcPr>
          <w:p w14:paraId="74437345"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3.69 </w:t>
            </w:r>
          </w:p>
        </w:tc>
      </w:tr>
      <w:tr w:rsidR="00D265E1" w:rsidRPr="000B3360" w14:paraId="102A6D9B" w14:textId="77777777" w:rsidTr="00F90E71">
        <w:trPr>
          <w:trHeight w:val="296"/>
          <w:jc w:val="center"/>
        </w:trPr>
        <w:tc>
          <w:tcPr>
            <w:tcW w:w="2231" w:type="dxa"/>
            <w:noWrap/>
            <w:hideMark/>
          </w:tcPr>
          <w:p w14:paraId="479DB9C0"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November 2020</w:t>
            </w:r>
          </w:p>
        </w:tc>
        <w:tc>
          <w:tcPr>
            <w:tcW w:w="1365" w:type="dxa"/>
            <w:noWrap/>
            <w:hideMark/>
          </w:tcPr>
          <w:p w14:paraId="08EBCE39"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23.46</w:t>
            </w:r>
          </w:p>
        </w:tc>
        <w:tc>
          <w:tcPr>
            <w:tcW w:w="1274" w:type="dxa"/>
            <w:noWrap/>
            <w:hideMark/>
          </w:tcPr>
          <w:p w14:paraId="59532185"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37.15 </w:t>
            </w:r>
          </w:p>
        </w:tc>
        <w:tc>
          <w:tcPr>
            <w:tcW w:w="1484" w:type="dxa"/>
            <w:noWrap/>
            <w:hideMark/>
          </w:tcPr>
          <w:p w14:paraId="6539C9B9"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&lt; 0.005</w:t>
            </w:r>
          </w:p>
        </w:tc>
        <w:tc>
          <w:tcPr>
            <w:tcW w:w="1053" w:type="dxa"/>
            <w:noWrap/>
            <w:hideMark/>
          </w:tcPr>
          <w:p w14:paraId="74FCB950"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179.6</w:t>
            </w:r>
          </w:p>
        </w:tc>
        <w:tc>
          <w:tcPr>
            <w:tcW w:w="941" w:type="dxa"/>
            <w:noWrap/>
            <w:hideMark/>
          </w:tcPr>
          <w:p w14:paraId="1E5E1C9D"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18.2</w:t>
            </w:r>
          </w:p>
        </w:tc>
        <w:tc>
          <w:tcPr>
            <w:tcW w:w="995" w:type="dxa"/>
            <w:noWrap/>
            <w:hideMark/>
          </w:tcPr>
          <w:p w14:paraId="1B7C71E7"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2.80 </w:t>
            </w:r>
          </w:p>
        </w:tc>
      </w:tr>
      <w:tr w:rsidR="00D265E1" w:rsidRPr="000B3360" w14:paraId="361C92E7" w14:textId="77777777" w:rsidTr="00F90E71">
        <w:trPr>
          <w:trHeight w:val="296"/>
          <w:jc w:val="center"/>
        </w:trPr>
        <w:tc>
          <w:tcPr>
            <w:tcW w:w="2231" w:type="dxa"/>
            <w:noWrap/>
            <w:hideMark/>
          </w:tcPr>
          <w:p w14:paraId="46BBA01C"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31 December 2020</w:t>
            </w:r>
          </w:p>
        </w:tc>
        <w:tc>
          <w:tcPr>
            <w:tcW w:w="1365" w:type="dxa"/>
            <w:noWrap/>
            <w:hideMark/>
          </w:tcPr>
          <w:p w14:paraId="26FA32FB"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3.97</w:t>
            </w:r>
          </w:p>
        </w:tc>
        <w:tc>
          <w:tcPr>
            <w:tcW w:w="1274" w:type="dxa"/>
            <w:noWrap/>
            <w:hideMark/>
          </w:tcPr>
          <w:p w14:paraId="678294BB"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12.66 </w:t>
            </w:r>
          </w:p>
        </w:tc>
        <w:tc>
          <w:tcPr>
            <w:tcW w:w="1484" w:type="dxa"/>
            <w:noWrap/>
            <w:hideMark/>
          </w:tcPr>
          <w:p w14:paraId="1790CA10"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0.28</w:t>
            </w:r>
          </w:p>
        </w:tc>
        <w:tc>
          <w:tcPr>
            <w:tcW w:w="1053" w:type="dxa"/>
            <w:noWrap/>
            <w:hideMark/>
          </w:tcPr>
          <w:p w14:paraId="28A49285" w14:textId="5D6B2BBC"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NA</w:t>
            </w:r>
          </w:p>
        </w:tc>
        <w:tc>
          <w:tcPr>
            <w:tcW w:w="941" w:type="dxa"/>
            <w:noWrap/>
            <w:hideMark/>
          </w:tcPr>
          <w:p w14:paraId="4C95AF77" w14:textId="7379B9BD"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NA</w:t>
            </w:r>
          </w:p>
        </w:tc>
        <w:tc>
          <w:tcPr>
            <w:tcW w:w="995" w:type="dxa"/>
            <w:noWrap/>
            <w:hideMark/>
          </w:tcPr>
          <w:p w14:paraId="25793615" w14:textId="1FD77DD3"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NA</w:t>
            </w:r>
          </w:p>
        </w:tc>
      </w:tr>
      <w:tr w:rsidR="00D265E1" w:rsidRPr="000B3360" w14:paraId="2E3F7697" w14:textId="77777777" w:rsidTr="00F90E71">
        <w:trPr>
          <w:trHeight w:val="296"/>
          <w:jc w:val="center"/>
        </w:trPr>
        <w:tc>
          <w:tcPr>
            <w:tcW w:w="2231" w:type="dxa"/>
            <w:noWrap/>
            <w:hideMark/>
          </w:tcPr>
          <w:p w14:paraId="013C8881"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09 February 2021</w:t>
            </w:r>
          </w:p>
        </w:tc>
        <w:tc>
          <w:tcPr>
            <w:tcW w:w="1365" w:type="dxa"/>
            <w:noWrap/>
            <w:hideMark/>
          </w:tcPr>
          <w:p w14:paraId="0A4D7583"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4.83</w:t>
            </w:r>
          </w:p>
        </w:tc>
        <w:tc>
          <w:tcPr>
            <w:tcW w:w="1274" w:type="dxa"/>
            <w:noWrap/>
            <w:hideMark/>
          </w:tcPr>
          <w:p w14:paraId="58A1E25B"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14.57 </w:t>
            </w:r>
          </w:p>
        </w:tc>
        <w:tc>
          <w:tcPr>
            <w:tcW w:w="1484" w:type="dxa"/>
            <w:noWrap/>
            <w:hideMark/>
          </w:tcPr>
          <w:p w14:paraId="55759224"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1.64</w:t>
            </w:r>
          </w:p>
        </w:tc>
        <w:tc>
          <w:tcPr>
            <w:tcW w:w="1053" w:type="dxa"/>
            <w:noWrap/>
            <w:hideMark/>
          </w:tcPr>
          <w:p w14:paraId="1A743F67" w14:textId="2902CC5D"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NA</w:t>
            </w:r>
          </w:p>
        </w:tc>
        <w:tc>
          <w:tcPr>
            <w:tcW w:w="941" w:type="dxa"/>
            <w:noWrap/>
            <w:hideMark/>
          </w:tcPr>
          <w:p w14:paraId="78B12177" w14:textId="6B66D4EA"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NA</w:t>
            </w:r>
          </w:p>
        </w:tc>
        <w:tc>
          <w:tcPr>
            <w:tcW w:w="995" w:type="dxa"/>
            <w:noWrap/>
            <w:hideMark/>
          </w:tcPr>
          <w:p w14:paraId="3E5DC446" w14:textId="6302F9A2"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NA</w:t>
            </w:r>
          </w:p>
        </w:tc>
      </w:tr>
      <w:tr w:rsidR="00D265E1" w:rsidRPr="000B3360" w14:paraId="235BB291" w14:textId="77777777" w:rsidTr="00F90E71">
        <w:trPr>
          <w:trHeight w:val="296"/>
          <w:jc w:val="center"/>
        </w:trPr>
        <w:tc>
          <w:tcPr>
            <w:tcW w:w="2231" w:type="dxa"/>
            <w:noWrap/>
            <w:hideMark/>
          </w:tcPr>
          <w:p w14:paraId="53B54B6E"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26 April 2021</w:t>
            </w:r>
          </w:p>
        </w:tc>
        <w:tc>
          <w:tcPr>
            <w:tcW w:w="1365" w:type="dxa"/>
            <w:noWrap/>
            <w:hideMark/>
          </w:tcPr>
          <w:p w14:paraId="6D1BAD39"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5.18</w:t>
            </w:r>
          </w:p>
        </w:tc>
        <w:tc>
          <w:tcPr>
            <w:tcW w:w="1274" w:type="dxa"/>
            <w:noWrap/>
            <w:hideMark/>
          </w:tcPr>
          <w:p w14:paraId="59D163FC"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15.50 </w:t>
            </w:r>
          </w:p>
        </w:tc>
        <w:tc>
          <w:tcPr>
            <w:tcW w:w="1484" w:type="dxa"/>
            <w:noWrap/>
            <w:hideMark/>
          </w:tcPr>
          <w:p w14:paraId="50F59330"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1.83</w:t>
            </w:r>
          </w:p>
        </w:tc>
        <w:tc>
          <w:tcPr>
            <w:tcW w:w="1053" w:type="dxa"/>
            <w:noWrap/>
            <w:hideMark/>
          </w:tcPr>
          <w:p w14:paraId="781C6DB4" w14:textId="042FB9F6"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NA</w:t>
            </w:r>
          </w:p>
        </w:tc>
        <w:tc>
          <w:tcPr>
            <w:tcW w:w="941" w:type="dxa"/>
            <w:noWrap/>
            <w:hideMark/>
          </w:tcPr>
          <w:p w14:paraId="75A9875A" w14:textId="35FDBA61"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NA</w:t>
            </w:r>
          </w:p>
        </w:tc>
        <w:tc>
          <w:tcPr>
            <w:tcW w:w="995" w:type="dxa"/>
            <w:noWrap/>
            <w:hideMark/>
          </w:tcPr>
          <w:p w14:paraId="03BA765E" w14:textId="61E3F4ED"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NA</w:t>
            </w:r>
          </w:p>
        </w:tc>
      </w:tr>
      <w:tr w:rsidR="00D265E1" w:rsidRPr="000B3360" w14:paraId="0BB93E89" w14:textId="77777777" w:rsidTr="00F90E71">
        <w:trPr>
          <w:trHeight w:val="296"/>
          <w:jc w:val="center"/>
        </w:trPr>
        <w:tc>
          <w:tcPr>
            <w:tcW w:w="2231" w:type="dxa"/>
            <w:noWrap/>
            <w:hideMark/>
          </w:tcPr>
          <w:p w14:paraId="0FDE23EB"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23 July 2021</w:t>
            </w:r>
          </w:p>
        </w:tc>
        <w:tc>
          <w:tcPr>
            <w:tcW w:w="1365" w:type="dxa"/>
            <w:noWrap/>
            <w:hideMark/>
          </w:tcPr>
          <w:p w14:paraId="5814AD89"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5.82</w:t>
            </w:r>
          </w:p>
        </w:tc>
        <w:tc>
          <w:tcPr>
            <w:tcW w:w="1274" w:type="dxa"/>
            <w:noWrap/>
            <w:hideMark/>
          </w:tcPr>
          <w:p w14:paraId="2C523F55"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16.80 </w:t>
            </w:r>
          </w:p>
        </w:tc>
        <w:tc>
          <w:tcPr>
            <w:tcW w:w="1484" w:type="dxa"/>
            <w:noWrap/>
            <w:hideMark/>
          </w:tcPr>
          <w:p w14:paraId="6A545C32"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2.66</w:t>
            </w:r>
          </w:p>
        </w:tc>
        <w:tc>
          <w:tcPr>
            <w:tcW w:w="1053" w:type="dxa"/>
            <w:noWrap/>
            <w:hideMark/>
          </w:tcPr>
          <w:p w14:paraId="4161CC78" w14:textId="01381233"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NA</w:t>
            </w:r>
          </w:p>
        </w:tc>
        <w:tc>
          <w:tcPr>
            <w:tcW w:w="941" w:type="dxa"/>
            <w:noWrap/>
            <w:hideMark/>
          </w:tcPr>
          <w:p w14:paraId="5FEDFD6B" w14:textId="5F1EE9CB"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NA</w:t>
            </w:r>
          </w:p>
        </w:tc>
        <w:tc>
          <w:tcPr>
            <w:tcW w:w="995" w:type="dxa"/>
            <w:noWrap/>
            <w:hideMark/>
          </w:tcPr>
          <w:p w14:paraId="481FEC4E" w14:textId="3FFC0496"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NA</w:t>
            </w:r>
          </w:p>
        </w:tc>
      </w:tr>
      <w:tr w:rsidR="00D265E1" w:rsidRPr="000B3360" w14:paraId="47B39F8D" w14:textId="77777777" w:rsidTr="00F90E71">
        <w:trPr>
          <w:trHeight w:val="296"/>
          <w:jc w:val="center"/>
        </w:trPr>
        <w:tc>
          <w:tcPr>
            <w:tcW w:w="2231" w:type="dxa"/>
            <w:tcBorders>
              <w:bottom w:val="single" w:sz="4" w:space="0" w:color="auto"/>
            </w:tcBorders>
            <w:noWrap/>
            <w:hideMark/>
          </w:tcPr>
          <w:p w14:paraId="5CA0CB36"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15 December 2021</w:t>
            </w:r>
          </w:p>
        </w:tc>
        <w:tc>
          <w:tcPr>
            <w:tcW w:w="1365" w:type="dxa"/>
            <w:tcBorders>
              <w:bottom w:val="single" w:sz="4" w:space="0" w:color="auto"/>
            </w:tcBorders>
            <w:noWrap/>
            <w:hideMark/>
          </w:tcPr>
          <w:p w14:paraId="1FA0AE5C"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6.03</w:t>
            </w:r>
          </w:p>
        </w:tc>
        <w:tc>
          <w:tcPr>
            <w:tcW w:w="1274" w:type="dxa"/>
            <w:tcBorders>
              <w:bottom w:val="single" w:sz="4" w:space="0" w:color="auto"/>
            </w:tcBorders>
            <w:noWrap/>
            <w:hideMark/>
          </w:tcPr>
          <w:p w14:paraId="724DCDCB"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16.41</w:t>
            </w:r>
          </w:p>
        </w:tc>
        <w:tc>
          <w:tcPr>
            <w:tcW w:w="1484" w:type="dxa"/>
            <w:tcBorders>
              <w:bottom w:val="single" w:sz="4" w:space="0" w:color="auto"/>
            </w:tcBorders>
            <w:noWrap/>
            <w:hideMark/>
          </w:tcPr>
          <w:p w14:paraId="2DDCE4CD"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1.68</w:t>
            </w:r>
          </w:p>
        </w:tc>
        <w:tc>
          <w:tcPr>
            <w:tcW w:w="1053" w:type="dxa"/>
            <w:tcBorders>
              <w:bottom w:val="single" w:sz="4" w:space="0" w:color="auto"/>
            </w:tcBorders>
            <w:noWrap/>
            <w:hideMark/>
          </w:tcPr>
          <w:p w14:paraId="0E425049"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24.56</w:t>
            </w:r>
          </w:p>
        </w:tc>
        <w:tc>
          <w:tcPr>
            <w:tcW w:w="941" w:type="dxa"/>
            <w:tcBorders>
              <w:bottom w:val="single" w:sz="4" w:space="0" w:color="auto"/>
            </w:tcBorders>
            <w:noWrap/>
            <w:hideMark/>
          </w:tcPr>
          <w:p w14:paraId="210EC2C2"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25.48</w:t>
            </w:r>
          </w:p>
        </w:tc>
        <w:tc>
          <w:tcPr>
            <w:tcW w:w="995" w:type="dxa"/>
            <w:tcBorders>
              <w:bottom w:val="single" w:sz="4" w:space="0" w:color="auto"/>
            </w:tcBorders>
            <w:noWrap/>
            <w:hideMark/>
          </w:tcPr>
          <w:p w14:paraId="4E5255D5" w14:textId="77777777" w:rsidR="00D265E1" w:rsidRPr="000B3360" w:rsidRDefault="00D265E1"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1.38 </w:t>
            </w:r>
          </w:p>
        </w:tc>
      </w:tr>
    </w:tbl>
    <w:p w14:paraId="26257FA8" w14:textId="4248CCC1" w:rsidR="00D265E1" w:rsidRPr="000B3360" w:rsidRDefault="00D265E1" w:rsidP="00CA6D9F">
      <w:pPr>
        <w:spacing w:line="360" w:lineRule="auto"/>
        <w:jc w:val="both"/>
        <w:rPr>
          <w:rFonts w:ascii="Book Antiqua" w:hAnsi="Book Antiqua"/>
          <w:color w:val="000000" w:themeColor="text1"/>
        </w:rPr>
      </w:pPr>
      <w:r w:rsidRPr="000B3360">
        <w:rPr>
          <w:rFonts w:ascii="Book Antiqua" w:hAnsi="Book Antiqua"/>
          <w:color w:val="000000" w:themeColor="text1"/>
        </w:rPr>
        <w:t>FT3: Free triiodothyronine; FT4: Free tetraiodothyronine; TSH: Thyroid stimulating hormone; TPOAb: Anti-thyroid peroxidase antibody; TGAb: Antithyroglobulin antibody; TRAb: Thyrotrophin receptor antibody; NA: Not available.</w:t>
      </w:r>
    </w:p>
    <w:p w14:paraId="6374E687" w14:textId="01E76BF6" w:rsidR="00D265E1" w:rsidRPr="000B3360" w:rsidRDefault="00D265E1" w:rsidP="00CA6D9F">
      <w:pPr>
        <w:spacing w:line="360" w:lineRule="auto"/>
        <w:jc w:val="both"/>
        <w:rPr>
          <w:rFonts w:ascii="Book Antiqua" w:hAnsi="Book Antiqua"/>
          <w:color w:val="000000" w:themeColor="text1"/>
        </w:rPr>
        <w:sectPr w:rsidR="00D265E1" w:rsidRPr="000B3360" w:rsidSect="00D265E1">
          <w:pgSz w:w="12240" w:h="20160" w:code="5"/>
          <w:pgMar w:top="1440" w:right="1800" w:bottom="1440" w:left="1800" w:header="708" w:footer="708" w:gutter="0"/>
          <w:cols w:space="708"/>
          <w:docGrid w:linePitch="360"/>
        </w:sectPr>
      </w:pPr>
    </w:p>
    <w:p w14:paraId="63571A6D" w14:textId="1663B6D9" w:rsidR="005C3CE7" w:rsidRPr="000B3360" w:rsidRDefault="005C3CE7" w:rsidP="00CA6D9F">
      <w:pPr>
        <w:spacing w:line="360" w:lineRule="auto"/>
        <w:jc w:val="both"/>
        <w:rPr>
          <w:rFonts w:ascii="Book Antiqua" w:hAnsi="Book Antiqua"/>
          <w:b/>
          <w:bCs/>
          <w:color w:val="000000" w:themeColor="text1"/>
        </w:rPr>
      </w:pPr>
      <w:r w:rsidRPr="000B3360">
        <w:rPr>
          <w:rFonts w:ascii="Book Antiqua" w:hAnsi="Book Antiqua"/>
          <w:b/>
          <w:bCs/>
          <w:color w:val="000000" w:themeColor="text1"/>
        </w:rPr>
        <w:lastRenderedPageBreak/>
        <w:t xml:space="preserve">Table </w:t>
      </w:r>
      <w:r w:rsidR="00674C6B" w:rsidRPr="000B3360">
        <w:rPr>
          <w:rFonts w:ascii="Book Antiqua" w:hAnsi="Book Antiqua"/>
          <w:b/>
          <w:bCs/>
          <w:color w:val="000000" w:themeColor="text1"/>
        </w:rPr>
        <w:t xml:space="preserve">3 </w:t>
      </w:r>
      <w:r w:rsidRPr="000B3360">
        <w:rPr>
          <w:rFonts w:ascii="Book Antiqua" w:hAnsi="Book Antiqua"/>
          <w:b/>
          <w:bCs/>
          <w:i/>
          <w:iCs/>
          <w:color w:val="000000" w:themeColor="text1"/>
        </w:rPr>
        <w:t>SLC12A3</w:t>
      </w:r>
      <w:r w:rsidRPr="000B3360">
        <w:rPr>
          <w:rFonts w:ascii="Book Antiqua" w:hAnsi="Book Antiqua"/>
          <w:b/>
          <w:bCs/>
          <w:color w:val="000000" w:themeColor="text1"/>
        </w:rPr>
        <w:t xml:space="preserve"> pathogenic variants identified in Gitelman syndrome complicated with thyroid disease to date</w:t>
      </w:r>
    </w:p>
    <w:tbl>
      <w:tblPr>
        <w:tblW w:w="14538" w:type="dxa"/>
        <w:tblInd w:w="392" w:type="dxa"/>
        <w:tblLook w:val="04A0" w:firstRow="1" w:lastRow="0" w:firstColumn="1" w:lastColumn="0" w:noHBand="0" w:noVBand="1"/>
      </w:tblPr>
      <w:tblGrid>
        <w:gridCol w:w="736"/>
        <w:gridCol w:w="603"/>
        <w:gridCol w:w="657"/>
        <w:gridCol w:w="1349"/>
        <w:gridCol w:w="1496"/>
        <w:gridCol w:w="1110"/>
        <w:gridCol w:w="2065"/>
        <w:gridCol w:w="4020"/>
        <w:gridCol w:w="2185"/>
        <w:gridCol w:w="1431"/>
      </w:tblGrid>
      <w:tr w:rsidR="005C3CE7" w:rsidRPr="000B3360" w14:paraId="7D56A9D8" w14:textId="77777777" w:rsidTr="00CA6D9F">
        <w:trPr>
          <w:trHeight w:val="325"/>
        </w:trPr>
        <w:tc>
          <w:tcPr>
            <w:tcW w:w="630" w:type="dxa"/>
            <w:tcBorders>
              <w:top w:val="single" w:sz="4" w:space="0" w:color="auto"/>
              <w:bottom w:val="single" w:sz="4" w:space="0" w:color="auto"/>
            </w:tcBorders>
            <w:noWrap/>
            <w:hideMark/>
          </w:tcPr>
          <w:p w14:paraId="1F9DBC1D" w14:textId="77777777" w:rsidR="005C3CE7" w:rsidRPr="000B3360" w:rsidRDefault="005C3CE7" w:rsidP="00CA6D9F">
            <w:pPr>
              <w:spacing w:line="360" w:lineRule="auto"/>
              <w:jc w:val="both"/>
              <w:rPr>
                <w:rFonts w:ascii="Book Antiqua" w:eastAsia="Book Antiqua" w:hAnsi="Book Antiqua" w:cs="Tahoma"/>
                <w:b/>
                <w:bCs/>
                <w:color w:val="000000" w:themeColor="text1"/>
              </w:rPr>
            </w:pPr>
            <w:r w:rsidRPr="000B3360">
              <w:rPr>
                <w:rFonts w:ascii="Book Antiqua" w:eastAsia="Book Antiqua" w:hAnsi="Book Antiqua" w:cs="Tahoma"/>
                <w:b/>
                <w:bCs/>
                <w:color w:val="000000" w:themeColor="text1"/>
              </w:rPr>
              <w:t>Case no.</w:t>
            </w:r>
          </w:p>
        </w:tc>
        <w:tc>
          <w:tcPr>
            <w:tcW w:w="516" w:type="dxa"/>
            <w:tcBorders>
              <w:top w:val="single" w:sz="4" w:space="0" w:color="auto"/>
              <w:bottom w:val="single" w:sz="4" w:space="0" w:color="auto"/>
            </w:tcBorders>
            <w:noWrap/>
            <w:hideMark/>
          </w:tcPr>
          <w:p w14:paraId="01466953" w14:textId="77777777" w:rsidR="005C3CE7" w:rsidRPr="000B3360" w:rsidRDefault="005C3CE7" w:rsidP="00CA6D9F">
            <w:pPr>
              <w:spacing w:line="360" w:lineRule="auto"/>
              <w:jc w:val="both"/>
              <w:rPr>
                <w:rFonts w:ascii="Book Antiqua" w:eastAsia="Book Antiqua" w:hAnsi="Book Antiqua" w:cs="Tahoma"/>
                <w:b/>
                <w:bCs/>
                <w:color w:val="000000" w:themeColor="text1"/>
              </w:rPr>
            </w:pPr>
            <w:r w:rsidRPr="000B3360">
              <w:rPr>
                <w:rFonts w:ascii="Book Antiqua" w:eastAsia="Book Antiqua" w:hAnsi="Book Antiqua" w:cs="Tahoma"/>
                <w:b/>
                <w:bCs/>
                <w:color w:val="000000" w:themeColor="text1"/>
              </w:rPr>
              <w:t>Sex</w:t>
            </w:r>
          </w:p>
        </w:tc>
        <w:tc>
          <w:tcPr>
            <w:tcW w:w="562" w:type="dxa"/>
            <w:tcBorders>
              <w:top w:val="single" w:sz="4" w:space="0" w:color="auto"/>
              <w:bottom w:val="single" w:sz="4" w:space="0" w:color="auto"/>
            </w:tcBorders>
            <w:noWrap/>
            <w:hideMark/>
          </w:tcPr>
          <w:p w14:paraId="05433EE4" w14:textId="77777777" w:rsidR="005C3CE7" w:rsidRPr="000B3360" w:rsidRDefault="005C3CE7" w:rsidP="00CA6D9F">
            <w:pPr>
              <w:spacing w:line="360" w:lineRule="auto"/>
              <w:jc w:val="both"/>
              <w:rPr>
                <w:rFonts w:ascii="Book Antiqua" w:eastAsia="Book Antiqua" w:hAnsi="Book Antiqua" w:cs="Tahoma"/>
                <w:b/>
                <w:bCs/>
                <w:color w:val="000000" w:themeColor="text1"/>
              </w:rPr>
            </w:pPr>
            <w:r w:rsidRPr="000B3360">
              <w:rPr>
                <w:rFonts w:ascii="Book Antiqua" w:eastAsia="Book Antiqua" w:hAnsi="Book Antiqua" w:cs="Tahoma"/>
                <w:b/>
                <w:bCs/>
                <w:color w:val="000000" w:themeColor="text1"/>
              </w:rPr>
              <w:t>Age</w:t>
            </w:r>
          </w:p>
        </w:tc>
        <w:tc>
          <w:tcPr>
            <w:tcW w:w="1155" w:type="dxa"/>
            <w:tcBorders>
              <w:top w:val="single" w:sz="4" w:space="0" w:color="auto"/>
              <w:bottom w:val="single" w:sz="4" w:space="0" w:color="auto"/>
            </w:tcBorders>
            <w:noWrap/>
            <w:hideMark/>
          </w:tcPr>
          <w:p w14:paraId="7FD06AF8" w14:textId="77777777" w:rsidR="005C3CE7" w:rsidRPr="000B3360" w:rsidRDefault="005C3CE7" w:rsidP="00CA6D9F">
            <w:pPr>
              <w:spacing w:line="360" w:lineRule="auto"/>
              <w:jc w:val="both"/>
              <w:rPr>
                <w:rFonts w:ascii="Book Antiqua" w:eastAsia="Book Antiqua" w:hAnsi="Book Antiqua"/>
                <w:b/>
                <w:bCs/>
                <w:color w:val="000000" w:themeColor="text1"/>
              </w:rPr>
            </w:pPr>
            <w:r w:rsidRPr="000B3360">
              <w:rPr>
                <w:rFonts w:ascii="Book Antiqua" w:eastAsia="Book Antiqua" w:hAnsi="Book Antiqua"/>
                <w:b/>
                <w:bCs/>
                <w:color w:val="000000" w:themeColor="text1"/>
              </w:rPr>
              <w:t>S</w:t>
            </w:r>
            <w:bookmarkStart w:id="16" w:name="OLE_LINK5"/>
            <w:r w:rsidRPr="000B3360">
              <w:rPr>
                <w:rFonts w:ascii="Book Antiqua" w:eastAsia="Book Antiqua" w:hAnsi="Book Antiqua"/>
                <w:b/>
                <w:bCs/>
                <w:color w:val="000000" w:themeColor="text1"/>
              </w:rPr>
              <w:t>erum</w:t>
            </w:r>
            <w:r w:rsidRPr="000B3360">
              <w:rPr>
                <w:rFonts w:ascii="Book Antiqua" w:hAnsi="Book Antiqua"/>
                <w:b/>
                <w:bCs/>
                <w:color w:val="000000" w:themeColor="text1"/>
              </w:rPr>
              <w:t xml:space="preserve"> </w:t>
            </w:r>
            <w:r w:rsidRPr="000B3360">
              <w:rPr>
                <w:rFonts w:ascii="Book Antiqua" w:eastAsia="Book Antiqua" w:hAnsi="Book Antiqua"/>
                <w:b/>
                <w:bCs/>
                <w:color w:val="000000" w:themeColor="text1"/>
              </w:rPr>
              <w:t>potassium</w:t>
            </w:r>
            <w:bookmarkEnd w:id="16"/>
            <w:r w:rsidRPr="000B3360">
              <w:rPr>
                <w:rFonts w:ascii="Book Antiqua" w:eastAsia="Book Antiqua" w:hAnsi="Book Antiqua"/>
                <w:b/>
                <w:bCs/>
                <w:color w:val="000000" w:themeColor="text1"/>
              </w:rPr>
              <w:t xml:space="preserve"> (mmol/L)</w:t>
            </w:r>
          </w:p>
        </w:tc>
        <w:tc>
          <w:tcPr>
            <w:tcW w:w="1281" w:type="dxa"/>
            <w:tcBorders>
              <w:top w:val="single" w:sz="4" w:space="0" w:color="auto"/>
              <w:bottom w:val="single" w:sz="4" w:space="0" w:color="auto"/>
            </w:tcBorders>
            <w:noWrap/>
            <w:hideMark/>
          </w:tcPr>
          <w:p w14:paraId="79A4B5FE" w14:textId="77777777" w:rsidR="005C3CE7" w:rsidRPr="000B3360" w:rsidRDefault="005C3CE7" w:rsidP="00CA6D9F">
            <w:pPr>
              <w:spacing w:line="360" w:lineRule="auto"/>
              <w:jc w:val="both"/>
              <w:rPr>
                <w:rFonts w:ascii="Book Antiqua" w:eastAsia="Book Antiqua" w:hAnsi="Book Antiqua"/>
                <w:b/>
                <w:bCs/>
                <w:color w:val="000000" w:themeColor="text1"/>
              </w:rPr>
            </w:pPr>
            <w:r w:rsidRPr="000B3360">
              <w:rPr>
                <w:rFonts w:ascii="Book Antiqua" w:eastAsia="Book Antiqua" w:hAnsi="Book Antiqua"/>
                <w:b/>
                <w:bCs/>
                <w:color w:val="000000" w:themeColor="text1"/>
              </w:rPr>
              <w:t>Serum</w:t>
            </w:r>
            <w:r w:rsidRPr="000B3360">
              <w:rPr>
                <w:rFonts w:ascii="Book Antiqua" w:hAnsi="Book Antiqua"/>
                <w:b/>
                <w:bCs/>
                <w:color w:val="000000" w:themeColor="text1"/>
              </w:rPr>
              <w:t xml:space="preserve"> </w:t>
            </w:r>
            <w:r w:rsidRPr="000B3360">
              <w:rPr>
                <w:rFonts w:ascii="Book Antiqua" w:eastAsia="Book Antiqua" w:hAnsi="Book Antiqua"/>
                <w:b/>
                <w:bCs/>
                <w:color w:val="000000" w:themeColor="text1"/>
              </w:rPr>
              <w:t>magnesium</w:t>
            </w:r>
            <w:r w:rsidRPr="000B3360">
              <w:rPr>
                <w:rFonts w:ascii="Book Antiqua" w:hAnsi="Book Antiqua"/>
                <w:b/>
                <w:bCs/>
                <w:color w:val="000000" w:themeColor="text1"/>
              </w:rPr>
              <w:t xml:space="preserve"> </w:t>
            </w:r>
            <w:r w:rsidRPr="000B3360">
              <w:rPr>
                <w:rFonts w:ascii="Book Antiqua" w:eastAsia="Book Antiqua" w:hAnsi="Book Antiqua"/>
                <w:b/>
                <w:bCs/>
                <w:color w:val="000000" w:themeColor="text1"/>
              </w:rPr>
              <w:t>(mmol/L)</w:t>
            </w:r>
          </w:p>
        </w:tc>
        <w:tc>
          <w:tcPr>
            <w:tcW w:w="950" w:type="dxa"/>
            <w:tcBorders>
              <w:top w:val="single" w:sz="4" w:space="0" w:color="auto"/>
              <w:bottom w:val="single" w:sz="4" w:space="0" w:color="auto"/>
            </w:tcBorders>
            <w:noWrap/>
            <w:hideMark/>
          </w:tcPr>
          <w:p w14:paraId="3EE6C2A4" w14:textId="77777777" w:rsidR="005C3CE7" w:rsidRPr="000B3360" w:rsidRDefault="005C3CE7" w:rsidP="00CA6D9F">
            <w:pPr>
              <w:spacing w:line="360" w:lineRule="auto"/>
              <w:jc w:val="both"/>
              <w:rPr>
                <w:rFonts w:ascii="Book Antiqua" w:eastAsia="Book Antiqua" w:hAnsi="Book Antiqua" w:cs="Tahoma"/>
                <w:b/>
                <w:bCs/>
                <w:color w:val="000000" w:themeColor="text1"/>
              </w:rPr>
            </w:pPr>
            <w:r w:rsidRPr="000B3360">
              <w:rPr>
                <w:rFonts w:ascii="Book Antiqua" w:eastAsia="Book Antiqua" w:hAnsi="Book Antiqua" w:cs="Tahoma"/>
                <w:b/>
                <w:bCs/>
                <w:color w:val="000000" w:themeColor="text1"/>
              </w:rPr>
              <w:t>Thyroid disease</w:t>
            </w:r>
          </w:p>
        </w:tc>
        <w:tc>
          <w:tcPr>
            <w:tcW w:w="2065" w:type="dxa"/>
            <w:tcBorders>
              <w:top w:val="single" w:sz="4" w:space="0" w:color="auto"/>
              <w:bottom w:val="single" w:sz="4" w:space="0" w:color="auto"/>
            </w:tcBorders>
            <w:noWrap/>
            <w:hideMark/>
          </w:tcPr>
          <w:p w14:paraId="35C5E0AD" w14:textId="77777777" w:rsidR="005C3CE7" w:rsidRPr="000B3360" w:rsidRDefault="005C3CE7" w:rsidP="00CA6D9F">
            <w:pPr>
              <w:spacing w:line="360" w:lineRule="auto"/>
              <w:jc w:val="both"/>
              <w:rPr>
                <w:rFonts w:ascii="Book Antiqua" w:eastAsia="Book Antiqua" w:hAnsi="Book Antiqua" w:cs="Tahoma"/>
                <w:b/>
                <w:bCs/>
                <w:color w:val="000000" w:themeColor="text1"/>
              </w:rPr>
            </w:pPr>
            <w:r w:rsidRPr="000B3360">
              <w:rPr>
                <w:rFonts w:ascii="Book Antiqua" w:eastAsia="Book Antiqua" w:hAnsi="Book Antiqua" w:cs="Tahoma"/>
                <w:b/>
                <w:bCs/>
                <w:color w:val="000000" w:themeColor="text1"/>
              </w:rPr>
              <w:t>Mutation type</w:t>
            </w:r>
          </w:p>
        </w:tc>
        <w:tc>
          <w:tcPr>
            <w:tcW w:w="3763" w:type="dxa"/>
            <w:tcBorders>
              <w:top w:val="single" w:sz="4" w:space="0" w:color="auto"/>
              <w:bottom w:val="single" w:sz="4" w:space="0" w:color="auto"/>
            </w:tcBorders>
            <w:noWrap/>
            <w:hideMark/>
          </w:tcPr>
          <w:p w14:paraId="03491130" w14:textId="77777777" w:rsidR="005C3CE7" w:rsidRPr="000B3360" w:rsidRDefault="005C3CE7" w:rsidP="00CA6D9F">
            <w:pPr>
              <w:spacing w:line="360" w:lineRule="auto"/>
              <w:jc w:val="both"/>
              <w:rPr>
                <w:rFonts w:ascii="Book Antiqua" w:eastAsia="Book Antiqua" w:hAnsi="Book Antiqua" w:cs="Tahoma"/>
                <w:b/>
                <w:bCs/>
                <w:color w:val="000000" w:themeColor="text1"/>
              </w:rPr>
            </w:pPr>
            <w:r w:rsidRPr="000B3360">
              <w:rPr>
                <w:rFonts w:ascii="Book Antiqua" w:eastAsia="Book Antiqua" w:hAnsi="Book Antiqua" w:cs="Tahoma"/>
                <w:b/>
                <w:bCs/>
                <w:color w:val="000000" w:themeColor="text1"/>
              </w:rPr>
              <w:t>DNA nucleotide change</w:t>
            </w:r>
          </w:p>
        </w:tc>
        <w:tc>
          <w:tcPr>
            <w:tcW w:w="2185" w:type="dxa"/>
            <w:tcBorders>
              <w:top w:val="single" w:sz="4" w:space="0" w:color="auto"/>
              <w:bottom w:val="single" w:sz="4" w:space="0" w:color="auto"/>
            </w:tcBorders>
            <w:noWrap/>
            <w:hideMark/>
          </w:tcPr>
          <w:p w14:paraId="252504BA" w14:textId="77777777" w:rsidR="005C3CE7" w:rsidRPr="000B3360" w:rsidRDefault="005C3CE7" w:rsidP="00CA6D9F">
            <w:pPr>
              <w:spacing w:line="360" w:lineRule="auto"/>
              <w:jc w:val="both"/>
              <w:rPr>
                <w:rFonts w:ascii="Book Antiqua" w:eastAsia="Book Antiqua" w:hAnsi="Book Antiqua" w:cs="Tahoma"/>
                <w:b/>
                <w:bCs/>
                <w:color w:val="000000" w:themeColor="text1"/>
              </w:rPr>
            </w:pPr>
            <w:r w:rsidRPr="000B3360">
              <w:rPr>
                <w:rFonts w:ascii="Book Antiqua" w:eastAsia="Book Antiqua" w:hAnsi="Book Antiqua" w:cs="Tahoma"/>
                <w:b/>
                <w:bCs/>
                <w:color w:val="000000" w:themeColor="text1"/>
              </w:rPr>
              <w:t>Amino acid change</w:t>
            </w:r>
          </w:p>
        </w:tc>
        <w:tc>
          <w:tcPr>
            <w:tcW w:w="1431" w:type="dxa"/>
            <w:tcBorders>
              <w:top w:val="single" w:sz="4" w:space="0" w:color="auto"/>
              <w:bottom w:val="single" w:sz="4" w:space="0" w:color="auto"/>
            </w:tcBorders>
            <w:noWrap/>
            <w:hideMark/>
          </w:tcPr>
          <w:p w14:paraId="18332672" w14:textId="77777777" w:rsidR="005C3CE7" w:rsidRPr="000B3360" w:rsidRDefault="005C3CE7" w:rsidP="00CA6D9F">
            <w:pPr>
              <w:spacing w:line="360" w:lineRule="auto"/>
              <w:jc w:val="both"/>
              <w:rPr>
                <w:rFonts w:ascii="Book Antiqua" w:eastAsia="Book Antiqua" w:hAnsi="Book Antiqua" w:cs="Tahoma"/>
                <w:b/>
                <w:bCs/>
                <w:color w:val="000000" w:themeColor="text1"/>
              </w:rPr>
            </w:pPr>
            <w:r w:rsidRPr="000B3360">
              <w:rPr>
                <w:rFonts w:ascii="Book Antiqua" w:eastAsia="Book Antiqua" w:hAnsi="Book Antiqua" w:cs="Tahoma"/>
                <w:b/>
                <w:bCs/>
                <w:color w:val="000000" w:themeColor="text1"/>
              </w:rPr>
              <w:t>Ref.</w:t>
            </w:r>
          </w:p>
        </w:tc>
      </w:tr>
      <w:tr w:rsidR="005C3CE7" w:rsidRPr="000B3360" w14:paraId="42147612" w14:textId="77777777" w:rsidTr="00CA6D9F">
        <w:trPr>
          <w:trHeight w:val="271"/>
        </w:trPr>
        <w:tc>
          <w:tcPr>
            <w:tcW w:w="630" w:type="dxa"/>
            <w:vMerge w:val="restart"/>
            <w:tcBorders>
              <w:top w:val="single" w:sz="4" w:space="0" w:color="auto"/>
            </w:tcBorders>
            <w:noWrap/>
            <w:hideMark/>
          </w:tcPr>
          <w:p w14:paraId="00BEB9C9"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1</w:t>
            </w:r>
          </w:p>
        </w:tc>
        <w:tc>
          <w:tcPr>
            <w:tcW w:w="516" w:type="dxa"/>
            <w:vMerge w:val="restart"/>
            <w:tcBorders>
              <w:top w:val="single" w:sz="4" w:space="0" w:color="auto"/>
            </w:tcBorders>
            <w:noWrap/>
            <w:hideMark/>
          </w:tcPr>
          <w:p w14:paraId="2FEA004E"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F</w:t>
            </w:r>
          </w:p>
        </w:tc>
        <w:tc>
          <w:tcPr>
            <w:tcW w:w="562" w:type="dxa"/>
            <w:vMerge w:val="restart"/>
            <w:tcBorders>
              <w:top w:val="single" w:sz="4" w:space="0" w:color="auto"/>
            </w:tcBorders>
            <w:noWrap/>
            <w:hideMark/>
          </w:tcPr>
          <w:p w14:paraId="3F1A713A"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29</w:t>
            </w:r>
          </w:p>
        </w:tc>
        <w:tc>
          <w:tcPr>
            <w:tcW w:w="1155" w:type="dxa"/>
            <w:vMerge w:val="restart"/>
            <w:tcBorders>
              <w:top w:val="single" w:sz="4" w:space="0" w:color="auto"/>
            </w:tcBorders>
            <w:noWrap/>
            <w:hideMark/>
          </w:tcPr>
          <w:p w14:paraId="74768895"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3.09 </w:t>
            </w:r>
          </w:p>
        </w:tc>
        <w:tc>
          <w:tcPr>
            <w:tcW w:w="1281" w:type="dxa"/>
            <w:vMerge w:val="restart"/>
            <w:tcBorders>
              <w:top w:val="single" w:sz="4" w:space="0" w:color="auto"/>
            </w:tcBorders>
            <w:noWrap/>
            <w:hideMark/>
          </w:tcPr>
          <w:p w14:paraId="0262C1CE"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0.60</w:t>
            </w:r>
          </w:p>
        </w:tc>
        <w:tc>
          <w:tcPr>
            <w:tcW w:w="950" w:type="dxa"/>
            <w:vMerge w:val="restart"/>
            <w:tcBorders>
              <w:top w:val="single" w:sz="4" w:space="0" w:color="auto"/>
            </w:tcBorders>
            <w:noWrap/>
            <w:hideMark/>
          </w:tcPr>
          <w:p w14:paraId="21B1B11D"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GD</w:t>
            </w:r>
          </w:p>
        </w:tc>
        <w:tc>
          <w:tcPr>
            <w:tcW w:w="2065" w:type="dxa"/>
            <w:vMerge w:val="restart"/>
            <w:tcBorders>
              <w:top w:val="single" w:sz="4" w:space="0" w:color="auto"/>
            </w:tcBorders>
            <w:noWrap/>
            <w:hideMark/>
          </w:tcPr>
          <w:p w14:paraId="38E45EA2"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Compound heterozygote</w:t>
            </w:r>
          </w:p>
        </w:tc>
        <w:tc>
          <w:tcPr>
            <w:tcW w:w="3763" w:type="dxa"/>
            <w:tcBorders>
              <w:top w:val="single" w:sz="4" w:space="0" w:color="auto"/>
            </w:tcBorders>
            <w:noWrap/>
            <w:hideMark/>
          </w:tcPr>
          <w:p w14:paraId="2C0F4711"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c.488C&gt;T</w:t>
            </w:r>
          </w:p>
        </w:tc>
        <w:tc>
          <w:tcPr>
            <w:tcW w:w="2185" w:type="dxa"/>
            <w:tcBorders>
              <w:top w:val="single" w:sz="4" w:space="0" w:color="auto"/>
            </w:tcBorders>
            <w:noWrap/>
            <w:hideMark/>
          </w:tcPr>
          <w:p w14:paraId="61262553"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p.Thr163Met</w:t>
            </w:r>
          </w:p>
        </w:tc>
        <w:tc>
          <w:tcPr>
            <w:tcW w:w="1431" w:type="dxa"/>
            <w:tcBorders>
              <w:top w:val="single" w:sz="4" w:space="0" w:color="auto"/>
            </w:tcBorders>
            <w:noWrap/>
            <w:hideMark/>
          </w:tcPr>
          <w:p w14:paraId="0F72CC4E"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this study</w:t>
            </w:r>
          </w:p>
        </w:tc>
      </w:tr>
      <w:tr w:rsidR="005C3CE7" w:rsidRPr="000B3360" w14:paraId="66A59192" w14:textId="77777777" w:rsidTr="00CA6D9F">
        <w:trPr>
          <w:trHeight w:val="271"/>
        </w:trPr>
        <w:tc>
          <w:tcPr>
            <w:tcW w:w="630" w:type="dxa"/>
            <w:vMerge/>
            <w:noWrap/>
            <w:hideMark/>
          </w:tcPr>
          <w:p w14:paraId="2602710C"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16" w:type="dxa"/>
            <w:vMerge/>
            <w:noWrap/>
            <w:hideMark/>
          </w:tcPr>
          <w:p w14:paraId="46B7B166"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62" w:type="dxa"/>
            <w:vMerge/>
            <w:noWrap/>
            <w:hideMark/>
          </w:tcPr>
          <w:p w14:paraId="101D804E"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155" w:type="dxa"/>
            <w:vMerge/>
            <w:noWrap/>
            <w:hideMark/>
          </w:tcPr>
          <w:p w14:paraId="56CFF98A"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281" w:type="dxa"/>
            <w:vMerge/>
            <w:noWrap/>
            <w:hideMark/>
          </w:tcPr>
          <w:p w14:paraId="03A50EBC"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950" w:type="dxa"/>
            <w:vMerge/>
            <w:noWrap/>
            <w:hideMark/>
          </w:tcPr>
          <w:p w14:paraId="6E32EF7A"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2065" w:type="dxa"/>
            <w:vMerge/>
            <w:noWrap/>
            <w:hideMark/>
          </w:tcPr>
          <w:p w14:paraId="331A0977"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3763" w:type="dxa"/>
            <w:noWrap/>
            <w:hideMark/>
          </w:tcPr>
          <w:p w14:paraId="08E9F4AC"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c.2612G&gt;A</w:t>
            </w:r>
          </w:p>
        </w:tc>
        <w:tc>
          <w:tcPr>
            <w:tcW w:w="2185" w:type="dxa"/>
            <w:noWrap/>
            <w:hideMark/>
          </w:tcPr>
          <w:p w14:paraId="125C272E"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p.Arg871His</w:t>
            </w:r>
          </w:p>
        </w:tc>
        <w:tc>
          <w:tcPr>
            <w:tcW w:w="1431" w:type="dxa"/>
            <w:noWrap/>
            <w:hideMark/>
          </w:tcPr>
          <w:p w14:paraId="7457C821"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this study</w:t>
            </w:r>
          </w:p>
        </w:tc>
      </w:tr>
      <w:tr w:rsidR="005C3CE7" w:rsidRPr="000B3360" w14:paraId="7B7C338A" w14:textId="77777777" w:rsidTr="00CA6D9F">
        <w:trPr>
          <w:trHeight w:val="271"/>
        </w:trPr>
        <w:tc>
          <w:tcPr>
            <w:tcW w:w="630" w:type="dxa"/>
            <w:vMerge/>
            <w:noWrap/>
            <w:hideMark/>
          </w:tcPr>
          <w:p w14:paraId="78CE8A58"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16" w:type="dxa"/>
            <w:vMerge/>
            <w:noWrap/>
            <w:hideMark/>
          </w:tcPr>
          <w:p w14:paraId="269E38EC"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62" w:type="dxa"/>
            <w:vMerge/>
            <w:noWrap/>
            <w:hideMark/>
          </w:tcPr>
          <w:p w14:paraId="1EFA7F64"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155" w:type="dxa"/>
            <w:vMerge/>
            <w:noWrap/>
            <w:hideMark/>
          </w:tcPr>
          <w:p w14:paraId="0AF5E803"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281" w:type="dxa"/>
            <w:vMerge/>
            <w:noWrap/>
            <w:hideMark/>
          </w:tcPr>
          <w:p w14:paraId="16D275E9"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950" w:type="dxa"/>
            <w:vMerge/>
            <w:noWrap/>
            <w:hideMark/>
          </w:tcPr>
          <w:p w14:paraId="230235AD"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2065" w:type="dxa"/>
            <w:vMerge/>
            <w:noWrap/>
            <w:hideMark/>
          </w:tcPr>
          <w:p w14:paraId="26D1F302"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3763" w:type="dxa"/>
            <w:noWrap/>
            <w:hideMark/>
          </w:tcPr>
          <w:p w14:paraId="5F64604D"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c.1171_1178dupGCCACCAT</w:t>
            </w:r>
          </w:p>
        </w:tc>
        <w:tc>
          <w:tcPr>
            <w:tcW w:w="2185" w:type="dxa"/>
            <w:noWrap/>
            <w:hideMark/>
          </w:tcPr>
          <w:p w14:paraId="28CF5C3D"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p.Ile393fs</w:t>
            </w:r>
          </w:p>
        </w:tc>
        <w:tc>
          <w:tcPr>
            <w:tcW w:w="1431" w:type="dxa"/>
            <w:noWrap/>
            <w:hideMark/>
          </w:tcPr>
          <w:p w14:paraId="36126A13"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this study</w:t>
            </w:r>
          </w:p>
        </w:tc>
      </w:tr>
      <w:tr w:rsidR="005C3CE7" w:rsidRPr="000B3360" w14:paraId="221BF0D8" w14:textId="77777777" w:rsidTr="00CA6D9F">
        <w:trPr>
          <w:trHeight w:val="285"/>
        </w:trPr>
        <w:tc>
          <w:tcPr>
            <w:tcW w:w="630" w:type="dxa"/>
            <w:vMerge w:val="restart"/>
            <w:noWrap/>
            <w:hideMark/>
          </w:tcPr>
          <w:p w14:paraId="66D230C3"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2</w:t>
            </w:r>
          </w:p>
        </w:tc>
        <w:tc>
          <w:tcPr>
            <w:tcW w:w="516" w:type="dxa"/>
            <w:vMerge w:val="restart"/>
            <w:noWrap/>
            <w:hideMark/>
          </w:tcPr>
          <w:p w14:paraId="28A59DF4"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F</w:t>
            </w:r>
          </w:p>
        </w:tc>
        <w:tc>
          <w:tcPr>
            <w:tcW w:w="562" w:type="dxa"/>
            <w:vMerge w:val="restart"/>
            <w:noWrap/>
            <w:hideMark/>
          </w:tcPr>
          <w:p w14:paraId="74A96FCE"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40</w:t>
            </w:r>
          </w:p>
        </w:tc>
        <w:tc>
          <w:tcPr>
            <w:tcW w:w="1155" w:type="dxa"/>
            <w:vMerge w:val="restart"/>
            <w:noWrap/>
            <w:hideMark/>
          </w:tcPr>
          <w:p w14:paraId="23332DB2"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3.30 </w:t>
            </w:r>
          </w:p>
        </w:tc>
        <w:tc>
          <w:tcPr>
            <w:tcW w:w="1281" w:type="dxa"/>
            <w:vMerge w:val="restart"/>
            <w:noWrap/>
            <w:hideMark/>
          </w:tcPr>
          <w:p w14:paraId="7D6CC2E1"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0.74 </w:t>
            </w:r>
          </w:p>
        </w:tc>
        <w:tc>
          <w:tcPr>
            <w:tcW w:w="950" w:type="dxa"/>
            <w:vMerge w:val="restart"/>
            <w:noWrap/>
            <w:hideMark/>
          </w:tcPr>
          <w:p w14:paraId="507D1AF0"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HT</w:t>
            </w:r>
          </w:p>
        </w:tc>
        <w:tc>
          <w:tcPr>
            <w:tcW w:w="2065" w:type="dxa"/>
            <w:vMerge w:val="restart"/>
            <w:noWrap/>
            <w:hideMark/>
          </w:tcPr>
          <w:p w14:paraId="6A7F43EC"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Compound heterozygote</w:t>
            </w:r>
          </w:p>
        </w:tc>
        <w:tc>
          <w:tcPr>
            <w:tcW w:w="3763" w:type="dxa"/>
            <w:noWrap/>
            <w:hideMark/>
          </w:tcPr>
          <w:p w14:paraId="2F5DB3AA"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c.2552T&gt;A</w:t>
            </w:r>
          </w:p>
        </w:tc>
        <w:tc>
          <w:tcPr>
            <w:tcW w:w="2185" w:type="dxa"/>
            <w:noWrap/>
            <w:hideMark/>
          </w:tcPr>
          <w:p w14:paraId="38C24F0F"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p.Leu849His</w:t>
            </w:r>
          </w:p>
        </w:tc>
        <w:tc>
          <w:tcPr>
            <w:tcW w:w="1431" w:type="dxa"/>
            <w:vMerge w:val="restart"/>
            <w:noWrap/>
            <w:hideMark/>
          </w:tcPr>
          <w:p w14:paraId="115FC52C"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noProof/>
                <w:color w:val="000000" w:themeColor="text1"/>
              </w:rPr>
              <w:t>[3</w:t>
            </w:r>
            <w:r w:rsidRPr="000B3360">
              <w:rPr>
                <w:rFonts w:ascii="Book Antiqua" w:hAnsi="Book Antiqua"/>
                <w:noProof/>
                <w:color w:val="000000" w:themeColor="text1"/>
              </w:rPr>
              <w:t>7</w:t>
            </w:r>
            <w:r w:rsidRPr="000B3360">
              <w:rPr>
                <w:rFonts w:ascii="Book Antiqua" w:eastAsia="宋体" w:hAnsi="Book Antiqua"/>
                <w:noProof/>
                <w:color w:val="000000" w:themeColor="text1"/>
              </w:rPr>
              <w:t>]</w:t>
            </w:r>
          </w:p>
        </w:tc>
      </w:tr>
      <w:tr w:rsidR="005C3CE7" w:rsidRPr="000B3360" w14:paraId="1081C4ED" w14:textId="77777777" w:rsidTr="00CA6D9F">
        <w:trPr>
          <w:trHeight w:val="285"/>
        </w:trPr>
        <w:tc>
          <w:tcPr>
            <w:tcW w:w="630" w:type="dxa"/>
            <w:vMerge/>
            <w:noWrap/>
            <w:hideMark/>
          </w:tcPr>
          <w:p w14:paraId="24F3495D"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16" w:type="dxa"/>
            <w:vMerge/>
            <w:noWrap/>
            <w:hideMark/>
          </w:tcPr>
          <w:p w14:paraId="245245C9"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62" w:type="dxa"/>
            <w:vMerge/>
            <w:noWrap/>
            <w:hideMark/>
          </w:tcPr>
          <w:p w14:paraId="034BF110"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155" w:type="dxa"/>
            <w:vMerge/>
            <w:noWrap/>
            <w:hideMark/>
          </w:tcPr>
          <w:p w14:paraId="136B9967"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281" w:type="dxa"/>
            <w:vMerge/>
            <w:noWrap/>
            <w:hideMark/>
          </w:tcPr>
          <w:p w14:paraId="21E8CCCE"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950" w:type="dxa"/>
            <w:vMerge/>
            <w:noWrap/>
            <w:hideMark/>
          </w:tcPr>
          <w:p w14:paraId="7B05B0C8"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2065" w:type="dxa"/>
            <w:vMerge/>
            <w:noWrap/>
            <w:hideMark/>
          </w:tcPr>
          <w:p w14:paraId="245BE078"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3763" w:type="dxa"/>
            <w:noWrap/>
            <w:hideMark/>
          </w:tcPr>
          <w:p w14:paraId="73BF2026"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c.2561G&gt;A</w:t>
            </w:r>
          </w:p>
        </w:tc>
        <w:tc>
          <w:tcPr>
            <w:tcW w:w="2185" w:type="dxa"/>
            <w:noWrap/>
            <w:hideMark/>
          </w:tcPr>
          <w:p w14:paraId="064159BA"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p.Arg852His</w:t>
            </w:r>
          </w:p>
        </w:tc>
        <w:tc>
          <w:tcPr>
            <w:tcW w:w="1431" w:type="dxa"/>
            <w:vMerge/>
            <w:noWrap/>
            <w:hideMark/>
          </w:tcPr>
          <w:p w14:paraId="141BFB3B" w14:textId="77777777" w:rsidR="005C3CE7" w:rsidRPr="000B3360" w:rsidRDefault="005C3CE7" w:rsidP="00CA6D9F">
            <w:pPr>
              <w:spacing w:line="360" w:lineRule="auto"/>
              <w:jc w:val="both"/>
              <w:rPr>
                <w:rFonts w:ascii="Book Antiqua" w:eastAsia="宋体" w:hAnsi="Book Antiqua"/>
                <w:color w:val="000000" w:themeColor="text1"/>
              </w:rPr>
            </w:pPr>
          </w:p>
        </w:tc>
      </w:tr>
      <w:tr w:rsidR="005C3CE7" w:rsidRPr="000B3360" w14:paraId="49290CEA" w14:textId="77777777" w:rsidTr="00CA6D9F">
        <w:trPr>
          <w:trHeight w:val="285"/>
        </w:trPr>
        <w:tc>
          <w:tcPr>
            <w:tcW w:w="630" w:type="dxa"/>
            <w:noWrap/>
            <w:hideMark/>
          </w:tcPr>
          <w:p w14:paraId="5D6C7E4E"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3</w:t>
            </w:r>
          </w:p>
        </w:tc>
        <w:tc>
          <w:tcPr>
            <w:tcW w:w="516" w:type="dxa"/>
            <w:noWrap/>
            <w:hideMark/>
          </w:tcPr>
          <w:p w14:paraId="263657BF"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F</w:t>
            </w:r>
          </w:p>
        </w:tc>
        <w:tc>
          <w:tcPr>
            <w:tcW w:w="562" w:type="dxa"/>
            <w:noWrap/>
            <w:hideMark/>
          </w:tcPr>
          <w:p w14:paraId="0DD0F2F6"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28</w:t>
            </w:r>
          </w:p>
        </w:tc>
        <w:tc>
          <w:tcPr>
            <w:tcW w:w="1155" w:type="dxa"/>
            <w:noWrap/>
            <w:hideMark/>
          </w:tcPr>
          <w:p w14:paraId="2405802A"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1.70 </w:t>
            </w:r>
          </w:p>
        </w:tc>
        <w:tc>
          <w:tcPr>
            <w:tcW w:w="1281" w:type="dxa"/>
            <w:noWrap/>
            <w:hideMark/>
          </w:tcPr>
          <w:p w14:paraId="021298F6"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0.62 </w:t>
            </w:r>
          </w:p>
        </w:tc>
        <w:tc>
          <w:tcPr>
            <w:tcW w:w="950" w:type="dxa"/>
            <w:noWrap/>
            <w:hideMark/>
          </w:tcPr>
          <w:p w14:paraId="1E82D6B5"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GD</w:t>
            </w:r>
          </w:p>
        </w:tc>
        <w:tc>
          <w:tcPr>
            <w:tcW w:w="2065" w:type="dxa"/>
            <w:noWrap/>
            <w:hideMark/>
          </w:tcPr>
          <w:p w14:paraId="1C73A038"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Homozygote</w:t>
            </w:r>
          </w:p>
        </w:tc>
        <w:tc>
          <w:tcPr>
            <w:tcW w:w="3763" w:type="dxa"/>
            <w:noWrap/>
            <w:hideMark/>
          </w:tcPr>
          <w:p w14:paraId="1AD6533F"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c.2552T&gt;A</w:t>
            </w:r>
          </w:p>
        </w:tc>
        <w:tc>
          <w:tcPr>
            <w:tcW w:w="2185" w:type="dxa"/>
            <w:noWrap/>
            <w:hideMark/>
          </w:tcPr>
          <w:p w14:paraId="2B4455A1"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p.Leu849His</w:t>
            </w:r>
          </w:p>
        </w:tc>
        <w:tc>
          <w:tcPr>
            <w:tcW w:w="1431" w:type="dxa"/>
            <w:noWrap/>
            <w:hideMark/>
          </w:tcPr>
          <w:p w14:paraId="7795CEBC"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noProof/>
                <w:color w:val="000000" w:themeColor="text1"/>
              </w:rPr>
              <w:t>[3</w:t>
            </w:r>
            <w:r w:rsidRPr="000B3360">
              <w:rPr>
                <w:rFonts w:ascii="Book Antiqua" w:hAnsi="Book Antiqua"/>
                <w:noProof/>
                <w:color w:val="000000" w:themeColor="text1"/>
              </w:rPr>
              <w:t>7</w:t>
            </w:r>
            <w:r w:rsidRPr="000B3360">
              <w:rPr>
                <w:rFonts w:ascii="Book Antiqua" w:eastAsia="宋体" w:hAnsi="Book Antiqua"/>
                <w:noProof/>
                <w:color w:val="000000" w:themeColor="text1"/>
              </w:rPr>
              <w:t>]</w:t>
            </w:r>
          </w:p>
        </w:tc>
      </w:tr>
      <w:tr w:rsidR="005C3CE7" w:rsidRPr="000B3360" w14:paraId="052448F8" w14:textId="77777777" w:rsidTr="00CA6D9F">
        <w:trPr>
          <w:trHeight w:val="285"/>
        </w:trPr>
        <w:tc>
          <w:tcPr>
            <w:tcW w:w="630" w:type="dxa"/>
            <w:vMerge w:val="restart"/>
            <w:noWrap/>
            <w:hideMark/>
          </w:tcPr>
          <w:p w14:paraId="46E14858"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4</w:t>
            </w:r>
          </w:p>
        </w:tc>
        <w:tc>
          <w:tcPr>
            <w:tcW w:w="516" w:type="dxa"/>
            <w:vMerge w:val="restart"/>
            <w:noWrap/>
            <w:hideMark/>
          </w:tcPr>
          <w:p w14:paraId="4BA141EB"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F</w:t>
            </w:r>
          </w:p>
        </w:tc>
        <w:tc>
          <w:tcPr>
            <w:tcW w:w="562" w:type="dxa"/>
            <w:vMerge w:val="restart"/>
            <w:noWrap/>
            <w:hideMark/>
          </w:tcPr>
          <w:p w14:paraId="046AA812"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18</w:t>
            </w:r>
          </w:p>
        </w:tc>
        <w:tc>
          <w:tcPr>
            <w:tcW w:w="1155" w:type="dxa"/>
            <w:vMerge w:val="restart"/>
            <w:noWrap/>
            <w:hideMark/>
          </w:tcPr>
          <w:p w14:paraId="0ABE69E6"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3.20 </w:t>
            </w:r>
          </w:p>
        </w:tc>
        <w:tc>
          <w:tcPr>
            <w:tcW w:w="1281" w:type="dxa"/>
            <w:vMerge w:val="restart"/>
            <w:noWrap/>
            <w:hideMark/>
          </w:tcPr>
          <w:p w14:paraId="45F1483D"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0.86 </w:t>
            </w:r>
          </w:p>
        </w:tc>
        <w:tc>
          <w:tcPr>
            <w:tcW w:w="950" w:type="dxa"/>
            <w:vMerge w:val="restart"/>
            <w:noWrap/>
            <w:hideMark/>
          </w:tcPr>
          <w:p w14:paraId="546D2207"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GD</w:t>
            </w:r>
          </w:p>
        </w:tc>
        <w:tc>
          <w:tcPr>
            <w:tcW w:w="2065" w:type="dxa"/>
            <w:vMerge w:val="restart"/>
            <w:noWrap/>
            <w:hideMark/>
          </w:tcPr>
          <w:p w14:paraId="79BF4686"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Compound heterozygote</w:t>
            </w:r>
          </w:p>
        </w:tc>
        <w:tc>
          <w:tcPr>
            <w:tcW w:w="3763" w:type="dxa"/>
            <w:noWrap/>
            <w:hideMark/>
          </w:tcPr>
          <w:p w14:paraId="3A0176AB"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c.1015A&gt;C</w:t>
            </w:r>
          </w:p>
        </w:tc>
        <w:tc>
          <w:tcPr>
            <w:tcW w:w="2185" w:type="dxa"/>
            <w:noWrap/>
            <w:hideMark/>
          </w:tcPr>
          <w:p w14:paraId="65325EDA"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p.Thr339Pro</w:t>
            </w:r>
          </w:p>
        </w:tc>
        <w:tc>
          <w:tcPr>
            <w:tcW w:w="1431" w:type="dxa"/>
            <w:vMerge w:val="restart"/>
            <w:noWrap/>
            <w:hideMark/>
          </w:tcPr>
          <w:p w14:paraId="586DBE24"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noProof/>
                <w:color w:val="000000" w:themeColor="text1"/>
              </w:rPr>
              <w:t>[3</w:t>
            </w:r>
            <w:r w:rsidRPr="000B3360">
              <w:rPr>
                <w:rFonts w:ascii="Book Antiqua" w:hAnsi="Book Antiqua"/>
                <w:noProof/>
                <w:color w:val="000000" w:themeColor="text1"/>
              </w:rPr>
              <w:t>8</w:t>
            </w:r>
            <w:r w:rsidRPr="000B3360">
              <w:rPr>
                <w:rFonts w:ascii="Book Antiqua" w:eastAsia="宋体" w:hAnsi="Book Antiqua"/>
                <w:noProof/>
                <w:color w:val="000000" w:themeColor="text1"/>
              </w:rPr>
              <w:t>]</w:t>
            </w:r>
          </w:p>
        </w:tc>
      </w:tr>
      <w:tr w:rsidR="005C3CE7" w:rsidRPr="000B3360" w14:paraId="63DC7AFF" w14:textId="77777777" w:rsidTr="00CA6D9F">
        <w:trPr>
          <w:trHeight w:val="285"/>
        </w:trPr>
        <w:tc>
          <w:tcPr>
            <w:tcW w:w="630" w:type="dxa"/>
            <w:vMerge/>
            <w:noWrap/>
            <w:hideMark/>
          </w:tcPr>
          <w:p w14:paraId="5C0FF60F"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16" w:type="dxa"/>
            <w:vMerge/>
            <w:noWrap/>
            <w:hideMark/>
          </w:tcPr>
          <w:p w14:paraId="6B5F7E7B"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62" w:type="dxa"/>
            <w:vMerge/>
            <w:noWrap/>
            <w:hideMark/>
          </w:tcPr>
          <w:p w14:paraId="49841724"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155" w:type="dxa"/>
            <w:vMerge/>
            <w:noWrap/>
            <w:hideMark/>
          </w:tcPr>
          <w:p w14:paraId="6B788DA0"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281" w:type="dxa"/>
            <w:vMerge/>
            <w:noWrap/>
            <w:hideMark/>
          </w:tcPr>
          <w:p w14:paraId="0ADE3342"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950" w:type="dxa"/>
            <w:vMerge/>
            <w:noWrap/>
            <w:hideMark/>
          </w:tcPr>
          <w:p w14:paraId="09610F78"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2065" w:type="dxa"/>
            <w:vMerge/>
            <w:noWrap/>
            <w:hideMark/>
          </w:tcPr>
          <w:p w14:paraId="6B9B33AD"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3763" w:type="dxa"/>
            <w:noWrap/>
            <w:hideMark/>
          </w:tcPr>
          <w:p w14:paraId="3C1A5FD2"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c.2573T&gt;A</w:t>
            </w:r>
          </w:p>
        </w:tc>
        <w:tc>
          <w:tcPr>
            <w:tcW w:w="2185" w:type="dxa"/>
            <w:noWrap/>
            <w:hideMark/>
          </w:tcPr>
          <w:p w14:paraId="5ADACB63"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p.Leu858His</w:t>
            </w:r>
          </w:p>
        </w:tc>
        <w:tc>
          <w:tcPr>
            <w:tcW w:w="1431" w:type="dxa"/>
            <w:vMerge/>
            <w:noWrap/>
            <w:hideMark/>
          </w:tcPr>
          <w:p w14:paraId="16B9757A" w14:textId="77777777" w:rsidR="005C3CE7" w:rsidRPr="000B3360" w:rsidRDefault="005C3CE7" w:rsidP="00CA6D9F">
            <w:pPr>
              <w:spacing w:line="360" w:lineRule="auto"/>
              <w:jc w:val="both"/>
              <w:rPr>
                <w:rFonts w:ascii="Book Antiqua" w:eastAsia="宋体" w:hAnsi="Book Antiqua"/>
                <w:color w:val="000000" w:themeColor="text1"/>
              </w:rPr>
            </w:pPr>
          </w:p>
        </w:tc>
      </w:tr>
      <w:tr w:rsidR="005C3CE7" w:rsidRPr="000B3360" w14:paraId="5CE1A138" w14:textId="77777777" w:rsidTr="00CA6D9F">
        <w:trPr>
          <w:trHeight w:val="285"/>
        </w:trPr>
        <w:tc>
          <w:tcPr>
            <w:tcW w:w="630" w:type="dxa"/>
            <w:vMerge w:val="restart"/>
            <w:noWrap/>
            <w:hideMark/>
          </w:tcPr>
          <w:p w14:paraId="1C6772E3"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5</w:t>
            </w:r>
          </w:p>
        </w:tc>
        <w:tc>
          <w:tcPr>
            <w:tcW w:w="516" w:type="dxa"/>
            <w:vMerge w:val="restart"/>
            <w:noWrap/>
            <w:hideMark/>
          </w:tcPr>
          <w:p w14:paraId="47AF37AB"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F</w:t>
            </w:r>
          </w:p>
        </w:tc>
        <w:tc>
          <w:tcPr>
            <w:tcW w:w="562" w:type="dxa"/>
            <w:vMerge w:val="restart"/>
            <w:noWrap/>
            <w:hideMark/>
          </w:tcPr>
          <w:p w14:paraId="27F786B8"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50</w:t>
            </w:r>
          </w:p>
        </w:tc>
        <w:tc>
          <w:tcPr>
            <w:tcW w:w="1155" w:type="dxa"/>
            <w:vMerge w:val="restart"/>
            <w:noWrap/>
            <w:hideMark/>
          </w:tcPr>
          <w:p w14:paraId="5DF81463"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3.00 </w:t>
            </w:r>
          </w:p>
        </w:tc>
        <w:tc>
          <w:tcPr>
            <w:tcW w:w="1281" w:type="dxa"/>
            <w:vMerge w:val="restart"/>
            <w:noWrap/>
            <w:hideMark/>
          </w:tcPr>
          <w:p w14:paraId="1133081D"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0.66 </w:t>
            </w:r>
          </w:p>
        </w:tc>
        <w:tc>
          <w:tcPr>
            <w:tcW w:w="950" w:type="dxa"/>
            <w:vMerge w:val="restart"/>
            <w:noWrap/>
            <w:hideMark/>
          </w:tcPr>
          <w:p w14:paraId="6DCAF475"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GD</w:t>
            </w:r>
          </w:p>
        </w:tc>
        <w:tc>
          <w:tcPr>
            <w:tcW w:w="2065" w:type="dxa"/>
            <w:vMerge w:val="restart"/>
            <w:noWrap/>
            <w:hideMark/>
          </w:tcPr>
          <w:p w14:paraId="1E1127FD"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Compound heterozygote</w:t>
            </w:r>
          </w:p>
        </w:tc>
        <w:tc>
          <w:tcPr>
            <w:tcW w:w="3763" w:type="dxa"/>
            <w:noWrap/>
            <w:hideMark/>
          </w:tcPr>
          <w:p w14:paraId="1337D594"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c.539C&gt;A</w:t>
            </w:r>
          </w:p>
        </w:tc>
        <w:tc>
          <w:tcPr>
            <w:tcW w:w="2185" w:type="dxa"/>
            <w:noWrap/>
            <w:hideMark/>
          </w:tcPr>
          <w:p w14:paraId="600938E0"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p.Thr180Lys</w:t>
            </w:r>
          </w:p>
        </w:tc>
        <w:tc>
          <w:tcPr>
            <w:tcW w:w="1431" w:type="dxa"/>
            <w:vMerge w:val="restart"/>
            <w:noWrap/>
            <w:hideMark/>
          </w:tcPr>
          <w:p w14:paraId="5CD7C65C"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noProof/>
                <w:color w:val="000000" w:themeColor="text1"/>
              </w:rPr>
              <w:t>[3</w:t>
            </w:r>
            <w:r w:rsidRPr="000B3360">
              <w:rPr>
                <w:rFonts w:ascii="Book Antiqua" w:hAnsi="Book Antiqua"/>
                <w:noProof/>
                <w:color w:val="000000" w:themeColor="text1"/>
              </w:rPr>
              <w:t>8</w:t>
            </w:r>
            <w:r w:rsidRPr="000B3360">
              <w:rPr>
                <w:rFonts w:ascii="Book Antiqua" w:eastAsia="宋体" w:hAnsi="Book Antiqua"/>
                <w:noProof/>
                <w:color w:val="000000" w:themeColor="text1"/>
              </w:rPr>
              <w:t>]</w:t>
            </w:r>
          </w:p>
        </w:tc>
      </w:tr>
      <w:tr w:rsidR="005C3CE7" w:rsidRPr="000B3360" w14:paraId="14FA325A" w14:textId="77777777" w:rsidTr="00CA6D9F">
        <w:trPr>
          <w:trHeight w:val="285"/>
        </w:trPr>
        <w:tc>
          <w:tcPr>
            <w:tcW w:w="630" w:type="dxa"/>
            <w:vMerge/>
            <w:noWrap/>
            <w:hideMark/>
          </w:tcPr>
          <w:p w14:paraId="56F2CD77"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16" w:type="dxa"/>
            <w:vMerge/>
            <w:noWrap/>
            <w:hideMark/>
          </w:tcPr>
          <w:p w14:paraId="3BC12C31"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62" w:type="dxa"/>
            <w:vMerge/>
            <w:noWrap/>
            <w:hideMark/>
          </w:tcPr>
          <w:p w14:paraId="7CC92518"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155" w:type="dxa"/>
            <w:vMerge/>
            <w:noWrap/>
            <w:hideMark/>
          </w:tcPr>
          <w:p w14:paraId="4BA10CFE"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281" w:type="dxa"/>
            <w:vMerge/>
            <w:noWrap/>
            <w:hideMark/>
          </w:tcPr>
          <w:p w14:paraId="7C7C4F1A"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950" w:type="dxa"/>
            <w:vMerge/>
            <w:noWrap/>
            <w:hideMark/>
          </w:tcPr>
          <w:p w14:paraId="47F388B0"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2065" w:type="dxa"/>
            <w:vMerge/>
            <w:noWrap/>
            <w:hideMark/>
          </w:tcPr>
          <w:p w14:paraId="64CFA5AC"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3763" w:type="dxa"/>
            <w:noWrap/>
            <w:hideMark/>
          </w:tcPr>
          <w:p w14:paraId="0D139A3E"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c.1045C&gt;T</w:t>
            </w:r>
          </w:p>
        </w:tc>
        <w:tc>
          <w:tcPr>
            <w:tcW w:w="2185" w:type="dxa"/>
            <w:noWrap/>
            <w:hideMark/>
          </w:tcPr>
          <w:p w14:paraId="4410FF6F"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p.Pro349Ser</w:t>
            </w:r>
          </w:p>
        </w:tc>
        <w:tc>
          <w:tcPr>
            <w:tcW w:w="1431" w:type="dxa"/>
            <w:vMerge/>
            <w:noWrap/>
            <w:hideMark/>
          </w:tcPr>
          <w:p w14:paraId="5B242708" w14:textId="77777777" w:rsidR="005C3CE7" w:rsidRPr="000B3360" w:rsidRDefault="005C3CE7" w:rsidP="00CA6D9F">
            <w:pPr>
              <w:spacing w:line="360" w:lineRule="auto"/>
              <w:jc w:val="both"/>
              <w:rPr>
                <w:rFonts w:ascii="Book Antiqua" w:eastAsia="宋体" w:hAnsi="Book Antiqua"/>
                <w:color w:val="000000" w:themeColor="text1"/>
              </w:rPr>
            </w:pPr>
          </w:p>
        </w:tc>
      </w:tr>
      <w:tr w:rsidR="005C3CE7" w:rsidRPr="000B3360" w14:paraId="34C9401D" w14:textId="77777777" w:rsidTr="00CA6D9F">
        <w:trPr>
          <w:trHeight w:val="285"/>
        </w:trPr>
        <w:tc>
          <w:tcPr>
            <w:tcW w:w="630" w:type="dxa"/>
            <w:noWrap/>
            <w:hideMark/>
          </w:tcPr>
          <w:p w14:paraId="5D6A755E"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6</w:t>
            </w:r>
          </w:p>
        </w:tc>
        <w:tc>
          <w:tcPr>
            <w:tcW w:w="516" w:type="dxa"/>
            <w:noWrap/>
            <w:hideMark/>
          </w:tcPr>
          <w:p w14:paraId="58258CB6"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F</w:t>
            </w:r>
          </w:p>
        </w:tc>
        <w:tc>
          <w:tcPr>
            <w:tcW w:w="562" w:type="dxa"/>
            <w:noWrap/>
            <w:hideMark/>
          </w:tcPr>
          <w:p w14:paraId="3393FBBC"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56</w:t>
            </w:r>
          </w:p>
        </w:tc>
        <w:tc>
          <w:tcPr>
            <w:tcW w:w="1155" w:type="dxa"/>
            <w:noWrap/>
            <w:hideMark/>
          </w:tcPr>
          <w:p w14:paraId="4F2D1810"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2.80 </w:t>
            </w:r>
          </w:p>
        </w:tc>
        <w:tc>
          <w:tcPr>
            <w:tcW w:w="1281" w:type="dxa"/>
            <w:noWrap/>
            <w:hideMark/>
          </w:tcPr>
          <w:p w14:paraId="10010392"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0.49 </w:t>
            </w:r>
          </w:p>
        </w:tc>
        <w:tc>
          <w:tcPr>
            <w:tcW w:w="950" w:type="dxa"/>
            <w:noWrap/>
            <w:hideMark/>
          </w:tcPr>
          <w:p w14:paraId="11F29EC8"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GD</w:t>
            </w:r>
          </w:p>
        </w:tc>
        <w:tc>
          <w:tcPr>
            <w:tcW w:w="2065" w:type="dxa"/>
            <w:noWrap/>
            <w:hideMark/>
          </w:tcPr>
          <w:p w14:paraId="23C20E9D"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Homozygote</w:t>
            </w:r>
          </w:p>
        </w:tc>
        <w:tc>
          <w:tcPr>
            <w:tcW w:w="3763" w:type="dxa"/>
            <w:noWrap/>
            <w:hideMark/>
          </w:tcPr>
          <w:p w14:paraId="66B75A1A"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c.1706C&gt;T</w:t>
            </w:r>
          </w:p>
        </w:tc>
        <w:tc>
          <w:tcPr>
            <w:tcW w:w="2185" w:type="dxa"/>
            <w:noWrap/>
            <w:hideMark/>
          </w:tcPr>
          <w:p w14:paraId="230872B6"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p.Ala569Val</w:t>
            </w:r>
          </w:p>
        </w:tc>
        <w:tc>
          <w:tcPr>
            <w:tcW w:w="1431" w:type="dxa"/>
            <w:noWrap/>
            <w:hideMark/>
          </w:tcPr>
          <w:p w14:paraId="16256CBD"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noProof/>
                <w:color w:val="000000" w:themeColor="text1"/>
              </w:rPr>
              <w:t>[3</w:t>
            </w:r>
            <w:r w:rsidRPr="000B3360">
              <w:rPr>
                <w:rFonts w:ascii="Book Antiqua" w:hAnsi="Book Antiqua"/>
                <w:noProof/>
                <w:color w:val="000000" w:themeColor="text1"/>
              </w:rPr>
              <w:t>8</w:t>
            </w:r>
            <w:r w:rsidRPr="000B3360">
              <w:rPr>
                <w:rFonts w:ascii="Book Antiqua" w:eastAsia="宋体" w:hAnsi="Book Antiqua"/>
                <w:noProof/>
                <w:color w:val="000000" w:themeColor="text1"/>
              </w:rPr>
              <w:t>]</w:t>
            </w:r>
          </w:p>
        </w:tc>
      </w:tr>
      <w:tr w:rsidR="005C3CE7" w:rsidRPr="000B3360" w14:paraId="1F4F77D8" w14:textId="77777777" w:rsidTr="00CA6D9F">
        <w:trPr>
          <w:trHeight w:val="285"/>
        </w:trPr>
        <w:tc>
          <w:tcPr>
            <w:tcW w:w="630" w:type="dxa"/>
            <w:noWrap/>
            <w:hideMark/>
          </w:tcPr>
          <w:p w14:paraId="27AD6DE1"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7</w:t>
            </w:r>
          </w:p>
        </w:tc>
        <w:tc>
          <w:tcPr>
            <w:tcW w:w="516" w:type="dxa"/>
            <w:noWrap/>
            <w:hideMark/>
          </w:tcPr>
          <w:p w14:paraId="435D264E"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F</w:t>
            </w:r>
          </w:p>
        </w:tc>
        <w:tc>
          <w:tcPr>
            <w:tcW w:w="562" w:type="dxa"/>
            <w:noWrap/>
            <w:hideMark/>
          </w:tcPr>
          <w:p w14:paraId="679368CF"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14</w:t>
            </w:r>
          </w:p>
        </w:tc>
        <w:tc>
          <w:tcPr>
            <w:tcW w:w="1155" w:type="dxa"/>
            <w:noWrap/>
            <w:hideMark/>
          </w:tcPr>
          <w:p w14:paraId="1D28AB50"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2.20 </w:t>
            </w:r>
          </w:p>
        </w:tc>
        <w:tc>
          <w:tcPr>
            <w:tcW w:w="1281" w:type="dxa"/>
            <w:noWrap/>
            <w:hideMark/>
          </w:tcPr>
          <w:p w14:paraId="3C40D4EF" w14:textId="7DE3CEEB"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NA</w:t>
            </w:r>
          </w:p>
        </w:tc>
        <w:tc>
          <w:tcPr>
            <w:tcW w:w="950" w:type="dxa"/>
            <w:noWrap/>
            <w:hideMark/>
          </w:tcPr>
          <w:p w14:paraId="1E35A97F"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GD</w:t>
            </w:r>
          </w:p>
        </w:tc>
        <w:tc>
          <w:tcPr>
            <w:tcW w:w="2065" w:type="dxa"/>
            <w:noWrap/>
            <w:hideMark/>
          </w:tcPr>
          <w:p w14:paraId="0BB42A5B"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No mention</w:t>
            </w:r>
          </w:p>
        </w:tc>
        <w:tc>
          <w:tcPr>
            <w:tcW w:w="3763" w:type="dxa"/>
            <w:noWrap/>
            <w:hideMark/>
          </w:tcPr>
          <w:p w14:paraId="19C9A7E6"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c.791G&gt;C</w:t>
            </w:r>
          </w:p>
        </w:tc>
        <w:tc>
          <w:tcPr>
            <w:tcW w:w="2185" w:type="dxa"/>
            <w:noWrap/>
            <w:hideMark/>
          </w:tcPr>
          <w:p w14:paraId="683AD6ED"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p.Gly264Ala</w:t>
            </w:r>
          </w:p>
        </w:tc>
        <w:tc>
          <w:tcPr>
            <w:tcW w:w="1431" w:type="dxa"/>
            <w:noWrap/>
            <w:hideMark/>
          </w:tcPr>
          <w:p w14:paraId="34544107"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noProof/>
                <w:color w:val="000000" w:themeColor="text1"/>
              </w:rPr>
              <w:t>[</w:t>
            </w:r>
            <w:r w:rsidRPr="000B3360">
              <w:rPr>
                <w:rFonts w:ascii="Book Antiqua" w:hAnsi="Book Antiqua"/>
                <w:noProof/>
                <w:color w:val="000000" w:themeColor="text1"/>
              </w:rPr>
              <w:t>39</w:t>
            </w:r>
            <w:r w:rsidRPr="000B3360">
              <w:rPr>
                <w:rFonts w:ascii="Book Antiqua" w:eastAsia="宋体" w:hAnsi="Book Antiqua"/>
                <w:noProof/>
                <w:color w:val="000000" w:themeColor="text1"/>
              </w:rPr>
              <w:t>]</w:t>
            </w:r>
          </w:p>
        </w:tc>
      </w:tr>
      <w:tr w:rsidR="005C3CE7" w:rsidRPr="000B3360" w14:paraId="40D88EB7" w14:textId="77777777" w:rsidTr="00CA6D9F">
        <w:trPr>
          <w:trHeight w:val="285"/>
        </w:trPr>
        <w:tc>
          <w:tcPr>
            <w:tcW w:w="630" w:type="dxa"/>
            <w:vMerge w:val="restart"/>
            <w:noWrap/>
            <w:hideMark/>
          </w:tcPr>
          <w:p w14:paraId="46B56C31"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8</w:t>
            </w:r>
          </w:p>
        </w:tc>
        <w:tc>
          <w:tcPr>
            <w:tcW w:w="516" w:type="dxa"/>
            <w:vMerge w:val="restart"/>
            <w:noWrap/>
            <w:hideMark/>
          </w:tcPr>
          <w:p w14:paraId="39045BA8"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M</w:t>
            </w:r>
          </w:p>
        </w:tc>
        <w:tc>
          <w:tcPr>
            <w:tcW w:w="562" w:type="dxa"/>
            <w:vMerge w:val="restart"/>
            <w:noWrap/>
            <w:hideMark/>
          </w:tcPr>
          <w:p w14:paraId="773D1D49"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16</w:t>
            </w:r>
          </w:p>
        </w:tc>
        <w:tc>
          <w:tcPr>
            <w:tcW w:w="1155" w:type="dxa"/>
            <w:vMerge w:val="restart"/>
            <w:noWrap/>
            <w:hideMark/>
          </w:tcPr>
          <w:p w14:paraId="7E9970E0"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2.27 </w:t>
            </w:r>
          </w:p>
        </w:tc>
        <w:tc>
          <w:tcPr>
            <w:tcW w:w="1281" w:type="dxa"/>
            <w:vMerge w:val="restart"/>
            <w:noWrap/>
            <w:hideMark/>
          </w:tcPr>
          <w:p w14:paraId="5F8C4F36"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0.40 </w:t>
            </w:r>
          </w:p>
        </w:tc>
        <w:tc>
          <w:tcPr>
            <w:tcW w:w="950" w:type="dxa"/>
            <w:vMerge w:val="restart"/>
            <w:noWrap/>
            <w:hideMark/>
          </w:tcPr>
          <w:p w14:paraId="24C7C4FA"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GD</w:t>
            </w:r>
          </w:p>
        </w:tc>
        <w:tc>
          <w:tcPr>
            <w:tcW w:w="2065" w:type="dxa"/>
            <w:vMerge w:val="restart"/>
            <w:noWrap/>
            <w:hideMark/>
          </w:tcPr>
          <w:p w14:paraId="1EDC760D"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Compound heterozygote</w:t>
            </w:r>
          </w:p>
        </w:tc>
        <w:tc>
          <w:tcPr>
            <w:tcW w:w="3763" w:type="dxa"/>
            <w:noWrap/>
            <w:hideMark/>
          </w:tcPr>
          <w:p w14:paraId="0AA9924A"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c.1456G&gt;A</w:t>
            </w:r>
          </w:p>
        </w:tc>
        <w:tc>
          <w:tcPr>
            <w:tcW w:w="2185" w:type="dxa"/>
            <w:noWrap/>
            <w:hideMark/>
          </w:tcPr>
          <w:p w14:paraId="265DD1E3"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p.Asp486Asn</w:t>
            </w:r>
          </w:p>
        </w:tc>
        <w:tc>
          <w:tcPr>
            <w:tcW w:w="1431" w:type="dxa"/>
            <w:vMerge w:val="restart"/>
            <w:noWrap/>
            <w:hideMark/>
          </w:tcPr>
          <w:p w14:paraId="7849C35C"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noProof/>
                <w:color w:val="000000" w:themeColor="text1"/>
              </w:rPr>
              <w:t>[</w:t>
            </w:r>
            <w:r w:rsidRPr="000B3360">
              <w:rPr>
                <w:rFonts w:ascii="Book Antiqua" w:hAnsi="Book Antiqua"/>
                <w:noProof/>
                <w:color w:val="000000" w:themeColor="text1"/>
              </w:rPr>
              <w:t>40</w:t>
            </w:r>
            <w:r w:rsidRPr="000B3360">
              <w:rPr>
                <w:rFonts w:ascii="Book Antiqua" w:eastAsia="宋体" w:hAnsi="Book Antiqua"/>
                <w:noProof/>
                <w:color w:val="000000" w:themeColor="text1"/>
              </w:rPr>
              <w:t>]</w:t>
            </w:r>
          </w:p>
        </w:tc>
      </w:tr>
      <w:tr w:rsidR="005C3CE7" w:rsidRPr="000B3360" w14:paraId="6D7782A1" w14:textId="77777777" w:rsidTr="00CA6D9F">
        <w:trPr>
          <w:trHeight w:val="285"/>
        </w:trPr>
        <w:tc>
          <w:tcPr>
            <w:tcW w:w="630" w:type="dxa"/>
            <w:vMerge/>
            <w:noWrap/>
            <w:hideMark/>
          </w:tcPr>
          <w:p w14:paraId="4EE7EAB5"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16" w:type="dxa"/>
            <w:vMerge/>
            <w:noWrap/>
            <w:hideMark/>
          </w:tcPr>
          <w:p w14:paraId="3223EEA2"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62" w:type="dxa"/>
            <w:vMerge/>
            <w:noWrap/>
            <w:hideMark/>
          </w:tcPr>
          <w:p w14:paraId="27867E44"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155" w:type="dxa"/>
            <w:vMerge/>
            <w:noWrap/>
            <w:hideMark/>
          </w:tcPr>
          <w:p w14:paraId="6DA6C021"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281" w:type="dxa"/>
            <w:vMerge/>
            <w:noWrap/>
            <w:hideMark/>
          </w:tcPr>
          <w:p w14:paraId="3125B27E"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950" w:type="dxa"/>
            <w:vMerge/>
            <w:noWrap/>
            <w:hideMark/>
          </w:tcPr>
          <w:p w14:paraId="0E3D5309"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2065" w:type="dxa"/>
            <w:vMerge/>
            <w:noWrap/>
            <w:hideMark/>
          </w:tcPr>
          <w:p w14:paraId="61A729C7"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3763" w:type="dxa"/>
            <w:noWrap/>
            <w:hideMark/>
          </w:tcPr>
          <w:p w14:paraId="64FAA942"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c.2102_2107delACAAGA</w:t>
            </w:r>
          </w:p>
        </w:tc>
        <w:tc>
          <w:tcPr>
            <w:tcW w:w="2185" w:type="dxa"/>
            <w:noWrap/>
            <w:hideMark/>
          </w:tcPr>
          <w:p w14:paraId="7F3C2D60"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No mention</w:t>
            </w:r>
          </w:p>
        </w:tc>
        <w:tc>
          <w:tcPr>
            <w:tcW w:w="1431" w:type="dxa"/>
            <w:vMerge/>
            <w:noWrap/>
            <w:hideMark/>
          </w:tcPr>
          <w:p w14:paraId="42A5CB5D" w14:textId="77777777" w:rsidR="005C3CE7" w:rsidRPr="000B3360" w:rsidRDefault="005C3CE7" w:rsidP="00CA6D9F">
            <w:pPr>
              <w:spacing w:line="360" w:lineRule="auto"/>
              <w:jc w:val="both"/>
              <w:rPr>
                <w:rFonts w:ascii="Book Antiqua" w:eastAsia="宋体" w:hAnsi="Book Antiqua"/>
                <w:color w:val="000000" w:themeColor="text1"/>
              </w:rPr>
            </w:pPr>
          </w:p>
        </w:tc>
      </w:tr>
      <w:tr w:rsidR="005C3CE7" w:rsidRPr="000B3360" w14:paraId="352A6233" w14:textId="77777777" w:rsidTr="00CA6D9F">
        <w:trPr>
          <w:trHeight w:val="285"/>
        </w:trPr>
        <w:tc>
          <w:tcPr>
            <w:tcW w:w="630" w:type="dxa"/>
            <w:vMerge w:val="restart"/>
            <w:noWrap/>
            <w:hideMark/>
          </w:tcPr>
          <w:p w14:paraId="1CDB3E25"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9</w:t>
            </w:r>
          </w:p>
        </w:tc>
        <w:tc>
          <w:tcPr>
            <w:tcW w:w="516" w:type="dxa"/>
            <w:vMerge w:val="restart"/>
            <w:noWrap/>
            <w:hideMark/>
          </w:tcPr>
          <w:p w14:paraId="21EBDB66"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F</w:t>
            </w:r>
          </w:p>
        </w:tc>
        <w:tc>
          <w:tcPr>
            <w:tcW w:w="562" w:type="dxa"/>
            <w:vMerge w:val="restart"/>
            <w:noWrap/>
            <w:hideMark/>
          </w:tcPr>
          <w:p w14:paraId="704C963E"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42</w:t>
            </w:r>
          </w:p>
        </w:tc>
        <w:tc>
          <w:tcPr>
            <w:tcW w:w="1155" w:type="dxa"/>
            <w:vMerge w:val="restart"/>
            <w:noWrap/>
            <w:hideMark/>
          </w:tcPr>
          <w:p w14:paraId="452CBF96"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3.20 </w:t>
            </w:r>
          </w:p>
        </w:tc>
        <w:tc>
          <w:tcPr>
            <w:tcW w:w="1281" w:type="dxa"/>
            <w:vMerge w:val="restart"/>
            <w:noWrap/>
            <w:hideMark/>
          </w:tcPr>
          <w:p w14:paraId="60BEA918"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0.50 </w:t>
            </w:r>
          </w:p>
        </w:tc>
        <w:tc>
          <w:tcPr>
            <w:tcW w:w="950" w:type="dxa"/>
            <w:vMerge w:val="restart"/>
            <w:noWrap/>
            <w:hideMark/>
          </w:tcPr>
          <w:p w14:paraId="0D69E220"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HT</w:t>
            </w:r>
          </w:p>
        </w:tc>
        <w:tc>
          <w:tcPr>
            <w:tcW w:w="2065" w:type="dxa"/>
            <w:vMerge w:val="restart"/>
            <w:noWrap/>
            <w:hideMark/>
          </w:tcPr>
          <w:p w14:paraId="3214A863"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Compound heterozygote</w:t>
            </w:r>
          </w:p>
        </w:tc>
        <w:tc>
          <w:tcPr>
            <w:tcW w:w="3763" w:type="dxa"/>
            <w:noWrap/>
            <w:hideMark/>
          </w:tcPr>
          <w:p w14:paraId="5D8CB1BC"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c.248G&gt;A</w:t>
            </w:r>
          </w:p>
        </w:tc>
        <w:tc>
          <w:tcPr>
            <w:tcW w:w="2185" w:type="dxa"/>
            <w:noWrap/>
            <w:hideMark/>
          </w:tcPr>
          <w:p w14:paraId="798B55FB"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p.Arg83Gln</w:t>
            </w:r>
          </w:p>
        </w:tc>
        <w:tc>
          <w:tcPr>
            <w:tcW w:w="1431" w:type="dxa"/>
            <w:vMerge w:val="restart"/>
            <w:noWrap/>
            <w:hideMark/>
          </w:tcPr>
          <w:p w14:paraId="716E7278"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noProof/>
                <w:color w:val="000000" w:themeColor="text1"/>
              </w:rPr>
              <w:t>[</w:t>
            </w:r>
            <w:r w:rsidRPr="000B3360">
              <w:rPr>
                <w:rFonts w:ascii="Book Antiqua" w:hAnsi="Book Antiqua"/>
                <w:noProof/>
                <w:color w:val="000000" w:themeColor="text1"/>
              </w:rPr>
              <w:t>41</w:t>
            </w:r>
            <w:r w:rsidRPr="000B3360">
              <w:rPr>
                <w:rFonts w:ascii="Book Antiqua" w:eastAsia="宋体" w:hAnsi="Book Antiqua"/>
                <w:noProof/>
                <w:color w:val="000000" w:themeColor="text1"/>
              </w:rPr>
              <w:t>]</w:t>
            </w:r>
          </w:p>
        </w:tc>
      </w:tr>
      <w:tr w:rsidR="005C3CE7" w:rsidRPr="000B3360" w14:paraId="7E9957D0" w14:textId="77777777" w:rsidTr="00CA6D9F">
        <w:trPr>
          <w:trHeight w:val="285"/>
        </w:trPr>
        <w:tc>
          <w:tcPr>
            <w:tcW w:w="630" w:type="dxa"/>
            <w:vMerge/>
            <w:noWrap/>
            <w:hideMark/>
          </w:tcPr>
          <w:p w14:paraId="36061B11"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16" w:type="dxa"/>
            <w:vMerge/>
            <w:noWrap/>
            <w:hideMark/>
          </w:tcPr>
          <w:p w14:paraId="23491B2B"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62" w:type="dxa"/>
            <w:vMerge/>
            <w:noWrap/>
            <w:hideMark/>
          </w:tcPr>
          <w:p w14:paraId="46A3F8BE"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155" w:type="dxa"/>
            <w:vMerge/>
            <w:noWrap/>
            <w:hideMark/>
          </w:tcPr>
          <w:p w14:paraId="1B8A6CBD"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281" w:type="dxa"/>
            <w:vMerge/>
            <w:noWrap/>
            <w:hideMark/>
          </w:tcPr>
          <w:p w14:paraId="287A4EBA"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950" w:type="dxa"/>
            <w:vMerge/>
            <w:noWrap/>
            <w:hideMark/>
          </w:tcPr>
          <w:p w14:paraId="772AF4A8"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2065" w:type="dxa"/>
            <w:vMerge/>
            <w:noWrap/>
            <w:hideMark/>
          </w:tcPr>
          <w:p w14:paraId="45F8CEFC"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3763" w:type="dxa"/>
            <w:noWrap/>
            <w:hideMark/>
          </w:tcPr>
          <w:p w14:paraId="7529806C"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NC_000016.10:g.56872655_56872667</w:t>
            </w:r>
          </w:p>
        </w:tc>
        <w:tc>
          <w:tcPr>
            <w:tcW w:w="2185" w:type="dxa"/>
            <w:noWrap/>
            <w:hideMark/>
          </w:tcPr>
          <w:p w14:paraId="54309822"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No mention</w:t>
            </w:r>
          </w:p>
        </w:tc>
        <w:tc>
          <w:tcPr>
            <w:tcW w:w="1431" w:type="dxa"/>
            <w:vMerge/>
            <w:noWrap/>
            <w:hideMark/>
          </w:tcPr>
          <w:p w14:paraId="67493594" w14:textId="77777777" w:rsidR="005C3CE7" w:rsidRPr="000B3360" w:rsidRDefault="005C3CE7" w:rsidP="00CA6D9F">
            <w:pPr>
              <w:spacing w:line="360" w:lineRule="auto"/>
              <w:jc w:val="both"/>
              <w:rPr>
                <w:rFonts w:ascii="Book Antiqua" w:eastAsia="宋体" w:hAnsi="Book Antiqua"/>
                <w:color w:val="000000" w:themeColor="text1"/>
              </w:rPr>
            </w:pPr>
          </w:p>
        </w:tc>
      </w:tr>
      <w:tr w:rsidR="005C3CE7" w:rsidRPr="000B3360" w14:paraId="0B169487" w14:textId="77777777" w:rsidTr="00CA6D9F">
        <w:trPr>
          <w:trHeight w:val="285"/>
        </w:trPr>
        <w:tc>
          <w:tcPr>
            <w:tcW w:w="630" w:type="dxa"/>
            <w:vMerge/>
            <w:noWrap/>
            <w:hideMark/>
          </w:tcPr>
          <w:p w14:paraId="5BCAB9BA"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16" w:type="dxa"/>
            <w:vMerge/>
            <w:noWrap/>
            <w:hideMark/>
          </w:tcPr>
          <w:p w14:paraId="0B43F575"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62" w:type="dxa"/>
            <w:vMerge/>
            <w:noWrap/>
            <w:hideMark/>
          </w:tcPr>
          <w:p w14:paraId="492C37A9"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155" w:type="dxa"/>
            <w:vMerge/>
            <w:noWrap/>
            <w:hideMark/>
          </w:tcPr>
          <w:p w14:paraId="4060240A"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281" w:type="dxa"/>
            <w:vMerge/>
            <w:noWrap/>
            <w:hideMark/>
          </w:tcPr>
          <w:p w14:paraId="43535EB6"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950" w:type="dxa"/>
            <w:vMerge/>
            <w:noWrap/>
            <w:hideMark/>
          </w:tcPr>
          <w:p w14:paraId="7065461A"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2065" w:type="dxa"/>
            <w:vMerge/>
            <w:noWrap/>
            <w:hideMark/>
          </w:tcPr>
          <w:p w14:paraId="783F596A"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3763" w:type="dxa"/>
            <w:noWrap/>
            <w:hideMark/>
          </w:tcPr>
          <w:p w14:paraId="31562F05"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(gcggacatttttg&gt;accgaaaatttt)</w:t>
            </w:r>
          </w:p>
        </w:tc>
        <w:tc>
          <w:tcPr>
            <w:tcW w:w="2185" w:type="dxa"/>
            <w:noWrap/>
            <w:hideMark/>
          </w:tcPr>
          <w:p w14:paraId="5256A1DD"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431" w:type="dxa"/>
            <w:vMerge/>
            <w:noWrap/>
            <w:hideMark/>
          </w:tcPr>
          <w:p w14:paraId="608C8D53" w14:textId="77777777" w:rsidR="005C3CE7" w:rsidRPr="000B3360" w:rsidRDefault="005C3CE7" w:rsidP="00CA6D9F">
            <w:pPr>
              <w:spacing w:line="360" w:lineRule="auto"/>
              <w:jc w:val="both"/>
              <w:rPr>
                <w:rFonts w:ascii="Book Antiqua" w:eastAsia="宋体" w:hAnsi="Book Antiqua"/>
                <w:color w:val="000000" w:themeColor="text1"/>
              </w:rPr>
            </w:pPr>
          </w:p>
        </w:tc>
      </w:tr>
      <w:tr w:rsidR="005C3CE7" w:rsidRPr="000B3360" w14:paraId="692AB901" w14:textId="77777777" w:rsidTr="00CA6D9F">
        <w:trPr>
          <w:trHeight w:val="285"/>
        </w:trPr>
        <w:tc>
          <w:tcPr>
            <w:tcW w:w="630" w:type="dxa"/>
            <w:vMerge w:val="restart"/>
            <w:noWrap/>
            <w:hideMark/>
          </w:tcPr>
          <w:p w14:paraId="7C4CBDAE"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10</w:t>
            </w:r>
          </w:p>
        </w:tc>
        <w:tc>
          <w:tcPr>
            <w:tcW w:w="516" w:type="dxa"/>
            <w:vMerge w:val="restart"/>
            <w:noWrap/>
            <w:hideMark/>
          </w:tcPr>
          <w:p w14:paraId="2715B6B8"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M</w:t>
            </w:r>
          </w:p>
        </w:tc>
        <w:tc>
          <w:tcPr>
            <w:tcW w:w="562" w:type="dxa"/>
            <w:vMerge w:val="restart"/>
            <w:noWrap/>
            <w:hideMark/>
          </w:tcPr>
          <w:p w14:paraId="070F8A16"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2</w:t>
            </w:r>
          </w:p>
        </w:tc>
        <w:tc>
          <w:tcPr>
            <w:tcW w:w="1155" w:type="dxa"/>
            <w:vMerge w:val="restart"/>
            <w:noWrap/>
            <w:hideMark/>
          </w:tcPr>
          <w:p w14:paraId="7A312E47"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1.57 </w:t>
            </w:r>
          </w:p>
        </w:tc>
        <w:tc>
          <w:tcPr>
            <w:tcW w:w="1281" w:type="dxa"/>
            <w:vMerge w:val="restart"/>
            <w:noWrap/>
            <w:hideMark/>
          </w:tcPr>
          <w:p w14:paraId="4BC95427" w14:textId="2786002A"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NA</w:t>
            </w:r>
          </w:p>
        </w:tc>
        <w:tc>
          <w:tcPr>
            <w:tcW w:w="950" w:type="dxa"/>
            <w:vMerge w:val="restart"/>
            <w:noWrap/>
            <w:hideMark/>
          </w:tcPr>
          <w:p w14:paraId="05AE277A"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GD</w:t>
            </w:r>
          </w:p>
        </w:tc>
        <w:tc>
          <w:tcPr>
            <w:tcW w:w="2065" w:type="dxa"/>
            <w:vMerge w:val="restart"/>
            <w:noWrap/>
            <w:hideMark/>
          </w:tcPr>
          <w:p w14:paraId="052D157E"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Compound heterozygote</w:t>
            </w:r>
          </w:p>
        </w:tc>
        <w:tc>
          <w:tcPr>
            <w:tcW w:w="3763" w:type="dxa"/>
            <w:noWrap/>
            <w:hideMark/>
          </w:tcPr>
          <w:p w14:paraId="2D9E2FA8"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c.1077C&gt;G</w:t>
            </w:r>
          </w:p>
        </w:tc>
        <w:tc>
          <w:tcPr>
            <w:tcW w:w="2185" w:type="dxa"/>
            <w:noWrap/>
            <w:hideMark/>
          </w:tcPr>
          <w:p w14:paraId="2897124E"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p.Asn359Lys</w:t>
            </w:r>
          </w:p>
        </w:tc>
        <w:tc>
          <w:tcPr>
            <w:tcW w:w="1431" w:type="dxa"/>
            <w:vMerge w:val="restart"/>
            <w:noWrap/>
            <w:hideMark/>
          </w:tcPr>
          <w:p w14:paraId="46A5FEBF"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noProof/>
                <w:color w:val="000000" w:themeColor="text1"/>
              </w:rPr>
              <w:t>[</w:t>
            </w:r>
            <w:r w:rsidRPr="000B3360">
              <w:rPr>
                <w:rFonts w:ascii="Book Antiqua" w:hAnsi="Book Antiqua"/>
                <w:noProof/>
                <w:color w:val="000000" w:themeColor="text1"/>
              </w:rPr>
              <w:t>42</w:t>
            </w:r>
            <w:r w:rsidRPr="000B3360">
              <w:rPr>
                <w:rFonts w:ascii="Book Antiqua" w:eastAsia="宋体" w:hAnsi="Book Antiqua"/>
                <w:noProof/>
                <w:color w:val="000000" w:themeColor="text1"/>
              </w:rPr>
              <w:t>]</w:t>
            </w:r>
          </w:p>
        </w:tc>
      </w:tr>
      <w:tr w:rsidR="005C3CE7" w:rsidRPr="000B3360" w14:paraId="71CA4A4E" w14:textId="77777777" w:rsidTr="00CA6D9F">
        <w:trPr>
          <w:trHeight w:val="285"/>
        </w:trPr>
        <w:tc>
          <w:tcPr>
            <w:tcW w:w="630" w:type="dxa"/>
            <w:vMerge/>
            <w:noWrap/>
            <w:hideMark/>
          </w:tcPr>
          <w:p w14:paraId="2708507A"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16" w:type="dxa"/>
            <w:vMerge/>
            <w:noWrap/>
            <w:hideMark/>
          </w:tcPr>
          <w:p w14:paraId="05042E7E"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62" w:type="dxa"/>
            <w:vMerge/>
            <w:noWrap/>
            <w:hideMark/>
          </w:tcPr>
          <w:p w14:paraId="0C7846E8"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155" w:type="dxa"/>
            <w:vMerge/>
            <w:noWrap/>
            <w:hideMark/>
          </w:tcPr>
          <w:p w14:paraId="7D44EF6B"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281" w:type="dxa"/>
            <w:vMerge/>
            <w:noWrap/>
            <w:hideMark/>
          </w:tcPr>
          <w:p w14:paraId="58A1E477"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950" w:type="dxa"/>
            <w:vMerge/>
            <w:noWrap/>
            <w:hideMark/>
          </w:tcPr>
          <w:p w14:paraId="55C6882A"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2065" w:type="dxa"/>
            <w:vMerge/>
            <w:noWrap/>
            <w:hideMark/>
          </w:tcPr>
          <w:p w14:paraId="3C62926B"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3763" w:type="dxa"/>
            <w:noWrap/>
            <w:hideMark/>
          </w:tcPr>
          <w:p w14:paraId="2C97E093"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c.1567G&gt;A</w:t>
            </w:r>
          </w:p>
        </w:tc>
        <w:tc>
          <w:tcPr>
            <w:tcW w:w="2185" w:type="dxa"/>
            <w:noWrap/>
            <w:hideMark/>
          </w:tcPr>
          <w:p w14:paraId="598F28BD"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p.Ala523Thr</w:t>
            </w:r>
          </w:p>
        </w:tc>
        <w:tc>
          <w:tcPr>
            <w:tcW w:w="1431" w:type="dxa"/>
            <w:vMerge/>
            <w:noWrap/>
            <w:hideMark/>
          </w:tcPr>
          <w:p w14:paraId="641AC37C" w14:textId="77777777" w:rsidR="005C3CE7" w:rsidRPr="000B3360" w:rsidRDefault="005C3CE7" w:rsidP="00CA6D9F">
            <w:pPr>
              <w:spacing w:line="360" w:lineRule="auto"/>
              <w:jc w:val="both"/>
              <w:rPr>
                <w:rFonts w:ascii="Book Antiqua" w:eastAsia="宋体" w:hAnsi="Book Antiqua"/>
                <w:color w:val="000000" w:themeColor="text1"/>
              </w:rPr>
            </w:pPr>
          </w:p>
        </w:tc>
      </w:tr>
      <w:tr w:rsidR="005C3CE7" w:rsidRPr="000B3360" w14:paraId="6ECC1F50" w14:textId="77777777" w:rsidTr="00CA6D9F">
        <w:trPr>
          <w:trHeight w:val="285"/>
        </w:trPr>
        <w:tc>
          <w:tcPr>
            <w:tcW w:w="630" w:type="dxa"/>
            <w:noWrap/>
            <w:hideMark/>
          </w:tcPr>
          <w:p w14:paraId="78917F81"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11</w:t>
            </w:r>
          </w:p>
        </w:tc>
        <w:tc>
          <w:tcPr>
            <w:tcW w:w="516" w:type="dxa"/>
            <w:noWrap/>
            <w:hideMark/>
          </w:tcPr>
          <w:p w14:paraId="00D56ABC"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M</w:t>
            </w:r>
          </w:p>
        </w:tc>
        <w:tc>
          <w:tcPr>
            <w:tcW w:w="562" w:type="dxa"/>
            <w:noWrap/>
            <w:hideMark/>
          </w:tcPr>
          <w:p w14:paraId="166C4CF2"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45</w:t>
            </w:r>
          </w:p>
        </w:tc>
        <w:tc>
          <w:tcPr>
            <w:tcW w:w="1155" w:type="dxa"/>
            <w:noWrap/>
            <w:hideMark/>
          </w:tcPr>
          <w:p w14:paraId="53D09E8E"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2.11 </w:t>
            </w:r>
          </w:p>
        </w:tc>
        <w:tc>
          <w:tcPr>
            <w:tcW w:w="1281" w:type="dxa"/>
            <w:noWrap/>
            <w:hideMark/>
          </w:tcPr>
          <w:p w14:paraId="055F8D3C"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0.54 </w:t>
            </w:r>
          </w:p>
        </w:tc>
        <w:tc>
          <w:tcPr>
            <w:tcW w:w="950" w:type="dxa"/>
            <w:noWrap/>
            <w:hideMark/>
          </w:tcPr>
          <w:p w14:paraId="3DB9F849"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GD</w:t>
            </w:r>
          </w:p>
        </w:tc>
        <w:tc>
          <w:tcPr>
            <w:tcW w:w="2065" w:type="dxa"/>
            <w:noWrap/>
            <w:hideMark/>
          </w:tcPr>
          <w:p w14:paraId="2276D8EB"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Homozygote</w:t>
            </w:r>
          </w:p>
        </w:tc>
        <w:tc>
          <w:tcPr>
            <w:tcW w:w="3763" w:type="dxa"/>
            <w:noWrap/>
            <w:hideMark/>
          </w:tcPr>
          <w:p w14:paraId="446C8564"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1562_1564delTCA</w:t>
            </w:r>
          </w:p>
        </w:tc>
        <w:tc>
          <w:tcPr>
            <w:tcW w:w="2185" w:type="dxa"/>
            <w:noWrap/>
            <w:hideMark/>
          </w:tcPr>
          <w:p w14:paraId="124614E3"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p.522delIle</w:t>
            </w:r>
          </w:p>
        </w:tc>
        <w:tc>
          <w:tcPr>
            <w:tcW w:w="1431" w:type="dxa"/>
            <w:noWrap/>
            <w:hideMark/>
          </w:tcPr>
          <w:p w14:paraId="259C0DDA"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noProof/>
                <w:color w:val="000000" w:themeColor="text1"/>
              </w:rPr>
              <w:t>[</w:t>
            </w:r>
            <w:r w:rsidRPr="000B3360">
              <w:rPr>
                <w:rFonts w:ascii="Book Antiqua" w:hAnsi="Book Antiqua"/>
                <w:noProof/>
                <w:color w:val="000000" w:themeColor="text1"/>
              </w:rPr>
              <w:t>43</w:t>
            </w:r>
            <w:r w:rsidRPr="000B3360">
              <w:rPr>
                <w:rFonts w:ascii="Book Antiqua" w:eastAsia="宋体" w:hAnsi="Book Antiqua"/>
                <w:noProof/>
                <w:color w:val="000000" w:themeColor="text1"/>
              </w:rPr>
              <w:t>]</w:t>
            </w:r>
          </w:p>
        </w:tc>
      </w:tr>
      <w:tr w:rsidR="005C3CE7" w:rsidRPr="000B3360" w14:paraId="01E15ACA" w14:textId="77777777" w:rsidTr="00CA6D9F">
        <w:trPr>
          <w:trHeight w:val="285"/>
        </w:trPr>
        <w:tc>
          <w:tcPr>
            <w:tcW w:w="630" w:type="dxa"/>
            <w:vMerge w:val="restart"/>
            <w:noWrap/>
            <w:hideMark/>
          </w:tcPr>
          <w:p w14:paraId="27DA25F7"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12</w:t>
            </w:r>
          </w:p>
        </w:tc>
        <w:tc>
          <w:tcPr>
            <w:tcW w:w="516" w:type="dxa"/>
            <w:vMerge w:val="restart"/>
            <w:noWrap/>
            <w:hideMark/>
          </w:tcPr>
          <w:p w14:paraId="76EF4FC4"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M</w:t>
            </w:r>
          </w:p>
        </w:tc>
        <w:tc>
          <w:tcPr>
            <w:tcW w:w="562" w:type="dxa"/>
            <w:vMerge w:val="restart"/>
            <w:noWrap/>
            <w:hideMark/>
          </w:tcPr>
          <w:p w14:paraId="55D406A4"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21</w:t>
            </w:r>
          </w:p>
        </w:tc>
        <w:tc>
          <w:tcPr>
            <w:tcW w:w="1155" w:type="dxa"/>
            <w:vMerge w:val="restart"/>
            <w:noWrap/>
            <w:hideMark/>
          </w:tcPr>
          <w:p w14:paraId="420FA5E8"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2.10 </w:t>
            </w:r>
          </w:p>
        </w:tc>
        <w:tc>
          <w:tcPr>
            <w:tcW w:w="1281" w:type="dxa"/>
            <w:vMerge w:val="restart"/>
            <w:noWrap/>
            <w:hideMark/>
          </w:tcPr>
          <w:p w14:paraId="6D5C976F" w14:textId="5AC10939"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NA</w:t>
            </w:r>
          </w:p>
        </w:tc>
        <w:tc>
          <w:tcPr>
            <w:tcW w:w="950" w:type="dxa"/>
            <w:vMerge w:val="restart"/>
            <w:noWrap/>
            <w:hideMark/>
          </w:tcPr>
          <w:p w14:paraId="142A7B95"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GD</w:t>
            </w:r>
          </w:p>
        </w:tc>
        <w:tc>
          <w:tcPr>
            <w:tcW w:w="2065" w:type="dxa"/>
            <w:vMerge w:val="restart"/>
            <w:noWrap/>
            <w:hideMark/>
          </w:tcPr>
          <w:p w14:paraId="3CD3B927"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Compound heterozygote</w:t>
            </w:r>
          </w:p>
        </w:tc>
        <w:tc>
          <w:tcPr>
            <w:tcW w:w="3763" w:type="dxa"/>
            <w:noWrap/>
            <w:hideMark/>
          </w:tcPr>
          <w:p w14:paraId="2172E596"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c.539C&gt;A</w:t>
            </w:r>
          </w:p>
        </w:tc>
        <w:tc>
          <w:tcPr>
            <w:tcW w:w="2185" w:type="dxa"/>
            <w:noWrap/>
            <w:hideMark/>
          </w:tcPr>
          <w:p w14:paraId="4FDE6BDB"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p.Thr180Lys</w:t>
            </w:r>
          </w:p>
        </w:tc>
        <w:tc>
          <w:tcPr>
            <w:tcW w:w="1431" w:type="dxa"/>
            <w:vMerge w:val="restart"/>
            <w:noWrap/>
            <w:hideMark/>
          </w:tcPr>
          <w:p w14:paraId="22DC8B86"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noProof/>
                <w:color w:val="000000" w:themeColor="text1"/>
              </w:rPr>
              <w:t>[4</w:t>
            </w:r>
            <w:r w:rsidRPr="000B3360">
              <w:rPr>
                <w:rFonts w:ascii="Book Antiqua" w:hAnsi="Book Antiqua"/>
                <w:noProof/>
                <w:color w:val="000000" w:themeColor="text1"/>
              </w:rPr>
              <w:t>4</w:t>
            </w:r>
            <w:r w:rsidRPr="000B3360">
              <w:rPr>
                <w:rFonts w:ascii="Book Antiqua" w:eastAsia="宋体" w:hAnsi="Book Antiqua"/>
                <w:noProof/>
                <w:color w:val="000000" w:themeColor="text1"/>
              </w:rPr>
              <w:t>]</w:t>
            </w:r>
          </w:p>
        </w:tc>
      </w:tr>
      <w:tr w:rsidR="005C3CE7" w:rsidRPr="000B3360" w14:paraId="14D9E158" w14:textId="77777777" w:rsidTr="00CA6D9F">
        <w:trPr>
          <w:trHeight w:val="285"/>
        </w:trPr>
        <w:tc>
          <w:tcPr>
            <w:tcW w:w="630" w:type="dxa"/>
            <w:vMerge/>
            <w:noWrap/>
            <w:hideMark/>
          </w:tcPr>
          <w:p w14:paraId="3D64B952"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16" w:type="dxa"/>
            <w:vMerge/>
            <w:noWrap/>
            <w:hideMark/>
          </w:tcPr>
          <w:p w14:paraId="5C2652A3"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62" w:type="dxa"/>
            <w:vMerge/>
            <w:noWrap/>
            <w:hideMark/>
          </w:tcPr>
          <w:p w14:paraId="453D0B82"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155" w:type="dxa"/>
            <w:vMerge/>
            <w:noWrap/>
            <w:hideMark/>
          </w:tcPr>
          <w:p w14:paraId="51EF6154"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281" w:type="dxa"/>
            <w:vMerge/>
            <w:noWrap/>
            <w:hideMark/>
          </w:tcPr>
          <w:p w14:paraId="6775AAF4"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950" w:type="dxa"/>
            <w:vMerge/>
            <w:noWrap/>
            <w:hideMark/>
          </w:tcPr>
          <w:p w14:paraId="282C51DF"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2065" w:type="dxa"/>
            <w:vMerge/>
            <w:noWrap/>
            <w:hideMark/>
          </w:tcPr>
          <w:p w14:paraId="474D9BD2"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3763" w:type="dxa"/>
            <w:noWrap/>
            <w:hideMark/>
          </w:tcPr>
          <w:p w14:paraId="075FAFE5"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c.2573T&gt;A</w:t>
            </w:r>
          </w:p>
        </w:tc>
        <w:tc>
          <w:tcPr>
            <w:tcW w:w="2185" w:type="dxa"/>
            <w:noWrap/>
            <w:hideMark/>
          </w:tcPr>
          <w:p w14:paraId="7CEB872E"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p.Leu858His</w:t>
            </w:r>
          </w:p>
        </w:tc>
        <w:tc>
          <w:tcPr>
            <w:tcW w:w="1431" w:type="dxa"/>
            <w:vMerge/>
            <w:noWrap/>
            <w:hideMark/>
          </w:tcPr>
          <w:p w14:paraId="72ADE93E" w14:textId="77777777" w:rsidR="005C3CE7" w:rsidRPr="000B3360" w:rsidRDefault="005C3CE7" w:rsidP="00CA6D9F">
            <w:pPr>
              <w:spacing w:line="360" w:lineRule="auto"/>
              <w:jc w:val="both"/>
              <w:rPr>
                <w:rFonts w:ascii="Book Antiqua" w:eastAsia="宋体" w:hAnsi="Book Antiqua"/>
                <w:color w:val="000000" w:themeColor="text1"/>
              </w:rPr>
            </w:pPr>
          </w:p>
        </w:tc>
      </w:tr>
      <w:tr w:rsidR="005C3CE7" w:rsidRPr="000B3360" w14:paraId="5D240379" w14:textId="77777777" w:rsidTr="00CA6D9F">
        <w:trPr>
          <w:trHeight w:val="285"/>
        </w:trPr>
        <w:tc>
          <w:tcPr>
            <w:tcW w:w="630" w:type="dxa"/>
            <w:noWrap/>
            <w:hideMark/>
          </w:tcPr>
          <w:p w14:paraId="05A69D27"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13</w:t>
            </w:r>
          </w:p>
        </w:tc>
        <w:tc>
          <w:tcPr>
            <w:tcW w:w="516" w:type="dxa"/>
            <w:noWrap/>
            <w:hideMark/>
          </w:tcPr>
          <w:p w14:paraId="63E78CC6"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M</w:t>
            </w:r>
          </w:p>
        </w:tc>
        <w:tc>
          <w:tcPr>
            <w:tcW w:w="562" w:type="dxa"/>
            <w:noWrap/>
            <w:hideMark/>
          </w:tcPr>
          <w:p w14:paraId="45107D31"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35</w:t>
            </w:r>
          </w:p>
        </w:tc>
        <w:tc>
          <w:tcPr>
            <w:tcW w:w="1155" w:type="dxa"/>
            <w:noWrap/>
            <w:hideMark/>
          </w:tcPr>
          <w:p w14:paraId="249FA4E8"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1.80 </w:t>
            </w:r>
          </w:p>
        </w:tc>
        <w:tc>
          <w:tcPr>
            <w:tcW w:w="1281" w:type="dxa"/>
            <w:noWrap/>
            <w:hideMark/>
          </w:tcPr>
          <w:p w14:paraId="1B862589" w14:textId="3A8BB1DD"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NA</w:t>
            </w:r>
          </w:p>
        </w:tc>
        <w:tc>
          <w:tcPr>
            <w:tcW w:w="950" w:type="dxa"/>
            <w:noWrap/>
            <w:hideMark/>
          </w:tcPr>
          <w:p w14:paraId="045AB6AA"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GD</w:t>
            </w:r>
          </w:p>
        </w:tc>
        <w:tc>
          <w:tcPr>
            <w:tcW w:w="2065" w:type="dxa"/>
            <w:noWrap/>
            <w:hideMark/>
          </w:tcPr>
          <w:p w14:paraId="271E4C96"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Homozygote</w:t>
            </w:r>
          </w:p>
        </w:tc>
        <w:tc>
          <w:tcPr>
            <w:tcW w:w="3763" w:type="dxa"/>
            <w:noWrap/>
            <w:hideMark/>
          </w:tcPr>
          <w:p w14:paraId="506CCC24"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c.1145C&gt;T</w:t>
            </w:r>
          </w:p>
        </w:tc>
        <w:tc>
          <w:tcPr>
            <w:tcW w:w="2185" w:type="dxa"/>
            <w:noWrap/>
            <w:hideMark/>
          </w:tcPr>
          <w:p w14:paraId="78E05D03"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p.Thr382Met</w:t>
            </w:r>
          </w:p>
        </w:tc>
        <w:tc>
          <w:tcPr>
            <w:tcW w:w="1431" w:type="dxa"/>
            <w:noWrap/>
            <w:hideMark/>
          </w:tcPr>
          <w:p w14:paraId="525D376C"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noProof/>
                <w:color w:val="000000" w:themeColor="text1"/>
              </w:rPr>
              <w:t>[4</w:t>
            </w:r>
            <w:r w:rsidRPr="000B3360">
              <w:rPr>
                <w:rFonts w:ascii="Book Antiqua" w:hAnsi="Book Antiqua"/>
                <w:noProof/>
                <w:color w:val="000000" w:themeColor="text1"/>
              </w:rPr>
              <w:t>5</w:t>
            </w:r>
            <w:r w:rsidRPr="000B3360">
              <w:rPr>
                <w:rFonts w:ascii="Book Antiqua" w:eastAsia="宋体" w:hAnsi="Book Antiqua"/>
                <w:noProof/>
                <w:color w:val="000000" w:themeColor="text1"/>
              </w:rPr>
              <w:t>]</w:t>
            </w:r>
          </w:p>
        </w:tc>
      </w:tr>
      <w:tr w:rsidR="005C3CE7" w:rsidRPr="000B3360" w14:paraId="606628EA" w14:textId="77777777" w:rsidTr="00CA6D9F">
        <w:trPr>
          <w:trHeight w:val="271"/>
        </w:trPr>
        <w:tc>
          <w:tcPr>
            <w:tcW w:w="630" w:type="dxa"/>
            <w:vMerge w:val="restart"/>
            <w:noWrap/>
            <w:hideMark/>
          </w:tcPr>
          <w:p w14:paraId="49A61F9C"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14</w:t>
            </w:r>
          </w:p>
        </w:tc>
        <w:tc>
          <w:tcPr>
            <w:tcW w:w="516" w:type="dxa"/>
            <w:vMerge w:val="restart"/>
            <w:noWrap/>
            <w:hideMark/>
          </w:tcPr>
          <w:p w14:paraId="051777AC"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F</w:t>
            </w:r>
          </w:p>
        </w:tc>
        <w:tc>
          <w:tcPr>
            <w:tcW w:w="562" w:type="dxa"/>
            <w:vMerge w:val="restart"/>
            <w:noWrap/>
            <w:hideMark/>
          </w:tcPr>
          <w:p w14:paraId="7056A659"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30</w:t>
            </w:r>
          </w:p>
        </w:tc>
        <w:tc>
          <w:tcPr>
            <w:tcW w:w="1155" w:type="dxa"/>
            <w:vMerge w:val="restart"/>
            <w:noWrap/>
            <w:hideMark/>
          </w:tcPr>
          <w:p w14:paraId="47388C42"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2.52 </w:t>
            </w:r>
          </w:p>
        </w:tc>
        <w:tc>
          <w:tcPr>
            <w:tcW w:w="1281" w:type="dxa"/>
            <w:vMerge w:val="restart"/>
            <w:noWrap/>
            <w:hideMark/>
          </w:tcPr>
          <w:p w14:paraId="5F69976B"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0.48 </w:t>
            </w:r>
          </w:p>
        </w:tc>
        <w:tc>
          <w:tcPr>
            <w:tcW w:w="950" w:type="dxa"/>
            <w:vMerge w:val="restart"/>
            <w:noWrap/>
            <w:hideMark/>
          </w:tcPr>
          <w:p w14:paraId="70E2BCBC"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HT</w:t>
            </w:r>
          </w:p>
        </w:tc>
        <w:tc>
          <w:tcPr>
            <w:tcW w:w="2065" w:type="dxa"/>
            <w:vMerge w:val="restart"/>
            <w:noWrap/>
            <w:hideMark/>
          </w:tcPr>
          <w:p w14:paraId="456F6278"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Compound heterozygote</w:t>
            </w:r>
          </w:p>
        </w:tc>
        <w:tc>
          <w:tcPr>
            <w:tcW w:w="3763" w:type="dxa"/>
            <w:noWrap/>
            <w:hideMark/>
          </w:tcPr>
          <w:p w14:paraId="5D217E44"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c.486_490delinsA</w:t>
            </w:r>
          </w:p>
        </w:tc>
        <w:tc>
          <w:tcPr>
            <w:tcW w:w="2185" w:type="dxa"/>
            <w:noWrap/>
            <w:hideMark/>
          </w:tcPr>
          <w:p w14:paraId="68F5ED63"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p.Thr163fs</w:t>
            </w:r>
          </w:p>
        </w:tc>
        <w:tc>
          <w:tcPr>
            <w:tcW w:w="1431" w:type="dxa"/>
            <w:vMerge w:val="restart"/>
            <w:noWrap/>
            <w:hideMark/>
          </w:tcPr>
          <w:p w14:paraId="3DA0E461"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noProof/>
                <w:color w:val="000000" w:themeColor="text1"/>
              </w:rPr>
              <w:t>[4</w:t>
            </w:r>
            <w:r w:rsidRPr="000B3360">
              <w:rPr>
                <w:rFonts w:ascii="Book Antiqua" w:hAnsi="Book Antiqua"/>
                <w:noProof/>
                <w:color w:val="000000" w:themeColor="text1"/>
              </w:rPr>
              <w:t>6</w:t>
            </w:r>
            <w:r w:rsidRPr="000B3360">
              <w:rPr>
                <w:rFonts w:ascii="Book Antiqua" w:eastAsia="宋体" w:hAnsi="Book Antiqua"/>
                <w:noProof/>
                <w:color w:val="000000" w:themeColor="text1"/>
              </w:rPr>
              <w:t>]</w:t>
            </w:r>
          </w:p>
        </w:tc>
      </w:tr>
      <w:tr w:rsidR="005C3CE7" w:rsidRPr="000B3360" w14:paraId="4B633C96" w14:textId="77777777" w:rsidTr="00CA6D9F">
        <w:trPr>
          <w:trHeight w:val="271"/>
        </w:trPr>
        <w:tc>
          <w:tcPr>
            <w:tcW w:w="630" w:type="dxa"/>
            <w:vMerge/>
            <w:noWrap/>
            <w:hideMark/>
          </w:tcPr>
          <w:p w14:paraId="4A3C8461"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16" w:type="dxa"/>
            <w:vMerge/>
            <w:noWrap/>
            <w:hideMark/>
          </w:tcPr>
          <w:p w14:paraId="0EAF623F"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62" w:type="dxa"/>
            <w:vMerge/>
            <w:noWrap/>
            <w:hideMark/>
          </w:tcPr>
          <w:p w14:paraId="7958B8AA"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155" w:type="dxa"/>
            <w:vMerge/>
            <w:noWrap/>
            <w:hideMark/>
          </w:tcPr>
          <w:p w14:paraId="5BB15149"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281" w:type="dxa"/>
            <w:vMerge/>
            <w:noWrap/>
            <w:hideMark/>
          </w:tcPr>
          <w:p w14:paraId="3C883D5A"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950" w:type="dxa"/>
            <w:vMerge/>
            <w:noWrap/>
            <w:hideMark/>
          </w:tcPr>
          <w:p w14:paraId="51A68BBF"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2065" w:type="dxa"/>
            <w:vMerge/>
            <w:noWrap/>
            <w:hideMark/>
          </w:tcPr>
          <w:p w14:paraId="7D4C075C"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3763" w:type="dxa"/>
            <w:noWrap/>
            <w:hideMark/>
          </w:tcPr>
          <w:p w14:paraId="68C3409E"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c.506-1G&gt;A</w:t>
            </w:r>
          </w:p>
        </w:tc>
        <w:tc>
          <w:tcPr>
            <w:tcW w:w="2185" w:type="dxa"/>
            <w:noWrap/>
            <w:hideMark/>
          </w:tcPr>
          <w:p w14:paraId="2592D254"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431" w:type="dxa"/>
            <w:vMerge/>
            <w:noWrap/>
            <w:hideMark/>
          </w:tcPr>
          <w:p w14:paraId="0C9BADB2" w14:textId="77777777" w:rsidR="005C3CE7" w:rsidRPr="000B3360" w:rsidRDefault="005C3CE7" w:rsidP="00CA6D9F">
            <w:pPr>
              <w:spacing w:line="360" w:lineRule="auto"/>
              <w:jc w:val="both"/>
              <w:rPr>
                <w:rFonts w:ascii="Book Antiqua" w:eastAsia="宋体" w:hAnsi="Book Antiqua"/>
                <w:color w:val="000000" w:themeColor="text1"/>
              </w:rPr>
            </w:pPr>
          </w:p>
        </w:tc>
      </w:tr>
      <w:tr w:rsidR="005C3CE7" w:rsidRPr="000B3360" w14:paraId="5B710199" w14:textId="77777777" w:rsidTr="00CA6D9F">
        <w:trPr>
          <w:trHeight w:val="271"/>
        </w:trPr>
        <w:tc>
          <w:tcPr>
            <w:tcW w:w="630" w:type="dxa"/>
            <w:vMerge w:val="restart"/>
            <w:noWrap/>
            <w:hideMark/>
          </w:tcPr>
          <w:p w14:paraId="391825CD"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15</w:t>
            </w:r>
          </w:p>
        </w:tc>
        <w:tc>
          <w:tcPr>
            <w:tcW w:w="516" w:type="dxa"/>
            <w:vMerge w:val="restart"/>
            <w:noWrap/>
            <w:hideMark/>
          </w:tcPr>
          <w:p w14:paraId="6E6F051C"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F</w:t>
            </w:r>
          </w:p>
        </w:tc>
        <w:tc>
          <w:tcPr>
            <w:tcW w:w="562" w:type="dxa"/>
            <w:vMerge w:val="restart"/>
            <w:noWrap/>
            <w:hideMark/>
          </w:tcPr>
          <w:p w14:paraId="3423E2A2"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34</w:t>
            </w:r>
          </w:p>
        </w:tc>
        <w:tc>
          <w:tcPr>
            <w:tcW w:w="1155" w:type="dxa"/>
            <w:vMerge w:val="restart"/>
            <w:noWrap/>
            <w:hideMark/>
          </w:tcPr>
          <w:p w14:paraId="5FBA2436"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2.33 </w:t>
            </w:r>
          </w:p>
        </w:tc>
        <w:tc>
          <w:tcPr>
            <w:tcW w:w="1281" w:type="dxa"/>
            <w:vMerge w:val="restart"/>
            <w:noWrap/>
            <w:hideMark/>
          </w:tcPr>
          <w:p w14:paraId="030C10C6" w14:textId="1C33432E"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NA</w:t>
            </w:r>
          </w:p>
        </w:tc>
        <w:tc>
          <w:tcPr>
            <w:tcW w:w="950" w:type="dxa"/>
            <w:vMerge w:val="restart"/>
            <w:noWrap/>
            <w:hideMark/>
          </w:tcPr>
          <w:p w14:paraId="00EC37A7"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HT</w:t>
            </w:r>
          </w:p>
        </w:tc>
        <w:tc>
          <w:tcPr>
            <w:tcW w:w="2065" w:type="dxa"/>
            <w:vMerge w:val="restart"/>
            <w:noWrap/>
            <w:hideMark/>
          </w:tcPr>
          <w:p w14:paraId="011FAC3C"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Compound heterozygote</w:t>
            </w:r>
          </w:p>
        </w:tc>
        <w:tc>
          <w:tcPr>
            <w:tcW w:w="3763" w:type="dxa"/>
            <w:noWrap/>
            <w:hideMark/>
          </w:tcPr>
          <w:p w14:paraId="371F2480"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c.953T&gt;G</w:t>
            </w:r>
          </w:p>
        </w:tc>
        <w:tc>
          <w:tcPr>
            <w:tcW w:w="2185" w:type="dxa"/>
            <w:noWrap/>
            <w:hideMark/>
          </w:tcPr>
          <w:p w14:paraId="40C81DBF"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p.Phe318Cys</w:t>
            </w:r>
          </w:p>
        </w:tc>
        <w:tc>
          <w:tcPr>
            <w:tcW w:w="1431" w:type="dxa"/>
            <w:vMerge w:val="restart"/>
            <w:noWrap/>
            <w:hideMark/>
          </w:tcPr>
          <w:p w14:paraId="5829ECDF"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noProof/>
                <w:color w:val="000000" w:themeColor="text1"/>
              </w:rPr>
              <w:t>[4</w:t>
            </w:r>
            <w:r w:rsidRPr="000B3360">
              <w:rPr>
                <w:rFonts w:ascii="Book Antiqua" w:hAnsi="Book Antiqua"/>
                <w:noProof/>
                <w:color w:val="000000" w:themeColor="text1"/>
              </w:rPr>
              <w:t>7</w:t>
            </w:r>
            <w:r w:rsidRPr="000B3360">
              <w:rPr>
                <w:rFonts w:ascii="Book Antiqua" w:eastAsia="宋体" w:hAnsi="Book Antiqua"/>
                <w:noProof/>
                <w:color w:val="000000" w:themeColor="text1"/>
              </w:rPr>
              <w:t>]</w:t>
            </w:r>
          </w:p>
        </w:tc>
      </w:tr>
      <w:tr w:rsidR="005C3CE7" w:rsidRPr="000B3360" w14:paraId="4FCF9AFB" w14:textId="77777777" w:rsidTr="00CA6D9F">
        <w:trPr>
          <w:trHeight w:val="271"/>
        </w:trPr>
        <w:tc>
          <w:tcPr>
            <w:tcW w:w="630" w:type="dxa"/>
            <w:vMerge/>
            <w:noWrap/>
            <w:hideMark/>
          </w:tcPr>
          <w:p w14:paraId="19573B94"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16" w:type="dxa"/>
            <w:vMerge/>
            <w:noWrap/>
            <w:hideMark/>
          </w:tcPr>
          <w:p w14:paraId="42954CF2"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62" w:type="dxa"/>
            <w:vMerge/>
            <w:noWrap/>
            <w:hideMark/>
          </w:tcPr>
          <w:p w14:paraId="74B5B1E2"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155" w:type="dxa"/>
            <w:vMerge/>
            <w:noWrap/>
            <w:hideMark/>
          </w:tcPr>
          <w:p w14:paraId="7976205C"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281" w:type="dxa"/>
            <w:vMerge/>
            <w:noWrap/>
            <w:hideMark/>
          </w:tcPr>
          <w:p w14:paraId="43C473F7"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950" w:type="dxa"/>
            <w:vMerge/>
            <w:noWrap/>
            <w:hideMark/>
          </w:tcPr>
          <w:p w14:paraId="62A19F06"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2065" w:type="dxa"/>
            <w:vMerge/>
            <w:noWrap/>
            <w:hideMark/>
          </w:tcPr>
          <w:p w14:paraId="6D5E9047"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3763" w:type="dxa"/>
            <w:noWrap/>
            <w:hideMark/>
          </w:tcPr>
          <w:p w14:paraId="5FD1F199"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c.1196G&gt;A</w:t>
            </w:r>
          </w:p>
        </w:tc>
        <w:tc>
          <w:tcPr>
            <w:tcW w:w="2185" w:type="dxa"/>
            <w:noWrap/>
            <w:hideMark/>
          </w:tcPr>
          <w:p w14:paraId="142E5386"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p.Arg399His</w:t>
            </w:r>
          </w:p>
        </w:tc>
        <w:tc>
          <w:tcPr>
            <w:tcW w:w="1431" w:type="dxa"/>
            <w:vMerge/>
            <w:noWrap/>
            <w:hideMark/>
          </w:tcPr>
          <w:p w14:paraId="50470675" w14:textId="77777777" w:rsidR="005C3CE7" w:rsidRPr="000B3360" w:rsidRDefault="005C3CE7" w:rsidP="00CA6D9F">
            <w:pPr>
              <w:spacing w:line="360" w:lineRule="auto"/>
              <w:jc w:val="both"/>
              <w:rPr>
                <w:rFonts w:ascii="Book Antiqua" w:eastAsia="宋体" w:hAnsi="Book Antiqua"/>
                <w:color w:val="000000" w:themeColor="text1"/>
              </w:rPr>
            </w:pPr>
          </w:p>
        </w:tc>
      </w:tr>
      <w:tr w:rsidR="005C3CE7" w:rsidRPr="000B3360" w14:paraId="2ABD562F" w14:textId="77777777" w:rsidTr="00CA6D9F">
        <w:trPr>
          <w:trHeight w:val="271"/>
        </w:trPr>
        <w:tc>
          <w:tcPr>
            <w:tcW w:w="630" w:type="dxa"/>
            <w:vMerge/>
            <w:noWrap/>
            <w:hideMark/>
          </w:tcPr>
          <w:p w14:paraId="6A797F46"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16" w:type="dxa"/>
            <w:vMerge/>
            <w:noWrap/>
            <w:hideMark/>
          </w:tcPr>
          <w:p w14:paraId="52149671"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62" w:type="dxa"/>
            <w:vMerge/>
            <w:noWrap/>
            <w:hideMark/>
          </w:tcPr>
          <w:p w14:paraId="7ADC4A1C"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155" w:type="dxa"/>
            <w:vMerge/>
            <w:noWrap/>
            <w:hideMark/>
          </w:tcPr>
          <w:p w14:paraId="701404F0"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281" w:type="dxa"/>
            <w:vMerge/>
            <w:noWrap/>
            <w:hideMark/>
          </w:tcPr>
          <w:p w14:paraId="4B0E5343"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950" w:type="dxa"/>
            <w:vMerge/>
            <w:noWrap/>
            <w:hideMark/>
          </w:tcPr>
          <w:p w14:paraId="7F9D16B7"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2065" w:type="dxa"/>
            <w:vMerge/>
            <w:noWrap/>
            <w:hideMark/>
          </w:tcPr>
          <w:p w14:paraId="487D6177"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3763" w:type="dxa"/>
            <w:noWrap/>
            <w:hideMark/>
          </w:tcPr>
          <w:p w14:paraId="0D10FD28"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c.1664C&gt;T</w:t>
            </w:r>
          </w:p>
        </w:tc>
        <w:tc>
          <w:tcPr>
            <w:tcW w:w="2185" w:type="dxa"/>
            <w:noWrap/>
            <w:hideMark/>
          </w:tcPr>
          <w:p w14:paraId="5FCCA2B9"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p.Ser555Leu</w:t>
            </w:r>
          </w:p>
        </w:tc>
        <w:tc>
          <w:tcPr>
            <w:tcW w:w="1431" w:type="dxa"/>
            <w:vMerge/>
            <w:noWrap/>
            <w:hideMark/>
          </w:tcPr>
          <w:p w14:paraId="488B8014" w14:textId="77777777" w:rsidR="005C3CE7" w:rsidRPr="000B3360" w:rsidRDefault="005C3CE7" w:rsidP="00CA6D9F">
            <w:pPr>
              <w:spacing w:line="360" w:lineRule="auto"/>
              <w:jc w:val="both"/>
              <w:rPr>
                <w:rFonts w:ascii="Book Antiqua" w:eastAsia="宋体" w:hAnsi="Book Antiqua"/>
                <w:color w:val="000000" w:themeColor="text1"/>
              </w:rPr>
            </w:pPr>
          </w:p>
        </w:tc>
      </w:tr>
      <w:tr w:rsidR="005C3CE7" w:rsidRPr="000B3360" w14:paraId="75E8E1E0" w14:textId="77777777" w:rsidTr="00CA6D9F">
        <w:trPr>
          <w:trHeight w:val="271"/>
        </w:trPr>
        <w:tc>
          <w:tcPr>
            <w:tcW w:w="630" w:type="dxa"/>
            <w:vMerge w:val="restart"/>
            <w:noWrap/>
            <w:hideMark/>
          </w:tcPr>
          <w:p w14:paraId="3CA01786"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16</w:t>
            </w:r>
          </w:p>
        </w:tc>
        <w:tc>
          <w:tcPr>
            <w:tcW w:w="516" w:type="dxa"/>
            <w:vMerge w:val="restart"/>
            <w:noWrap/>
            <w:hideMark/>
          </w:tcPr>
          <w:p w14:paraId="64B35056"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M</w:t>
            </w:r>
          </w:p>
        </w:tc>
        <w:tc>
          <w:tcPr>
            <w:tcW w:w="562" w:type="dxa"/>
            <w:vMerge w:val="restart"/>
            <w:noWrap/>
            <w:hideMark/>
          </w:tcPr>
          <w:p w14:paraId="4E1DD938"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50</w:t>
            </w:r>
          </w:p>
        </w:tc>
        <w:tc>
          <w:tcPr>
            <w:tcW w:w="1155" w:type="dxa"/>
            <w:vMerge w:val="restart"/>
            <w:noWrap/>
            <w:hideMark/>
          </w:tcPr>
          <w:p w14:paraId="6A231B59"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2.88 </w:t>
            </w:r>
          </w:p>
        </w:tc>
        <w:tc>
          <w:tcPr>
            <w:tcW w:w="1281" w:type="dxa"/>
            <w:vMerge w:val="restart"/>
            <w:noWrap/>
            <w:hideMark/>
          </w:tcPr>
          <w:p w14:paraId="5FDD15A6"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0.43 </w:t>
            </w:r>
          </w:p>
        </w:tc>
        <w:tc>
          <w:tcPr>
            <w:tcW w:w="950" w:type="dxa"/>
            <w:vMerge w:val="restart"/>
            <w:noWrap/>
            <w:hideMark/>
          </w:tcPr>
          <w:p w14:paraId="3F9465DC"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GD</w:t>
            </w:r>
          </w:p>
        </w:tc>
        <w:tc>
          <w:tcPr>
            <w:tcW w:w="2065" w:type="dxa"/>
            <w:vMerge w:val="restart"/>
            <w:noWrap/>
            <w:hideMark/>
          </w:tcPr>
          <w:p w14:paraId="3B14799F"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Compound heterozygote</w:t>
            </w:r>
          </w:p>
        </w:tc>
        <w:tc>
          <w:tcPr>
            <w:tcW w:w="3763" w:type="dxa"/>
            <w:noWrap/>
            <w:hideMark/>
          </w:tcPr>
          <w:p w14:paraId="1B8A944B"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c.179C&gt;T</w:t>
            </w:r>
          </w:p>
        </w:tc>
        <w:tc>
          <w:tcPr>
            <w:tcW w:w="2185" w:type="dxa"/>
            <w:noWrap/>
            <w:hideMark/>
          </w:tcPr>
          <w:p w14:paraId="2E67B852"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p.Thr60Met</w:t>
            </w:r>
          </w:p>
        </w:tc>
        <w:tc>
          <w:tcPr>
            <w:tcW w:w="1431" w:type="dxa"/>
            <w:vMerge w:val="restart"/>
            <w:noWrap/>
            <w:hideMark/>
          </w:tcPr>
          <w:p w14:paraId="5C16E8AB"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noProof/>
                <w:color w:val="000000" w:themeColor="text1"/>
              </w:rPr>
              <w:t>[4</w:t>
            </w:r>
            <w:r w:rsidRPr="000B3360">
              <w:rPr>
                <w:rFonts w:ascii="Book Antiqua" w:hAnsi="Book Antiqua"/>
                <w:noProof/>
                <w:color w:val="000000" w:themeColor="text1"/>
              </w:rPr>
              <w:t>8</w:t>
            </w:r>
            <w:r w:rsidRPr="000B3360">
              <w:rPr>
                <w:rFonts w:ascii="Book Antiqua" w:eastAsia="宋体" w:hAnsi="Book Antiqua"/>
                <w:noProof/>
                <w:color w:val="000000" w:themeColor="text1"/>
              </w:rPr>
              <w:t>]</w:t>
            </w:r>
          </w:p>
        </w:tc>
      </w:tr>
      <w:tr w:rsidR="005C3CE7" w:rsidRPr="000B3360" w14:paraId="31F0EE75" w14:textId="77777777" w:rsidTr="00CA6D9F">
        <w:trPr>
          <w:trHeight w:val="271"/>
        </w:trPr>
        <w:tc>
          <w:tcPr>
            <w:tcW w:w="630" w:type="dxa"/>
            <w:vMerge/>
            <w:noWrap/>
            <w:hideMark/>
          </w:tcPr>
          <w:p w14:paraId="022E54F3"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16" w:type="dxa"/>
            <w:vMerge/>
            <w:noWrap/>
            <w:hideMark/>
          </w:tcPr>
          <w:p w14:paraId="467DAA72"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62" w:type="dxa"/>
            <w:vMerge/>
            <w:noWrap/>
            <w:hideMark/>
          </w:tcPr>
          <w:p w14:paraId="5E00ABC9"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155" w:type="dxa"/>
            <w:vMerge/>
            <w:noWrap/>
            <w:hideMark/>
          </w:tcPr>
          <w:p w14:paraId="5ACB1CBA"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281" w:type="dxa"/>
            <w:vMerge/>
            <w:noWrap/>
            <w:hideMark/>
          </w:tcPr>
          <w:p w14:paraId="3D19FC30"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950" w:type="dxa"/>
            <w:vMerge/>
            <w:noWrap/>
            <w:hideMark/>
          </w:tcPr>
          <w:p w14:paraId="28EC9781"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2065" w:type="dxa"/>
            <w:vMerge/>
            <w:noWrap/>
            <w:hideMark/>
          </w:tcPr>
          <w:p w14:paraId="177CF014"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3763" w:type="dxa"/>
            <w:noWrap/>
            <w:hideMark/>
          </w:tcPr>
          <w:p w14:paraId="2F12FC4B"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c.1567G&gt;A</w:t>
            </w:r>
          </w:p>
        </w:tc>
        <w:tc>
          <w:tcPr>
            <w:tcW w:w="2185" w:type="dxa"/>
            <w:noWrap/>
            <w:hideMark/>
          </w:tcPr>
          <w:p w14:paraId="06659899"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p.Ala523Thr</w:t>
            </w:r>
          </w:p>
        </w:tc>
        <w:tc>
          <w:tcPr>
            <w:tcW w:w="1431" w:type="dxa"/>
            <w:vMerge/>
            <w:noWrap/>
            <w:hideMark/>
          </w:tcPr>
          <w:p w14:paraId="029BE6C6" w14:textId="77777777" w:rsidR="005C3CE7" w:rsidRPr="000B3360" w:rsidRDefault="005C3CE7" w:rsidP="00CA6D9F">
            <w:pPr>
              <w:spacing w:line="360" w:lineRule="auto"/>
              <w:jc w:val="both"/>
              <w:rPr>
                <w:rFonts w:ascii="Book Antiqua" w:eastAsia="宋体" w:hAnsi="Book Antiqua"/>
                <w:color w:val="000000" w:themeColor="text1"/>
              </w:rPr>
            </w:pPr>
          </w:p>
        </w:tc>
      </w:tr>
      <w:tr w:rsidR="005C3CE7" w:rsidRPr="000B3360" w14:paraId="24E5E32B" w14:textId="77777777" w:rsidTr="00CA6D9F">
        <w:trPr>
          <w:trHeight w:val="271"/>
        </w:trPr>
        <w:tc>
          <w:tcPr>
            <w:tcW w:w="630" w:type="dxa"/>
            <w:noWrap/>
            <w:hideMark/>
          </w:tcPr>
          <w:p w14:paraId="02F8BEA6"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17</w:t>
            </w:r>
          </w:p>
        </w:tc>
        <w:tc>
          <w:tcPr>
            <w:tcW w:w="516" w:type="dxa"/>
            <w:noWrap/>
            <w:hideMark/>
          </w:tcPr>
          <w:p w14:paraId="1BB69D01"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F</w:t>
            </w:r>
          </w:p>
        </w:tc>
        <w:tc>
          <w:tcPr>
            <w:tcW w:w="562" w:type="dxa"/>
            <w:noWrap/>
            <w:hideMark/>
          </w:tcPr>
          <w:p w14:paraId="47B1F9C5"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46</w:t>
            </w:r>
          </w:p>
        </w:tc>
        <w:tc>
          <w:tcPr>
            <w:tcW w:w="1155" w:type="dxa"/>
            <w:noWrap/>
            <w:hideMark/>
          </w:tcPr>
          <w:p w14:paraId="11C7D336"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2.30 </w:t>
            </w:r>
          </w:p>
        </w:tc>
        <w:tc>
          <w:tcPr>
            <w:tcW w:w="1281" w:type="dxa"/>
            <w:noWrap/>
            <w:hideMark/>
          </w:tcPr>
          <w:p w14:paraId="39FE6D86"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0.43 </w:t>
            </w:r>
          </w:p>
        </w:tc>
        <w:tc>
          <w:tcPr>
            <w:tcW w:w="950" w:type="dxa"/>
            <w:noWrap/>
            <w:hideMark/>
          </w:tcPr>
          <w:p w14:paraId="70BC7C47"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GD</w:t>
            </w:r>
          </w:p>
        </w:tc>
        <w:tc>
          <w:tcPr>
            <w:tcW w:w="2065" w:type="dxa"/>
            <w:noWrap/>
            <w:hideMark/>
          </w:tcPr>
          <w:p w14:paraId="09F89E64"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Heterozygote</w:t>
            </w:r>
          </w:p>
        </w:tc>
        <w:tc>
          <w:tcPr>
            <w:tcW w:w="3763" w:type="dxa"/>
            <w:noWrap/>
            <w:hideMark/>
          </w:tcPr>
          <w:p w14:paraId="21E119B4"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c.185C&gt;T</w:t>
            </w:r>
          </w:p>
        </w:tc>
        <w:tc>
          <w:tcPr>
            <w:tcW w:w="2185" w:type="dxa"/>
            <w:noWrap/>
            <w:hideMark/>
          </w:tcPr>
          <w:p w14:paraId="53A3CAC8"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p.Thr60Met</w:t>
            </w:r>
          </w:p>
        </w:tc>
        <w:tc>
          <w:tcPr>
            <w:tcW w:w="1431" w:type="dxa"/>
            <w:noWrap/>
            <w:hideMark/>
          </w:tcPr>
          <w:p w14:paraId="4DA743EE"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noProof/>
                <w:color w:val="000000" w:themeColor="text1"/>
              </w:rPr>
              <w:t>[</w:t>
            </w:r>
            <w:r w:rsidRPr="000B3360">
              <w:rPr>
                <w:rFonts w:ascii="Book Antiqua" w:hAnsi="Book Antiqua"/>
                <w:noProof/>
                <w:color w:val="000000" w:themeColor="text1"/>
              </w:rPr>
              <w:t>49</w:t>
            </w:r>
            <w:r w:rsidRPr="000B3360">
              <w:rPr>
                <w:rFonts w:ascii="Book Antiqua" w:eastAsia="宋体" w:hAnsi="Book Antiqua"/>
                <w:noProof/>
                <w:color w:val="000000" w:themeColor="text1"/>
              </w:rPr>
              <w:t>]</w:t>
            </w:r>
          </w:p>
        </w:tc>
      </w:tr>
      <w:tr w:rsidR="005C3CE7" w:rsidRPr="000B3360" w14:paraId="46B006F1" w14:textId="77777777" w:rsidTr="00CA6D9F">
        <w:trPr>
          <w:trHeight w:val="271"/>
        </w:trPr>
        <w:tc>
          <w:tcPr>
            <w:tcW w:w="630" w:type="dxa"/>
            <w:noWrap/>
            <w:hideMark/>
          </w:tcPr>
          <w:p w14:paraId="2248BD11"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18</w:t>
            </w:r>
          </w:p>
        </w:tc>
        <w:tc>
          <w:tcPr>
            <w:tcW w:w="516" w:type="dxa"/>
            <w:noWrap/>
            <w:hideMark/>
          </w:tcPr>
          <w:p w14:paraId="5B8A03D9"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M</w:t>
            </w:r>
          </w:p>
        </w:tc>
        <w:tc>
          <w:tcPr>
            <w:tcW w:w="562" w:type="dxa"/>
            <w:noWrap/>
            <w:hideMark/>
          </w:tcPr>
          <w:p w14:paraId="58C29165"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21</w:t>
            </w:r>
          </w:p>
        </w:tc>
        <w:tc>
          <w:tcPr>
            <w:tcW w:w="1155" w:type="dxa"/>
            <w:noWrap/>
            <w:hideMark/>
          </w:tcPr>
          <w:p w14:paraId="3B50A94E"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2.64 </w:t>
            </w:r>
          </w:p>
        </w:tc>
        <w:tc>
          <w:tcPr>
            <w:tcW w:w="1281" w:type="dxa"/>
            <w:noWrap/>
            <w:hideMark/>
          </w:tcPr>
          <w:p w14:paraId="207BF878"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0.36 </w:t>
            </w:r>
          </w:p>
        </w:tc>
        <w:tc>
          <w:tcPr>
            <w:tcW w:w="950" w:type="dxa"/>
            <w:noWrap/>
            <w:hideMark/>
          </w:tcPr>
          <w:p w14:paraId="4EF7D2FC"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GD</w:t>
            </w:r>
          </w:p>
        </w:tc>
        <w:tc>
          <w:tcPr>
            <w:tcW w:w="2065" w:type="dxa"/>
            <w:noWrap/>
            <w:hideMark/>
          </w:tcPr>
          <w:p w14:paraId="1465DAA7"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Homozygote</w:t>
            </w:r>
          </w:p>
        </w:tc>
        <w:tc>
          <w:tcPr>
            <w:tcW w:w="3763" w:type="dxa"/>
            <w:noWrap/>
            <w:hideMark/>
          </w:tcPr>
          <w:p w14:paraId="2281E8A0"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c.2744G&gt;A</w:t>
            </w:r>
          </w:p>
        </w:tc>
        <w:tc>
          <w:tcPr>
            <w:tcW w:w="2185" w:type="dxa"/>
            <w:noWrap/>
            <w:hideMark/>
          </w:tcPr>
          <w:p w14:paraId="6CC5FF30"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p.Arg913Gln</w:t>
            </w:r>
          </w:p>
        </w:tc>
        <w:tc>
          <w:tcPr>
            <w:tcW w:w="1431" w:type="dxa"/>
            <w:noWrap/>
            <w:hideMark/>
          </w:tcPr>
          <w:p w14:paraId="02DBD611"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noProof/>
                <w:color w:val="000000" w:themeColor="text1"/>
              </w:rPr>
              <w:t>[</w:t>
            </w:r>
            <w:r w:rsidRPr="000B3360">
              <w:rPr>
                <w:rFonts w:ascii="Book Antiqua" w:hAnsi="Book Antiqua"/>
                <w:noProof/>
                <w:color w:val="000000" w:themeColor="text1"/>
              </w:rPr>
              <w:t>49</w:t>
            </w:r>
            <w:r w:rsidRPr="000B3360">
              <w:rPr>
                <w:rFonts w:ascii="Book Antiqua" w:eastAsia="宋体" w:hAnsi="Book Antiqua"/>
                <w:noProof/>
                <w:color w:val="000000" w:themeColor="text1"/>
              </w:rPr>
              <w:t>]</w:t>
            </w:r>
          </w:p>
        </w:tc>
      </w:tr>
      <w:tr w:rsidR="005C3CE7" w:rsidRPr="000B3360" w14:paraId="2E365AFC" w14:textId="77777777" w:rsidTr="00CA6D9F">
        <w:trPr>
          <w:trHeight w:val="271"/>
        </w:trPr>
        <w:tc>
          <w:tcPr>
            <w:tcW w:w="630" w:type="dxa"/>
            <w:vMerge w:val="restart"/>
            <w:noWrap/>
            <w:hideMark/>
          </w:tcPr>
          <w:p w14:paraId="6A07314E"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19</w:t>
            </w:r>
          </w:p>
        </w:tc>
        <w:tc>
          <w:tcPr>
            <w:tcW w:w="516" w:type="dxa"/>
            <w:vMerge w:val="restart"/>
            <w:noWrap/>
            <w:hideMark/>
          </w:tcPr>
          <w:p w14:paraId="30FB6171"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F</w:t>
            </w:r>
          </w:p>
        </w:tc>
        <w:tc>
          <w:tcPr>
            <w:tcW w:w="562" w:type="dxa"/>
            <w:vMerge w:val="restart"/>
            <w:noWrap/>
            <w:hideMark/>
          </w:tcPr>
          <w:p w14:paraId="36D5F94E"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50</w:t>
            </w:r>
          </w:p>
        </w:tc>
        <w:tc>
          <w:tcPr>
            <w:tcW w:w="1155" w:type="dxa"/>
            <w:vMerge w:val="restart"/>
            <w:noWrap/>
            <w:hideMark/>
          </w:tcPr>
          <w:p w14:paraId="49C9E33A"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2.66 </w:t>
            </w:r>
          </w:p>
        </w:tc>
        <w:tc>
          <w:tcPr>
            <w:tcW w:w="1281" w:type="dxa"/>
            <w:vMerge w:val="restart"/>
            <w:noWrap/>
            <w:hideMark/>
          </w:tcPr>
          <w:p w14:paraId="611F0342"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0.62 </w:t>
            </w:r>
          </w:p>
        </w:tc>
        <w:tc>
          <w:tcPr>
            <w:tcW w:w="950" w:type="dxa"/>
            <w:vMerge w:val="restart"/>
            <w:noWrap/>
            <w:hideMark/>
          </w:tcPr>
          <w:p w14:paraId="7DCCD6FC"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GD</w:t>
            </w:r>
          </w:p>
        </w:tc>
        <w:tc>
          <w:tcPr>
            <w:tcW w:w="2065" w:type="dxa"/>
            <w:vMerge w:val="restart"/>
            <w:noWrap/>
            <w:hideMark/>
          </w:tcPr>
          <w:p w14:paraId="366083D9"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Compound heterozygote</w:t>
            </w:r>
          </w:p>
        </w:tc>
        <w:tc>
          <w:tcPr>
            <w:tcW w:w="3763" w:type="dxa"/>
            <w:noWrap/>
            <w:hideMark/>
          </w:tcPr>
          <w:p w14:paraId="2FAEF0E1"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c.179C&gt;T</w:t>
            </w:r>
          </w:p>
        </w:tc>
        <w:tc>
          <w:tcPr>
            <w:tcW w:w="2185" w:type="dxa"/>
            <w:noWrap/>
            <w:hideMark/>
          </w:tcPr>
          <w:p w14:paraId="655BA16E"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p.Thr60Met</w:t>
            </w:r>
          </w:p>
        </w:tc>
        <w:tc>
          <w:tcPr>
            <w:tcW w:w="1431" w:type="dxa"/>
            <w:vMerge w:val="restart"/>
            <w:noWrap/>
            <w:hideMark/>
          </w:tcPr>
          <w:p w14:paraId="074CF3EC"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noProof/>
                <w:color w:val="000000" w:themeColor="text1"/>
              </w:rPr>
              <w:t>[</w:t>
            </w:r>
            <w:r w:rsidRPr="000B3360">
              <w:rPr>
                <w:rFonts w:ascii="Book Antiqua" w:hAnsi="Book Antiqua"/>
                <w:noProof/>
                <w:color w:val="000000" w:themeColor="text1"/>
              </w:rPr>
              <w:t>50</w:t>
            </w:r>
            <w:r w:rsidRPr="000B3360">
              <w:rPr>
                <w:rFonts w:ascii="Book Antiqua" w:eastAsia="宋体" w:hAnsi="Book Antiqua"/>
                <w:noProof/>
                <w:color w:val="000000" w:themeColor="text1"/>
              </w:rPr>
              <w:t>]</w:t>
            </w:r>
          </w:p>
        </w:tc>
      </w:tr>
      <w:tr w:rsidR="005C3CE7" w:rsidRPr="000B3360" w14:paraId="46AA017D" w14:textId="77777777" w:rsidTr="00CA6D9F">
        <w:trPr>
          <w:trHeight w:val="271"/>
        </w:trPr>
        <w:tc>
          <w:tcPr>
            <w:tcW w:w="630" w:type="dxa"/>
            <w:vMerge/>
            <w:noWrap/>
            <w:hideMark/>
          </w:tcPr>
          <w:p w14:paraId="764D3C80"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16" w:type="dxa"/>
            <w:vMerge/>
            <w:noWrap/>
            <w:hideMark/>
          </w:tcPr>
          <w:p w14:paraId="0C16FB3B"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62" w:type="dxa"/>
            <w:vMerge/>
            <w:noWrap/>
            <w:hideMark/>
          </w:tcPr>
          <w:p w14:paraId="68B0BC4E"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155" w:type="dxa"/>
            <w:vMerge/>
            <w:noWrap/>
            <w:hideMark/>
          </w:tcPr>
          <w:p w14:paraId="5F34ED2D"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281" w:type="dxa"/>
            <w:vMerge/>
            <w:noWrap/>
            <w:hideMark/>
          </w:tcPr>
          <w:p w14:paraId="0C7BC652"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950" w:type="dxa"/>
            <w:vMerge/>
            <w:noWrap/>
            <w:hideMark/>
          </w:tcPr>
          <w:p w14:paraId="0373EBA5"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2065" w:type="dxa"/>
            <w:vMerge/>
            <w:noWrap/>
            <w:hideMark/>
          </w:tcPr>
          <w:p w14:paraId="1123C0BB"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3763" w:type="dxa"/>
            <w:noWrap/>
            <w:hideMark/>
          </w:tcPr>
          <w:p w14:paraId="23A58AB8"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c.863T&gt;G</w:t>
            </w:r>
          </w:p>
        </w:tc>
        <w:tc>
          <w:tcPr>
            <w:tcW w:w="2185" w:type="dxa"/>
            <w:noWrap/>
            <w:hideMark/>
          </w:tcPr>
          <w:p w14:paraId="20C784F2"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p.Leu288Arg</w:t>
            </w:r>
          </w:p>
        </w:tc>
        <w:tc>
          <w:tcPr>
            <w:tcW w:w="1431" w:type="dxa"/>
            <w:vMerge/>
            <w:noWrap/>
            <w:hideMark/>
          </w:tcPr>
          <w:p w14:paraId="2143F210" w14:textId="77777777" w:rsidR="005C3CE7" w:rsidRPr="000B3360" w:rsidRDefault="005C3CE7" w:rsidP="00CA6D9F">
            <w:pPr>
              <w:spacing w:line="360" w:lineRule="auto"/>
              <w:jc w:val="both"/>
              <w:rPr>
                <w:rFonts w:ascii="Book Antiqua" w:eastAsia="宋体" w:hAnsi="Book Antiqua"/>
                <w:color w:val="000000" w:themeColor="text1"/>
              </w:rPr>
            </w:pPr>
          </w:p>
        </w:tc>
      </w:tr>
      <w:tr w:rsidR="005C3CE7" w:rsidRPr="000B3360" w14:paraId="4891EAD3" w14:textId="77777777" w:rsidTr="00CA6D9F">
        <w:trPr>
          <w:trHeight w:val="271"/>
        </w:trPr>
        <w:tc>
          <w:tcPr>
            <w:tcW w:w="630" w:type="dxa"/>
            <w:vMerge w:val="restart"/>
            <w:noWrap/>
            <w:hideMark/>
          </w:tcPr>
          <w:p w14:paraId="030802AA"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lastRenderedPageBreak/>
              <w:t>20</w:t>
            </w:r>
          </w:p>
        </w:tc>
        <w:tc>
          <w:tcPr>
            <w:tcW w:w="516" w:type="dxa"/>
            <w:vMerge w:val="restart"/>
            <w:noWrap/>
            <w:hideMark/>
          </w:tcPr>
          <w:p w14:paraId="655AD699"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M</w:t>
            </w:r>
          </w:p>
        </w:tc>
        <w:tc>
          <w:tcPr>
            <w:tcW w:w="562" w:type="dxa"/>
            <w:vMerge w:val="restart"/>
            <w:noWrap/>
            <w:hideMark/>
          </w:tcPr>
          <w:p w14:paraId="68E7972E"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39</w:t>
            </w:r>
          </w:p>
        </w:tc>
        <w:tc>
          <w:tcPr>
            <w:tcW w:w="1155" w:type="dxa"/>
            <w:vMerge w:val="restart"/>
            <w:noWrap/>
            <w:hideMark/>
          </w:tcPr>
          <w:p w14:paraId="179FAA43"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1.90 </w:t>
            </w:r>
          </w:p>
        </w:tc>
        <w:tc>
          <w:tcPr>
            <w:tcW w:w="1281" w:type="dxa"/>
            <w:vMerge w:val="restart"/>
            <w:noWrap/>
            <w:hideMark/>
          </w:tcPr>
          <w:p w14:paraId="63538B0E"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0.52 </w:t>
            </w:r>
          </w:p>
        </w:tc>
        <w:tc>
          <w:tcPr>
            <w:tcW w:w="950" w:type="dxa"/>
            <w:vMerge w:val="restart"/>
            <w:noWrap/>
            <w:hideMark/>
          </w:tcPr>
          <w:p w14:paraId="170A7334"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GD</w:t>
            </w:r>
          </w:p>
        </w:tc>
        <w:tc>
          <w:tcPr>
            <w:tcW w:w="2065" w:type="dxa"/>
            <w:vMerge w:val="restart"/>
            <w:noWrap/>
            <w:hideMark/>
          </w:tcPr>
          <w:p w14:paraId="06F24093"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Compound heterozygote</w:t>
            </w:r>
          </w:p>
        </w:tc>
        <w:tc>
          <w:tcPr>
            <w:tcW w:w="3763" w:type="dxa"/>
            <w:noWrap/>
            <w:hideMark/>
          </w:tcPr>
          <w:p w14:paraId="16A4011A"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c.1841C&gt;T</w:t>
            </w:r>
          </w:p>
        </w:tc>
        <w:tc>
          <w:tcPr>
            <w:tcW w:w="2185" w:type="dxa"/>
            <w:noWrap/>
            <w:hideMark/>
          </w:tcPr>
          <w:p w14:paraId="2CCAF0AD"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p.Ser614Phe</w:t>
            </w:r>
          </w:p>
        </w:tc>
        <w:tc>
          <w:tcPr>
            <w:tcW w:w="1431" w:type="dxa"/>
            <w:vMerge w:val="restart"/>
            <w:noWrap/>
            <w:hideMark/>
          </w:tcPr>
          <w:p w14:paraId="007FF977"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noProof/>
                <w:color w:val="000000" w:themeColor="text1"/>
              </w:rPr>
              <w:t>[</w:t>
            </w:r>
            <w:r w:rsidRPr="000B3360">
              <w:rPr>
                <w:rFonts w:ascii="Book Antiqua" w:hAnsi="Book Antiqua"/>
                <w:noProof/>
                <w:color w:val="000000" w:themeColor="text1"/>
              </w:rPr>
              <w:t>51</w:t>
            </w:r>
            <w:r w:rsidRPr="000B3360">
              <w:rPr>
                <w:rFonts w:ascii="Book Antiqua" w:eastAsia="宋体" w:hAnsi="Book Antiqua"/>
                <w:noProof/>
                <w:color w:val="000000" w:themeColor="text1"/>
              </w:rPr>
              <w:t>]</w:t>
            </w:r>
          </w:p>
        </w:tc>
      </w:tr>
      <w:tr w:rsidR="005C3CE7" w:rsidRPr="000B3360" w14:paraId="3CACA62B" w14:textId="77777777" w:rsidTr="00CA6D9F">
        <w:trPr>
          <w:trHeight w:val="271"/>
        </w:trPr>
        <w:tc>
          <w:tcPr>
            <w:tcW w:w="630" w:type="dxa"/>
            <w:vMerge/>
            <w:noWrap/>
            <w:hideMark/>
          </w:tcPr>
          <w:p w14:paraId="20EA7B05"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16" w:type="dxa"/>
            <w:vMerge/>
            <w:noWrap/>
            <w:hideMark/>
          </w:tcPr>
          <w:p w14:paraId="5E7E3001"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62" w:type="dxa"/>
            <w:vMerge/>
            <w:noWrap/>
            <w:hideMark/>
          </w:tcPr>
          <w:p w14:paraId="2A047141"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155" w:type="dxa"/>
            <w:vMerge/>
            <w:noWrap/>
            <w:hideMark/>
          </w:tcPr>
          <w:p w14:paraId="07798AC1"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281" w:type="dxa"/>
            <w:vMerge/>
            <w:noWrap/>
            <w:hideMark/>
          </w:tcPr>
          <w:p w14:paraId="5CCCD42B"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950" w:type="dxa"/>
            <w:vMerge/>
            <w:noWrap/>
            <w:hideMark/>
          </w:tcPr>
          <w:p w14:paraId="38F46F75"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2065" w:type="dxa"/>
            <w:vMerge/>
            <w:noWrap/>
            <w:hideMark/>
          </w:tcPr>
          <w:p w14:paraId="14649C52"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3763" w:type="dxa"/>
            <w:noWrap/>
            <w:hideMark/>
          </w:tcPr>
          <w:p w14:paraId="72CDADD5"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c.2968G&gt;A</w:t>
            </w:r>
          </w:p>
        </w:tc>
        <w:tc>
          <w:tcPr>
            <w:tcW w:w="2185" w:type="dxa"/>
            <w:noWrap/>
            <w:hideMark/>
          </w:tcPr>
          <w:p w14:paraId="5792BF7C"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p.Arg990Lys</w:t>
            </w:r>
          </w:p>
        </w:tc>
        <w:tc>
          <w:tcPr>
            <w:tcW w:w="1431" w:type="dxa"/>
            <w:vMerge/>
            <w:noWrap/>
            <w:hideMark/>
          </w:tcPr>
          <w:p w14:paraId="33C8E2AC" w14:textId="77777777" w:rsidR="005C3CE7" w:rsidRPr="000B3360" w:rsidRDefault="005C3CE7" w:rsidP="00CA6D9F">
            <w:pPr>
              <w:spacing w:line="360" w:lineRule="auto"/>
              <w:jc w:val="both"/>
              <w:rPr>
                <w:rFonts w:ascii="Book Antiqua" w:eastAsia="宋体" w:hAnsi="Book Antiqua"/>
                <w:color w:val="000000" w:themeColor="text1"/>
              </w:rPr>
            </w:pPr>
          </w:p>
        </w:tc>
      </w:tr>
      <w:tr w:rsidR="005C3CE7" w:rsidRPr="000B3360" w14:paraId="1414E239" w14:textId="77777777" w:rsidTr="00CA6D9F">
        <w:trPr>
          <w:trHeight w:val="271"/>
        </w:trPr>
        <w:tc>
          <w:tcPr>
            <w:tcW w:w="630" w:type="dxa"/>
            <w:vMerge w:val="restart"/>
            <w:noWrap/>
            <w:hideMark/>
          </w:tcPr>
          <w:p w14:paraId="466F969D"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21</w:t>
            </w:r>
          </w:p>
        </w:tc>
        <w:tc>
          <w:tcPr>
            <w:tcW w:w="516" w:type="dxa"/>
            <w:vMerge w:val="restart"/>
            <w:noWrap/>
            <w:hideMark/>
          </w:tcPr>
          <w:p w14:paraId="41F1DA74"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F</w:t>
            </w:r>
          </w:p>
        </w:tc>
        <w:tc>
          <w:tcPr>
            <w:tcW w:w="562" w:type="dxa"/>
            <w:vMerge w:val="restart"/>
            <w:noWrap/>
            <w:hideMark/>
          </w:tcPr>
          <w:p w14:paraId="765670AD"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41</w:t>
            </w:r>
          </w:p>
        </w:tc>
        <w:tc>
          <w:tcPr>
            <w:tcW w:w="1155" w:type="dxa"/>
            <w:vMerge w:val="restart"/>
            <w:noWrap/>
            <w:hideMark/>
          </w:tcPr>
          <w:p w14:paraId="6D2D8333"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2.60 </w:t>
            </w:r>
          </w:p>
        </w:tc>
        <w:tc>
          <w:tcPr>
            <w:tcW w:w="1281" w:type="dxa"/>
            <w:vMerge w:val="restart"/>
            <w:noWrap/>
            <w:hideMark/>
          </w:tcPr>
          <w:p w14:paraId="060F1A2A"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 xml:space="preserve">0.40 </w:t>
            </w:r>
          </w:p>
        </w:tc>
        <w:tc>
          <w:tcPr>
            <w:tcW w:w="950" w:type="dxa"/>
            <w:vMerge w:val="restart"/>
            <w:noWrap/>
            <w:hideMark/>
          </w:tcPr>
          <w:p w14:paraId="0C6B809F"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AP</w:t>
            </w:r>
          </w:p>
        </w:tc>
        <w:tc>
          <w:tcPr>
            <w:tcW w:w="2065" w:type="dxa"/>
            <w:vMerge w:val="restart"/>
            <w:noWrap/>
            <w:hideMark/>
          </w:tcPr>
          <w:p w14:paraId="1332128E"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Compound heterozygote</w:t>
            </w:r>
          </w:p>
        </w:tc>
        <w:tc>
          <w:tcPr>
            <w:tcW w:w="3763" w:type="dxa"/>
            <w:noWrap/>
            <w:hideMark/>
          </w:tcPr>
          <w:p w14:paraId="02FE8D4F"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c.964+2T&gt;C</w:t>
            </w:r>
          </w:p>
        </w:tc>
        <w:tc>
          <w:tcPr>
            <w:tcW w:w="2185" w:type="dxa"/>
            <w:noWrap/>
            <w:hideMark/>
          </w:tcPr>
          <w:p w14:paraId="7A7FBA41"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431" w:type="dxa"/>
            <w:vMerge w:val="restart"/>
            <w:noWrap/>
            <w:hideMark/>
          </w:tcPr>
          <w:p w14:paraId="1119566A"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noProof/>
                <w:color w:val="000000" w:themeColor="text1"/>
              </w:rPr>
              <w:t>[</w:t>
            </w:r>
            <w:r w:rsidRPr="000B3360">
              <w:rPr>
                <w:rFonts w:ascii="Book Antiqua" w:hAnsi="Book Antiqua"/>
                <w:noProof/>
                <w:color w:val="000000" w:themeColor="text1"/>
              </w:rPr>
              <w:t>51</w:t>
            </w:r>
            <w:r w:rsidRPr="000B3360">
              <w:rPr>
                <w:rFonts w:ascii="Book Antiqua" w:eastAsia="宋体" w:hAnsi="Book Antiqua"/>
                <w:noProof/>
                <w:color w:val="000000" w:themeColor="text1"/>
              </w:rPr>
              <w:t>]</w:t>
            </w:r>
          </w:p>
        </w:tc>
      </w:tr>
      <w:tr w:rsidR="005C3CE7" w:rsidRPr="000B3360" w14:paraId="6DDFF95A" w14:textId="77777777" w:rsidTr="00CA6D9F">
        <w:trPr>
          <w:trHeight w:val="271"/>
        </w:trPr>
        <w:tc>
          <w:tcPr>
            <w:tcW w:w="630" w:type="dxa"/>
            <w:vMerge/>
            <w:noWrap/>
            <w:hideMark/>
          </w:tcPr>
          <w:p w14:paraId="003763A7"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16" w:type="dxa"/>
            <w:vMerge/>
            <w:noWrap/>
            <w:hideMark/>
          </w:tcPr>
          <w:p w14:paraId="67F6A0F5"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62" w:type="dxa"/>
            <w:vMerge/>
            <w:noWrap/>
            <w:hideMark/>
          </w:tcPr>
          <w:p w14:paraId="7B89C60C"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155" w:type="dxa"/>
            <w:vMerge/>
            <w:noWrap/>
            <w:hideMark/>
          </w:tcPr>
          <w:p w14:paraId="6F7FA9ED"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281" w:type="dxa"/>
            <w:vMerge/>
            <w:noWrap/>
            <w:hideMark/>
          </w:tcPr>
          <w:p w14:paraId="0FA6D4C6"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950" w:type="dxa"/>
            <w:vMerge/>
            <w:noWrap/>
            <w:hideMark/>
          </w:tcPr>
          <w:p w14:paraId="0E3D6428"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2065" w:type="dxa"/>
            <w:vMerge/>
            <w:noWrap/>
            <w:hideMark/>
          </w:tcPr>
          <w:p w14:paraId="64381D28"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3763" w:type="dxa"/>
            <w:noWrap/>
            <w:hideMark/>
          </w:tcPr>
          <w:p w14:paraId="57C38470"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c.179C&gt;T</w:t>
            </w:r>
          </w:p>
        </w:tc>
        <w:tc>
          <w:tcPr>
            <w:tcW w:w="2185" w:type="dxa"/>
            <w:noWrap/>
            <w:hideMark/>
          </w:tcPr>
          <w:p w14:paraId="02BC8EAA"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p.Thr60Met</w:t>
            </w:r>
          </w:p>
        </w:tc>
        <w:tc>
          <w:tcPr>
            <w:tcW w:w="1431" w:type="dxa"/>
            <w:vMerge/>
            <w:noWrap/>
            <w:hideMark/>
          </w:tcPr>
          <w:p w14:paraId="16B9B84C" w14:textId="77777777" w:rsidR="005C3CE7" w:rsidRPr="000B3360" w:rsidRDefault="005C3CE7" w:rsidP="00CA6D9F">
            <w:pPr>
              <w:spacing w:line="360" w:lineRule="auto"/>
              <w:jc w:val="both"/>
              <w:rPr>
                <w:rFonts w:ascii="Book Antiqua" w:eastAsia="宋体" w:hAnsi="Book Antiqua"/>
                <w:color w:val="000000" w:themeColor="text1"/>
              </w:rPr>
            </w:pPr>
          </w:p>
        </w:tc>
      </w:tr>
      <w:tr w:rsidR="005C3CE7" w:rsidRPr="000B3360" w14:paraId="7ECFBDD4" w14:textId="77777777" w:rsidTr="00CA6D9F">
        <w:trPr>
          <w:trHeight w:val="271"/>
        </w:trPr>
        <w:tc>
          <w:tcPr>
            <w:tcW w:w="630" w:type="dxa"/>
            <w:vMerge w:val="restart"/>
            <w:noWrap/>
            <w:hideMark/>
          </w:tcPr>
          <w:p w14:paraId="446DD5F3"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22</w:t>
            </w:r>
          </w:p>
        </w:tc>
        <w:tc>
          <w:tcPr>
            <w:tcW w:w="516" w:type="dxa"/>
            <w:vMerge w:val="restart"/>
            <w:noWrap/>
            <w:hideMark/>
          </w:tcPr>
          <w:p w14:paraId="44B5A69D"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F</w:t>
            </w:r>
          </w:p>
        </w:tc>
        <w:tc>
          <w:tcPr>
            <w:tcW w:w="562" w:type="dxa"/>
            <w:vMerge w:val="restart"/>
            <w:noWrap/>
            <w:hideMark/>
          </w:tcPr>
          <w:p w14:paraId="07C5BEFD"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20</w:t>
            </w:r>
          </w:p>
        </w:tc>
        <w:tc>
          <w:tcPr>
            <w:tcW w:w="1155" w:type="dxa"/>
            <w:vMerge w:val="restart"/>
            <w:noWrap/>
            <w:hideMark/>
          </w:tcPr>
          <w:p w14:paraId="483C9D3E" w14:textId="75A4F1A8"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NA</w:t>
            </w:r>
          </w:p>
        </w:tc>
        <w:tc>
          <w:tcPr>
            <w:tcW w:w="1281" w:type="dxa"/>
            <w:vMerge w:val="restart"/>
            <w:noWrap/>
            <w:hideMark/>
          </w:tcPr>
          <w:p w14:paraId="5869293E" w14:textId="53D7B1D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NA</w:t>
            </w:r>
          </w:p>
        </w:tc>
        <w:tc>
          <w:tcPr>
            <w:tcW w:w="950" w:type="dxa"/>
            <w:vMerge w:val="restart"/>
            <w:noWrap/>
            <w:hideMark/>
          </w:tcPr>
          <w:p w14:paraId="55600192"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SAT</w:t>
            </w:r>
          </w:p>
        </w:tc>
        <w:tc>
          <w:tcPr>
            <w:tcW w:w="2065" w:type="dxa"/>
            <w:vMerge w:val="restart"/>
            <w:noWrap/>
            <w:hideMark/>
          </w:tcPr>
          <w:p w14:paraId="5F2913E8"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Compound heterozygote</w:t>
            </w:r>
          </w:p>
        </w:tc>
        <w:tc>
          <w:tcPr>
            <w:tcW w:w="3763" w:type="dxa"/>
            <w:noWrap/>
            <w:hideMark/>
          </w:tcPr>
          <w:p w14:paraId="45ED8B44"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c.1456G&gt;A</w:t>
            </w:r>
          </w:p>
        </w:tc>
        <w:tc>
          <w:tcPr>
            <w:tcW w:w="2185" w:type="dxa"/>
            <w:noWrap/>
            <w:hideMark/>
          </w:tcPr>
          <w:p w14:paraId="45047D54"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p.Asp486Asn</w:t>
            </w:r>
          </w:p>
        </w:tc>
        <w:tc>
          <w:tcPr>
            <w:tcW w:w="1431" w:type="dxa"/>
            <w:vMerge w:val="restart"/>
            <w:noWrap/>
            <w:hideMark/>
          </w:tcPr>
          <w:p w14:paraId="5848E03F"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noProof/>
                <w:color w:val="000000" w:themeColor="text1"/>
              </w:rPr>
              <w:t>[</w:t>
            </w:r>
            <w:r w:rsidRPr="000B3360">
              <w:rPr>
                <w:rFonts w:ascii="Book Antiqua" w:hAnsi="Book Antiqua"/>
                <w:noProof/>
                <w:color w:val="000000" w:themeColor="text1"/>
              </w:rPr>
              <w:t>52</w:t>
            </w:r>
            <w:r w:rsidRPr="000B3360">
              <w:rPr>
                <w:rFonts w:ascii="Book Antiqua" w:eastAsia="宋体" w:hAnsi="Book Antiqua"/>
                <w:noProof/>
                <w:color w:val="000000" w:themeColor="text1"/>
              </w:rPr>
              <w:t>]</w:t>
            </w:r>
          </w:p>
        </w:tc>
      </w:tr>
      <w:tr w:rsidR="005C3CE7" w:rsidRPr="000B3360" w14:paraId="18BE4DA9" w14:textId="77777777" w:rsidTr="00CA6D9F">
        <w:trPr>
          <w:trHeight w:val="271"/>
        </w:trPr>
        <w:tc>
          <w:tcPr>
            <w:tcW w:w="630" w:type="dxa"/>
            <w:vMerge/>
            <w:noWrap/>
            <w:hideMark/>
          </w:tcPr>
          <w:p w14:paraId="02B27245"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16" w:type="dxa"/>
            <w:vMerge/>
            <w:noWrap/>
            <w:hideMark/>
          </w:tcPr>
          <w:p w14:paraId="12D6651C"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62" w:type="dxa"/>
            <w:vMerge/>
            <w:noWrap/>
            <w:hideMark/>
          </w:tcPr>
          <w:p w14:paraId="45F1A4D0"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155" w:type="dxa"/>
            <w:vMerge/>
            <w:noWrap/>
            <w:hideMark/>
          </w:tcPr>
          <w:p w14:paraId="624C8E89"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281" w:type="dxa"/>
            <w:vMerge/>
            <w:noWrap/>
            <w:hideMark/>
          </w:tcPr>
          <w:p w14:paraId="2E0508D8"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950" w:type="dxa"/>
            <w:vMerge/>
            <w:noWrap/>
            <w:hideMark/>
          </w:tcPr>
          <w:p w14:paraId="12310F9A"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2065" w:type="dxa"/>
            <w:vMerge/>
            <w:noWrap/>
            <w:hideMark/>
          </w:tcPr>
          <w:p w14:paraId="7F304535"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3763" w:type="dxa"/>
            <w:noWrap/>
            <w:hideMark/>
          </w:tcPr>
          <w:p w14:paraId="79DC0048"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c.506-1G&gt;A</w:t>
            </w:r>
          </w:p>
        </w:tc>
        <w:tc>
          <w:tcPr>
            <w:tcW w:w="2185" w:type="dxa"/>
            <w:noWrap/>
            <w:hideMark/>
          </w:tcPr>
          <w:p w14:paraId="0803B814"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431" w:type="dxa"/>
            <w:vMerge/>
            <w:noWrap/>
            <w:hideMark/>
          </w:tcPr>
          <w:p w14:paraId="11B99CBA" w14:textId="77777777" w:rsidR="005C3CE7" w:rsidRPr="000B3360" w:rsidRDefault="005C3CE7" w:rsidP="00CA6D9F">
            <w:pPr>
              <w:spacing w:line="360" w:lineRule="auto"/>
              <w:jc w:val="both"/>
              <w:rPr>
                <w:rFonts w:ascii="Book Antiqua" w:eastAsia="宋体" w:hAnsi="Book Antiqua"/>
                <w:color w:val="000000" w:themeColor="text1"/>
              </w:rPr>
            </w:pPr>
          </w:p>
        </w:tc>
      </w:tr>
      <w:tr w:rsidR="005C3CE7" w:rsidRPr="000B3360" w14:paraId="375F74F0" w14:textId="77777777" w:rsidTr="00CA6D9F">
        <w:trPr>
          <w:trHeight w:val="271"/>
        </w:trPr>
        <w:tc>
          <w:tcPr>
            <w:tcW w:w="630" w:type="dxa"/>
            <w:vMerge w:val="restart"/>
            <w:noWrap/>
            <w:hideMark/>
          </w:tcPr>
          <w:p w14:paraId="57B607D0"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23</w:t>
            </w:r>
          </w:p>
        </w:tc>
        <w:tc>
          <w:tcPr>
            <w:tcW w:w="516" w:type="dxa"/>
            <w:vMerge w:val="restart"/>
            <w:noWrap/>
            <w:hideMark/>
          </w:tcPr>
          <w:p w14:paraId="7D5691F9"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F</w:t>
            </w:r>
          </w:p>
        </w:tc>
        <w:tc>
          <w:tcPr>
            <w:tcW w:w="562" w:type="dxa"/>
            <w:vMerge w:val="restart"/>
            <w:noWrap/>
            <w:hideMark/>
          </w:tcPr>
          <w:p w14:paraId="7D2AEE5F"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47</w:t>
            </w:r>
          </w:p>
        </w:tc>
        <w:tc>
          <w:tcPr>
            <w:tcW w:w="1155" w:type="dxa"/>
            <w:vMerge w:val="restart"/>
            <w:noWrap/>
            <w:hideMark/>
          </w:tcPr>
          <w:p w14:paraId="7307A885" w14:textId="14CE7008"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NA</w:t>
            </w:r>
          </w:p>
        </w:tc>
        <w:tc>
          <w:tcPr>
            <w:tcW w:w="1281" w:type="dxa"/>
            <w:vMerge w:val="restart"/>
            <w:noWrap/>
            <w:hideMark/>
          </w:tcPr>
          <w:p w14:paraId="07D8F9D2" w14:textId="4EAC9E19"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NA</w:t>
            </w:r>
          </w:p>
        </w:tc>
        <w:tc>
          <w:tcPr>
            <w:tcW w:w="950" w:type="dxa"/>
            <w:vMerge w:val="restart"/>
            <w:noWrap/>
            <w:hideMark/>
          </w:tcPr>
          <w:p w14:paraId="29F49860"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GD</w:t>
            </w:r>
          </w:p>
        </w:tc>
        <w:tc>
          <w:tcPr>
            <w:tcW w:w="2065" w:type="dxa"/>
            <w:vMerge w:val="restart"/>
            <w:noWrap/>
            <w:hideMark/>
          </w:tcPr>
          <w:p w14:paraId="27865F5C"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Compound heterozygote</w:t>
            </w:r>
          </w:p>
        </w:tc>
        <w:tc>
          <w:tcPr>
            <w:tcW w:w="3763" w:type="dxa"/>
            <w:noWrap/>
            <w:hideMark/>
          </w:tcPr>
          <w:p w14:paraId="69052702"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c.1016C&gt;T</w:t>
            </w:r>
          </w:p>
        </w:tc>
        <w:tc>
          <w:tcPr>
            <w:tcW w:w="2185" w:type="dxa"/>
            <w:noWrap/>
            <w:hideMark/>
          </w:tcPr>
          <w:p w14:paraId="05B668B9"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p.Thr339Ile</w:t>
            </w:r>
          </w:p>
        </w:tc>
        <w:tc>
          <w:tcPr>
            <w:tcW w:w="1431" w:type="dxa"/>
            <w:vMerge w:val="restart"/>
            <w:noWrap/>
            <w:hideMark/>
          </w:tcPr>
          <w:p w14:paraId="41DC3163" w14:textId="77777777" w:rsidR="005C3CE7" w:rsidRPr="000B3360" w:rsidRDefault="005C3CE7" w:rsidP="00CA6D9F">
            <w:pPr>
              <w:spacing w:line="360" w:lineRule="auto"/>
              <w:jc w:val="both"/>
              <w:rPr>
                <w:rFonts w:ascii="Book Antiqua" w:eastAsia="宋体" w:hAnsi="Book Antiqua"/>
                <w:color w:val="000000" w:themeColor="text1"/>
              </w:rPr>
            </w:pPr>
            <w:r w:rsidRPr="000B3360">
              <w:rPr>
                <w:rFonts w:ascii="Book Antiqua" w:eastAsia="宋体" w:hAnsi="Book Antiqua"/>
                <w:noProof/>
                <w:color w:val="000000" w:themeColor="text1"/>
              </w:rPr>
              <w:t>[</w:t>
            </w:r>
            <w:r w:rsidRPr="000B3360">
              <w:rPr>
                <w:rFonts w:ascii="Book Antiqua" w:hAnsi="Book Antiqua"/>
                <w:noProof/>
                <w:color w:val="000000" w:themeColor="text1"/>
              </w:rPr>
              <w:t>52</w:t>
            </w:r>
            <w:r w:rsidRPr="000B3360">
              <w:rPr>
                <w:rFonts w:ascii="Book Antiqua" w:eastAsia="宋体" w:hAnsi="Book Antiqua"/>
                <w:noProof/>
                <w:color w:val="000000" w:themeColor="text1"/>
              </w:rPr>
              <w:t>]</w:t>
            </w:r>
          </w:p>
        </w:tc>
      </w:tr>
      <w:tr w:rsidR="005C3CE7" w:rsidRPr="000B3360" w14:paraId="3FA68098" w14:textId="77777777" w:rsidTr="00CA6D9F">
        <w:trPr>
          <w:trHeight w:val="271"/>
        </w:trPr>
        <w:tc>
          <w:tcPr>
            <w:tcW w:w="630" w:type="dxa"/>
            <w:vMerge/>
            <w:tcBorders>
              <w:bottom w:val="single" w:sz="4" w:space="0" w:color="auto"/>
            </w:tcBorders>
            <w:noWrap/>
            <w:hideMark/>
          </w:tcPr>
          <w:p w14:paraId="6415EA16"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16" w:type="dxa"/>
            <w:vMerge/>
            <w:tcBorders>
              <w:bottom w:val="single" w:sz="4" w:space="0" w:color="auto"/>
            </w:tcBorders>
            <w:noWrap/>
            <w:hideMark/>
          </w:tcPr>
          <w:p w14:paraId="37C23219"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562" w:type="dxa"/>
            <w:vMerge/>
            <w:tcBorders>
              <w:bottom w:val="single" w:sz="4" w:space="0" w:color="auto"/>
            </w:tcBorders>
            <w:noWrap/>
            <w:hideMark/>
          </w:tcPr>
          <w:p w14:paraId="3008B656"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155" w:type="dxa"/>
            <w:vMerge/>
            <w:tcBorders>
              <w:bottom w:val="single" w:sz="4" w:space="0" w:color="auto"/>
            </w:tcBorders>
            <w:noWrap/>
            <w:hideMark/>
          </w:tcPr>
          <w:p w14:paraId="5947BF22"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1281" w:type="dxa"/>
            <w:vMerge/>
            <w:tcBorders>
              <w:bottom w:val="single" w:sz="4" w:space="0" w:color="auto"/>
            </w:tcBorders>
            <w:noWrap/>
            <w:hideMark/>
          </w:tcPr>
          <w:p w14:paraId="307C568A"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950" w:type="dxa"/>
            <w:vMerge/>
            <w:tcBorders>
              <w:bottom w:val="single" w:sz="4" w:space="0" w:color="auto"/>
            </w:tcBorders>
            <w:noWrap/>
            <w:hideMark/>
          </w:tcPr>
          <w:p w14:paraId="2D10C825"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2065" w:type="dxa"/>
            <w:vMerge/>
            <w:tcBorders>
              <w:bottom w:val="single" w:sz="4" w:space="0" w:color="auto"/>
            </w:tcBorders>
            <w:noWrap/>
            <w:hideMark/>
          </w:tcPr>
          <w:p w14:paraId="77DB0F60" w14:textId="77777777" w:rsidR="005C3CE7" w:rsidRPr="000B3360" w:rsidRDefault="005C3CE7" w:rsidP="00CA6D9F">
            <w:pPr>
              <w:spacing w:line="360" w:lineRule="auto"/>
              <w:jc w:val="both"/>
              <w:rPr>
                <w:rFonts w:ascii="Book Antiqua" w:eastAsia="Book Antiqua" w:hAnsi="Book Antiqua" w:cs="Tahoma"/>
                <w:color w:val="000000" w:themeColor="text1"/>
              </w:rPr>
            </w:pPr>
          </w:p>
        </w:tc>
        <w:tc>
          <w:tcPr>
            <w:tcW w:w="3763" w:type="dxa"/>
            <w:tcBorders>
              <w:bottom w:val="single" w:sz="4" w:space="0" w:color="auto"/>
            </w:tcBorders>
            <w:noWrap/>
            <w:hideMark/>
          </w:tcPr>
          <w:p w14:paraId="29E9D135"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c.1925G&gt;A</w:t>
            </w:r>
          </w:p>
        </w:tc>
        <w:tc>
          <w:tcPr>
            <w:tcW w:w="2185" w:type="dxa"/>
            <w:tcBorders>
              <w:bottom w:val="single" w:sz="4" w:space="0" w:color="auto"/>
            </w:tcBorders>
            <w:noWrap/>
            <w:hideMark/>
          </w:tcPr>
          <w:p w14:paraId="0A0BB77F" w14:textId="77777777" w:rsidR="005C3CE7" w:rsidRPr="000B3360" w:rsidRDefault="005C3CE7" w:rsidP="00CA6D9F">
            <w:pPr>
              <w:spacing w:line="360" w:lineRule="auto"/>
              <w:jc w:val="both"/>
              <w:rPr>
                <w:rFonts w:ascii="Book Antiqua" w:eastAsia="Book Antiqua" w:hAnsi="Book Antiqua" w:cs="Tahoma"/>
                <w:color w:val="000000" w:themeColor="text1"/>
              </w:rPr>
            </w:pPr>
            <w:r w:rsidRPr="000B3360">
              <w:rPr>
                <w:rFonts w:ascii="Book Antiqua" w:eastAsia="Book Antiqua" w:hAnsi="Book Antiqua" w:cs="Tahoma"/>
                <w:color w:val="000000" w:themeColor="text1"/>
              </w:rPr>
              <w:t>p.Arg642His</w:t>
            </w:r>
          </w:p>
        </w:tc>
        <w:tc>
          <w:tcPr>
            <w:tcW w:w="1431" w:type="dxa"/>
            <w:vMerge/>
            <w:tcBorders>
              <w:bottom w:val="single" w:sz="4" w:space="0" w:color="auto"/>
            </w:tcBorders>
            <w:noWrap/>
            <w:hideMark/>
          </w:tcPr>
          <w:p w14:paraId="7E8B436C" w14:textId="77777777" w:rsidR="005C3CE7" w:rsidRPr="000B3360" w:rsidRDefault="005C3CE7" w:rsidP="00CA6D9F">
            <w:pPr>
              <w:spacing w:line="360" w:lineRule="auto"/>
              <w:jc w:val="both"/>
              <w:rPr>
                <w:rFonts w:ascii="Book Antiqua" w:eastAsia="Book Antiqua" w:hAnsi="Book Antiqua" w:cs="Tahoma"/>
                <w:color w:val="000000" w:themeColor="text1"/>
              </w:rPr>
            </w:pPr>
          </w:p>
        </w:tc>
      </w:tr>
    </w:tbl>
    <w:p w14:paraId="7AA148D0" w14:textId="77777777" w:rsidR="000B3360" w:rsidRPr="000B3360" w:rsidRDefault="005C3CE7" w:rsidP="00CA6D9F">
      <w:pPr>
        <w:spacing w:line="360" w:lineRule="auto"/>
        <w:jc w:val="both"/>
        <w:rPr>
          <w:rFonts w:ascii="Book Antiqua" w:eastAsia="Book Antiqua" w:hAnsi="Book Antiqua"/>
          <w:color w:val="000000" w:themeColor="text1"/>
        </w:rPr>
        <w:sectPr w:rsidR="000B3360" w:rsidRPr="000B3360" w:rsidSect="007306E8">
          <w:pgSz w:w="20160" w:h="12240" w:orient="landscape" w:code="5"/>
          <w:pgMar w:top="1800" w:right="1440" w:bottom="1800" w:left="1440" w:header="708" w:footer="708" w:gutter="0"/>
          <w:cols w:space="708"/>
          <w:docGrid w:linePitch="360"/>
        </w:sectPr>
      </w:pPr>
      <w:r w:rsidRPr="000B3360">
        <w:rPr>
          <w:rFonts w:ascii="Book Antiqua" w:eastAsia="Book Antiqua" w:hAnsi="Book Antiqua"/>
          <w:color w:val="000000" w:themeColor="text1"/>
        </w:rPr>
        <w:t>GD: Graves’ disease; HT: Hashimoto’s thyroiditis; SAT: Subacute thyroiditis; AP: Antibody-positive; F: Female; M: Male; NA: Not available.</w:t>
      </w:r>
    </w:p>
    <w:p w14:paraId="187343A8" w14:textId="77777777" w:rsidR="000B3360" w:rsidRPr="000B3360" w:rsidRDefault="000B3360" w:rsidP="000B3360">
      <w:pPr>
        <w:ind w:leftChars="100" w:left="240"/>
        <w:jc w:val="center"/>
        <w:rPr>
          <w:rFonts w:ascii="Book Antiqua" w:hAnsi="Book Antiqua"/>
          <w:lang w:val="pt-BR" w:eastAsia="zh-CN"/>
        </w:rPr>
      </w:pPr>
      <w:bookmarkStart w:id="17" w:name="_Hlk88512952"/>
    </w:p>
    <w:p w14:paraId="18F753AF" w14:textId="77777777" w:rsidR="000B3360" w:rsidRPr="000B3360" w:rsidRDefault="000B3360" w:rsidP="000B3360">
      <w:pPr>
        <w:ind w:leftChars="100" w:left="240"/>
        <w:jc w:val="center"/>
        <w:rPr>
          <w:rFonts w:ascii="Book Antiqua" w:hAnsi="Book Antiqua"/>
          <w:lang w:val="pt-BR" w:eastAsia="zh-CN"/>
        </w:rPr>
      </w:pPr>
    </w:p>
    <w:p w14:paraId="63521745" w14:textId="77777777" w:rsidR="000B3360" w:rsidRPr="000B3360" w:rsidRDefault="000B3360" w:rsidP="000B3360">
      <w:pPr>
        <w:ind w:leftChars="100" w:left="240"/>
        <w:jc w:val="center"/>
        <w:rPr>
          <w:rFonts w:ascii="Book Antiqua" w:hAnsi="Book Antiqua"/>
          <w:lang w:val="pt-BR" w:eastAsia="zh-CN"/>
        </w:rPr>
      </w:pPr>
    </w:p>
    <w:p w14:paraId="5F53A2D5" w14:textId="77777777" w:rsidR="000B3360" w:rsidRPr="000B3360" w:rsidRDefault="000B3360" w:rsidP="000B3360">
      <w:pPr>
        <w:ind w:leftChars="100" w:left="240"/>
        <w:jc w:val="center"/>
        <w:rPr>
          <w:rFonts w:ascii="Book Antiqua" w:hAnsi="Book Antiqua"/>
          <w:lang w:val="pt-BR" w:eastAsia="zh-CN"/>
        </w:rPr>
      </w:pPr>
    </w:p>
    <w:p w14:paraId="269AAD62" w14:textId="77777777" w:rsidR="000B3360" w:rsidRPr="000B3360" w:rsidRDefault="000B3360" w:rsidP="000B3360">
      <w:pPr>
        <w:ind w:leftChars="100" w:left="240"/>
        <w:jc w:val="center"/>
        <w:rPr>
          <w:rFonts w:ascii="Book Antiqua" w:hAnsi="Book Antiqua"/>
          <w:lang w:eastAsia="zh-CN"/>
        </w:rPr>
      </w:pPr>
      <w:r w:rsidRPr="000B3360">
        <w:rPr>
          <w:rFonts w:ascii="Book Antiqua" w:hAnsi="Book Antiqua"/>
          <w:noProof/>
          <w:lang w:eastAsia="zh-CN"/>
        </w:rPr>
        <w:drawing>
          <wp:inline distT="0" distB="0" distL="0" distR="0" wp14:anchorId="7975D665" wp14:editId="38AEE398">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6FA4093" w14:textId="77777777" w:rsidR="000B3360" w:rsidRPr="000B3360" w:rsidRDefault="000B3360" w:rsidP="000B3360">
      <w:pPr>
        <w:ind w:leftChars="100" w:left="240"/>
        <w:jc w:val="center"/>
        <w:rPr>
          <w:rFonts w:ascii="Book Antiqua" w:hAnsi="Book Antiqua"/>
          <w:lang w:eastAsia="zh-CN"/>
        </w:rPr>
      </w:pPr>
    </w:p>
    <w:p w14:paraId="198C152E" w14:textId="77777777" w:rsidR="000B3360" w:rsidRPr="000B3360" w:rsidRDefault="000B3360" w:rsidP="000B3360">
      <w:pPr>
        <w:autoSpaceDE w:val="0"/>
        <w:autoSpaceDN w:val="0"/>
        <w:adjustRightInd w:val="0"/>
        <w:ind w:leftChars="100" w:left="240"/>
        <w:jc w:val="center"/>
        <w:rPr>
          <w:rFonts w:ascii="Book Antiqua" w:eastAsia="Garamond-Bold" w:hAnsi="Book Antiqua" w:cs="Garamond-Bold"/>
          <w:b/>
          <w:bCs/>
          <w:color w:val="000000"/>
          <w:sz w:val="28"/>
          <w:szCs w:val="28"/>
        </w:rPr>
      </w:pPr>
      <w:r w:rsidRPr="000B3360">
        <w:rPr>
          <w:rFonts w:ascii="Book Antiqua" w:eastAsia="TimesNewRomanPSMT" w:hAnsi="Book Antiqua" w:cs="TimesNewRomanPSMT"/>
          <w:color w:val="000000"/>
          <w:sz w:val="28"/>
          <w:szCs w:val="28"/>
        </w:rPr>
        <w:t xml:space="preserve">Published by </w:t>
      </w:r>
      <w:r w:rsidRPr="000B3360">
        <w:rPr>
          <w:rFonts w:ascii="Book Antiqua" w:eastAsia="Garamond-Bold" w:hAnsi="Book Antiqua" w:cs="Garamond-Bold"/>
          <w:b/>
          <w:bCs/>
          <w:color w:val="000000"/>
          <w:sz w:val="28"/>
          <w:szCs w:val="28"/>
        </w:rPr>
        <w:t>Baishideng Publishing Group Inc</w:t>
      </w:r>
    </w:p>
    <w:p w14:paraId="2E154E05" w14:textId="77777777" w:rsidR="000B3360" w:rsidRPr="000B3360" w:rsidRDefault="000B3360" w:rsidP="000B3360">
      <w:pPr>
        <w:autoSpaceDE w:val="0"/>
        <w:autoSpaceDN w:val="0"/>
        <w:adjustRightInd w:val="0"/>
        <w:ind w:leftChars="100" w:left="240"/>
        <w:jc w:val="center"/>
        <w:rPr>
          <w:rFonts w:ascii="Book Antiqua" w:eastAsia="TimesNewRomanPSMT" w:hAnsi="Book Antiqua" w:cs="Garamond"/>
          <w:color w:val="000000"/>
          <w:sz w:val="28"/>
          <w:szCs w:val="28"/>
        </w:rPr>
      </w:pPr>
      <w:r w:rsidRPr="000B3360">
        <w:rPr>
          <w:rFonts w:ascii="Book Antiqua" w:eastAsia="TimesNewRomanPSMT" w:hAnsi="Book Antiqua" w:cs="Garamond"/>
          <w:color w:val="000000"/>
          <w:sz w:val="28"/>
          <w:szCs w:val="28"/>
        </w:rPr>
        <w:t>7041 Koll Center Parkway, Suite 160, Pleasanton, CA 94566, USA</w:t>
      </w:r>
    </w:p>
    <w:p w14:paraId="025ED429" w14:textId="77777777" w:rsidR="000B3360" w:rsidRPr="000B3360" w:rsidRDefault="000B3360" w:rsidP="000B3360">
      <w:pPr>
        <w:autoSpaceDE w:val="0"/>
        <w:autoSpaceDN w:val="0"/>
        <w:adjustRightInd w:val="0"/>
        <w:ind w:leftChars="100" w:left="240"/>
        <w:jc w:val="center"/>
        <w:rPr>
          <w:rFonts w:ascii="Book Antiqua" w:eastAsia="TimesNewRomanPSMT" w:hAnsi="Book Antiqua" w:cs="Garamond"/>
          <w:color w:val="000000"/>
          <w:sz w:val="28"/>
          <w:szCs w:val="28"/>
        </w:rPr>
      </w:pPr>
      <w:r w:rsidRPr="000B3360">
        <w:rPr>
          <w:rFonts w:ascii="Book Antiqua" w:eastAsia="Garamond-Bold" w:hAnsi="Book Antiqua" w:cs="Garamond-Bold"/>
          <w:b/>
          <w:bCs/>
          <w:color w:val="000000"/>
          <w:sz w:val="28"/>
          <w:szCs w:val="28"/>
        </w:rPr>
        <w:t xml:space="preserve">Telephone: </w:t>
      </w:r>
      <w:r w:rsidRPr="000B3360">
        <w:rPr>
          <w:rFonts w:ascii="Book Antiqua" w:eastAsia="TimesNewRomanPSMT" w:hAnsi="Book Antiqua" w:cs="Garamond"/>
          <w:color w:val="000000"/>
          <w:sz w:val="28"/>
          <w:szCs w:val="28"/>
        </w:rPr>
        <w:t>+1-925-3991568</w:t>
      </w:r>
    </w:p>
    <w:p w14:paraId="0AFDE12B" w14:textId="77777777" w:rsidR="000B3360" w:rsidRPr="000B3360" w:rsidRDefault="000B3360" w:rsidP="000B3360">
      <w:pPr>
        <w:autoSpaceDE w:val="0"/>
        <w:autoSpaceDN w:val="0"/>
        <w:adjustRightInd w:val="0"/>
        <w:ind w:leftChars="100" w:left="240"/>
        <w:jc w:val="center"/>
        <w:rPr>
          <w:rFonts w:ascii="Book Antiqua" w:eastAsia="TimesNewRomanPSMT" w:hAnsi="Book Antiqua" w:cs="Garamond"/>
          <w:color w:val="D56400"/>
          <w:sz w:val="28"/>
          <w:szCs w:val="28"/>
        </w:rPr>
      </w:pPr>
      <w:r w:rsidRPr="000B3360">
        <w:rPr>
          <w:rFonts w:ascii="Book Antiqua" w:eastAsia="Garamond-Bold" w:hAnsi="Book Antiqua" w:cs="Garamond-Bold"/>
          <w:b/>
          <w:bCs/>
          <w:color w:val="000000"/>
          <w:sz w:val="28"/>
          <w:szCs w:val="28"/>
        </w:rPr>
        <w:t xml:space="preserve">E-mail: </w:t>
      </w:r>
      <w:r w:rsidRPr="000B3360">
        <w:rPr>
          <w:rFonts w:ascii="Book Antiqua" w:eastAsia="TimesNewRomanPSMT" w:hAnsi="Book Antiqua" w:cs="Garamond"/>
          <w:color w:val="D56400"/>
          <w:sz w:val="28"/>
          <w:szCs w:val="28"/>
        </w:rPr>
        <w:t>bpgoffice@wjgnet.com</w:t>
      </w:r>
    </w:p>
    <w:p w14:paraId="48B3F1E9" w14:textId="77777777" w:rsidR="000B3360" w:rsidRPr="000B3360" w:rsidRDefault="000B3360" w:rsidP="000B3360">
      <w:pPr>
        <w:autoSpaceDE w:val="0"/>
        <w:autoSpaceDN w:val="0"/>
        <w:adjustRightInd w:val="0"/>
        <w:ind w:leftChars="100" w:left="240"/>
        <w:jc w:val="center"/>
        <w:rPr>
          <w:rFonts w:ascii="Book Antiqua" w:eastAsia="TimesNewRomanPSMT" w:hAnsi="Book Antiqua" w:cs="Garamond"/>
          <w:color w:val="D56400"/>
          <w:sz w:val="28"/>
          <w:szCs w:val="28"/>
        </w:rPr>
      </w:pPr>
      <w:r w:rsidRPr="000B3360">
        <w:rPr>
          <w:rFonts w:ascii="Book Antiqua" w:eastAsia="Garamond-Bold" w:hAnsi="Book Antiqua" w:cs="Garamond-Bold"/>
          <w:b/>
          <w:bCs/>
          <w:color w:val="000000"/>
          <w:sz w:val="28"/>
          <w:szCs w:val="28"/>
        </w:rPr>
        <w:t xml:space="preserve">Help Desk: </w:t>
      </w:r>
      <w:r w:rsidRPr="000B3360">
        <w:rPr>
          <w:rFonts w:ascii="Book Antiqua" w:eastAsia="TimesNewRomanPSMT" w:hAnsi="Book Antiqua" w:cs="Garamond"/>
          <w:color w:val="D56400"/>
          <w:sz w:val="28"/>
          <w:szCs w:val="28"/>
        </w:rPr>
        <w:t>https://www.f6publishing.com/helpdesk</w:t>
      </w:r>
    </w:p>
    <w:p w14:paraId="3A544676" w14:textId="77777777" w:rsidR="000B3360" w:rsidRPr="000B3360" w:rsidRDefault="000B3360" w:rsidP="000B3360">
      <w:pPr>
        <w:ind w:leftChars="100" w:left="240"/>
        <w:jc w:val="center"/>
        <w:rPr>
          <w:rFonts w:ascii="Book Antiqua" w:hAnsi="Book Antiqua"/>
          <w:lang w:eastAsia="zh-CN"/>
        </w:rPr>
      </w:pPr>
      <w:r w:rsidRPr="000B3360">
        <w:rPr>
          <w:rFonts w:ascii="Book Antiqua" w:eastAsia="TimesNewRomanPSMT" w:hAnsi="Book Antiqua" w:cs="Garamond"/>
          <w:color w:val="D56400"/>
          <w:sz w:val="28"/>
          <w:szCs w:val="28"/>
        </w:rPr>
        <w:t>https://www.wjgnet.com</w:t>
      </w:r>
    </w:p>
    <w:p w14:paraId="4E1FEAB8" w14:textId="77777777" w:rsidR="000B3360" w:rsidRPr="000B3360" w:rsidRDefault="000B3360" w:rsidP="000B3360">
      <w:pPr>
        <w:ind w:leftChars="100" w:left="240"/>
        <w:jc w:val="center"/>
        <w:rPr>
          <w:rFonts w:ascii="Book Antiqua" w:hAnsi="Book Antiqua"/>
          <w:lang w:eastAsia="zh-CN"/>
        </w:rPr>
      </w:pPr>
    </w:p>
    <w:p w14:paraId="397C641E" w14:textId="77777777" w:rsidR="000B3360" w:rsidRPr="000B3360" w:rsidRDefault="000B3360" w:rsidP="000B3360">
      <w:pPr>
        <w:ind w:leftChars="100" w:left="240"/>
        <w:jc w:val="center"/>
        <w:rPr>
          <w:rFonts w:ascii="Book Antiqua" w:hAnsi="Book Antiqua"/>
          <w:lang w:eastAsia="zh-CN"/>
        </w:rPr>
      </w:pPr>
    </w:p>
    <w:p w14:paraId="7419B37A" w14:textId="77777777" w:rsidR="000B3360" w:rsidRPr="000B3360" w:rsidRDefault="000B3360" w:rsidP="000B3360">
      <w:pPr>
        <w:ind w:leftChars="100" w:left="240"/>
        <w:jc w:val="center"/>
        <w:rPr>
          <w:rFonts w:ascii="Book Antiqua" w:hAnsi="Book Antiqua"/>
          <w:lang w:eastAsia="zh-CN"/>
        </w:rPr>
      </w:pPr>
    </w:p>
    <w:p w14:paraId="190754B2" w14:textId="77777777" w:rsidR="000B3360" w:rsidRPr="000B3360" w:rsidRDefault="000B3360" w:rsidP="000B3360">
      <w:pPr>
        <w:ind w:leftChars="100" w:left="240"/>
        <w:jc w:val="center"/>
        <w:rPr>
          <w:rFonts w:ascii="Book Antiqua" w:hAnsi="Book Antiqua"/>
          <w:lang w:eastAsia="zh-CN"/>
        </w:rPr>
      </w:pPr>
      <w:r w:rsidRPr="000B3360">
        <w:rPr>
          <w:rFonts w:ascii="Book Antiqua" w:hAnsi="Book Antiqua"/>
          <w:noProof/>
          <w:lang w:eastAsia="zh-CN"/>
        </w:rPr>
        <w:drawing>
          <wp:inline distT="0" distB="0" distL="0" distR="0" wp14:anchorId="285DFE49" wp14:editId="38F0F59C">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948F06E" w14:textId="77777777" w:rsidR="000B3360" w:rsidRPr="000B3360" w:rsidRDefault="000B3360" w:rsidP="000B3360">
      <w:pPr>
        <w:ind w:leftChars="100" w:left="240"/>
        <w:jc w:val="center"/>
        <w:rPr>
          <w:rFonts w:ascii="Book Antiqua" w:hAnsi="Book Antiqua"/>
          <w:lang w:eastAsia="zh-CN"/>
        </w:rPr>
      </w:pPr>
    </w:p>
    <w:p w14:paraId="0E3C758B" w14:textId="77777777" w:rsidR="000B3360" w:rsidRPr="000B3360" w:rsidRDefault="000B3360" w:rsidP="000B3360">
      <w:pPr>
        <w:ind w:leftChars="100" w:left="240"/>
        <w:jc w:val="center"/>
        <w:rPr>
          <w:rFonts w:ascii="Book Antiqua" w:hAnsi="Book Antiqua"/>
          <w:lang w:eastAsia="zh-CN"/>
        </w:rPr>
      </w:pPr>
    </w:p>
    <w:p w14:paraId="40761735" w14:textId="77777777" w:rsidR="000B3360" w:rsidRPr="000B3360" w:rsidRDefault="000B3360" w:rsidP="000B3360">
      <w:pPr>
        <w:ind w:leftChars="100" w:left="240"/>
        <w:jc w:val="center"/>
        <w:rPr>
          <w:rFonts w:ascii="Book Antiqua" w:hAnsi="Book Antiqua"/>
          <w:lang w:eastAsia="zh-CN"/>
        </w:rPr>
      </w:pPr>
    </w:p>
    <w:p w14:paraId="0D65318F" w14:textId="77777777" w:rsidR="000B3360" w:rsidRPr="000B3360" w:rsidRDefault="000B3360" w:rsidP="000B3360">
      <w:pPr>
        <w:ind w:leftChars="100" w:left="240"/>
        <w:jc w:val="center"/>
        <w:rPr>
          <w:rFonts w:ascii="Book Antiqua" w:hAnsi="Book Antiqua"/>
          <w:lang w:eastAsia="zh-CN"/>
        </w:rPr>
      </w:pPr>
    </w:p>
    <w:p w14:paraId="7E2B049A" w14:textId="77777777" w:rsidR="000B3360" w:rsidRPr="000B3360" w:rsidRDefault="000B3360" w:rsidP="000B3360">
      <w:pPr>
        <w:ind w:leftChars="100" w:left="240"/>
        <w:jc w:val="center"/>
        <w:rPr>
          <w:rFonts w:ascii="Book Antiqua" w:hAnsi="Book Antiqua"/>
          <w:lang w:eastAsia="zh-CN"/>
        </w:rPr>
      </w:pPr>
    </w:p>
    <w:p w14:paraId="535C76FD" w14:textId="77777777" w:rsidR="000B3360" w:rsidRPr="000B3360" w:rsidRDefault="000B3360" w:rsidP="000B3360">
      <w:pPr>
        <w:ind w:leftChars="100" w:left="240"/>
        <w:jc w:val="center"/>
        <w:rPr>
          <w:rFonts w:ascii="Book Antiqua" w:hAnsi="Book Antiqua"/>
          <w:lang w:eastAsia="zh-CN"/>
        </w:rPr>
      </w:pPr>
    </w:p>
    <w:p w14:paraId="1D4DA93F" w14:textId="77777777" w:rsidR="000B3360" w:rsidRPr="000B3360" w:rsidRDefault="000B3360" w:rsidP="000B3360">
      <w:pPr>
        <w:ind w:leftChars="100" w:left="240"/>
        <w:jc w:val="center"/>
        <w:rPr>
          <w:rFonts w:ascii="Book Antiqua" w:hAnsi="Book Antiqua"/>
          <w:lang w:eastAsia="zh-CN"/>
        </w:rPr>
      </w:pPr>
    </w:p>
    <w:p w14:paraId="4762877D" w14:textId="77777777" w:rsidR="000B3360" w:rsidRPr="000B3360" w:rsidRDefault="000B3360" w:rsidP="000B3360">
      <w:pPr>
        <w:ind w:leftChars="100" w:left="240"/>
        <w:jc w:val="center"/>
        <w:rPr>
          <w:rFonts w:ascii="Book Antiqua" w:hAnsi="Book Antiqua"/>
          <w:lang w:eastAsia="zh-CN"/>
        </w:rPr>
      </w:pPr>
    </w:p>
    <w:p w14:paraId="29F4A9B1" w14:textId="77777777" w:rsidR="000B3360" w:rsidRPr="000B3360" w:rsidRDefault="000B3360" w:rsidP="000B3360">
      <w:pPr>
        <w:ind w:leftChars="100" w:left="240"/>
        <w:jc w:val="center"/>
        <w:rPr>
          <w:rFonts w:ascii="Book Antiqua" w:hAnsi="Book Antiqua"/>
          <w:lang w:eastAsia="zh-CN"/>
        </w:rPr>
      </w:pPr>
    </w:p>
    <w:p w14:paraId="2A1EB8A1" w14:textId="77777777" w:rsidR="000B3360" w:rsidRPr="000B3360" w:rsidRDefault="000B3360" w:rsidP="000B3360">
      <w:pPr>
        <w:ind w:leftChars="100" w:left="240"/>
        <w:jc w:val="right"/>
        <w:rPr>
          <w:rFonts w:ascii="Book Antiqua" w:hAnsi="Book Antiqua"/>
          <w:color w:val="000000" w:themeColor="text1"/>
          <w:lang w:eastAsia="zh-CN"/>
        </w:rPr>
      </w:pPr>
    </w:p>
    <w:p w14:paraId="779DBD58" w14:textId="77777777" w:rsidR="000B3360" w:rsidRPr="00763D22" w:rsidRDefault="000B3360" w:rsidP="000B3360">
      <w:pPr>
        <w:ind w:leftChars="100" w:left="240"/>
        <w:jc w:val="center"/>
        <w:rPr>
          <w:rFonts w:ascii="Book Antiqua" w:hAnsi="Book Antiqua"/>
          <w:color w:val="000000" w:themeColor="text1"/>
          <w:lang w:eastAsia="zh-CN"/>
        </w:rPr>
      </w:pPr>
      <w:r w:rsidRPr="000B3360">
        <w:rPr>
          <w:rFonts w:ascii="Book Antiqua" w:eastAsia="BookAntiqua-Bold" w:hAnsi="Book Antiqua" w:cs="BookAntiqua-Bold"/>
          <w:b/>
          <w:bCs/>
          <w:color w:val="000000" w:themeColor="text1"/>
        </w:rPr>
        <w:t>© 2022 Baishideng Publishing Group Inc. All rights reserved.</w:t>
      </w:r>
      <w:r w:rsidRPr="000B3360">
        <w:rPr>
          <w:rFonts w:ascii="Book Antiqua" w:hAnsi="Book Antiqua"/>
          <w:color w:val="000000" w:themeColor="text1"/>
          <w:lang w:eastAsia="zh-CN"/>
        </w:rPr>
        <w:fldChar w:fldCharType="begin"/>
      </w:r>
      <w:r w:rsidRPr="000B3360">
        <w:rPr>
          <w:rFonts w:ascii="Book Antiqua" w:hAnsi="Book Antiqua"/>
          <w:color w:val="000000" w:themeColor="text1"/>
          <w:lang w:eastAsia="zh-CN"/>
        </w:rPr>
        <w:instrText xml:space="preserve"> ADDIN EN.REFLIST </w:instrText>
      </w:r>
      <w:r w:rsidRPr="000B3360">
        <w:rPr>
          <w:rFonts w:ascii="Book Antiqua" w:hAnsi="Book Antiqua"/>
          <w:color w:val="000000" w:themeColor="text1"/>
          <w:lang w:eastAsia="zh-CN"/>
        </w:rPr>
        <w:fldChar w:fldCharType="end"/>
      </w:r>
      <w:bookmarkEnd w:id="17"/>
    </w:p>
    <w:p w14:paraId="670F0D0D" w14:textId="4F3A11F4" w:rsidR="00A77B3E" w:rsidRPr="00CA6D9F" w:rsidRDefault="00A77B3E" w:rsidP="00CA6D9F">
      <w:pPr>
        <w:spacing w:line="360" w:lineRule="auto"/>
        <w:jc w:val="both"/>
        <w:rPr>
          <w:rFonts w:ascii="Book Antiqua" w:eastAsia="Book Antiqua" w:hAnsi="Book Antiqua"/>
          <w:color w:val="000000" w:themeColor="text1"/>
        </w:rPr>
      </w:pPr>
    </w:p>
    <w:sectPr w:rsidR="00A77B3E" w:rsidRPr="00CA6D9F" w:rsidSect="00BD7A2A">
      <w:footerReference w:type="default" r:id="rId14"/>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1F610" w14:textId="77777777" w:rsidR="00A75162" w:rsidRDefault="00A75162" w:rsidP="005C3CE7">
      <w:r>
        <w:separator/>
      </w:r>
    </w:p>
  </w:endnote>
  <w:endnote w:type="continuationSeparator" w:id="0">
    <w:p w14:paraId="53CF28BA" w14:textId="77777777" w:rsidR="00A75162" w:rsidRDefault="00A75162" w:rsidP="005C3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A788D" w14:textId="571B1466" w:rsidR="00E46304" w:rsidRPr="005C3CE7" w:rsidRDefault="00E46304" w:rsidP="005C3CE7">
    <w:pPr>
      <w:pStyle w:val="a5"/>
      <w:jc w:val="right"/>
      <w:rPr>
        <w:rFonts w:ascii="Book Antiqua" w:hAnsi="Book Antiqua"/>
        <w:color w:val="000000" w:themeColor="text1"/>
        <w:sz w:val="24"/>
        <w:szCs w:val="24"/>
      </w:rPr>
    </w:pPr>
    <w:r w:rsidRPr="005C3CE7">
      <w:rPr>
        <w:rFonts w:ascii="Book Antiqua" w:hAnsi="Book Antiqua"/>
        <w:color w:val="000000" w:themeColor="text1"/>
        <w:sz w:val="24"/>
        <w:szCs w:val="24"/>
        <w:lang w:val="zh-CN"/>
      </w:rPr>
      <w:t xml:space="preserve"> </w:t>
    </w:r>
    <w:r w:rsidRPr="005C3CE7">
      <w:rPr>
        <w:rFonts w:ascii="Book Antiqua" w:hAnsi="Book Antiqua"/>
        <w:color w:val="000000" w:themeColor="text1"/>
        <w:sz w:val="24"/>
        <w:szCs w:val="24"/>
      </w:rPr>
      <w:fldChar w:fldCharType="begin"/>
    </w:r>
    <w:r w:rsidRPr="005C3CE7">
      <w:rPr>
        <w:rFonts w:ascii="Book Antiqua" w:hAnsi="Book Antiqua"/>
        <w:color w:val="000000" w:themeColor="text1"/>
        <w:sz w:val="24"/>
        <w:szCs w:val="24"/>
      </w:rPr>
      <w:instrText>PAGE  \* Arabic  \* MERGEFORMAT</w:instrText>
    </w:r>
    <w:r w:rsidRPr="005C3CE7">
      <w:rPr>
        <w:rFonts w:ascii="Book Antiqua" w:hAnsi="Book Antiqua"/>
        <w:color w:val="000000" w:themeColor="text1"/>
        <w:sz w:val="24"/>
        <w:szCs w:val="24"/>
      </w:rPr>
      <w:fldChar w:fldCharType="separate"/>
    </w:r>
    <w:r w:rsidR="00F9749F" w:rsidRPr="00F9749F">
      <w:rPr>
        <w:rFonts w:ascii="Book Antiqua" w:hAnsi="Book Antiqua"/>
        <w:noProof/>
        <w:color w:val="000000" w:themeColor="text1"/>
        <w:sz w:val="24"/>
        <w:szCs w:val="24"/>
        <w:lang w:val="zh-CN"/>
      </w:rPr>
      <w:t>30</w:t>
    </w:r>
    <w:r w:rsidRPr="005C3CE7">
      <w:rPr>
        <w:rFonts w:ascii="Book Antiqua" w:hAnsi="Book Antiqua"/>
        <w:color w:val="000000" w:themeColor="text1"/>
        <w:sz w:val="24"/>
        <w:szCs w:val="24"/>
      </w:rPr>
      <w:fldChar w:fldCharType="end"/>
    </w:r>
    <w:r w:rsidRPr="005C3CE7">
      <w:rPr>
        <w:rFonts w:ascii="Book Antiqua" w:hAnsi="Book Antiqua"/>
        <w:color w:val="000000" w:themeColor="text1"/>
        <w:sz w:val="24"/>
        <w:szCs w:val="24"/>
        <w:lang w:val="zh-CN"/>
      </w:rPr>
      <w:t xml:space="preserve"> / </w:t>
    </w:r>
    <w:r w:rsidRPr="005C3CE7">
      <w:rPr>
        <w:rFonts w:ascii="Book Antiqua" w:hAnsi="Book Antiqua"/>
        <w:color w:val="000000" w:themeColor="text1"/>
        <w:sz w:val="24"/>
        <w:szCs w:val="24"/>
      </w:rPr>
      <w:fldChar w:fldCharType="begin"/>
    </w:r>
    <w:r w:rsidRPr="005C3CE7">
      <w:rPr>
        <w:rFonts w:ascii="Book Antiqua" w:hAnsi="Book Antiqua"/>
        <w:color w:val="000000" w:themeColor="text1"/>
        <w:sz w:val="24"/>
        <w:szCs w:val="24"/>
      </w:rPr>
      <w:instrText>NUMPAGES  \* Arabic  \* MERGEFORMAT</w:instrText>
    </w:r>
    <w:r w:rsidRPr="005C3CE7">
      <w:rPr>
        <w:rFonts w:ascii="Book Antiqua" w:hAnsi="Book Antiqua"/>
        <w:color w:val="000000" w:themeColor="text1"/>
        <w:sz w:val="24"/>
        <w:szCs w:val="24"/>
      </w:rPr>
      <w:fldChar w:fldCharType="separate"/>
    </w:r>
    <w:r w:rsidR="00F9749F" w:rsidRPr="00F9749F">
      <w:rPr>
        <w:rFonts w:ascii="Book Antiqua" w:hAnsi="Book Antiqua"/>
        <w:noProof/>
        <w:color w:val="000000" w:themeColor="text1"/>
        <w:sz w:val="24"/>
        <w:szCs w:val="24"/>
        <w:lang w:val="zh-CN"/>
      </w:rPr>
      <w:t>30</w:t>
    </w:r>
    <w:r w:rsidRPr="005C3CE7">
      <w:rPr>
        <w:rFonts w:ascii="Book Antiqua" w:hAnsi="Book Antiqua"/>
        <w:color w:val="000000" w:themeColor="text1"/>
        <w:sz w:val="24"/>
        <w:szCs w:val="24"/>
      </w:rPr>
      <w:fldChar w:fldCharType="end"/>
    </w:r>
  </w:p>
  <w:p w14:paraId="1F460A3A" w14:textId="77777777" w:rsidR="00E46304" w:rsidRDefault="00E4630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0F0B3944" w14:textId="77777777" w:rsidR="001204A0" w:rsidRDefault="00B03FC7" w:rsidP="00134D22">
            <w:pPr>
              <w:pStyle w:val="a5"/>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3CA0A624" w14:textId="77777777" w:rsidR="001204A0"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E951A" w14:textId="77777777" w:rsidR="00A75162" w:rsidRDefault="00A75162" w:rsidP="005C3CE7">
      <w:r>
        <w:separator/>
      </w:r>
    </w:p>
  </w:footnote>
  <w:footnote w:type="continuationSeparator" w:id="0">
    <w:p w14:paraId="18BC9755" w14:textId="77777777" w:rsidR="00A75162" w:rsidRDefault="00A75162" w:rsidP="005C3C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B3360"/>
    <w:rsid w:val="000D0F11"/>
    <w:rsid w:val="000F746A"/>
    <w:rsid w:val="00117509"/>
    <w:rsid w:val="0012371C"/>
    <w:rsid w:val="00131F58"/>
    <w:rsid w:val="00154FAF"/>
    <w:rsid w:val="00196981"/>
    <w:rsid w:val="001A22DB"/>
    <w:rsid w:val="00230543"/>
    <w:rsid w:val="002950A2"/>
    <w:rsid w:val="002E1F8A"/>
    <w:rsid w:val="00353D0A"/>
    <w:rsid w:val="00475A26"/>
    <w:rsid w:val="00492792"/>
    <w:rsid w:val="004A68B7"/>
    <w:rsid w:val="004B416C"/>
    <w:rsid w:val="00537671"/>
    <w:rsid w:val="005A6EAC"/>
    <w:rsid w:val="005C29DE"/>
    <w:rsid w:val="005C3CE7"/>
    <w:rsid w:val="006333E0"/>
    <w:rsid w:val="00633647"/>
    <w:rsid w:val="00674C6B"/>
    <w:rsid w:val="006B47A9"/>
    <w:rsid w:val="006B7C5D"/>
    <w:rsid w:val="006D1517"/>
    <w:rsid w:val="007306E8"/>
    <w:rsid w:val="00754FCD"/>
    <w:rsid w:val="007B0AB9"/>
    <w:rsid w:val="007C46F1"/>
    <w:rsid w:val="007C79F3"/>
    <w:rsid w:val="008129B9"/>
    <w:rsid w:val="008876F8"/>
    <w:rsid w:val="008B4156"/>
    <w:rsid w:val="00913A32"/>
    <w:rsid w:val="00921AE9"/>
    <w:rsid w:val="009272DC"/>
    <w:rsid w:val="00960C74"/>
    <w:rsid w:val="00971BBE"/>
    <w:rsid w:val="00997D01"/>
    <w:rsid w:val="009A39D1"/>
    <w:rsid w:val="009B1921"/>
    <w:rsid w:val="009B60C3"/>
    <w:rsid w:val="009C2684"/>
    <w:rsid w:val="009C6379"/>
    <w:rsid w:val="00A41187"/>
    <w:rsid w:val="00A75162"/>
    <w:rsid w:val="00A77B3E"/>
    <w:rsid w:val="00AD6D72"/>
    <w:rsid w:val="00AF4C20"/>
    <w:rsid w:val="00B03FC7"/>
    <w:rsid w:val="00B23B2E"/>
    <w:rsid w:val="00BC6958"/>
    <w:rsid w:val="00BF12F1"/>
    <w:rsid w:val="00C03FBD"/>
    <w:rsid w:val="00C363FD"/>
    <w:rsid w:val="00CA2A55"/>
    <w:rsid w:val="00CA6D9F"/>
    <w:rsid w:val="00D265E1"/>
    <w:rsid w:val="00D272B4"/>
    <w:rsid w:val="00D836EE"/>
    <w:rsid w:val="00DB645F"/>
    <w:rsid w:val="00E00534"/>
    <w:rsid w:val="00E1596E"/>
    <w:rsid w:val="00E43BBD"/>
    <w:rsid w:val="00E46304"/>
    <w:rsid w:val="00EC2697"/>
    <w:rsid w:val="00F52F3B"/>
    <w:rsid w:val="00F85827"/>
    <w:rsid w:val="00F90E71"/>
    <w:rsid w:val="00F9749F"/>
    <w:rsid w:val="00FC17E0"/>
    <w:rsid w:val="00FE31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A14407"/>
  <w15:docId w15:val="{D5F6BA0E-0DD7-465B-AFC3-00D2903A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3CE7"/>
    <w:pPr>
      <w:pBdr>
        <w:bottom w:val="single" w:sz="6" w:space="1" w:color="auto"/>
      </w:pBdr>
      <w:tabs>
        <w:tab w:val="center" w:pos="4153"/>
        <w:tab w:val="right" w:pos="8306"/>
      </w:tabs>
      <w:adjustRightInd w:val="0"/>
      <w:snapToGrid w:val="0"/>
      <w:spacing w:after="200"/>
      <w:jc w:val="center"/>
    </w:pPr>
    <w:rPr>
      <w:rFonts w:ascii="Tahoma" w:eastAsia="微软雅黑" w:hAnsi="Tahoma" w:cstheme="minorBidi"/>
      <w:sz w:val="18"/>
      <w:szCs w:val="18"/>
      <w:lang w:eastAsia="zh-CN"/>
    </w:rPr>
  </w:style>
  <w:style w:type="character" w:customStyle="1" w:styleId="a4">
    <w:name w:val="页眉 字符"/>
    <w:basedOn w:val="a0"/>
    <w:link w:val="a3"/>
    <w:uiPriority w:val="99"/>
    <w:rsid w:val="005C3CE7"/>
    <w:rPr>
      <w:rFonts w:ascii="Tahoma" w:eastAsia="微软雅黑" w:hAnsi="Tahoma" w:cstheme="minorBidi"/>
      <w:sz w:val="18"/>
      <w:szCs w:val="18"/>
      <w:lang w:eastAsia="zh-CN"/>
    </w:rPr>
  </w:style>
  <w:style w:type="paragraph" w:styleId="a5">
    <w:name w:val="footer"/>
    <w:basedOn w:val="a"/>
    <w:link w:val="a6"/>
    <w:uiPriority w:val="99"/>
    <w:unhideWhenUsed/>
    <w:rsid w:val="005C3CE7"/>
    <w:pPr>
      <w:tabs>
        <w:tab w:val="center" w:pos="4153"/>
        <w:tab w:val="right" w:pos="8306"/>
      </w:tabs>
      <w:adjustRightInd w:val="0"/>
      <w:snapToGrid w:val="0"/>
      <w:spacing w:after="200"/>
    </w:pPr>
    <w:rPr>
      <w:rFonts w:ascii="Tahoma" w:eastAsia="微软雅黑" w:hAnsi="Tahoma" w:cstheme="minorBidi"/>
      <w:sz w:val="18"/>
      <w:szCs w:val="18"/>
      <w:lang w:eastAsia="zh-CN"/>
    </w:rPr>
  </w:style>
  <w:style w:type="character" w:customStyle="1" w:styleId="a6">
    <w:name w:val="页脚 字符"/>
    <w:basedOn w:val="a0"/>
    <w:link w:val="a5"/>
    <w:uiPriority w:val="99"/>
    <w:rsid w:val="005C3CE7"/>
    <w:rPr>
      <w:rFonts w:ascii="Tahoma" w:eastAsia="微软雅黑" w:hAnsi="Tahoma" w:cstheme="minorBidi"/>
      <w:sz w:val="18"/>
      <w:szCs w:val="18"/>
      <w:lang w:eastAsia="zh-CN"/>
    </w:rPr>
  </w:style>
  <w:style w:type="character" w:styleId="a7">
    <w:name w:val="line number"/>
    <w:basedOn w:val="a0"/>
    <w:uiPriority w:val="99"/>
    <w:semiHidden/>
    <w:unhideWhenUsed/>
    <w:rsid w:val="005C3CE7"/>
  </w:style>
  <w:style w:type="character" w:styleId="a8">
    <w:name w:val="annotation reference"/>
    <w:basedOn w:val="a0"/>
    <w:semiHidden/>
    <w:unhideWhenUsed/>
    <w:rsid w:val="005C3CE7"/>
    <w:rPr>
      <w:sz w:val="21"/>
      <w:szCs w:val="21"/>
    </w:rPr>
  </w:style>
  <w:style w:type="paragraph" w:styleId="a9">
    <w:name w:val="annotation text"/>
    <w:basedOn w:val="a"/>
    <w:link w:val="aa"/>
    <w:semiHidden/>
    <w:unhideWhenUsed/>
    <w:rsid w:val="005C3CE7"/>
  </w:style>
  <w:style w:type="character" w:customStyle="1" w:styleId="aa">
    <w:name w:val="批注文字 字符"/>
    <w:basedOn w:val="a0"/>
    <w:link w:val="a9"/>
    <w:semiHidden/>
    <w:rsid w:val="005C3CE7"/>
    <w:rPr>
      <w:sz w:val="24"/>
      <w:szCs w:val="24"/>
    </w:rPr>
  </w:style>
  <w:style w:type="paragraph" w:styleId="ab">
    <w:name w:val="annotation subject"/>
    <w:basedOn w:val="a9"/>
    <w:next w:val="a9"/>
    <w:link w:val="ac"/>
    <w:semiHidden/>
    <w:unhideWhenUsed/>
    <w:rsid w:val="005C3CE7"/>
    <w:rPr>
      <w:b/>
      <w:bCs/>
    </w:rPr>
  </w:style>
  <w:style w:type="character" w:customStyle="1" w:styleId="ac">
    <w:name w:val="批注主题 字符"/>
    <w:basedOn w:val="aa"/>
    <w:link w:val="ab"/>
    <w:semiHidden/>
    <w:rsid w:val="005C3CE7"/>
    <w:rPr>
      <w:b/>
      <w:bCs/>
      <w:sz w:val="24"/>
      <w:szCs w:val="24"/>
    </w:rPr>
  </w:style>
  <w:style w:type="paragraph" w:styleId="ad">
    <w:name w:val="Revision"/>
    <w:hidden/>
    <w:uiPriority w:val="99"/>
    <w:semiHidden/>
    <w:rsid w:val="00FE31E7"/>
    <w:rPr>
      <w:sz w:val="24"/>
      <w:szCs w:val="24"/>
    </w:rPr>
  </w:style>
  <w:style w:type="paragraph" w:styleId="ae">
    <w:name w:val="Balloon Text"/>
    <w:basedOn w:val="a"/>
    <w:link w:val="af"/>
    <w:rsid w:val="00A41187"/>
    <w:rPr>
      <w:sz w:val="18"/>
      <w:szCs w:val="18"/>
    </w:rPr>
  </w:style>
  <w:style w:type="character" w:customStyle="1" w:styleId="af">
    <w:name w:val="批注框文本 字符"/>
    <w:basedOn w:val="a0"/>
    <w:link w:val="ae"/>
    <w:rsid w:val="00A41187"/>
    <w:rPr>
      <w:sz w:val="18"/>
      <w:szCs w:val="18"/>
    </w:rPr>
  </w:style>
  <w:style w:type="character" w:styleId="af0">
    <w:name w:val="Hyperlink"/>
    <w:basedOn w:val="a0"/>
    <w:unhideWhenUsed/>
    <w:rsid w:val="008129B9"/>
    <w:rPr>
      <w:color w:val="0000FF" w:themeColor="hyperlink"/>
      <w:u w:val="single"/>
    </w:rPr>
  </w:style>
  <w:style w:type="character" w:styleId="af1">
    <w:name w:val="Unresolved Mention"/>
    <w:basedOn w:val="a0"/>
    <w:uiPriority w:val="99"/>
    <w:semiHidden/>
    <w:unhideWhenUsed/>
    <w:rsid w:val="000B33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0/i21/7483.ht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31</Pages>
  <Words>6294</Words>
  <Characters>35881</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 Jia-Hui</cp:lastModifiedBy>
  <cp:revision>8</cp:revision>
  <dcterms:created xsi:type="dcterms:W3CDTF">2022-06-08T03:45:00Z</dcterms:created>
  <dcterms:modified xsi:type="dcterms:W3CDTF">2022-07-10T09:46:00Z</dcterms:modified>
</cp:coreProperties>
</file>