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eastAsia="宋体"/>
          <w:color w:val="000000" w:themeColor="text1"/>
          <w14:textFill>
            <w14:solidFill>
              <w14:schemeClr w14:val="tx1"/>
            </w14:solidFill>
          </w14:textFill>
        </w:rPr>
      </w:pPr>
      <w:r>
        <w:rPr>
          <w:b/>
          <w:bCs/>
          <w:kern w:val="44"/>
        </w:rPr>
        <w:t>Manuscript No.:</w:t>
      </w:r>
      <w:r>
        <w:rPr>
          <w:rFonts w:hint="eastAsia" w:eastAsia="宋体"/>
          <w:b/>
          <w:bCs/>
          <w:kern w:val="44"/>
          <w:lang w:eastAsia="zh-CN"/>
        </w:rPr>
        <w:t>73968</w:t>
      </w:r>
      <w:r>
        <w:rPr>
          <w:b/>
          <w:bCs/>
          <w:kern w:val="44"/>
        </w:rPr>
        <w:t>-Review-HTML</w:t>
      </w:r>
      <w:r>
        <w:rPr>
          <w:rFonts w:ascii="Book Antiqua" w:hAnsi="Book Antiqua"/>
          <w:b/>
          <w:bCs/>
          <w:kern w:val="44"/>
        </w:rPr>
        <w:t xml:space="preserve"> </w:t>
      </w:r>
      <w:r>
        <w:rPr>
          <w:b/>
          <w:bCs/>
          <w:kern w:val="44"/>
        </w:rPr>
        <w:t xml:space="preserve">      </w:t>
      </w:r>
      <w:r>
        <w:rPr>
          <w:bCs/>
          <w:kern w:val="44"/>
        </w:rPr>
        <w:t xml:space="preserve">  </w:t>
      </w:r>
      <w:r>
        <w:rPr>
          <w:rFonts w:ascii="Book Antiqua" w:hAnsi="Book Antiqua" w:eastAsia="宋体" w:cs="Book Antiqua"/>
          <w:color w:val="000000" w:themeColor="text1"/>
          <w14:textFill>
            <w14:solidFill>
              <w14:schemeClr w14:val="tx1"/>
            </w14:solidFill>
          </w14:textFill>
        </w:rPr>
        <w:t>ORIGINAL ARTICLE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hint="eastAsia" w:ascii="Book Antiqua" w:hAnsi="Book Antiqua" w:eastAsia="宋体" w:cs="Book Antiqua"/>
          <w:b/>
          <w:i/>
          <w:color w:val="000000" w:themeColor="text1"/>
          <w:lang w:eastAsia="zh-CN"/>
          <w14:textFill>
            <w14:solidFill>
              <w14:schemeClr w14:val="tx1"/>
            </w14:solidFill>
          </w14:textFill>
        </w:rPr>
        <w:t>Retrospective</w:t>
      </w:r>
      <w:r>
        <w:rPr>
          <w:rFonts w:ascii="Book Antiqua" w:hAnsi="Book Antiqua" w:eastAsia="宋体" w:cs="Book Antiqua"/>
          <w:b/>
          <w:i/>
          <w:color w:val="000000" w:themeColor="text1"/>
          <w14:textFill>
            <w14:solidFill>
              <w14:schemeClr w14:val="tx1"/>
            </w14:solidFill>
          </w14:textFill>
        </w:rPr>
        <w:t xml:space="preserve"> Study</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Awareness of initiative practice for health in the Chinese population: A questionnaire survey based on a network platform</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 xml:space="preserve">Zhang YQ </w:t>
      </w:r>
      <w:r>
        <w:rPr>
          <w:rFonts w:ascii="Book Antiqua" w:hAnsi="Book Antiqua" w:eastAsia="宋体" w:cs="Book Antiqua"/>
          <w:i/>
          <w:iCs/>
          <w:color w:val="000000" w:themeColor="text1"/>
          <w14:textFill>
            <w14:solidFill>
              <w14:schemeClr w14:val="tx1"/>
            </w14:solidFill>
          </w14:textFill>
        </w:rPr>
        <w:t>et al</w:t>
      </w:r>
      <w:r>
        <w:rPr>
          <w:rFonts w:ascii="Book Antiqua" w:hAnsi="Book Antiqua" w:eastAsia="宋体" w:cs="Book Antiqua"/>
          <w:color w:val="000000" w:themeColor="text1"/>
          <w14:textFill>
            <w14:solidFill>
              <w14:schemeClr w14:val="tx1"/>
            </w14:solidFill>
          </w14:textFill>
        </w:rPr>
        <w:t>. The IPFH awareness of Chinese population</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Yi-Qiang Zhang, Ming-Yue Zhou, Meng-Yang Jiang, Xiao-Yu Zhang, Xin Wang, Bao-Guo Wang</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Yi-Qiang Zhang, Meng-Yang Jiang, Bao-Guo Wang, </w:t>
      </w:r>
      <w:r>
        <w:rPr>
          <w:rFonts w:ascii="Book Antiqua" w:hAnsi="Book Antiqua" w:eastAsia="宋体" w:cs="Book Antiqua"/>
          <w:color w:val="000000" w:themeColor="text1"/>
          <w14:textFill>
            <w14:solidFill>
              <w14:schemeClr w14:val="tx1"/>
            </w14:solidFill>
          </w14:textFill>
        </w:rPr>
        <w:t>Department of Anesthesiology, Sanbo Brain Hospital, Capital Medical University, Beijing 100095, China</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Ming-Yue Zhou, </w:t>
      </w:r>
      <w:r>
        <w:rPr>
          <w:rFonts w:ascii="Book Antiqua" w:hAnsi="Book Antiqua" w:eastAsia="宋体" w:cs="Book Antiqua"/>
          <w:color w:val="000000" w:themeColor="text1"/>
          <w14:textFill>
            <w14:solidFill>
              <w14:schemeClr w14:val="tx1"/>
            </w14:solidFill>
          </w14:textFill>
        </w:rPr>
        <w:t>Department of Subject Development, Sanbo Brain Hospital, Capital Medical University, Beijing 100095, China</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Xiao-Yu Zhang, </w:t>
      </w:r>
      <w:r>
        <w:rPr>
          <w:rFonts w:ascii="Book Antiqua" w:hAnsi="Book Antiqua" w:eastAsia="宋体" w:cs="Book Antiqua"/>
          <w:color w:val="000000" w:themeColor="text1"/>
          <w14:textFill>
            <w14:solidFill>
              <w14:schemeClr w14:val="tx1"/>
            </w14:solidFill>
          </w14:textFill>
        </w:rPr>
        <w:t>Beijing Key Laboratory of Clinical Epidemiology, School of Public Health, Capital Medical University, Beijing 100069, China</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Xin Wang, </w:t>
      </w:r>
      <w:r>
        <w:rPr>
          <w:rFonts w:ascii="Book Antiqua" w:hAnsi="Book Antiqua" w:eastAsia="宋体" w:cs="Book Antiqua"/>
          <w:color w:val="000000" w:themeColor="text1"/>
          <w14:textFill>
            <w14:solidFill>
              <w14:schemeClr w14:val="tx1"/>
            </w14:solidFill>
          </w14:textFill>
        </w:rPr>
        <w:t>Department of Administrative Office, Sanbo Brain Hospital, Capital Medical University, Beijing 100095, China</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Author contributions: </w:t>
      </w:r>
      <w:r>
        <w:rPr>
          <w:rFonts w:ascii="Book Antiqua" w:hAnsi="Book Antiqua" w:eastAsia="宋体" w:cs="Book Antiqua"/>
          <w:color w:val="000000" w:themeColor="text1"/>
          <w14:textFill>
            <w14:solidFill>
              <w14:schemeClr w14:val="tx1"/>
            </w14:solidFill>
          </w14:textFill>
        </w:rPr>
        <w:t>Zhang YQ and Jiang MY participated in data analysis and drafted the manuscript; Zhou MY participated in the design of the questionnaire and the collection and analysis of the data; Zhang XY participated in data management and performed the statistical analysis; Wang X participated in the design of the questionnaire and collected data; Wang BG conceived the study and participated in its design and coordination.</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Supported by </w:t>
      </w:r>
      <w:r>
        <w:rPr>
          <w:rFonts w:ascii="Book Antiqua" w:hAnsi="Book Antiqua" w:eastAsia="宋体" w:cs="Book Antiqua"/>
          <w:color w:val="000000" w:themeColor="text1"/>
          <w14:textFill>
            <w14:solidFill>
              <w14:schemeClr w14:val="tx1"/>
            </w14:solidFill>
          </w14:textFill>
        </w:rPr>
        <w:t>the National Key R&amp;D Program of China, N</w:t>
      </w:r>
      <w:r>
        <w:rPr>
          <w:rFonts w:ascii="Book Antiqua" w:hAnsi="Book Antiqua" w:eastAsia="宋体" w:cs="Book Antiqua"/>
          <w:color w:val="000000" w:themeColor="text1"/>
          <w:lang w:eastAsia="zh-CN"/>
          <w14:textFill>
            <w14:solidFill>
              <w14:schemeClr w14:val="tx1"/>
            </w14:solidFill>
          </w14:textFill>
        </w:rPr>
        <w:t>o</w:t>
      </w:r>
      <w:r>
        <w:rPr>
          <w:rFonts w:ascii="Book Antiqua" w:hAnsi="Book Antiqua" w:eastAsia="宋体" w:cs="Book Antiqua"/>
          <w:color w:val="000000" w:themeColor="text1"/>
          <w14:textFill>
            <w14:solidFill>
              <w14:schemeClr w14:val="tx1"/>
            </w14:solidFill>
          </w14:textFill>
        </w:rPr>
        <w:t>. 2018YFC2000704.</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Corresponding author: Bao-Guo Wang, MD, Chief Physician, Professor, </w:t>
      </w:r>
      <w:r>
        <w:rPr>
          <w:rFonts w:ascii="Book Antiqua" w:hAnsi="Book Antiqua" w:eastAsia="宋体" w:cs="Book Antiqua"/>
          <w:color w:val="000000" w:themeColor="text1"/>
          <w14:textFill>
            <w14:solidFill>
              <w14:schemeClr w14:val="tx1"/>
            </w14:solidFill>
          </w14:textFill>
        </w:rPr>
        <w:t>Department of Anesthesiology, Sanbo Brain Hospital, Capital Medical University, No. 50 Xiangshan Road, Haidian District, Beijing 100095, China. wangbg@ccmu.edu.cn</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Received: </w:t>
      </w:r>
      <w:r>
        <w:rPr>
          <w:rFonts w:ascii="Book Antiqua" w:hAnsi="Book Antiqua" w:eastAsia="宋体" w:cs="Book Antiqua"/>
          <w:color w:val="000000" w:themeColor="text1"/>
          <w14:textFill>
            <w14:solidFill>
              <w14:schemeClr w14:val="tx1"/>
            </w14:solidFill>
          </w14:textFill>
        </w:rPr>
        <w:t>December 13, 2021</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Revised: </w:t>
      </w:r>
      <w:r>
        <w:rPr>
          <w:rFonts w:ascii="Book Antiqua" w:hAnsi="Book Antiqua" w:eastAsia="宋体" w:cs="Book Antiqua"/>
          <w:color w:val="000000" w:themeColor="text1"/>
          <w14:textFill>
            <w14:solidFill>
              <w14:schemeClr w14:val="tx1"/>
            </w14:solidFill>
          </w14:textFill>
        </w:rPr>
        <w:t>January 21, 2022</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Accepted: </w:t>
      </w:r>
      <w:r>
        <w:rPr>
          <w:rFonts w:ascii="Book Antiqua" w:hAnsi="Book Antiqua" w:eastAsia="宋体" w:cs="Book Antiqua"/>
          <w:bCs/>
          <w:color w:val="000000" w:themeColor="text1"/>
          <w14:textFill>
            <w14:solidFill>
              <w14:schemeClr w14:val="tx1"/>
            </w14:solidFill>
          </w14:textFill>
        </w:rPr>
        <w:t>April 3, 2022</w:t>
      </w:r>
    </w:p>
    <w:p>
      <w:pPr>
        <w:spacing w:line="360" w:lineRule="auto"/>
        <w:jc w:val="both"/>
        <w:rPr>
          <w:rFonts w:ascii="Book Antiqua" w:hAnsi="Book Antiqua" w:eastAsia="宋体"/>
          <w:color w:val="000000" w:themeColor="text1"/>
          <w:lang w:eastAsia="zh-CN"/>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Published online: </w:t>
      </w:r>
      <w:r>
        <w:rPr>
          <w:rFonts w:hint="eastAsia" w:ascii="Book Antiqua" w:hAnsi="Book Antiqua" w:cs="Book Antiqua"/>
          <w:color w:val="000000" w:themeColor="text1"/>
          <w:lang w:eastAsia="zh-CN"/>
          <w14:textFill>
            <w14:solidFill>
              <w14:schemeClr w14:val="tx1"/>
            </w14:solidFill>
          </w14:textFill>
        </w:rPr>
        <w:t>May</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202</w:t>
      </w:r>
      <w:r>
        <w:rPr>
          <w:rFonts w:hint="eastAsia" w:ascii="Book Antiqua" w:hAnsi="Book Antiqua" w:cs="Book Antiqua"/>
          <w:color w:val="000000" w:themeColor="text1"/>
          <w:lang w:eastAsia="zh-CN"/>
          <w14:textFill>
            <w14:solidFill>
              <w14:schemeClr w14:val="tx1"/>
            </w14:solidFill>
          </w14:textFill>
        </w:rPr>
        <w:t>2</w:t>
      </w:r>
    </w:p>
    <w:p>
      <w:pPr>
        <w:spacing w:line="360" w:lineRule="auto"/>
        <w:jc w:val="both"/>
        <w:rPr>
          <w:rFonts w:ascii="Book Antiqua" w:hAnsi="Book Antiqua" w:eastAsia="宋体"/>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Abstract</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BACKGROUND</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 xml:space="preserve">In 2016, the Chinese government issued the Healthy China 2030 plan, which also produced the </w:t>
      </w:r>
      <w:bookmarkStart w:id="0" w:name="_Hlk98238956"/>
      <w:r>
        <w:rPr>
          <w:rStyle w:val="12"/>
          <w:rFonts w:ascii="Book Antiqua" w:hAnsi="Book Antiqua" w:eastAsia="宋体" w:cs="Book Antiqua"/>
          <w:color w:val="000000" w:themeColor="text1"/>
          <w14:textFill>
            <w14:solidFill>
              <w14:schemeClr w14:val="tx1"/>
            </w14:solidFill>
          </w14:textFill>
        </w:rPr>
        <w:t>initiative practice for health</w:t>
      </w:r>
      <w:bookmarkEnd w:id="0"/>
      <w:r>
        <w:rPr>
          <w:rStyle w:val="12"/>
          <w:rFonts w:ascii="Book Antiqua" w:hAnsi="Book Antiqua" w:eastAsia="宋体" w:cs="Book Antiqua"/>
          <w:color w:val="000000" w:themeColor="text1"/>
          <w14:textFill>
            <w14:solidFill>
              <w14:schemeClr w14:val="tx1"/>
            </w14:solidFill>
          </w14:textFill>
        </w:rPr>
        <w:t xml:space="preserve"> (IPFH) concept. However, people’s knowledge and awareness of the IPFH are unclear.</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AIM</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To investigate awareness of IPFH in the Chinese population and explore the relevant influential factors.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METHODS</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An internet-based self-designed questionnaire survey was used to collect respondents’ demographic characteristics and awareness of health and the IPFH from March 26 to April 18, 2020. IPFH consciousness was assessed by the scores for different related questions. The Student</w:t>
      </w:r>
      <w:r>
        <w:rPr>
          <w:rStyle w:val="12"/>
          <w:rFonts w:ascii="Book Antiqua" w:hAnsi="Book Antiqua" w:eastAsia="宋体" w:cs="Book Antiqua"/>
          <w:color w:val="000000" w:themeColor="text1"/>
          <w:lang w:eastAsia="zh-CN"/>
          <w14:textFill>
            <w14:solidFill>
              <w14:schemeClr w14:val="tx1"/>
            </w14:solidFill>
          </w14:textFill>
        </w:rPr>
        <w:t>’</w:t>
      </w:r>
      <w:r>
        <w:rPr>
          <w:rStyle w:val="12"/>
          <w:rFonts w:ascii="Book Antiqua" w:hAnsi="Book Antiqua" w:eastAsia="宋体" w:cs="Book Antiqua"/>
          <w:color w:val="000000" w:themeColor="text1"/>
          <w14:textFill>
            <w14:solidFill>
              <w14:schemeClr w14:val="tx1"/>
            </w14:solidFill>
          </w14:textFill>
        </w:rPr>
        <w:t xml:space="preserve">s t test, the </w:t>
      </w:r>
      <w:r>
        <w:rPr>
          <w:rFonts w:ascii="Book Antiqua" w:hAnsi="Book Antiqua" w:eastAsia="宋体" w:cs="Book Antiqua"/>
          <w:color w:val="000000" w:themeColor="text1"/>
          <w14:textFill>
            <w14:solidFill>
              <w14:schemeClr w14:val="tx1"/>
            </w14:solidFill>
          </w14:textFill>
        </w:rPr>
        <w:t>Chi-square test, and multiple logistic regression analysis were performed to analyze the differences and influencing factors.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RESULTS</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 xml:space="preserve">A total of 2678 valid questionnaires were collected. Of the respondents, 973 (36.3%) had heard of the IPFH concept. In addition, 89.5% of participants agreed with the view that the IPFH is beneficial to improving quality of life, and over half thought that a regular schedule, a reasonable diet, tobacco and alcohol control, a cheerful mood, specific life goals and plans, taking the initiative to accept health-related education and implement health knowledge, good interpersonal relationships, and regular physical examinations were closely related to the IPFH. The majority of respondents paid attention to their health and usually obtained health-related knowledge </w:t>
      </w:r>
      <w:r>
        <w:rPr>
          <w:rStyle w:val="12"/>
          <w:rFonts w:ascii="Book Antiqua" w:hAnsi="Book Antiqua" w:eastAsia="宋体" w:cs="Book Antiqua"/>
          <w:i/>
          <w:iCs/>
          <w:color w:val="000000" w:themeColor="text1"/>
          <w14:textFill>
            <w14:solidFill>
              <w14:schemeClr w14:val="tx1"/>
            </w14:solidFill>
          </w14:textFill>
        </w:rPr>
        <w:t>via</w:t>
      </w:r>
      <w:r>
        <w:rPr>
          <w:rStyle w:val="12"/>
          <w:rFonts w:ascii="Book Antiqua" w:hAnsi="Book Antiqua" w:eastAsia="宋体" w:cs="Book Antiqua"/>
          <w:color w:val="000000" w:themeColor="text1"/>
          <w14:textFill>
            <w14:solidFill>
              <w14:schemeClr w14:val="tx1"/>
            </w14:solidFill>
          </w14:textFill>
        </w:rPr>
        <w:t xml:space="preserve"> social media and were also willing to promote the IPFH. Most of the participants underestimated the role of hospitals, family doctors, and health managers in promoting the IPFH. Age, monthly income, and medical-related work experience were the influencing factors for IPFH awareness.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CONCLUSION</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 xml:space="preserve">The Chinese population has limited knowledge of the IPFH. </w:t>
      </w:r>
      <w:r>
        <w:rPr>
          <w:rFonts w:ascii="Book Antiqua" w:hAnsi="Book Antiqua" w:eastAsia="宋体" w:cs="Book Antiqua"/>
          <w:color w:val="000000" w:themeColor="text1"/>
          <w14:textFill>
            <w14:solidFill>
              <w14:schemeClr w14:val="tx1"/>
            </w14:solidFill>
          </w14:textFill>
        </w:rPr>
        <w:t>People with strong IPFH awareness are older, earn more, and have medical-related work experience.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Key Words: </w:t>
      </w:r>
      <w:r>
        <w:rPr>
          <w:rFonts w:ascii="Book Antiqua" w:hAnsi="Book Antiqua" w:eastAsia="宋体" w:cs="Book Antiqua"/>
          <w:color w:val="000000" w:themeColor="text1"/>
          <w14:textFill>
            <w14:solidFill>
              <w14:schemeClr w14:val="tx1"/>
            </w14:solidFill>
          </w14:textFill>
        </w:rPr>
        <w:t xml:space="preserve">Population health; Health knowledge; Attitudes; Practice; Awareness; Chinese population; Initiative practice for health </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hint="eastAsia" w:ascii="Book Antiqua" w:hAnsi="Book Antiqua"/>
          <w:iCs/>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宋体" w:cs="Book Antiqua"/>
          <w:color w:val="000000" w:themeColor="text1"/>
          <w14:textFill>
            <w14:solidFill>
              <w14:schemeClr w14:val="tx1"/>
            </w14:solidFill>
          </w14:textFill>
        </w:rPr>
        <w:t xml:space="preserve">Zhang YQ, Zhou MY, Jiang MY, Zhang XY, Wang X, Wang BG. Awareness of initiative practice for health in the Chinese population: A questionnaire survey based on a network platform. </w:t>
      </w:r>
      <w:r>
        <w:rPr>
          <w:rFonts w:ascii="Book Antiqua" w:hAnsi="Book Antiqua" w:eastAsia="宋体" w:cs="Book Antiqua"/>
          <w:i/>
          <w:iCs/>
          <w:color w:val="000000" w:themeColor="text1"/>
          <w14:textFill>
            <w14:solidFill>
              <w14:schemeClr w14:val="tx1"/>
            </w14:solidFill>
          </w14:textFill>
        </w:rPr>
        <w:t>World J Clin Cases</w:t>
      </w:r>
      <w:r>
        <w:rPr>
          <w:rFonts w:ascii="Book Antiqua" w:hAnsi="Book Antiqua" w:eastAsia="宋体" w:cs="Book Antiqua"/>
          <w:color w:val="000000" w:themeColor="text1"/>
          <w14:textFill>
            <w14:solidFill>
              <w14:schemeClr w14:val="tx1"/>
            </w14:solidFill>
          </w14:textFill>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 xml:space="preserve">; </w:t>
      </w:r>
      <w:r>
        <w:rPr>
          <w:rFonts w:hint="eastAsia" w:ascii="Book Antiqua" w:hAnsi="Book Antiqua"/>
          <w:iCs/>
          <w:lang w:eastAsia="zh-CN"/>
        </w:rPr>
        <w:t>10</w:t>
      </w:r>
      <w:r>
        <w:rPr>
          <w:rFonts w:ascii="Book Antiqua" w:hAnsi="Book Antiqua"/>
          <w:iCs/>
        </w:rPr>
        <w:t>(</w:t>
      </w:r>
      <w:r>
        <w:rPr>
          <w:rFonts w:hint="eastAsia" w:ascii="Book Antiqua" w:hAnsi="Book Antiqua"/>
          <w:iCs/>
          <w:lang w:eastAsia="zh-CN"/>
        </w:rPr>
        <w:t>16</w:t>
      </w:r>
      <w:r>
        <w:rPr>
          <w:rFonts w:ascii="Book Antiqua" w:hAnsi="Book Antiqua"/>
          <w:iCs/>
        </w:rPr>
        <w:t xml:space="preserve">): </w:t>
      </w:r>
      <w:r>
        <w:rPr>
          <w:rFonts w:hint="default" w:ascii="Book Antiqua" w:hAnsi="Book Antiqua" w:eastAsia="Book Antiqua" w:cs="Book Antiqua"/>
          <w:i w:val="0"/>
          <w:iCs w:val="0"/>
          <w:color w:val="000000"/>
          <w:kern w:val="0"/>
          <w:sz w:val="24"/>
          <w:szCs w:val="24"/>
          <w:u w:val="none"/>
          <w:lang w:val="en-US" w:eastAsia="zh-CN" w:bidi="ar"/>
        </w:rPr>
        <w:t>5241-5252</w:t>
      </w:r>
    </w:p>
    <w:p>
      <w:pPr>
        <w:spacing w:line="360" w:lineRule="auto"/>
        <w:jc w:val="both"/>
        <w:rPr>
          <w:rFonts w:hint="eastAsia" w:ascii="Book Antiqua" w:hAnsi="Book Antiqua"/>
          <w:iCs/>
        </w:rPr>
      </w:pPr>
      <w:r>
        <w:rPr>
          <w:rFonts w:ascii="Book Antiqua" w:hAnsi="Book Antiqua"/>
          <w:b/>
          <w:bCs/>
          <w:iCs/>
        </w:rPr>
        <w:t>URL</w:t>
      </w:r>
      <w:r>
        <w:rPr>
          <w:rFonts w:ascii="Book Antiqua" w:hAnsi="Book Antiqua"/>
          <w:iCs/>
        </w:rPr>
        <w:t>: https://www.wjgnet.com/2307-8960/full/v</w:t>
      </w:r>
      <w:r>
        <w:rPr>
          <w:rFonts w:hint="eastAsia" w:ascii="Book Antiqua" w:hAnsi="Book Antiqua"/>
          <w:iCs/>
          <w:lang w:eastAsia="zh-CN"/>
        </w:rPr>
        <w:t>10</w:t>
      </w:r>
      <w:r>
        <w:rPr>
          <w:rFonts w:ascii="Book Antiqua" w:hAnsi="Book Antiqua"/>
          <w:iCs/>
        </w:rPr>
        <w:t>/i</w:t>
      </w:r>
      <w:r>
        <w:rPr>
          <w:rFonts w:hint="eastAsia" w:ascii="Book Antiqua" w:hAnsi="Book Antiqua"/>
          <w:iCs/>
          <w:lang w:eastAsia="zh-CN"/>
        </w:rPr>
        <w:t>16</w:t>
      </w:r>
      <w:r>
        <w:rPr>
          <w:rFonts w:ascii="Book Antiqua" w:hAnsi="Book Antiqua"/>
          <w:iCs/>
        </w:rPr>
        <w:t>/</w:t>
      </w:r>
      <w:r>
        <w:rPr>
          <w:rFonts w:hint="default" w:ascii="Book Antiqua" w:hAnsi="Book Antiqua" w:eastAsia="Book Antiqua" w:cs="Book Antiqua"/>
          <w:i w:val="0"/>
          <w:iCs w:val="0"/>
          <w:color w:val="000000"/>
          <w:kern w:val="0"/>
          <w:sz w:val="24"/>
          <w:szCs w:val="24"/>
          <w:u w:val="none"/>
          <w:lang w:val="en-US" w:eastAsia="zh-CN" w:bidi="ar"/>
        </w:rPr>
        <w:t>5241</w:t>
      </w:r>
      <w:r>
        <w:rPr>
          <w:rFonts w:ascii="Book Antiqua" w:hAnsi="Book Antiqua"/>
          <w:iCs/>
        </w:rPr>
        <w:t>.htm</w:t>
      </w:r>
      <w:r>
        <w:rPr>
          <w:rFonts w:hint="eastAsia" w:ascii="Book Antiqua" w:hAnsi="Book Antiqua"/>
          <w:iCs/>
        </w:rPr>
        <w:t xml:space="preserve"> </w:t>
      </w:r>
    </w:p>
    <w:p>
      <w:pPr>
        <w:spacing w:line="360" w:lineRule="auto"/>
        <w:jc w:val="both"/>
        <w:rPr>
          <w:rFonts w:hint="default" w:ascii="Book Antiqua" w:hAnsi="Book Antiqua" w:eastAsia="Book Antiqua" w:cs="Book Antiqua"/>
          <w:i w:val="0"/>
          <w:iCs w:val="0"/>
          <w:color w:val="000000"/>
          <w:kern w:val="0"/>
          <w:sz w:val="24"/>
          <w:szCs w:val="24"/>
          <w:u w:val="none"/>
          <w:lang w:val="en-US" w:eastAsia="zh-CN" w:bidi="ar"/>
        </w:rPr>
      </w:pPr>
      <w:r>
        <w:rPr>
          <w:rFonts w:ascii="Book Antiqua" w:hAnsi="Book Antiqua"/>
          <w:b/>
          <w:bCs/>
          <w:iCs/>
        </w:rPr>
        <w:t>DOI</w:t>
      </w:r>
      <w:r>
        <w:rPr>
          <w:rFonts w:ascii="Book Antiqua" w:hAnsi="Book Antiqua"/>
          <w:iCs/>
        </w:rPr>
        <w:t>: https://dx.doi.org/10.12998/wjcc.v</w:t>
      </w:r>
      <w:r>
        <w:rPr>
          <w:rFonts w:hint="eastAsia" w:ascii="Book Antiqua" w:hAnsi="Book Antiqua"/>
          <w:iCs/>
          <w:lang w:eastAsia="zh-CN"/>
        </w:rPr>
        <w:t>10</w:t>
      </w:r>
      <w:r>
        <w:rPr>
          <w:rFonts w:ascii="Book Antiqua" w:hAnsi="Book Antiqua"/>
          <w:iCs/>
        </w:rPr>
        <w:t>.i</w:t>
      </w:r>
      <w:r>
        <w:rPr>
          <w:rFonts w:hint="eastAsia" w:ascii="Book Antiqua" w:hAnsi="Book Antiqua"/>
          <w:iCs/>
          <w:lang w:eastAsia="zh-CN"/>
        </w:rPr>
        <w:t>16</w:t>
      </w:r>
      <w:r>
        <w:rPr>
          <w:rFonts w:ascii="Book Antiqua" w:hAnsi="Book Antiqua"/>
          <w:iCs/>
        </w:rPr>
        <w:t>.</w:t>
      </w:r>
      <w:r>
        <w:rPr>
          <w:rFonts w:hint="default" w:ascii="Book Antiqua" w:hAnsi="Book Antiqua" w:eastAsia="Book Antiqua" w:cs="Book Antiqua"/>
          <w:i w:val="0"/>
          <w:iCs w:val="0"/>
          <w:color w:val="000000"/>
          <w:kern w:val="0"/>
          <w:sz w:val="24"/>
          <w:szCs w:val="24"/>
          <w:u w:val="none"/>
          <w:lang w:val="en-US" w:eastAsia="zh-CN" w:bidi="ar"/>
        </w:rPr>
        <w:t>5241</w:t>
      </w:r>
    </w:p>
    <w:p>
      <w:pPr>
        <w:spacing w:line="360" w:lineRule="auto"/>
        <w:jc w:val="both"/>
        <w:rPr>
          <w:rFonts w:hint="default" w:ascii="Book Antiqua" w:hAnsi="Book Antiqua" w:eastAsia="Book Antiqua" w:cs="Book Antiqua"/>
          <w:i w:val="0"/>
          <w:iCs w:val="0"/>
          <w:color w:val="000000"/>
          <w:kern w:val="0"/>
          <w:sz w:val="24"/>
          <w:szCs w:val="24"/>
          <w:u w:val="none"/>
          <w:lang w:val="en-US" w:eastAsia="zh-CN" w:bidi="ar"/>
        </w:rPr>
      </w:pPr>
    </w:p>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Core Tip: </w:t>
      </w:r>
      <w:r>
        <w:rPr>
          <w:rFonts w:ascii="Book Antiqua" w:hAnsi="Book Antiqua" w:eastAsia="宋体" w:cs="Book Antiqua"/>
          <w:color w:val="000000" w:themeColor="text1"/>
          <w14:textFill>
            <w14:solidFill>
              <w14:schemeClr w14:val="tx1"/>
            </w14:solidFill>
          </w14:textFill>
        </w:rPr>
        <w:t>This is a survey by a self-designed questionnaire to investigate the awareness of initiative practice for health (IPFH) and related knowledge in the Chinese population. IPFH is a process whereby people take the initiative to improve health. The Chinese population has limited knowledge of the IPFH, although most citizens are concerned about health in their daily lives. Age, medical-related work experience, and monthly income are the influencing factors of IPFH awareness.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Population health is a common theme worldwide. In 2015, the United Nations published the Sustainable Development Goals (SDGs) to ensure sustainable development globally and to solve predictable challenges by 2030. The SDGs have over 100 targets in different fields, including medicine and health</w:t>
      </w:r>
      <w:r>
        <w:rPr>
          <w:rFonts w:ascii="Book Antiqua" w:hAnsi="Book Antiqua" w:eastAsia="宋体" w:cs="Book Antiqua"/>
          <w:color w:val="000000" w:themeColor="text1"/>
          <w:vertAlign w:val="superscript"/>
          <w14:textFill>
            <w14:solidFill>
              <w14:schemeClr w14:val="tx1"/>
            </w14:solidFill>
          </w14:textFill>
        </w:rPr>
        <w:t>[1,2]</w:t>
      </w:r>
      <w:r>
        <w:rPr>
          <w:rFonts w:ascii="Book Antiqua" w:hAnsi="Book Antiqua" w:eastAsia="宋体" w:cs="Book Antiqua"/>
          <w:color w:val="000000" w:themeColor="text1"/>
          <w14:textFill>
            <w14:solidFill>
              <w14:schemeClr w14:val="tx1"/>
            </w14:solidFill>
          </w14:textFill>
        </w:rPr>
        <w:t>. As the largest developing country with a population of over 1.4 billion, China has achieved most of the targets and has made great achievements in promoting health, such as ensuring nutrition for children, decreasing neonatal and under-5 year mortality rates as well as the maternal mortality rate, reducing physical maldevelopment of children, and extending people’s lifespan</w:t>
      </w:r>
      <w:r>
        <w:rPr>
          <w:rFonts w:ascii="Book Antiqua" w:hAnsi="Book Antiqua" w:eastAsia="宋体" w:cs="Book Antiqua"/>
          <w:color w:val="000000" w:themeColor="text1"/>
          <w:vertAlign w:val="superscript"/>
          <w14:textFill>
            <w14:solidFill>
              <w14:schemeClr w14:val="tx1"/>
            </w14:solidFill>
          </w14:textFill>
        </w:rPr>
        <w:t>[3]</w:t>
      </w:r>
      <w:r>
        <w:rPr>
          <w:rFonts w:ascii="Book Antiqua" w:hAnsi="Book Antiqua" w:eastAsia="宋体" w:cs="Book Antiqua"/>
          <w:color w:val="000000" w:themeColor="text1"/>
          <w14:textFill>
            <w14:solidFill>
              <w14:schemeClr w14:val="tx1"/>
            </w14:solidFill>
          </w14:textFill>
        </w:rPr>
        <w:t>. However, there are still challenges, such as industrialization and environmental problems, that threaten the health of the Chinese population, especially the aging society and the increasing burden of various age-related chronic diseases</w:t>
      </w:r>
      <w:r>
        <w:rPr>
          <w:rFonts w:ascii="Book Antiqua" w:hAnsi="Book Antiqua" w:eastAsia="宋体" w:cs="Book Antiqua"/>
          <w:color w:val="000000" w:themeColor="text1"/>
          <w:vertAlign w:val="superscript"/>
          <w14:textFill>
            <w14:solidFill>
              <w14:schemeClr w14:val="tx1"/>
            </w14:solidFill>
          </w14:textFill>
        </w:rPr>
        <w:t>[4,5]</w:t>
      </w:r>
      <w:r>
        <w:rPr>
          <w:rFonts w:ascii="Book Antiqua" w:hAnsi="Book Antiqua" w:eastAsia="宋体" w:cs="Book Antiqua"/>
          <w:color w:val="000000" w:themeColor="text1"/>
          <w14:textFill>
            <w14:solidFill>
              <w14:schemeClr w14:val="tx1"/>
            </w14:solidFill>
          </w14:textFill>
        </w:rPr>
        <w:t>. It is predicted that the number of people aged ≥ 65 years will be 400 million by 2050, accounting for approximately 26.9% of the total population, and the number of people aged ≥ 80 years will increase to 150 million by 2050</w:t>
      </w:r>
      <w:r>
        <w:rPr>
          <w:rFonts w:ascii="Book Antiqua" w:hAnsi="Book Antiqua" w:eastAsia="宋体" w:cs="Book Antiqua"/>
          <w:color w:val="000000" w:themeColor="text1"/>
          <w:vertAlign w:val="superscript"/>
          <w14:textFill>
            <w14:solidFill>
              <w14:schemeClr w14:val="tx1"/>
            </w14:solidFill>
          </w14:textFill>
        </w:rPr>
        <w:t>[6]</w:t>
      </w:r>
      <w:r>
        <w:rPr>
          <w:rFonts w:ascii="Book Antiqua" w:hAnsi="Book Antiqua" w:eastAsia="宋体"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To address health challenges effectively, countries around the world, including China, have adopted different policies</w:t>
      </w:r>
      <w:r>
        <w:rPr>
          <w:rFonts w:ascii="Book Antiqua" w:hAnsi="Book Antiqua" w:eastAsia="宋体" w:cs="Book Antiqua"/>
          <w:color w:val="000000" w:themeColor="text1"/>
          <w:vertAlign w:val="superscript"/>
          <w14:textFill>
            <w14:solidFill>
              <w14:schemeClr w14:val="tx1"/>
            </w14:solidFill>
          </w14:textFill>
        </w:rPr>
        <w:t>[7-9]</w:t>
      </w:r>
      <w:r>
        <w:rPr>
          <w:rFonts w:ascii="Book Antiqua" w:hAnsi="Book Antiqua" w:eastAsia="宋体" w:cs="Book Antiqua"/>
          <w:color w:val="000000" w:themeColor="text1"/>
          <w14:textFill>
            <w14:solidFill>
              <w14:schemeClr w14:val="tx1"/>
            </w14:solidFill>
          </w14:textFill>
        </w:rPr>
        <w:t>. In October 2016, the Central Committee of the Communist Party of China and the State Council released the Healthy China 2030 plan, which aims to address the challenges posed by the United Nations SDGs, as well as the accompanying economic burden, and to improve people’s health by promoting healthy lifestyles, optimizing health services, improving health security, building a healthy environment, and developing health industries by 2030</w:t>
      </w:r>
      <w:r>
        <w:rPr>
          <w:rFonts w:ascii="Book Antiqua" w:hAnsi="Book Antiqua" w:eastAsia="宋体" w:cs="Book Antiqua"/>
          <w:color w:val="000000" w:themeColor="text1"/>
          <w:vertAlign w:val="superscript"/>
          <w14:textFill>
            <w14:solidFill>
              <w14:schemeClr w14:val="tx1"/>
            </w14:solidFill>
          </w14:textFill>
        </w:rPr>
        <w:t>[10]</w:t>
      </w:r>
      <w:r>
        <w:rPr>
          <w:rFonts w:ascii="Book Antiqua" w:hAnsi="Book Antiqua" w:eastAsia="宋体" w:cs="Book Antiqua"/>
          <w:color w:val="000000" w:themeColor="text1"/>
          <w14:textFill>
            <w14:solidFill>
              <w14:schemeClr w14:val="tx1"/>
            </w14:solidFill>
          </w14:textFill>
        </w:rPr>
        <w:t>. The Healthy China 2030 plan aims to improve the health system of China and make China a modern and healthy country</w:t>
      </w:r>
      <w:r>
        <w:rPr>
          <w:rFonts w:ascii="Book Antiqua" w:hAnsi="Book Antiqua" w:eastAsia="宋体" w:cs="Book Antiqua"/>
          <w:color w:val="000000" w:themeColor="text1"/>
          <w:vertAlign w:val="superscript"/>
          <w14:textFill>
            <w14:solidFill>
              <w14:schemeClr w14:val="tx1"/>
            </w14:solidFill>
          </w14:textFill>
        </w:rPr>
        <w:t>[11]</w:t>
      </w:r>
      <w:r>
        <w:rPr>
          <w:rFonts w:ascii="Book Antiqua" w:hAnsi="Book Antiqua" w:eastAsia="宋体" w:cs="Book Antiqua"/>
          <w:color w:val="000000" w:themeColor="text1"/>
          <w14:textFill>
            <w14:solidFill>
              <w14:schemeClr w14:val="tx1"/>
            </w14:solidFill>
          </w14:textFill>
        </w:rPr>
        <w:t>. First, the focus of health services will shift from the treatment of diseases to health management and disease intervention to decrease health-related costs to some extent</w:t>
      </w:r>
      <w:r>
        <w:rPr>
          <w:rFonts w:ascii="Book Antiqua" w:hAnsi="Book Antiqua" w:eastAsia="宋体" w:cs="Book Antiqua"/>
          <w:color w:val="000000" w:themeColor="text1"/>
          <w:vertAlign w:val="superscript"/>
          <w14:textFill>
            <w14:solidFill>
              <w14:schemeClr w14:val="tx1"/>
            </w14:solidFill>
          </w14:textFill>
        </w:rPr>
        <w:t>[12]</w:t>
      </w:r>
      <w:r>
        <w:rPr>
          <w:rFonts w:ascii="Book Antiqua" w:hAnsi="Book Antiqua" w:eastAsia="宋体" w:cs="Book Antiqua"/>
          <w:color w:val="000000" w:themeColor="text1"/>
          <w14:textFill>
            <w14:solidFill>
              <w14:schemeClr w14:val="tx1"/>
            </w14:solidFill>
          </w14:textFill>
        </w:rPr>
        <w:t>. The Chinese government’s investment in health has continuously increased in recent decades, with nearly 70% of the investment being for treatment</w:t>
      </w:r>
      <w:r>
        <w:rPr>
          <w:rFonts w:ascii="Book Antiqua" w:hAnsi="Book Antiqua" w:eastAsia="宋体" w:cs="Book Antiqua"/>
          <w:color w:val="000000" w:themeColor="text1"/>
          <w:vertAlign w:val="superscript"/>
          <w14:textFill>
            <w14:solidFill>
              <w14:schemeClr w14:val="tx1"/>
            </w14:solidFill>
          </w14:textFill>
        </w:rPr>
        <w:t>[4]</w:t>
      </w:r>
      <w:r>
        <w:rPr>
          <w:rFonts w:ascii="Book Antiqua" w:hAnsi="Book Antiqua" w:eastAsia="宋体" w:cs="Book Antiqua"/>
          <w:color w:val="000000" w:themeColor="text1"/>
          <w14:textFill>
            <w14:solidFill>
              <w14:schemeClr w14:val="tx1"/>
            </w14:solidFill>
          </w14:textFill>
        </w:rPr>
        <w:t>. Additionally, the Healthy China 2030 plan is beneficial for establishing a system in which all citizens participate on a government-led basis and for improving health awareness and enhancing the concept of taking responsibility for one’s own health. Furthermore, the plan may be conducive to promoting the rapid development of health-related industries such as health monitoring and management consulting services, thus promoting economic development. In addition, by taking the opportunity that the plan represents, traditional Chinese medicine will develop rapidly.</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Health is an inevitable requirement for promoting all-around human development, and it is a basic condition for economic and social development. Different people have different understandings of health. The World Health Organization definition of health—“a state of complete physical, mental, and social well-being and not merely the absence of disease or infirmity”—mainly includes four different dimensions, the physical, the psychological, the socially adaptable, and the moral, and it has been accepted worldwide</w:t>
      </w:r>
      <w:r>
        <w:rPr>
          <w:rFonts w:ascii="Book Antiqua" w:hAnsi="Book Antiqua" w:eastAsia="宋体" w:cs="Book Antiqua"/>
          <w:color w:val="000000" w:themeColor="text1"/>
          <w:vertAlign w:val="superscript"/>
          <w14:textFill>
            <w14:solidFill>
              <w14:schemeClr w14:val="tx1"/>
            </w14:solidFill>
          </w14:textFill>
        </w:rPr>
        <w:t>[13]</w:t>
      </w:r>
      <w:r>
        <w:rPr>
          <w:rFonts w:ascii="Book Antiqua" w:hAnsi="Book Antiqua" w:eastAsia="宋体" w:cs="Book Antiqua"/>
          <w:color w:val="000000" w:themeColor="text1"/>
          <w14:textFill>
            <w14:solidFill>
              <w14:schemeClr w14:val="tx1"/>
            </w14:solidFill>
          </w14:textFill>
        </w:rPr>
        <w:t>. The “</w:t>
      </w:r>
      <w:r>
        <w:rPr>
          <w:rFonts w:ascii="Book Antiqua" w:hAnsi="Book Antiqua" w:eastAsia="宋体" w:cs="Book Antiqua"/>
          <w:color w:val="000000" w:themeColor="text1"/>
          <w:lang w:eastAsia="zh-CN"/>
          <w14:textFill>
            <w14:solidFill>
              <w14:schemeClr w14:val="tx1"/>
            </w14:solidFill>
          </w14:textFill>
        </w:rPr>
        <w:t>i</w:t>
      </w:r>
      <w:r>
        <w:rPr>
          <w:rFonts w:ascii="Book Antiqua" w:hAnsi="Book Antiqua" w:eastAsia="宋体" w:cs="Book Antiqua"/>
          <w:color w:val="000000" w:themeColor="text1"/>
          <w14:textFill>
            <w14:solidFill>
              <w14:schemeClr w14:val="tx1"/>
            </w14:solidFill>
          </w14:textFill>
        </w:rPr>
        <w:t>nitiative practice for health” (IPFH) concept derives from the Healthy China 2030 blueprint. IPFH is a process in which people take the initiative to gain health-related knowledge, improve their lifestyle, and ensure their health status. It is based on health management and emphasizes the long-term continuous and dynamic tracking of the individuals’ entire life cycle behavioral systems as well as comprehensive detection, assessment, effective intervention, and continuous follow-up services for individual or group health conditions and their risk factors affecting health. It highlights the active participation of individuals in personal health management and citizen participation in the healthy development of China. It encourages individuals to find personal ways and to acquire effective knowledge to promote modifiable health-related behaviors in terms of diet, exercise, society, and mentality to enable healthier lives.</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Chinese government has made great efforts to promote the Healthy China 2030 plan and IPFH. However, few surveys have explored people’s awareness, knowledge, and understanding of IPFH. Therefore, we investigated the relevant knowledge and behaviors related to IPFH as well as the attitudes of people using a self-designed questionnaire to improve the promotion of IPFH and indirectly improve the health of all people.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Questionnaire</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 xml:space="preserve">Based on the literatures and suggestions of experts in health management, epidemiology, and clinical medicine, a self-designed questionnaire including 49 questions was compiled based on the purpose of this research after the group discussion and the preliminary investigation of 55 samples. The survey items mainly covered four parts: (1) demographic characteristics and socioeconomic status, including respondents’ gender, place of residence, age, educational level, work experience, personal income per month, height, weight, body mass index (BMI), </w:t>
      </w:r>
      <w:r>
        <w:rPr>
          <w:rFonts w:ascii="Book Antiqua" w:hAnsi="Book Antiqua" w:eastAsia="宋体" w:cs="Book Antiqua"/>
          <w:i/>
          <w:iCs/>
          <w:color w:val="000000" w:themeColor="text1"/>
          <w14:textFill>
            <w14:solidFill>
              <w14:schemeClr w14:val="tx1"/>
            </w14:solidFill>
          </w14:textFill>
        </w:rPr>
        <w:t>etc</w:t>
      </w:r>
      <w:r>
        <w:rPr>
          <w:rFonts w:ascii="Book Antiqua" w:hAnsi="Book Antiqua" w:eastAsia="宋体" w:cs="Book Antiqua"/>
          <w:color w:val="000000" w:themeColor="text1"/>
          <w14:textFill>
            <w14:solidFill>
              <w14:schemeClr w14:val="tx1"/>
            </w14:solidFill>
          </w14:textFill>
        </w:rPr>
        <w:t>; (2) knowledge related to health and IPFH; (3) health-related behaviors; and (4) the will to promote IPFH.</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IPFH awareness was assessed in terms of five aspects: The view on the aging population in China; knowing about IPFH; the frequency with which the respondent receives health-related science information; the frequency of health consultations; and the will to promote IPFH. The IPFH awareness was evaluated based on the sum of the scores on these five aspects. According to the results of the preliminary investigation, respondents were considered to have strong IPFH awareness if the score was ≥ 8 points (75% of the median). Otherwise, they were considered to have weak IPFH awareness.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Data collection</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self-designed electronic questionnaire was administered on an online crowdsourcing platform from March 26 to April 18, 2020, and it was sent to Moments and WeChat groups in the form of network links by researchers who voluntarily transmitted the links. Before starting the survey, the aims of the questionnaire were shown, informed consent was obtained, and people could refuse to participate. All information was guaranteed to be confidential. The content could not be changed after completion.</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Statistical analysis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content was exported from the network platform. Demographic characteristics are represented as the mean ± standard deviation for continuous variables based on a normal distribution; otherwise, the median (P</w:t>
      </w:r>
      <w:r>
        <w:rPr>
          <w:rFonts w:ascii="Book Antiqua" w:hAnsi="Book Antiqua"/>
          <w:color w:val="000000" w:themeColor="text1"/>
          <w:vertAlign w:val="subscript"/>
          <w14:textFill>
            <w14:solidFill>
              <w14:schemeClr w14:val="tx1"/>
            </w14:solidFill>
          </w14:textFill>
        </w:rPr>
        <w:t>25</w:t>
      </w:r>
      <w:r>
        <w:rPr>
          <w:rFonts w:ascii="Book Antiqua" w:hAnsi="Book Antiqua" w:eastAsia="微软雅黑" w:cs="微软雅黑"/>
          <w:color w:val="000000" w:themeColor="text1"/>
          <w14:textFill>
            <w14:solidFill>
              <w14:schemeClr w14:val="tx1"/>
            </w14:solidFill>
          </w14:textFill>
        </w:rPr>
        <w:t>-</w:t>
      </w:r>
      <w:r>
        <w:rPr>
          <w:rFonts w:ascii="Book Antiqua" w:hAnsi="Book Antiqua" w:eastAsia="宋体" w:cs="Book Antiqua"/>
          <w:color w:val="000000" w:themeColor="text1"/>
          <w14:textFill>
            <w14:solidFill>
              <w14:schemeClr w14:val="tx1"/>
            </w14:solidFill>
          </w14:textFill>
        </w:rPr>
        <w:t>P</w:t>
      </w:r>
      <w:r>
        <w:rPr>
          <w:rFonts w:ascii="Book Antiqua" w:hAnsi="Book Antiqua"/>
          <w:color w:val="000000" w:themeColor="text1"/>
          <w:vertAlign w:val="subscript"/>
          <w14:textFill>
            <w14:solidFill>
              <w14:schemeClr w14:val="tx1"/>
            </w14:solidFill>
          </w14:textFill>
        </w:rPr>
        <w:t>75</w:t>
      </w:r>
      <w:r>
        <w:rPr>
          <w:rFonts w:ascii="Book Antiqua" w:hAnsi="Book Antiqua" w:eastAsia="宋体" w:cs="Book Antiqua"/>
          <w:color w:val="000000" w:themeColor="text1"/>
          <w14:textFill>
            <w14:solidFill>
              <w14:schemeClr w14:val="tx1"/>
            </w14:solidFill>
          </w14:textFill>
        </w:rPr>
        <w:t xml:space="preserve">) was used. The differences in continuous variables between the two groups were tested by a </w:t>
      </w:r>
      <w:r>
        <w:rPr>
          <w:rStyle w:val="12"/>
          <w:rFonts w:ascii="Book Antiqua" w:hAnsi="Book Antiqua"/>
          <w:color w:val="000000" w:themeColor="text1"/>
          <w14:textFill>
            <w14:solidFill>
              <w14:schemeClr w14:val="tx1"/>
            </w14:solidFill>
          </w14:textFill>
        </w:rPr>
        <w:t>Student’s t test</w:t>
      </w:r>
      <w:r>
        <w:rPr>
          <w:rFonts w:ascii="Book Antiqua" w:hAnsi="Book Antiqua" w:eastAsia="宋体" w:cs="Book Antiqua"/>
          <w:color w:val="000000" w:themeColor="text1"/>
          <w14:textFill>
            <w14:solidFill>
              <w14:schemeClr w14:val="tx1"/>
            </w14:solidFill>
          </w14:textFill>
        </w:rPr>
        <w:t xml:space="preserve"> or Mann–Whitney U test. Categorical variables are represented as </w:t>
      </w:r>
      <w:r>
        <w:rPr>
          <w:rFonts w:ascii="Book Antiqua" w:hAnsi="Book Antiqua"/>
          <w:i/>
          <w:color w:val="000000" w:themeColor="text1"/>
          <w14:textFill>
            <w14:solidFill>
              <w14:schemeClr w14:val="tx1"/>
            </w14:solidFill>
          </w14:textFill>
        </w:rPr>
        <w:t>n</w:t>
      </w:r>
      <w:r>
        <w:rPr>
          <w:rFonts w:ascii="Book Antiqua" w:hAnsi="Book Antiqua" w:eastAsia="宋体" w:cs="Book Antiqua"/>
          <w:color w:val="000000" w:themeColor="text1"/>
          <w14:textFill>
            <w14:solidFill>
              <w14:schemeClr w14:val="tx1"/>
            </w14:solidFill>
          </w14:textFill>
        </w:rPr>
        <w:t xml:space="preserve"> (%), and the differences between the two groups were tested by the c</w:t>
      </w:r>
      <w:r>
        <w:rPr>
          <w:rFonts w:ascii="Book Antiqua" w:hAnsi="Book Antiqua"/>
          <w:color w:val="000000" w:themeColor="text1"/>
          <w:vertAlign w:val="superscript"/>
          <w14:textFill>
            <w14:solidFill>
              <w14:schemeClr w14:val="tx1"/>
            </w14:solidFill>
          </w14:textFill>
        </w:rPr>
        <w:t>2</w:t>
      </w:r>
      <w:r>
        <w:rPr>
          <w:rFonts w:ascii="Book Antiqua" w:hAnsi="Book Antiqua" w:eastAsia="宋体" w:cs="Book Antiqua"/>
          <w:color w:val="000000" w:themeColor="text1"/>
          <w14:textFill>
            <w14:solidFill>
              <w14:schemeClr w14:val="tx1"/>
            </w14:solidFill>
          </w14:textFill>
        </w:rPr>
        <w:t xml:space="preserve"> test or Fisher’s exact test. Multiple logistic regression analysis was performed, and the odds ratios (ORs) and 95% confidence intervals (CIs) of the variables are reported. Data analysis and analysis of the credibility of the questionnaire were performed using SPSS for Windows version 25.0 (IBM Corp., Armonk, NY, United States). All reported </w:t>
      </w:r>
      <w:r>
        <w:rPr>
          <w:rFonts w:ascii="Book Antiqua" w:hAnsi="Book Antiqua"/>
          <w:i/>
          <w:color w:val="000000" w:themeColor="text1"/>
          <w14:textFill>
            <w14:solidFill>
              <w14:schemeClr w14:val="tx1"/>
            </w14:solidFill>
          </w14:textFill>
        </w:rPr>
        <w:t>P</w:t>
      </w:r>
      <w:r>
        <w:rPr>
          <w:rFonts w:ascii="Book Antiqua" w:hAnsi="Book Antiqua" w:eastAsia="宋体" w:cs="Book Antiqua"/>
          <w:color w:val="000000" w:themeColor="text1"/>
          <w14:textFill>
            <w14:solidFill>
              <w14:schemeClr w14:val="tx1"/>
            </w14:solidFill>
          </w14:textFill>
        </w:rPr>
        <w:t xml:space="preserve"> values are two-tailed, and </w:t>
      </w:r>
      <w:r>
        <w:rPr>
          <w:rFonts w:ascii="Book Antiqua" w:hAnsi="Book Antiqua"/>
          <w:i/>
          <w:color w:val="000000" w:themeColor="text1"/>
          <w14:textFill>
            <w14:solidFill>
              <w14:schemeClr w14:val="tx1"/>
            </w14:solidFill>
          </w14:textFill>
        </w:rPr>
        <w:t>P</w:t>
      </w:r>
      <w:r>
        <w:rPr>
          <w:rFonts w:ascii="Book Antiqua" w:hAnsi="Book Antiqua" w:eastAsia="宋体" w:cs="Book Antiqua"/>
          <w:color w:val="000000" w:themeColor="text1"/>
          <w14:textFill>
            <w14:solidFill>
              <w14:schemeClr w14:val="tx1"/>
            </w14:solidFill>
          </w14:textFill>
        </w:rPr>
        <w:t xml:space="preserve"> &lt; 0.05 was considered statistically significant.</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 xml:space="preserve">Ethical considerations </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This survey was approved by the Academic Ethics Committee of the Sanbo Brain Hospital, Capital Medical University. This survey was voluntary, and residents could refuse to participate. All were assured of the confidentiality of their information.</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RESULTS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Questionnaire</w:t>
      </w:r>
    </w:p>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Cronbach’s alpha coefficient for the questionnaire was 0.823 and &gt; 0.7 for all dimensions, indicating that the self-designed questionnaire had high credibility. Through expert discussion and evaluation, it was considered that the questionnaire had a certain validity. In total, 2699 questionnaires were collected, with 21 incomplete questionnaires. Thus, 2678 questionnaires were included in our analyses.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Sociodemographic characteristics of the participants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sociodemographic characteristics of the participants are listed in Table 1. In terms of gender, 1566 (58.5%) were female, and 1112 (41.5%) were male, for a gender ratio of 1:1.4. The mean age and BMI were 43.3 ± 11.7 years and 23.54 ± 3.15 years, respectively. The respondents were from 31 provinces, autonomous regions, and municipalities directly under the central government, with 1291 (48.2%) from northern China, followed by 463 (17.3%) and 328 (12.2%) from central and eastern China, respectively. Most of the participants (93.6%) lived in urban areas. With regard to educational level, 1770 (66.1%) of the respondents had a college education, and 652 (24.3%) had a master’s degree or above. Nearly three quarters of the participants (74.2%) had medical-related work experience. For personal income, 1738 (64.9%) of the participants earned &gt; ¥5000/month.</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Knowledge of health and IPFH</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Regarding the statement “China’s aging population exerts or will exert great pressure on society, families, and individuals”, 2286 (85.4%) of the respondents expressed agreement, 121 (4.5%) disagreed, and 271 (10.1%) felt unsure. Only 973 (36.3%) of the participants had heard of the IPFH.</w:t>
      </w:r>
    </w:p>
    <w:p>
      <w:pPr>
        <w:spacing w:line="360" w:lineRule="auto"/>
        <w:ind w:firstLine="480" w:firstLineChars="200"/>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Over 95% of the respondents thought that health status included physical and mental health, and 85.3% and 81.8% of the respondents thought that good social adaptability and moral health, respectively, were part of health status (Figure 1A). A total of 89.5% and 88.9% of the respondents agreed that IPFH is beneficial for improving quality of life and preventing diseases, respectively. However, only 62.2% of the respondents thought that it would help to reduce the chance of visiting doctors (Figure 1B). Over 50% of the participants selected the following items: regular schedule, a reasonable diet, tobacco and alcohol control, a cheerful mood, specific life goals and plans, taking the initiative to accept health-related education and implement health knowledge, good interpersonal relationships, and regular physical examinations, which have close relationships with IPFH (Figure 1C). In terms of promoting IPFH, more than 70% of the participants thought it would mainly depend on individuals and family members, and less than 50% of those selected hospitals and family doctors (Figure 1D).</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Health-related behaviors</w:t>
      </w:r>
    </w:p>
    <w:p>
      <w:pPr>
        <w:spacing w:line="360" w:lineRule="auto"/>
        <w:jc w:val="both"/>
        <w:rPr>
          <w:rFonts w:ascii="Book Antiqua" w:hAnsi="Book Antiqua" w:eastAsia="宋体" w:cs="Book Antiqua"/>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As shown in Figure 2A, the majority of the respondents usually paid close attention to health-related knowledge in their daily lives. In addition, 89.5% of the subjects usually acquired health-related popular science knowledge via WeChat official accounts or MicroBlogs, and 57.4% and 49.2% of the respondents received such knowledge via television and print publications, such as magazines and newspapers, respectively (Figure 2B). Over 70% of the respondents were more concerned about aspects such as weight, emotion, appetite, and sleep (Figure 2C). Only 33.5% of the participants discussed their own health promotion plans with professionals such as dieticians, fitness instructors, and health managers (Figure 2D). With regard to common wearable devices, such as smart watches, bracelets, sphygmomanometers, and insulin pumps, only 71 (2.7%) of the participants had no thoughts about them (Figure 2E).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Will to promote IPFH</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A total of 85.9% of the participants had a desire to become promoters and pioneers of IPFH (Figure 3).</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i/>
          <w:iCs/>
          <w:color w:val="000000" w:themeColor="text1"/>
          <w14:textFill>
            <w14:solidFill>
              <w14:schemeClr w14:val="tx1"/>
            </w14:solidFill>
          </w14:textFill>
        </w:rPr>
        <w:t>Factors influencing IPFH awareness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Based on the methods mentioned above, IPFH awareness was divided into the “strong group” and the “weak group”. As illustrated in Table 2, 1065 participants had strong IPFH awareness and 1613 had weak awareness. Age, place of work or residence, medical-related work experience, monthly income, and BMI were significant factors (</w:t>
      </w:r>
      <w:r>
        <w:rPr>
          <w:rFonts w:ascii="Book Antiqua" w:hAnsi="Book Antiqua" w:eastAsia="宋体" w:cs="Book Antiqua"/>
          <w:i/>
          <w:iCs/>
          <w:color w:val="000000" w:themeColor="text1"/>
          <w14:textFill>
            <w14:solidFill>
              <w14:schemeClr w14:val="tx1"/>
            </w14:solidFill>
          </w14:textFill>
        </w:rPr>
        <w:t>P</w:t>
      </w:r>
      <w:r>
        <w:rPr>
          <w:rFonts w:ascii="Book Antiqua" w:hAnsi="Book Antiqua" w:eastAsia="宋体" w:cs="Book Antiqua"/>
          <w:color w:val="000000" w:themeColor="text1"/>
          <w14:textFill>
            <w14:solidFill>
              <w14:schemeClr w14:val="tx1"/>
            </w14:solidFill>
          </w14:textFill>
        </w:rPr>
        <w:t xml:space="preserve"> &lt; 0.05).</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 xml:space="preserve">The multivariate logistic regression model used the strength of IPFH awareness as the dependent variable and the factors significantly associated with IPFH awareness (age, place of work or residence, medical-related work experience, monthly income, and BMI) as independent variables. Age (OR = 1.752, 95%CI: 1.485-2.067, </w:t>
      </w:r>
      <w:r>
        <w:rPr>
          <w:rFonts w:ascii="Book Antiqua" w:hAnsi="Book Antiqua" w:eastAsia="宋体" w:cs="Book Antiqua"/>
          <w:i/>
          <w:iCs/>
          <w:color w:val="000000" w:themeColor="text1"/>
          <w14:textFill>
            <w14:solidFill>
              <w14:schemeClr w14:val="tx1"/>
            </w14:solidFill>
          </w14:textFill>
        </w:rPr>
        <w:t xml:space="preserve">P </w:t>
      </w:r>
      <w:r>
        <w:rPr>
          <w:rFonts w:ascii="Book Antiqua" w:hAnsi="Book Antiqua" w:eastAsia="宋体" w:cs="Book Antiqua"/>
          <w:color w:val="000000" w:themeColor="text1"/>
          <w14:textFill>
            <w14:solidFill>
              <w14:schemeClr w14:val="tx1"/>
            </w14:solidFill>
          </w14:textFill>
        </w:rPr>
        <w:t xml:space="preserve">&lt; 0.001), medical-related work experience (OR = 1.577, 95%CI: 1.308-1.902, </w:t>
      </w:r>
      <w:r>
        <w:rPr>
          <w:rFonts w:ascii="Book Antiqua" w:hAnsi="Book Antiqua" w:eastAsia="宋体" w:cs="Book Antiqua"/>
          <w:i/>
          <w:iCs/>
          <w:color w:val="000000" w:themeColor="text1"/>
          <w14:textFill>
            <w14:solidFill>
              <w14:schemeClr w14:val="tx1"/>
            </w14:solidFill>
          </w14:textFill>
        </w:rPr>
        <w:t>P</w:t>
      </w:r>
      <w:r>
        <w:rPr>
          <w:rFonts w:ascii="Book Antiqua" w:hAnsi="Book Antiqua" w:eastAsia="宋体" w:cs="Book Antiqua"/>
          <w:color w:val="000000" w:themeColor="text1"/>
          <w14:textFill>
            <w14:solidFill>
              <w14:schemeClr w14:val="tx1"/>
            </w14:solidFill>
          </w14:textFill>
        </w:rPr>
        <w:t xml:space="preserve"> &lt; 0.001), and monthly income (OR = 1.123, 95%CI: 1.035-1.217, </w:t>
      </w:r>
      <w:r>
        <w:rPr>
          <w:rFonts w:ascii="Book Antiqua" w:hAnsi="Book Antiqua" w:eastAsia="宋体" w:cs="Book Antiqua"/>
          <w:i/>
          <w:iCs/>
          <w:color w:val="000000" w:themeColor="text1"/>
          <w14:textFill>
            <w14:solidFill>
              <w14:schemeClr w14:val="tx1"/>
            </w14:solidFill>
          </w14:textFill>
        </w:rPr>
        <w:t>P</w:t>
      </w:r>
      <w:r>
        <w:rPr>
          <w:rFonts w:ascii="Book Antiqua" w:hAnsi="Book Antiqua" w:eastAsia="宋体" w:cs="Book Antiqua"/>
          <w:color w:val="000000" w:themeColor="text1"/>
          <w14:textFill>
            <w14:solidFill>
              <w14:schemeClr w14:val="tx1"/>
            </w14:solidFill>
          </w14:textFill>
        </w:rPr>
        <w:t xml:space="preserve"> = 0.002) significantly affected the strength of IPFH awareness (Table 3).</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DISCUSSION</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This study is one of the first to examine IPFH awareness and related knowledge among Chinese people by using a network platform. It is of importance to understand and promote China’s development of IPFH and raise awareness of it. Based on the multivariable binary logistic regression, age, monthly income, and medical-related work experience were factors influencing IPFH awareness. Specifically, participants who were older, had a higher monthly income, and had medical-related work experience had strong IPFH awareness. It is not difficult to think that people who are older and who have worked in the medical industry are more inclined to pay more attention to their health and acquire more health knowledge, which makes their IPFH awareness higher. Participants who have a higher monthly income usually experience less life pressure and, at the same time, usually pay attention to all kinds of information in their daily lives. Thus, they may have more chances and energy to pay attention to their body and gain access to health knowledge as well as related policies, resulting in a relatively high IPFH awareness. This is consistent with the views of Braveman and Gottlieb</w:t>
      </w:r>
      <w:r>
        <w:rPr>
          <w:rFonts w:ascii="Book Antiqua" w:hAnsi="Book Antiqua" w:eastAsia="宋体" w:cs="Book Antiqua"/>
          <w:color w:val="000000" w:themeColor="text1"/>
          <w:vertAlign w:val="superscript"/>
          <w14:textFill>
            <w14:solidFill>
              <w14:schemeClr w14:val="tx1"/>
            </w14:solidFill>
          </w14:textFill>
        </w:rPr>
        <w:t>[14]</w:t>
      </w:r>
      <w:r>
        <w:rPr>
          <w:rFonts w:ascii="Book Antiqua" w:hAnsi="Book Antiqua" w:eastAsia="宋体" w:cs="Book Antiqua"/>
          <w:color w:val="000000" w:themeColor="text1"/>
          <w14:textFill>
            <w14:solidFill>
              <w14:schemeClr w14:val="tx1"/>
            </w14:solidFill>
          </w14:textFill>
        </w:rPr>
        <w:t xml:space="preserve"> who stated that lower income is associated with lower health awareness and health status. However, it is different from the survey about the awareness of health knowledge among rural residents in western China conducted by Yuan </w:t>
      </w:r>
      <w:r>
        <w:rPr>
          <w:rFonts w:ascii="Book Antiqua" w:hAnsi="Book Antiqua" w:eastAsia="宋体" w:cs="Book Antiqua"/>
          <w:i/>
          <w:iCs/>
          <w:color w:val="000000" w:themeColor="text1"/>
          <w14:textFill>
            <w14:solidFill>
              <w14:schemeClr w14:val="tx1"/>
            </w14:solidFill>
          </w14:textFill>
        </w:rPr>
        <w:t>et al.</w:t>
      </w:r>
      <w:r>
        <w:rPr>
          <w:rFonts w:ascii="Book Antiqua" w:hAnsi="Book Antiqua" w:eastAsia="宋体" w:cs="Book Antiqua"/>
          <w:color w:val="000000" w:themeColor="text1"/>
          <w:vertAlign w:val="superscript"/>
          <w14:textFill>
            <w14:solidFill>
              <w14:schemeClr w14:val="tx1"/>
            </w14:solidFill>
          </w14:textFill>
        </w:rPr>
        <w:t>[15]</w:t>
      </w:r>
      <w:r>
        <w:rPr>
          <w:rFonts w:ascii="Book Antiqua" w:hAnsi="Book Antiqua" w:eastAsia="宋体" w:cs="Book Antiqua"/>
          <w:color w:val="000000" w:themeColor="text1"/>
          <w14:textFill>
            <w14:solidFill>
              <w14:schemeClr w14:val="tx1"/>
            </w14:solidFill>
          </w14:textFill>
        </w:rPr>
        <w:t xml:space="preserve"> from July 2011 to April 2012. It indicated that the health knowledge level of lower income families was higher than that of rich families, and it declined with increasing age. This may be because the rural population has particular characteristics and the respondents we surveyed lived in urban areas. We think that more attention should be paid to people with poor IPFH awareness. Finding the reasons for their poor health awareness and improving the reasons individually will contribute to the development and improvement of the health of the whole population.</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Although older people are healthier than in the past, aging of the population is still a huge burden at the societal and individual levels because the number of older people is increasing and they are characterized as being more fragile and susceptible to disease</w:t>
      </w:r>
      <w:r>
        <w:rPr>
          <w:rFonts w:ascii="Book Antiqua" w:hAnsi="Book Antiqua" w:eastAsia="宋体" w:cs="Book Antiqua"/>
          <w:color w:val="000000" w:themeColor="text1"/>
          <w:vertAlign w:val="superscript"/>
          <w14:textFill>
            <w14:solidFill>
              <w14:schemeClr w14:val="tx1"/>
            </w14:solidFill>
          </w14:textFill>
        </w:rPr>
        <w:t>[16]</w:t>
      </w:r>
      <w:r>
        <w:rPr>
          <w:rFonts w:ascii="Book Antiqua" w:hAnsi="Book Antiqua" w:eastAsia="宋体" w:cs="Book Antiqua"/>
          <w:color w:val="000000" w:themeColor="text1"/>
          <w14:textFill>
            <w14:solidFill>
              <w14:schemeClr w14:val="tx1"/>
            </w14:solidFill>
          </w14:textFill>
        </w:rPr>
        <w:t>. According to the Healthy China Action Promotion Committee, older people have been suffering from different diseases for approximately 8.3 years, and approximately 75% of the population had various chronic diseases in 2018</w:t>
      </w:r>
      <w:r>
        <w:rPr>
          <w:rFonts w:ascii="Book Antiqua" w:hAnsi="Book Antiqua" w:eastAsia="宋体" w:cs="Book Antiqua"/>
          <w:color w:val="000000" w:themeColor="text1"/>
          <w:vertAlign w:val="superscript"/>
          <w14:textFill>
            <w14:solidFill>
              <w14:schemeClr w14:val="tx1"/>
            </w14:solidFill>
          </w14:textFill>
        </w:rPr>
        <w:t>[17]</w:t>
      </w:r>
      <w:r>
        <w:rPr>
          <w:rFonts w:ascii="Book Antiqua" w:hAnsi="Book Antiqua" w:eastAsia="宋体" w:cs="Book Antiqua"/>
          <w:color w:val="000000" w:themeColor="text1"/>
          <w14:textFill>
            <w14:solidFill>
              <w14:schemeClr w14:val="tx1"/>
            </w14:solidFill>
          </w14:textFill>
        </w:rPr>
        <w:t>. The annual economic burden of age-related diseases will account for &gt; 40% of the whole population. Our research showed that 85.4% of the participants agreed with the view “China’s aging population exerts or will exert great pressure on society, families, and individuals”, although some of the participants (4.5%) held the opposite view, which may mean that most citizens in China and worldwide could realize this serious situation. Therefore, they may be more likely to handle this challenge by taking the initiative through related policies led by the government.</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Health management is a medical practice and a process of comprehensive detection, assessment, effective intervention and follow-up services for health status, and the risk factors for individuals and groups</w:t>
      </w:r>
      <w:r>
        <w:rPr>
          <w:rFonts w:ascii="Book Antiqua" w:hAnsi="Book Antiqua" w:eastAsia="宋体" w:cs="Book Antiqua"/>
          <w:color w:val="000000" w:themeColor="text1"/>
          <w:vertAlign w:val="superscript"/>
          <w14:textFill>
            <w14:solidFill>
              <w14:schemeClr w14:val="tx1"/>
            </w14:solidFill>
          </w14:textFill>
        </w:rPr>
        <w:t>[18]</w:t>
      </w:r>
      <w:r>
        <w:rPr>
          <w:rFonts w:ascii="Book Antiqua" w:hAnsi="Book Antiqua" w:eastAsia="宋体" w:cs="Book Antiqua"/>
          <w:color w:val="000000" w:themeColor="text1"/>
          <w14:textFill>
            <w14:solidFill>
              <w14:schemeClr w14:val="tx1"/>
            </w14:solidFill>
          </w14:textFill>
        </w:rPr>
        <w:t>. IPFH is a process based on health management in which people take the initiative to learn health-related knowledge, improve their lifestyle, and ensure their own health status. It emphasizes the active participation of individuals in personal health management and citizen participation in the development of a healthy China. With the coordinated development of the internet and IPFH, a population information platform for internet and health care and health-related big data systems are expected to be established, thereby executing the plan for internet-based Chinese health services. According to our research, only 36.3% of the respondents had heard of IPFH, which is unsatisfactory for promoting IPFH and, moreover, the Healthy China 2030 plan. The reason for this may be that, on the one hand, the plan is at the early stage in this long-term project, and thus far, the main task has been to build infrastructure and content. Additionally, IPFH appeared based on the implementation of the plan; thus, only a small number of people had heard of it. On the other hand, it is possible that many people may have acquired related knowledge and put it into practice in their daily lives without knowing that the knowledge was related to IPFH. This reminds us that it is better to be specific and comprehensive during the promotion of IPFH.</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Over 30% of the participants in our study thought that participating in IPFH was unable to decrease the chance of hospitalization or extend the lifespan. Over 20% of the respondents denied that IPFH would have an impact on the progression of diseases. Most participants thought that the use of healthcare products and participation in relevant activities were related to IPFH, which was similar to the results shown by Yang and Meng</w:t>
      </w:r>
      <w:r>
        <w:rPr>
          <w:rFonts w:ascii="Book Antiqua" w:hAnsi="Book Antiqua" w:eastAsia="宋体" w:cs="Book Antiqua"/>
          <w:color w:val="000000" w:themeColor="text1"/>
          <w:vertAlign w:val="superscript"/>
          <w14:textFill>
            <w14:solidFill>
              <w14:schemeClr w14:val="tx1"/>
            </w14:solidFill>
          </w14:textFill>
        </w:rPr>
        <w:t>[17]</w:t>
      </w:r>
      <w:r>
        <w:rPr>
          <w:rFonts w:ascii="Book Antiqua" w:hAnsi="Book Antiqua" w:eastAsia="宋体" w:cs="Book Antiqua"/>
          <w:color w:val="000000" w:themeColor="text1"/>
          <w14:textFill>
            <w14:solidFill>
              <w14:schemeClr w14:val="tx1"/>
            </w14:solidFill>
          </w14:textFill>
        </w:rPr>
        <w:t>. This may be because, on the one hand, some people lack knowledge and awareness of IPFH as well as the occurrence and development of some diseases and lifespan. On the other hand, some people neglect the role of health-related factors such as lifestyle and the environment in the development of diseases and overlook the role of social adaptation in maintaining health status. Fewer than half of the respondents in our survey agreed with the role of health professionals including hospitals, family doctors, and health managers in promoting IPFH, and only 33.5% wanted to discuss their own health plan with professionals. The reasons may be as follows: First, the traditional opinion holds that hospitals and doctors are merely related to treating diseases, ignoring the role of health professionals in health improvement. In fact, the role of hospitals as well as doctors has already shifted</w:t>
      </w:r>
      <w:r>
        <w:rPr>
          <w:rFonts w:ascii="Book Antiqua" w:hAnsi="Book Antiqua" w:eastAsia="宋体" w:cs="Book Antiqua"/>
          <w:color w:val="000000" w:themeColor="text1"/>
          <w:vertAlign w:val="superscript"/>
          <w14:textFill>
            <w14:solidFill>
              <w14:schemeClr w14:val="tx1"/>
            </w14:solidFill>
          </w14:textFill>
        </w:rPr>
        <w:t>[19]</w:t>
      </w:r>
      <w:r>
        <w:rPr>
          <w:rFonts w:ascii="Book Antiqua" w:hAnsi="Book Antiqua" w:eastAsia="宋体" w:cs="Book Antiqua"/>
          <w:color w:val="000000" w:themeColor="text1"/>
          <w14:textFill>
            <w14:solidFill>
              <w14:schemeClr w14:val="tx1"/>
            </w14:solidFill>
          </w14:textFill>
        </w:rPr>
        <w:t xml:space="preserve"> from only treating diseases to addressing the entire health and lifespan process. Second, health managers are unpopular because IPFH has not spread widely; thus, many people do not accept this occupation. Finally, this result shows that although family doctors have already been advocated by the government, people have less knowledge about the role of family doctors. Despite the importance of family doctors in improving disease management and health awareness</w:t>
      </w:r>
      <w:r>
        <w:rPr>
          <w:rFonts w:ascii="Book Antiqua" w:hAnsi="Book Antiqua" w:eastAsia="宋体" w:cs="Book Antiqua"/>
          <w:color w:val="000000" w:themeColor="text1"/>
          <w:vertAlign w:val="superscript"/>
          <w14:textFill>
            <w14:solidFill>
              <w14:schemeClr w14:val="tx1"/>
            </w14:solidFill>
          </w14:textFill>
        </w:rPr>
        <w:t>[20]</w:t>
      </w:r>
      <w:r>
        <w:rPr>
          <w:rFonts w:ascii="Book Antiqua" w:hAnsi="Book Antiqua" w:eastAsia="宋体" w:cs="Book Antiqua"/>
          <w:color w:val="000000" w:themeColor="text1"/>
          <w14:textFill>
            <w14:solidFill>
              <w14:schemeClr w14:val="tx1"/>
            </w14:solidFill>
          </w14:textFill>
        </w:rPr>
        <w:t>, the rate of enjoying contractual services from family doctors is still low</w:t>
      </w:r>
      <w:r>
        <w:rPr>
          <w:rFonts w:ascii="Book Antiqua" w:hAnsi="Book Antiqua" w:eastAsia="宋体" w:cs="Book Antiqua"/>
          <w:color w:val="000000" w:themeColor="text1"/>
          <w:vertAlign w:val="superscript"/>
          <w14:textFill>
            <w14:solidFill>
              <w14:schemeClr w14:val="tx1"/>
            </w14:solidFill>
          </w14:textFill>
        </w:rPr>
        <w:t>[21-23]</w:t>
      </w:r>
      <w:r>
        <w:rPr>
          <w:rFonts w:ascii="Book Antiqua" w:hAnsi="Book Antiqua" w:eastAsia="宋体" w:cs="Book Antiqua"/>
          <w:color w:val="000000" w:themeColor="text1"/>
          <w14:textFill>
            <w14:solidFill>
              <w14:schemeClr w14:val="tx1"/>
            </w14:solidFill>
          </w14:textFill>
        </w:rPr>
        <w:t>. It is reassuring that most participants wanted to be promoters and practitioners of IPFH and health projects. We have every reason to look forward to the development and optimistic results of the Healthy China 2030 plan and IPFH because individuals are willing to take responsibility as members of the health industry. It is not difficult to imagine that with the wide publicity and smooth implementation of the plan and IPFH, people will accept and know this concept better and take the initiative to put their knowledge into practice.</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 xml:space="preserve">Our survey showed that most participants paid close attention to health-related information and almost every health-related indicator, and there were hardly any participants who did not know about health-related wearable devices. This means that, with the development of society and improved living standards, as well as the promotion of health awareness, people are increasingly paying more attention to their health, and there are more chances to know things about high-tech health-related equipment. This is a good condition for promoting the Healthy China 2030 plan and IPFH. </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As one of the most important components of IPFH, health knowledge and health behaviors are important to improving health status</w:t>
      </w:r>
      <w:r>
        <w:rPr>
          <w:rFonts w:ascii="Book Antiqua" w:hAnsi="Book Antiqua" w:eastAsia="宋体" w:cs="Book Antiqua"/>
          <w:color w:val="000000" w:themeColor="text1"/>
          <w:vertAlign w:val="superscript"/>
          <w14:textFill>
            <w14:solidFill>
              <w14:schemeClr w14:val="tx1"/>
            </w14:solidFill>
          </w14:textFill>
        </w:rPr>
        <w:t>[19,24,25]</w:t>
      </w:r>
      <w:r>
        <w:rPr>
          <w:rFonts w:ascii="Book Antiqua" w:hAnsi="Book Antiqua" w:eastAsia="宋体" w:cs="Book Antiqua"/>
          <w:color w:val="000000" w:themeColor="text1"/>
          <w14:textFill>
            <w14:solidFill>
              <w14:schemeClr w14:val="tx1"/>
            </w14:solidFill>
          </w14:textFill>
        </w:rPr>
        <w:t xml:space="preserve">. We found that the main approach to obtaining health information was </w:t>
      </w:r>
      <w:r>
        <w:rPr>
          <w:rFonts w:ascii="Book Antiqua" w:hAnsi="Book Antiqua" w:eastAsia="宋体" w:cs="Book Antiqua"/>
          <w:i/>
          <w:iCs/>
          <w:color w:val="000000" w:themeColor="text1"/>
          <w14:textFill>
            <w14:solidFill>
              <w14:schemeClr w14:val="tx1"/>
            </w14:solidFill>
          </w14:textFill>
        </w:rPr>
        <w:t>via</w:t>
      </w:r>
      <w:r>
        <w:rPr>
          <w:rFonts w:ascii="Book Antiqua" w:hAnsi="Book Antiqua" w:eastAsia="宋体" w:cs="Book Antiqua"/>
          <w:color w:val="000000" w:themeColor="text1"/>
          <w14:textFill>
            <w14:solidFill>
              <w14:schemeClr w14:val="tx1"/>
            </w14:solidFill>
          </w14:textFill>
        </w:rPr>
        <w:t xml:space="preserve"> a network platform. This is related to the fact that people are inclined to spend more time on and obtain various information from mobile devices rather than from magazines and newspapers</w:t>
      </w:r>
      <w:r>
        <w:rPr>
          <w:rFonts w:ascii="Book Antiqua" w:hAnsi="Book Antiqua" w:eastAsia="宋体" w:cs="Book Antiqua"/>
          <w:color w:val="000000" w:themeColor="text1"/>
          <w:vertAlign w:val="superscript"/>
          <w14:textFill>
            <w14:solidFill>
              <w14:schemeClr w14:val="tx1"/>
            </w14:solidFill>
          </w14:textFill>
        </w:rPr>
        <w:t>[26,27]</w:t>
      </w:r>
      <w:r>
        <w:rPr>
          <w:rFonts w:ascii="Book Antiqua" w:hAnsi="Book Antiqua" w:eastAsia="宋体" w:cs="Book Antiqua"/>
          <w:color w:val="000000" w:themeColor="text1"/>
          <w14:textFill>
            <w14:solidFill>
              <w14:schemeClr w14:val="tx1"/>
            </w14:solidFill>
          </w14:textFill>
        </w:rPr>
        <w:t xml:space="preserve">. With the development of 5G and various applications on mobile devices, there should be more ways to promote IPFH and health monitoring, except for the traditional approaches such as Health Days, Media Publicity, </w:t>
      </w:r>
      <w:r>
        <w:rPr>
          <w:rFonts w:ascii="Book Antiqua" w:hAnsi="Book Antiqua" w:eastAsia="宋体" w:cs="Book Antiqua"/>
          <w:i/>
          <w:iCs/>
          <w:color w:val="000000" w:themeColor="text1"/>
          <w14:textFill>
            <w14:solidFill>
              <w14:schemeClr w14:val="tx1"/>
            </w14:solidFill>
          </w14:textFill>
        </w:rPr>
        <w:t>etc.</w:t>
      </w:r>
      <w:r>
        <w:rPr>
          <w:rFonts w:ascii="Book Antiqua" w:hAnsi="Book Antiqua" w:eastAsia="宋体" w:cs="Book Antiqua"/>
          <w:color w:val="000000" w:themeColor="text1"/>
          <w14:textFill>
            <w14:solidFill>
              <w14:schemeClr w14:val="tx1"/>
            </w14:solidFill>
          </w14:textFill>
        </w:rPr>
        <w:t xml:space="preserve"> Mobile phone technology can be a possible solution to improve healthcare outcomes, and it has already been used in the management of some diseases and health monitoring</w:t>
      </w:r>
      <w:r>
        <w:rPr>
          <w:rFonts w:ascii="Book Antiqua" w:hAnsi="Book Antiqua" w:eastAsia="宋体" w:cs="Book Antiqua"/>
          <w:color w:val="000000" w:themeColor="text1"/>
          <w:vertAlign w:val="superscript"/>
          <w14:textFill>
            <w14:solidFill>
              <w14:schemeClr w14:val="tx1"/>
            </w14:solidFill>
          </w14:textFill>
        </w:rPr>
        <w:t>[28,29]</w:t>
      </w:r>
      <w:r>
        <w:rPr>
          <w:rFonts w:ascii="Book Antiqua" w:hAnsi="Book Antiqua" w:eastAsia="宋体" w:cs="Book Antiqua"/>
          <w:color w:val="000000" w:themeColor="text1"/>
          <w14:textFill>
            <w14:solidFill>
              <w14:schemeClr w14:val="tx1"/>
            </w14:solidFill>
          </w14:textFill>
        </w:rPr>
        <w:t>. This reminds us that it is better to promote the Healthy China 2030 plan and IPFH by using network platforms on mobile devices such as WeChat and MicroBlogs, which are some of the most common applications for all ages. A comprehensive, effective, and low-cost health management network-platform may be a good way. As an essential component of health projects, numerous types of high-tech wearable equipment can be applied, and individuals can acquire health information and indicators quickly so that they know their own body status in a timely manner and result in a healthy life condition</w:t>
      </w:r>
      <w:r>
        <w:rPr>
          <w:rFonts w:ascii="Book Antiqua" w:hAnsi="Book Antiqua" w:eastAsia="宋体" w:cs="Book Antiqua"/>
          <w:color w:val="000000" w:themeColor="text1"/>
          <w:vertAlign w:val="superscript"/>
          <w14:textFill>
            <w14:solidFill>
              <w14:schemeClr w14:val="tx1"/>
            </w14:solidFill>
          </w14:textFill>
        </w:rPr>
        <w:t>[30-33]</w:t>
      </w:r>
      <w:r>
        <w:rPr>
          <w:rFonts w:ascii="Book Antiqua" w:hAnsi="Book Antiqua" w:eastAsia="宋体" w:cs="Book Antiqua"/>
          <w:color w:val="000000" w:themeColor="text1"/>
          <w14:textFill>
            <w14:solidFill>
              <w14:schemeClr w14:val="tx1"/>
            </w14:solidFill>
          </w14:textFill>
        </w:rPr>
        <w:t>. This has the potential for the development and promotion of the Healthy China 2030 plan and IPFH to popularize and rapidly develop the health industry in the future.</w:t>
      </w:r>
    </w:p>
    <w:p>
      <w:pPr>
        <w:spacing w:line="360" w:lineRule="auto"/>
        <w:ind w:firstLine="480" w:firstLineChars="200"/>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 xml:space="preserve">This survey-based study had several limitations. Firstly, although the self-designed questionnaire that we used to collect data on the network platform was proven to be reliable based on statistical testing, there were still some disadvantages. For example, we cannot guarantee the authenticity of the data and the distribution of the participants. The participants’ distribution was biased. Most were from urban areas, had a college degree or above, and had medical-related work experience. The reason for this may be that we administered the questionnaire over the internet and its network link spread mainly </w:t>
      </w:r>
      <w:r>
        <w:rPr>
          <w:rFonts w:ascii="Book Antiqua" w:hAnsi="Book Antiqua" w:eastAsia="宋体" w:cs="Book Antiqua"/>
          <w:i/>
          <w:iCs/>
          <w:color w:val="000000" w:themeColor="text1"/>
          <w14:textFill>
            <w14:solidFill>
              <w14:schemeClr w14:val="tx1"/>
            </w14:solidFill>
          </w14:textFill>
        </w:rPr>
        <w:t>via</w:t>
      </w:r>
      <w:r>
        <w:rPr>
          <w:rFonts w:ascii="Book Antiqua" w:hAnsi="Book Antiqua" w:eastAsia="宋体" w:cs="Book Antiqua"/>
          <w:color w:val="000000" w:themeColor="text1"/>
          <w14:textFill>
            <w14:solidFill>
              <w14:schemeClr w14:val="tx1"/>
            </w14:solidFill>
          </w14:textFill>
        </w:rPr>
        <w:t xml:space="preserve"> WeChat and Moments, leading to a limitation of the survey population. This reminds us that we have ignored the population who are disconnected from the internet and missed some people who really need to raise IPFH awareness, such as those in rural areas. There should be further surveys with comprehensive methods to assess the situation of the entire population. In addition, we have ignored the possibility that many individuals have knowledge related to IPFH and put it into practice in their daily lives but have never heard of the concept. Further studies require us to expand the methods and content of the survey in the form of questionnaires. Despite these limitations, this survey provides key insights to promote IPFH and develop health programs in China, and the results may affect future interventions to promote the health status of the Chinese population, as a whole, as well as the development of the global health industry.</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CONCLUSION</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Chinese population has limited knowledge about IPFH, although most people in the population are concerned about health in their daily lives. People with strong IPFH awareness are older, earn more, and have medical-related work experience. To ensure the rapid popularization of IPFH and smooth development of the Healthy China 2030 plan, more focus should be given to young people, the low-income populations, rural populations, and people with a low level of education by the government, medical-related personnel, and health managers.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background</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 xml:space="preserve">To address health challenges effectively, the Chinese government issued the Healthy China 2030 as well as the concept of the initiative practice for health (IPFH) to improve health among the Chinese population. However, there is no related survey investigating the IPFH awareness, and the knowledge and understanding of IPFH are still unclear. </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motivation</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The awareness of IPFH is directly related to health status. At the same time, identifying the factors influencing IPFH awareness is of great importance to improving the health status of the Chinese population as a whole and the development of the global health industry in the future.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objectives</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To investigate awareness of IPFH in the Chinese population and explore the relevant influential factors and to identify the at-risk population and effective interventions to improve health.</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methods</w:t>
      </w:r>
    </w:p>
    <w:p>
      <w:pPr>
        <w:spacing w:line="360" w:lineRule="auto"/>
        <w:jc w:val="both"/>
        <w:rPr>
          <w:rFonts w:ascii="Book Antiqua" w:hAnsi="Book Antiqua"/>
        </w:rPr>
      </w:pPr>
      <w:r>
        <w:rPr>
          <w:rStyle w:val="12"/>
          <w:rFonts w:ascii="Book Antiqua" w:hAnsi="Book Antiqua" w:eastAsia="宋体" w:cs="Book Antiqua"/>
          <w:color w:val="000000"/>
        </w:rPr>
        <w:t xml:space="preserve">Based on the </w:t>
      </w:r>
      <w:r>
        <w:rPr>
          <w:rFonts w:ascii="Book Antiqua" w:hAnsi="Book Antiqua"/>
          <w:color w:val="000000"/>
        </w:rPr>
        <w:t>statistical testing</w:t>
      </w:r>
      <w:r>
        <w:rPr>
          <w:rStyle w:val="12"/>
          <w:rFonts w:ascii="Book Antiqua" w:hAnsi="Book Antiqua" w:eastAsia="宋体" w:cs="Book Antiqua"/>
          <w:color w:val="000000"/>
        </w:rPr>
        <w:t>, a network-platform electronic survey conducted by a self-designed questionnaire, which is a comprehensive and objective method involving different people, was used to investigate.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results</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Fewer than half of the participants had heard about the IPFH. There was a lack of knowledge about IPFH among the participants. Age, monthly income, and medical-related work experience were the factors influencing IPFH awareness.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conclusions</w:t>
      </w:r>
    </w:p>
    <w:p>
      <w:pPr>
        <w:spacing w:line="360" w:lineRule="auto"/>
        <w:jc w:val="both"/>
        <w:rPr>
          <w:rFonts w:ascii="Book Antiqua" w:hAnsi="Book Antiqua" w:eastAsia="宋体"/>
          <w:color w:val="000000" w:themeColor="text1"/>
          <w14:textFill>
            <w14:solidFill>
              <w14:schemeClr w14:val="tx1"/>
            </w14:solidFill>
          </w14:textFill>
        </w:rPr>
      </w:pPr>
      <w:r>
        <w:rPr>
          <w:rStyle w:val="12"/>
          <w:rFonts w:ascii="Book Antiqua" w:hAnsi="Book Antiqua" w:eastAsia="宋体" w:cs="Book Antiqua"/>
          <w:color w:val="000000" w:themeColor="text1"/>
          <w14:textFill>
            <w14:solidFill>
              <w14:schemeClr w14:val="tx1"/>
            </w14:solidFill>
          </w14:textFill>
        </w:rPr>
        <w:t xml:space="preserve">The Chinese population has limited knowledge of the IPFH. </w:t>
      </w:r>
      <w:r>
        <w:rPr>
          <w:rFonts w:ascii="Book Antiqua" w:hAnsi="Book Antiqua" w:eastAsia="宋体" w:cs="Book Antiqua"/>
          <w:color w:val="000000" w:themeColor="text1"/>
          <w14:textFill>
            <w14:solidFill>
              <w14:schemeClr w14:val="tx1"/>
            </w14:solidFill>
          </w14:textFill>
        </w:rPr>
        <w:t>People with strong IPFH awareness are older, earn more, and have medical-related work experience.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i/>
          <w:color w:val="000000" w:themeColor="text1"/>
          <w14:textFill>
            <w14:solidFill>
              <w14:schemeClr w14:val="tx1"/>
            </w14:solidFill>
          </w14:textFill>
        </w:rPr>
        <w:t>Research perspectives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Further surveys with comprehensive methods to assess the situation of the entire population are needed, and effective interventions should be conducted for people who have weak IPFH awareness.</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aps/>
          <w:color w:val="000000" w:themeColor="text1"/>
          <w:u w:val="single"/>
          <w14:textFill>
            <w14:solidFill>
              <w14:schemeClr w14:val="tx1"/>
            </w14:solidFill>
          </w14:textFill>
        </w:rPr>
        <w:t>ACKNOWLEDGEMENTS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Thanks to all who contributed to the investigation and Ms. Yang XR and Mr. Jiao GY for their careful revision and guidance for the manuscript.</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Ramirez-Rubio O</w:t>
      </w:r>
      <w:r>
        <w:rPr>
          <w:rFonts w:ascii="Book Antiqua" w:hAnsi="Book Antiqua"/>
          <w:color w:val="000000" w:themeColor="text1"/>
          <w14:textFill>
            <w14:solidFill>
              <w14:schemeClr w14:val="tx1"/>
            </w14:solidFill>
          </w14:textFill>
        </w:rPr>
        <w:t xml:space="preserve">, Daher C, Fanjul G, Gascon M, Mueller N, Pajín L, Plasencia A, Rojas-Rueda D, Thondoo M, Nieuwenhuijsen MJ. Urban health: an example of a "health in all policies" approach in the context of SDGs implementation. </w:t>
      </w:r>
      <w:r>
        <w:rPr>
          <w:rFonts w:ascii="Book Antiqua" w:hAnsi="Book Antiqua"/>
          <w:i/>
          <w:iCs/>
          <w:color w:val="000000" w:themeColor="text1"/>
          <w14:textFill>
            <w14:solidFill>
              <w14:schemeClr w14:val="tx1"/>
            </w14:solidFill>
          </w14:textFill>
        </w:rPr>
        <w:t>Global Health</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15</w:t>
      </w:r>
      <w:r>
        <w:rPr>
          <w:rFonts w:ascii="Book Antiqua" w:hAnsi="Book Antiqua"/>
          <w:color w:val="000000" w:themeColor="text1"/>
          <w14:textFill>
            <w14:solidFill>
              <w14:schemeClr w14:val="tx1"/>
            </w14:solidFill>
          </w14:textFill>
        </w:rPr>
        <w:t>: 87 [PMID: 31856877 DOI: 10.1186/s12992-019-0529-z]</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Morton S</w:t>
      </w:r>
      <w:r>
        <w:rPr>
          <w:rFonts w:ascii="Book Antiqua" w:hAnsi="Book Antiqua"/>
          <w:color w:val="000000" w:themeColor="text1"/>
          <w14:textFill>
            <w14:solidFill>
              <w14:schemeClr w14:val="tx1"/>
            </w14:solidFill>
          </w14:textFill>
        </w:rPr>
        <w:t xml:space="preserve">, Pencheon D, Squires N. Sustainable Development Goals (SDGs), and their implementation: A national global framework for health, development and equity needs a systems approach at every level. </w:t>
      </w:r>
      <w:r>
        <w:rPr>
          <w:rFonts w:ascii="Book Antiqua" w:hAnsi="Book Antiqua"/>
          <w:i/>
          <w:iCs/>
          <w:color w:val="000000" w:themeColor="text1"/>
          <w14:textFill>
            <w14:solidFill>
              <w14:schemeClr w14:val="tx1"/>
            </w14:solidFill>
          </w14:textFill>
        </w:rPr>
        <w:t>Br Med Bull</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124</w:t>
      </w:r>
      <w:r>
        <w:rPr>
          <w:rFonts w:ascii="Book Antiqua" w:hAnsi="Book Antiqua"/>
          <w:color w:val="000000" w:themeColor="text1"/>
          <w14:textFill>
            <w14:solidFill>
              <w14:schemeClr w14:val="tx1"/>
            </w14:solidFill>
          </w14:textFill>
        </w:rPr>
        <w:t>: 81-90 [PMID: 29069332 DOI: 10.1093/bmb/ldx031]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Chen H</w:t>
      </w:r>
      <w:r>
        <w:rPr>
          <w:rFonts w:ascii="Book Antiqua" w:hAnsi="Book Antiqua"/>
          <w:color w:val="000000" w:themeColor="text1"/>
          <w14:textFill>
            <w14:solidFill>
              <w14:schemeClr w14:val="tx1"/>
            </w14:solidFill>
          </w14:textFill>
        </w:rPr>
        <w:t xml:space="preserve">, Qian Y, Dong Y, Yang Z, Guo L, Liu J, Shen Q, Wang L. Patterns and changes in life expectancy in China, 1990-2016. </w:t>
      </w:r>
      <w:r>
        <w:rPr>
          <w:rFonts w:ascii="Book Antiqua" w:hAnsi="Book Antiqua"/>
          <w:i/>
          <w:iCs/>
          <w:color w:val="000000" w:themeColor="text1"/>
          <w14:textFill>
            <w14:solidFill>
              <w14:schemeClr w14:val="tx1"/>
            </w14:solidFill>
          </w14:textFill>
        </w:rPr>
        <w:t>PLoS One</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15</w:t>
      </w:r>
      <w:r>
        <w:rPr>
          <w:rFonts w:ascii="Book Antiqua" w:hAnsi="Book Antiqua"/>
          <w:color w:val="000000" w:themeColor="text1"/>
          <w14:textFill>
            <w14:solidFill>
              <w14:schemeClr w14:val="tx1"/>
            </w14:solidFill>
          </w14:textFill>
        </w:rPr>
        <w:t>: e0231007 [PMID: 32236129 DOI: 10.1371/journal.pone.0231007]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Chen S</w:t>
      </w:r>
      <w:r>
        <w:rPr>
          <w:rFonts w:ascii="Book Antiqua" w:hAnsi="Book Antiqua"/>
          <w:color w:val="000000" w:themeColor="text1"/>
          <w14:textFill>
            <w14:solidFill>
              <w14:schemeClr w14:val="tx1"/>
            </w14:solidFill>
          </w14:textFill>
        </w:rPr>
        <w:t xml:space="preserve">, Guo L, Wang Z, Mao W, Ge Y, Ying X, Fang J, Long Q, Liu Q, Xiang H, Wu C, Fu C, Dong D, Zhang J, Sun J, Tian L, Wang L, Zhou M, Zhang M, Qian M, Liu W, Jiang W, Feng W, Zeng X, Ding X, Lei X, Tolhurst R, Xu L, Wang H, Ziegeweid F, Glenn S, Ji JS, Story M, Yamey G, Tang S. Current situation and progress toward the 2030 health-related Sustainable Development Goals in China: A systematic analysis. </w:t>
      </w:r>
      <w:r>
        <w:rPr>
          <w:rFonts w:ascii="Book Antiqua" w:hAnsi="Book Antiqua"/>
          <w:i/>
          <w:iCs/>
          <w:color w:val="000000" w:themeColor="text1"/>
          <w14:textFill>
            <w14:solidFill>
              <w14:schemeClr w14:val="tx1"/>
            </w14:solidFill>
          </w14:textFill>
        </w:rPr>
        <w:t>PLoS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e1002975 [PMID: 31743352 DOI: 10.1371/journal.pmed.1002975]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bCs/>
          <w:color w:val="000000" w:themeColor="text1"/>
          <w14:textFill>
            <w14:solidFill>
              <w14:schemeClr w14:val="tx1"/>
            </w14:solidFill>
          </w14:textFill>
        </w:rPr>
        <w:t>He X</w:t>
      </w:r>
      <w:r>
        <w:rPr>
          <w:rFonts w:ascii="Book Antiqua" w:hAnsi="Book Antiqua"/>
          <w:color w:val="000000" w:themeColor="text1"/>
          <w14:textFill>
            <w14:solidFill>
              <w14:schemeClr w14:val="tx1"/>
            </w14:solidFill>
          </w14:textFill>
        </w:rPr>
        <w:t xml:space="preserve">, Song M, Qu J, Guo Y, Cao H, Sun R, Liu GH, Shen Y; Major Program Expert Group. Basic and translational aging research in China: present and future. </w:t>
      </w:r>
      <w:r>
        <w:rPr>
          <w:rFonts w:ascii="Book Antiqua" w:hAnsi="Book Antiqua"/>
          <w:i/>
          <w:iCs/>
          <w:color w:val="000000" w:themeColor="text1"/>
          <w14:textFill>
            <w14:solidFill>
              <w14:schemeClr w14:val="tx1"/>
            </w14:solidFill>
          </w14:textFill>
        </w:rPr>
        <w:t>Protein Cell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476-484 [PMID: 30937856 DOI: 10.1007/s13238-019-0617-0]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Fang EF</w:t>
      </w:r>
      <w:r>
        <w:rPr>
          <w:rFonts w:ascii="Book Antiqua" w:hAnsi="Book Antiqua"/>
          <w:color w:val="000000" w:themeColor="text1"/>
          <w14:textFill>
            <w14:solidFill>
              <w14:schemeClr w14:val="tx1"/>
            </w14:solidFill>
          </w14:textFill>
        </w:rPr>
        <w:t xml:space="preserve">, Scheibye-Knudsen M, Jahn HJ, Li J, Ling L, Guo H, Zhu X, Preedy V, Lu H, Bohr VA, Chan WY, Liu Y, Ng TB. A research agenda for aging in China in the 21st century. </w:t>
      </w:r>
      <w:r>
        <w:rPr>
          <w:rFonts w:ascii="Book Antiqua" w:hAnsi="Book Antiqua"/>
          <w:i/>
          <w:iCs/>
          <w:color w:val="000000" w:themeColor="text1"/>
          <w14:textFill>
            <w14:solidFill>
              <w14:schemeClr w14:val="tx1"/>
            </w14:solidFill>
          </w14:textFill>
        </w:rPr>
        <w:t>Ageing Res Rev</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24</w:t>
      </w:r>
      <w:r>
        <w:rPr>
          <w:rFonts w:ascii="Book Antiqua" w:hAnsi="Book Antiqua"/>
          <w:color w:val="000000" w:themeColor="text1"/>
          <w14:textFill>
            <w14:solidFill>
              <w14:schemeClr w14:val="tx1"/>
            </w14:solidFill>
          </w14:textFill>
        </w:rPr>
        <w:t>: 197-205 [PMID: 26304837 DOI: 10.1016/j.arr.2015.08.003]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Gase LN</w:t>
      </w:r>
      <w:r>
        <w:rPr>
          <w:rFonts w:ascii="Book Antiqua" w:hAnsi="Book Antiqua"/>
          <w:color w:val="000000" w:themeColor="text1"/>
          <w14:textFill>
            <w14:solidFill>
              <w14:schemeClr w14:val="tx1"/>
            </w14:solidFill>
          </w14:textFill>
        </w:rPr>
        <w:t xml:space="preserve">, Schooley T, Lee M, Rotakhina S, Vick J, Caplan J. A Practice-Grounded Approach for Evaluating Health in All Policies Initiatives in the United States. </w:t>
      </w:r>
      <w:r>
        <w:rPr>
          <w:rFonts w:ascii="Book Antiqua" w:hAnsi="Book Antiqua"/>
          <w:i/>
          <w:iCs/>
          <w:color w:val="000000" w:themeColor="text1"/>
          <w14:textFill>
            <w14:solidFill>
              <w14:schemeClr w14:val="tx1"/>
            </w14:solidFill>
          </w14:textFill>
        </w:rPr>
        <w:t>J Public Health Manag Pract</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23</w:t>
      </w:r>
      <w:r>
        <w:rPr>
          <w:rFonts w:ascii="Book Antiqua" w:hAnsi="Book Antiqua"/>
          <w:color w:val="000000" w:themeColor="text1"/>
          <w14:textFill>
            <w14:solidFill>
              <w14:schemeClr w14:val="tx1"/>
            </w14:solidFill>
          </w14:textFill>
        </w:rPr>
        <w:t>: 339-347 [PMID: 27598713 DOI: 10.1097/PHH.0000000000000427]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Bolton KA</w:t>
      </w:r>
      <w:r>
        <w:rPr>
          <w:rFonts w:ascii="Book Antiqua" w:hAnsi="Book Antiqua"/>
          <w:color w:val="000000" w:themeColor="text1"/>
          <w14:textFill>
            <w14:solidFill>
              <w14:schemeClr w14:val="tx1"/>
            </w14:solidFill>
          </w14:textFill>
        </w:rPr>
        <w:t xml:space="preserve">, Kremer P, Gibbs L, Waters E, Swinburn B, de Silva A. The outcomes of health-promoting communities: being active eating well initiative-a community-based obesity prevention intervention in Victoria, Australia. </w:t>
      </w:r>
      <w:r>
        <w:rPr>
          <w:rFonts w:ascii="Book Antiqua" w:hAnsi="Book Antiqua"/>
          <w:i/>
          <w:iCs/>
          <w:color w:val="000000" w:themeColor="text1"/>
          <w14:textFill>
            <w14:solidFill>
              <w14:schemeClr w14:val="tx1"/>
            </w14:solidFill>
          </w14:textFill>
        </w:rPr>
        <w:t>Int J Obes (Lond)</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41</w:t>
      </w:r>
      <w:r>
        <w:rPr>
          <w:rFonts w:ascii="Book Antiqua" w:hAnsi="Book Antiqua"/>
          <w:color w:val="000000" w:themeColor="text1"/>
          <w14:textFill>
            <w14:solidFill>
              <w14:schemeClr w14:val="tx1"/>
            </w14:solidFill>
          </w14:textFill>
        </w:rPr>
        <w:t>: 1080-1090 [PMID: 28321132 DOI: 10.1038/ijo.2017.73]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Tan X</w:t>
      </w:r>
      <w:r>
        <w:rPr>
          <w:rFonts w:ascii="Book Antiqua" w:hAnsi="Book Antiqua"/>
          <w:color w:val="000000" w:themeColor="text1"/>
          <w14:textFill>
            <w14:solidFill>
              <w14:schemeClr w14:val="tx1"/>
            </w14:solidFill>
          </w14:textFill>
        </w:rPr>
        <w:t xml:space="preserve">, Wu Q, Shao H. Global commitments and China's endeavors to promote health and achieve sustainable development goals. </w:t>
      </w:r>
      <w:r>
        <w:rPr>
          <w:rFonts w:ascii="Book Antiqua" w:hAnsi="Book Antiqua"/>
          <w:i/>
          <w:iCs/>
          <w:color w:val="000000" w:themeColor="text1"/>
          <w14:textFill>
            <w14:solidFill>
              <w14:schemeClr w14:val="tx1"/>
            </w14:solidFill>
          </w14:textFill>
        </w:rPr>
        <w:t>J Health Popul Nutr</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37</w:t>
      </w:r>
      <w:r>
        <w:rPr>
          <w:rFonts w:ascii="Book Antiqua" w:hAnsi="Book Antiqua"/>
          <w:color w:val="000000" w:themeColor="text1"/>
          <w14:textFill>
            <w14:solidFill>
              <w14:schemeClr w14:val="tx1"/>
            </w14:solidFill>
          </w14:textFill>
        </w:rPr>
        <w:t>: 8 [PMID: 29650054 DOI: 10.1186/s41043-018-0139-z]</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Tan X</w:t>
      </w:r>
      <w:r>
        <w:rPr>
          <w:rFonts w:ascii="Book Antiqua" w:hAnsi="Book Antiqua"/>
          <w:color w:val="000000" w:themeColor="text1"/>
          <w14:textFill>
            <w14:solidFill>
              <w14:schemeClr w14:val="tx1"/>
            </w14:solidFill>
          </w14:textFill>
        </w:rPr>
        <w:t xml:space="preserve">, Kong S, Shao H. New strategies to improve the health of Chinese people by 2030. </w:t>
      </w:r>
      <w:r>
        <w:rPr>
          <w:rFonts w:ascii="Book Antiqua" w:hAnsi="Book Antiqua"/>
          <w:i/>
          <w:iCs/>
          <w:color w:val="000000" w:themeColor="text1"/>
          <w14:textFill>
            <w14:solidFill>
              <w14:schemeClr w14:val="tx1"/>
            </w14:solidFill>
          </w14:textFill>
        </w:rPr>
        <w:t>Aust J Prim Health</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23</w:t>
      </w:r>
      <w:r>
        <w:rPr>
          <w:rFonts w:ascii="Book Antiqua" w:hAnsi="Book Antiqua"/>
          <w:color w:val="000000" w:themeColor="text1"/>
          <w14:textFill>
            <w14:solidFill>
              <w14:schemeClr w14:val="tx1"/>
            </w14:solidFill>
          </w14:textFill>
        </w:rPr>
        <w:t>: 307-308 [PMID: 28803612 DOI: 10.1071/PY16146]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Tan X</w:t>
      </w:r>
      <w:r>
        <w:rPr>
          <w:rFonts w:ascii="Book Antiqua" w:hAnsi="Book Antiqua"/>
          <w:color w:val="000000" w:themeColor="text1"/>
          <w14:textFill>
            <w14:solidFill>
              <w14:schemeClr w14:val="tx1"/>
            </w14:solidFill>
          </w14:textFill>
        </w:rPr>
        <w:t xml:space="preserve">, Zhang Y, Shao H. Healthy China 2030, a breakthrough for improving health. </w:t>
      </w:r>
      <w:r>
        <w:rPr>
          <w:rFonts w:ascii="Book Antiqua" w:hAnsi="Book Antiqua"/>
          <w:i/>
          <w:iCs/>
          <w:color w:val="000000" w:themeColor="text1"/>
          <w14:textFill>
            <w14:solidFill>
              <w14:schemeClr w14:val="tx1"/>
            </w14:solidFill>
          </w14:textFill>
        </w:rPr>
        <w:t>Glob Health Promot</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26</w:t>
      </w:r>
      <w:r>
        <w:rPr>
          <w:rFonts w:ascii="Book Antiqua" w:hAnsi="Book Antiqua"/>
          <w:color w:val="000000" w:themeColor="text1"/>
          <w14:textFill>
            <w14:solidFill>
              <w14:schemeClr w14:val="tx1"/>
            </w14:solidFill>
          </w14:textFill>
        </w:rPr>
        <w:t>: 96-99 [PMID: 29297762 DOI: 10.1177/1757975917743533]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Fu W</w:t>
      </w:r>
      <w:r>
        <w:rPr>
          <w:rFonts w:ascii="Book Antiqua" w:hAnsi="Book Antiqua"/>
          <w:color w:val="000000" w:themeColor="text1"/>
          <w14:textFill>
            <w14:solidFill>
              <w14:schemeClr w14:val="tx1"/>
            </w14:solidFill>
          </w14:textFill>
        </w:rPr>
        <w:t xml:space="preserve">, Zhao S, Zhang Y, Chai P, Goss J. Research in health policy making in China: out-of-pocket payments in Healthy China 2030. </w:t>
      </w:r>
      <w:r>
        <w:rPr>
          <w:rFonts w:ascii="Book Antiqua" w:hAnsi="Book Antiqua"/>
          <w:i/>
          <w:iCs/>
          <w:color w:val="000000" w:themeColor="text1"/>
          <w14:textFill>
            <w14:solidFill>
              <w14:schemeClr w14:val="tx1"/>
            </w14:solidFill>
          </w14:textFill>
        </w:rPr>
        <w:t>BMJ</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360</w:t>
      </w:r>
      <w:r>
        <w:rPr>
          <w:rFonts w:ascii="Book Antiqua" w:hAnsi="Book Antiqua"/>
          <w:color w:val="000000" w:themeColor="text1"/>
          <w14:textFill>
            <w14:solidFill>
              <w14:schemeClr w14:val="tx1"/>
            </w14:solidFill>
          </w14:textFill>
        </w:rPr>
        <w:t>: k234 [PMID: 29437565 DOI: 10.1136/bmj.k234]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Rattan SI</w:t>
      </w:r>
      <w:r>
        <w:rPr>
          <w:rFonts w:ascii="Book Antiqua" w:hAnsi="Book Antiqua"/>
          <w:color w:val="000000" w:themeColor="text1"/>
          <w14:textFill>
            <w14:solidFill>
              <w14:schemeClr w14:val="tx1"/>
            </w14:solidFill>
          </w14:textFill>
        </w:rPr>
        <w:t xml:space="preserve">. Healthy ageing, but what is health? </w:t>
      </w:r>
      <w:r>
        <w:rPr>
          <w:rFonts w:ascii="Book Antiqua" w:hAnsi="Book Antiqua"/>
          <w:i/>
          <w:iCs/>
          <w:color w:val="000000" w:themeColor="text1"/>
          <w14:textFill>
            <w14:solidFill>
              <w14:schemeClr w14:val="tx1"/>
            </w14:solidFill>
          </w14:textFill>
        </w:rPr>
        <w:t>Biogerontology</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14</w:t>
      </w:r>
      <w:r>
        <w:rPr>
          <w:rFonts w:ascii="Book Antiqua" w:hAnsi="Book Antiqua"/>
          <w:color w:val="000000" w:themeColor="text1"/>
          <w14:textFill>
            <w14:solidFill>
              <w14:schemeClr w14:val="tx1"/>
            </w14:solidFill>
          </w14:textFill>
        </w:rPr>
        <w:t>: 673-677 [PMID: 23852043 DOI: 10.1007/s10522-013-9442-7]</w:t>
      </w:r>
    </w:p>
    <w:p>
      <w:pPr>
        <w:spacing w:line="360" w:lineRule="auto"/>
        <w:jc w:val="both"/>
        <w:rPr>
          <w:rFonts w:ascii="Book Antiqua" w:hAnsi="Book Antiqua"/>
          <w:color w:val="000000" w:themeColor="text1"/>
          <w14:textFill>
            <w14:solidFill>
              <w14:schemeClr w14:val="tx1"/>
            </w14:solidFill>
          </w14:textFill>
        </w:rPr>
      </w:pPr>
      <w:bookmarkStart w:id="1" w:name="_Hlk98751757"/>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Braveman P</w:t>
      </w:r>
      <w:r>
        <w:rPr>
          <w:rFonts w:ascii="Book Antiqua" w:hAnsi="Book Antiqua"/>
          <w:color w:val="000000" w:themeColor="text1"/>
          <w14:textFill>
            <w14:solidFill>
              <w14:schemeClr w14:val="tx1"/>
            </w14:solidFill>
          </w14:textFill>
        </w:rPr>
        <w:t xml:space="preserve">, Gottlieb L. The social determinants of health: it's time to consider the causes of the causes. </w:t>
      </w:r>
      <w:r>
        <w:rPr>
          <w:rFonts w:ascii="Book Antiqua" w:hAnsi="Book Antiqua"/>
          <w:i/>
          <w:iCs/>
          <w:color w:val="000000" w:themeColor="text1"/>
          <w14:textFill>
            <w14:solidFill>
              <w14:schemeClr w14:val="tx1"/>
            </w14:solidFill>
          </w14:textFill>
        </w:rPr>
        <w:t>Public Health Rep</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129 Suppl 2</w:t>
      </w:r>
      <w:r>
        <w:rPr>
          <w:rFonts w:ascii="Book Antiqua" w:hAnsi="Book Antiqua"/>
          <w:color w:val="000000" w:themeColor="text1"/>
          <w14:textFill>
            <w14:solidFill>
              <w14:schemeClr w14:val="tx1"/>
            </w14:solidFill>
          </w14:textFill>
        </w:rPr>
        <w:t>: 19-31 [PMID: 24385661 DOI: 10.1177/00333549141291S206]</w:t>
      </w:r>
    </w:p>
    <w:bookmarkEnd w:id="1"/>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Yuan F</w:t>
      </w:r>
      <w:r>
        <w:rPr>
          <w:rFonts w:ascii="Book Antiqua" w:hAnsi="Book Antiqua"/>
          <w:color w:val="000000" w:themeColor="text1"/>
          <w14:textFill>
            <w14:solidFill>
              <w14:schemeClr w14:val="tx1"/>
            </w14:solidFill>
          </w14:textFill>
        </w:rPr>
        <w:t xml:space="preserve">, Qian D, Huang C, Tian M, Xiang Y, He Z, Feng Z. Analysis of awareness of health knowledge among rural residents in Western China. </w:t>
      </w:r>
      <w:r>
        <w:rPr>
          <w:rFonts w:ascii="Book Antiqua" w:hAnsi="Book Antiqua"/>
          <w:i/>
          <w:iCs/>
          <w:color w:val="000000" w:themeColor="text1"/>
          <w14:textFill>
            <w14:solidFill>
              <w14:schemeClr w14:val="tx1"/>
            </w14:solidFill>
          </w14:textFill>
        </w:rPr>
        <w:t>BMC Public Health</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15</w:t>
      </w:r>
      <w:r>
        <w:rPr>
          <w:rFonts w:ascii="Book Antiqua" w:hAnsi="Book Antiqua"/>
          <w:color w:val="000000" w:themeColor="text1"/>
          <w14:textFill>
            <w14:solidFill>
              <w14:schemeClr w14:val="tx1"/>
            </w14:solidFill>
          </w14:textFill>
        </w:rPr>
        <w:t>: 55 [PMID: 25637079 DOI: 10.1186/s12889-015-1393-2]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14:textFill>
            <w14:solidFill>
              <w14:schemeClr w14:val="tx1"/>
            </w14:solidFill>
          </w14:textFill>
        </w:rPr>
        <w:t>Fang EF</w:t>
      </w:r>
      <w:r>
        <w:rPr>
          <w:rFonts w:ascii="Book Antiqua" w:hAnsi="Book Antiqua"/>
          <w:color w:val="000000" w:themeColor="text1"/>
          <w14:textFill>
            <w14:solidFill>
              <w14:schemeClr w14:val="tx1"/>
            </w14:solidFill>
          </w14:textFill>
        </w:rPr>
        <w:t xml:space="preserve">, Xie C, Schenkel JA, Wu C, Long Q, Cui H, Aman Y, Frank J, Liao J, Zou H, Wang NY, Wu J, Liu X, Li T, Fang Y, Niu Z, Yang G, Hong J, Wang Q, Chen G, Li J, Chen HZ, Kang L, Su H, Gilmour BC, Zhu X, Jiang H, He N, Tao J, Leng SX, Tong T, Woo J. A research agenda for ageing in China in the 21st century (2nd edition): Focusing on basic and translational research, long-term care, policy and social networks. </w:t>
      </w:r>
      <w:r>
        <w:rPr>
          <w:rFonts w:ascii="Book Antiqua" w:hAnsi="Book Antiqua"/>
          <w:i/>
          <w:iCs/>
          <w:color w:val="000000" w:themeColor="text1"/>
          <w14:textFill>
            <w14:solidFill>
              <w14:schemeClr w14:val="tx1"/>
            </w14:solidFill>
          </w14:textFill>
        </w:rPr>
        <w:t>Ageing Res Rev</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64</w:t>
      </w:r>
      <w:r>
        <w:rPr>
          <w:rFonts w:ascii="Book Antiqua" w:hAnsi="Book Antiqua"/>
          <w:color w:val="000000" w:themeColor="text1"/>
          <w14:textFill>
            <w14:solidFill>
              <w14:schemeClr w14:val="tx1"/>
            </w14:solidFill>
          </w14:textFill>
        </w:rPr>
        <w:t>: 101174 [PMID: 32971255 DOI: 10.1016/j.arr.2020.101174]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bCs/>
          <w:color w:val="000000" w:themeColor="text1"/>
          <w14:textFill>
            <w14:solidFill>
              <w14:schemeClr w14:val="tx1"/>
            </w14:solidFill>
          </w14:textFill>
        </w:rPr>
        <w:t>Yang Y</w:t>
      </w:r>
      <w:r>
        <w:rPr>
          <w:rFonts w:ascii="Book Antiqua" w:hAnsi="Book Antiqua"/>
          <w:color w:val="000000" w:themeColor="text1"/>
          <w14:textFill>
            <w14:solidFill>
              <w14:schemeClr w14:val="tx1"/>
            </w14:solidFill>
          </w14:textFill>
        </w:rPr>
        <w:t xml:space="preserve">, Meng Y. Is China Moving toward Healthy Aging? A Tracking Study Based on 5 Phases of CLHLS Data. </w:t>
      </w:r>
      <w:r>
        <w:rPr>
          <w:rFonts w:ascii="Book Antiqua" w:hAnsi="Book Antiqua"/>
          <w:i/>
          <w:iCs/>
          <w:color w:val="000000" w:themeColor="text1"/>
          <w14:textFill>
            <w14:solidFill>
              <w14:schemeClr w14:val="tx1"/>
            </w14:solidFill>
          </w14:textFill>
        </w:rPr>
        <w:t>Int J Environ Res Public Health</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17</w:t>
      </w:r>
      <w:r>
        <w:rPr>
          <w:rFonts w:ascii="Book Antiqua" w:hAnsi="Book Antiqua"/>
          <w:color w:val="000000" w:themeColor="text1"/>
          <w14:textFill>
            <w14:solidFill>
              <w14:schemeClr w14:val="tx1"/>
            </w14:solidFill>
          </w14:textFill>
        </w:rPr>
        <w:t xml:space="preserve"> [PMID: 32560573 DOI: 10.3390/ijerph17124343]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Steenkamer BM</w:t>
      </w:r>
      <w:r>
        <w:rPr>
          <w:rFonts w:ascii="Book Antiqua" w:hAnsi="Book Antiqua"/>
          <w:color w:val="000000" w:themeColor="text1"/>
          <w14:textFill>
            <w14:solidFill>
              <w14:schemeClr w14:val="tx1"/>
            </w14:solidFill>
          </w14:textFill>
        </w:rPr>
        <w:t xml:space="preserve">, Drewes HW, Heijink R, Baan CA, Struijs JN. Defining Population Health Management: A Scoping Review of the Literature. </w:t>
      </w:r>
      <w:r>
        <w:rPr>
          <w:rFonts w:ascii="Book Antiqua" w:hAnsi="Book Antiqua"/>
          <w:i/>
          <w:iCs/>
          <w:color w:val="000000" w:themeColor="text1"/>
          <w14:textFill>
            <w14:solidFill>
              <w14:schemeClr w14:val="tx1"/>
            </w14:solidFill>
          </w14:textFill>
        </w:rPr>
        <w:t>Popul Health Manag</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20</w:t>
      </w:r>
      <w:r>
        <w:rPr>
          <w:rFonts w:ascii="Book Antiqua" w:hAnsi="Book Antiqua"/>
          <w:color w:val="000000" w:themeColor="text1"/>
          <w14:textFill>
            <w14:solidFill>
              <w14:schemeClr w14:val="tx1"/>
            </w14:solidFill>
          </w14:textFill>
        </w:rPr>
        <w:t>: 74-85 [PMID: 27124406 DOI: 10.1089/pop.2015.0149]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Owen N</w:t>
      </w:r>
      <w:r>
        <w:rPr>
          <w:rFonts w:ascii="Book Antiqua" w:hAnsi="Book Antiqua"/>
          <w:color w:val="000000" w:themeColor="text1"/>
          <w14:textFill>
            <w14:solidFill>
              <w14:schemeClr w14:val="tx1"/>
            </w14:solidFill>
          </w14:textFill>
        </w:rPr>
        <w:t xml:space="preserve">, Healy GN, Dempsey PC, Salmon J, Timperio A, Clark BK, Goode AD, Koorts H, Ridgers ND, Hadgraft NT, Lambert G, Eakin EG, Kingwell BA, Dunstan DW. Sedentary Behavior and Public Health: Integrating the Evidence and Identifying Potential Solutions. </w:t>
      </w:r>
      <w:r>
        <w:rPr>
          <w:rFonts w:ascii="Book Antiqua" w:hAnsi="Book Antiqua"/>
          <w:i/>
          <w:iCs/>
          <w:color w:val="000000" w:themeColor="text1"/>
          <w14:textFill>
            <w14:solidFill>
              <w14:schemeClr w14:val="tx1"/>
            </w14:solidFill>
          </w14:textFill>
        </w:rPr>
        <w:t>Annu Rev Public Health</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41</w:t>
      </w:r>
      <w:r>
        <w:rPr>
          <w:rFonts w:ascii="Book Antiqua" w:hAnsi="Book Antiqua"/>
          <w:color w:val="000000" w:themeColor="text1"/>
          <w14:textFill>
            <w14:solidFill>
              <w14:schemeClr w14:val="tx1"/>
            </w14:solidFill>
          </w14:textFill>
        </w:rPr>
        <w:t>: 265-287 [PMID: 31913771 DOI: 10.1146/annurev-publhealth-040119-094201]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Lam CL</w:t>
      </w:r>
      <w:r>
        <w:rPr>
          <w:rFonts w:ascii="Book Antiqua" w:hAnsi="Book Antiqua"/>
          <w:color w:val="000000" w:themeColor="text1"/>
          <w14:textFill>
            <w14:solidFill>
              <w14:schemeClr w14:val="tx1"/>
            </w14:solidFill>
          </w14:textFill>
        </w:rPr>
        <w:t xml:space="preserve">. The role of the family doctor in the era of multi-disciplinary primary care. </w:t>
      </w:r>
      <w:r>
        <w:rPr>
          <w:rFonts w:ascii="Book Antiqua" w:hAnsi="Book Antiqua"/>
          <w:i/>
          <w:iCs/>
          <w:color w:val="000000" w:themeColor="text1"/>
          <w14:textFill>
            <w14:solidFill>
              <w14:schemeClr w14:val="tx1"/>
            </w14:solidFill>
          </w14:textFill>
        </w:rPr>
        <w:t>Fam Pract</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33</w:t>
      </w:r>
      <w:r>
        <w:rPr>
          <w:rFonts w:ascii="Book Antiqua" w:hAnsi="Book Antiqua"/>
          <w:color w:val="000000" w:themeColor="text1"/>
          <w14:textFill>
            <w14:solidFill>
              <w14:schemeClr w14:val="tx1"/>
            </w14:solidFill>
          </w14:textFill>
        </w:rPr>
        <w:t>: 447-448 [PMID: 27435181 DOI: 10.1093/fampra/cmw059]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Huang J</w:t>
      </w:r>
      <w:r>
        <w:rPr>
          <w:rFonts w:ascii="Book Antiqua" w:hAnsi="Book Antiqua"/>
          <w:color w:val="000000" w:themeColor="text1"/>
          <w14:textFill>
            <w14:solidFill>
              <w14:schemeClr w14:val="tx1"/>
            </w14:solidFill>
          </w14:textFill>
        </w:rPr>
        <w:t xml:space="preserve">, Zhang T, Wang L, Guo D, Liu S, Lu W, Liang H, Zhang Y, Liu C. The effect of family doctor-contracted services on noncommunicable disease self-management in Shanghai, China. </w:t>
      </w:r>
      <w:r>
        <w:rPr>
          <w:rFonts w:ascii="Book Antiqua" w:hAnsi="Book Antiqua"/>
          <w:i/>
          <w:iCs/>
          <w:color w:val="000000" w:themeColor="text1"/>
          <w14:textFill>
            <w14:solidFill>
              <w14:schemeClr w14:val="tx1"/>
            </w14:solidFill>
          </w14:textFill>
        </w:rPr>
        <w:t>Int J Health Plann Manage</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34</w:t>
      </w:r>
      <w:r>
        <w:rPr>
          <w:rFonts w:ascii="Book Antiqua" w:hAnsi="Book Antiqua"/>
          <w:color w:val="000000" w:themeColor="text1"/>
          <w14:textFill>
            <w14:solidFill>
              <w14:schemeClr w14:val="tx1"/>
            </w14:solidFill>
          </w14:textFill>
        </w:rPr>
        <w:t>: 935-946 [PMID: 31373079 DOI: 10.1002/hpm.2865]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Shang X</w:t>
      </w:r>
      <w:r>
        <w:rPr>
          <w:rFonts w:ascii="Book Antiqua" w:hAnsi="Book Antiqua"/>
          <w:color w:val="000000" w:themeColor="text1"/>
          <w14:textFill>
            <w14:solidFill>
              <w14:schemeClr w14:val="tx1"/>
            </w14:solidFill>
          </w14:textFill>
        </w:rPr>
        <w:t xml:space="preserve">, Huang Y, Li B, Yang Q, Zhao Y, Wang W, Liu Y, Lin J, Hu C, Qiu Y. Residents' Awareness of Family Doctor Contract Services, Status of Contract with a Family Doctor, and Contract Service Needs in Zhejiang Province, China: A Cross-Sectional Study. </w:t>
      </w:r>
      <w:r>
        <w:rPr>
          <w:rFonts w:ascii="Book Antiqua" w:hAnsi="Book Antiqua"/>
          <w:i/>
          <w:iCs/>
          <w:color w:val="000000" w:themeColor="text1"/>
          <w14:textFill>
            <w14:solidFill>
              <w14:schemeClr w14:val="tx1"/>
            </w14:solidFill>
          </w14:textFill>
        </w:rPr>
        <w:t>Int J Environ Res Public Health</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xml:space="preserve"> [PMID: 31505783 DOI: 10.3390/ijerph16183312]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bCs/>
          <w:color w:val="000000" w:themeColor="text1"/>
          <w14:textFill>
            <w14:solidFill>
              <w14:schemeClr w14:val="tx1"/>
            </w14:solidFill>
          </w14:textFill>
        </w:rPr>
        <w:t>Huang J</w:t>
      </w:r>
      <w:r>
        <w:rPr>
          <w:rFonts w:ascii="Book Antiqua" w:hAnsi="Book Antiqua"/>
          <w:color w:val="000000" w:themeColor="text1"/>
          <w14:textFill>
            <w14:solidFill>
              <w14:schemeClr w14:val="tx1"/>
            </w14:solidFill>
          </w14:textFill>
        </w:rPr>
        <w:t xml:space="preserve">, Liu S, He R, Fang S, Lu W, Wu J, Liang H, Zhang Y. Factors associated with residents' contract behavior with family doctors in community health service centers: A longitudinal survey from China. </w:t>
      </w:r>
      <w:r>
        <w:rPr>
          <w:rFonts w:ascii="Book Antiqua" w:hAnsi="Book Antiqua"/>
          <w:i/>
          <w:iCs/>
          <w:color w:val="000000" w:themeColor="text1"/>
          <w14:textFill>
            <w14:solidFill>
              <w14:schemeClr w14:val="tx1"/>
            </w14:solidFill>
          </w14:textFill>
        </w:rPr>
        <w:t>PLoS One</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e0208200 [PMID: 30496254 DOI: 10.1371/journal.pone.0208200]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24 </w:t>
      </w:r>
      <w:r>
        <w:rPr>
          <w:rFonts w:ascii="Book Antiqua" w:hAnsi="Book Antiqua"/>
          <w:b/>
          <w:bCs/>
          <w:color w:val="000000" w:themeColor="text1"/>
          <w14:textFill>
            <w14:solidFill>
              <w14:schemeClr w14:val="tx1"/>
            </w14:solidFill>
          </w14:textFill>
        </w:rPr>
        <w:t>Liu YB</w:t>
      </w:r>
      <w:r>
        <w:rPr>
          <w:rFonts w:ascii="Book Antiqua" w:hAnsi="Book Antiqua"/>
          <w:color w:val="000000" w:themeColor="text1"/>
          <w14:textFill>
            <w14:solidFill>
              <w14:schemeClr w14:val="tx1"/>
            </w14:solidFill>
          </w14:textFill>
        </w:rPr>
        <w:t xml:space="preserve">, Liu L, Li YF, Chen YL. Relationship between Health Literacy, Health-Related Behaviors and Health Status: A Survey of Elderly Chinese. </w:t>
      </w:r>
      <w:r>
        <w:rPr>
          <w:rFonts w:ascii="Book Antiqua" w:hAnsi="Book Antiqua"/>
          <w:i/>
          <w:iCs/>
          <w:color w:val="000000" w:themeColor="text1"/>
          <w14:textFill>
            <w14:solidFill>
              <w14:schemeClr w14:val="tx1"/>
            </w14:solidFill>
          </w14:textFill>
        </w:rPr>
        <w:t>Int J Environ Res Public Health</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9714-9725 [PMID: 26295246 DOI: 10.3390/ijerph120809714]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Mulder JWCM</w:t>
      </w:r>
      <w:r>
        <w:rPr>
          <w:rFonts w:ascii="Book Antiqua" w:hAnsi="Book Antiqua"/>
          <w:color w:val="000000" w:themeColor="text1"/>
          <w14:textFill>
            <w14:solidFill>
              <w14:schemeClr w14:val="tx1"/>
            </w14:solidFill>
          </w14:textFill>
        </w:rPr>
        <w:t xml:space="preserve">, Galema-Boers AMH, de Jong-Verweij LM, Hazelzet JA, Roeters van Lennep JE. The development and first results of a health-related outcomes set in familial hypercholesterolemia (FH) patients: Knowledge is health. </w:t>
      </w:r>
      <w:r>
        <w:rPr>
          <w:rFonts w:ascii="Book Antiqua" w:hAnsi="Book Antiqua"/>
          <w:i/>
          <w:iCs/>
          <w:color w:val="000000" w:themeColor="text1"/>
          <w14:textFill>
            <w14:solidFill>
              <w14:schemeClr w14:val="tx1"/>
            </w14:solidFill>
          </w14:textFill>
        </w:rPr>
        <w:t>Atherosclerosis</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293</w:t>
      </w:r>
      <w:r>
        <w:rPr>
          <w:rFonts w:ascii="Book Antiqua" w:hAnsi="Book Antiqua"/>
          <w:color w:val="000000" w:themeColor="text1"/>
          <w14:textFill>
            <w14:solidFill>
              <w14:schemeClr w14:val="tx1"/>
            </w14:solidFill>
          </w14:textFill>
        </w:rPr>
        <w:t>: 11-17 [PMID: 31821958 DOI: 10.1016/j.atherosclerosis.2019.11.030]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26 </w:t>
      </w:r>
      <w:r>
        <w:rPr>
          <w:rFonts w:ascii="Book Antiqua" w:hAnsi="Book Antiqua"/>
          <w:b/>
          <w:bCs/>
          <w:color w:val="000000" w:themeColor="text1"/>
          <w14:textFill>
            <w14:solidFill>
              <w14:schemeClr w14:val="tx1"/>
            </w14:solidFill>
          </w14:textFill>
        </w:rPr>
        <w:t>Christensen MA</w:t>
      </w:r>
      <w:r>
        <w:rPr>
          <w:rFonts w:ascii="Book Antiqua" w:hAnsi="Book Antiqua"/>
          <w:color w:val="000000" w:themeColor="text1"/>
          <w14:textFill>
            <w14:solidFill>
              <w14:schemeClr w14:val="tx1"/>
            </w14:solidFill>
          </w14:textFill>
        </w:rPr>
        <w:t xml:space="preserve">, Bettencourt L, Kaye L, Moturu ST, Nguyen KT, Olgin JE, Pletcher MJ, Marcus GM. Direct Measurements of Smartphone Screen-Time: Relationships with Demographics and Sleep. </w:t>
      </w:r>
      <w:r>
        <w:rPr>
          <w:rFonts w:ascii="Book Antiqua" w:hAnsi="Book Antiqua"/>
          <w:i/>
          <w:iCs/>
          <w:color w:val="000000" w:themeColor="text1"/>
          <w14:textFill>
            <w14:solidFill>
              <w14:schemeClr w14:val="tx1"/>
            </w14:solidFill>
          </w14:textFill>
        </w:rPr>
        <w:t>PLoS One</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11</w:t>
      </w:r>
      <w:r>
        <w:rPr>
          <w:rFonts w:ascii="Book Antiqua" w:hAnsi="Book Antiqua"/>
          <w:color w:val="000000" w:themeColor="text1"/>
          <w14:textFill>
            <w14:solidFill>
              <w14:schemeClr w14:val="tx1"/>
            </w14:solidFill>
          </w14:textFill>
        </w:rPr>
        <w:t>: e0165331 [PMID: 27829040 DOI: 10.1371/journal.pone.0165331]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27 </w:t>
      </w:r>
      <w:r>
        <w:rPr>
          <w:rFonts w:ascii="Book Antiqua" w:hAnsi="Book Antiqua"/>
          <w:b/>
          <w:bCs/>
          <w:color w:val="000000" w:themeColor="text1"/>
          <w14:textFill>
            <w14:solidFill>
              <w14:schemeClr w14:val="tx1"/>
            </w14:solidFill>
          </w14:textFill>
        </w:rPr>
        <w:t>Panova T</w:t>
      </w:r>
      <w:r>
        <w:rPr>
          <w:rFonts w:ascii="Book Antiqua" w:hAnsi="Book Antiqua"/>
          <w:color w:val="000000" w:themeColor="text1"/>
          <w14:textFill>
            <w14:solidFill>
              <w14:schemeClr w14:val="tx1"/>
            </w14:solidFill>
          </w14:textFill>
        </w:rPr>
        <w:t xml:space="preserve">, Carbonell X. Is smartphone addiction really an addiction? </w:t>
      </w:r>
      <w:r>
        <w:rPr>
          <w:rFonts w:ascii="Book Antiqua" w:hAnsi="Book Antiqua"/>
          <w:i/>
          <w:iCs/>
          <w:color w:val="000000" w:themeColor="text1"/>
          <w14:textFill>
            <w14:solidFill>
              <w14:schemeClr w14:val="tx1"/>
            </w14:solidFill>
          </w14:textFill>
        </w:rPr>
        <w:t>J Behav Addict</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252-259 [PMID: 29895183 DOI: 10.1556/2006.7.2018.49]</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28 </w:t>
      </w:r>
      <w:r>
        <w:rPr>
          <w:rFonts w:ascii="Book Antiqua" w:hAnsi="Book Antiqua"/>
          <w:b/>
          <w:bCs/>
          <w:color w:val="000000" w:themeColor="text1"/>
          <w14:textFill>
            <w14:solidFill>
              <w14:schemeClr w14:val="tx1"/>
            </w14:solidFill>
          </w14:textFill>
        </w:rPr>
        <w:t>Sahu M</w:t>
      </w:r>
      <w:r>
        <w:rPr>
          <w:rFonts w:ascii="Book Antiqua" w:hAnsi="Book Antiqua"/>
          <w:color w:val="000000" w:themeColor="text1"/>
          <w14:textFill>
            <w14:solidFill>
              <w14:schemeClr w14:val="tx1"/>
            </w14:solidFill>
          </w14:textFill>
        </w:rPr>
        <w:t xml:space="preserve">, Grover A, Joshi A. Role of mobile phone technology in health education in Asian and African countries: a systematic review. </w:t>
      </w:r>
      <w:r>
        <w:rPr>
          <w:rFonts w:ascii="Book Antiqua" w:hAnsi="Book Antiqua"/>
          <w:i/>
          <w:iCs/>
          <w:color w:val="000000" w:themeColor="text1"/>
          <w14:textFill>
            <w14:solidFill>
              <w14:schemeClr w14:val="tx1"/>
            </w14:solidFill>
          </w14:textFill>
        </w:rPr>
        <w:t>Int J Electron Healthc</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269-286 [PMID: 25161104 DOI: 10.1504/ijeh.2014.064327]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29 </w:t>
      </w:r>
      <w:r>
        <w:rPr>
          <w:rFonts w:ascii="Book Antiqua" w:hAnsi="Book Antiqua"/>
          <w:b/>
          <w:bCs/>
          <w:color w:val="000000" w:themeColor="text1"/>
          <w14:textFill>
            <w14:solidFill>
              <w14:schemeClr w14:val="tx1"/>
            </w14:solidFill>
          </w14:textFill>
        </w:rPr>
        <w:t>Chauhan V</w:t>
      </w:r>
      <w:r>
        <w:rPr>
          <w:rFonts w:ascii="Book Antiqua" w:hAnsi="Book Antiqua"/>
          <w:color w:val="000000" w:themeColor="text1"/>
          <w14:textFill>
            <w14:solidFill>
              <w14:schemeClr w14:val="tx1"/>
            </w14:solidFill>
          </w14:textFill>
        </w:rPr>
        <w:t xml:space="preserve">, Negi PC, Raina S, Raina S, Bhatnagar M, Guleri R, Kanwar V, Pandey KS. Smartphone-based tele-electrocardiography support for primary care physicians reduces the pain-to-treatment time in acute coronary syndrome. </w:t>
      </w:r>
      <w:r>
        <w:rPr>
          <w:rFonts w:ascii="Book Antiqua" w:hAnsi="Book Antiqua"/>
          <w:i/>
          <w:iCs/>
          <w:color w:val="000000" w:themeColor="text1"/>
          <w14:textFill>
            <w14:solidFill>
              <w14:schemeClr w14:val="tx1"/>
            </w14:solidFill>
          </w14:textFill>
        </w:rPr>
        <w:t>J Telemed Telecare</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24</w:t>
      </w:r>
      <w:r>
        <w:rPr>
          <w:rFonts w:ascii="Book Antiqua" w:hAnsi="Book Antiqua"/>
          <w:color w:val="000000" w:themeColor="text1"/>
          <w14:textFill>
            <w14:solidFill>
              <w14:schemeClr w14:val="tx1"/>
            </w14:solidFill>
          </w14:textFill>
        </w:rPr>
        <w:t>: 540-546 [PMID: 28750576 DOI: 10.1177/1357633X17719395]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 </w:t>
      </w:r>
      <w:r>
        <w:rPr>
          <w:rFonts w:ascii="Book Antiqua" w:hAnsi="Book Antiqua"/>
          <w:b/>
          <w:bCs/>
          <w:color w:val="000000" w:themeColor="text1"/>
          <w14:textFill>
            <w14:solidFill>
              <w14:schemeClr w14:val="tx1"/>
            </w14:solidFill>
          </w14:textFill>
        </w:rPr>
        <w:t>Styles CE</w:t>
      </w:r>
      <w:r>
        <w:rPr>
          <w:rFonts w:ascii="Book Antiqua" w:hAnsi="Book Antiqua"/>
          <w:color w:val="000000" w:themeColor="text1"/>
          <w14:textFill>
            <w14:solidFill>
              <w14:schemeClr w14:val="tx1"/>
            </w14:solidFill>
          </w14:textFill>
        </w:rPr>
        <w:t xml:space="preserve">, Cheng A, Hoad VC, Kiely P, Watson M, Seed CR. Excluding Occult Hepatitis B Infection before Assigning False-Positive Status to Non-Repeatable NAT Reactivity: Concerning Stolz et al. "Safe-Testing Algorithm for Individual-Donation Nucleic Acid Testing: 10 Years of Experience in a Low-Prevalence Country" [Transfus Med Hemother. 2019 Apr;46(2):104-10]. </w:t>
      </w:r>
      <w:r>
        <w:rPr>
          <w:rFonts w:ascii="Book Antiqua" w:hAnsi="Book Antiqua"/>
          <w:i/>
          <w:iCs/>
          <w:color w:val="000000" w:themeColor="text1"/>
          <w14:textFill>
            <w14:solidFill>
              <w14:schemeClr w14:val="tx1"/>
            </w14:solidFill>
          </w14:textFill>
        </w:rPr>
        <w:t>Transfus Med Hemother</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47</w:t>
      </w:r>
      <w:r>
        <w:rPr>
          <w:rFonts w:ascii="Book Antiqua" w:hAnsi="Book Antiqua"/>
          <w:color w:val="000000" w:themeColor="text1"/>
          <w14:textFill>
            <w14:solidFill>
              <w14:schemeClr w14:val="tx1"/>
            </w14:solidFill>
          </w14:textFill>
        </w:rPr>
        <w:t>: 272-274 [PMID: 32595432 DOI: 10.1159/000502552]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31 </w:t>
      </w:r>
      <w:r>
        <w:rPr>
          <w:rFonts w:ascii="Book Antiqua" w:hAnsi="Book Antiqua"/>
          <w:b/>
          <w:bCs/>
          <w:color w:val="000000" w:themeColor="text1"/>
          <w14:textFill>
            <w14:solidFill>
              <w14:schemeClr w14:val="tx1"/>
            </w14:solidFill>
          </w14:textFill>
        </w:rPr>
        <w:t>Xin Q</w:t>
      </w:r>
      <w:r>
        <w:rPr>
          <w:rFonts w:ascii="Book Antiqua" w:hAnsi="Book Antiqua"/>
          <w:color w:val="000000" w:themeColor="text1"/>
          <w14:textFill>
            <w14:solidFill>
              <w14:schemeClr w14:val="tx1"/>
            </w14:solidFill>
          </w14:textFill>
        </w:rPr>
        <w:t xml:space="preserve">, Wu J. A novel wearable device for continuous, non-invasion blood pressure measurement. </w:t>
      </w:r>
      <w:r>
        <w:rPr>
          <w:rFonts w:ascii="Book Antiqua" w:hAnsi="Book Antiqua"/>
          <w:i/>
          <w:iCs/>
          <w:color w:val="000000" w:themeColor="text1"/>
          <w14:textFill>
            <w14:solidFill>
              <w14:schemeClr w14:val="tx1"/>
            </w14:solidFill>
          </w14:textFill>
        </w:rPr>
        <w:t>Comput Biol Chem</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69</w:t>
      </w:r>
      <w:r>
        <w:rPr>
          <w:rFonts w:ascii="Book Antiqua" w:hAnsi="Book Antiqua"/>
          <w:color w:val="000000" w:themeColor="text1"/>
          <w14:textFill>
            <w14:solidFill>
              <w14:schemeClr w14:val="tx1"/>
            </w14:solidFill>
          </w14:textFill>
        </w:rPr>
        <w:t>: 134-137 [PMID: 28676201 DOI: 10.1016/j.compbiolchem.2017.04.011]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32 </w:t>
      </w:r>
      <w:r>
        <w:rPr>
          <w:rFonts w:ascii="Book Antiqua" w:hAnsi="Book Antiqua"/>
          <w:b/>
          <w:bCs/>
          <w:color w:val="000000" w:themeColor="text1"/>
          <w14:textFill>
            <w14:solidFill>
              <w14:schemeClr w14:val="tx1"/>
            </w14:solidFill>
          </w14:textFill>
        </w:rPr>
        <w:t>Sun J</w:t>
      </w:r>
      <w:r>
        <w:rPr>
          <w:rFonts w:ascii="Book Antiqua" w:hAnsi="Book Antiqua"/>
          <w:color w:val="000000" w:themeColor="text1"/>
          <w14:textFill>
            <w14:solidFill>
              <w14:schemeClr w14:val="tx1"/>
            </w14:solidFill>
          </w14:textFill>
        </w:rPr>
        <w:t xml:space="preserve">, Guo Y, Wang X, Zeng Q. mHealth For Aging China: Opportunities and Challenges. </w:t>
      </w:r>
      <w:r>
        <w:rPr>
          <w:rFonts w:ascii="Book Antiqua" w:hAnsi="Book Antiqua"/>
          <w:i/>
          <w:iCs/>
          <w:color w:val="000000" w:themeColor="text1"/>
          <w14:textFill>
            <w14:solidFill>
              <w14:schemeClr w14:val="tx1"/>
            </w14:solidFill>
          </w14:textFill>
        </w:rPr>
        <w:t>Aging Dis</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53-67 [PMID: 26816664 DOI: 10.14336/AD.2015.1011]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33 </w:t>
      </w:r>
      <w:r>
        <w:rPr>
          <w:rFonts w:ascii="Book Antiqua" w:hAnsi="Book Antiqua"/>
          <w:b/>
          <w:bCs/>
          <w:color w:val="000000" w:themeColor="text1"/>
          <w14:textFill>
            <w14:solidFill>
              <w14:schemeClr w14:val="tx1"/>
            </w14:solidFill>
          </w14:textFill>
        </w:rPr>
        <w:t>Kekade S</w:t>
      </w:r>
      <w:r>
        <w:rPr>
          <w:rFonts w:ascii="Book Antiqua" w:hAnsi="Book Antiqua"/>
          <w:color w:val="000000" w:themeColor="text1"/>
          <w14:textFill>
            <w14:solidFill>
              <w14:schemeClr w14:val="tx1"/>
            </w14:solidFill>
          </w14:textFill>
        </w:rPr>
        <w:t xml:space="preserve">, Hseieh CH, Islam MM, Atique S, Mohammed Khalfan A, Li YC, Abdul SS. The usefulness and actual use of wearable devices among the elderly population. </w:t>
      </w:r>
      <w:r>
        <w:rPr>
          <w:rFonts w:ascii="Book Antiqua" w:hAnsi="Book Antiqua"/>
          <w:i/>
          <w:iCs/>
          <w:color w:val="000000" w:themeColor="text1"/>
          <w14:textFill>
            <w14:solidFill>
              <w14:schemeClr w14:val="tx1"/>
            </w14:solidFill>
          </w14:textFill>
        </w:rPr>
        <w:t>Comput Methods Programs Biomed</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153</w:t>
      </w:r>
      <w:r>
        <w:rPr>
          <w:rFonts w:ascii="Book Antiqua" w:hAnsi="Book Antiqua"/>
          <w:color w:val="000000" w:themeColor="text1"/>
          <w14:textFill>
            <w14:solidFill>
              <w14:schemeClr w14:val="tx1"/>
            </w14:solidFill>
          </w14:textFill>
        </w:rPr>
        <w:t>: 137-159 [PMID: 29157447 DOI: 10.1016/j.cmpb.2017.10.008]</w:t>
      </w:r>
    </w:p>
    <w:p>
      <w:pPr>
        <w:spacing w:line="360" w:lineRule="auto"/>
        <w:jc w:val="both"/>
        <w:rPr>
          <w:rFonts w:ascii="Book Antiqua" w:hAnsi="Book Antiqua" w:eastAsia="宋体"/>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Footnotes</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Institutional review board statement: </w:t>
      </w:r>
      <w:r>
        <w:rPr>
          <w:rFonts w:ascii="Book Antiqua" w:hAnsi="Book Antiqua" w:eastAsia="宋体" w:cs="Book Antiqua"/>
          <w:color w:val="000000" w:themeColor="text1"/>
          <w14:textFill>
            <w14:solidFill>
              <w14:schemeClr w14:val="tx1"/>
            </w14:solidFill>
          </w14:textFill>
        </w:rPr>
        <w:t>This survey was reviewed and approved by the Academic Ethics Committee of the Sanbo Brain Hospital, Capital Medical University.</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Informed consent statement</w:t>
      </w:r>
      <w:r>
        <w:rPr>
          <w:rFonts w:ascii="Book Antiqua" w:hAnsi="Book Antiqua"/>
          <w:b/>
          <w:iCs/>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Patients were not required to give informed consent to the study because the analysis used anonymous clinical data that were obtained after each patient agreed to treatment by written consent.</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Conflict-of-interest statement: </w:t>
      </w:r>
      <w:r>
        <w:rPr>
          <w:rFonts w:ascii="Book Antiqua" w:hAnsi="Book Antiqua" w:eastAsia="宋体" w:cs="Book Antiqua"/>
          <w:color w:val="000000" w:themeColor="text1"/>
          <w14:textFill>
            <w14:solidFill>
              <w14:schemeClr w14:val="tx1"/>
            </w14:solidFill>
          </w14:textFill>
        </w:rPr>
        <w:t>We have no financial relationships to disclose.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Data sharing statement: </w:t>
      </w:r>
      <w:r>
        <w:rPr>
          <w:rFonts w:ascii="Book Antiqua" w:hAnsi="Book Antiqua" w:eastAsia="宋体" w:cs="Book Antiqua"/>
          <w:color w:val="000000" w:themeColor="text1"/>
          <w14:textFill>
            <w14:solidFill>
              <w14:schemeClr w14:val="tx1"/>
            </w14:solidFill>
          </w14:textFill>
        </w:rPr>
        <w:t>No additional data are available.</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Open-Access: </w:t>
      </w:r>
      <w:r>
        <w:rPr>
          <w:rFonts w:ascii="Book Antiqua" w:hAnsi="Book Antiqua" w:eastAsia="宋体"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Provenance and peer review: </w:t>
      </w:r>
      <w:r>
        <w:rPr>
          <w:rFonts w:ascii="Book Antiqua" w:hAnsi="Book Antiqua" w:eastAsia="宋体" w:cs="Book Antiqua"/>
          <w:color w:val="000000" w:themeColor="text1"/>
          <w14:textFill>
            <w14:solidFill>
              <w14:schemeClr w14:val="tx1"/>
            </w14:solidFill>
          </w14:textFill>
        </w:rPr>
        <w:t>Unsolicited article; Externally peer reviewed.</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Peer-review model: </w:t>
      </w:r>
      <w:r>
        <w:rPr>
          <w:rFonts w:ascii="Book Antiqua" w:hAnsi="Book Antiqua" w:eastAsia="宋体" w:cs="Book Antiqua"/>
          <w:color w:val="000000" w:themeColor="text1"/>
          <w14:textFill>
            <w14:solidFill>
              <w14:schemeClr w14:val="tx1"/>
            </w14:solidFill>
          </w14:textFill>
        </w:rPr>
        <w:t>Single blind</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Peer-review started: </w:t>
      </w:r>
      <w:r>
        <w:rPr>
          <w:rFonts w:ascii="Book Antiqua" w:hAnsi="Book Antiqua" w:eastAsia="宋体" w:cs="Book Antiqua"/>
          <w:color w:val="000000" w:themeColor="text1"/>
          <w14:textFill>
            <w14:solidFill>
              <w14:schemeClr w14:val="tx1"/>
            </w14:solidFill>
          </w14:textFill>
        </w:rPr>
        <w:t>December 13, 2021</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First decision: </w:t>
      </w:r>
      <w:r>
        <w:rPr>
          <w:rFonts w:ascii="Book Antiqua" w:hAnsi="Book Antiqua" w:eastAsia="宋体" w:cs="Book Antiqua"/>
          <w:color w:val="000000" w:themeColor="text1"/>
          <w14:textFill>
            <w14:solidFill>
              <w14:schemeClr w14:val="tx1"/>
            </w14:solidFill>
          </w14:textFill>
        </w:rPr>
        <w:t>January 10, 2022</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Article in press:</w:t>
      </w:r>
      <w:r>
        <w:rPr>
          <w:rFonts w:hint="eastAsia" w:ascii="Book Antiqua" w:hAnsi="Book Antiqua" w:eastAsia="宋体" w:cs="Book Antiqua"/>
          <w:b/>
          <w:color w:val="000000" w:themeColor="text1"/>
          <w:lang w:eastAsia="zh-CN"/>
          <w14:textFill>
            <w14:solidFill>
              <w14:schemeClr w14:val="tx1"/>
            </w14:solidFill>
          </w14:textFill>
        </w:rPr>
        <w:t xml:space="preserve"> </w:t>
      </w:r>
      <w:r>
        <w:rPr>
          <w:rFonts w:ascii="Book Antiqua" w:hAnsi="Book Antiqua" w:eastAsia="宋体" w:cs="Book Antiqua"/>
          <w:bCs/>
          <w:color w:val="000000" w:themeColor="text1"/>
          <w14:textFill>
            <w14:solidFill>
              <w14:schemeClr w14:val="tx1"/>
            </w14:solidFill>
          </w14:textFill>
        </w:rPr>
        <w:t>April 3, 2022</w:t>
      </w:r>
      <w:r>
        <w:rPr>
          <w:rFonts w:ascii="Book Antiqua" w:hAnsi="Book Antiqua" w:eastAsia="宋体" w:cs="Book Antiqua"/>
          <w:b/>
          <w:color w:val="000000" w:themeColor="text1"/>
          <w14:textFill>
            <w14:solidFill>
              <w14:schemeClr w14:val="tx1"/>
            </w14:solidFill>
          </w14:textFill>
        </w:rPr>
        <w:t xml:space="preserve"> </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Specialty type: </w:t>
      </w:r>
      <w:r>
        <w:rPr>
          <w:rFonts w:ascii="Book Antiqua" w:hAnsi="Book Antiqua" w:eastAsia="宋体" w:cs="Book Antiqua"/>
          <w:color w:val="000000" w:themeColor="text1"/>
          <w14:textFill>
            <w14:solidFill>
              <w14:schemeClr w14:val="tx1"/>
            </w14:solidFill>
          </w14:textFill>
        </w:rPr>
        <w:t>Public, environmental and occupational health</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Country/Territory of origin: </w:t>
      </w:r>
      <w:r>
        <w:rPr>
          <w:rFonts w:ascii="Book Antiqua" w:hAnsi="Book Antiqua" w:eastAsia="宋体" w:cs="Book Antiqua"/>
          <w:color w:val="000000" w:themeColor="text1"/>
          <w14:textFill>
            <w14:solidFill>
              <w14:schemeClr w14:val="tx1"/>
            </w14:solidFill>
          </w14:textFill>
        </w:rPr>
        <w:t>China</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Grade A (Excellent): 0</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Grade B (Very good): B, B</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Grade C (Good): 0</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Grade D (Fair): 0</w:t>
      </w: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color w:val="000000" w:themeColor="text1"/>
          <w14:textFill>
            <w14:solidFill>
              <w14:schemeClr w14:val="tx1"/>
            </w14:solidFill>
          </w14:textFill>
        </w:rPr>
        <w:t>Grade E (Poor): 0</w:t>
      </w:r>
    </w:p>
    <w:p>
      <w:pPr>
        <w:spacing w:line="360" w:lineRule="auto"/>
        <w:jc w:val="both"/>
        <w:rPr>
          <w:rFonts w:ascii="Book Antiqua" w:hAnsi="Book Antiqua" w:eastAsia="宋体"/>
          <w:color w:val="000000" w:themeColor="text1"/>
          <w14:textFill>
            <w14:solidFill>
              <w14:schemeClr w14:val="tx1"/>
            </w14:solidFill>
          </w14:textFill>
        </w:rPr>
      </w:pPr>
    </w:p>
    <w:p>
      <w:pPr>
        <w:spacing w:line="360" w:lineRule="auto"/>
        <w:jc w:val="both"/>
        <w:rPr>
          <w:rFonts w:ascii="Book Antiqua" w:hAnsi="Book Antiqua" w:eastAsia="宋体" w:cs="Book Antiqua"/>
          <w:b/>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 xml:space="preserve">P-Reviewer: </w:t>
      </w:r>
      <w:r>
        <w:rPr>
          <w:rFonts w:ascii="Book Antiqua" w:hAnsi="Book Antiqua" w:eastAsia="宋体" w:cs="Book Antiqua"/>
          <w:color w:val="000000" w:themeColor="text1"/>
          <w14:textFill>
            <w14:solidFill>
              <w14:schemeClr w14:val="tx1"/>
            </w14:solidFill>
          </w14:textFill>
        </w:rPr>
        <w:t>Duca FD, Germany; Galindo-Ferreiro A</w:t>
      </w:r>
      <w:r>
        <w:rPr>
          <w:rFonts w:ascii="Book Antiqua" w:hAnsi="Book Antiqua" w:eastAsia="宋体" w:cs="Book Antiqua"/>
          <w:b/>
          <w:color w:val="000000" w:themeColor="text1"/>
          <w14:textFill>
            <w14:solidFill>
              <w14:schemeClr w14:val="tx1"/>
            </w14:solidFill>
          </w14:textFill>
        </w:rPr>
        <w:t xml:space="preserve"> S-Editor: </w:t>
      </w:r>
      <w:r>
        <w:rPr>
          <w:rFonts w:ascii="Book Antiqua" w:hAnsi="Book Antiqua" w:eastAsia="宋体" w:cs="Book Antiqua"/>
          <w:color w:val="000000" w:themeColor="text1"/>
          <w14:textFill>
            <w14:solidFill>
              <w14:schemeClr w14:val="tx1"/>
            </w14:solidFill>
          </w14:textFill>
        </w:rPr>
        <w:t>Guo XR</w:t>
      </w:r>
      <w:r>
        <w:rPr>
          <w:rFonts w:ascii="Book Antiqua" w:hAnsi="Book Antiqua" w:eastAsia="宋体" w:cs="Book Antiqua"/>
          <w:b/>
          <w:color w:val="000000" w:themeColor="text1"/>
          <w14:textFill>
            <w14:solidFill>
              <w14:schemeClr w14:val="tx1"/>
            </w14:solidFill>
          </w14:textFill>
        </w:rPr>
        <w:t xml:space="preserve"> L-Editor: </w:t>
      </w:r>
      <w:r>
        <w:rPr>
          <w:rFonts w:ascii="Book Antiqua" w:hAnsi="Book Antiqua" w:eastAsia="宋体" w:cs="Book Antiqua"/>
          <w:bCs/>
          <w:color w:val="000000" w:themeColor="text1"/>
          <w14:textFill>
            <w14:solidFill>
              <w14:schemeClr w14:val="tx1"/>
            </w14:solidFill>
          </w14:textFill>
        </w:rPr>
        <w:t>Filipodia</w:t>
      </w:r>
      <w:r>
        <w:rPr>
          <w:rFonts w:ascii="Book Antiqua" w:hAnsi="Book Antiqua" w:eastAsia="宋体" w:cs="Book Antiqua"/>
          <w:b/>
          <w:color w:val="000000" w:themeColor="text1"/>
          <w14:textFill>
            <w14:solidFill>
              <w14:schemeClr w14:val="tx1"/>
            </w14:solidFill>
          </w14:textFill>
        </w:rPr>
        <w:t xml:space="preserve"> P-Editor:</w:t>
      </w:r>
      <w:r>
        <w:rPr>
          <w:rFonts w:hint="eastAsia" w:ascii="Book Antiqua" w:hAnsi="Book Antiqua" w:eastAsia="宋体" w:cs="Book Antiqua"/>
          <w:b/>
          <w:color w:val="000000" w:themeColor="text1"/>
          <w:lang w:eastAsia="zh-CN"/>
          <w14:textFill>
            <w14:solidFill>
              <w14:schemeClr w14:val="tx1"/>
            </w14:solidFill>
          </w14:textFill>
        </w:rPr>
        <w:t xml:space="preserve"> </w:t>
      </w:r>
      <w:r>
        <w:rPr>
          <w:rFonts w:ascii="Book Antiqua" w:hAnsi="Book Antiqua"/>
          <w:bCs/>
        </w:rPr>
        <w:t>Zhang YL</w:t>
      </w:r>
      <w:r>
        <w:rPr>
          <w:rFonts w:ascii="Book Antiqua" w:hAnsi="Book Antiqua" w:eastAsia="宋体" w:cs="Book Antiqua"/>
          <w:b/>
          <w:color w:val="000000" w:themeColor="text1"/>
          <w14:textFill>
            <w14:solidFill>
              <w14:schemeClr w14:val="tx1"/>
            </w14:solidFill>
          </w14:textFill>
        </w:rPr>
        <w:t xml:space="preserve"> </w:t>
      </w:r>
    </w:p>
    <w:p>
      <w:pPr>
        <w:spacing w:line="360" w:lineRule="auto"/>
        <w:jc w:val="both"/>
        <w:rPr>
          <w:rFonts w:ascii="Book Antiqua" w:hAnsi="Book Antiqua" w:eastAsia="宋体"/>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olor w:val="000000" w:themeColor="text1"/>
          <w14:textFill>
            <w14:solidFill>
              <w14:schemeClr w14:val="tx1"/>
            </w14:solidFill>
          </w14:textFill>
        </w:rPr>
      </w:pPr>
      <w:r>
        <w:rPr>
          <w:rFonts w:ascii="Book Antiqua" w:hAnsi="Book Antiqua" w:eastAsia="宋体" w:cs="Book Antiqua"/>
          <w:b/>
          <w:color w:val="000000" w:themeColor="text1"/>
          <w14:textFill>
            <w14:solidFill>
              <w14:schemeClr w14:val="tx1"/>
            </w14:solidFill>
          </w14:textFill>
        </w:rPr>
        <w:t>Figure Legends</w:t>
      </w:r>
    </w:p>
    <w:p>
      <w:pPr>
        <w:spacing w:line="360" w:lineRule="auto"/>
        <w:jc w:val="both"/>
        <w:rPr>
          <w:rFonts w:hint="eastAsia" w:ascii="Book Antiqua" w:hAnsi="Book Antiqua" w:eastAsia="宋体" w:cs="Book Antiqua"/>
          <w:color w:val="000000" w:themeColor="text1"/>
          <w:lang w:eastAsia="zh-CN"/>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drawing>
          <wp:inline distT="0" distB="0" distL="114300" distR="114300">
            <wp:extent cx="5925185" cy="4414520"/>
            <wp:effectExtent l="0" t="0" r="3175" b="5080"/>
            <wp:docPr id="3" name="图片 3" descr="WJCC-10-524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5241-g001"/>
                    <pic:cNvPicPr>
                      <a:picLocks noChangeAspect="1"/>
                    </pic:cNvPicPr>
                  </pic:nvPicPr>
                  <pic:blipFill>
                    <a:blip r:embed="rId5"/>
                    <a:stretch>
                      <a:fillRect/>
                    </a:stretch>
                  </pic:blipFill>
                  <pic:spPr>
                    <a:xfrm>
                      <a:off x="0" y="0"/>
                      <a:ext cx="5925185" cy="4414520"/>
                    </a:xfrm>
                    <a:prstGeom prst="rect">
                      <a:avLst/>
                    </a:prstGeom>
                  </pic:spPr>
                </pic:pic>
              </a:graphicData>
            </a:graphic>
          </wp:inline>
        </w:drawing>
      </w:r>
    </w:p>
    <w:p>
      <w:pPr>
        <w:spacing w:line="360" w:lineRule="auto"/>
        <w:jc w:val="both"/>
        <w:rPr>
          <w:rFonts w:ascii="Book Antiqua" w:hAnsi="Book Antiqua" w:eastAsia="宋体" w:cs="Book Antiqua"/>
          <w:b/>
          <w:bCs/>
          <w:color w:val="000000" w:themeColor="text1"/>
          <w14:textFill>
            <w14:solidFill>
              <w14:schemeClr w14:val="tx1"/>
            </w14:solidFill>
          </w14:textFill>
        </w:rPr>
      </w:pPr>
      <w:r>
        <w:rPr>
          <w:rFonts w:ascii="Book Antiqua" w:hAnsi="Book Antiqua" w:eastAsia="宋体" w:cs="Book Antiqua"/>
          <w:b/>
          <w:bCs/>
          <w:color w:val="000000" w:themeColor="text1"/>
          <w14:textFill>
            <w14:solidFill>
              <w14:schemeClr w14:val="tx1"/>
            </w14:solidFill>
          </w14:textFill>
        </w:rPr>
        <w:t xml:space="preserve">Figure 1 </w:t>
      </w:r>
      <w:r>
        <w:rPr>
          <w:rFonts w:ascii="Book Antiqua" w:hAnsi="Book Antiqua"/>
          <w:b/>
          <w:bCs/>
          <w:color w:val="000000" w:themeColor="text1"/>
          <w:lang w:eastAsia="zh-CN"/>
          <w14:textFill>
            <w14:solidFill>
              <w14:schemeClr w14:val="tx1"/>
            </w14:solidFill>
          </w14:textFill>
        </w:rPr>
        <w:t xml:space="preserve">Knowledge of health and initiative practice for health. </w:t>
      </w:r>
      <w:r>
        <w:rPr>
          <w:rFonts w:ascii="Book Antiqua" w:hAnsi="Book Antiqua"/>
          <w:color w:val="000000" w:themeColor="text1"/>
          <w:lang w:eastAsia="zh-CN"/>
          <w14:textFill>
            <w14:solidFill>
              <w14:schemeClr w14:val="tx1"/>
            </w14:solidFill>
          </w14:textFill>
        </w:rPr>
        <w:t xml:space="preserve">A: Understanding of the concept of health among participants; B: The participants’ thoughts regarding whether the goals of </w:t>
      </w:r>
      <w:r>
        <w:rPr>
          <w:rStyle w:val="12"/>
          <w:rFonts w:ascii="Book Antiqua" w:hAnsi="Book Antiqua" w:eastAsia="宋体" w:cs="Book Antiqua"/>
          <w:color w:val="000000" w:themeColor="text1"/>
          <w14:textFill>
            <w14:solidFill>
              <w14:schemeClr w14:val="tx1"/>
            </w14:solidFill>
          </w14:textFill>
        </w:rPr>
        <w:t>initiative practice for health (</w:t>
      </w:r>
      <w:r>
        <w:rPr>
          <w:rFonts w:ascii="Book Antiqua" w:hAnsi="Book Antiqua"/>
          <w:color w:val="000000" w:themeColor="text1"/>
          <w:lang w:eastAsia="zh-CN"/>
          <w14:textFill>
            <w14:solidFill>
              <w14:schemeClr w14:val="tx1"/>
            </w14:solidFill>
          </w14:textFill>
        </w:rPr>
        <w:t xml:space="preserve">IPFH) can be achieved; </w:t>
      </w:r>
      <w:r>
        <w:rPr>
          <w:rFonts w:hint="eastAsia" w:ascii="Book Antiqua" w:hAnsi="Book Antiqua"/>
          <w:color w:val="000000" w:themeColor="text1"/>
          <w:lang w:eastAsia="zh-CN"/>
          <w14:textFill>
            <w14:solidFill>
              <w14:schemeClr w14:val="tx1"/>
            </w14:solidFill>
          </w14:textFill>
        </w:rPr>
        <w:t>C</w:t>
      </w:r>
      <w:r>
        <w:rPr>
          <w:rFonts w:ascii="Book Antiqua" w:hAnsi="Book Antiqua"/>
          <w:color w:val="000000" w:themeColor="text1"/>
          <w:lang w:eastAsia="zh-CN"/>
          <w14:textFill>
            <w14:solidFill>
              <w14:schemeClr w14:val="tx1"/>
            </w14:solidFill>
          </w14:textFill>
        </w:rPr>
        <w:t>: The importance of the factors related to IPFH; D: Promoters on whom IPFH depends.</w:t>
      </w:r>
    </w:p>
    <w:p>
      <w:pPr>
        <w:spacing w:line="360" w:lineRule="auto"/>
        <w:jc w:val="both"/>
        <w:rPr>
          <w:rFonts w:ascii="Book Antiqua" w:hAnsi="Book Antiqua" w:eastAsia="宋体" w:cs="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cs="Book Antiqua"/>
          <w:color w:val="000000" w:themeColor="text1"/>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drawing>
          <wp:inline distT="0" distB="0" distL="114300" distR="114300">
            <wp:extent cx="5292090" cy="5328920"/>
            <wp:effectExtent l="0" t="0" r="11430" b="5080"/>
            <wp:docPr id="2" name="图片 2" descr="WJCC-10-524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5241-g002"/>
                    <pic:cNvPicPr>
                      <a:picLocks noChangeAspect="1"/>
                    </pic:cNvPicPr>
                  </pic:nvPicPr>
                  <pic:blipFill>
                    <a:blip r:embed="rId6"/>
                    <a:stretch>
                      <a:fillRect/>
                    </a:stretch>
                  </pic:blipFill>
                  <pic:spPr>
                    <a:xfrm>
                      <a:off x="0" y="0"/>
                      <a:ext cx="5292090" cy="5328920"/>
                    </a:xfrm>
                    <a:prstGeom prst="rect">
                      <a:avLst/>
                    </a:prstGeom>
                  </pic:spPr>
                </pic:pic>
              </a:graphicData>
            </a:graphic>
          </wp:inline>
        </w:drawing>
      </w:r>
      <w:bookmarkStart w:id="2" w:name="_GoBack"/>
      <w:bookmarkEnd w:id="2"/>
    </w:p>
    <w:p>
      <w:pPr>
        <w:spacing w:line="360" w:lineRule="auto"/>
        <w:jc w:val="both"/>
        <w:rPr>
          <w:rFonts w:ascii="Book Antiqua" w:hAnsi="Book Antiqua" w:eastAsia="宋体"/>
          <w:b/>
          <w:bCs/>
          <w:color w:val="000000" w:themeColor="text1"/>
          <w:lang w:eastAsia="zh-CN"/>
          <w14:textFill>
            <w14:solidFill>
              <w14:schemeClr w14:val="tx1"/>
            </w14:solidFill>
          </w14:textFill>
        </w:rPr>
      </w:pPr>
      <w:r>
        <w:rPr>
          <w:rFonts w:ascii="Book Antiqua" w:hAnsi="Book Antiqua" w:eastAsia="宋体"/>
          <w:b/>
          <w:bCs/>
          <w:color w:val="000000" w:themeColor="text1"/>
          <w:lang w:eastAsia="zh-CN"/>
          <w14:textFill>
            <w14:solidFill>
              <w14:schemeClr w14:val="tx1"/>
            </w14:solidFill>
          </w14:textFill>
        </w:rPr>
        <w:t xml:space="preserve">Figure 2 </w:t>
      </w:r>
      <w:r>
        <w:rPr>
          <w:rFonts w:ascii="Book Antiqua" w:hAnsi="Book Antiqua"/>
          <w:b/>
          <w:bCs/>
          <w:color w:val="000000" w:themeColor="text1"/>
          <w:lang w:eastAsia="zh-CN"/>
          <w14:textFill>
            <w14:solidFill>
              <w14:schemeClr w14:val="tx1"/>
            </w14:solidFill>
          </w14:textFill>
        </w:rPr>
        <w:t xml:space="preserve">Situation of health-related behaviors. </w:t>
      </w:r>
      <w:r>
        <w:rPr>
          <w:rFonts w:ascii="Book Antiqua" w:hAnsi="Book Antiqua"/>
          <w:color w:val="000000" w:themeColor="text1"/>
          <w:lang w:eastAsia="zh-CN"/>
          <w14:textFill>
            <w14:solidFill>
              <w14:schemeClr w14:val="tx1"/>
            </w14:solidFill>
          </w14:textFill>
        </w:rPr>
        <w:t xml:space="preserve">A: </w:t>
      </w:r>
      <w:r>
        <w:rPr>
          <w:rFonts w:ascii="Book Antiqua" w:hAnsi="Book Antiqua"/>
          <w:color w:val="000000" w:themeColor="text1"/>
          <w14:textFill>
            <w14:solidFill>
              <w14:schemeClr w14:val="tx1"/>
            </w14:solidFill>
          </w14:textFill>
        </w:rPr>
        <w:t>The degree of the respondents’ concern about health knowledge; B: The respondents’ main approach to acquiring health knowledge; C: Aspects of health over which the respondents were concerned; D: The frequency with which the respondents discussed their own health plan with professionals; E: The respondents’ knowledge of wearable devices.</w:t>
      </w:r>
    </w:p>
    <w:p>
      <w:pPr>
        <w:spacing w:line="360" w:lineRule="auto"/>
        <w:jc w:val="both"/>
        <w:rPr>
          <w:rFonts w:ascii="Book Antiqua" w:hAnsi="Book Antiqua" w:eastAsia="宋体"/>
          <w:b/>
          <w:bCs/>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宋体"/>
          <w:b/>
          <w:bCs/>
          <w:color w:val="000000" w:themeColor="text1"/>
          <w:lang w:eastAsia="zh-CN"/>
          <w14:textFill>
            <w14:solidFill>
              <w14:schemeClr w14:val="tx1"/>
            </w14:solidFill>
          </w14:textFill>
        </w:rPr>
      </w:pPr>
      <w:r>
        <w:rPr>
          <w:rFonts w:hint="eastAsia" w:ascii="Book Antiqua" w:hAnsi="Book Antiqua" w:eastAsia="宋体" w:cs="Book Antiqua"/>
          <w:color w:val="000000" w:themeColor="text1"/>
          <w:lang w:eastAsia="zh-CN"/>
          <w14:textFill>
            <w14:solidFill>
              <w14:schemeClr w14:val="tx1"/>
            </w14:solidFill>
          </w14:textFill>
        </w:rPr>
        <w:drawing>
          <wp:inline distT="0" distB="0" distL="114300" distR="114300">
            <wp:extent cx="2729230" cy="1737360"/>
            <wp:effectExtent l="0" t="0" r="13970" b="0"/>
            <wp:docPr id="1" name="图片 1" descr="WJCC-10-524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5241-g003"/>
                    <pic:cNvPicPr>
                      <a:picLocks noChangeAspect="1"/>
                    </pic:cNvPicPr>
                  </pic:nvPicPr>
                  <pic:blipFill>
                    <a:blip r:embed="rId7"/>
                    <a:stretch>
                      <a:fillRect/>
                    </a:stretch>
                  </pic:blipFill>
                  <pic:spPr>
                    <a:xfrm>
                      <a:off x="0" y="0"/>
                      <a:ext cx="2729230" cy="1737360"/>
                    </a:xfrm>
                    <a:prstGeom prst="rect">
                      <a:avLst/>
                    </a:prstGeom>
                  </pic:spPr>
                </pic:pic>
              </a:graphicData>
            </a:graphic>
          </wp:inline>
        </w:drawing>
      </w:r>
    </w:p>
    <w:p>
      <w:pPr>
        <w:spacing w:line="360" w:lineRule="auto"/>
        <w:jc w:val="both"/>
        <w:rPr>
          <w:rFonts w:ascii="Book Antiqua" w:hAnsi="Book Antiqua" w:eastAsia="宋体"/>
          <w:b/>
          <w:bCs/>
          <w:color w:val="000000" w:themeColor="text1"/>
          <w:lang w:eastAsia="zh-CN"/>
          <w14:textFill>
            <w14:solidFill>
              <w14:schemeClr w14:val="tx1"/>
            </w14:solidFill>
          </w14:textFill>
        </w:rPr>
      </w:pPr>
      <w:r>
        <w:rPr>
          <w:rFonts w:ascii="Book Antiqua" w:hAnsi="Book Antiqua" w:eastAsia="宋体"/>
          <w:b/>
          <w:bCs/>
          <w:color w:val="000000" w:themeColor="text1"/>
          <w:lang w:eastAsia="zh-CN"/>
          <w14:textFill>
            <w14:solidFill>
              <w14:schemeClr w14:val="tx1"/>
            </w14:solidFill>
          </w14:textFill>
        </w:rPr>
        <w:t xml:space="preserve">Figure 3 </w:t>
      </w:r>
      <w:r>
        <w:rPr>
          <w:rFonts w:ascii="Book Antiqua" w:hAnsi="Book Antiqua"/>
          <w:b/>
          <w:bCs/>
          <w:color w:val="000000" w:themeColor="text1"/>
          <w14:textFill>
            <w14:solidFill>
              <w14:schemeClr w14:val="tx1"/>
            </w14:solidFill>
          </w14:textFill>
        </w:rPr>
        <w:t xml:space="preserve">The will to promote </w:t>
      </w:r>
      <w:r>
        <w:rPr>
          <w:rFonts w:ascii="Book Antiqua" w:hAnsi="Book Antiqua"/>
          <w:b/>
          <w:bCs/>
          <w:color w:val="000000" w:themeColor="text1"/>
          <w:lang w:eastAsia="zh-CN"/>
          <w14:textFill>
            <w14:solidFill>
              <w14:schemeClr w14:val="tx1"/>
            </w14:solidFill>
          </w14:textFill>
        </w:rPr>
        <w:t>initiative practice for health</w:t>
      </w:r>
      <w:r>
        <w:rPr>
          <w:rFonts w:ascii="Book Antiqua" w:hAnsi="Book Antiqua"/>
          <w:b/>
          <w:bCs/>
          <w:color w:val="000000" w:themeColor="text1"/>
          <w14:textFill>
            <w14:solidFill>
              <w14:schemeClr w14:val="tx1"/>
            </w14:solidFill>
          </w14:textFill>
        </w:rPr>
        <w:t>.</w:t>
      </w:r>
    </w:p>
    <w:p>
      <w:pPr>
        <w:spacing w:line="360" w:lineRule="auto"/>
        <w:jc w:val="both"/>
        <w:rPr>
          <w:rFonts w:ascii="Book Antiqua" w:hAnsi="Book Antiqua" w:eastAsia="宋体"/>
          <w:b/>
          <w:bCs/>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pStyle w:val="6"/>
        <w:spacing w:before="0" w:beforeAutospacing="0" w:after="0" w:afterAutospacing="0" w:line="360" w:lineRule="auto"/>
        <w:jc w:val="both"/>
        <w:rPr>
          <w:rFonts w:ascii="Book Antiqua" w:hAnsi="Book Antiqua" w:eastAsia="等线" w:cs="Times New Roman"/>
          <w:b/>
          <w:bCs/>
          <w:color w:val="000000" w:themeColor="text1"/>
          <w:kern w:val="2"/>
          <w14:textFill>
            <w14:solidFill>
              <w14:schemeClr w14:val="tx1"/>
            </w14:solidFill>
          </w14:textFill>
        </w:rPr>
      </w:pPr>
      <w:r>
        <w:rPr>
          <w:rFonts w:ascii="Book Antiqua" w:hAnsi="Book Antiqua" w:eastAsia="等线" w:cs="Times New Roman"/>
          <w:b/>
          <w:bCs/>
          <w:color w:val="000000" w:themeColor="text1"/>
          <w:kern w:val="2"/>
          <w14:textFill>
            <w14:solidFill>
              <w14:schemeClr w14:val="tx1"/>
            </w14:solidFill>
          </w14:textFill>
        </w:rPr>
        <w:t>Table 1 Sociodemographic characteristics of the respondents</w:t>
      </w:r>
    </w:p>
    <w:tbl>
      <w:tblPr>
        <w:tblStyle w:val="9"/>
        <w:tblW w:w="1581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07"/>
        <w:gridCol w:w="5054"/>
        <w:gridCol w:w="2805"/>
        <w:gridCol w:w="1842"/>
        <w:gridCol w:w="220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07" w:type="dxa"/>
            <w:tcBorders>
              <w:top w:val="single" w:color="auto" w:sz="12" w:space="0"/>
              <w:bottom w:val="single" w:color="auto" w:sz="12" w:space="0"/>
            </w:tcBorders>
            <w:vAlign w:val="center"/>
          </w:tcPr>
          <w:p>
            <w:pPr>
              <w:spacing w:line="360" w:lineRule="auto"/>
              <w:jc w:val="both"/>
              <w:rPr>
                <w:rFonts w:ascii="Book Antiqua" w:hAnsi="Book Antiqua" w:eastAsia="等线" w:cs="Times New Roman"/>
                <w:b/>
                <w:bCs/>
                <w:color w:val="000000" w:themeColor="text1"/>
                <w:kern w:val="2"/>
                <w:lang w:eastAsia="zh-CN"/>
                <w14:textFill>
                  <w14:solidFill>
                    <w14:schemeClr w14:val="tx1"/>
                  </w14:solidFill>
                </w14:textFill>
              </w:rPr>
            </w:pPr>
            <w:r>
              <w:rPr>
                <w:rFonts w:ascii="Book Antiqua" w:hAnsi="Book Antiqua" w:eastAsia="等线" w:cs="Times New Roman"/>
                <w:b/>
                <w:bCs/>
                <w:color w:val="000000" w:themeColor="text1"/>
                <w:kern w:val="2"/>
                <w:lang w:eastAsia="zh-CN"/>
                <w14:textFill>
                  <w14:solidFill>
                    <w14:schemeClr w14:val="tx1"/>
                  </w14:solidFill>
                </w14:textFill>
              </w:rPr>
              <w:t>Characteristics</w:t>
            </w:r>
          </w:p>
        </w:tc>
        <w:tc>
          <w:tcPr>
            <w:tcW w:w="5054" w:type="dxa"/>
            <w:tcBorders>
              <w:top w:val="single" w:color="auto" w:sz="12" w:space="0"/>
              <w:bottom w:val="single" w:color="auto" w:sz="12" w:space="0"/>
            </w:tcBorders>
            <w:vAlign w:val="center"/>
          </w:tcPr>
          <w:p>
            <w:pPr>
              <w:spacing w:line="360" w:lineRule="auto"/>
              <w:jc w:val="both"/>
              <w:rPr>
                <w:rFonts w:ascii="Book Antiqua" w:hAnsi="Book Antiqua" w:eastAsia="等线" w:cs="Times New Roman"/>
                <w:b/>
                <w:bCs/>
                <w:color w:val="000000" w:themeColor="text1"/>
                <w:kern w:val="2"/>
                <w:lang w:eastAsia="zh-CN"/>
                <w14:textFill>
                  <w14:solidFill>
                    <w14:schemeClr w14:val="tx1"/>
                  </w14:solidFill>
                </w14:textFill>
              </w:rPr>
            </w:pPr>
          </w:p>
        </w:tc>
        <w:tc>
          <w:tcPr>
            <w:tcW w:w="2805" w:type="dxa"/>
            <w:tcBorders>
              <w:top w:val="single" w:color="auto" w:sz="12" w:space="0"/>
              <w:bottom w:val="single" w:color="auto" w:sz="12" w:space="0"/>
            </w:tcBorders>
            <w:vAlign w:val="center"/>
          </w:tcPr>
          <w:p>
            <w:pPr>
              <w:spacing w:line="360" w:lineRule="auto"/>
              <w:jc w:val="both"/>
              <w:rPr>
                <w:rFonts w:ascii="Book Antiqua" w:hAnsi="Book Antiqua" w:eastAsia="等线" w:cs="Times New Roman"/>
                <w:b/>
                <w:bCs/>
                <w:color w:val="000000" w:themeColor="text1"/>
                <w:kern w:val="2"/>
                <w:lang w:eastAsia="zh-CN"/>
                <w14:textFill>
                  <w14:solidFill>
                    <w14:schemeClr w14:val="tx1"/>
                  </w14:solidFill>
                </w14:textFill>
              </w:rPr>
            </w:pPr>
            <w:r>
              <w:rPr>
                <w:rFonts w:ascii="Book Antiqua" w:hAnsi="Book Antiqua" w:eastAsia="等线" w:cs="Times New Roman"/>
                <w:b/>
                <w:bCs/>
                <w:color w:val="000000" w:themeColor="text1"/>
                <w:kern w:val="2"/>
                <w:lang w:eastAsia="zh-CN"/>
                <w14:textFill>
                  <w14:solidFill>
                    <w14:schemeClr w14:val="tx1"/>
                  </w14:solidFill>
                </w14:textFill>
              </w:rPr>
              <w:t>Participants (</w:t>
            </w:r>
            <w:r>
              <w:rPr>
                <w:rFonts w:ascii="Book Antiqua" w:hAnsi="Book Antiqua" w:eastAsia="等线" w:cs="Times New Roman"/>
                <w:b/>
                <w:bCs/>
                <w:i/>
                <w:iCs/>
                <w:color w:val="000000" w:themeColor="text1"/>
                <w:kern w:val="2"/>
                <w:lang w:eastAsia="zh-CN"/>
                <w14:textFill>
                  <w14:solidFill>
                    <w14:schemeClr w14:val="tx1"/>
                  </w14:solidFill>
                </w14:textFill>
              </w:rPr>
              <w:t>n</w:t>
            </w:r>
            <w:r>
              <w:rPr>
                <w:rFonts w:ascii="Book Antiqua" w:hAnsi="Book Antiqua" w:eastAsia="等线" w:cs="Times New Roman"/>
                <w:b/>
                <w:bCs/>
                <w:color w:val="000000" w:themeColor="text1"/>
                <w:kern w:val="2"/>
                <w:lang w:eastAsia="zh-CN"/>
                <w14:textFill>
                  <w14:solidFill>
                    <w14:schemeClr w14:val="tx1"/>
                  </w14:solidFill>
                </w14:textFill>
              </w:rPr>
              <w:t xml:space="preserve"> = 2678)</w:t>
            </w:r>
          </w:p>
        </w:tc>
        <w:tc>
          <w:tcPr>
            <w:tcW w:w="1842" w:type="dxa"/>
            <w:tcBorders>
              <w:top w:val="single" w:color="auto" w:sz="12" w:space="0"/>
              <w:bottom w:val="single" w:color="auto" w:sz="12" w:space="0"/>
            </w:tcBorders>
            <w:vAlign w:val="center"/>
          </w:tcPr>
          <w:p>
            <w:pPr>
              <w:spacing w:line="360" w:lineRule="auto"/>
              <w:jc w:val="both"/>
              <w:rPr>
                <w:rFonts w:ascii="Book Antiqua" w:hAnsi="Book Antiqua" w:eastAsia="等线" w:cs="Times New Roman"/>
                <w:b/>
                <w:bCs/>
                <w:color w:val="000000" w:themeColor="text1"/>
                <w:kern w:val="2"/>
                <w:lang w:eastAsia="zh-CN"/>
                <w14:textFill>
                  <w14:solidFill>
                    <w14:schemeClr w14:val="tx1"/>
                  </w14:solidFill>
                </w14:textFill>
              </w:rPr>
            </w:pPr>
            <w:r>
              <w:rPr>
                <w:rFonts w:ascii="Book Antiqua" w:hAnsi="Book Antiqua" w:eastAsia="等线" w:cs="Times New Roman"/>
                <w:b/>
                <w:bCs/>
                <w:color w:val="000000" w:themeColor="text1"/>
                <w:kern w:val="2"/>
                <w:lang w:eastAsia="zh-CN"/>
                <w14:textFill>
                  <w14:solidFill>
                    <w14:schemeClr w14:val="tx1"/>
                  </w14:solidFill>
                </w14:textFill>
              </w:rPr>
              <w:t>Percentage (%)</w:t>
            </w:r>
          </w:p>
        </w:tc>
        <w:tc>
          <w:tcPr>
            <w:tcW w:w="2204" w:type="dxa"/>
            <w:tcBorders>
              <w:top w:val="single" w:color="auto" w:sz="12" w:space="0"/>
              <w:bottom w:val="single" w:color="auto" w:sz="12" w:space="0"/>
            </w:tcBorders>
            <w:vAlign w:val="center"/>
          </w:tcPr>
          <w:p>
            <w:pPr>
              <w:spacing w:line="360" w:lineRule="auto"/>
              <w:jc w:val="both"/>
              <w:rPr>
                <w:rFonts w:ascii="Book Antiqua" w:hAnsi="Book Antiqua" w:eastAsia="等线" w:cs="Times New Roman"/>
                <w:b/>
                <w:bCs/>
                <w:color w:val="000000" w:themeColor="text1"/>
                <w:kern w:val="2"/>
                <w:lang w:eastAsia="zh-CN"/>
                <w14:textFill>
                  <w14:solidFill>
                    <w14:schemeClr w14:val="tx1"/>
                  </w14:solidFill>
                </w14:textFill>
              </w:rPr>
            </w:pPr>
            <w:r>
              <w:rPr>
                <w:rFonts w:ascii="Book Antiqua" w:hAnsi="Book Antiqua" w:eastAsia="等线" w:cs="Times New Roman"/>
                <w:b/>
                <w:bCs/>
                <w:color w:val="000000" w:themeColor="text1"/>
                <w:kern w:val="2"/>
                <w:lang w:eastAsia="zh-CN"/>
                <w14:textFill>
                  <w14:solidFill>
                    <w14:schemeClr w14:val="tx1"/>
                  </w14:solidFill>
                </w14:textFill>
              </w:rPr>
              <w:t xml:space="preserve">Mean </w:t>
            </w:r>
            <w:r>
              <w:rPr>
                <w:rFonts w:ascii="Book Antiqua" w:hAnsi="Book Antiqua" w:eastAsia="等线" w:cs="Times New Roman"/>
                <w:b/>
                <w:bCs/>
                <w:color w:val="000000" w:themeColor="text1"/>
                <w:kern w:val="2"/>
                <w:lang w:eastAsia="zh-CN"/>
                <w14:textFill>
                  <w14:solidFill>
                    <w14:schemeClr w14:val="tx1"/>
                  </w14:solidFill>
                </w14:textFill>
              </w:rPr>
              <w:sym w:font="Symbol" w:char="F0B1"/>
            </w:r>
            <w:r>
              <w:rPr>
                <w:rFonts w:ascii="Book Antiqua" w:hAnsi="Book Antiqua" w:eastAsia="等线" w:cs="Times New Roman"/>
                <w:b/>
                <w:bCs/>
                <w:color w:val="000000" w:themeColor="text1"/>
                <w:kern w:val="2"/>
                <w:lang w:eastAsia="zh-CN"/>
                <w14:textFill>
                  <w14:solidFill>
                    <w14:schemeClr w14:val="tx1"/>
                  </w14:solidFill>
                </w14:textFill>
              </w:rPr>
              <w:t xml:space="preserve"> 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Borders>
              <w:top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Gender</w:t>
            </w:r>
          </w:p>
        </w:tc>
        <w:tc>
          <w:tcPr>
            <w:tcW w:w="5054" w:type="dxa"/>
            <w:tcBorders>
              <w:top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Borders>
              <w:top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Borders>
              <w:top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Borders>
              <w:top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Male</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1112</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41.5</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Female</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1566</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58.5</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Distribution in China</w:t>
            </w: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Eastern</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328</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12.2</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Southern</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209</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7.8</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Central</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463</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17.3</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Northern</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1291</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48.2</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Northwest</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146</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5.5</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Southwest</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159</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5.9</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Northeast</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82</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3.1</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Place of work or residence</w:t>
            </w: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Urban</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2507</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93.6</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Rural</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171</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6.4</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Level of education</w:t>
            </w: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Junior high school and below</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69</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2.6</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Technical secondary school and high school</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187</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7.0</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College and bachelor’s degree</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1770</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66.1</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Master’s degree or above</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652</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24.3</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Medical-related work experience</w:t>
            </w: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Yes</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1986</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74.2</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No</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692</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25.8</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Personal income per month (¥)</w:t>
            </w: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&lt; 1000</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35</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1.3</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1001-3000</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270</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10.1</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3001-5000</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635</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23.7</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5001-10000</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877</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32.7</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505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&gt; 10000</w:t>
            </w:r>
          </w:p>
        </w:tc>
        <w:tc>
          <w:tcPr>
            <w:tcW w:w="2805"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861</w:t>
            </w:r>
          </w:p>
        </w:tc>
        <w:tc>
          <w:tcPr>
            <w:tcW w:w="1842"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32.2</w:t>
            </w:r>
          </w:p>
        </w:tc>
        <w:tc>
          <w:tcPr>
            <w:tcW w:w="2204" w:type="dxa"/>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3907" w:type="dxa"/>
            <w:tcBorders>
              <w:bottom w:val="nil"/>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Age</w:t>
            </w:r>
          </w:p>
        </w:tc>
        <w:tc>
          <w:tcPr>
            <w:tcW w:w="5054" w:type="dxa"/>
            <w:tcBorders>
              <w:bottom w:val="nil"/>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Borders>
              <w:bottom w:val="nil"/>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Borders>
              <w:bottom w:val="nil"/>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Borders>
              <w:bottom w:val="nil"/>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 xml:space="preserve">43.30 </w:t>
            </w:r>
            <w:r>
              <w:rPr>
                <w:rFonts w:ascii="Book Antiqua" w:hAnsi="Book Antiqua" w:eastAsia="等线" w:cs="Times New Roman"/>
                <w:color w:val="000000" w:themeColor="text1"/>
                <w:kern w:val="2"/>
                <w:lang w:eastAsia="zh-CN"/>
                <w14:textFill>
                  <w14:solidFill>
                    <w14:schemeClr w14:val="tx1"/>
                  </w14:solidFill>
                </w14:textFill>
              </w:rPr>
              <w:sym w:font="Symbol" w:char="F0B1"/>
            </w:r>
            <w:r>
              <w:rPr>
                <w:rFonts w:ascii="Book Antiqua" w:hAnsi="Book Antiqua" w:eastAsia="等线" w:cs="Times New Roman"/>
                <w:color w:val="000000" w:themeColor="text1"/>
                <w:kern w:val="2"/>
                <w:lang w:eastAsia="zh-CN"/>
                <w14:textFill>
                  <w14:solidFill>
                    <w14:schemeClr w14:val="tx1"/>
                  </w14:solidFill>
                </w14:textFill>
              </w:rPr>
              <w:t xml:space="preserve"> 11.70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3907" w:type="dxa"/>
            <w:tcBorders>
              <w:top w:val="nil"/>
              <w:bottom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BMI (kg/m</w:t>
            </w:r>
            <w:r>
              <w:rPr>
                <w:rFonts w:ascii="Book Antiqua" w:hAnsi="Book Antiqua" w:eastAsia="等线" w:cs="Times New Roman"/>
                <w:color w:val="000000" w:themeColor="text1"/>
                <w:kern w:val="2"/>
                <w:vertAlign w:val="superscript"/>
                <w:lang w:eastAsia="zh-CN"/>
                <w14:textFill>
                  <w14:solidFill>
                    <w14:schemeClr w14:val="tx1"/>
                  </w14:solidFill>
                </w14:textFill>
              </w:rPr>
              <w:t>2</w:t>
            </w:r>
            <w:r>
              <w:rPr>
                <w:rFonts w:ascii="Book Antiqua" w:hAnsi="Book Antiqua" w:eastAsia="等线" w:cs="Times New Roman"/>
                <w:color w:val="000000" w:themeColor="text1"/>
                <w:kern w:val="2"/>
                <w:lang w:eastAsia="zh-CN"/>
                <w14:textFill>
                  <w14:solidFill>
                    <w14:schemeClr w14:val="tx1"/>
                  </w14:solidFill>
                </w14:textFill>
              </w:rPr>
              <w:t>)</w:t>
            </w:r>
          </w:p>
        </w:tc>
        <w:tc>
          <w:tcPr>
            <w:tcW w:w="5054" w:type="dxa"/>
            <w:tcBorders>
              <w:top w:val="nil"/>
              <w:bottom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805" w:type="dxa"/>
            <w:tcBorders>
              <w:top w:val="nil"/>
              <w:bottom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1842" w:type="dxa"/>
            <w:tcBorders>
              <w:top w:val="nil"/>
              <w:bottom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p>
        </w:tc>
        <w:tc>
          <w:tcPr>
            <w:tcW w:w="2204" w:type="dxa"/>
            <w:tcBorders>
              <w:top w:val="nil"/>
              <w:bottom w:val="single" w:color="auto" w:sz="12" w:space="0"/>
            </w:tcBorders>
          </w:tcPr>
          <w:p>
            <w:pPr>
              <w:spacing w:line="360" w:lineRule="auto"/>
              <w:jc w:val="both"/>
              <w:rPr>
                <w:rFonts w:ascii="Book Antiqua" w:hAnsi="Book Antiqua" w:eastAsia="等线" w:cs="Times New Roman"/>
                <w:color w:val="000000" w:themeColor="text1"/>
                <w:kern w:val="2"/>
                <w:lang w:eastAsia="zh-CN"/>
                <w14:textFill>
                  <w14:solidFill>
                    <w14:schemeClr w14:val="tx1"/>
                  </w14:solidFill>
                </w14:textFill>
              </w:rPr>
            </w:pPr>
            <w:r>
              <w:rPr>
                <w:rFonts w:ascii="Book Antiqua" w:hAnsi="Book Antiqua" w:eastAsia="等线" w:cs="Times New Roman"/>
                <w:color w:val="000000" w:themeColor="text1"/>
                <w:kern w:val="2"/>
                <w:lang w:eastAsia="zh-CN"/>
                <w14:textFill>
                  <w14:solidFill>
                    <w14:schemeClr w14:val="tx1"/>
                  </w14:solidFill>
                </w14:textFill>
              </w:rPr>
              <w:t xml:space="preserve">23.54 </w:t>
            </w:r>
            <w:r>
              <w:rPr>
                <w:rFonts w:ascii="Book Antiqua" w:hAnsi="Book Antiqua" w:eastAsia="等线" w:cs="Times New Roman"/>
                <w:color w:val="000000" w:themeColor="text1"/>
                <w:kern w:val="2"/>
                <w:lang w:eastAsia="zh-CN"/>
                <w14:textFill>
                  <w14:solidFill>
                    <w14:schemeClr w14:val="tx1"/>
                  </w14:solidFill>
                </w14:textFill>
              </w:rPr>
              <w:sym w:font="Symbol" w:char="F0B1"/>
            </w:r>
            <w:r>
              <w:rPr>
                <w:rFonts w:ascii="Book Antiqua" w:hAnsi="Book Antiqua" w:eastAsia="等线" w:cs="Times New Roman"/>
                <w:color w:val="000000" w:themeColor="text1"/>
                <w:kern w:val="2"/>
                <w:lang w:eastAsia="zh-CN"/>
                <w14:textFill>
                  <w14:solidFill>
                    <w14:schemeClr w14:val="tx1"/>
                  </w14:solidFill>
                </w14:textFill>
              </w:rPr>
              <w:t xml:space="preserve"> 3.15</w:t>
            </w:r>
          </w:p>
        </w:tc>
      </w:tr>
    </w:tbl>
    <w:p>
      <w:pPr>
        <w:spacing w:line="360" w:lineRule="auto"/>
        <w:jc w:val="both"/>
        <w:rPr>
          <w:rFonts w:ascii="Book Antiqua" w:hAnsi="Book Antiqua" w:eastAsia="等线"/>
          <w:color w:val="000000" w:themeColor="text1"/>
          <w:kern w:val="2"/>
          <w14:textFill>
            <w14:solidFill>
              <w14:schemeClr w14:val="tx1"/>
            </w14:solidFill>
          </w14:textFill>
        </w:rPr>
      </w:pPr>
      <w:r>
        <w:rPr>
          <w:rFonts w:ascii="Book Antiqua" w:hAnsi="Book Antiqua" w:eastAsia="等线"/>
          <w:color w:val="000000" w:themeColor="text1"/>
          <w:kern w:val="2"/>
          <w14:textFill>
            <w14:solidFill>
              <w14:schemeClr w14:val="tx1"/>
            </w14:solidFill>
          </w14:textFill>
        </w:rPr>
        <w:t>BMI: Body mass index; SD: Standard deviation.</w:t>
      </w:r>
    </w:p>
    <w:p>
      <w:pPr>
        <w:pStyle w:val="6"/>
        <w:spacing w:before="0" w:beforeAutospacing="0" w:after="0" w:afterAutospacing="0" w:line="360" w:lineRule="auto"/>
        <w:jc w:val="both"/>
        <w:rPr>
          <w:rFonts w:ascii="Book Antiqua" w:hAnsi="Book Antiqua" w:eastAsia="等线" w:cs="Times New Roman"/>
          <w:b/>
          <w:bCs/>
          <w:color w:val="000000" w:themeColor="text1"/>
          <w:kern w:val="2"/>
          <w14:textFill>
            <w14:solidFill>
              <w14:schemeClr w14:val="tx1"/>
            </w14:solidFill>
          </w14:textFill>
        </w:rPr>
        <w:sectPr>
          <w:pgSz w:w="23811" w:h="16838" w:orient="landscape"/>
          <w:pgMar w:top="1800" w:right="1440" w:bottom="1800" w:left="1440" w:header="851" w:footer="992" w:gutter="0"/>
          <w:cols w:space="425" w:num="1"/>
          <w:docGrid w:type="lines" w:linePitch="326" w:charSpace="0"/>
        </w:sectPr>
      </w:pPr>
    </w:p>
    <w:p>
      <w:pPr>
        <w:pStyle w:val="6"/>
        <w:spacing w:before="0" w:beforeAutospacing="0" w:after="0" w:afterAutospacing="0" w:line="360" w:lineRule="auto"/>
        <w:jc w:val="both"/>
        <w:rPr>
          <w:rFonts w:ascii="Book Antiqua" w:hAnsi="Book Antiqua" w:eastAsia="等线" w:cs="Times New Roman"/>
          <w:b/>
          <w:bCs/>
          <w:color w:val="000000" w:themeColor="text1"/>
          <w:kern w:val="2"/>
          <w14:textFill>
            <w14:solidFill>
              <w14:schemeClr w14:val="tx1"/>
            </w14:solidFill>
          </w14:textFill>
        </w:rPr>
      </w:pPr>
      <w:r>
        <w:rPr>
          <w:rFonts w:ascii="Book Antiqua" w:hAnsi="Book Antiqua" w:eastAsia="等线" w:cs="Times New Roman"/>
          <w:b/>
          <w:bCs/>
          <w:color w:val="000000" w:themeColor="text1"/>
          <w:kern w:val="2"/>
          <w14:textFill>
            <w14:solidFill>
              <w14:schemeClr w14:val="tx1"/>
            </w14:solidFill>
          </w14:textFill>
        </w:rPr>
        <w:t>Table 2 Characteristics of the respondents’ level of initiative practice for health awareness</w:t>
      </w:r>
    </w:p>
    <w:tbl>
      <w:tblPr>
        <w:tblStyle w:val="8"/>
        <w:tblW w:w="13892"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57"/>
        <w:gridCol w:w="2126"/>
        <w:gridCol w:w="1843"/>
        <w:gridCol w:w="2126"/>
        <w:gridCol w:w="1417"/>
        <w:gridCol w:w="14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Variables</w:t>
            </w:r>
          </w:p>
        </w:tc>
        <w:tc>
          <w:tcPr>
            <w:tcW w:w="2126"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 xml:space="preserve">Case, </w:t>
            </w:r>
            <w:r>
              <w:rPr>
                <w:rFonts w:ascii="Book Antiqua" w:hAnsi="Book Antiqua" w:eastAsia="等线"/>
                <w:b/>
                <w:bCs/>
                <w:i/>
                <w:iCs/>
                <w:color w:val="000000" w:themeColor="text1"/>
                <w14:textFill>
                  <w14:solidFill>
                    <w14:schemeClr w14:val="tx1"/>
                  </w14:solidFill>
                </w14:textFill>
              </w:rPr>
              <w:t>n</w:t>
            </w:r>
            <w:r>
              <w:rPr>
                <w:rFonts w:ascii="Book Antiqua" w:hAnsi="Book Antiqua" w:eastAsia="等线"/>
                <w:b/>
                <w:bCs/>
                <w:color w:val="000000" w:themeColor="text1"/>
                <w14:textFill>
                  <w14:solidFill>
                    <w14:schemeClr w14:val="tx1"/>
                  </w14:solidFill>
                </w14:textFill>
              </w:rPr>
              <w:t xml:space="preserve"> (%)</w:t>
            </w:r>
          </w:p>
        </w:tc>
        <w:tc>
          <w:tcPr>
            <w:tcW w:w="3969" w:type="dxa"/>
            <w:gridSpan w:val="2"/>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Awareness</w:t>
            </w:r>
          </w:p>
        </w:tc>
        <w:tc>
          <w:tcPr>
            <w:tcW w:w="1417"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cs="Book Antiqua"/>
                <w:b/>
                <w:bCs/>
                <w:i/>
                <w:color w:val="000000" w:themeColor="text1"/>
                <w14:textFill>
                  <w14:solidFill>
                    <w14:schemeClr w14:val="tx1"/>
                  </w14:solidFill>
                </w14:textFill>
              </w:rPr>
              <w:t>χ</w:t>
            </w:r>
            <w:r>
              <w:rPr>
                <w:rFonts w:ascii="Book Antiqua" w:hAnsi="Book Antiqua" w:cs="Book Antiqua"/>
                <w:b/>
                <w:bCs/>
                <w:i/>
                <w:iCs/>
                <w:color w:val="000000" w:themeColor="text1"/>
                <w:vertAlign w:val="superscript"/>
                <w14:textFill>
                  <w14:solidFill>
                    <w14:schemeClr w14:val="tx1"/>
                  </w14:solidFill>
                </w14:textFill>
              </w:rPr>
              <w:t>2</w:t>
            </w:r>
          </w:p>
        </w:tc>
        <w:tc>
          <w:tcPr>
            <w:tcW w:w="1423"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i/>
                <w:iCs/>
                <w:color w:val="000000" w:themeColor="text1"/>
                <w14:textFill>
                  <w14:solidFill>
                    <w14:schemeClr w14:val="tx1"/>
                  </w14:solidFill>
                </w14:textFill>
              </w:rPr>
            </w:pPr>
            <w:r>
              <w:rPr>
                <w:rFonts w:ascii="Book Antiqua" w:hAnsi="Book Antiqua" w:eastAsia="等线"/>
                <w:b/>
                <w:bCs/>
                <w:i/>
                <w:iCs/>
                <w:color w:val="000000" w:themeColor="text1"/>
                <w14:textFill>
                  <w14:solidFill>
                    <w14:schemeClr w14:val="tx1"/>
                  </w14:solidFill>
                </w14:textFill>
              </w:rPr>
              <w:t xml:space="preserve">P </w:t>
            </w:r>
            <w:r>
              <w:rPr>
                <w:rFonts w:ascii="Book Antiqua" w:hAnsi="Book Antiqua" w:eastAsia="等线"/>
                <w:b/>
                <w:bCs/>
                <w:color w:val="000000" w:themeColor="text1"/>
                <w14:textFill>
                  <w14:solidFill>
                    <w14:schemeClr w14:val="tx1"/>
                  </w14:solidFill>
                </w14:textFill>
              </w:rPr>
              <w:t>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tcBorders>
              <w:top w:val="single" w:color="auto" w:sz="12" w:space="0"/>
            </w:tcBorders>
            <w:shd w:val="clear" w:color="auto" w:fill="auto"/>
            <w:vAlign w:val="center"/>
          </w:tcPr>
          <w:p>
            <w:pPr>
              <w:spacing w:line="360" w:lineRule="auto"/>
              <w:jc w:val="both"/>
              <w:rPr>
                <w:rFonts w:ascii="Book Antiqua" w:hAnsi="Book Antiqua" w:eastAsia="等线"/>
                <w:b/>
                <w:bCs/>
                <w:i/>
                <w:iCs/>
                <w:color w:val="000000" w:themeColor="text1"/>
                <w14:textFill>
                  <w14:solidFill>
                    <w14:schemeClr w14:val="tx1"/>
                  </w14:solidFill>
                </w14:textFill>
              </w:rPr>
            </w:pPr>
          </w:p>
        </w:tc>
        <w:tc>
          <w:tcPr>
            <w:tcW w:w="2126" w:type="dxa"/>
            <w:tcBorders>
              <w:top w:val="single" w:color="auto" w:sz="12" w:space="0"/>
            </w:tcBorders>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843" w:type="dxa"/>
            <w:tcBorders>
              <w:top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Weak,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2126" w:type="dxa"/>
            <w:tcBorders>
              <w:top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Strong, </w:t>
            </w:r>
            <w:r>
              <w:rPr>
                <w:rFonts w:ascii="Book Antiqua" w:hAnsi="Book Antiqua" w:eastAsia="等线"/>
                <w:i/>
                <w:iCs/>
                <w:color w:val="000000" w:themeColor="text1"/>
                <w14:textFill>
                  <w14:solidFill>
                    <w14:schemeClr w14:val="tx1"/>
                  </w14:solidFill>
                </w14:textFill>
              </w:rPr>
              <w:t>n</w:t>
            </w:r>
            <w:r>
              <w:rPr>
                <w:rFonts w:ascii="Book Antiqua" w:hAnsi="Book Antiqua" w:eastAsia="等线"/>
                <w:color w:val="000000" w:themeColor="text1"/>
                <w14:textFill>
                  <w14:solidFill>
                    <w14:schemeClr w14:val="tx1"/>
                  </w14:solidFill>
                </w14:textFill>
              </w:rPr>
              <w:t xml:space="preserve"> (%)</w:t>
            </w:r>
          </w:p>
        </w:tc>
        <w:tc>
          <w:tcPr>
            <w:tcW w:w="1417" w:type="dxa"/>
            <w:tcBorders>
              <w:top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423" w:type="dxa"/>
            <w:tcBorders>
              <w:top w:val="single" w:color="auto" w:sz="12" w:space="0"/>
            </w:tcBorders>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Total</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2678</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1613 (60.2)</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1065 (39.8)</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Gender</w:t>
            </w:r>
          </w:p>
        </w:tc>
        <w:tc>
          <w:tcPr>
            <w:tcW w:w="2126" w:type="dxa"/>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1.598</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0.206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Male</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1112 (41.5)</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654 (58.8)</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458 (41.2)</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Female</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1566 (58.5)</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959 (61.2)</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607 (38.8)</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Age, (yr)</w:t>
            </w:r>
          </w:p>
        </w:tc>
        <w:tc>
          <w:tcPr>
            <w:tcW w:w="2126" w:type="dxa"/>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45.256</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40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1088 (40.6)</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739 (67.9)</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349 (32.1)</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&gt; 40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1590 (59.4)</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874 (55.0)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716 (45.0)</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Place of work or residence</w:t>
            </w:r>
          </w:p>
        </w:tc>
        <w:tc>
          <w:tcPr>
            <w:tcW w:w="2126" w:type="dxa"/>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5.115</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0.024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Urban</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2507 (93.6)</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1496 (59.7)</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1011 (40.3)</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Rural</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171 (6.4)</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117 (68.4)</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54 (31.6)</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Level of education</w:t>
            </w:r>
          </w:p>
        </w:tc>
        <w:tc>
          <w:tcPr>
            <w:tcW w:w="2126" w:type="dxa"/>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4.694</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0.196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Junior high school and below</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69 (2.6)</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50 (72.5)</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19 (27.5)</w:t>
            </w:r>
          </w:p>
        </w:tc>
        <w:tc>
          <w:tcPr>
            <w:tcW w:w="1417" w:type="dxa"/>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Technical secondary school and high school</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187 (7.0)</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109 (58.3)</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78 (41.7)</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College and bachelor’s degree</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1770 (66.1)</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1065 (60.2)</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705 (39.8)</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Master’s degree or above</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652 (24.3)</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389 (59.7)</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263 (40.3)</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Medical-related work experience</w:t>
            </w:r>
          </w:p>
        </w:tc>
        <w:tc>
          <w:tcPr>
            <w:tcW w:w="2126" w:type="dxa"/>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22.165</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Yes</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1986 (74.2)</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1144 (57.6)</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842 (42.4)</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No</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692 (25.8)</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469 (67.8)</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223 (32.2)</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Personal income per month (¥)</w:t>
            </w:r>
          </w:p>
        </w:tc>
        <w:tc>
          <w:tcPr>
            <w:tcW w:w="2126" w:type="dxa"/>
            <w:shd w:val="clear" w:color="auto" w:fill="auto"/>
            <w:noWrap/>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21.443</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0.001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1000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35 (1.3)</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28 (80.0)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7 (20.0)</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1001-3000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270 (10.1)</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181 (67.0)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89 (33.0)</w:t>
            </w:r>
          </w:p>
        </w:tc>
        <w:tc>
          <w:tcPr>
            <w:tcW w:w="1417" w:type="dxa"/>
            <w:shd w:val="clear" w:color="auto" w:fill="auto"/>
            <w:noWrap/>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noWrap/>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3001-5000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635 (23.7)</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407 (64.1)</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228 (35.9)</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5001-10000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877 (32.7)</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511 (58.3)</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366 (41.7)</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&gt; 10000</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861 (32.2)</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486 (56.4)</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375 (43.6)</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BMI (kg/m</w:t>
            </w:r>
            <w:r>
              <w:rPr>
                <w:rFonts w:ascii="Book Antiqua" w:hAnsi="Book Antiqua" w:eastAsia="等线"/>
                <w:color w:val="000000" w:themeColor="text1"/>
                <w:vertAlign w:val="superscript"/>
                <w14:textFill>
                  <w14:solidFill>
                    <w14:schemeClr w14:val="tx1"/>
                  </w14:solidFill>
                </w14:textFill>
              </w:rPr>
              <w:t>2</w:t>
            </w:r>
            <w:r>
              <w:rPr>
                <w:rFonts w:ascii="Book Antiqua" w:hAnsi="Book Antiqua" w:eastAsia="等线"/>
                <w:color w:val="000000" w:themeColor="text1"/>
                <w14:textFill>
                  <w14:solidFill>
                    <w14:schemeClr w14:val="tx1"/>
                  </w14:solidFill>
                </w14:textFill>
              </w:rPr>
              <w:t>)</w:t>
            </w:r>
          </w:p>
        </w:tc>
        <w:tc>
          <w:tcPr>
            <w:tcW w:w="2126" w:type="dxa"/>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p>
        </w:tc>
        <w:tc>
          <w:tcPr>
            <w:tcW w:w="184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2126"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11.392</w:t>
            </w:r>
          </w:p>
        </w:tc>
        <w:tc>
          <w:tcPr>
            <w:tcW w:w="142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0.01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18.5</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101 (3.8)</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77 (76.2)</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24 (23.8)</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18.5-23.9</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1440 (53.8)</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857 (59.5)</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583 (40.5)</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24-27.9</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907 (33.8)</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539 (59.4)</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368 (40.6)</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95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&gt; 28</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230 (8.6)</w:t>
            </w:r>
          </w:p>
        </w:tc>
        <w:tc>
          <w:tcPr>
            <w:tcW w:w="1843"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140 (60.9)</w:t>
            </w:r>
          </w:p>
        </w:tc>
        <w:tc>
          <w:tcPr>
            <w:tcW w:w="2126"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90 (39.1)</w:t>
            </w:r>
          </w:p>
        </w:tc>
        <w:tc>
          <w:tcPr>
            <w:tcW w:w="1417"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p>
        </w:tc>
        <w:tc>
          <w:tcPr>
            <w:tcW w:w="1423" w:type="dxa"/>
            <w:shd w:val="clear" w:color="auto" w:fill="auto"/>
            <w:vAlign w:val="center"/>
          </w:tcPr>
          <w:p>
            <w:pPr>
              <w:spacing w:line="360" w:lineRule="auto"/>
              <w:jc w:val="both"/>
              <w:rPr>
                <w:rFonts w:ascii="Book Antiqua" w:hAnsi="Book Antiqua" w:eastAsia="Times New Roman"/>
                <w:color w:val="000000" w:themeColor="text1"/>
                <w14:textFill>
                  <w14:solidFill>
                    <w14:schemeClr w14:val="tx1"/>
                  </w14:solidFill>
                </w14:textFill>
              </w:rPr>
            </w:pPr>
          </w:p>
        </w:tc>
      </w:tr>
    </w:tbl>
    <w:p>
      <w:pPr>
        <w:spacing w:line="360" w:lineRule="auto"/>
        <w:jc w:val="both"/>
        <w:rPr>
          <w:rFonts w:ascii="Book Antiqua" w:hAnsi="Book Antiqua" w:eastAsia="等线"/>
          <w:color w:val="000000" w:themeColor="text1"/>
          <w:kern w:val="2"/>
          <w14:textFill>
            <w14:solidFill>
              <w14:schemeClr w14:val="tx1"/>
            </w14:solidFill>
          </w14:textFill>
        </w:rPr>
      </w:pPr>
      <w:r>
        <w:rPr>
          <w:rFonts w:ascii="Book Antiqua" w:hAnsi="Book Antiqua" w:eastAsia="等线"/>
          <w:color w:val="000000" w:themeColor="text1"/>
          <w:kern w:val="2"/>
          <w14:textFill>
            <w14:solidFill>
              <w14:schemeClr w14:val="tx1"/>
            </w14:solidFill>
          </w14:textFill>
        </w:rPr>
        <w:t>BMI: Body mass index.</w:t>
      </w:r>
    </w:p>
    <w:p>
      <w:pPr>
        <w:pStyle w:val="6"/>
        <w:spacing w:before="0" w:beforeAutospacing="0" w:after="0" w:afterAutospacing="0" w:line="360" w:lineRule="auto"/>
        <w:jc w:val="both"/>
        <w:rPr>
          <w:rFonts w:ascii="Book Antiqua" w:hAnsi="Book Antiqua" w:eastAsia="等线" w:cs="Times New Roman"/>
          <w:b/>
          <w:bCs/>
          <w:color w:val="000000" w:themeColor="text1"/>
          <w:kern w:val="2"/>
          <w14:textFill>
            <w14:solidFill>
              <w14:schemeClr w14:val="tx1"/>
            </w14:solidFill>
          </w14:textFill>
        </w:rPr>
        <w:sectPr>
          <w:pgSz w:w="16838" w:h="11906" w:orient="landscape"/>
          <w:pgMar w:top="1800" w:right="1440" w:bottom="1800" w:left="1440" w:header="851" w:footer="992" w:gutter="0"/>
          <w:cols w:space="425" w:num="1"/>
          <w:docGrid w:type="lines" w:linePitch="326" w:charSpace="0"/>
        </w:sectPr>
      </w:pPr>
    </w:p>
    <w:p>
      <w:pPr>
        <w:pStyle w:val="6"/>
        <w:spacing w:before="0" w:beforeAutospacing="0" w:after="0" w:afterAutospacing="0" w:line="360" w:lineRule="auto"/>
        <w:jc w:val="both"/>
        <w:rPr>
          <w:rFonts w:ascii="Book Antiqua" w:hAnsi="Book Antiqua" w:eastAsia="等线" w:cs="Times New Roman"/>
          <w:b/>
          <w:bCs/>
          <w:color w:val="000000" w:themeColor="text1"/>
          <w:kern w:val="2"/>
          <w14:textFill>
            <w14:solidFill>
              <w14:schemeClr w14:val="tx1"/>
            </w14:solidFill>
          </w14:textFill>
        </w:rPr>
      </w:pPr>
      <w:r>
        <w:rPr>
          <w:rFonts w:ascii="Book Antiqua" w:hAnsi="Book Antiqua" w:eastAsia="等线" w:cs="Times New Roman"/>
          <w:b/>
          <w:bCs/>
          <w:color w:val="000000" w:themeColor="text1"/>
          <w:kern w:val="2"/>
          <w14:textFill>
            <w14:solidFill>
              <w14:schemeClr w14:val="tx1"/>
            </w14:solidFill>
          </w14:textFill>
        </w:rPr>
        <w:t>Table 3 Multivariate logistic regression analysis of the influential factors associated with the level of initiative practice for health awareness</w:t>
      </w:r>
    </w:p>
    <w:tbl>
      <w:tblPr>
        <w:tblStyle w:val="8"/>
        <w:tblW w:w="1402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8"/>
        <w:gridCol w:w="3260"/>
        <w:gridCol w:w="3402"/>
        <w:gridCol w:w="31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4248"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Variables</w:t>
            </w:r>
          </w:p>
        </w:tc>
        <w:tc>
          <w:tcPr>
            <w:tcW w:w="3260"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i/>
                <w:iCs/>
                <w:color w:val="000000" w:themeColor="text1"/>
                <w14:textFill>
                  <w14:solidFill>
                    <w14:schemeClr w14:val="tx1"/>
                  </w14:solidFill>
                </w14:textFill>
              </w:rPr>
            </w:pPr>
            <w:r>
              <w:rPr>
                <w:rFonts w:ascii="Book Antiqua" w:hAnsi="Book Antiqua" w:eastAsia="等线"/>
                <w:b/>
                <w:bCs/>
                <w:i/>
                <w:iCs/>
                <w:color w:val="000000" w:themeColor="text1"/>
                <w14:textFill>
                  <w14:solidFill>
                    <w14:schemeClr w14:val="tx1"/>
                  </w14:solidFill>
                </w14:textFill>
              </w:rPr>
              <w:t>B</w:t>
            </w:r>
          </w:p>
        </w:tc>
        <w:tc>
          <w:tcPr>
            <w:tcW w:w="3402"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color w:val="000000" w:themeColor="text1"/>
                <w14:textFill>
                  <w14:solidFill>
                    <w14:schemeClr w14:val="tx1"/>
                  </w14:solidFill>
                </w14:textFill>
              </w:rPr>
            </w:pPr>
            <w:r>
              <w:rPr>
                <w:rFonts w:ascii="Book Antiqua" w:hAnsi="Book Antiqua" w:eastAsia="等线"/>
                <w:b/>
                <w:bCs/>
                <w:color w:val="000000" w:themeColor="text1"/>
                <w14:textFill>
                  <w14:solidFill>
                    <w14:schemeClr w14:val="tx1"/>
                  </w14:solidFill>
                </w14:textFill>
              </w:rPr>
              <w:t>OR (95%CI)</w:t>
            </w:r>
          </w:p>
        </w:tc>
        <w:tc>
          <w:tcPr>
            <w:tcW w:w="3119" w:type="dxa"/>
            <w:tcBorders>
              <w:top w:val="single" w:color="auto" w:sz="12" w:space="0"/>
              <w:bottom w:val="single" w:color="auto" w:sz="12" w:space="0"/>
            </w:tcBorders>
            <w:shd w:val="clear" w:color="auto" w:fill="auto"/>
            <w:vAlign w:val="center"/>
          </w:tcPr>
          <w:p>
            <w:pPr>
              <w:spacing w:line="360" w:lineRule="auto"/>
              <w:jc w:val="both"/>
              <w:rPr>
                <w:rFonts w:ascii="Book Antiqua" w:hAnsi="Book Antiqua" w:eastAsia="等线"/>
                <w:b/>
                <w:bCs/>
                <w:i/>
                <w:iCs/>
                <w:color w:val="000000" w:themeColor="text1"/>
                <w14:textFill>
                  <w14:solidFill>
                    <w14:schemeClr w14:val="tx1"/>
                  </w14:solidFill>
                </w14:textFill>
              </w:rPr>
            </w:pPr>
            <w:r>
              <w:rPr>
                <w:rFonts w:ascii="Book Antiqua" w:hAnsi="Book Antiqua" w:eastAsia="等线"/>
                <w:b/>
                <w:bCs/>
                <w:i/>
                <w:iCs/>
                <w:color w:val="000000" w:themeColor="text1"/>
                <w14:textFill>
                  <w14:solidFill>
                    <w14:schemeClr w14:val="tx1"/>
                  </w14:solidFill>
                </w14:textFill>
              </w:rPr>
              <w:t>P</w:t>
            </w:r>
            <w:r>
              <w:rPr>
                <w:rFonts w:ascii="Book Antiqua" w:hAnsi="Book Antiqua" w:eastAsia="等线"/>
                <w:b/>
                <w:bCs/>
                <w:color w:val="000000" w:themeColor="text1"/>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4248" w:type="dxa"/>
            <w:tcBorders>
              <w:top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Age</w:t>
            </w:r>
          </w:p>
        </w:tc>
        <w:tc>
          <w:tcPr>
            <w:tcW w:w="3260" w:type="dxa"/>
            <w:tcBorders>
              <w:top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0.561</w:t>
            </w:r>
          </w:p>
        </w:tc>
        <w:tc>
          <w:tcPr>
            <w:tcW w:w="3402" w:type="dxa"/>
            <w:tcBorders>
              <w:top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1.752 (1.485-2.067)</w:t>
            </w:r>
          </w:p>
        </w:tc>
        <w:tc>
          <w:tcPr>
            <w:tcW w:w="3119" w:type="dxa"/>
            <w:tcBorders>
              <w:top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4248"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Place of work or residence</w:t>
            </w:r>
          </w:p>
        </w:tc>
        <w:tc>
          <w:tcPr>
            <w:tcW w:w="3260"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-0.145</w:t>
            </w:r>
          </w:p>
        </w:tc>
        <w:tc>
          <w:tcPr>
            <w:tcW w:w="3402"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0.865 (0.610-1.227)</w:t>
            </w:r>
          </w:p>
        </w:tc>
        <w:tc>
          <w:tcPr>
            <w:tcW w:w="3119"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4248"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 xml:space="preserve">Medical-related work experience </w:t>
            </w:r>
          </w:p>
        </w:tc>
        <w:tc>
          <w:tcPr>
            <w:tcW w:w="3260"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0.456</w:t>
            </w:r>
          </w:p>
        </w:tc>
        <w:tc>
          <w:tcPr>
            <w:tcW w:w="3402"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1.577 (1.308-1.902)</w:t>
            </w:r>
          </w:p>
        </w:tc>
        <w:tc>
          <w:tcPr>
            <w:tcW w:w="3119" w:type="dxa"/>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4248" w:type="dxa"/>
            <w:tcBorders>
              <w:bottom w:val="nil"/>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Personal income per month (¥)</w:t>
            </w:r>
          </w:p>
        </w:tc>
        <w:tc>
          <w:tcPr>
            <w:tcW w:w="3260" w:type="dxa"/>
            <w:tcBorders>
              <w:bottom w:val="nil"/>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0.116</w:t>
            </w:r>
          </w:p>
        </w:tc>
        <w:tc>
          <w:tcPr>
            <w:tcW w:w="3402" w:type="dxa"/>
            <w:tcBorders>
              <w:bottom w:val="nil"/>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1.123 (1.035-1.217)</w:t>
            </w:r>
          </w:p>
        </w:tc>
        <w:tc>
          <w:tcPr>
            <w:tcW w:w="3119" w:type="dxa"/>
            <w:tcBorders>
              <w:bottom w:val="nil"/>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248" w:type="dxa"/>
            <w:tcBorders>
              <w:top w:val="nil"/>
              <w:bottom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BMI</w:t>
            </w:r>
          </w:p>
        </w:tc>
        <w:tc>
          <w:tcPr>
            <w:tcW w:w="3260" w:type="dxa"/>
            <w:tcBorders>
              <w:top w:val="nil"/>
              <w:bottom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0.013</w:t>
            </w:r>
          </w:p>
        </w:tc>
        <w:tc>
          <w:tcPr>
            <w:tcW w:w="3402" w:type="dxa"/>
            <w:tcBorders>
              <w:top w:val="nil"/>
              <w:bottom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1.013 (0.905-1.134)</w:t>
            </w:r>
          </w:p>
        </w:tc>
        <w:tc>
          <w:tcPr>
            <w:tcW w:w="3119" w:type="dxa"/>
            <w:tcBorders>
              <w:top w:val="nil"/>
              <w:bottom w:val="single" w:color="auto" w:sz="12" w:space="0"/>
            </w:tcBorders>
            <w:shd w:val="clear" w:color="auto" w:fill="auto"/>
            <w:vAlign w:val="center"/>
          </w:tcPr>
          <w:p>
            <w:pPr>
              <w:spacing w:line="360" w:lineRule="auto"/>
              <w:jc w:val="both"/>
              <w:rPr>
                <w:rFonts w:ascii="Book Antiqua" w:hAnsi="Book Antiqua" w:eastAsia="等线"/>
                <w:color w:val="000000" w:themeColor="text1"/>
                <w14:textFill>
                  <w14:solidFill>
                    <w14:schemeClr w14:val="tx1"/>
                  </w14:solidFill>
                </w14:textFill>
              </w:rPr>
            </w:pPr>
            <w:r>
              <w:rPr>
                <w:rFonts w:ascii="Book Antiqua" w:hAnsi="Book Antiqua" w:eastAsia="等线"/>
                <w:color w:val="000000" w:themeColor="text1"/>
                <w14:textFill>
                  <w14:solidFill>
                    <w14:schemeClr w14:val="tx1"/>
                  </w14:solidFill>
                </w14:textFill>
              </w:rPr>
              <w:t>0.823</w:t>
            </w:r>
          </w:p>
        </w:tc>
      </w:tr>
    </w:tbl>
    <w:p>
      <w:pPr>
        <w:spacing w:line="360" w:lineRule="auto"/>
        <w:jc w:val="both"/>
        <w:rPr>
          <w:rFonts w:ascii="Book Antiqua" w:hAnsi="Book Antiqua" w:eastAsia="等线"/>
          <w:color w:val="000000" w:themeColor="text1"/>
          <w:kern w:val="2"/>
          <w14:textFill>
            <w14:solidFill>
              <w14:schemeClr w14:val="tx1"/>
            </w14:solidFill>
          </w14:textFill>
        </w:rPr>
        <w:sectPr>
          <w:pgSz w:w="16838" w:h="11906" w:orient="landscape"/>
          <w:pgMar w:top="1800" w:right="1440" w:bottom="1800" w:left="1440" w:header="851" w:footer="992" w:gutter="0"/>
          <w:cols w:space="425" w:num="1"/>
          <w:docGrid w:type="lines" w:linePitch="326" w:charSpace="0"/>
        </w:sectPr>
      </w:pPr>
      <w:r>
        <w:rPr>
          <w:rFonts w:ascii="Book Antiqua" w:hAnsi="Book Antiqua" w:eastAsia="等线"/>
          <w:color w:val="000000" w:themeColor="text1"/>
          <w:kern w:val="2"/>
          <w14:textFill>
            <w14:solidFill>
              <w14:schemeClr w14:val="tx1"/>
            </w14:solidFill>
          </w14:textFill>
        </w:rPr>
        <w:t>BMI: Body mass index; CI: Confidence interval; OR: Odds ratio.</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等线"/>
          <w:color w:val="000000" w:themeColor="text1"/>
          <w:kern w:val="2"/>
          <w14:textFill>
            <w14:solidFill>
              <w14:schemeClr w14:val="tx1"/>
            </w14:solidFill>
          </w14:textFill>
        </w:rPr>
      </w:pPr>
    </w:p>
    <w:p>
      <w:pPr>
        <w:spacing w:line="360" w:lineRule="auto"/>
        <w:jc w:val="both"/>
        <w:rPr>
          <w:rFonts w:ascii="Book Antiqua" w:hAnsi="Book Antiqua" w:eastAsia="等线"/>
          <w:color w:val="000000" w:themeColor="text1"/>
          <w:kern w:val="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color w:val="4F81BD" w:themeColor="accent1"/>
        <w:lang w:val="zh-CN" w:eastAsia="zh-CN"/>
        <w14:textFill>
          <w14:solidFill>
            <w14:schemeClr w14:val="accent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32</w:t>
    </w:r>
    <w:r>
      <w:rPr>
        <w:rFonts w:ascii="Book Antiqua" w:hAnsi="Book Antiqua"/>
        <w:color w:val="000000" w:themeColor="text1"/>
        <w:sz w:val="24"/>
        <w:szCs w:val="24"/>
        <w14:textFill>
          <w14:solidFill>
            <w14:schemeClr w14:val="tx1"/>
          </w14:solidFill>
        </w14:textFill>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01A12"/>
    <w:rsid w:val="00013BF5"/>
    <w:rsid w:val="00024155"/>
    <w:rsid w:val="000440DE"/>
    <w:rsid w:val="000541E7"/>
    <w:rsid w:val="00063C3F"/>
    <w:rsid w:val="000750E8"/>
    <w:rsid w:val="00081A2E"/>
    <w:rsid w:val="000A4DFD"/>
    <w:rsid w:val="000B1314"/>
    <w:rsid w:val="000B47E4"/>
    <w:rsid w:val="000B5A34"/>
    <w:rsid w:val="000B5AFB"/>
    <w:rsid w:val="000E0F2D"/>
    <w:rsid w:val="000E7B17"/>
    <w:rsid w:val="000F0854"/>
    <w:rsid w:val="00106C7A"/>
    <w:rsid w:val="00112A15"/>
    <w:rsid w:val="001165A3"/>
    <w:rsid w:val="00134C39"/>
    <w:rsid w:val="00144FF6"/>
    <w:rsid w:val="0015255E"/>
    <w:rsid w:val="0018519D"/>
    <w:rsid w:val="001B7EDF"/>
    <w:rsid w:val="001C43DD"/>
    <w:rsid w:val="001D3A93"/>
    <w:rsid w:val="001D4A33"/>
    <w:rsid w:val="001E5238"/>
    <w:rsid w:val="001F61D6"/>
    <w:rsid w:val="002115A1"/>
    <w:rsid w:val="002302EF"/>
    <w:rsid w:val="002507A3"/>
    <w:rsid w:val="00254B37"/>
    <w:rsid w:val="002D5640"/>
    <w:rsid w:val="002D5746"/>
    <w:rsid w:val="003155FC"/>
    <w:rsid w:val="00360166"/>
    <w:rsid w:val="00362F78"/>
    <w:rsid w:val="00383B61"/>
    <w:rsid w:val="003849A1"/>
    <w:rsid w:val="00395DA2"/>
    <w:rsid w:val="003B040F"/>
    <w:rsid w:val="003C524F"/>
    <w:rsid w:val="003D31F8"/>
    <w:rsid w:val="003D50BD"/>
    <w:rsid w:val="003E0A9C"/>
    <w:rsid w:val="003E22A6"/>
    <w:rsid w:val="0040718A"/>
    <w:rsid w:val="00412A6B"/>
    <w:rsid w:val="00420B8E"/>
    <w:rsid w:val="004245AE"/>
    <w:rsid w:val="0042487A"/>
    <w:rsid w:val="00437B99"/>
    <w:rsid w:val="004411F1"/>
    <w:rsid w:val="004500E9"/>
    <w:rsid w:val="00465833"/>
    <w:rsid w:val="00473E1C"/>
    <w:rsid w:val="004760D9"/>
    <w:rsid w:val="004A5551"/>
    <w:rsid w:val="004A5F7E"/>
    <w:rsid w:val="004C0EF3"/>
    <w:rsid w:val="004E16D4"/>
    <w:rsid w:val="005171AF"/>
    <w:rsid w:val="00522B7C"/>
    <w:rsid w:val="00527D27"/>
    <w:rsid w:val="00540C3E"/>
    <w:rsid w:val="00541980"/>
    <w:rsid w:val="00553AE5"/>
    <w:rsid w:val="00556468"/>
    <w:rsid w:val="00557573"/>
    <w:rsid w:val="00557A23"/>
    <w:rsid w:val="0056591F"/>
    <w:rsid w:val="0057462A"/>
    <w:rsid w:val="00590277"/>
    <w:rsid w:val="005B3BB8"/>
    <w:rsid w:val="005D06FE"/>
    <w:rsid w:val="005D2EEF"/>
    <w:rsid w:val="005E4B12"/>
    <w:rsid w:val="0060241C"/>
    <w:rsid w:val="00611506"/>
    <w:rsid w:val="006260E8"/>
    <w:rsid w:val="0064078D"/>
    <w:rsid w:val="006428CD"/>
    <w:rsid w:val="00652DDF"/>
    <w:rsid w:val="00670766"/>
    <w:rsid w:val="00677BE7"/>
    <w:rsid w:val="00680846"/>
    <w:rsid w:val="0069244E"/>
    <w:rsid w:val="006979AA"/>
    <w:rsid w:val="006B79B6"/>
    <w:rsid w:val="006C03E1"/>
    <w:rsid w:val="006D24FE"/>
    <w:rsid w:val="006D41DA"/>
    <w:rsid w:val="006E4786"/>
    <w:rsid w:val="006F023C"/>
    <w:rsid w:val="00753E09"/>
    <w:rsid w:val="007570A8"/>
    <w:rsid w:val="00761336"/>
    <w:rsid w:val="007764D2"/>
    <w:rsid w:val="007841FF"/>
    <w:rsid w:val="007954FF"/>
    <w:rsid w:val="007A4000"/>
    <w:rsid w:val="007C0FDC"/>
    <w:rsid w:val="007E5224"/>
    <w:rsid w:val="0081153B"/>
    <w:rsid w:val="00815778"/>
    <w:rsid w:val="0083046D"/>
    <w:rsid w:val="00832348"/>
    <w:rsid w:val="00833DF4"/>
    <w:rsid w:val="008358F8"/>
    <w:rsid w:val="0084236A"/>
    <w:rsid w:val="00852D4D"/>
    <w:rsid w:val="0088216F"/>
    <w:rsid w:val="008A256C"/>
    <w:rsid w:val="008C4322"/>
    <w:rsid w:val="008D5E4F"/>
    <w:rsid w:val="008D71CD"/>
    <w:rsid w:val="008E3D4F"/>
    <w:rsid w:val="008E74BD"/>
    <w:rsid w:val="0090728A"/>
    <w:rsid w:val="009131C3"/>
    <w:rsid w:val="009150CE"/>
    <w:rsid w:val="00922F0E"/>
    <w:rsid w:val="00943EAF"/>
    <w:rsid w:val="00952A57"/>
    <w:rsid w:val="00956A9E"/>
    <w:rsid w:val="00991BB8"/>
    <w:rsid w:val="00991FE5"/>
    <w:rsid w:val="009B618A"/>
    <w:rsid w:val="009D05A9"/>
    <w:rsid w:val="009D0E16"/>
    <w:rsid w:val="009D1273"/>
    <w:rsid w:val="009D6C05"/>
    <w:rsid w:val="009F0384"/>
    <w:rsid w:val="00A0184B"/>
    <w:rsid w:val="00A45875"/>
    <w:rsid w:val="00A5131B"/>
    <w:rsid w:val="00A56B26"/>
    <w:rsid w:val="00A571EA"/>
    <w:rsid w:val="00A706D6"/>
    <w:rsid w:val="00A71296"/>
    <w:rsid w:val="00A77884"/>
    <w:rsid w:val="00A77B3E"/>
    <w:rsid w:val="00A8282C"/>
    <w:rsid w:val="00A84429"/>
    <w:rsid w:val="00AB2375"/>
    <w:rsid w:val="00AB5C1A"/>
    <w:rsid w:val="00B069D9"/>
    <w:rsid w:val="00B35693"/>
    <w:rsid w:val="00B66261"/>
    <w:rsid w:val="00B857D4"/>
    <w:rsid w:val="00BA5760"/>
    <w:rsid w:val="00BB10EE"/>
    <w:rsid w:val="00BD5362"/>
    <w:rsid w:val="00C0212F"/>
    <w:rsid w:val="00C1388A"/>
    <w:rsid w:val="00C173EA"/>
    <w:rsid w:val="00C2270B"/>
    <w:rsid w:val="00C32C88"/>
    <w:rsid w:val="00C338D6"/>
    <w:rsid w:val="00C47DFA"/>
    <w:rsid w:val="00C60B91"/>
    <w:rsid w:val="00C8554E"/>
    <w:rsid w:val="00CA02E6"/>
    <w:rsid w:val="00CA2A55"/>
    <w:rsid w:val="00CE71CD"/>
    <w:rsid w:val="00CF0466"/>
    <w:rsid w:val="00D00D62"/>
    <w:rsid w:val="00D22CB4"/>
    <w:rsid w:val="00D3458F"/>
    <w:rsid w:val="00D473EF"/>
    <w:rsid w:val="00D47792"/>
    <w:rsid w:val="00D57678"/>
    <w:rsid w:val="00D765D5"/>
    <w:rsid w:val="00D76878"/>
    <w:rsid w:val="00D7758C"/>
    <w:rsid w:val="00D903A8"/>
    <w:rsid w:val="00D93025"/>
    <w:rsid w:val="00DA75BB"/>
    <w:rsid w:val="00DD606A"/>
    <w:rsid w:val="00DE14A4"/>
    <w:rsid w:val="00DE2242"/>
    <w:rsid w:val="00DE3625"/>
    <w:rsid w:val="00E03C06"/>
    <w:rsid w:val="00E13119"/>
    <w:rsid w:val="00E21FFB"/>
    <w:rsid w:val="00E23479"/>
    <w:rsid w:val="00E24D7F"/>
    <w:rsid w:val="00E306B6"/>
    <w:rsid w:val="00E52A59"/>
    <w:rsid w:val="00E5784C"/>
    <w:rsid w:val="00E622C2"/>
    <w:rsid w:val="00E665E7"/>
    <w:rsid w:val="00E927C2"/>
    <w:rsid w:val="00EC1C89"/>
    <w:rsid w:val="00EC2918"/>
    <w:rsid w:val="00EC4551"/>
    <w:rsid w:val="00EE15C6"/>
    <w:rsid w:val="00F4101C"/>
    <w:rsid w:val="00F64AE0"/>
    <w:rsid w:val="00F744BF"/>
    <w:rsid w:val="00FC4ED5"/>
    <w:rsid w:val="00FD6271"/>
    <w:rsid w:val="090A0141"/>
    <w:rsid w:val="2C7450D9"/>
    <w:rsid w:val="75E0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9"/>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7"/>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semiHidden/>
    <w:unhideWhenUsed/>
    <w:qFormat/>
    <w:uiPriority w:val="0"/>
    <w:rPr>
      <w:b/>
      <w:bCs/>
    </w:rPr>
  </w:style>
  <w:style w:type="table" w:styleId="9">
    <w:name w:val="Table Grid"/>
    <w:basedOn w:val="8"/>
    <w:qFormat/>
    <w:uiPriority w:val="39"/>
    <w:rPr>
      <w:rFonts w:ascii="等线" w:hAnsi="等线" w:eastAsia="等线" w:cs="宋体"/>
      <w:kern w:val="2"/>
      <w:sz w:val="21"/>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a"/>
    <w:basedOn w:val="10"/>
    <w:qFormat/>
    <w:uiPriority w:val="0"/>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文字 字符"/>
    <w:basedOn w:val="10"/>
    <w:link w:val="2"/>
    <w:semiHidden/>
    <w:qFormat/>
    <w:uiPriority w:val="0"/>
    <w:rPr>
      <w:sz w:val="24"/>
      <w:szCs w:val="24"/>
    </w:rPr>
  </w:style>
  <w:style w:type="character" w:customStyle="1" w:styleId="16">
    <w:name w:val="批注主题 字符"/>
    <w:basedOn w:val="15"/>
    <w:link w:val="7"/>
    <w:semiHidden/>
    <w:qFormat/>
    <w:uiPriority w:val="0"/>
    <w:rPr>
      <w:b/>
      <w:bCs/>
      <w:sz w:val="24"/>
      <w:szCs w:val="24"/>
    </w:rPr>
  </w:style>
  <w:style w:type="character" w:customStyle="1" w:styleId="17">
    <w:name w:val="普通(网站) 字符"/>
    <w:basedOn w:val="10"/>
    <w:link w:val="6"/>
    <w:qFormat/>
    <w:uiPriority w:val="99"/>
    <w:rPr>
      <w:rFonts w:ascii="宋体" w:hAnsi="宋体" w:eastAsia="宋体" w:cs="宋体"/>
      <w:sz w:val="24"/>
      <w:szCs w:val="24"/>
      <w:lang w:eastAsia="zh-CN"/>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批注框文本 字符"/>
    <w:basedOn w:val="10"/>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6686</Words>
  <Characters>37422</Characters>
  <Lines>312</Lines>
  <Paragraphs>87</Paragraphs>
  <TotalTime>0</TotalTime>
  <ScaleCrop>false</ScaleCrop>
  <LinksUpToDate>false</LinksUpToDate>
  <CharactersWithSpaces>43743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2022-04-03T01:48:00Z</dcterms:created>
  <dc:creator>HP</dc:creator>
  <cp:lastModifiedBy>晓晨</cp:lastModifiedBy>
  <dcterms:modified xsi:type="dcterms:W3CDTF">2022-06-02T14:34:06Z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6B4DEF36A233468D9CDD00ED9E437CE9</vt:lpwstr>
  </property>
</Properties>
</file>