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74029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cs="Book Antiqua"/>
          <w:b/>
          <w:color w:val="000000"/>
          <w:lang w:eastAsia="zh-CN"/>
        </w:rPr>
        <w:t>M</w:t>
      </w:r>
      <w:r>
        <w:rPr>
          <w:rFonts w:ascii="Book Antiqua" w:hAnsi="Book Antiqua" w:eastAsia="Book Antiqua" w:cs="Book Antiqua"/>
          <w:b/>
          <w:color w:val="000000"/>
        </w:rPr>
        <w:t>agnetic resonance imaging features of intrahepatic extramedullary hematopoiesis</w:t>
      </w:r>
      <w:r>
        <w:rPr>
          <w:rFonts w:hint="eastAsia" w:ascii="Book Antiqua" w:hAnsi="Book Antiqua" w:cs="Book Antiqua"/>
          <w:b/>
          <w:color w:val="000000"/>
          <w:lang w:eastAsia="zh-CN"/>
        </w:rPr>
        <w:t>:</w:t>
      </w:r>
      <w:r>
        <w:rPr>
          <w:rFonts w:ascii="Book Antiqua" w:hAnsi="Book Antiqua" w:eastAsia="Book Antiqua" w:cs="Book Antiqua"/>
          <w:b/>
          <w:color w:val="000000"/>
        </w:rPr>
        <w:t xml:space="preserve"> </w:t>
      </w:r>
      <w:r>
        <w:rPr>
          <w:rFonts w:hint="eastAsia" w:ascii="Book Antiqua" w:hAnsi="Book Antiqua" w:cs="Book Antiqua"/>
          <w:b/>
          <w:color w:val="000000"/>
          <w:lang w:eastAsia="zh-CN"/>
        </w:rPr>
        <w:t>T</w:t>
      </w:r>
      <w:r>
        <w:rPr>
          <w:rFonts w:ascii="Book Antiqua" w:hAnsi="Book Antiqua" w:eastAsia="Book Antiqua" w:cs="Book Antiqua"/>
          <w:b/>
          <w:color w:val="000000"/>
        </w:rPr>
        <w:t>hree case reports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Luo M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MRI features of intrahepatic extramedullary hematopoiesis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Ma Luo, Jia</w:t>
      </w:r>
      <w:r>
        <w:rPr>
          <w:rFonts w:ascii="Book Antiqua" w:hAnsi="Book Antiqua" w:cs="Book Antiqua"/>
          <w:color w:val="000000"/>
          <w:lang w:eastAsia="zh-CN"/>
        </w:rPr>
        <w:t>-W</w:t>
      </w:r>
      <w:r>
        <w:rPr>
          <w:rFonts w:ascii="Book Antiqua" w:hAnsi="Book Antiqua" w:eastAsia="Book Antiqua" w:cs="Book Antiqua"/>
          <w:color w:val="000000"/>
        </w:rPr>
        <w:t>en Chen, Chuan</w:t>
      </w:r>
      <w:r>
        <w:rPr>
          <w:rFonts w:ascii="Book Antiqua" w:hAnsi="Book Antiqua" w:cs="Book Antiqua"/>
          <w:color w:val="000000"/>
          <w:lang w:eastAsia="zh-CN"/>
        </w:rPr>
        <w:t>-M</w:t>
      </w:r>
      <w:r>
        <w:rPr>
          <w:rFonts w:ascii="Book Antiqua" w:hAnsi="Book Antiqua" w:eastAsia="Book Antiqua" w:cs="Book Antiqua"/>
          <w:color w:val="000000"/>
        </w:rPr>
        <w:t>iao Xie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Ma Luo, Jia</w:t>
      </w:r>
      <w:r>
        <w:rPr>
          <w:rFonts w:ascii="Book Antiqua" w:hAnsi="Book Antiqua" w:cs="Book Antiqua"/>
          <w:b/>
          <w:bCs/>
          <w:color w:val="000000"/>
          <w:lang w:eastAsia="zh-CN"/>
        </w:rPr>
        <w:t>-W</w:t>
      </w:r>
      <w:r>
        <w:rPr>
          <w:rFonts w:ascii="Book Antiqua" w:hAnsi="Book Antiqua" w:eastAsia="Book Antiqua" w:cs="Book Antiqua"/>
          <w:b/>
          <w:bCs/>
          <w:color w:val="000000"/>
        </w:rPr>
        <w:t>en Chen, Chuan</w:t>
      </w:r>
      <w:r>
        <w:rPr>
          <w:rFonts w:ascii="Book Antiqua" w:hAnsi="Book Antiqua" w:cs="Book Antiqua"/>
          <w:b/>
          <w:bCs/>
          <w:color w:val="000000"/>
          <w:lang w:eastAsia="zh-CN"/>
        </w:rPr>
        <w:t>-M</w:t>
      </w:r>
      <w:r>
        <w:rPr>
          <w:rFonts w:ascii="Book Antiqua" w:hAnsi="Book Antiqua" w:eastAsia="Book Antiqua" w:cs="Book Antiqua"/>
          <w:b/>
          <w:bCs/>
          <w:color w:val="000000"/>
        </w:rPr>
        <w:t xml:space="preserve">iao Xie, </w:t>
      </w:r>
      <w:r>
        <w:rPr>
          <w:rFonts w:ascii="Book Antiqua" w:hAnsi="Book Antiqua" w:cs="Book Antiqua"/>
          <w:bCs/>
          <w:color w:val="000000"/>
          <w:lang w:eastAsia="zh-CN"/>
        </w:rPr>
        <w:t xml:space="preserve">Department of </w:t>
      </w:r>
      <w:r>
        <w:rPr>
          <w:rFonts w:ascii="Book Antiqua" w:hAnsi="Book Antiqua" w:eastAsia="Book Antiqua" w:cs="Book Antiqua"/>
          <w:color w:val="000000"/>
        </w:rPr>
        <w:t xml:space="preserve">Radiology, Sun </w:t>
      </w:r>
      <w:r>
        <w:rPr>
          <w:rFonts w:ascii="Book Antiqua" w:hAnsi="Book Antiqua" w:cs="Book Antiqua"/>
          <w:color w:val="000000"/>
          <w:lang w:eastAsia="zh-CN"/>
        </w:rPr>
        <w:t>Y</w:t>
      </w:r>
      <w:r>
        <w:rPr>
          <w:rFonts w:ascii="Book Antiqua" w:hAnsi="Book Antiqua" w:eastAsia="Book Antiqua" w:cs="Book Antiqua"/>
          <w:color w:val="000000"/>
        </w:rPr>
        <w:t xml:space="preserve">at-sen University Cancer Center, Guangzhou 510060, </w:t>
      </w:r>
      <w:r>
        <w:rPr>
          <w:rFonts w:ascii="Book Antiqua" w:hAnsi="Book Antiqua" w:cs="Book Antiqua"/>
          <w:color w:val="000000"/>
          <w:lang w:eastAsia="zh-CN"/>
        </w:rPr>
        <w:t xml:space="preserve">Guangdong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Chuan</w:t>
      </w:r>
      <w:r>
        <w:rPr>
          <w:rFonts w:ascii="Book Antiqua" w:hAnsi="Book Antiqua" w:cs="Book Antiqua"/>
          <w:b/>
          <w:bCs/>
          <w:color w:val="000000"/>
          <w:lang w:eastAsia="zh-CN"/>
        </w:rPr>
        <w:t>-M</w:t>
      </w:r>
      <w:r>
        <w:rPr>
          <w:rFonts w:ascii="Book Antiqua" w:hAnsi="Book Antiqua" w:eastAsia="Book Antiqua" w:cs="Book Antiqua"/>
          <w:b/>
          <w:bCs/>
          <w:color w:val="000000"/>
        </w:rPr>
        <w:t xml:space="preserve">iao Xie, </w:t>
      </w:r>
      <w:r>
        <w:rPr>
          <w:rFonts w:ascii="Book Antiqua" w:hAnsi="Book Antiqua" w:eastAsia="Book Antiqua" w:cs="Book Antiqua"/>
          <w:color w:val="000000"/>
        </w:rPr>
        <w:t xml:space="preserve">State Key Laboratory of Oncology in South China, Guangzhou 510060, </w:t>
      </w:r>
      <w:r>
        <w:rPr>
          <w:rFonts w:ascii="Book Antiqua" w:hAnsi="Book Antiqua" w:cs="Book Antiqua"/>
          <w:color w:val="000000"/>
          <w:lang w:eastAsia="zh-CN"/>
        </w:rPr>
        <w:t>Guangdong Province</w:t>
      </w:r>
      <w:r>
        <w:rPr>
          <w:rFonts w:ascii="Book Antiqua" w:hAnsi="Book Antiqua" w:eastAsia="Book Antiqua" w:cs="Book Antiqua"/>
          <w:color w:val="000000"/>
        </w:rPr>
        <w:t>,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Chuan</w:t>
      </w:r>
      <w:r>
        <w:rPr>
          <w:rFonts w:ascii="Book Antiqua" w:hAnsi="Book Antiqua" w:cs="Book Antiqua"/>
          <w:b/>
          <w:bCs/>
          <w:color w:val="000000"/>
          <w:lang w:eastAsia="zh-CN"/>
        </w:rPr>
        <w:t>-M</w:t>
      </w:r>
      <w:r>
        <w:rPr>
          <w:rFonts w:ascii="Book Antiqua" w:hAnsi="Book Antiqua" w:eastAsia="Book Antiqua" w:cs="Book Antiqua"/>
          <w:b/>
          <w:bCs/>
          <w:color w:val="000000"/>
        </w:rPr>
        <w:t xml:space="preserve">iao Xie, </w:t>
      </w:r>
      <w:r>
        <w:rPr>
          <w:rFonts w:ascii="Book Antiqua" w:hAnsi="Book Antiqua" w:eastAsia="Book Antiqua" w:cs="Book Antiqua"/>
          <w:color w:val="000000"/>
        </w:rPr>
        <w:t xml:space="preserve">Collaborative Innovation Center for Cancer Medicine, Guangzhou 510060, </w:t>
      </w:r>
      <w:r>
        <w:rPr>
          <w:rFonts w:ascii="Book Antiqua" w:hAnsi="Book Antiqua" w:cs="Book Antiqua"/>
          <w:color w:val="000000"/>
          <w:lang w:eastAsia="zh-CN"/>
        </w:rPr>
        <w:t>Guangdong 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Luo M and Chen JW collected the data; Luo M, Chen JW and Xie CM analyzed the data; Luo M wrote the original draft; Xie CM reviewed and edited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Chuan</w:t>
      </w:r>
      <w:r>
        <w:rPr>
          <w:rFonts w:ascii="Book Antiqua" w:hAnsi="Book Antiqua" w:cs="Book Antiqua"/>
          <w:b/>
          <w:bCs/>
          <w:color w:val="000000"/>
          <w:lang w:eastAsia="zh-CN"/>
        </w:rPr>
        <w:t>-M</w:t>
      </w:r>
      <w:r>
        <w:rPr>
          <w:rFonts w:ascii="Book Antiqua" w:hAnsi="Book Antiqua" w:eastAsia="Book Antiqua" w:cs="Book Antiqua"/>
          <w:b/>
          <w:bCs/>
          <w:color w:val="000000"/>
        </w:rPr>
        <w:t xml:space="preserve">iao Xie, MD, Chief Doctor, Professor, </w:t>
      </w:r>
      <w:r>
        <w:rPr>
          <w:rFonts w:ascii="Book Antiqua" w:hAnsi="Book Antiqua" w:cs="Book Antiqua"/>
          <w:bCs/>
          <w:color w:val="000000"/>
          <w:lang w:eastAsia="zh-CN"/>
        </w:rPr>
        <w:t xml:space="preserve">Department of </w:t>
      </w:r>
      <w:r>
        <w:rPr>
          <w:rFonts w:ascii="Book Antiqua" w:hAnsi="Book Antiqua" w:eastAsia="Book Antiqua" w:cs="Book Antiqua"/>
          <w:color w:val="000000"/>
        </w:rPr>
        <w:t>Radiology, Sun Yat-sen University Cancer Center</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No. </w:t>
      </w:r>
      <w:r>
        <w:rPr>
          <w:rFonts w:ascii="Book Antiqua" w:hAnsi="Book Antiqua" w:eastAsia="Book Antiqua" w:cs="Book Antiqua"/>
          <w:color w:val="000000"/>
        </w:rPr>
        <w:t xml:space="preserve">651 Dongfeng East Road, Guangzhou 510060, </w:t>
      </w:r>
      <w:r>
        <w:rPr>
          <w:rFonts w:ascii="Book Antiqua" w:hAnsi="Book Antiqua" w:cs="Book Antiqua"/>
          <w:color w:val="000000"/>
          <w:lang w:eastAsia="zh-CN"/>
        </w:rPr>
        <w:t xml:space="preserve">Guangdong Province, </w:t>
      </w:r>
      <w:r>
        <w:rPr>
          <w:rFonts w:ascii="Book Antiqua" w:hAnsi="Book Antiqua" w:eastAsia="Book Antiqua" w:cs="Book Antiqua"/>
          <w:color w:val="000000"/>
        </w:rPr>
        <w:t>China. xchuanm@sysucc.org.cn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February 18, 2022</w:t>
      </w:r>
    </w:p>
    <w:p>
      <w:pPr>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color w:val="000000"/>
        </w:rPr>
        <w:t>May 16,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Extramedullary hematopoiesis rarely occurs within the liver alone, and is easily misdiagnosed. The radiological literature on this disease is exclusively case reports. There is a paucity of literature on the role of magnetic resonance imaging (MRI). The most common imaging modalities used are computed tomography and ultrasound. This report aims to provide more data on the appearance of extramedullary hematopoiesis using MRI to help radiologists establish the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Three patients (one male and two females) were incidentally found to have a hepatic mass or nodule, without hepatomegaly or splenomegaly. Laboratory tests including liver function, serum hepatic tumor markers, and hepatitis serologic markers were normal. On MRI scans, all lesions showed lower signal intensity on in-phase images than on out-phase images. One case showed changes in signal intensity on T2 weighted images</w:t>
      </w:r>
      <w:r>
        <w:rPr>
          <w:rFonts w:hint="eastAsia" w:ascii="Book Antiqua" w:hAnsi="Book Antiqua" w:cs="Book Antiqua"/>
          <w:color w:val="000000"/>
          <w:lang w:eastAsia="zh-CN"/>
        </w:rPr>
        <w:t xml:space="preserve"> (WI)</w:t>
      </w:r>
      <w:r>
        <w:rPr>
          <w:rFonts w:ascii="Book Antiqua" w:hAnsi="Book Antiqua" w:eastAsia="Book Antiqua" w:cs="Book Antiqua"/>
          <w:color w:val="000000"/>
        </w:rPr>
        <w:t xml:space="preserve"> and diffusion </w:t>
      </w:r>
      <w:r>
        <w:rPr>
          <w:rFonts w:hint="eastAsia" w:ascii="Book Antiqua" w:hAnsi="Book Antiqua" w:cs="Book Antiqua"/>
          <w:color w:val="000000"/>
          <w:lang w:eastAsia="zh-CN"/>
        </w:rPr>
        <w:t>WI</w:t>
      </w:r>
      <w:r>
        <w:rPr>
          <w:rFonts w:ascii="Book Antiqua" w:hAnsi="Book Antiqua" w:eastAsia="Book Antiqua" w:cs="Book Antiqua"/>
          <w:color w:val="000000"/>
        </w:rPr>
        <w:t>, which shifted from hyperintensity to hypointensity with size enlargement between two rounds of imaging examination. These lesions exhibited different enhancement patterns on dynamic contrast enhancement series.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MRI signal change and in-/out-phase image might provide useful information and help radiologists establish the diagnosis of intrahepatic extramedullary hematopoiesis.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Liver; Extramedullary hematopoiesis; Signal intensity; Magnetic resonance imaging;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Luo M, Chen J</w:t>
      </w:r>
      <w:r>
        <w:rPr>
          <w:rFonts w:hint="eastAsia" w:ascii="Book Antiqua" w:hAnsi="Book Antiqua" w:cs="Book Antiqua"/>
          <w:color w:val="000000"/>
          <w:lang w:eastAsia="zh-CN"/>
        </w:rPr>
        <w:t>W</w:t>
      </w:r>
      <w:r>
        <w:rPr>
          <w:rFonts w:ascii="Book Antiqua" w:hAnsi="Book Antiqua" w:eastAsia="Book Antiqua" w:cs="Book Antiqua"/>
          <w:color w:val="000000"/>
        </w:rPr>
        <w:t>, Xie C</w:t>
      </w:r>
      <w:r>
        <w:rPr>
          <w:rFonts w:hint="eastAsia" w:ascii="Book Antiqua" w:hAnsi="Book Antiqua" w:cs="Book Antiqua"/>
          <w:color w:val="000000"/>
          <w:lang w:eastAsia="zh-CN"/>
        </w:rPr>
        <w:t>M</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agnetic resonance imaging features of intrahepatic extramedullary hematopoiesis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T</w:t>
      </w:r>
      <w:r>
        <w:rPr>
          <w:rFonts w:ascii="Book Antiqua" w:hAnsi="Book Antiqua" w:eastAsia="Book Antiqua" w:cs="Book Antiqua"/>
          <w:color w:val="000000"/>
        </w:rPr>
        <w:t xml:space="preserve">hree case reports.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10(19): </w:t>
      </w:r>
      <w:r>
        <w:rPr>
          <w:rFonts w:hint="default" w:ascii="Book Antiqua" w:hAnsi="Book Antiqua" w:eastAsia="Book Antiqua" w:cs="Book Antiqua"/>
          <w:i w:val="0"/>
          <w:iCs w:val="0"/>
          <w:color w:val="000000"/>
          <w:kern w:val="0"/>
          <w:sz w:val="24"/>
          <w:szCs w:val="24"/>
          <w:u w:val="none"/>
          <w:lang w:val="en-US" w:eastAsia="zh-CN" w:bidi="ar"/>
        </w:rPr>
        <w:t>6626-6635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6626</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6626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shd w:val="clear" w:color="auto" w:fill="FFFFFF"/>
        </w:rPr>
        <w:t xml:space="preserve">The </w:t>
      </w:r>
      <w:r>
        <w:rPr>
          <w:rFonts w:ascii="Book Antiqua" w:hAnsi="Book Antiqua" w:eastAsia="Book Antiqua" w:cs="Book Antiqua"/>
          <w:color w:val="000000"/>
        </w:rPr>
        <w:t>magnetic resonance imaging</w:t>
      </w:r>
      <w:r>
        <w:rPr>
          <w:rFonts w:ascii="Book Antiqua" w:hAnsi="Book Antiqua"/>
          <w:shd w:val="clear" w:color="auto" w:fill="FFFFFF"/>
        </w:rPr>
        <w:t xml:space="preserve"> signal change, including the signal change on T2 weighted image</w:t>
      </w:r>
      <w:r>
        <w:rPr>
          <w:rFonts w:hint="eastAsia" w:ascii="Book Antiqua" w:hAnsi="Book Antiqua"/>
          <w:shd w:val="clear" w:color="auto" w:fill="FFFFFF"/>
          <w:lang w:eastAsia="zh-CN"/>
        </w:rPr>
        <w:t xml:space="preserve"> (WI)</w:t>
      </w:r>
      <w:r>
        <w:rPr>
          <w:rFonts w:ascii="Book Antiqua" w:hAnsi="Book Antiqua"/>
          <w:shd w:val="clear" w:color="auto" w:fill="FFFFFF"/>
        </w:rPr>
        <w:t xml:space="preserve"> and diffusion </w:t>
      </w:r>
      <w:r>
        <w:rPr>
          <w:rFonts w:hint="eastAsia" w:ascii="Book Antiqua" w:hAnsi="Book Antiqua"/>
          <w:shd w:val="clear" w:color="auto" w:fill="FFFFFF"/>
          <w:lang w:eastAsia="zh-CN"/>
        </w:rPr>
        <w:t>WI</w:t>
      </w:r>
      <w:r>
        <w:rPr>
          <w:rFonts w:ascii="Book Antiqua" w:hAnsi="Book Antiqua"/>
          <w:shd w:val="clear" w:color="auto" w:fill="FFFFFF"/>
        </w:rPr>
        <w:t xml:space="preserve">, and the in-/out-phase image might provide useful information and help radiologists establish the diagnosis of </w:t>
      </w:r>
      <w:r>
        <w:rPr>
          <w:rFonts w:ascii="Book Antiqua" w:hAnsi="Book Antiqua" w:eastAsia="Book Antiqua" w:cs="Book Antiqua"/>
          <w:color w:val="000000"/>
        </w:rPr>
        <w:t>extramedullary hematopoiesis</w:t>
      </w:r>
      <w:r>
        <w:rPr>
          <w:rFonts w:ascii="Book Antiqua" w:hAnsi="Book Antiqua"/>
          <w:shd w:val="clear" w:color="auto" w:fill="FFFFFF"/>
        </w:rPr>
        <w:t xml:space="preserve">. </w:t>
      </w:r>
      <w:r>
        <w:rPr>
          <w:rFonts w:ascii="Book Antiqua" w:hAnsi="Book Antiqua" w:cs="Book Antiqua"/>
          <w:color w:val="000000"/>
          <w:lang w:eastAsia="zh-CN"/>
        </w:rPr>
        <w:t>I</w:t>
      </w:r>
      <w:r>
        <w:rPr>
          <w:rFonts w:ascii="Book Antiqua" w:hAnsi="Book Antiqua" w:eastAsia="Book Antiqua" w:cs="Book Antiqua"/>
          <w:color w:val="000000"/>
        </w:rPr>
        <w:t>ntrahepatic extramedullary hematopoiesis (IEMH)</w:t>
      </w:r>
      <w:r>
        <w:rPr>
          <w:rFonts w:ascii="Book Antiqua" w:hAnsi="Book Antiqua"/>
          <w:shd w:val="clear" w:color="auto" w:fill="FFFFFF"/>
        </w:rPr>
        <w:t xml:space="preserve"> may exhibit different patterns of enhancement, depending on different stages of the disease. IEMH can also be seen in patients without evidence of hematological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Extramedullary hematopoiesis seldom occurs within the liver alone</w:t>
      </w:r>
      <w:r>
        <w:rPr>
          <w:rFonts w:ascii="Book Antiqua" w:hAnsi="Book Antiqua" w:eastAsia="Book Antiqua" w:cs="Book Antiqua"/>
          <w:color w:val="000000"/>
          <w:vertAlign w:val="superscript"/>
        </w:rPr>
        <w:t>[1]</w:t>
      </w:r>
      <w:r>
        <w:rPr>
          <w:rFonts w:ascii="Book Antiqua" w:hAnsi="Book Antiqua" w:eastAsia="Book Antiqua" w:cs="Book Antiqua"/>
          <w:color w:val="000000"/>
        </w:rPr>
        <w:t>. In this rare condition, the lesion can manifest as a mass with no typical radiologic findings, making it difficult to diagnose and differentiate from other hypervascular neoplasms</w:t>
      </w:r>
      <w:r>
        <w:rPr>
          <w:rFonts w:ascii="Book Antiqua" w:hAnsi="Book Antiqua" w:eastAsia="Book Antiqua" w:cs="Book Antiqua"/>
          <w:color w:val="000000"/>
          <w:vertAlign w:val="superscript"/>
        </w:rPr>
        <w:t>[2]</w:t>
      </w:r>
      <w:r>
        <w:rPr>
          <w:rFonts w:ascii="Book Antiqua" w:hAnsi="Book Antiqua" w:eastAsia="Book Antiqua" w:cs="Book Antiqua"/>
          <w:color w:val="000000"/>
        </w:rPr>
        <w:t>. We present three cases of intrahepatic extramedullary hematopoiesis (IEMH) occurring solely in the liver. These lesions showed lower signal intensity on in-phase images than on out-phase images. In addition, the first case was unique in that the lesion showed changes in magnetic resonance imaging (MRI) signal intensity with size enlargement between two rounds of imaging examination. These manifestations have never been reported before.</w:t>
      </w:r>
    </w:p>
    <w:p>
      <w:pPr>
        <w:spacing w:line="360" w:lineRule="auto"/>
        <w:ind w:firstLine="4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xml:space="preserve">: A 50-year-old woman without any discomfort was admitted to our hospital due to an intrahepatic mass with interval growth. </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xml:space="preserve">: A 30-year-old female with a five-month history of Hodgkin’s lymphoma (nodular sclerosis) was referred to hospital.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A 52-year-old male was admitted to our hospital due to the incidental discovery of hepatic nodules. He had no history of alcoholism.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Negative.</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The patient denied alcoholism and had no other symptoms or discomfort.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No symptoms or discomfort.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The patient’s medical history included thyroid carcinoma and lung adenocarcinoma. She had undergone total thyroidectomy in November 2014 and lobectomy of the right lower lung lobe in October 2019, without radiotherapy or adjuvant chemotherapy in the subsequent follow-up.</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xml:space="preserve">: Prior to the patient’s initial treatment, no focal liver lesion was detected by ultrasound or positron emission tomography (PET)/computed tomography </w:t>
      </w:r>
      <w:r>
        <w:rPr>
          <w:rFonts w:hint="eastAsia" w:ascii="Book Antiqua" w:hAnsi="Book Antiqua" w:cs="Book Antiqua"/>
          <w:color w:val="000000"/>
          <w:lang w:eastAsia="zh-CN"/>
        </w:rPr>
        <w:t>(</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She had undergone 5 cycles of chemotherapy consisting of Brentuximab Vedotin + Adriamycin, Vinblastine (Dacarbazine).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The patient had no previous medical and family history.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xml:space="preserve">: Physical examination was normal. </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xml:space="preserve">: Physical examination was normal. The liver and spleen were impalpable.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Physical examination was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Laboratory tests, including blood, liver function, and serum tumor marker tests (alpha</w:t>
      </w:r>
      <w:r>
        <w:rPr>
          <w:rFonts w:hint="eastAsia" w:ascii="Book Antiqua" w:hAnsi="Book Antiqua" w:cs="Book Antiqua"/>
          <w:color w:val="000000"/>
          <w:lang w:eastAsia="zh-CN"/>
        </w:rPr>
        <w:t xml:space="preserve"> </w:t>
      </w:r>
      <w:r>
        <w:rPr>
          <w:rFonts w:ascii="Book Antiqua" w:hAnsi="Book Antiqua" w:eastAsia="Book Antiqua" w:cs="Book Antiqua"/>
          <w:color w:val="000000"/>
        </w:rPr>
        <w:t>fetoprotein, carbohydrate</w:t>
      </w:r>
      <w:r>
        <w:rPr>
          <w:rFonts w:hint="eastAsia" w:ascii="Book Antiqua" w:hAnsi="Book Antiqua" w:cs="Book Antiqua"/>
          <w:color w:val="000000"/>
          <w:lang w:eastAsia="zh-CN"/>
        </w:rPr>
        <w:t xml:space="preserve"> </w:t>
      </w:r>
      <w:r>
        <w:rPr>
          <w:rFonts w:ascii="Book Antiqua" w:hAnsi="Book Antiqua" w:eastAsia="Book Antiqua" w:cs="Book Antiqua"/>
          <w:color w:val="000000"/>
        </w:rPr>
        <w:t>antigen 19-9, carbohydrate</w:t>
      </w:r>
      <w:r>
        <w:rPr>
          <w:rFonts w:hint="eastAsia" w:ascii="Book Antiqua" w:hAnsi="Book Antiqua" w:cs="Book Antiqua"/>
          <w:color w:val="000000"/>
          <w:lang w:eastAsia="zh-CN"/>
        </w:rPr>
        <w:t xml:space="preserve"> </w:t>
      </w:r>
      <w:r>
        <w:rPr>
          <w:rFonts w:ascii="Book Antiqua" w:hAnsi="Book Antiqua" w:eastAsia="Book Antiqua" w:cs="Book Antiqua"/>
          <w:color w:val="000000"/>
        </w:rPr>
        <w:t>antigen 125, carcinoembryonic antigen, and protein induced by Vitamin K absence or antagonist-II), were all within the normal range. Hepatitis serologic markers such as hepatitis B surface antigen and hepatitis C virus antibodies were negative, with no history of alcoholism.</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Platelet, white, and red blood cell counts were normal. The serum tumor markers and hepatitis serologic markers were negative.</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Laboratory tests revealed that liver function, serum hepatic tumor markers, and hepatitis serologic markers were all normal.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b/>
          <w:color w:val="000000"/>
        </w:rPr>
        <w:t>Case 1</w:t>
      </w:r>
      <w:r>
        <w:rPr>
          <w:rFonts w:ascii="Book Antiqua" w:hAnsi="Book Antiqua" w:eastAsia="Book Antiqua" w:cs="Book Antiqua"/>
          <w:color w:val="000000"/>
        </w:rPr>
        <w:t>: In September 2019, pre-operative ultrasound showed a hyperechoic lesion measuring 24 mm × 23 mm in segment VIII. The lesion was diagnosed as possible hemangioma.</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January 2020, during a routine examination, the lesion showed an increase in size on abdominal ultrasound. An abdominal CT scan (Discovery 750 HD, GE Healthcare, Milwaukee, WI, U</w:t>
      </w:r>
      <w:r>
        <w:rPr>
          <w:rFonts w:hint="eastAsia" w:ascii="Book Antiqua" w:hAnsi="Book Antiqua" w:cs="Book Antiqua"/>
          <w:color w:val="000000"/>
          <w:lang w:eastAsia="zh-CN"/>
        </w:rPr>
        <w:t>nited States</w:t>
      </w:r>
      <w:r>
        <w:rPr>
          <w:rFonts w:ascii="Book Antiqua" w:hAnsi="Book Antiqua" w:eastAsia="Book Antiqua" w:cs="Book Antiqua"/>
          <w:color w:val="000000"/>
        </w:rPr>
        <w:t>) was performed. The lesion appeared heterogeneously hypodense on unenhanced CT (40 HU), and 35 mm × 32 mm × 20 mm in size. The lesion was moderately hyperdense in the arterial phase (81 HU) and markedly hyperdense in the portal venous phase (106 HU), and showed persistent enhancement in the 5-min delayed phase (110 HU) (Figure 1</w:t>
      </w:r>
      <w:r>
        <w:rPr>
          <w:rFonts w:hint="eastAsia" w:ascii="Book Antiqua" w:hAnsi="Book Antiqua" w:cs="Book Antiqua"/>
          <w:color w:val="000000"/>
          <w:lang w:eastAsia="zh-CN"/>
        </w:rPr>
        <w:t>A</w:t>
      </w:r>
      <w:r>
        <w:rPr>
          <w:rFonts w:ascii="Book Antiqua" w:hAnsi="Book Antiqua" w:eastAsia="Book Antiqua" w:cs="Book Antiqua"/>
          <w:color w:val="000000"/>
        </w:rPr>
        <w:t>–</w:t>
      </w:r>
      <w:r>
        <w:rPr>
          <w:rFonts w:hint="eastAsia" w:ascii="Book Antiqua" w:hAnsi="Book Antiqua" w:cs="Book Antiqua"/>
          <w:color w:val="000000"/>
          <w:lang w:eastAsia="zh-CN"/>
        </w:rPr>
        <w:t>D</w:t>
      </w:r>
      <w:r>
        <w:rPr>
          <w:rFonts w:ascii="Book Antiqua" w:hAnsi="Book Antiqua" w:eastAsia="Book Antiqua" w:cs="Book Antiqua"/>
          <w:color w:val="000000"/>
        </w:rPr>
        <w:t>). The following day, liver MRI was performed for further characterization and assessment of the lesion (Trio 3.0 T, Siemens, Erlangen, Germany). The lesion was hypointense relative to surrounding liver tissue on T1 weighted images (WI) with and without fat saturation (FS), and was heterogeneously hyperintense on T2WI or T2WI-FS with clear demarcation. On dynamic contrast enhancement series, the lesion showed considerable enhancement in the arterial phase, remaining hyperintense relative to surrounding liver tissue in both the portal venous and delayed phases (6 min) following the injection of 0.1 mmol/kg of Gd-DTPA (Magnevist, Bayer Healthcare, Berlin, Germany) (Figure 1</w:t>
      </w:r>
      <w:r>
        <w:rPr>
          <w:rFonts w:hint="eastAsia" w:ascii="Book Antiqua" w:hAnsi="Book Antiqua" w:cs="Book Antiqua"/>
          <w:color w:val="000000"/>
          <w:lang w:eastAsia="zh-CN"/>
        </w:rPr>
        <w:t>E</w:t>
      </w:r>
      <w:r>
        <w:rPr>
          <w:rFonts w:ascii="Book Antiqua" w:hAnsi="Book Antiqua" w:eastAsia="Book Antiqua" w:cs="Book Antiqua"/>
          <w:color w:val="000000"/>
        </w:rPr>
        <w:t>–</w:t>
      </w:r>
      <w:r>
        <w:rPr>
          <w:rFonts w:hint="eastAsia" w:ascii="Book Antiqua" w:hAnsi="Book Antiqua" w:cs="Book Antiqua"/>
          <w:color w:val="000000"/>
          <w:lang w:eastAsia="zh-CN"/>
        </w:rPr>
        <w:t>K</w:t>
      </w:r>
      <w:r>
        <w:rPr>
          <w:rFonts w:ascii="Book Antiqua" w:hAnsi="Book Antiqua" w:eastAsia="Book Antiqua" w:cs="Book Antiqua"/>
          <w:color w:val="000000"/>
        </w:rPr>
        <w:t>). The initial diagnosis included atypical angioleiomyolipoma, adenoma, and single metastasis. The patient declined to undergo surgery and opted for observation.</w:t>
      </w:r>
    </w:p>
    <w:p>
      <w:pPr>
        <w:spacing w:line="360" w:lineRule="auto"/>
        <w:ind w:firstLine="420"/>
        <w:jc w:val="both"/>
        <w:rPr>
          <w:rFonts w:ascii="Book Antiqua" w:hAnsi="Book Antiqua"/>
        </w:rPr>
      </w:pPr>
      <w:r>
        <w:rPr>
          <w:rFonts w:ascii="Book Antiqua" w:hAnsi="Book Antiqua" w:eastAsia="Book Antiqua" w:cs="Book Antiqua"/>
          <w:color w:val="000000"/>
        </w:rPr>
        <w:t>In June 2020, she underwent another abdominal MRI examination. The lesion had enlarged to 50 mm × 46 mm × 43 mm, and it was heterogeneously hypointense on T1WI-FS with scattered foci of hyperintense areas. The signal intensity was significantly lower on the in-phase image than on the out-phase image. The lesion was isointense or mildly hypointense relative to liver tissue on diffusion</w:t>
      </w:r>
      <w:r>
        <w:rPr>
          <w:rFonts w:hint="eastAsia" w:cs="Book Antiqua" w:asciiTheme="minorEastAsia" w:hAnsiTheme="minorEastAsia"/>
          <w:color w:val="000000"/>
          <w:lang w:eastAsia="zh-CN"/>
        </w:rPr>
        <w:t xml:space="preserve"> </w:t>
      </w:r>
      <w:r>
        <w:rPr>
          <w:rFonts w:ascii="Book Antiqua" w:hAnsi="Book Antiqua" w:eastAsia="Book Antiqua" w:cs="Book Antiqua"/>
          <w:color w:val="000000"/>
        </w:rPr>
        <w:t>weighted images</w:t>
      </w:r>
      <w:r>
        <w:rPr>
          <w:rFonts w:hint="eastAsia" w:cs="Book Antiqua" w:asciiTheme="minorEastAsia" w:hAnsiTheme="minorEastAsia"/>
          <w:color w:val="000000"/>
          <w:lang w:eastAsia="zh-CN"/>
        </w:rPr>
        <w:t xml:space="preserve"> </w:t>
      </w:r>
      <w:r>
        <w:rPr>
          <w:rFonts w:ascii="Book Antiqua" w:hAnsi="Book Antiqua" w:eastAsia="Book Antiqua" w:cs="Book Antiqua"/>
          <w:color w:val="000000"/>
        </w:rPr>
        <w:t>(DWI), T2WI, and T2WI-FS. The pattern of enhancement was overt in the arterial phase and remained hyperintense on the delayed phase, without vessel encasement or invasion (Figure 1L–</w:t>
      </w:r>
      <w:r>
        <w:rPr>
          <w:rFonts w:hint="eastAsia" w:ascii="Book Antiqua" w:hAnsi="Book Antiqua" w:cs="Book Antiqua"/>
          <w:color w:val="000000"/>
          <w:lang w:eastAsia="zh-CN"/>
        </w:rPr>
        <w:t>R</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2</w:t>
      </w:r>
      <w:r>
        <w:rPr>
          <w:rFonts w:ascii="Book Antiqua" w:hAnsi="Book Antiqua" w:eastAsia="Book Antiqua" w:cs="Book Antiqua"/>
          <w:color w:val="000000"/>
        </w:rPr>
        <w:t>: In April 2020, abdominal ultrasound was performed during a routine examination and a slightly hyperechoic lesion was found in segment VII. The patient then underwent an MRI scan (Discovery 750W, GE Healthcare, Milwaukee, WI,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 10 mm × 8 mm sized, slightly hyperintense and hypointense lesion was identified on T2WI-FS and T1WI-FS, respectively (Figure </w:t>
      </w:r>
      <w:r>
        <w:rPr>
          <w:rFonts w:hint="eastAsia" w:ascii="Book Antiqua" w:hAnsi="Book Antiqua" w:cs="Book Antiqua"/>
          <w:color w:val="000000"/>
          <w:lang w:eastAsia="zh-CN"/>
        </w:rPr>
        <w:t>2A and B</w:t>
      </w:r>
      <w:r>
        <w:rPr>
          <w:rFonts w:ascii="Book Antiqua" w:hAnsi="Book Antiqua" w:eastAsia="Book Antiqua" w:cs="Book Antiqua"/>
          <w:color w:val="000000"/>
        </w:rPr>
        <w:t xml:space="preserve">). The signal intensity was lower on the in-phase image than that on the out-phase image (Figure </w:t>
      </w:r>
      <w:r>
        <w:rPr>
          <w:rFonts w:hint="eastAsia" w:ascii="Book Antiqua" w:hAnsi="Book Antiqua" w:cs="Book Antiqua"/>
          <w:color w:val="000000"/>
          <w:lang w:eastAsia="zh-CN"/>
        </w:rPr>
        <w:t>2C and D</w:t>
      </w:r>
      <w:r>
        <w:rPr>
          <w:rFonts w:ascii="Book Antiqua" w:hAnsi="Book Antiqua" w:eastAsia="Book Antiqua" w:cs="Book Antiqua"/>
          <w:color w:val="000000"/>
        </w:rPr>
        <w:t xml:space="preserve">). The signal intensity was lost on </w:t>
      </w:r>
      <w:r>
        <w:rPr>
          <w:rFonts w:hint="eastAsia" w:ascii="Book Antiqua" w:hAnsi="Book Antiqua" w:cs="Book Antiqua"/>
          <w:color w:val="000000"/>
          <w:lang w:eastAsia="zh-CN"/>
        </w:rPr>
        <w:t>s</w:t>
      </w:r>
      <w:r>
        <w:rPr>
          <w:rFonts w:ascii="Book Antiqua" w:hAnsi="Book Antiqua" w:eastAsia="Book Antiqua" w:cs="Book Antiqua"/>
          <w:color w:val="000000"/>
        </w:rPr>
        <w:t xml:space="preserve">usceptibility weighted imaging (SWI) (Figure </w:t>
      </w:r>
      <w:r>
        <w:rPr>
          <w:rFonts w:hint="eastAsia" w:ascii="Book Antiqua" w:hAnsi="Book Antiqua" w:cs="Book Antiqua"/>
          <w:color w:val="000000"/>
          <w:lang w:eastAsia="zh-CN"/>
        </w:rPr>
        <w:t>2E</w:t>
      </w:r>
      <w:r>
        <w:rPr>
          <w:rFonts w:ascii="Book Antiqua" w:hAnsi="Book Antiqua" w:eastAsia="Book Antiqua" w:cs="Book Antiqua"/>
          <w:color w:val="000000"/>
        </w:rPr>
        <w:t xml:space="preserve">). After administration of Gd-DTPA, the lesion showed poor enhancement in the arterial phase and enhanced gradually and persistently up to 6 min (Figure </w:t>
      </w:r>
      <w:r>
        <w:rPr>
          <w:rFonts w:hint="eastAsia" w:ascii="Book Antiqua" w:hAnsi="Book Antiqua" w:cs="Book Antiqua"/>
          <w:color w:val="000000"/>
          <w:lang w:eastAsia="zh-CN"/>
        </w:rPr>
        <w:t>2F</w:t>
      </w:r>
      <w:r>
        <w:rPr>
          <w:rFonts w:ascii="Book Antiqua" w:hAnsi="Book Antiqua" w:eastAsia="Book Antiqua" w:cs="Book Antiqua"/>
          <w:color w:val="000000"/>
        </w:rPr>
        <w:t>-</w:t>
      </w:r>
      <w:r>
        <w:rPr>
          <w:rFonts w:hint="eastAsia" w:ascii="Book Antiqua" w:hAnsi="Book Antiqua" w:cs="Book Antiqua"/>
          <w:color w:val="000000"/>
          <w:lang w:eastAsia="zh-CN"/>
        </w:rPr>
        <w:t>H</w:t>
      </w:r>
      <w:r>
        <w:rPr>
          <w:rFonts w:ascii="Book Antiqua" w:hAnsi="Book Antiqua" w:eastAsia="Book Antiqua" w:cs="Book Antiqua"/>
          <w:color w:val="000000"/>
        </w:rPr>
        <w:t>). The initial diagnosis was lymphoma infiltration.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MRI (Trio 3.0 T, Siemens, Erlangen, Germany) scans showed a lesion located in the transitional area (34 mm × 27 mm in size) between segment V and VIII, with homogeneously low and high signal intensity on T1WI-FS and T2WI-FS, respectively. The signal intensity on the in-phase image was lower than that on the out-phase image (Figure </w:t>
      </w:r>
      <w:r>
        <w:rPr>
          <w:rFonts w:hint="eastAsia" w:ascii="Book Antiqua" w:hAnsi="Book Antiqua" w:cs="Book Antiqua"/>
          <w:color w:val="000000"/>
          <w:lang w:eastAsia="zh-CN"/>
        </w:rPr>
        <w:t>3A-E</w:t>
      </w:r>
      <w:r>
        <w:rPr>
          <w:rFonts w:ascii="Book Antiqua" w:hAnsi="Book Antiqua" w:eastAsia="Book Antiqua" w:cs="Book Antiqua"/>
          <w:color w:val="000000"/>
        </w:rPr>
        <w:t xml:space="preserve">). After administration of Gd-EOB-DTPA, the lesion showed intense enhancement in the arterial phase, with no persistent enhancement in the portal venous and transitional phases, and was hypointense in the hepatobiliary phase (Figure </w:t>
      </w:r>
      <w:r>
        <w:rPr>
          <w:rFonts w:hint="eastAsia" w:ascii="Book Antiqua" w:hAnsi="Book Antiqua" w:cs="Book Antiqua"/>
          <w:color w:val="000000"/>
          <w:lang w:eastAsia="zh-CN"/>
        </w:rPr>
        <w:t>3F</w:t>
      </w:r>
      <w:r>
        <w:rPr>
          <w:rFonts w:ascii="Book Antiqua" w:hAnsi="Book Antiqua" w:eastAsia="Book Antiqua" w:cs="Book Antiqua"/>
          <w:color w:val="000000"/>
        </w:rPr>
        <w:t>-</w:t>
      </w:r>
      <w:r>
        <w:rPr>
          <w:rFonts w:hint="eastAsia" w:ascii="Book Antiqua" w:hAnsi="Book Antiqua" w:cs="Book Antiqua"/>
          <w:color w:val="000000"/>
          <w:lang w:eastAsia="zh-CN"/>
        </w:rPr>
        <w:t>H</w:t>
      </w:r>
      <w:r>
        <w:rPr>
          <w:rFonts w:ascii="Book Antiqua" w:hAnsi="Book Antiqua" w:eastAsia="Book Antiqua" w:cs="Book Antiqua"/>
          <w:color w:val="000000"/>
        </w:rPr>
        <w:t xml:space="preserve">). The possible diagnosis at that time included hepatoma, adenoma, and angiomyolipoma.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b/>
          <w:color w:val="000000"/>
        </w:rPr>
        <w:t>Case 1</w:t>
      </w:r>
      <w:r>
        <w:rPr>
          <w:rFonts w:ascii="Book Antiqua" w:hAnsi="Book Antiqua" w:eastAsia="Book Antiqua" w:cs="Book Antiqua"/>
          <w:color w:val="000000"/>
        </w:rPr>
        <w:t xml:space="preserve">: Macroscopically, a mass with reddish appearance without necrosis or hemorrhage was seen in the resected specimen. Microscopically, megakaryocytes, and erythroid cells were scattered within the hepatocyte cords (Figure </w:t>
      </w:r>
      <w:r>
        <w:rPr>
          <w:rFonts w:hint="eastAsia" w:ascii="Book Antiqua" w:hAnsi="Book Antiqua" w:cs="Book Antiqua"/>
          <w:color w:val="000000"/>
          <w:lang w:eastAsia="zh-CN"/>
        </w:rPr>
        <w:t>4</w:t>
      </w:r>
      <w:r>
        <w:rPr>
          <w:rFonts w:ascii="Book Antiqua" w:hAnsi="Book Antiqua" w:eastAsia="Book Antiqua" w:cs="Book Antiqua"/>
          <w:color w:val="000000"/>
        </w:rPr>
        <w:t>). Immunohistochemical staining including CD3, CD20, CD61, CD235, and MPO was performed, and the cells were positive for these markers. These findings were consistent with EMH.</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Case 2</w:t>
      </w:r>
      <w:r>
        <w:rPr>
          <w:rFonts w:ascii="Book Antiqua" w:hAnsi="Book Antiqua" w:eastAsia="Book Antiqua" w:cs="Book Antiqua"/>
          <w:color w:val="000000"/>
        </w:rPr>
        <w:t>: Percutaneous fine-needle aspiration biopsy was performed under ultrasound guidance, and cytology showed EMH.</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The final histopathological diagnosis was EMH (Figure 5). </w:t>
      </w:r>
    </w:p>
    <w:p>
      <w:pPr>
        <w:spacing w:line="360" w:lineRule="auto"/>
        <w:ind w:firstLine="4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The patient underwent hepatic segmentectomy.</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xml:space="preserve">: After another 4 cycles of chemotherapy, liver MRI (August 2020) showed similar findings, without any increase in the size of the lesion. As the diagnosis was uncertain and the lesion was small, we decided to obtain histopathologic confirmation.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As the possibility of malignancy could not be completely excluded, the patient underwent hepatic segmentectomy, although he did not have any predisposing factors for hepatoma.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The patient has no recurrent lesions or evidence of new lesions.</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xml:space="preserve">: The patient has no recurrent lesions or evidence of new lesions.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The patient has no signs of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IEMH is a rare, benign condition of the liver. The radiological literature on this disease is exclusively case reports. All of these cases were misdiagnosed, and IEMH was not considered in the preoperative imaging diagnosis and differentiation. The most common imaging modalities used were CT and ultrasound</w:t>
      </w:r>
      <w:r>
        <w:rPr>
          <w:rFonts w:ascii="Book Antiqua" w:hAnsi="Book Antiqua" w:eastAsia="Book Antiqua" w:cs="Book Antiqua"/>
          <w:color w:val="000000"/>
          <w:vertAlign w:val="superscript"/>
        </w:rPr>
        <w:t>[3-7]</w:t>
      </w:r>
      <w:r>
        <w:rPr>
          <w:rFonts w:ascii="Book Antiqua" w:hAnsi="Book Antiqua" w:eastAsia="Book Antiqua" w:cs="Book Antiqua"/>
          <w:color w:val="000000"/>
        </w:rPr>
        <w:t>. There is a paucity of literature on the role of MRI, which might be due to the limitations of imaging technology at that time. Moreover, the quality of the images provided in those studies was low. Thus, the radiologic features seemed to be non-specific, and it may have been difficult to make a correct diagnosis preoperatively.</w:t>
      </w:r>
    </w:p>
    <w:p>
      <w:pPr>
        <w:spacing w:line="360" w:lineRule="auto"/>
        <w:ind w:firstLine="480" w:firstLineChars="200"/>
        <w:jc w:val="both"/>
        <w:rPr>
          <w:rFonts w:ascii="Book Antiqua" w:hAnsi="Book Antiqua"/>
        </w:rPr>
      </w:pPr>
      <w:r>
        <w:rPr>
          <w:rFonts w:ascii="Book Antiqua" w:hAnsi="Book Antiqua" w:eastAsia="Book Antiqua" w:cs="Book Antiqua"/>
          <w:color w:val="000000"/>
        </w:rPr>
        <w:t>From the pathological aspect, EMH is characterized by numerous hematopoietic cells. Granulocytes, megakaryocytes, and erythrocytes show a mixed distributed within the lesion, in which adipocytes and fibrous tissue can also be seen. Thus, EMH is positive for MPO, CD61, and CD235. Due to the large number of erythrocytes scattered within EMH, CD235 staining is strong and diffusely positive. The presence of iron in the erythrocytes and different amounts of adipose tissue can potentially affect the radiologic appearance.</w:t>
      </w:r>
    </w:p>
    <w:p>
      <w:pPr>
        <w:spacing w:line="360" w:lineRule="auto"/>
        <w:ind w:firstLine="396"/>
        <w:jc w:val="both"/>
        <w:rPr>
          <w:rFonts w:ascii="Book Antiqua" w:hAnsi="Book Antiqua"/>
        </w:rPr>
      </w:pPr>
      <w:r>
        <w:rPr>
          <w:rFonts w:ascii="Book Antiqua" w:hAnsi="Book Antiqua" w:eastAsia="Book Antiqua" w:cs="Book Antiqua"/>
          <w:color w:val="000000"/>
        </w:rPr>
        <w:t xml:space="preserve">In recent years, with the development of MRI, there have been sporadic reports regarding the published MRI findings of IEMH. </w:t>
      </w:r>
      <w:r>
        <w:rPr>
          <w:rFonts w:hint="eastAsia" w:ascii="Book Antiqua" w:hAnsi="Book Antiqua" w:cs="Book Antiqua"/>
          <w:color w:val="000000"/>
          <w:lang w:eastAsia="zh-CN"/>
        </w:rPr>
        <w:t>Belay</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provided the first description of T2</w:t>
      </w:r>
      <w:r>
        <w:rPr>
          <w:rFonts w:ascii="Book Antiqua" w:hAnsi="Book Antiqua" w:cs="Book Antiqua"/>
          <w:color w:val="000000"/>
          <w:vertAlign w:val="superscript"/>
          <w:lang w:eastAsia="zh-CN"/>
        </w:rPr>
        <w:t>*</w:t>
      </w:r>
      <w:r>
        <w:rPr>
          <w:rFonts w:ascii="Book Antiqua" w:hAnsi="Book Antiqua" w:eastAsia="Book Antiqua" w:cs="Book Antiqua"/>
          <w:color w:val="000000"/>
        </w:rPr>
        <w:t>WI in their case, considering that this technique might have a potential role in MRI diagnosis. The lesion was hypointense on T2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xml:space="preserve">WI, similar to the signal intensity of the hepatic background on this </w:t>
      </w:r>
      <w:r>
        <w:rPr>
          <w:rFonts w:hint="eastAsia" w:ascii="Book Antiqua" w:hAnsi="Book Antiqua" w:cs="Book Antiqua"/>
          <w:color w:val="000000"/>
          <w:lang w:eastAsia="zh-CN"/>
        </w:rPr>
        <w:t>g</w:t>
      </w:r>
      <w:r>
        <w:rPr>
          <w:rFonts w:ascii="Book Antiqua" w:hAnsi="Book Antiqua" w:eastAsia="Book Antiqua" w:cs="Book Antiqua"/>
          <w:color w:val="000000"/>
        </w:rPr>
        <w:t xml:space="preserve">radient recalled echo (GRE) sequence, indicating that the lesion had as much iron deposition as the liver parenchyma in the setting of secondary hemochromatosis owing to repeated blood transfusions.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reported the superparamagnetic iron oxide</w:t>
      </w:r>
      <w:r>
        <w:rPr>
          <w:rFonts w:hint="eastAsia" w:ascii="Book Antiqua" w:hAnsi="Book Antiqua" w:cs="Book Antiqua"/>
          <w:color w:val="000000"/>
          <w:lang w:eastAsia="zh-CN"/>
        </w:rPr>
        <w:t xml:space="preserve"> (SPIO)</w:t>
      </w:r>
      <w:r>
        <w:rPr>
          <w:rFonts w:ascii="Book Antiqua" w:hAnsi="Book Antiqua" w:eastAsia="Book Antiqua" w:cs="Book Antiqua"/>
          <w:color w:val="000000"/>
        </w:rPr>
        <w:t xml:space="preserve">-enhanced MRI in their case, while </w:t>
      </w:r>
      <w:r>
        <w:rPr>
          <w:rFonts w:ascii="Book Antiqua" w:hAnsi="Book Antiqua"/>
          <w:color w:val="000000" w:themeColor="text1"/>
          <w14:textFill>
            <w14:solidFill>
              <w14:schemeClr w14:val="tx1"/>
            </w14:solidFill>
          </w14:textFill>
        </w:rPr>
        <w:t>Zhang</w:t>
      </w:r>
      <w:r>
        <w:rPr>
          <w:rStyle w:val="13"/>
          <w:rFonts w:hint="eastAsia" w:ascii="Book Antiqua" w:hAnsi="Book Antiqua"/>
          <w:i/>
          <w:color w:val="000000" w:themeColor="text1"/>
          <w:sz w:val="24"/>
          <w:szCs w:val="24"/>
          <w:lang w:eastAsia="zh-CN"/>
          <w14:textFill>
            <w14:solidFill>
              <w14:schemeClr w14:val="tx1"/>
            </w14:solidFill>
          </w14:textFill>
        </w:rPr>
        <w:t xml:space="preserve"> </w:t>
      </w:r>
      <w:r>
        <w:rPr>
          <w:rStyle w:val="13"/>
          <w:rFonts w:hint="eastAsia" w:ascii="Book Antiqua" w:hAnsi="Book Antiqua"/>
          <w:color w:val="000000" w:themeColor="text1"/>
          <w:sz w:val="24"/>
          <w:szCs w:val="24"/>
          <w:lang w:eastAsia="zh-CN"/>
          <w14:textFill>
            <w14:solidFill>
              <w14:schemeClr w14:val="tx1"/>
            </w14:solidFill>
          </w14:textFill>
        </w:rPr>
        <w:t>and Zhu</w:t>
      </w:r>
      <w:r>
        <w:rPr>
          <w:rFonts w:ascii="Book Antiqua" w:hAnsi="Book Antiqua"/>
          <w:color w:val="000000" w:themeColor="text1"/>
          <w:vertAlign w:val="superscript"/>
          <w14:textFill>
            <w14:solidFill>
              <w14:schemeClr w14:val="tx1"/>
            </w14:solidFill>
          </w14:textFill>
        </w:rPr>
        <w:fldChar w:fldCharType="begin"/>
      </w:r>
      <w:r>
        <w:rPr>
          <w:rFonts w:ascii="Book Antiqua" w:hAnsi="Book Antiqua"/>
          <w:color w:val="000000" w:themeColor="text1"/>
          <w:vertAlign w:val="superscript"/>
          <w14:textFill>
            <w14:solidFill>
              <w14:schemeClr w14:val="tx1"/>
            </w14:solidFill>
          </w14:textFill>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Pr>
          <w:rFonts w:ascii="Book Antiqua" w:hAnsi="Book Antiqua"/>
          <w:color w:val="000000" w:themeColor="text1"/>
          <w:vertAlign w:val="superscript"/>
          <w14:textFill>
            <w14:solidFill>
              <w14:schemeClr w14:val="tx1"/>
            </w14:solidFill>
          </w14:textFill>
        </w:rPr>
        <w:fldChar w:fldCharType="separate"/>
      </w:r>
      <w:r>
        <w:rPr>
          <w:rFonts w:ascii="Book Antiqua" w:hAnsi="Book Antiqua"/>
          <w:color w:val="000000" w:themeColor="text1"/>
          <w:vertAlign w:val="superscript"/>
          <w14:textFill>
            <w14:solidFill>
              <w14:schemeClr w14:val="tx1"/>
            </w14:solidFill>
          </w14:textFill>
        </w:rPr>
        <w:t>[9]</w:t>
      </w:r>
      <w:r>
        <w:rPr>
          <w:rFonts w:ascii="Book Antiqua" w:hAnsi="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rPr>
        <w:t xml:space="preserve"> applied the chemical shift images in their report. In our three cases, lesions on in-phase images exhibited lower signal intensity than on out-phase images. In Case 2, the lesion was hypointense in SWI. In Case 1, there were signal changes across two time intervals on T1WI, T2WI, and DWI, which shifted from hyperintensity to hypointensity, and without restricted diffusion in two sets of </w:t>
      </w:r>
      <w:r>
        <w:rPr>
          <w:rFonts w:hint="eastAsia" w:ascii="Book Antiqua" w:hAnsi="Book Antiqua" w:cs="Book Antiqua"/>
          <w:color w:val="000000"/>
          <w:lang w:eastAsia="zh-CN"/>
        </w:rPr>
        <w:t>a</w:t>
      </w:r>
      <w:r>
        <w:rPr>
          <w:rFonts w:ascii="Book Antiqua" w:hAnsi="Book Antiqua" w:eastAsia="Book Antiqua" w:cs="Book Antiqua"/>
          <w:color w:val="000000"/>
        </w:rPr>
        <w:t xml:space="preserve">pparent diffusion coefficient (ADC) maps. We speculate that these manifestations and signal changes may be mainly ascribed to iron deposition, depending on iron evolution in the lesion, instead of the increase in cell density or change in intralesional content such as mucin, necrosis, fibrosis, or even calcification. Iron could impact the magnetic field intensity and homogeneity; thus, the signal on DWI could be diverse due to iron content and evolution in IEMH, but not due to diffusion restriction on the ADC map. However, there are limited data regarding EMH on DWI. Rasche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observed that EMH in the spleen could impact the DWI signal. The GRE sequence was unequivocally sensitive to the presence of small amounts of iron. It should also be noted that, when the echo time was longer, the signal indicating iron deposition in the lesion grew less intense</w:t>
      </w:r>
      <w:r>
        <w:rPr>
          <w:rFonts w:ascii="Book Antiqua" w:hAnsi="Book Antiqua" w:eastAsia="Book Antiqua" w:cs="Book Antiqua"/>
          <w:color w:val="000000"/>
          <w:vertAlign w:val="superscript"/>
        </w:rPr>
        <w:t>[11]</w:t>
      </w:r>
      <w:r>
        <w:rPr>
          <w:rFonts w:ascii="Book Antiqua" w:hAnsi="Book Antiqua" w:eastAsia="Book Antiqua" w:cs="Book Antiqua"/>
          <w:color w:val="000000"/>
        </w:rPr>
        <w:t>. Such lesions often showed lower signal intensity on SWI and in-phase images relative to the out-phase images.</w:t>
      </w:r>
    </w:p>
    <w:p>
      <w:pPr>
        <w:spacing w:line="360" w:lineRule="auto"/>
        <w:ind w:firstLine="396"/>
        <w:jc w:val="both"/>
        <w:rPr>
          <w:rFonts w:ascii="Book Antiqua" w:hAnsi="Book Antiqua"/>
        </w:rPr>
      </w:pPr>
      <w:r>
        <w:rPr>
          <w:rFonts w:ascii="Book Antiqua" w:hAnsi="Book Antiqua" w:eastAsia="Book Antiqua" w:cs="Book Antiqua"/>
          <w:color w:val="000000"/>
        </w:rPr>
        <w:t>Some cases report using scintigraphy to diagnose IEMH</w:t>
      </w:r>
      <w:r>
        <w:rPr>
          <w:rFonts w:ascii="Book Antiqua" w:hAnsi="Book Antiqua" w:eastAsia="Book Antiqua" w:cs="Book Antiqua"/>
          <w:color w:val="000000"/>
          <w:vertAlign w:val="superscript"/>
        </w:rPr>
        <w:t>[3,12,13]</w:t>
      </w:r>
      <w:r>
        <w:rPr>
          <w:rFonts w:ascii="Book Antiqua" w:hAnsi="Book Antiqua" w:eastAsia="Book Antiqua" w:cs="Book Antiqua"/>
          <w:color w:val="000000"/>
        </w:rPr>
        <w:t>, and the lesions showed Tc-99m uptake. In addition, PET was applied in the diagnosis of EMH located in the paraspinal region, peritoneum and lung</w:t>
      </w:r>
      <w:r>
        <w:rPr>
          <w:rFonts w:ascii="Book Antiqua" w:hAnsi="Book Antiqua" w:eastAsia="Book Antiqua" w:cs="Book Antiqua"/>
          <w:color w:val="000000"/>
          <w:vertAlign w:val="superscript"/>
        </w:rPr>
        <w:t>[1,13,14]</w:t>
      </w:r>
      <w:r>
        <w:rPr>
          <w:rFonts w:ascii="Book Antiqua" w:hAnsi="Book Antiqua" w:eastAsia="Book Antiqua" w:cs="Book Antiqua"/>
          <w:color w:val="000000"/>
        </w:rPr>
        <w:t xml:space="preserve">. High uptake values were observed. However, there are no reports on the PET characteristics of IEMH. We speculate that its property on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might be from mild to intense activity, which may be related to the different stages of the disease. In the initial stage, the synthesis and proliferation of hematopoietic cells were active, thus presenting as hypermetabolism, whereas in the static stage, IEMH could show low uptake.</w:t>
      </w:r>
    </w:p>
    <w:p>
      <w:pPr>
        <w:spacing w:line="360" w:lineRule="auto"/>
        <w:ind w:firstLine="396"/>
        <w:jc w:val="both"/>
        <w:rPr>
          <w:rFonts w:ascii="Book Antiqua" w:hAnsi="Book Antiqua"/>
        </w:rPr>
      </w:pPr>
      <w:r>
        <w:rPr>
          <w:rFonts w:ascii="Book Antiqua" w:hAnsi="Book Antiqua" w:eastAsia="Book Antiqua" w:cs="Book Antiqua"/>
          <w:color w:val="000000"/>
        </w:rPr>
        <w:t xml:space="preserve">There are discrepancies regarding the radiologic characteristics in different studies (Table 1). IEMH was described as a fat-containing lesion. For example, in reports published by Gupta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Navarro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and Cao </w:t>
      </w:r>
      <w:r>
        <w:rPr>
          <w:rFonts w:hint="eastAsia" w:ascii="Book Antiqua" w:hAnsi="Book Antiqua" w:cs="Book Antiqua"/>
          <w:iCs/>
          <w:color w:val="000000"/>
          <w:lang w:eastAsia="zh-CN"/>
        </w:rPr>
        <w:t>and Wang</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multiple lesions showed fat density. However, the case by </w:t>
      </w:r>
      <w:r>
        <w:rPr>
          <w:rFonts w:ascii="Book Antiqua" w:hAnsi="Book Antiqua"/>
          <w:color w:val="000000" w:themeColor="text1"/>
          <w14:textFill>
            <w14:solidFill>
              <w14:schemeClr w14:val="tx1"/>
            </w14:solidFill>
          </w14:textFill>
        </w:rPr>
        <w:t>Zhang</w:t>
      </w:r>
      <w:r>
        <w:rPr>
          <w:rStyle w:val="13"/>
          <w:rFonts w:hint="eastAsia" w:ascii="Book Antiqua" w:hAnsi="Book Antiqua"/>
          <w:i/>
          <w:color w:val="000000" w:themeColor="text1"/>
          <w:sz w:val="24"/>
          <w:szCs w:val="24"/>
          <w:lang w:eastAsia="zh-CN"/>
          <w14:textFill>
            <w14:solidFill>
              <w14:schemeClr w14:val="tx1"/>
            </w14:solidFill>
          </w14:textFill>
        </w:rPr>
        <w:t xml:space="preserve"> </w:t>
      </w:r>
      <w:r>
        <w:rPr>
          <w:rStyle w:val="13"/>
          <w:rFonts w:hint="eastAsia" w:ascii="Book Antiqua" w:hAnsi="Book Antiqua"/>
          <w:color w:val="000000" w:themeColor="text1"/>
          <w:sz w:val="24"/>
          <w:szCs w:val="24"/>
          <w:lang w:eastAsia="zh-CN"/>
          <w14:textFill>
            <w14:solidFill>
              <w14:schemeClr w14:val="tx1"/>
            </w14:solidFill>
          </w14:textFill>
        </w:rPr>
        <w:t>and Zhu</w:t>
      </w:r>
      <w:r>
        <w:rPr>
          <w:rFonts w:ascii="Book Antiqua" w:hAnsi="Book Antiqua"/>
          <w:color w:val="000000" w:themeColor="text1"/>
          <w:vertAlign w:val="superscript"/>
          <w14:textFill>
            <w14:solidFill>
              <w14:schemeClr w14:val="tx1"/>
            </w14:solidFill>
          </w14:textFill>
        </w:rPr>
        <w:fldChar w:fldCharType="begin"/>
      </w:r>
      <w:r>
        <w:rPr>
          <w:rFonts w:ascii="Book Antiqua" w:hAnsi="Book Antiqua"/>
          <w:color w:val="000000" w:themeColor="text1"/>
          <w:vertAlign w:val="superscript"/>
          <w14:textFill>
            <w14:solidFill>
              <w14:schemeClr w14:val="tx1"/>
            </w14:solidFill>
          </w14:textFill>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Pr>
          <w:rFonts w:ascii="Book Antiqua" w:hAnsi="Book Antiqua"/>
          <w:color w:val="000000" w:themeColor="text1"/>
          <w:vertAlign w:val="superscript"/>
          <w14:textFill>
            <w14:solidFill>
              <w14:schemeClr w14:val="tx1"/>
            </w14:solidFill>
          </w14:textFill>
        </w:rPr>
        <w:fldChar w:fldCharType="separate"/>
      </w:r>
      <w:r>
        <w:rPr>
          <w:rFonts w:ascii="Book Antiqua" w:hAnsi="Book Antiqua"/>
          <w:color w:val="000000" w:themeColor="text1"/>
          <w:vertAlign w:val="superscript"/>
          <w14:textFill>
            <w14:solidFill>
              <w14:schemeClr w14:val="tx1"/>
            </w14:solidFill>
          </w14:textFill>
        </w:rPr>
        <w:t>[9]</w:t>
      </w:r>
      <w:r>
        <w:rPr>
          <w:rFonts w:ascii="Book Antiqua" w:hAnsi="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rPr>
        <w:t xml:space="preserve"> showed a solitary lesion without any fat content, as indicated by the lack of fat signal alteration. With regard to enhancement pattern, the lesion presented as a hypervascular mass with heterogeneous enhancement in the report by Wong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17</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and homogeneous avid enhancement in the report by </w:t>
      </w:r>
      <w:r>
        <w:rPr>
          <w:rFonts w:ascii="Book Antiqua" w:hAnsi="Book Antiqua"/>
          <w:color w:val="000000" w:themeColor="text1"/>
          <w14:textFill>
            <w14:solidFill>
              <w14:schemeClr w14:val="tx1"/>
            </w14:solidFill>
          </w14:textFill>
        </w:rPr>
        <w:t>Zhang</w:t>
      </w:r>
      <w:r>
        <w:rPr>
          <w:rStyle w:val="13"/>
          <w:rFonts w:hint="eastAsia" w:ascii="Book Antiqua" w:hAnsi="Book Antiqua"/>
          <w:i/>
          <w:color w:val="000000" w:themeColor="text1"/>
          <w:sz w:val="24"/>
          <w:szCs w:val="24"/>
          <w:lang w:eastAsia="zh-CN"/>
          <w14:textFill>
            <w14:solidFill>
              <w14:schemeClr w14:val="tx1"/>
            </w14:solidFill>
          </w14:textFill>
        </w:rPr>
        <w:t xml:space="preserve"> </w:t>
      </w:r>
      <w:r>
        <w:rPr>
          <w:rStyle w:val="13"/>
          <w:rFonts w:hint="eastAsia" w:ascii="Book Antiqua" w:hAnsi="Book Antiqua"/>
          <w:color w:val="000000" w:themeColor="text1"/>
          <w:sz w:val="24"/>
          <w:szCs w:val="24"/>
          <w:lang w:eastAsia="zh-CN"/>
          <w14:textFill>
            <w14:solidFill>
              <w14:schemeClr w14:val="tx1"/>
            </w14:solidFill>
          </w14:textFill>
        </w:rPr>
        <w:t>and Zhu</w:t>
      </w:r>
      <w:r>
        <w:rPr>
          <w:rFonts w:ascii="Book Antiqua" w:hAnsi="Book Antiqua"/>
          <w:color w:val="000000" w:themeColor="text1"/>
          <w:vertAlign w:val="superscript"/>
          <w14:textFill>
            <w14:solidFill>
              <w14:schemeClr w14:val="tx1"/>
            </w14:solidFill>
          </w14:textFill>
        </w:rPr>
        <w:fldChar w:fldCharType="begin"/>
      </w:r>
      <w:r>
        <w:rPr>
          <w:rFonts w:ascii="Book Antiqua" w:hAnsi="Book Antiqua"/>
          <w:color w:val="000000" w:themeColor="text1"/>
          <w:vertAlign w:val="superscript"/>
          <w14:textFill>
            <w14:solidFill>
              <w14:schemeClr w14:val="tx1"/>
            </w14:solidFill>
          </w14:textFill>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Pr>
          <w:rFonts w:ascii="Book Antiqua" w:hAnsi="Book Antiqua"/>
          <w:color w:val="000000" w:themeColor="text1"/>
          <w:vertAlign w:val="superscript"/>
          <w14:textFill>
            <w14:solidFill>
              <w14:schemeClr w14:val="tx1"/>
            </w14:solidFill>
          </w14:textFill>
        </w:rPr>
        <w:fldChar w:fldCharType="separate"/>
      </w:r>
      <w:r>
        <w:rPr>
          <w:rFonts w:ascii="Book Antiqua" w:hAnsi="Book Antiqua"/>
          <w:color w:val="000000" w:themeColor="text1"/>
          <w:vertAlign w:val="superscript"/>
          <w14:textFill>
            <w14:solidFill>
              <w14:schemeClr w14:val="tx1"/>
            </w14:solidFill>
          </w14:textFill>
        </w:rPr>
        <w:t>[9]</w:t>
      </w:r>
      <w:r>
        <w:rPr>
          <w:rFonts w:ascii="Book Antiqua" w:hAnsi="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rPr>
        <w:t xml:space="preserve">, while mild enhancement was reported by Tamm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Elsayes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considered that an active lesion exhibited iso or hyperintensity on T1WI and T2WI, and was enhanced after injection of contrast material, while older lesions could be hypointense on T1WI and T2WI, and might show no enhancement. Nevertheless, Kumar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9</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provided a case where the lesion was isointense on T1WI and T2WI, but showed almost no enhancement. Belay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showed a lesion with low signal intensity on both T1WI and T2WI with marked enhancement. Some authors have indicated that iron deposition and fat infiltration might refer to an old stage in the disease course</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20</w:t>
      </w:r>
      <w:r>
        <w:rPr>
          <w:rFonts w:ascii="Book Antiqua" w:hAnsi="Book Antiqua" w:eastAsia="Book Antiqua" w:cs="Book Antiqua"/>
          <w:color w:val="000000"/>
          <w:vertAlign w:val="superscript"/>
        </w:rPr>
        <w:t>]</w:t>
      </w:r>
      <w:r>
        <w:rPr>
          <w:rFonts w:ascii="Book Antiqua" w:hAnsi="Book Antiqua" w:eastAsia="Book Antiqua" w:cs="Book Antiqua"/>
          <w:color w:val="000000"/>
        </w:rPr>
        <w:t>, while other authors thought that iron and fat content were also detectable in the active stage</w:t>
      </w:r>
      <w:r>
        <w:rPr>
          <w:rFonts w:ascii="Book Antiqua" w:hAnsi="Book Antiqua" w:eastAsia="Book Antiqua" w:cs="Book Antiqua"/>
          <w:color w:val="000000"/>
          <w:vertAlign w:val="superscript"/>
        </w:rPr>
        <w:t>[2</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MRI was found to reflect different stages of hematopoiesis, depending on iron signal evolution, fat content, degree of fibrous organization, and vascular enrichment in the lesion. In this way, the difference in hematopoietic materials, fibrous tissue and fat content could explain the diverse radiologic description and the lack of exclusive imaging patterns.</w:t>
      </w:r>
    </w:p>
    <w:p>
      <w:pPr>
        <w:spacing w:line="360" w:lineRule="auto"/>
        <w:ind w:firstLine="396"/>
        <w:jc w:val="both"/>
        <w:rPr>
          <w:rFonts w:ascii="Book Antiqua" w:hAnsi="Book Antiqua"/>
        </w:rPr>
      </w:pPr>
      <w:r>
        <w:rPr>
          <w:rFonts w:ascii="Book Antiqua" w:hAnsi="Book Antiqua" w:eastAsia="Book Antiqua" w:cs="Book Antiqua"/>
          <w:color w:val="000000"/>
        </w:rPr>
        <w:t>Although most of the patients with IEMH had hematological disease, a few cases had no evidence of this underlying condition (as shown in the Case 1 and Case 3). For example, small cell lung cancer and Noonan syndrome were reported in two cases</w:t>
      </w:r>
      <w:r>
        <w:rPr>
          <w:rFonts w:ascii="Book Antiqua" w:hAnsi="Book Antiqua" w:eastAsia="Book Antiqua" w:cs="Book Antiqua"/>
          <w:color w:val="000000"/>
          <w:vertAlign w:val="superscript"/>
        </w:rPr>
        <w:t>[4,15]</w:t>
      </w:r>
      <w:r>
        <w:rPr>
          <w:rFonts w:ascii="Book Antiqua" w:hAnsi="Book Antiqua" w:eastAsia="Book Antiqua" w:cs="Book Antiqua"/>
          <w:color w:val="000000"/>
        </w:rPr>
        <w:t>, and the cause of IEMH in another two cases remains unknown</w:t>
      </w:r>
      <w:r>
        <w:rPr>
          <w:rFonts w:ascii="Book Antiqua" w:hAnsi="Book Antiqua" w:eastAsia="Book Antiqua" w:cs="Book Antiqua"/>
          <w:color w:val="000000"/>
          <w:vertAlign w:val="superscript"/>
        </w:rPr>
        <w:t>[2</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vertAlign w:val="superscript"/>
        </w:rPr>
        <w:t>,2</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396"/>
        <w:jc w:val="both"/>
        <w:rPr>
          <w:rFonts w:ascii="Book Antiqua" w:hAnsi="Book Antiqua"/>
        </w:rPr>
      </w:pPr>
      <w:r>
        <w:rPr>
          <w:rFonts w:ascii="Book Antiqua" w:hAnsi="Book Antiqua" w:eastAsia="Book Antiqua" w:cs="Book Antiqua"/>
          <w:color w:val="000000"/>
        </w:rPr>
        <w:t>Two factors differentiate these three cases from those in other reports. First, no hepatomegaly or splenomegaly was found in these patients. Second, a change in MRI signal was observed at two different points in time in Case 1 and it presented more radiologic characteristics over the course of the disease. Interestingly, all our reported lesions were either in segment VII or VIII. IEMH in other segments have been reported in other cases. More cases should be documented in the future.</w:t>
      </w:r>
    </w:p>
    <w:p>
      <w:pPr>
        <w:spacing w:line="360" w:lineRule="auto"/>
        <w:ind w:firstLine="396"/>
        <w:jc w:val="both"/>
        <w:rPr>
          <w:rFonts w:ascii="Book Antiqua" w:hAnsi="Book Antiqua"/>
        </w:rPr>
      </w:pPr>
      <w:r>
        <w:rPr>
          <w:rFonts w:ascii="Book Antiqua" w:hAnsi="Book Antiqua" w:eastAsia="Book Antiqua" w:cs="Book Antiqua"/>
          <w:color w:val="000000"/>
        </w:rPr>
        <w:t xml:space="preserve">The differential diagnosis includes benign, primary, and secondary liver malignant lesions. IEMH may mimic these lesions leading to troublesome diagnosis. In the “fat deposition” stage, the characteristic signal intensity on the in-phase image is higher than that on the out-phase image. The differential diagnosis in cirrhotic liver includes fatty metamorphosis in hepatocellular carcinoma (HCC), while that in non-cirrhotic liver includes benign lesions such as focal fatty infiltration (without mass effect), adenoma (hepatocyte nuclear factor 1a–mutated subtype) and lipoma (no enhancement). Angiomyolipoma should be also taken into consideration. In the “iron deposition” stage, the characteristic signal intensity on the in-phase image is lower than that on the out-phase image. The differential diagnosis (intratumoral bleeding) includes benign lesions such as adenoma (inflammatory subtype) and hemangioma. Malignant lesions include hemorrhagic HCC and metastasis. When IEMH demonstrates strong and persistent enhancement, focal nodular hyperplasia, adenoma and hypervascular metastasis need to be considered. An appropriate clinical setting and the application of Gd-EOB-DTPA or </w:t>
      </w:r>
      <w:r>
        <w:rPr>
          <w:rFonts w:hint="eastAsia" w:ascii="Book Antiqua" w:hAnsi="Book Antiqua" w:cs="Book Antiqua"/>
          <w:color w:val="000000"/>
          <w:lang w:eastAsia="zh-CN"/>
        </w:rPr>
        <w:t>SPIO</w:t>
      </w:r>
      <w:r>
        <w:rPr>
          <w:rFonts w:ascii="Book Antiqua" w:hAnsi="Book Antiqua" w:eastAsia="Book Antiqua" w:cs="Book Antiqua"/>
          <w:color w:val="000000"/>
        </w:rPr>
        <w:t xml:space="preserve"> are helpful in the diagnosis. When IEMH shows mild enhancement or avid enhancement with “washout”, atypical metastasis, HCC, or even fibrolamellar carcinoma in young patients should be considered in the differential list. Lymphoma is homogenous isointense with moderate enhancement. Fat and bleeding content is seldom seen in lymphoma.</w:t>
      </w:r>
    </w:p>
    <w:p>
      <w:pPr>
        <w:spacing w:line="360" w:lineRule="auto"/>
        <w:ind w:firstLine="396"/>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IEMH has a variable radiologic appearance and is easily misdiagnosed. Given its rarity and the lack of pathognomonic imaging findings, awareness of its presentations might help radiologists establish the diagnosis.</w:t>
      </w:r>
    </w:p>
    <w:p>
      <w:pPr>
        <w:spacing w:line="360" w:lineRule="auto"/>
        <w:ind w:firstLine="4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thank Chao Zhang, MD, PhD, and Jing</w:t>
      </w:r>
      <w:r>
        <w:rPr>
          <w:rFonts w:ascii="Book Antiqua" w:hAnsi="Book Antiqua" w:cs="Book Antiqua"/>
          <w:color w:val="000000"/>
          <w:lang w:eastAsia="zh-CN"/>
        </w:rPr>
        <w:t>-P</w:t>
      </w:r>
      <w:r>
        <w:rPr>
          <w:rFonts w:ascii="Book Antiqua" w:hAnsi="Book Antiqua" w:eastAsia="Book Antiqua" w:cs="Book Antiqua"/>
          <w:color w:val="000000"/>
        </w:rPr>
        <w:t>ing Yun, MD, PhD, for their contributions to the pathological figure and analysis.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Roberts AS</w:t>
      </w:r>
      <w:r>
        <w:rPr>
          <w:rFonts w:ascii="Book Antiqua" w:hAnsi="Book Antiqua" w:eastAsia="Book Antiqua" w:cs="Book Antiqua"/>
          <w:color w:val="000000"/>
        </w:rPr>
        <w:t xml:space="preserve">, Shetty AS, Mellnick VM, Pickhardt PJ, Bhalla S, Menias CO. Extramedullary haematopoiesis: radiological imaging features. </w:t>
      </w:r>
      <w:r>
        <w:rPr>
          <w:rFonts w:ascii="Book Antiqua" w:hAnsi="Book Antiqua" w:eastAsia="Book Antiqua" w:cs="Book Antiqua"/>
          <w:i/>
          <w:iCs/>
          <w:color w:val="000000"/>
        </w:rPr>
        <w:t>Clin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71</w:t>
      </w:r>
      <w:r>
        <w:rPr>
          <w:rFonts w:ascii="Book Antiqua" w:hAnsi="Book Antiqua" w:eastAsia="Book Antiqua" w:cs="Book Antiqua"/>
          <w:color w:val="000000"/>
        </w:rPr>
        <w:t>: 807-814 [PMID: 27377325 DOI: 10.1016/j.crad.2016.05.014]</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Lee IJ</w:t>
      </w:r>
      <w:r>
        <w:rPr>
          <w:rFonts w:ascii="Book Antiqua" w:hAnsi="Book Antiqua" w:eastAsia="Book Antiqua" w:cs="Book Antiqua"/>
          <w:color w:val="000000"/>
        </w:rPr>
        <w:t xml:space="preserve">, Kim SH, Kim DS, Lee JM, Han JK, Choi BI. Intrahepatic extramedullary hematopoiesis mimicking a hypervascular hepatic neoplasm on dynamic- and SPIO-enhanced MRI. </w:t>
      </w:r>
      <w:r>
        <w:rPr>
          <w:rFonts w:ascii="Book Antiqua" w:hAnsi="Book Antiqua" w:eastAsia="Book Antiqua" w:cs="Book Antiqua"/>
          <w:i/>
          <w:iCs/>
          <w:color w:val="000000"/>
        </w:rPr>
        <w:t>Korean J Radiol</w:t>
      </w:r>
      <w:r>
        <w:rPr>
          <w:rFonts w:ascii="Book Antiqua" w:hAnsi="Book Antiqua" w:eastAsia="Book Antiqua" w:cs="Book Antiqua"/>
          <w:color w:val="000000"/>
        </w:rPr>
        <w:t xml:space="preserve"> 2008; </w:t>
      </w:r>
      <w:r>
        <w:rPr>
          <w:rFonts w:ascii="Book Antiqua" w:hAnsi="Book Antiqua" w:eastAsia="Book Antiqua" w:cs="Book Antiqua"/>
          <w:b/>
          <w:bCs/>
          <w:color w:val="000000"/>
        </w:rPr>
        <w:t>9 Suppl</w:t>
      </w:r>
      <w:r>
        <w:rPr>
          <w:rFonts w:ascii="Book Antiqua" w:hAnsi="Book Antiqua" w:eastAsia="Book Antiqua" w:cs="Book Antiqua"/>
          <w:color w:val="000000"/>
        </w:rPr>
        <w:t>: S34-S38 [PMID: 18607123 DOI: 10.3348/kjr.2008.9.s.s34]</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Abbitt PL</w:t>
      </w:r>
      <w:r>
        <w:rPr>
          <w:rFonts w:ascii="Book Antiqua" w:hAnsi="Book Antiqua" w:eastAsia="Book Antiqua" w:cs="Book Antiqua"/>
          <w:color w:val="000000"/>
        </w:rPr>
        <w:t xml:space="preserve">, Teates CD. The sonographic appearance of extramedullary hematopoiesis in the liver. </w:t>
      </w:r>
      <w:r>
        <w:rPr>
          <w:rFonts w:ascii="Book Antiqua" w:hAnsi="Book Antiqua" w:eastAsia="Book Antiqua" w:cs="Book Antiqua"/>
          <w:i/>
          <w:iCs/>
          <w:color w:val="000000"/>
        </w:rPr>
        <w:t>J Clin Ultrasound</w:t>
      </w:r>
      <w:r>
        <w:rPr>
          <w:rFonts w:ascii="Book Antiqua" w:hAnsi="Book Antiqua" w:eastAsia="Book Antiqua" w:cs="Book Antiqua"/>
          <w:color w:val="000000"/>
        </w:rPr>
        <w:t xml:space="preserve"> 1989; </w:t>
      </w:r>
      <w:r>
        <w:rPr>
          <w:rFonts w:ascii="Book Antiqua" w:hAnsi="Book Antiqua" w:eastAsia="Book Antiqua" w:cs="Book Antiqua"/>
          <w:b/>
          <w:bCs/>
          <w:color w:val="000000"/>
        </w:rPr>
        <w:t>17</w:t>
      </w:r>
      <w:r>
        <w:rPr>
          <w:rFonts w:ascii="Book Antiqua" w:hAnsi="Book Antiqua" w:eastAsia="Book Antiqua" w:cs="Book Antiqua"/>
          <w:color w:val="000000"/>
        </w:rPr>
        <w:t>: 280-282 [PMID: 2497146 DOI: 10.1002/jcu.1870170409]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Bradley MJ</w:t>
      </w:r>
      <w:r>
        <w:rPr>
          <w:rFonts w:ascii="Book Antiqua" w:hAnsi="Book Antiqua" w:eastAsia="Book Antiqua" w:cs="Book Antiqua"/>
          <w:color w:val="000000"/>
        </w:rPr>
        <w:t xml:space="preserve">, Metreweli C. Ultrasound appearances of extramedullary haematopoiesis in the liver and spleen.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1990; </w:t>
      </w:r>
      <w:r>
        <w:rPr>
          <w:rFonts w:ascii="Book Antiqua" w:hAnsi="Book Antiqua" w:eastAsia="Book Antiqua" w:cs="Book Antiqua"/>
          <w:b/>
          <w:bCs/>
          <w:color w:val="000000"/>
        </w:rPr>
        <w:t>63</w:t>
      </w:r>
      <w:r>
        <w:rPr>
          <w:rFonts w:ascii="Book Antiqua" w:hAnsi="Book Antiqua" w:eastAsia="Book Antiqua" w:cs="Book Antiqua"/>
          <w:color w:val="000000"/>
        </w:rPr>
        <w:t>: 816-818 [PMID: 2242486 DOI: 10.1259/0007-1285-63-754-816]</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Aytaç S</w:t>
      </w:r>
      <w:r>
        <w:rPr>
          <w:rFonts w:ascii="Book Antiqua" w:hAnsi="Book Antiqua" w:eastAsia="Book Antiqua" w:cs="Book Antiqua"/>
          <w:color w:val="000000"/>
        </w:rPr>
        <w:t xml:space="preserve">, Fitoz S, Akyar S, Atasoy C, Erekul S. Focal intrahepatic extramedullary hematopoiesis: color Doppler US and CT findings.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1999; </w:t>
      </w:r>
      <w:r>
        <w:rPr>
          <w:rFonts w:ascii="Book Antiqua" w:hAnsi="Book Antiqua" w:eastAsia="Book Antiqua" w:cs="Book Antiqua"/>
          <w:b/>
          <w:bCs/>
          <w:color w:val="000000"/>
        </w:rPr>
        <w:t>24</w:t>
      </w:r>
      <w:r>
        <w:rPr>
          <w:rFonts w:ascii="Book Antiqua" w:hAnsi="Book Antiqua" w:eastAsia="Book Antiqua" w:cs="Book Antiqua"/>
          <w:color w:val="000000"/>
        </w:rPr>
        <w:t>: 366-368 [PMID: 10390558 DOI: 10.1007/s002619900515]</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Navarro M</w:t>
      </w:r>
      <w:r>
        <w:rPr>
          <w:rFonts w:ascii="Book Antiqua" w:hAnsi="Book Antiqua" w:eastAsia="Book Antiqua" w:cs="Book Antiqua"/>
          <w:color w:val="000000"/>
        </w:rPr>
        <w:t xml:space="preserve">, Crespo C, Pérez L, Martínez C, Galant J, González I. Massive intrahepatic extramedullary hematopoiesis in myelofibrosis.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2000; </w:t>
      </w:r>
      <w:r>
        <w:rPr>
          <w:rFonts w:ascii="Book Antiqua" w:hAnsi="Book Antiqua" w:eastAsia="Book Antiqua" w:cs="Book Antiqua"/>
          <w:b/>
          <w:bCs/>
          <w:color w:val="000000"/>
        </w:rPr>
        <w:t>25</w:t>
      </w:r>
      <w:r>
        <w:rPr>
          <w:rFonts w:ascii="Book Antiqua" w:hAnsi="Book Antiqua" w:eastAsia="Book Antiqua" w:cs="Book Antiqua"/>
          <w:color w:val="000000"/>
        </w:rPr>
        <w:t>: 184-186 [PMID: 10675463 DOI: 10.1007/s002619910041]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Cardoso FS</w:t>
      </w:r>
      <w:r>
        <w:rPr>
          <w:rFonts w:ascii="Book Antiqua" w:hAnsi="Book Antiqua" w:eastAsia="Book Antiqua" w:cs="Book Antiqua"/>
          <w:color w:val="000000"/>
        </w:rPr>
        <w:t xml:space="preserve">, Pires JV, Miranda JS, Araújo JM. Hepatic nodule: a case of primary myelofibrosis.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2011; </w:t>
      </w:r>
      <w:r>
        <w:rPr>
          <w:rFonts w:ascii="Book Antiqua" w:hAnsi="Book Antiqua" w:eastAsia="Book Antiqua" w:cs="Book Antiqua"/>
          <w:b/>
          <w:bCs/>
          <w:color w:val="000000"/>
        </w:rPr>
        <w:t>2011</w:t>
      </w:r>
      <w:r>
        <w:rPr>
          <w:rFonts w:ascii="Book Antiqua" w:hAnsi="Book Antiqua" w:eastAsia="Book Antiqua" w:cs="Book Antiqua"/>
          <w:color w:val="000000"/>
        </w:rPr>
        <w:t xml:space="preserve"> [PMID: 22687670 DOI: 10.1136/bcr.05.2011.4220]</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Belay AA</w:t>
      </w:r>
      <w:r>
        <w:rPr>
          <w:rFonts w:ascii="Book Antiqua" w:hAnsi="Book Antiqua" w:eastAsia="Book Antiqua" w:cs="Book Antiqua"/>
          <w:color w:val="000000"/>
        </w:rPr>
        <w:t xml:space="preserve">, Bellizzi AM, Stolpen AH. The role of T2*-weighted gradient echo in the diagnosis of tumefactive intrahepatic extramedullary hematopoiesis in myelodysplastic syndrome and diffuse hepatic iron overload: a case report and review of the literature. </w:t>
      </w:r>
      <w:r>
        <w:rPr>
          <w:rFonts w:ascii="Book Antiqua" w:hAnsi="Book Antiqua" w:eastAsia="Book Antiqua" w:cs="Book Antiqua"/>
          <w:i/>
          <w:iCs/>
          <w:color w:val="000000"/>
        </w:rPr>
        <w:t>J Med Case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12</w:t>
      </w:r>
      <w:r>
        <w:rPr>
          <w:rFonts w:ascii="Book Antiqua" w:hAnsi="Book Antiqua" w:eastAsia="Book Antiqua" w:cs="Book Antiqua"/>
          <w:color w:val="000000"/>
        </w:rPr>
        <w:t>: 9 [PMID: 29332607 DOI: 10.1186/s13256-017-1531-9]</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Zhang L</w:t>
      </w:r>
      <w:r>
        <w:rPr>
          <w:rFonts w:ascii="Book Antiqua" w:hAnsi="Book Antiqua" w:eastAsia="Book Antiqua" w:cs="Book Antiqua"/>
          <w:color w:val="000000"/>
        </w:rPr>
        <w:t xml:space="preserve">, Zhu H. Extramedullary hematopoiesis mimicking an intrahepatic neoplasm in a patient with idiopathic myelofibrosis.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1205-1207 [PMID: 32402745 DOI: 10.1016/j.dld.2020.03.011]</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Rasche L</w:t>
      </w:r>
      <w:r>
        <w:rPr>
          <w:rFonts w:ascii="Book Antiqua" w:hAnsi="Book Antiqua" w:eastAsia="Book Antiqua" w:cs="Book Antiqua"/>
          <w:color w:val="000000"/>
        </w:rPr>
        <w:t xml:space="preserve">, Kumar M, Gershner G, Samant R, Van Hemert R, Heidemeier A, Lapa C, Bley T, Buck A, McDonald J, Hillengass J, Epstein J, Thanendrarajan S, Schinke C, van Rhee F, Zangari M, Barlogie B, Davies FE, Morgan GJ, Weinhold N. Lack of Spleen Signal on Diffusion Weighted MRI is associated with High Tumor Burden and Poor Prognosis in Multiple Myeloma: A Link to Extramedullary Hematopoiesis? </w:t>
      </w:r>
      <w:r>
        <w:rPr>
          <w:rFonts w:ascii="Book Antiqua" w:hAnsi="Book Antiqua" w:eastAsia="Book Antiqua" w:cs="Book Antiqua"/>
          <w:i/>
          <w:iCs/>
          <w:color w:val="000000"/>
        </w:rPr>
        <w:t>Theranostics</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4756-4763 [PMID: 31367255 DOI: 10.7150/thno.33289]</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Curvo-Semedo L</w:t>
      </w:r>
      <w:r>
        <w:rPr>
          <w:rFonts w:ascii="Book Antiqua" w:hAnsi="Book Antiqua" w:eastAsia="Book Antiqua" w:cs="Book Antiqua"/>
          <w:color w:val="000000"/>
        </w:rPr>
        <w:t xml:space="preserve">, Brito JB, Seco MF, Costa JF, Marques CB, Caseiro-Alves F. The hypointense liver lesion on T2-weighted MR images and what it means.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2010; </w:t>
      </w:r>
      <w:r>
        <w:rPr>
          <w:rFonts w:ascii="Book Antiqua" w:hAnsi="Book Antiqua" w:eastAsia="Book Antiqua" w:cs="Book Antiqua"/>
          <w:b/>
          <w:bCs/>
          <w:color w:val="000000"/>
        </w:rPr>
        <w:t>30</w:t>
      </w:r>
      <w:r>
        <w:rPr>
          <w:rFonts w:ascii="Book Antiqua" w:hAnsi="Book Antiqua" w:eastAsia="Book Antiqua" w:cs="Book Antiqua"/>
          <w:color w:val="000000"/>
        </w:rPr>
        <w:t>: e38 [PMID: 19901085 DOI: 10.1148/rg.e38]</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Tamm EP</w:t>
      </w:r>
      <w:r>
        <w:rPr>
          <w:rFonts w:ascii="Book Antiqua" w:hAnsi="Book Antiqua" w:eastAsia="Book Antiqua" w:cs="Book Antiqua"/>
          <w:color w:val="000000"/>
        </w:rPr>
        <w:t xml:space="preserve">, Rabushka LS, Fishman EK, Hruban RH, Diehl AM, Klein A. Intrahepatic, extramedullary hematopoiesis mimicking hemangioma on technetium-99m red blood cell SPECT examination. </w:t>
      </w:r>
      <w:r>
        <w:rPr>
          <w:rFonts w:ascii="Book Antiqua" w:hAnsi="Book Antiqua" w:eastAsia="Book Antiqua" w:cs="Book Antiqua"/>
          <w:i/>
          <w:iCs/>
          <w:color w:val="000000"/>
        </w:rPr>
        <w:t>Clin Imaging</w:t>
      </w:r>
      <w:r>
        <w:rPr>
          <w:rFonts w:ascii="Book Antiqua" w:hAnsi="Book Antiqua" w:eastAsia="Book Antiqua" w:cs="Book Antiqua"/>
          <w:color w:val="000000"/>
        </w:rPr>
        <w:t xml:space="preserve"> 1995; </w:t>
      </w:r>
      <w:r>
        <w:rPr>
          <w:rFonts w:ascii="Book Antiqua" w:hAnsi="Book Antiqua" w:eastAsia="Book Antiqua" w:cs="Book Antiqua"/>
          <w:b/>
          <w:bCs/>
          <w:color w:val="000000"/>
        </w:rPr>
        <w:t>19</w:t>
      </w:r>
      <w:r>
        <w:rPr>
          <w:rFonts w:ascii="Book Antiqua" w:hAnsi="Book Antiqua" w:eastAsia="Book Antiqua" w:cs="Book Antiqua"/>
          <w:color w:val="000000"/>
        </w:rPr>
        <w:t>: 88-91 [PMID: 7773882 DOI: 10.1016/0899-7071(94)00037-d]</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Yang M</w:t>
      </w:r>
      <w:r>
        <w:rPr>
          <w:rFonts w:ascii="Book Antiqua" w:hAnsi="Book Antiqua" w:eastAsia="Book Antiqua" w:cs="Book Antiqua"/>
          <w:color w:val="000000"/>
        </w:rPr>
        <w:t xml:space="preserve">, Roarke M. Diffuse pulmonary extramedullary hematopoiesis in myelofibrosis diagnosed with technetium-99m sulfur colloid bone marrow scintigraphy and single photon emission computerized tomography/CT. </w:t>
      </w:r>
      <w:r>
        <w:rPr>
          <w:rFonts w:ascii="Book Antiqua" w:hAnsi="Book Antiqua" w:eastAsia="Book Antiqua" w:cs="Book Antiqua"/>
          <w:i/>
          <w:iCs/>
          <w:color w:val="000000"/>
        </w:rPr>
        <w:t>Am J Hematol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92</w:t>
      </w:r>
      <w:r>
        <w:rPr>
          <w:rFonts w:ascii="Book Antiqua" w:hAnsi="Book Antiqua" w:eastAsia="Book Antiqua" w:cs="Book Antiqua"/>
          <w:color w:val="000000"/>
        </w:rPr>
        <w:t>: 323-324 [PMID: 27883206 DOI: 10.1002/ajh.24616]</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Agool A</w:t>
      </w:r>
      <w:r>
        <w:rPr>
          <w:rFonts w:ascii="Book Antiqua" w:hAnsi="Book Antiqua" w:eastAsia="Book Antiqua" w:cs="Book Antiqua"/>
          <w:color w:val="000000"/>
        </w:rPr>
        <w:t xml:space="preserve">, Dierckx RA, de Wolf JT, Vellenga E, Slart RH. Extramedullary haematopoiesis imaging with 18F-FLT PET. </w:t>
      </w:r>
      <w:r>
        <w:rPr>
          <w:rFonts w:ascii="Book Antiqua" w:hAnsi="Book Antiqua" w:eastAsia="Book Antiqua" w:cs="Book Antiqua"/>
          <w:i/>
          <w:iCs/>
          <w:color w:val="000000"/>
        </w:rPr>
        <w:t>Eur J Nucl Med Mol Imaging</w:t>
      </w:r>
      <w:r>
        <w:rPr>
          <w:rFonts w:ascii="Book Antiqua" w:hAnsi="Book Antiqua" w:eastAsia="Book Antiqua" w:cs="Book Antiqua"/>
          <w:color w:val="000000"/>
        </w:rPr>
        <w:t xml:space="preserve"> 2010; </w:t>
      </w:r>
      <w:r>
        <w:rPr>
          <w:rFonts w:ascii="Book Antiqua" w:hAnsi="Book Antiqua" w:eastAsia="Book Antiqua" w:cs="Book Antiqua"/>
          <w:b/>
          <w:bCs/>
          <w:color w:val="000000"/>
        </w:rPr>
        <w:t>37</w:t>
      </w:r>
      <w:r>
        <w:rPr>
          <w:rFonts w:ascii="Book Antiqua" w:hAnsi="Book Antiqua" w:eastAsia="Book Antiqua" w:cs="Book Antiqua"/>
          <w:color w:val="000000"/>
        </w:rPr>
        <w:t>: 1620 [PMID: 20512326 DOI: 10.1007/s00259-010-1486-1]</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Gupta P</w:t>
      </w:r>
      <w:r>
        <w:rPr>
          <w:rFonts w:ascii="Book Antiqua" w:hAnsi="Book Antiqua" w:eastAsia="Book Antiqua" w:cs="Book Antiqua"/>
          <w:color w:val="000000"/>
        </w:rPr>
        <w:t xml:space="preserve">, Naran A, Auh YH, Chung JS. Focal intrahepatic extramedullary hematopoiesis presenting as fatty lesions.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2004; </w:t>
      </w:r>
      <w:r>
        <w:rPr>
          <w:rFonts w:ascii="Book Antiqua" w:hAnsi="Book Antiqua" w:eastAsia="Book Antiqua" w:cs="Book Antiqua"/>
          <w:b/>
          <w:bCs/>
          <w:color w:val="000000"/>
        </w:rPr>
        <w:t>182</w:t>
      </w:r>
      <w:r>
        <w:rPr>
          <w:rFonts w:ascii="Book Antiqua" w:hAnsi="Book Antiqua" w:eastAsia="Book Antiqua" w:cs="Book Antiqua"/>
          <w:color w:val="000000"/>
        </w:rPr>
        <w:t>: 1031-1032 [PMID: 15039182 DOI: 10.2214/ajr.182.4.1821031]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Cao DB</w:t>
      </w:r>
      <w:r>
        <w:rPr>
          <w:rFonts w:ascii="Book Antiqua" w:hAnsi="Book Antiqua" w:eastAsia="Book Antiqua" w:cs="Book Antiqua"/>
          <w:color w:val="000000"/>
        </w:rPr>
        <w:t xml:space="preserve">, Wang YS. Gastrointestinal: Intrahepatic periportal masses with uncommon computed tomography patterns: Hepatic extramedullary hematopoiesis of primary mylofibrosis.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1857 [PMID: 32506520 DOI: 10.1111/jgh.15069]</w:t>
      </w:r>
    </w:p>
    <w:p>
      <w:pPr>
        <w:spacing w:line="360" w:lineRule="auto"/>
        <w:jc w:val="both"/>
        <w:rPr>
          <w:rFonts w:ascii="Book Antiqua" w:hAnsi="Book Antiqua" w:cs="Book Antiqua"/>
          <w:color w:val="000000"/>
          <w:lang w:eastAsia="zh-CN"/>
        </w:rPr>
      </w:pPr>
      <w:r>
        <w:rPr>
          <w:rFonts w:hint="eastAsia" w:ascii="Book Antiqua" w:hAnsi="Book Antiqua" w:cs="Book Antiqua"/>
          <w:color w:val="000000"/>
          <w:lang w:eastAsia="zh-CN"/>
        </w:rPr>
        <w:t>17</w:t>
      </w:r>
      <w:r>
        <w:rPr>
          <w:rFonts w:ascii="Book Antiqua" w:hAnsi="Book Antiqua" w:eastAsia="Book Antiqua" w:cs="Book Antiqua"/>
          <w:color w:val="000000"/>
        </w:rPr>
        <w:t xml:space="preserve"> </w:t>
      </w:r>
      <w:r>
        <w:rPr>
          <w:rFonts w:ascii="Book Antiqua" w:hAnsi="Book Antiqua" w:eastAsia="Book Antiqua" w:cs="Book Antiqua"/>
          <w:b/>
          <w:bCs/>
          <w:color w:val="000000"/>
        </w:rPr>
        <w:t>Wong Y</w:t>
      </w:r>
      <w:r>
        <w:rPr>
          <w:rFonts w:ascii="Book Antiqua" w:hAnsi="Book Antiqua" w:eastAsia="Book Antiqua" w:cs="Book Antiqua"/>
          <w:color w:val="000000"/>
        </w:rPr>
        <w:t xml:space="preserve">, Chen F, Tai KS, Yip LK, Tsang KW, Chan FL, Ooi GC. Imaging features of focal intrahepatic extramedullary haematopoiesis.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1999; </w:t>
      </w:r>
      <w:r>
        <w:rPr>
          <w:rFonts w:ascii="Book Antiqua" w:hAnsi="Book Antiqua" w:eastAsia="Book Antiqua" w:cs="Book Antiqua"/>
          <w:b/>
          <w:bCs/>
          <w:color w:val="000000"/>
        </w:rPr>
        <w:t>72</w:t>
      </w:r>
      <w:r>
        <w:rPr>
          <w:rFonts w:ascii="Book Antiqua" w:hAnsi="Book Antiqua" w:eastAsia="Book Antiqua" w:cs="Book Antiqua"/>
          <w:color w:val="000000"/>
        </w:rPr>
        <w:t>: 906-910 [PMID: 10645201 DOI: 10.1259/bjr.72.861.10645201]</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8</w:t>
      </w:r>
      <w:r>
        <w:rPr>
          <w:rFonts w:ascii="Book Antiqua" w:hAnsi="Book Antiqua" w:eastAsia="Book Antiqua" w:cs="Book Antiqua"/>
          <w:color w:val="000000"/>
        </w:rPr>
        <w:t xml:space="preserve"> </w:t>
      </w:r>
      <w:r>
        <w:rPr>
          <w:rFonts w:ascii="Book Antiqua" w:hAnsi="Book Antiqua" w:eastAsia="Book Antiqua" w:cs="Book Antiqua"/>
          <w:b/>
          <w:bCs/>
          <w:color w:val="000000"/>
        </w:rPr>
        <w:t>Elsayes KM</w:t>
      </w:r>
      <w:r>
        <w:rPr>
          <w:rFonts w:ascii="Book Antiqua" w:hAnsi="Book Antiqua" w:eastAsia="Book Antiqua" w:cs="Book Antiqua"/>
          <w:color w:val="000000"/>
        </w:rPr>
        <w:t xml:space="preserve">, Narra VR, Mukundan G, Lewis JS Jr, Menias CO, Heiken JP. MR imaging of the spleen: spectrum of abnormalities.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2005; </w:t>
      </w:r>
      <w:r>
        <w:rPr>
          <w:rFonts w:ascii="Book Antiqua" w:hAnsi="Book Antiqua" w:eastAsia="Book Antiqua" w:cs="Book Antiqua"/>
          <w:b/>
          <w:bCs/>
          <w:color w:val="000000"/>
        </w:rPr>
        <w:t>25</w:t>
      </w:r>
      <w:r>
        <w:rPr>
          <w:rFonts w:ascii="Book Antiqua" w:hAnsi="Book Antiqua" w:eastAsia="Book Antiqua" w:cs="Book Antiqua"/>
          <w:color w:val="000000"/>
        </w:rPr>
        <w:t>: 967-982 [PMID: 16009818 DOI: 10.1148/rg.254045154]</w:t>
      </w:r>
    </w:p>
    <w:p>
      <w:pPr>
        <w:spacing w:line="360" w:lineRule="auto"/>
        <w:jc w:val="both"/>
        <w:rPr>
          <w:rFonts w:ascii="Book Antiqua" w:hAnsi="Book Antiqua"/>
        </w:rPr>
      </w:pPr>
      <w:r>
        <w:rPr>
          <w:rFonts w:ascii="Book Antiqua" w:hAnsi="Book Antiqua" w:eastAsia="Book Antiqua" w:cs="Book Antiqua"/>
          <w:color w:val="000000"/>
        </w:rPr>
        <w:t>1</w:t>
      </w:r>
      <w:r>
        <w:rPr>
          <w:rFonts w:hint="eastAsia" w:ascii="Book Antiqua" w:hAnsi="Book Antiqua" w:cs="Book Antiqua"/>
          <w:color w:val="000000"/>
          <w:lang w:eastAsia="zh-CN"/>
        </w:rPr>
        <w:t>9</w:t>
      </w:r>
      <w:r>
        <w:rPr>
          <w:rFonts w:ascii="Book Antiqua" w:hAnsi="Book Antiqua" w:eastAsia="Book Antiqua" w:cs="Book Antiqua"/>
          <w:color w:val="000000"/>
        </w:rPr>
        <w:t xml:space="preserve"> </w:t>
      </w:r>
      <w:r>
        <w:rPr>
          <w:rFonts w:ascii="Book Antiqua" w:hAnsi="Book Antiqua" w:eastAsia="Book Antiqua" w:cs="Book Antiqua"/>
          <w:b/>
          <w:bCs/>
          <w:color w:val="000000"/>
        </w:rPr>
        <w:t>Kumar A</w:t>
      </w:r>
      <w:r>
        <w:rPr>
          <w:rFonts w:ascii="Book Antiqua" w:hAnsi="Book Antiqua" w:eastAsia="Book Antiqua" w:cs="Book Antiqua"/>
          <w:color w:val="000000"/>
        </w:rPr>
        <w:t xml:space="preserve">, Aggarwal S, de Tilly LN. Case of the season. Thalassemia major with extramedullary hematopoiesis in the liver. </w:t>
      </w:r>
      <w:r>
        <w:rPr>
          <w:rFonts w:ascii="Book Antiqua" w:hAnsi="Book Antiqua" w:eastAsia="Book Antiqua" w:cs="Book Antiqua"/>
          <w:i/>
          <w:iCs/>
          <w:color w:val="000000"/>
        </w:rPr>
        <w:t>Semin Roentgenol</w:t>
      </w:r>
      <w:r>
        <w:rPr>
          <w:rFonts w:ascii="Book Antiqua" w:hAnsi="Book Antiqua" w:eastAsia="Book Antiqua" w:cs="Book Antiqua"/>
          <w:color w:val="000000"/>
        </w:rPr>
        <w:t xml:space="preserve"> 1995; </w:t>
      </w:r>
      <w:r>
        <w:rPr>
          <w:rFonts w:ascii="Book Antiqua" w:hAnsi="Book Antiqua" w:eastAsia="Book Antiqua" w:cs="Book Antiqua"/>
          <w:b/>
          <w:bCs/>
          <w:color w:val="000000"/>
        </w:rPr>
        <w:t>30</w:t>
      </w:r>
      <w:r>
        <w:rPr>
          <w:rFonts w:ascii="Book Antiqua" w:hAnsi="Book Antiqua" w:eastAsia="Book Antiqua" w:cs="Book Antiqua"/>
          <w:color w:val="000000"/>
        </w:rPr>
        <w:t>: 99-101 [PMID: 7610407]</w:t>
      </w:r>
    </w:p>
    <w:p>
      <w:pPr>
        <w:spacing w:line="360" w:lineRule="auto"/>
        <w:jc w:val="both"/>
        <w:rPr>
          <w:rFonts w:ascii="Book Antiqua" w:hAnsi="Book Antiqua"/>
        </w:rPr>
      </w:pPr>
      <w:r>
        <w:rPr>
          <w:rFonts w:hint="eastAsia" w:ascii="Book Antiqua" w:hAnsi="Book Antiqua" w:cs="Book Antiqua"/>
          <w:color w:val="000000"/>
          <w:lang w:eastAsia="zh-CN"/>
        </w:rPr>
        <w:t>20</w:t>
      </w:r>
      <w:r>
        <w:rPr>
          <w:rFonts w:ascii="Book Antiqua" w:hAnsi="Book Antiqua" w:eastAsia="Book Antiqua" w:cs="Book Antiqua"/>
          <w:color w:val="000000"/>
        </w:rPr>
        <w:t xml:space="preserve"> </w:t>
      </w:r>
      <w:r>
        <w:rPr>
          <w:rFonts w:ascii="Book Antiqua" w:hAnsi="Book Antiqua" w:eastAsia="Book Antiqua" w:cs="Book Antiqua"/>
          <w:b/>
          <w:bCs/>
          <w:color w:val="000000"/>
        </w:rPr>
        <w:t>Granjo E</w:t>
      </w:r>
      <w:r>
        <w:rPr>
          <w:rFonts w:ascii="Book Antiqua" w:hAnsi="Book Antiqua" w:eastAsia="Book Antiqua" w:cs="Book Antiqua"/>
          <w:color w:val="000000"/>
        </w:rPr>
        <w:t xml:space="preserve">, Bauerle R, Sampaio R, Manata P, Torres N, Quintanilha A. Extramedullary hematopoiesis in hereditary spherocytosis deficient in ankyrin: a case report. </w:t>
      </w:r>
      <w:r>
        <w:rPr>
          <w:rFonts w:ascii="Book Antiqua" w:hAnsi="Book Antiqua" w:eastAsia="Book Antiqua" w:cs="Book Antiqua"/>
          <w:i/>
          <w:iCs/>
          <w:color w:val="000000"/>
        </w:rPr>
        <w:t>Int J Hematol</w:t>
      </w:r>
      <w:r>
        <w:rPr>
          <w:rFonts w:ascii="Book Antiqua" w:hAnsi="Book Antiqua" w:eastAsia="Book Antiqua" w:cs="Book Antiqua"/>
          <w:color w:val="000000"/>
        </w:rPr>
        <w:t xml:space="preserve"> 2002; </w:t>
      </w:r>
      <w:r>
        <w:rPr>
          <w:rFonts w:ascii="Book Antiqua" w:hAnsi="Book Antiqua" w:eastAsia="Book Antiqua" w:cs="Book Antiqua"/>
          <w:b/>
          <w:bCs/>
          <w:color w:val="000000"/>
        </w:rPr>
        <w:t>76</w:t>
      </w:r>
      <w:r>
        <w:rPr>
          <w:rFonts w:ascii="Book Antiqua" w:hAnsi="Book Antiqua" w:eastAsia="Book Antiqua" w:cs="Book Antiqua"/>
          <w:color w:val="000000"/>
        </w:rPr>
        <w:t>: 153-156 [PMID: 12215014 DOI: 10.1007/BF02982578]</w:t>
      </w:r>
    </w:p>
    <w:p>
      <w:pPr>
        <w:spacing w:line="360" w:lineRule="auto"/>
        <w:jc w:val="both"/>
        <w:rPr>
          <w:rFonts w:ascii="Book Antiqua" w:hAnsi="Book Antiqua"/>
        </w:rPr>
      </w:pPr>
      <w:r>
        <w:rPr>
          <w:rFonts w:ascii="Book Antiqua" w:hAnsi="Book Antiqua" w:eastAsia="Book Antiqua" w:cs="Book Antiqua"/>
          <w:color w:val="000000"/>
        </w:rPr>
        <w:t>2</w:t>
      </w:r>
      <w:r>
        <w:rPr>
          <w:rFonts w:hint="eastAsia" w:ascii="Book Antiqua" w:hAnsi="Book Antiqua" w:cs="Book Antiqua"/>
          <w:color w:val="000000"/>
          <w:lang w:eastAsia="zh-CN"/>
        </w:rPr>
        <w:t>1</w:t>
      </w:r>
      <w:r>
        <w:rPr>
          <w:rFonts w:ascii="Book Antiqua" w:hAnsi="Book Antiqua" w:eastAsia="Book Antiqua" w:cs="Book Antiqua"/>
          <w:color w:val="000000"/>
        </w:rPr>
        <w:t xml:space="preserve"> </w:t>
      </w:r>
      <w:r>
        <w:rPr>
          <w:rFonts w:ascii="Book Antiqua" w:hAnsi="Book Antiqua" w:eastAsia="Book Antiqua" w:cs="Book Antiqua"/>
          <w:b/>
          <w:bCs/>
          <w:color w:val="000000"/>
        </w:rPr>
        <w:t>Tsitouridis J</w:t>
      </w:r>
      <w:r>
        <w:rPr>
          <w:rFonts w:ascii="Book Antiqua" w:hAnsi="Book Antiqua" w:eastAsia="Book Antiqua" w:cs="Book Antiqua"/>
          <w:color w:val="000000"/>
        </w:rPr>
        <w:t xml:space="preserve">, Stamos S, Hassapopoulou E, Tsitouridis K, Nikolopoulos P. Extramedullary paraspinal hematopoiesis in thalassemia: CT and MRI evaluation.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1999; </w:t>
      </w:r>
      <w:r>
        <w:rPr>
          <w:rFonts w:ascii="Book Antiqua" w:hAnsi="Book Antiqua" w:eastAsia="Book Antiqua" w:cs="Book Antiqua"/>
          <w:b/>
          <w:bCs/>
          <w:color w:val="000000"/>
        </w:rPr>
        <w:t>30</w:t>
      </w:r>
      <w:r>
        <w:rPr>
          <w:rFonts w:ascii="Book Antiqua" w:hAnsi="Book Antiqua" w:eastAsia="Book Antiqua" w:cs="Book Antiqua"/>
          <w:color w:val="000000"/>
        </w:rPr>
        <w:t>: 33-38 [PMID: 10389010 DOI: 10.1016/s0720-048x(98)00101-6]</w:t>
      </w:r>
    </w:p>
    <w:p>
      <w:pPr>
        <w:spacing w:line="360" w:lineRule="auto"/>
        <w:jc w:val="both"/>
        <w:rPr>
          <w:rFonts w:ascii="Book Antiqua" w:hAnsi="Book Antiqua"/>
        </w:rPr>
      </w:pPr>
      <w:r>
        <w:rPr>
          <w:rFonts w:ascii="Book Antiqua" w:hAnsi="Book Antiqua" w:eastAsia="Book Antiqua" w:cs="Book Antiqua"/>
          <w:color w:val="000000"/>
        </w:rPr>
        <w:t>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ascii="Book Antiqua" w:hAnsi="Book Antiqua" w:eastAsia="Book Antiqua" w:cs="Book Antiqua"/>
          <w:b/>
          <w:bCs/>
          <w:color w:val="000000"/>
        </w:rPr>
        <w:t>Warshauer DM</w:t>
      </w:r>
      <w:r>
        <w:rPr>
          <w:rFonts w:ascii="Book Antiqua" w:hAnsi="Book Antiqua" w:eastAsia="Book Antiqua" w:cs="Book Antiqua"/>
          <w:color w:val="000000"/>
        </w:rPr>
        <w:t xml:space="preserve">, Schiebler ML. Intrahepatic extramedullary hematopoiesis: MR, CT, and sonographic appearance. </w:t>
      </w:r>
      <w:r>
        <w:rPr>
          <w:rFonts w:ascii="Book Antiqua" w:hAnsi="Book Antiqua" w:eastAsia="Book Antiqua" w:cs="Book Antiqua"/>
          <w:i/>
          <w:iCs/>
          <w:color w:val="000000"/>
        </w:rPr>
        <w:t>J Comput Assist Tomogr</w:t>
      </w:r>
      <w:r>
        <w:rPr>
          <w:rFonts w:ascii="Book Antiqua" w:hAnsi="Book Antiqua" w:eastAsia="Book Antiqua" w:cs="Book Antiqua"/>
          <w:color w:val="000000"/>
        </w:rPr>
        <w:t xml:space="preserve"> 1991; </w:t>
      </w:r>
      <w:r>
        <w:rPr>
          <w:rFonts w:ascii="Book Antiqua" w:hAnsi="Book Antiqua" w:eastAsia="Book Antiqua" w:cs="Book Antiqua"/>
          <w:b/>
          <w:bCs/>
          <w:color w:val="000000"/>
        </w:rPr>
        <w:t>15</w:t>
      </w:r>
      <w:r>
        <w:rPr>
          <w:rFonts w:ascii="Book Antiqua" w:hAnsi="Book Antiqua" w:eastAsia="Book Antiqua" w:cs="Book Antiqua"/>
          <w:color w:val="000000"/>
        </w:rPr>
        <w:t>: 683-685 [PMID: 2061490]</w:t>
      </w:r>
    </w:p>
    <w:p>
      <w:pPr>
        <w:spacing w:line="360" w:lineRule="auto"/>
        <w:jc w:val="both"/>
        <w:rPr>
          <w:rFonts w:ascii="Book Antiqua" w:hAnsi="Book Antiqua"/>
        </w:rPr>
      </w:pPr>
      <w:r>
        <w:rPr>
          <w:rFonts w:ascii="Book Antiqua" w:hAnsi="Book Antiqua" w:eastAsia="Book Antiqua" w:cs="Book Antiqua"/>
          <w:color w:val="000000"/>
        </w:rPr>
        <w:t>2</w:t>
      </w:r>
      <w:r>
        <w:rPr>
          <w:rFonts w:hint="eastAsia" w:ascii="Book Antiqua" w:hAnsi="Book Antiqua" w:cs="Book Antiqua"/>
          <w:color w:val="000000"/>
          <w:lang w:eastAsia="zh-CN"/>
        </w:rPr>
        <w:t>3</w:t>
      </w:r>
      <w:r>
        <w:rPr>
          <w:rFonts w:ascii="Book Antiqua" w:hAnsi="Book Antiqua" w:eastAsia="Book Antiqua" w:cs="Book Antiqua"/>
          <w:color w:val="000000"/>
        </w:rPr>
        <w:t xml:space="preserve"> </w:t>
      </w:r>
      <w:r>
        <w:rPr>
          <w:rFonts w:ascii="Book Antiqua" w:hAnsi="Book Antiqua" w:eastAsia="Book Antiqua" w:cs="Book Antiqua"/>
          <w:b/>
          <w:bCs/>
          <w:color w:val="000000"/>
        </w:rPr>
        <w:t>Du E</w:t>
      </w:r>
      <w:r>
        <w:rPr>
          <w:rFonts w:ascii="Book Antiqua" w:hAnsi="Book Antiqua" w:eastAsia="Book Antiqua" w:cs="Book Antiqua"/>
          <w:color w:val="000000"/>
        </w:rPr>
        <w:t xml:space="preserve">, Overstreet K, Zhou W, Baird G, Baird S, Bouvet M, Haghighi P. Fine needle aspiration of splenic extramedullary hematopoiesis presenting as a solitary mass. A case report. </w:t>
      </w:r>
      <w:r>
        <w:rPr>
          <w:rFonts w:ascii="Book Antiqua" w:hAnsi="Book Antiqua" w:eastAsia="Book Antiqua" w:cs="Book Antiqua"/>
          <w:i/>
          <w:iCs/>
          <w:color w:val="000000"/>
        </w:rPr>
        <w:t>Acta Cytol</w:t>
      </w:r>
      <w:r>
        <w:rPr>
          <w:rFonts w:ascii="Book Antiqua" w:hAnsi="Book Antiqua" w:eastAsia="Book Antiqua" w:cs="Book Antiqua"/>
          <w:color w:val="000000"/>
        </w:rPr>
        <w:t xml:space="preserve"> 2002; </w:t>
      </w:r>
      <w:r>
        <w:rPr>
          <w:rFonts w:ascii="Book Antiqua" w:hAnsi="Book Antiqua" w:eastAsia="Book Antiqua" w:cs="Book Antiqua"/>
          <w:b/>
          <w:bCs/>
          <w:color w:val="000000"/>
        </w:rPr>
        <w:t>46</w:t>
      </w:r>
      <w:r>
        <w:rPr>
          <w:rFonts w:ascii="Book Antiqua" w:hAnsi="Book Antiqua" w:eastAsia="Book Antiqua" w:cs="Book Antiqua"/>
          <w:color w:val="000000"/>
        </w:rPr>
        <w:t>: 1138-1142 [PMID: 12462096 DOI: 10.1159/000327121]</w:t>
      </w:r>
    </w:p>
    <w:p>
      <w:pPr>
        <w:spacing w:line="360" w:lineRule="auto"/>
        <w:jc w:val="both"/>
        <w:rPr>
          <w:rFonts w:ascii="Book Antiqua" w:hAnsi="Book Antiqua"/>
        </w:rPr>
      </w:pPr>
      <w:r>
        <w:rPr>
          <w:rFonts w:ascii="Book Antiqua" w:hAnsi="Book Antiqua" w:eastAsia="Book Antiqua" w:cs="Book Antiqua"/>
          <w:color w:val="000000"/>
        </w:rPr>
        <w:t>2</w:t>
      </w:r>
      <w:r>
        <w:rPr>
          <w:rFonts w:hint="eastAsia" w:ascii="Book Antiqua" w:hAnsi="Book Antiqua" w:cs="Book Antiqua"/>
          <w:color w:val="000000"/>
          <w:lang w:eastAsia="zh-CN"/>
        </w:rPr>
        <w:t>4</w:t>
      </w:r>
      <w:r>
        <w:rPr>
          <w:rFonts w:ascii="Book Antiqua" w:hAnsi="Book Antiqua" w:eastAsia="Book Antiqua" w:cs="Book Antiqua"/>
          <w:color w:val="000000"/>
        </w:rPr>
        <w:t xml:space="preserve"> </w:t>
      </w:r>
      <w:r>
        <w:rPr>
          <w:rFonts w:ascii="Book Antiqua" w:hAnsi="Book Antiqua" w:eastAsia="Book Antiqua" w:cs="Book Antiqua"/>
          <w:b/>
          <w:bCs/>
          <w:color w:val="000000"/>
        </w:rPr>
        <w:t>Jelali MA</w:t>
      </w:r>
      <w:r>
        <w:rPr>
          <w:rFonts w:ascii="Book Antiqua" w:hAnsi="Book Antiqua" w:eastAsia="Book Antiqua" w:cs="Book Antiqua"/>
          <w:color w:val="000000"/>
        </w:rPr>
        <w:t xml:space="preserve">, Luciani A, Kobeiter H, Zafrani S, Anglade MC, Zegai B, Bachir D, Rahmouni A. MRI features of intrahepatic extramedullary haematopoiesis in sickle cell anaemia. </w:t>
      </w:r>
      <w:r>
        <w:rPr>
          <w:rFonts w:ascii="Book Antiqua" w:hAnsi="Book Antiqua" w:eastAsia="Book Antiqua" w:cs="Book Antiqua"/>
          <w:i/>
          <w:iCs/>
          <w:color w:val="000000"/>
        </w:rPr>
        <w:t>Cancer Imaging</w:t>
      </w:r>
      <w:r>
        <w:rPr>
          <w:rFonts w:ascii="Book Antiqua" w:hAnsi="Book Antiqua" w:eastAsia="Book Antiqua" w:cs="Book Antiqua"/>
          <w:color w:val="000000"/>
        </w:rPr>
        <w:t xml:space="preserve"> 2006; </w:t>
      </w:r>
      <w:r>
        <w:rPr>
          <w:rFonts w:ascii="Book Antiqua" w:hAnsi="Book Antiqua" w:eastAsia="Book Antiqua" w:cs="Book Antiqua"/>
          <w:b/>
          <w:bCs/>
          <w:color w:val="000000"/>
        </w:rPr>
        <w:t>6</w:t>
      </w:r>
      <w:r>
        <w:rPr>
          <w:rFonts w:ascii="Book Antiqua" w:hAnsi="Book Antiqua" w:eastAsia="Book Antiqua" w:cs="Book Antiqua"/>
          <w:color w:val="000000"/>
        </w:rPr>
        <w:t>: 182-185 [PMID: 17208673 DOI: 10.1102/1470-7330.2006.0030]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lang w:eastAsia="zh-CN"/>
        </w:rPr>
        <w:t>All the</w:t>
      </w:r>
      <w:r>
        <w:rPr>
          <w:rFonts w:hint="eastAsia" w:ascii="Book Antiqua" w:hAnsi="Book Antiqua" w:cs="Book Antiqua"/>
          <w:b/>
          <w:bCs/>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uthors </w:t>
      </w:r>
      <w:r>
        <w:rPr>
          <w:rFonts w:hint="eastAsia" w:ascii="Book Antiqua" w:hAnsi="Book Antiqua" w:cs="Book Antiqua"/>
          <w:color w:val="000000"/>
          <w:lang w:eastAsia="zh-CN"/>
        </w:rPr>
        <w:t>report</w:t>
      </w:r>
      <w:r>
        <w:rPr>
          <w:rFonts w:ascii="Book Antiqua" w:hAnsi="Book Antiqua" w:eastAsia="Book Antiqua" w:cs="Book Antiqua"/>
          <w:color w:val="000000"/>
        </w:rPr>
        <w:t xml:space="preserve"> no </w:t>
      </w:r>
      <w:r>
        <w:rPr>
          <w:rFonts w:hint="eastAsia" w:ascii="Book Antiqua" w:hAnsi="Book Antiqua" w:cs="Book Antiqua"/>
          <w:color w:val="000000"/>
          <w:lang w:eastAsia="zh-CN"/>
        </w:rPr>
        <w:t xml:space="preserve">relevant </w:t>
      </w:r>
      <w:r>
        <w:rPr>
          <w:rFonts w:ascii="Book Antiqua" w:hAnsi="Book Antiqua" w:eastAsia="Book Antiqua" w:cs="Book Antiqua"/>
          <w:color w:val="000000"/>
        </w:rPr>
        <w:t>conflict</w:t>
      </w:r>
      <w:r>
        <w:rPr>
          <w:rFonts w:hint="eastAsia" w:ascii="Book Antiqua" w:hAnsi="Book Antiqua" w:cs="Book Antiqua"/>
          <w:color w:val="000000"/>
          <w:lang w:eastAsia="zh-CN"/>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26,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May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2066"/>
      <w:bookmarkStart w:id="2" w:name="OLE_LINK1952"/>
      <w:bookmarkStart w:id="3" w:name="OLE_LINK1953"/>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E</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rPr>
        <w:t>Ali H, United States; Chen S, Japan; Maslennikov R, Russia; Shariati MBH, Iran</w:t>
      </w:r>
      <w:r>
        <w:rPr>
          <w:rFonts w:ascii="Book Antiqua" w:hAnsi="Book Antiqua" w:eastAsia="Book Antiqua" w:cs="Book Antiqua"/>
          <w:b/>
          <w:color w:val="000000"/>
        </w:rPr>
        <w:t xml:space="preserve"> </w:t>
      </w:r>
      <w:r>
        <w:rPr>
          <w:rFonts w:ascii="Book Antiqua" w:hAnsi="Book Antiqua"/>
          <w:b/>
          <w:bCs/>
        </w:rPr>
        <w:t xml:space="preserve">A-Editor: </w:t>
      </w:r>
      <w:r>
        <w:rPr>
          <w:rFonts w:ascii="Book Antiqua" w:hAnsi="Book Antiqua"/>
        </w:rPr>
        <w:t>Wang JL</w:t>
      </w:r>
      <w:r>
        <w:rPr>
          <w:rFonts w:hint="eastAsia" w:ascii="Book Antiqua" w:hAnsi="Book Antiqua"/>
          <w:lang w:eastAsia="zh-CN"/>
        </w:rPr>
        <w:t xml:space="preserve"> </w:t>
      </w:r>
      <w:r>
        <w:rPr>
          <w:rFonts w:ascii="Book Antiqua" w:hAnsi="Book Antiqua" w:eastAsia="Book Antiqua" w:cs="Book Antiqua"/>
          <w:b/>
          <w:color w:val="000000"/>
        </w:rPr>
        <w:t xml:space="preserve">S-Editor: </w:t>
      </w:r>
      <w:r>
        <w:rPr>
          <w:rFonts w:ascii="Book Antiqua" w:hAnsi="Book Antiqua"/>
        </w:rPr>
        <w:t>Fan JR</w:t>
      </w:r>
      <w:r>
        <w:rPr>
          <w:rFonts w:ascii="Book Antiqua" w:hAnsi="Book Antiqua" w:eastAsia="Book Antiqua" w:cs="Book Antiqua"/>
          <w:b/>
          <w:color w:val="000000"/>
        </w:rPr>
        <w:t xml:space="preserve"> L-Editor:  </w:t>
      </w:r>
      <w:r>
        <w:rPr>
          <w:rFonts w:ascii="Book Antiqua" w:hAnsi="Book Antiqua" w:eastAsia="Book Antiqua" w:cs="Book Antiqua"/>
          <w:color w:val="000000"/>
        </w:rPr>
        <w:t xml:space="preserve">Webster JR </w:t>
      </w:r>
      <w:r>
        <w:rPr>
          <w:rFonts w:ascii="Book Antiqua" w:hAnsi="Book Antiqua" w:eastAsia="Book Antiqua" w:cs="Book Antiqua"/>
          <w:b/>
          <w:color w:val="000000"/>
        </w:rPr>
        <w:t>P-Editor:</w:t>
      </w:r>
      <w:r>
        <w:rPr>
          <w:rFonts w:ascii="Book Antiqua" w:hAnsi="Book Antiqua"/>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864225" cy="5721350"/>
            <wp:effectExtent l="0" t="0" r="3175" b="8890"/>
            <wp:docPr id="1" name="图片 1" descr="WJCC-10-662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6626-g001"/>
                    <pic:cNvPicPr>
                      <a:picLocks noChangeAspect="1"/>
                    </pic:cNvPicPr>
                  </pic:nvPicPr>
                  <pic:blipFill>
                    <a:blip r:embed="rId5"/>
                    <a:stretch>
                      <a:fillRect/>
                    </a:stretch>
                  </pic:blipFill>
                  <pic:spPr>
                    <a:xfrm>
                      <a:off x="0" y="0"/>
                      <a:ext cx="5864225" cy="572135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1 An intrahepatic mass (arrow) in segment VIII was found in a 50-year-old female.</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 xml:space="preserve"> On unenhanced computed tomography, the lesion was heterogeneously hypodense, with hyperdense foci in the central area</w:t>
      </w:r>
      <w:r>
        <w:rPr>
          <w:rFonts w:ascii="Book Antiqua" w:hAnsi="Book Antiqua" w:cs="Book Antiqua"/>
          <w:color w:val="000000"/>
          <w:lang w:eastAsia="zh-CN"/>
        </w:rPr>
        <w:t>; B:</w:t>
      </w:r>
      <w:r>
        <w:rPr>
          <w:rFonts w:ascii="Book Antiqua" w:hAnsi="Book Antiqua" w:eastAsia="Book Antiqua" w:cs="Book Antiqua"/>
          <w:color w:val="000000"/>
        </w:rPr>
        <w:t xml:space="preserve"> The lesion was heterogeneously hyperdense in the arterial phase</w:t>
      </w:r>
      <w:r>
        <w:rPr>
          <w:rFonts w:ascii="Book Antiqua" w:hAnsi="Book Antiqua" w:cs="Book Antiqua"/>
          <w:color w:val="000000"/>
          <w:lang w:eastAsia="zh-CN"/>
        </w:rPr>
        <w:t>; C and D:</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rogressive enhancement in the portal venous (</w:t>
      </w:r>
      <w:r>
        <w:rPr>
          <w:rFonts w:ascii="Book Antiqua" w:hAnsi="Book Antiqua" w:cs="Book Antiqua"/>
          <w:color w:val="000000"/>
          <w:lang w:eastAsia="zh-CN"/>
        </w:rPr>
        <w:t>C</w:t>
      </w:r>
      <w:r>
        <w:rPr>
          <w:rFonts w:ascii="Book Antiqua" w:hAnsi="Book Antiqua" w:eastAsia="Book Antiqua" w:cs="Book Antiqua"/>
          <w:color w:val="000000"/>
        </w:rPr>
        <w:t>) and delayed phases (</w:t>
      </w:r>
      <w:r>
        <w:rPr>
          <w:rFonts w:ascii="Book Antiqua" w:hAnsi="Book Antiqua" w:cs="Book Antiqua"/>
          <w:color w:val="000000"/>
          <w:lang w:eastAsia="zh-CN"/>
        </w:rPr>
        <w:t>D</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E</w:t>
      </w:r>
      <w:r>
        <w:rPr>
          <w:rFonts w:ascii="Book Antiqua" w:hAnsi="Book Antiqua" w:eastAsia="Book Antiqua" w:cs="Book Antiqua"/>
          <w:color w:val="000000"/>
        </w:rPr>
        <w:t>-</w:t>
      </w:r>
      <w:r>
        <w:rPr>
          <w:rFonts w:ascii="Book Antiqua" w:hAnsi="Book Antiqua" w:cs="Book Antiqua"/>
          <w:color w:val="000000"/>
          <w:lang w:eastAsia="zh-CN"/>
        </w:rPr>
        <w:t>K:</w:t>
      </w:r>
      <w:r>
        <w:rPr>
          <w:rFonts w:ascii="Book Antiqua" w:hAnsi="Book Antiqua" w:eastAsia="Book Antiqua" w:cs="Book Antiqua"/>
          <w:color w:val="000000"/>
        </w:rPr>
        <w:t xml:space="preserve"> On magnetic resonance imaging, the lesion was heterogeneously hyperintense on T2 weighted image (WI), T2WI-fat saturation (FS) (</w:t>
      </w:r>
      <w:r>
        <w:rPr>
          <w:rFonts w:ascii="Book Antiqua" w:hAnsi="Book Antiqua" w:cs="Book Antiqua"/>
          <w:color w:val="000000"/>
          <w:lang w:eastAsia="zh-CN"/>
        </w:rPr>
        <w:t>E and F</w:t>
      </w:r>
      <w:r>
        <w:rPr>
          <w:rFonts w:ascii="Book Antiqua" w:hAnsi="Book Antiqua" w:eastAsia="Book Antiqua" w:cs="Book Antiqua"/>
          <w:color w:val="000000"/>
        </w:rPr>
        <w:t>) and diffusion weighted imaging (DWI) (</w:t>
      </w:r>
      <w:r>
        <w:rPr>
          <w:rFonts w:ascii="Book Antiqua" w:hAnsi="Book Antiqua" w:cs="Book Antiqua"/>
          <w:color w:val="000000"/>
          <w:lang w:eastAsia="zh-CN"/>
        </w:rPr>
        <w:t>G</w:t>
      </w:r>
      <w:r>
        <w:rPr>
          <w:rFonts w:ascii="Book Antiqua" w:hAnsi="Book Antiqua" w:eastAsia="Book Antiqua" w:cs="Book Antiqua"/>
          <w:color w:val="000000"/>
        </w:rPr>
        <w:t>), isointense on the apparent diffusion coefficient map (</w:t>
      </w:r>
      <w:r>
        <w:rPr>
          <w:rFonts w:ascii="Book Antiqua" w:hAnsi="Book Antiqua" w:cs="Book Antiqua"/>
          <w:color w:val="000000"/>
          <w:lang w:eastAsia="zh-CN"/>
        </w:rPr>
        <w:t>H</w:t>
      </w:r>
      <w:r>
        <w:rPr>
          <w:rFonts w:ascii="Book Antiqua" w:hAnsi="Book Antiqua" w:eastAsia="Book Antiqua" w:cs="Book Antiqua"/>
          <w:color w:val="000000"/>
        </w:rPr>
        <w:t>), hypointense on T1WI-FS (</w:t>
      </w:r>
      <w:r>
        <w:rPr>
          <w:rFonts w:ascii="Book Antiqua" w:hAnsi="Book Antiqua" w:cs="Book Antiqua"/>
          <w:color w:val="000000"/>
          <w:lang w:eastAsia="zh-CN"/>
        </w:rPr>
        <w:t>I</w:t>
      </w:r>
      <w:r>
        <w:rPr>
          <w:rFonts w:ascii="Book Antiqua" w:hAnsi="Book Antiqua" w:eastAsia="Book Antiqua" w:cs="Book Antiqua"/>
          <w:color w:val="000000"/>
        </w:rPr>
        <w:t>), avid enhancement in the arterial phase (</w:t>
      </w:r>
      <w:r>
        <w:rPr>
          <w:rFonts w:ascii="Book Antiqua" w:hAnsi="Book Antiqua" w:cs="Book Antiqua"/>
          <w:color w:val="000000"/>
          <w:lang w:eastAsia="zh-CN"/>
        </w:rPr>
        <w:t>J</w:t>
      </w:r>
      <w:r>
        <w:rPr>
          <w:rFonts w:ascii="Book Antiqua" w:hAnsi="Book Antiqua" w:eastAsia="Book Antiqua" w:cs="Book Antiqua"/>
          <w:color w:val="000000"/>
        </w:rPr>
        <w:t>) and persistent enhancement in the delayed phase (</w:t>
      </w:r>
      <w:r>
        <w:rPr>
          <w:rFonts w:ascii="Book Antiqua" w:hAnsi="Book Antiqua" w:cs="Book Antiqua"/>
          <w:color w:val="000000"/>
          <w:lang w:eastAsia="zh-CN"/>
        </w:rPr>
        <w:t>K</w:t>
      </w:r>
      <w:r>
        <w:rPr>
          <w:rFonts w:ascii="Book Antiqua" w:hAnsi="Book Antiqua" w:eastAsia="Book Antiqua" w:cs="Book Antiqua"/>
          <w:color w:val="000000"/>
        </w:rPr>
        <w: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w:t>
      </w:r>
      <w:r>
        <w:rPr>
          <w:rFonts w:ascii="Book Antiqua" w:hAnsi="Book Antiqua" w:cs="Book Antiqua"/>
          <w:color w:val="000000"/>
          <w:lang w:eastAsia="zh-CN"/>
        </w:rPr>
        <w:t>R:</w:t>
      </w:r>
      <w:r>
        <w:rPr>
          <w:rFonts w:ascii="Book Antiqua" w:hAnsi="Book Antiqua" w:eastAsia="Book Antiqua" w:cs="Book Antiqua"/>
          <w:color w:val="000000"/>
        </w:rPr>
        <w:t xml:space="preserve"> Corresponding follow-up images five months later showed that the lesion size had increased. Signal drop was seen on the in-phase (</w:t>
      </w:r>
      <w:r>
        <w:rPr>
          <w:rFonts w:ascii="Book Antiqua" w:hAnsi="Book Antiqua" w:cs="Book Antiqua"/>
          <w:color w:val="000000"/>
          <w:lang w:eastAsia="zh-CN"/>
        </w:rPr>
        <w:t>L</w:t>
      </w:r>
      <w:r>
        <w:rPr>
          <w:rFonts w:ascii="Book Antiqua" w:hAnsi="Book Antiqua" w:eastAsia="Book Antiqua" w:cs="Book Antiqua"/>
          <w:color w:val="000000"/>
        </w:rPr>
        <w:t>) compared with the out-phase (</w:t>
      </w:r>
      <w:r>
        <w:rPr>
          <w:rFonts w:ascii="Book Antiqua" w:hAnsi="Book Antiqua" w:cs="Book Antiqua"/>
          <w:color w:val="000000"/>
          <w:lang w:eastAsia="zh-CN"/>
        </w:rPr>
        <w:t>M</w:t>
      </w:r>
      <w:r>
        <w:rPr>
          <w:rFonts w:ascii="Book Antiqua" w:hAnsi="Book Antiqua" w:eastAsia="Book Antiqua" w:cs="Book Antiqua"/>
          <w:color w:val="000000"/>
        </w:rPr>
        <w:t>) image. The lesion was heterogeneously hypointense on T2WI-FS (</w:t>
      </w:r>
      <w:r>
        <w:rPr>
          <w:rFonts w:hint="eastAsia" w:ascii="Book Antiqua" w:hAnsi="Book Antiqua" w:cs="Book Antiqua"/>
          <w:color w:val="000000"/>
          <w:lang w:eastAsia="zh-CN"/>
        </w:rPr>
        <w:t>N</w:t>
      </w:r>
      <w:r>
        <w:rPr>
          <w:rFonts w:ascii="Book Antiqua" w:hAnsi="Book Antiqua" w:eastAsia="Book Antiqua" w:cs="Book Antiqua"/>
          <w:color w:val="000000"/>
        </w:rPr>
        <w:t>) and DWI (</w:t>
      </w:r>
      <w:r>
        <w:rPr>
          <w:rFonts w:ascii="Book Antiqua" w:hAnsi="Book Antiqua" w:cs="Book Antiqua"/>
          <w:color w:val="000000"/>
          <w:lang w:eastAsia="zh-CN"/>
        </w:rPr>
        <w:t>O</w:t>
      </w:r>
      <w:r>
        <w:rPr>
          <w:rFonts w:ascii="Book Antiqua" w:hAnsi="Book Antiqua" w:eastAsia="Book Antiqua" w:cs="Book Antiqua"/>
          <w:color w:val="000000"/>
        </w:rPr>
        <w:t>), homogeneously hypointense on T1WI-FS (</w:t>
      </w:r>
      <w:r>
        <w:rPr>
          <w:rFonts w:ascii="Book Antiqua" w:hAnsi="Book Antiqua" w:cs="Book Antiqua"/>
          <w:color w:val="000000"/>
          <w:lang w:eastAsia="zh-CN"/>
        </w:rPr>
        <w:t>P</w:t>
      </w:r>
      <w:r>
        <w:rPr>
          <w:rFonts w:ascii="Book Antiqua" w:hAnsi="Book Antiqua" w:eastAsia="Book Antiqua" w:cs="Book Antiqua"/>
          <w:color w:val="000000"/>
        </w:rPr>
        <w:t>), and showed hypervascular enhancement with delayed enhancement in the arterial (</w:t>
      </w:r>
      <w:r>
        <w:rPr>
          <w:rFonts w:ascii="Book Antiqua" w:hAnsi="Book Antiqua" w:cs="Book Antiqua"/>
          <w:color w:val="000000"/>
          <w:lang w:eastAsia="zh-CN"/>
        </w:rPr>
        <w:t>Q</w:t>
      </w:r>
      <w:r>
        <w:rPr>
          <w:rFonts w:ascii="Book Antiqua" w:hAnsi="Book Antiqua" w:eastAsia="Book Antiqua" w:cs="Book Antiqua"/>
          <w:color w:val="000000"/>
        </w:rPr>
        <w:t>) and delayed phase (</w:t>
      </w:r>
      <w:r>
        <w:rPr>
          <w:rFonts w:ascii="Book Antiqua" w:hAnsi="Book Antiqua" w:cs="Book Antiqua"/>
          <w:color w:val="000000"/>
          <w:lang w:eastAsia="zh-CN"/>
        </w:rPr>
        <w:t>R</w:t>
      </w:r>
      <w:r>
        <w:rPr>
          <w:rFonts w:ascii="Book Antiqua" w:hAnsi="Book Antiqua" w:eastAsia="Book Antiqua" w:cs="Book Antiqua"/>
          <w:color w:val="000000"/>
        </w:rPr>
        <w:t>), respectively. The surgical pathologic diagnosis was intrahepatic extramedullary hematopoiesis.</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864225" cy="2371090"/>
            <wp:effectExtent l="0" t="0" r="3175" b="6350"/>
            <wp:docPr id="2" name="图片 2" descr="WJCC-10-662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626-g002"/>
                    <pic:cNvPicPr>
                      <a:picLocks noChangeAspect="1"/>
                    </pic:cNvPicPr>
                  </pic:nvPicPr>
                  <pic:blipFill>
                    <a:blip r:embed="rId6"/>
                    <a:stretch>
                      <a:fillRect/>
                    </a:stretch>
                  </pic:blipFill>
                  <pic:spPr>
                    <a:xfrm>
                      <a:off x="0" y="0"/>
                      <a:ext cx="5864225" cy="237109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2</w:t>
      </w:r>
      <w:r>
        <w:rPr>
          <w:rFonts w:ascii="Book Antiqua" w:hAnsi="Book Antiqua" w:eastAsia="Book Antiqua" w:cs="Book Antiqua"/>
          <w:b/>
          <w:color w:val="000000"/>
        </w:rPr>
        <w:t xml:space="preserve"> A 30-year-old female diagnosed with intrahepatic extramedullary hematopoiesis was confirmed by biopsy.</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 and B: </w:t>
      </w:r>
      <w:r>
        <w:rPr>
          <w:rFonts w:ascii="Book Antiqua" w:hAnsi="Book Antiqua" w:eastAsia="Book Antiqua" w:cs="Book Antiqua"/>
          <w:color w:val="000000"/>
        </w:rPr>
        <w:t>The lesion (arrow) located in the subcapsular of segment VI/VII was slightly hyperintense on T2 weighted image (WI)-fat saturation (FS) (</w:t>
      </w:r>
      <w:r>
        <w:rPr>
          <w:rFonts w:ascii="Book Antiqua" w:hAnsi="Book Antiqua" w:cs="Book Antiqua"/>
          <w:color w:val="000000"/>
          <w:lang w:eastAsia="zh-CN"/>
        </w:rPr>
        <w:t>A</w:t>
      </w:r>
      <w:r>
        <w:rPr>
          <w:rFonts w:ascii="Book Antiqua" w:hAnsi="Book Antiqua" w:eastAsia="Book Antiqua" w:cs="Book Antiqua"/>
          <w:color w:val="000000"/>
        </w:rPr>
        <w:t>) and slightly hypointense on T1WI-FS (</w:t>
      </w:r>
      <w:r>
        <w:rPr>
          <w:rFonts w:ascii="Book Antiqua" w:hAnsi="Book Antiqua" w:cs="Book Antiqua"/>
          <w:color w:val="000000"/>
          <w:lang w:eastAsia="zh-CN"/>
        </w:rPr>
        <w:t>B</w:t>
      </w:r>
      <w:r>
        <w:rPr>
          <w:rFonts w:ascii="Book Antiqua" w:hAnsi="Book Antiqua" w:eastAsia="Book Antiqua" w:cs="Book Antiqua"/>
          <w:color w:val="000000"/>
        </w:rPr>
        <w:t>)</w:t>
      </w:r>
      <w:r>
        <w:rPr>
          <w:rFonts w:ascii="Book Antiqua" w:hAnsi="Book Antiqua" w:cs="Book Antiqua"/>
          <w:color w:val="000000"/>
          <w:lang w:eastAsia="zh-CN"/>
        </w:rPr>
        <w:t>; C-E:</w:t>
      </w:r>
      <w:r>
        <w:rPr>
          <w:rFonts w:ascii="Book Antiqua" w:hAnsi="Book Antiqua" w:eastAsia="Book Antiqua" w:cs="Book Antiqua"/>
          <w:color w:val="000000"/>
        </w:rPr>
        <w:t xml:space="preserve"> The lesion showed a lower signal intensity on the in-phase (</w:t>
      </w:r>
      <w:r>
        <w:rPr>
          <w:rFonts w:ascii="Book Antiqua" w:hAnsi="Book Antiqua" w:cs="Book Antiqua"/>
          <w:color w:val="000000"/>
          <w:lang w:eastAsia="zh-CN"/>
        </w:rPr>
        <w:t>C</w:t>
      </w:r>
      <w:r>
        <w:rPr>
          <w:rFonts w:ascii="Book Antiqua" w:hAnsi="Book Antiqua" w:eastAsia="Book Antiqua" w:cs="Book Antiqua"/>
          <w:color w:val="000000"/>
        </w:rPr>
        <w:t>) than on the out-phase (</w:t>
      </w:r>
      <w:r>
        <w:rPr>
          <w:rFonts w:ascii="Book Antiqua" w:hAnsi="Book Antiqua" w:cs="Book Antiqua"/>
          <w:color w:val="000000"/>
          <w:lang w:eastAsia="zh-CN"/>
        </w:rPr>
        <w:t>D</w:t>
      </w:r>
      <w:r>
        <w:rPr>
          <w:rFonts w:ascii="Book Antiqua" w:hAnsi="Book Antiqua" w:eastAsia="Book Antiqua" w:cs="Book Antiqua"/>
          <w:color w:val="000000"/>
        </w:rPr>
        <w:t>) image, and signal loss on susceptibility weighted imaging (</w:t>
      </w:r>
      <w:r>
        <w:rPr>
          <w:rFonts w:ascii="Book Antiqua" w:hAnsi="Book Antiqua" w:cs="Book Antiqua"/>
          <w:color w:val="000000"/>
          <w:lang w:eastAsia="zh-CN"/>
        </w:rPr>
        <w:t>E</w:t>
      </w:r>
      <w:r>
        <w:rPr>
          <w:rFonts w:ascii="Book Antiqua" w:hAnsi="Book Antiqua" w:eastAsia="Book Antiqua" w:cs="Book Antiqua"/>
          <w:color w:val="000000"/>
        </w:rPr>
        <w:t>)</w:t>
      </w:r>
      <w:r>
        <w:rPr>
          <w:rFonts w:ascii="Book Antiqua" w:hAnsi="Book Antiqua" w:cs="Book Antiqua"/>
          <w:color w:val="000000"/>
          <w:lang w:eastAsia="zh-CN"/>
        </w:rPr>
        <w:t xml:space="preserve">; F-H: </w:t>
      </w:r>
      <w:r>
        <w:rPr>
          <w:rFonts w:ascii="Book Antiqua" w:hAnsi="Book Antiqua" w:eastAsia="Book Antiqua" w:cs="Book Antiqua"/>
          <w:color w:val="000000"/>
        </w:rPr>
        <w:t>In dynamic series, the lesion was mildly enhanced in the arterial phase (</w:t>
      </w:r>
      <w:r>
        <w:rPr>
          <w:rFonts w:ascii="Book Antiqua" w:hAnsi="Book Antiqua" w:cs="Book Antiqua"/>
          <w:color w:val="000000"/>
          <w:lang w:eastAsia="zh-CN"/>
        </w:rPr>
        <w:t>F</w:t>
      </w:r>
      <w:r>
        <w:rPr>
          <w:rFonts w:ascii="Book Antiqua" w:hAnsi="Book Antiqua" w:eastAsia="Book Antiqua" w:cs="Book Antiqua"/>
          <w:color w:val="000000"/>
        </w:rPr>
        <w:t>), with areas of progressive and prolonged enhancement in the portal venous (</w:t>
      </w:r>
      <w:r>
        <w:rPr>
          <w:rFonts w:ascii="Book Antiqua" w:hAnsi="Book Antiqua" w:cs="Book Antiqua"/>
          <w:color w:val="000000"/>
          <w:lang w:eastAsia="zh-CN"/>
        </w:rPr>
        <w:t>G</w:t>
      </w:r>
      <w:r>
        <w:rPr>
          <w:rFonts w:ascii="Book Antiqua" w:hAnsi="Book Antiqua" w:eastAsia="Book Antiqua" w:cs="Book Antiqua"/>
          <w:color w:val="000000"/>
        </w:rPr>
        <w:t>) and delayed phases (</w:t>
      </w:r>
      <w:r>
        <w:rPr>
          <w:rFonts w:ascii="Book Antiqua" w:hAnsi="Book Antiqua" w:cs="Book Antiqua"/>
          <w:color w:val="000000"/>
          <w:lang w:eastAsia="zh-CN"/>
        </w:rPr>
        <w:t>H</w:t>
      </w:r>
      <w:r>
        <w:rPr>
          <w:rFonts w:ascii="Book Antiqua" w:hAnsi="Book Antiqua" w:eastAsia="Book Antiqua" w:cs="Book Antiqua"/>
          <w:color w:val="000000"/>
        </w:rPr>
        <w:t xml:space="preserve">). </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70575" cy="2368550"/>
            <wp:effectExtent l="0" t="0" r="12065" b="8890"/>
            <wp:docPr id="3" name="图片 3" descr="WJCC-10-662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626-g003"/>
                    <pic:cNvPicPr>
                      <a:picLocks noChangeAspect="1"/>
                    </pic:cNvPicPr>
                  </pic:nvPicPr>
                  <pic:blipFill>
                    <a:blip r:embed="rId7"/>
                    <a:stretch>
                      <a:fillRect/>
                    </a:stretch>
                  </pic:blipFill>
                  <pic:spPr>
                    <a:xfrm>
                      <a:off x="0" y="0"/>
                      <a:ext cx="5870575" cy="236855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3</w:t>
      </w:r>
      <w:r>
        <w:rPr>
          <w:rFonts w:ascii="Book Antiqua" w:hAnsi="Book Antiqua" w:eastAsia="Book Antiqua" w:cs="Book Antiqua"/>
          <w:b/>
          <w:color w:val="000000"/>
        </w:rPr>
        <w:t xml:space="preserve"> A 52-year-old male diagnosed with intrahepatic extramedullary hematopoiesis was confirmed by resection. </w:t>
      </w:r>
      <w:r>
        <w:rPr>
          <w:rFonts w:ascii="Book Antiqua" w:hAnsi="Book Antiqua" w:cs="Book Antiqua"/>
          <w:color w:val="000000"/>
          <w:lang w:eastAsia="zh-CN"/>
        </w:rPr>
        <w:t xml:space="preserve">A-D: </w:t>
      </w:r>
      <w:r>
        <w:rPr>
          <w:rFonts w:ascii="Book Antiqua" w:hAnsi="Book Antiqua" w:eastAsia="Book Antiqua" w:cs="Book Antiqua"/>
          <w:color w:val="000000"/>
        </w:rPr>
        <w:t>The lesion located in segment V/VIII (arrow) showed lower signal intensity on the in-phase (</w:t>
      </w:r>
      <w:r>
        <w:rPr>
          <w:rFonts w:ascii="Book Antiqua" w:hAnsi="Book Antiqua" w:cs="Book Antiqua"/>
          <w:color w:val="000000"/>
          <w:lang w:eastAsia="zh-CN"/>
        </w:rPr>
        <w:t>A</w:t>
      </w:r>
      <w:r>
        <w:rPr>
          <w:rFonts w:ascii="Book Antiqua" w:hAnsi="Book Antiqua" w:eastAsia="Book Antiqua" w:cs="Book Antiqua"/>
          <w:color w:val="000000"/>
        </w:rPr>
        <w:t>) than on the out-phase (</w:t>
      </w:r>
      <w:r>
        <w:rPr>
          <w:rFonts w:ascii="Book Antiqua" w:hAnsi="Book Antiqua" w:cs="Book Antiqua"/>
          <w:color w:val="000000"/>
          <w:lang w:eastAsia="zh-CN"/>
        </w:rPr>
        <w:t>B</w:t>
      </w:r>
      <w:r>
        <w:rPr>
          <w:rFonts w:ascii="Book Antiqua" w:hAnsi="Book Antiqua" w:eastAsia="Book Antiqua" w:cs="Book Antiqua"/>
          <w:color w:val="000000"/>
        </w:rPr>
        <w:t>) image, as opposed to another lesion (the same patient) in segment IV (arrowhead, the surgical pathologic diagnosis was angioleiomyolipoma), which showed higher signal intensity on the in-phase (</w:t>
      </w:r>
      <w:r>
        <w:rPr>
          <w:rFonts w:ascii="Book Antiqua" w:hAnsi="Book Antiqua" w:cs="Book Antiqua"/>
          <w:color w:val="000000"/>
          <w:lang w:eastAsia="zh-CN"/>
        </w:rPr>
        <w:t>C</w:t>
      </w:r>
      <w:r>
        <w:rPr>
          <w:rFonts w:ascii="Book Antiqua" w:hAnsi="Book Antiqua" w:eastAsia="Book Antiqua" w:cs="Book Antiqua"/>
          <w:color w:val="000000"/>
        </w:rPr>
        <w:t>) than on the out-phase (</w:t>
      </w:r>
      <w:r>
        <w:rPr>
          <w:rFonts w:ascii="Book Antiqua" w:hAnsi="Book Antiqua" w:cs="Book Antiqua"/>
          <w:color w:val="000000"/>
          <w:lang w:eastAsia="zh-CN"/>
        </w:rPr>
        <w:t>D</w:t>
      </w:r>
      <w:r>
        <w:rPr>
          <w:rFonts w:ascii="Book Antiqua" w:hAnsi="Book Antiqua" w:eastAsia="Book Antiqua" w:cs="Book Antiqua"/>
          <w:color w:val="000000"/>
        </w:rPr>
        <w:t>) image</w:t>
      </w:r>
      <w:r>
        <w:rPr>
          <w:rFonts w:ascii="Book Antiqua" w:hAnsi="Book Antiqua" w:cs="Book Antiqua"/>
          <w:color w:val="000000"/>
          <w:lang w:eastAsia="zh-CN"/>
        </w:rPr>
        <w:t>; E-H:</w:t>
      </w:r>
      <w:r>
        <w:rPr>
          <w:rFonts w:ascii="Book Antiqua" w:hAnsi="Book Antiqua" w:eastAsia="Book Antiqua" w:cs="Book Antiqua"/>
          <w:color w:val="000000"/>
        </w:rPr>
        <w:t xml:space="preserve"> The lesion (arrow) showed high signal intensity on T2 weighted image-fat saturation (</w:t>
      </w:r>
      <w:r>
        <w:rPr>
          <w:rFonts w:ascii="Book Antiqua" w:hAnsi="Book Antiqua" w:cs="Book Antiqua"/>
          <w:color w:val="000000"/>
          <w:lang w:eastAsia="zh-CN"/>
        </w:rPr>
        <w:t>E</w:t>
      </w:r>
      <w:r>
        <w:rPr>
          <w:rFonts w:ascii="Book Antiqua" w:hAnsi="Book Antiqua" w:eastAsia="Book Antiqua" w:cs="Book Antiqua"/>
          <w:color w:val="000000"/>
        </w:rPr>
        <w:t>), with intense enhancement in the arterial phase (</w:t>
      </w:r>
      <w:r>
        <w:rPr>
          <w:rFonts w:ascii="Book Antiqua" w:hAnsi="Book Antiqua" w:cs="Book Antiqua"/>
          <w:color w:val="000000"/>
          <w:lang w:eastAsia="zh-CN"/>
        </w:rPr>
        <w:t>F</w:t>
      </w:r>
      <w:r>
        <w:rPr>
          <w:rFonts w:ascii="Book Antiqua" w:hAnsi="Book Antiqua" w:eastAsia="Book Antiqua" w:cs="Book Antiqua"/>
          <w:color w:val="000000"/>
        </w:rPr>
        <w:t>), and was relatively hypointense in the transitional phase (</w:t>
      </w:r>
      <w:r>
        <w:rPr>
          <w:rFonts w:ascii="Book Antiqua" w:hAnsi="Book Antiqua" w:cs="Book Antiqua"/>
          <w:color w:val="000000"/>
          <w:lang w:eastAsia="zh-CN"/>
        </w:rPr>
        <w:t>G</w:t>
      </w:r>
      <w:r>
        <w:rPr>
          <w:rFonts w:ascii="Book Antiqua" w:hAnsi="Book Antiqua" w:eastAsia="Book Antiqua" w:cs="Book Antiqua"/>
          <w:color w:val="000000"/>
        </w:rPr>
        <w:t>) and hepatobiliary phase (</w:t>
      </w:r>
      <w:r>
        <w:rPr>
          <w:rFonts w:ascii="Book Antiqua" w:hAnsi="Book Antiqua" w:cs="Book Antiqua"/>
          <w:color w:val="000000"/>
          <w:lang w:eastAsia="zh-CN"/>
        </w:rPr>
        <w:t>H</w:t>
      </w:r>
      <w:r>
        <w:rPr>
          <w:rFonts w:ascii="Book Antiqua" w:hAnsi="Book Antiqua" w:eastAsia="Book Antiqua" w:cs="Book Antiqua"/>
          <w:color w:val="000000"/>
        </w:rPr>
        <w:t>).</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94375" cy="4172585"/>
            <wp:effectExtent l="0" t="0" r="12065" b="3175"/>
            <wp:docPr id="4" name="图片 4" descr="WJCC-10-662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26-g004"/>
                    <pic:cNvPicPr>
                      <a:picLocks noChangeAspect="1"/>
                    </pic:cNvPicPr>
                  </pic:nvPicPr>
                  <pic:blipFill>
                    <a:blip r:embed="rId8"/>
                    <a:stretch>
                      <a:fillRect/>
                    </a:stretch>
                  </pic:blipFill>
                  <pic:spPr>
                    <a:xfrm>
                      <a:off x="0" y="0"/>
                      <a:ext cx="5794375" cy="417258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w:t>
      </w:r>
      <w:r>
        <w:rPr>
          <w:rFonts w:hint="eastAsia" w:ascii="Book Antiqua" w:hAnsi="Book Antiqua" w:cs="Book Antiqua"/>
          <w:b/>
          <w:color w:val="000000"/>
          <w:lang w:eastAsia="zh-CN"/>
        </w:rPr>
        <w:t>4</w:t>
      </w:r>
      <w:r>
        <w:rPr>
          <w:rFonts w:ascii="Book Antiqua" w:hAnsi="Book Antiqua" w:eastAsia="Book Antiqua" w:cs="Book Antiqua"/>
          <w:b/>
          <w:color w:val="000000"/>
        </w:rPr>
        <w:t xml:space="preserve"> Intrahepatic extramedullary hematopoiesis in the same patient shown in </w:t>
      </w:r>
      <w:r>
        <w:rPr>
          <w:rFonts w:hint="eastAsia" w:ascii="Book Antiqua" w:hAnsi="Book Antiqua" w:cs="Book Antiqua"/>
          <w:b/>
          <w:color w:val="000000"/>
          <w:lang w:eastAsia="zh-CN"/>
        </w:rPr>
        <w:t>f</w:t>
      </w:r>
      <w:r>
        <w:rPr>
          <w:rFonts w:ascii="Book Antiqua" w:hAnsi="Book Antiqua" w:eastAsia="Book Antiqua" w:cs="Book Antiqua"/>
          <w:b/>
          <w:color w:val="000000"/>
        </w:rPr>
        <w:t>igure 1.</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 xml:space="preserve"> On the photomicrograph (hematoxylin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osin staining; ×</w:t>
      </w:r>
      <w:r>
        <w:rPr>
          <w:rFonts w:ascii="Book Antiqua" w:hAnsi="Book Antiqua" w:cs="Book Antiqua"/>
          <w:color w:val="000000"/>
          <w:lang w:eastAsia="zh-CN"/>
        </w:rPr>
        <w:t xml:space="preserve"> </w:t>
      </w:r>
      <w:r>
        <w:rPr>
          <w:rFonts w:ascii="Book Antiqua" w:hAnsi="Book Antiqua" w:eastAsia="Book Antiqua" w:cs="Book Antiqua"/>
          <w:color w:val="000000"/>
        </w:rPr>
        <w:t>200), megakaryocytes and erythroid cells were scattered within the surgical specimen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B</w:t>
      </w:r>
      <w:r>
        <w:rPr>
          <w:rFonts w:ascii="Book Antiqua" w:hAnsi="Book Antiqua" w:eastAsia="Book Antiqua" w:cs="Book Antiqua"/>
          <w:color w:val="000000"/>
        </w:rPr>
        <w:t>-</w:t>
      </w:r>
      <w:r>
        <w:rPr>
          <w:rFonts w:ascii="Book Antiqua" w:hAnsi="Book Antiqua" w:cs="Book Antiqua"/>
          <w:color w:val="000000"/>
          <w:lang w:eastAsia="zh-CN"/>
        </w:rPr>
        <w:t>D:</w:t>
      </w:r>
      <w:r>
        <w:rPr>
          <w:rFonts w:ascii="Book Antiqua" w:hAnsi="Book Antiqua" w:eastAsia="Book Antiqua" w:cs="Book Antiqua"/>
          <w:color w:val="000000"/>
        </w:rPr>
        <w:t xml:space="preserve"> Immunohistochemical staining using CD235 (</w:t>
      </w:r>
      <w:r>
        <w:rPr>
          <w:rFonts w:hint="eastAsia" w:ascii="Book Antiqua" w:hAnsi="Book Antiqua" w:cs="Book Antiqua"/>
          <w:color w:val="000000"/>
          <w:lang w:eastAsia="zh-CN"/>
        </w:rPr>
        <w:t>B</w:t>
      </w:r>
      <w:r>
        <w:rPr>
          <w:rFonts w:ascii="Book Antiqua" w:hAnsi="Book Antiqua" w:eastAsia="Book Antiqua" w:cs="Book Antiqua"/>
          <w:color w:val="000000"/>
        </w:rPr>
        <w:t>), CD61 (</w:t>
      </w:r>
      <w:r>
        <w:rPr>
          <w:rFonts w:hint="eastAsia" w:ascii="Book Antiqua" w:hAnsi="Book Antiqua" w:cs="Book Antiqua"/>
          <w:color w:val="000000"/>
          <w:lang w:eastAsia="zh-CN"/>
        </w:rPr>
        <w:t>C</w:t>
      </w:r>
      <w:r>
        <w:rPr>
          <w:rFonts w:ascii="Book Antiqua" w:hAnsi="Book Antiqua" w:eastAsia="Book Antiqua" w:cs="Book Antiqua"/>
          <w:color w:val="000000"/>
        </w:rPr>
        <w:t>) and MPO (</w:t>
      </w:r>
      <w:r>
        <w:rPr>
          <w:rFonts w:hint="eastAsia" w:ascii="Book Antiqua" w:hAnsi="Book Antiqua" w:cs="Book Antiqua"/>
          <w:color w:val="000000"/>
          <w:lang w:eastAsia="zh-CN"/>
        </w:rPr>
        <w:t>D</w:t>
      </w:r>
      <w:r>
        <w:rPr>
          <w:rFonts w:ascii="Book Antiqua" w:hAnsi="Book Antiqua" w:eastAsia="Book Antiqua" w:cs="Book Antiqua"/>
          <w:color w:val="000000"/>
        </w:rPr>
        <w:t>) markers (×</w:t>
      </w:r>
      <w:r>
        <w:rPr>
          <w:rFonts w:ascii="Book Antiqua" w:hAnsi="Book Antiqua" w:cs="Book Antiqua"/>
          <w:color w:val="000000"/>
          <w:lang w:eastAsia="zh-CN"/>
        </w:rPr>
        <w:t xml:space="preserve"> </w:t>
      </w:r>
      <w:r>
        <w:rPr>
          <w:rFonts w:ascii="Book Antiqua" w:hAnsi="Book Antiqua" w:eastAsia="Book Antiqua" w:cs="Book Antiqua"/>
          <w:color w:val="000000"/>
        </w:rPr>
        <w:t xml:space="preserve">40) revealed that the cells were positive (brown color) for these markers, respectively. </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cs="Book Antiqua"/>
          <w:color w:val="000000"/>
          <w:lang w:eastAsia="zh-CN"/>
        </w:rPr>
      </w:pPr>
      <w:bookmarkStart w:id="4" w:name="_GoBack"/>
      <w:r>
        <w:rPr>
          <w:rFonts w:ascii="Book Antiqua" w:hAnsi="Book Antiqua" w:cs="Book Antiqua"/>
          <w:color w:val="000000"/>
          <w:lang w:eastAsia="zh-CN"/>
        </w:rPr>
        <w:drawing>
          <wp:inline distT="0" distB="0" distL="114300" distR="114300">
            <wp:extent cx="5938520" cy="3195320"/>
            <wp:effectExtent l="0" t="0" r="5080" b="5080"/>
            <wp:docPr id="7" name="图片 7" descr="WJCC-10-662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626-g005"/>
                    <pic:cNvPicPr>
                      <a:picLocks noChangeAspect="1"/>
                    </pic:cNvPicPr>
                  </pic:nvPicPr>
                  <pic:blipFill>
                    <a:blip r:embed="rId9"/>
                    <a:stretch>
                      <a:fillRect/>
                    </a:stretch>
                  </pic:blipFill>
                  <pic:spPr>
                    <a:xfrm>
                      <a:off x="0" y="0"/>
                      <a:ext cx="5938520" cy="3195320"/>
                    </a:xfrm>
                    <a:prstGeom prst="rect">
                      <a:avLst/>
                    </a:prstGeom>
                  </pic:spPr>
                </pic:pic>
              </a:graphicData>
            </a:graphic>
          </wp:inline>
        </w:drawing>
      </w:r>
      <w:bookmarkEnd w:id="4"/>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5 Intrahepatic extramedullary hematopoiesis in the same patient shown in </w:t>
      </w:r>
      <w:r>
        <w:rPr>
          <w:rFonts w:hint="eastAsia" w:ascii="Book Antiqua" w:hAnsi="Book Antiqua" w:cs="Book Antiqua"/>
          <w:b/>
          <w:color w:val="000000"/>
          <w:lang w:eastAsia="zh-CN"/>
        </w:rPr>
        <w:t>f</w:t>
      </w:r>
      <w:r>
        <w:rPr>
          <w:rFonts w:ascii="Book Antiqua" w:hAnsi="Book Antiqua" w:eastAsia="Book Antiqua" w:cs="Book Antiqua"/>
          <w:b/>
          <w:color w:val="000000"/>
        </w:rPr>
        <w:t xml:space="preserve">igure </w:t>
      </w:r>
      <w:r>
        <w:rPr>
          <w:rFonts w:hint="eastAsia" w:ascii="Book Antiqua" w:hAnsi="Book Antiqua" w:cs="Book Antiqua"/>
          <w:b/>
          <w:color w:val="000000"/>
          <w:lang w:eastAsia="zh-CN"/>
        </w:rPr>
        <w:t>3</w:t>
      </w:r>
      <w:r>
        <w:rPr>
          <w:rFonts w:ascii="Book Antiqua" w:hAnsi="Book Antiqua" w:eastAsia="Book Antiqua" w:cs="Book Antiqua"/>
          <w:b/>
          <w:color w:val="000000"/>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 </w:t>
      </w:r>
      <w:r>
        <w:rPr>
          <w:rFonts w:ascii="Book Antiqua" w:hAnsi="Book Antiqua" w:eastAsia="Book Antiqua" w:cs="Book Antiqua"/>
          <w:color w:val="000000"/>
        </w:rPr>
        <w:t>Photograph of the specimen showed the lobular and solid nature of the resected hepatic mass (segment V/VIII), without areas of necrosis and hemorrhage</w:t>
      </w:r>
      <w:r>
        <w:rPr>
          <w:rFonts w:ascii="Book Antiqua" w:hAnsi="Book Antiqua" w:cs="Book Antiqua"/>
          <w:color w:val="000000"/>
          <w:lang w:eastAsia="zh-CN"/>
        </w:rPr>
        <w:t>; B:</w:t>
      </w:r>
      <w:r>
        <w:rPr>
          <w:rFonts w:ascii="Book Antiqua" w:hAnsi="Book Antiqua" w:eastAsia="Book Antiqua" w:cs="Book Antiqua"/>
          <w:color w:val="000000"/>
        </w:rPr>
        <w:t xml:space="preserve"> On the photomicrograph (hematoxylin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osin staining; ×</w:t>
      </w:r>
      <w:r>
        <w:rPr>
          <w:rFonts w:ascii="Book Antiqua" w:hAnsi="Book Antiqua" w:cs="Book Antiqua"/>
          <w:color w:val="000000"/>
          <w:lang w:eastAsia="zh-CN"/>
        </w:rPr>
        <w:t xml:space="preserve"> </w:t>
      </w:r>
      <w:r>
        <w:rPr>
          <w:rFonts w:ascii="Book Antiqua" w:hAnsi="Book Antiqua" w:eastAsia="Book Antiqua" w:cs="Book Antiqua"/>
          <w:color w:val="000000"/>
        </w:rPr>
        <w:t>200), granulocytes, megakaryocytes, adipocytes and erythrocytes were distributed within the surgical specimen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w:t>
      </w:r>
      <w:r>
        <w:rPr>
          <w:rFonts w:ascii="Book Antiqua" w:hAnsi="Book Antiqua" w:cs="Book Antiqua"/>
          <w:color w:val="000000"/>
          <w:lang w:eastAsia="zh-CN"/>
        </w:rPr>
        <w:t>E:</w:t>
      </w:r>
      <w:r>
        <w:rPr>
          <w:rFonts w:ascii="Book Antiqua" w:hAnsi="Book Antiqua" w:eastAsia="Book Antiqua" w:cs="Book Antiqua"/>
          <w:color w:val="000000"/>
        </w:rPr>
        <w:t xml:space="preserve"> Immunohistochemical staining using CD235 (</w:t>
      </w:r>
      <w:r>
        <w:rPr>
          <w:rFonts w:ascii="Book Antiqua" w:hAnsi="Book Antiqua" w:cs="Book Antiqua"/>
          <w:color w:val="000000"/>
          <w:lang w:eastAsia="zh-CN"/>
        </w:rPr>
        <w:t>C</w:t>
      </w:r>
      <w:r>
        <w:rPr>
          <w:rFonts w:ascii="Book Antiqua" w:hAnsi="Book Antiqua" w:eastAsia="Book Antiqua" w:cs="Book Antiqua"/>
          <w:color w:val="000000"/>
        </w:rPr>
        <w:t>), CD61 (</w:t>
      </w:r>
      <w:r>
        <w:rPr>
          <w:rFonts w:ascii="Book Antiqua" w:hAnsi="Book Antiqua" w:cs="Book Antiqua"/>
          <w:color w:val="000000"/>
          <w:lang w:eastAsia="zh-CN"/>
        </w:rPr>
        <w:t>D</w:t>
      </w:r>
      <w:r>
        <w:rPr>
          <w:rFonts w:ascii="Book Antiqua" w:hAnsi="Book Antiqua" w:eastAsia="Book Antiqua" w:cs="Book Antiqua"/>
          <w:color w:val="000000"/>
        </w:rPr>
        <w:t>) and MPO (</w:t>
      </w:r>
      <w:r>
        <w:rPr>
          <w:rFonts w:ascii="Book Antiqua" w:hAnsi="Book Antiqua" w:cs="Book Antiqua"/>
          <w:color w:val="000000"/>
          <w:lang w:eastAsia="zh-CN"/>
        </w:rPr>
        <w:t>E</w:t>
      </w:r>
      <w:r>
        <w:rPr>
          <w:rFonts w:ascii="Book Antiqua" w:hAnsi="Book Antiqua" w:eastAsia="Book Antiqua" w:cs="Book Antiqua"/>
          <w:color w:val="000000"/>
        </w:rPr>
        <w:t>) markers (×</w:t>
      </w:r>
      <w:r>
        <w:rPr>
          <w:rFonts w:ascii="Book Antiqua" w:hAnsi="Book Antiqua" w:cs="Book Antiqua"/>
          <w:color w:val="000000"/>
          <w:lang w:eastAsia="zh-CN"/>
        </w:rPr>
        <w:t xml:space="preserve"> </w:t>
      </w:r>
      <w:r>
        <w:rPr>
          <w:rFonts w:ascii="Book Antiqua" w:hAnsi="Book Antiqua" w:eastAsia="Book Antiqua" w:cs="Book Antiqua"/>
          <w:color w:val="000000"/>
        </w:rPr>
        <w:t>40) revealed that the cells were positive (brown color) for these markers, respectively.</w:t>
      </w:r>
    </w:p>
    <w:p>
      <w:pPr>
        <w:spacing w:line="360" w:lineRule="auto"/>
        <w:jc w:val="both"/>
        <w:rPr>
          <w:rFonts w:ascii="Book Antiqua" w:hAnsi="Book Antiqua"/>
          <w:b/>
          <w:lang w:eastAsia="zh-CN"/>
        </w:rPr>
      </w:pPr>
      <w:r>
        <w:rPr>
          <w:rFonts w:ascii="Book Antiqua" w:hAnsi="Book Antiqua" w:cs="Book Antiqua"/>
          <w:color w:val="000000"/>
          <w:lang w:eastAsia="zh-CN"/>
        </w:rPr>
        <w:br w:type="page"/>
      </w:r>
      <w:r>
        <w:rPr>
          <w:rStyle w:val="13"/>
          <w:rFonts w:ascii="Book Antiqua" w:hAnsi="Book Antiqua"/>
          <w:b/>
          <w:sz w:val="24"/>
          <w:szCs w:val="24"/>
        </w:rPr>
        <w:t xml:space="preserve">Table 1 Clinical and </w:t>
      </w:r>
      <w:r>
        <w:rPr>
          <w:rFonts w:ascii="Book Antiqua" w:hAnsi="Book Antiqua" w:eastAsia="Book Antiqua" w:cs="Book Antiqua"/>
          <w:b/>
          <w:color w:val="000000"/>
        </w:rPr>
        <w:t>magnetic resonance imaging</w:t>
      </w:r>
      <w:r>
        <w:rPr>
          <w:rStyle w:val="13"/>
          <w:rFonts w:ascii="Book Antiqua" w:hAnsi="Book Antiqua"/>
          <w:b/>
          <w:sz w:val="24"/>
          <w:szCs w:val="24"/>
        </w:rPr>
        <w:t xml:space="preserve"> features of 9 cases with </w:t>
      </w:r>
      <w:r>
        <w:rPr>
          <w:rFonts w:ascii="Book Antiqua" w:hAnsi="Book Antiqua"/>
          <w:b/>
        </w:rPr>
        <w:t>intrahepatic extramedullary hematopoiesis</w:t>
      </w:r>
    </w:p>
    <w:tbl>
      <w:tblPr>
        <w:tblStyle w:val="7"/>
        <w:tblW w:w="5166" w:type="pct"/>
        <w:tblInd w:w="-31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32"/>
        <w:gridCol w:w="1663"/>
        <w:gridCol w:w="1831"/>
        <w:gridCol w:w="1167"/>
        <w:gridCol w:w="1831"/>
        <w:gridCol w:w="197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tcBorders>
              <w:top w:val="single" w:color="auto" w:sz="4" w:space="0"/>
              <w:bottom w:val="single" w:color="auto" w:sz="4" w:space="0"/>
            </w:tcBorders>
            <w:shd w:val="clear" w:color="auto" w:fill="auto"/>
          </w:tcPr>
          <w:p>
            <w:pPr>
              <w:spacing w:line="360" w:lineRule="auto"/>
              <w:jc w:val="both"/>
              <w:rPr>
                <w:rFonts w:ascii="Book Antiqua" w:hAnsi="Book Antiqua"/>
                <w:b/>
                <w:color w:val="000000" w:themeColor="text1"/>
                <w:lang w:eastAsia="zh-CN"/>
                <w14:textFill>
                  <w14:solidFill>
                    <w14:schemeClr w14:val="tx1"/>
                  </w14:solidFill>
                </w14:textFill>
              </w:rPr>
            </w:pPr>
            <w:r>
              <w:rPr>
                <w:rFonts w:ascii="Book Antiqua" w:hAnsi="Book Antiqua"/>
                <w:b/>
                <w:color w:val="000000" w:themeColor="text1"/>
                <w14:textFill>
                  <w14:solidFill>
                    <w14:schemeClr w14:val="tx1"/>
                  </w14:solidFill>
                </w14:textFill>
              </w:rPr>
              <w:t>Case</w:t>
            </w:r>
            <w:r>
              <w:rPr>
                <w:rFonts w:hint="eastAsia" w:ascii="Book Antiqua" w:hAnsi="Book Antiqua"/>
                <w:b/>
                <w:color w:val="000000" w:themeColor="text1"/>
                <w:lang w:eastAsia="zh-CN"/>
                <w14:textFill>
                  <w14:solidFill>
                    <w14:schemeClr w14:val="tx1"/>
                  </w14:solidFill>
                </w14:textFill>
              </w:rPr>
              <w:t>/Ref.</w:t>
            </w:r>
          </w:p>
        </w:tc>
        <w:tc>
          <w:tcPr>
            <w:tcW w:w="840" w:type="pct"/>
            <w:tcBorders>
              <w:top w:val="single" w:color="auto" w:sz="4" w:space="0"/>
              <w:bottom w:val="single" w:color="auto" w:sz="4" w:space="0"/>
            </w:tcBorders>
            <w:shd w:val="clear" w:color="auto" w:fill="auto"/>
          </w:tcPr>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T1WI (compared to liver)</w:t>
            </w:r>
          </w:p>
        </w:tc>
        <w:tc>
          <w:tcPr>
            <w:tcW w:w="867" w:type="pct"/>
            <w:tcBorders>
              <w:top w:val="single" w:color="auto" w:sz="4" w:space="0"/>
              <w:bottom w:val="single" w:color="auto" w:sz="4" w:space="0"/>
            </w:tcBorders>
            <w:shd w:val="clear" w:color="auto" w:fill="auto"/>
          </w:tcPr>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T2WI (compared to liver)</w:t>
            </w:r>
          </w:p>
        </w:tc>
        <w:tc>
          <w:tcPr>
            <w:tcW w:w="619" w:type="pct"/>
            <w:tcBorders>
              <w:top w:val="single" w:color="auto" w:sz="4" w:space="0"/>
              <w:bottom w:val="single" w:color="auto" w:sz="4" w:space="0"/>
            </w:tcBorders>
            <w:shd w:val="clear" w:color="auto" w:fill="auto"/>
          </w:tcPr>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In/out-phase</w:t>
            </w:r>
          </w:p>
        </w:tc>
        <w:tc>
          <w:tcPr>
            <w:tcW w:w="925" w:type="pct"/>
            <w:tcBorders>
              <w:top w:val="single" w:color="auto" w:sz="4" w:space="0"/>
              <w:bottom w:val="single" w:color="auto" w:sz="4" w:space="0"/>
            </w:tcBorders>
            <w:shd w:val="clear" w:color="auto" w:fill="auto"/>
          </w:tcPr>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Enhancement</w:t>
            </w:r>
          </w:p>
        </w:tc>
        <w:tc>
          <w:tcPr>
            <w:tcW w:w="995" w:type="pct"/>
            <w:tcBorders>
              <w:top w:val="single" w:color="auto" w:sz="4" w:space="0"/>
              <w:bottom w:val="single" w:color="auto" w:sz="4" w:space="0"/>
            </w:tcBorders>
            <w:shd w:val="clear" w:color="auto" w:fill="auto"/>
          </w:tcPr>
          <w:p>
            <w:pPr>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Underlying condition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tcBorders>
              <w:top w:val="single" w:color="auto" w:sz="4" w:space="0"/>
            </w:tcBorders>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Case 1</w:t>
            </w:r>
          </w:p>
        </w:tc>
        <w:tc>
          <w:tcPr>
            <w:tcW w:w="840" w:type="pct"/>
            <w:tcBorders>
              <w:top w:val="single" w:color="auto" w:sz="4" w:space="0"/>
            </w:tcBorders>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Hypointense</w:t>
            </w:r>
          </w:p>
        </w:tc>
        <w:tc>
          <w:tcPr>
            <w:tcW w:w="867" w:type="pct"/>
            <w:tcBorders>
              <w:top w:val="single" w:color="auto" w:sz="4" w:space="0"/>
            </w:tcBorders>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Heterogeneous</w:t>
            </w:r>
          </w:p>
        </w:tc>
        <w:tc>
          <w:tcPr>
            <w:tcW w:w="619" w:type="pct"/>
            <w:tcBorders>
              <w:top w:val="single" w:color="auto" w:sz="4" w:space="0"/>
            </w:tcBorders>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In-phase low, out-phase high</w:t>
            </w:r>
          </w:p>
        </w:tc>
        <w:tc>
          <w:tcPr>
            <w:tcW w:w="925" w:type="pct"/>
            <w:tcBorders>
              <w:top w:val="single" w:color="auto" w:sz="4" w:space="0"/>
            </w:tcBorders>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Heterogeneous and persistent</w:t>
            </w:r>
          </w:p>
        </w:tc>
        <w:tc>
          <w:tcPr>
            <w:tcW w:w="995" w:type="pct"/>
            <w:tcBorders>
              <w:top w:val="single" w:color="auto" w:sz="4" w:space="0"/>
            </w:tcBorders>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Thyroid carcinoma and lung adenocarcinoma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Case 2</w:t>
            </w:r>
          </w:p>
        </w:tc>
        <w:tc>
          <w:tcPr>
            <w:tcW w:w="840"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Slightly hypointense</w:t>
            </w:r>
          </w:p>
        </w:tc>
        <w:tc>
          <w:tcPr>
            <w:tcW w:w="867"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Slightly hyperintense</w:t>
            </w:r>
          </w:p>
        </w:tc>
        <w:tc>
          <w:tcPr>
            <w:tcW w:w="619"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In-phase low, out-phase high</w:t>
            </w:r>
          </w:p>
        </w:tc>
        <w:tc>
          <w:tcPr>
            <w:tcW w:w="925"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Delayed</w:t>
            </w:r>
          </w:p>
        </w:tc>
        <w:tc>
          <w:tcPr>
            <w:tcW w:w="995"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Hodgkin’s lymphoma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Case 3</w:t>
            </w:r>
          </w:p>
        </w:tc>
        <w:tc>
          <w:tcPr>
            <w:tcW w:w="840"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Hypointense</w:t>
            </w:r>
          </w:p>
        </w:tc>
        <w:tc>
          <w:tcPr>
            <w:tcW w:w="867"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Hyperintense</w:t>
            </w:r>
          </w:p>
        </w:tc>
        <w:tc>
          <w:tcPr>
            <w:tcW w:w="619"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In-phase low, out-phase high</w:t>
            </w:r>
          </w:p>
        </w:tc>
        <w:tc>
          <w:tcPr>
            <w:tcW w:w="925"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Avid in arterial phase and “washout” in later phases</w:t>
            </w:r>
          </w:p>
        </w:tc>
        <w:tc>
          <w:tcPr>
            <w:tcW w:w="995"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Unknown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Lee</w:t>
            </w:r>
            <w:r>
              <w:rPr>
                <w:rStyle w:val="13"/>
                <w:rFonts w:hint="eastAsia" w:ascii="Book Antiqua" w:hAnsi="Book Antiqua"/>
                <w:i/>
                <w:color w:val="000000" w:themeColor="text1"/>
                <w:sz w:val="24"/>
                <w:szCs w:val="24"/>
                <w:lang w:eastAsia="zh-CN"/>
                <w14:textFill>
                  <w14:solidFill>
                    <w14:schemeClr w14:val="tx1"/>
                  </w14:solidFill>
                </w14:textFill>
              </w:rPr>
              <w:t xml:space="preserve"> et al</w:t>
            </w:r>
            <w:r>
              <w:rPr>
                <w:rStyle w:val="13"/>
                <w:rFonts w:ascii="Book Antiqua" w:hAnsi="Book Antiqua"/>
                <w:color w:val="000000" w:themeColor="text1"/>
                <w:sz w:val="24"/>
                <w:szCs w:val="24"/>
                <w:vertAlign w:val="superscript"/>
                <w14:textFill>
                  <w14:solidFill>
                    <w14:schemeClr w14:val="tx1"/>
                  </w14:solidFill>
                </w14:textFill>
              </w:rPr>
              <w:fldChar w:fldCharType="begin"/>
            </w:r>
            <w:r>
              <w:rPr>
                <w:rStyle w:val="13"/>
                <w:rFonts w:ascii="Book Antiqua" w:hAnsi="Book Antiqua"/>
                <w:color w:val="000000" w:themeColor="text1"/>
                <w:sz w:val="24"/>
                <w:szCs w:val="24"/>
                <w:vertAlign w:val="superscript"/>
                <w14:textFill>
                  <w14:solidFill>
                    <w14:schemeClr w14:val="tx1"/>
                  </w14:solidFill>
                </w14:textFill>
              </w:rPr>
              <w:instrText xml:space="preserve"> ADDIN EN.CITE &lt;EndNote&gt;&lt;Cite&gt;&lt;Author&gt;Lee&lt;/Author&gt;&lt;Year&gt;2008&lt;/Year&gt;&lt;RecNum&gt;302&lt;/RecNum&gt;&lt;DisplayText&gt;(2)&lt;/DisplayText&gt;&lt;record&gt;&lt;rec-number&gt;302&lt;/rec-number&gt;&lt;foreign-keys&gt;&lt;key app="EN" db-id="9twvs2vfja9psiezat65reayvrsea99svdzv" timestamp="1620100932"&gt;302&lt;/key&gt;&lt;/foreign-keys&gt;&lt;ref-type name="Journal Article"&gt;17&lt;/ref-type&gt;&lt;contributors&gt;&lt;authors&gt;&lt;author&gt;Lee, I. J.&lt;/author&gt;&lt;author&gt;Kim, S. H.&lt;/author&gt;&lt;author&gt;Kim, D. S.&lt;/author&gt;&lt;author&gt;Lee, J. M.&lt;/author&gt;&lt;author&gt;Han, J. K.&lt;/author&gt;&lt;author&gt;Choi, B. I.&lt;/author&gt;&lt;/authors&gt;&lt;/contributors&gt;&lt;auth-address&gt;Department of Radiology, Seoul National University Hospital, Seoul, Korea.&lt;/auth-address&gt;&lt;titles&gt;&lt;title&gt;Intrahepatic extramedullary hematopoiesis mimicking a hypervascular hepatic neoplasm on dynamic- and SPIO-enhanced MRI&lt;/title&gt;&lt;secondary-title&gt;Korean J Radiol&lt;/secondary-title&gt;&lt;/titles&gt;&lt;periodical&gt;&lt;full-title&gt;Korean J Radiol&lt;/full-title&gt;&lt;/periodical&gt;&lt;pages&gt;S34-8&lt;/pages&gt;&lt;volume&gt;9 Suppl&lt;/volume&gt;&lt;edition&gt;2008/10/04&lt;/edition&gt;&lt;keywords&gt;&lt;keyword&gt;Adenoma/*diagnosis&lt;/keyword&gt;&lt;keyword&gt;Adult&lt;/keyword&gt;&lt;keyword&gt;Diagnosis, Differential&lt;/keyword&gt;&lt;keyword&gt;*Hematopoiesis, Extramedullary&lt;/keyword&gt;&lt;keyword&gt;Humans&lt;/keyword&gt;&lt;keyword&gt;Liver/*physiology&lt;/keyword&gt;&lt;keyword&gt;Liver Neoplasms/*diagnosis&lt;/keyword&gt;&lt;keyword&gt;*Magnetic Resonance Imaging&lt;/keyword&gt;&lt;keyword&gt;Male&lt;/keyword&gt;&lt;keyword&gt;Primary Myelofibrosis/physiopathology&lt;/keyword&gt;&lt;/keywords&gt;&lt;dates&gt;&lt;year&gt;2008&lt;/year&gt;&lt;pub-dates&gt;&lt;date&gt;Jul&lt;/date&gt;&lt;/pub-dates&gt;&lt;/dates&gt;&lt;isbn&gt;1229-6929 (Print)&amp;#xD;1229-6929 (Linking)&lt;/isbn&gt;&lt;accession-num&gt;18607123&lt;/accession-num&gt;&lt;urls&gt;&lt;related-urls&gt;&lt;url&gt;https://www.ncbi.nlm.nih.gov/pubmed/18607123&lt;/url&gt;&lt;/related-urls&gt;&lt;/urls&gt;&lt;custom2&gt;PMC2627188&lt;/custom2&gt;&lt;electronic-resource-num&gt;10.3348/kjr.2008.9.s.s34&lt;/electronic-resource-num&gt;&lt;/record&gt;&lt;/Cite&gt;&lt;/EndNote&gt;</w:instrText>
            </w:r>
            <w:r>
              <w:rPr>
                <w:rStyle w:val="13"/>
                <w:rFonts w:ascii="Book Antiqua" w:hAnsi="Book Antiqua"/>
                <w:color w:val="000000" w:themeColor="text1"/>
                <w:sz w:val="24"/>
                <w:szCs w:val="24"/>
                <w:vertAlign w:val="superscript"/>
                <w14:textFill>
                  <w14:solidFill>
                    <w14:schemeClr w14:val="tx1"/>
                  </w14:solidFill>
                </w14:textFill>
              </w:rPr>
              <w:fldChar w:fldCharType="separate"/>
            </w:r>
            <w:r>
              <w:rPr>
                <w:rStyle w:val="13"/>
                <w:rFonts w:ascii="Book Antiqua" w:hAnsi="Book Antiqua"/>
                <w:color w:val="000000" w:themeColor="text1"/>
                <w:sz w:val="24"/>
                <w:szCs w:val="24"/>
                <w:vertAlign w:val="superscript"/>
                <w14:textFill>
                  <w14:solidFill>
                    <w14:schemeClr w14:val="tx1"/>
                  </w14:solidFill>
                </w14:textFill>
              </w:rPr>
              <w:t>[2]</w:t>
            </w:r>
            <w:r>
              <w:rPr>
                <w:rStyle w:val="13"/>
                <w:rFonts w:ascii="Book Antiqua" w:hAnsi="Book Antiqua"/>
                <w:color w:val="000000" w:themeColor="text1"/>
                <w:sz w:val="24"/>
                <w:szCs w:val="24"/>
                <w:vertAlign w:val="superscript"/>
                <w14:textFill>
                  <w14:solidFill>
                    <w14:schemeClr w14:val="tx1"/>
                  </w14:solidFill>
                </w14:textFill>
              </w:rPr>
              <w:fldChar w:fldCharType="end"/>
            </w:r>
          </w:p>
        </w:tc>
        <w:tc>
          <w:tcPr>
            <w:tcW w:w="840"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Slightly hypointense</w:t>
            </w:r>
          </w:p>
        </w:tc>
        <w:tc>
          <w:tcPr>
            <w:tcW w:w="867"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Hyperintense</w:t>
            </w:r>
          </w:p>
        </w:tc>
        <w:tc>
          <w:tcPr>
            <w:tcW w:w="619"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NA</w:t>
            </w:r>
          </w:p>
        </w:tc>
        <w:tc>
          <w:tcPr>
            <w:tcW w:w="92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Homogeneous, avid and persistent</w:t>
            </w:r>
          </w:p>
        </w:tc>
        <w:tc>
          <w:tcPr>
            <w:tcW w:w="99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Idiopathic myelofibrosis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Belay</w:t>
            </w:r>
            <w:r>
              <w:rPr>
                <w:rStyle w:val="13"/>
                <w:rFonts w:hint="eastAsia" w:ascii="Book Antiqua" w:hAnsi="Book Antiqua"/>
                <w:i/>
                <w:color w:val="000000" w:themeColor="text1"/>
                <w:sz w:val="24"/>
                <w:szCs w:val="24"/>
                <w:lang w:eastAsia="zh-CN"/>
                <w14:textFill>
                  <w14:solidFill>
                    <w14:schemeClr w14:val="tx1"/>
                  </w14:solidFill>
                </w14:textFill>
              </w:rPr>
              <w:t xml:space="preserve"> et al</w:t>
            </w:r>
            <w:r>
              <w:rPr>
                <w:rStyle w:val="13"/>
                <w:rFonts w:ascii="Book Antiqua" w:hAnsi="Book Antiqua"/>
                <w:color w:val="000000" w:themeColor="text1"/>
                <w:sz w:val="24"/>
                <w:szCs w:val="24"/>
                <w:vertAlign w:val="superscript"/>
                <w14:textFill>
                  <w14:solidFill>
                    <w14:schemeClr w14:val="tx1"/>
                  </w14:solidFill>
                </w14:textFill>
              </w:rPr>
              <w:fldChar w:fldCharType="begin">
                <w:fldData xml:space="preserve">PEVuZE5vdGU+PENpdGU+PEF1dGhvcj5CZWxheTwvQXV0aG9yPjxZZWFyPjIwMTg8L1llYXI+PFJl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</w:fldData>
              </w:fldChar>
            </w:r>
            <w:r>
              <w:rPr>
                <w:rStyle w:val="13"/>
                <w:rFonts w:ascii="Book Antiqua" w:hAnsi="Book Antiqua"/>
                <w:color w:val="000000" w:themeColor="text1"/>
                <w:sz w:val="24"/>
                <w:szCs w:val="24"/>
                <w:vertAlign w:val="superscript"/>
                <w14:textFill>
                  <w14:solidFill>
                    <w14:schemeClr w14:val="tx1"/>
                  </w14:solidFill>
                </w14:textFill>
              </w:rPr>
              <w:instrText xml:space="preserve"> ADDIN EN.CITE </w:instrText>
            </w:r>
            <w:r>
              <w:rPr>
                <w:rStyle w:val="13"/>
                <w:rFonts w:ascii="Book Antiqua" w:hAnsi="Book Antiqua"/>
                <w:color w:val="000000" w:themeColor="text1"/>
                <w:sz w:val="24"/>
                <w:szCs w:val="24"/>
                <w:vertAlign w:val="superscript"/>
                <w14:textFill>
                  <w14:solidFill>
                    <w14:schemeClr w14:val="tx1"/>
                  </w14:solidFill>
                </w14:textFill>
              </w:rPr>
              <w:fldChar w:fldCharType="begin">
                <w:fldData xml:space="preserve">PEVuZE5vdGU+PENpdGU+PEF1dGhvcj5CZWxheTwvQXV0aG9yPjxZZWFyPjIwMTg8L1llYXI+PFJl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</w:fldData>
              </w:fldChar>
            </w:r>
            <w:r>
              <w:rPr>
                <w:rStyle w:val="13"/>
                <w:rFonts w:ascii="Book Antiqua" w:hAnsi="Book Antiqua"/>
                <w:color w:val="000000" w:themeColor="text1"/>
                <w:sz w:val="24"/>
                <w:szCs w:val="24"/>
                <w:vertAlign w:val="superscript"/>
                <w14:textFill>
                  <w14:solidFill>
                    <w14:schemeClr w14:val="tx1"/>
                  </w14:solidFill>
                </w14:textFill>
              </w:rPr>
              <w:instrText xml:space="preserve"> ADDIN EN.CITE.DATA </w:instrText>
            </w:r>
            <w:r>
              <w:rPr>
                <w:rStyle w:val="13"/>
                <w:rFonts w:ascii="Book Antiqua" w:hAnsi="Book Antiqua"/>
                <w:color w:val="000000" w:themeColor="text1"/>
                <w:sz w:val="24"/>
                <w:szCs w:val="24"/>
                <w:vertAlign w:val="superscript"/>
                <w14:textFill>
                  <w14:solidFill>
                    <w14:schemeClr w14:val="tx1"/>
                  </w14:solidFill>
                </w14:textFill>
              </w:rPr>
              <w:fldChar w:fldCharType="end"/>
            </w:r>
            <w:r>
              <w:rPr>
                <w:rStyle w:val="13"/>
                <w:rFonts w:ascii="Book Antiqua" w:hAnsi="Book Antiqua"/>
                <w:color w:val="000000" w:themeColor="text1"/>
                <w:sz w:val="24"/>
                <w:szCs w:val="24"/>
                <w:vertAlign w:val="superscript"/>
                <w14:textFill>
                  <w14:solidFill>
                    <w14:schemeClr w14:val="tx1"/>
                  </w14:solidFill>
                </w14:textFill>
              </w:rPr>
              <w:fldChar w:fldCharType="separate"/>
            </w:r>
            <w:r>
              <w:rPr>
                <w:rStyle w:val="13"/>
                <w:rFonts w:ascii="Book Antiqua" w:hAnsi="Book Antiqua"/>
                <w:color w:val="000000" w:themeColor="text1"/>
                <w:sz w:val="24"/>
                <w:szCs w:val="24"/>
                <w:vertAlign w:val="superscript"/>
                <w14:textFill>
                  <w14:solidFill>
                    <w14:schemeClr w14:val="tx1"/>
                  </w14:solidFill>
                </w14:textFill>
              </w:rPr>
              <w:t>[8]</w:t>
            </w:r>
            <w:r>
              <w:rPr>
                <w:rStyle w:val="13"/>
                <w:rFonts w:ascii="Book Antiqua" w:hAnsi="Book Antiqua"/>
                <w:color w:val="000000" w:themeColor="text1"/>
                <w:sz w:val="24"/>
                <w:szCs w:val="24"/>
                <w:vertAlign w:val="superscript"/>
                <w14:textFill>
                  <w14:solidFill>
                    <w14:schemeClr w14:val="tx1"/>
                  </w14:solidFill>
                </w14:textFill>
              </w:rPr>
              <w:fldChar w:fldCharType="end"/>
            </w:r>
          </w:p>
        </w:tc>
        <w:tc>
          <w:tcPr>
            <w:tcW w:w="840"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Hypointense</w:t>
            </w:r>
          </w:p>
        </w:tc>
        <w:tc>
          <w:tcPr>
            <w:tcW w:w="867"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Hypointense</w:t>
            </w:r>
            <w:r>
              <w:rPr>
                <w:rFonts w:ascii="Book Antiqua" w:hAnsi="Book Antiqua"/>
                <w:color w:val="000000" w:themeColor="text1"/>
                <w:vertAlign w:val="superscript"/>
                <w14:textFill>
                  <w14:solidFill>
                    <w14:schemeClr w14:val="tx1"/>
                  </w14:solidFill>
                </w14:textFill>
              </w:rPr>
              <w:t>1</w:t>
            </w:r>
          </w:p>
        </w:tc>
        <w:tc>
          <w:tcPr>
            <w:tcW w:w="619"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NA</w:t>
            </w:r>
          </w:p>
        </w:tc>
        <w:tc>
          <w:tcPr>
            <w:tcW w:w="925"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Avid and persistent</w:t>
            </w:r>
          </w:p>
        </w:tc>
        <w:tc>
          <w:tcPr>
            <w:tcW w:w="995" w:type="pct"/>
            <w:shd w:val="clear" w:color="auto" w:fill="auto"/>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Myelodysplastic syndrome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Zhang</w:t>
            </w:r>
            <w:r>
              <w:rPr>
                <w:rStyle w:val="13"/>
                <w:rFonts w:hint="eastAsia" w:ascii="Book Antiqua" w:hAnsi="Book Antiqua"/>
                <w:i/>
                <w:color w:val="000000" w:themeColor="text1"/>
                <w:sz w:val="24"/>
                <w:szCs w:val="24"/>
                <w:lang w:eastAsia="zh-CN"/>
                <w14:textFill>
                  <w14:solidFill>
                    <w14:schemeClr w14:val="tx1"/>
                  </w14:solidFill>
                </w14:textFill>
              </w:rPr>
              <w:t xml:space="preserve"> </w:t>
            </w:r>
            <w:r>
              <w:rPr>
                <w:rStyle w:val="13"/>
                <w:rFonts w:hint="eastAsia" w:ascii="Book Antiqua" w:hAnsi="Book Antiqua"/>
                <w:color w:val="000000" w:themeColor="text1"/>
                <w:sz w:val="24"/>
                <w:szCs w:val="24"/>
                <w:lang w:eastAsia="zh-CN"/>
                <w14:textFill>
                  <w14:solidFill>
                    <w14:schemeClr w14:val="tx1"/>
                  </w14:solidFill>
                </w14:textFill>
              </w:rPr>
              <w:t>and Zhu</w:t>
            </w:r>
            <w:r>
              <w:rPr>
                <w:rFonts w:ascii="Book Antiqua" w:hAnsi="Book Antiqua"/>
                <w:color w:val="000000" w:themeColor="text1"/>
                <w:vertAlign w:val="superscript"/>
                <w14:textFill>
                  <w14:solidFill>
                    <w14:schemeClr w14:val="tx1"/>
                  </w14:solidFill>
                </w14:textFill>
              </w:rPr>
              <w:fldChar w:fldCharType="begin"/>
            </w:r>
            <w:r>
              <w:rPr>
                <w:rFonts w:ascii="Book Antiqua" w:hAnsi="Book Antiqua"/>
                <w:color w:val="000000" w:themeColor="text1"/>
                <w:vertAlign w:val="superscript"/>
                <w14:textFill>
                  <w14:solidFill>
                    <w14:schemeClr w14:val="tx1"/>
                  </w14:solidFill>
                </w14:textFill>
              </w:rPr>
              <w:instrText xml:space="preserve"> ADDIN EN.CITE &lt;EndNote&gt;&lt;Cite&gt;&lt;Author&gt;Zhang&lt;/Author&gt;&lt;Year&gt;2020&lt;/Year&gt;&lt;RecNum&gt;291&lt;/RecNum&gt;&lt;DisplayText&gt;(9)&lt;/DisplayText&gt;&lt;record&gt;&lt;rec-number&gt;291&lt;/rec-number&gt;&lt;foreign-keys&gt;&lt;key app="EN" db-id="9twvs2vfja9psiezat65reayvrsea99svdzv" timestamp="1609511330"&gt;291&lt;/key&gt;&lt;/foreign-keys&gt;&lt;ref-type name="Journal Article"&gt;17&lt;/ref-type&gt;&lt;contributors&gt;&lt;authors&gt;&lt;author&gt;Zhang, L.&lt;/author&gt;&lt;author&gt;Zhu, H.&lt;/author&gt;&lt;/authors&gt;&lt;/contributors&gt;&lt;auth-address&gt;Department of MRI, The First Affiliated Hospital of Henan University of Chinese Medicine, Zhengzhou, China.&amp;#xD;Department of Radiology, the 905th hospital of PLA Navy, No. 1328 Huashan Road, Shanghai 200052, China. Electronic address: zhuhaiyun376@126.com.&lt;/auth-address&gt;&lt;titles&gt;&lt;title&gt;Extramedullary hematopoiesis mimicking an intrahepatic neoplasm in a patient with idiopathic myelofibrosis&lt;/title&gt;&lt;secondary-title&gt;Dig Liver Dis&lt;/secondary-title&gt;&lt;/titles&gt;&lt;periodical&gt;&lt;full-title&gt;Dig Liver Dis&lt;/full-title&gt;&lt;/periodical&gt;&lt;pages&gt;1205-1207&lt;/pages&gt;&lt;volume&gt;52&lt;/volume&gt;&lt;number&gt;10&lt;/number&gt;&lt;edition&gt;2020/05/14&lt;/edition&gt;&lt;dates&gt;&lt;year&gt;2020&lt;/year&gt;&lt;pub-dates&gt;&lt;date&gt;Oct&lt;/date&gt;&lt;/pub-dates&gt;&lt;/dates&gt;&lt;isbn&gt;1878-3562 (Electronic)&amp;#xD;1590-8658 (Linking)&lt;/isbn&gt;&lt;accession-num&gt;32402745&lt;/accession-num&gt;&lt;urls&gt;&lt;related-urls&gt;&lt;url&gt;https://www.ncbi.nlm.nih.gov/pubmed/32402745&lt;/url&gt;&lt;/related-urls&gt;&lt;/urls&gt;&lt;electronic-resource-num&gt;10.1016/j.dld.2020.03.011&lt;/electronic-resource-num&gt;&lt;/record&gt;&lt;/Cite&gt;&lt;/EndNote&gt;</w:instrText>
            </w:r>
            <w:r>
              <w:rPr>
                <w:rFonts w:ascii="Book Antiqua" w:hAnsi="Book Antiqua"/>
                <w:color w:val="000000" w:themeColor="text1"/>
                <w:vertAlign w:val="superscript"/>
                <w14:textFill>
                  <w14:solidFill>
                    <w14:schemeClr w14:val="tx1"/>
                  </w14:solidFill>
                </w14:textFill>
              </w:rPr>
              <w:fldChar w:fldCharType="separate"/>
            </w:r>
            <w:r>
              <w:rPr>
                <w:rFonts w:ascii="Book Antiqua" w:hAnsi="Book Antiqua"/>
                <w:color w:val="000000" w:themeColor="text1"/>
                <w:vertAlign w:val="superscript"/>
                <w14:textFill>
                  <w14:solidFill>
                    <w14:schemeClr w14:val="tx1"/>
                  </w14:solidFill>
                </w14:textFill>
              </w:rPr>
              <w:t>[9]</w:t>
            </w:r>
            <w:r>
              <w:rPr>
                <w:rFonts w:ascii="Book Antiqua" w:hAnsi="Book Antiqua"/>
                <w:color w:val="000000" w:themeColor="text1"/>
                <w:vertAlign w:val="superscript"/>
                <w14:textFill>
                  <w14:solidFill>
                    <w14:schemeClr w14:val="tx1"/>
                  </w14:solidFill>
                </w14:textFill>
              </w:rPr>
              <w:fldChar w:fldCharType="end"/>
            </w:r>
          </w:p>
        </w:tc>
        <w:tc>
          <w:tcPr>
            <w:tcW w:w="840"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Slightly hypointense</w:t>
            </w:r>
          </w:p>
        </w:tc>
        <w:tc>
          <w:tcPr>
            <w:tcW w:w="867"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Hyperintense</w:t>
            </w:r>
          </w:p>
        </w:tc>
        <w:tc>
          <w:tcPr>
            <w:tcW w:w="619"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Without signal intensity change</w:t>
            </w:r>
          </w:p>
        </w:tc>
        <w:tc>
          <w:tcPr>
            <w:tcW w:w="92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Homogeneous avid in arterial phase and isointense in later phases</w:t>
            </w:r>
          </w:p>
        </w:tc>
        <w:tc>
          <w:tcPr>
            <w:tcW w:w="99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Idiopathic myelofibrosis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Tamm</w:t>
            </w:r>
            <w:r>
              <w:rPr>
                <w:rStyle w:val="13"/>
                <w:rFonts w:hint="eastAsia" w:ascii="Book Antiqua" w:hAnsi="Book Antiqua"/>
                <w:color w:val="000000" w:themeColor="text1"/>
                <w:sz w:val="24"/>
                <w:szCs w:val="24"/>
                <w:lang w:eastAsia="zh-CN"/>
                <w14:textFill>
                  <w14:solidFill>
                    <w14:schemeClr w14:val="tx1"/>
                  </w14:solidFill>
                </w14:textFill>
              </w:rPr>
              <w:t xml:space="preserve"> </w:t>
            </w:r>
            <w:r>
              <w:rPr>
                <w:rStyle w:val="13"/>
                <w:rFonts w:hint="eastAsia" w:ascii="Book Antiqua" w:hAnsi="Book Antiqua"/>
                <w:i/>
                <w:color w:val="000000" w:themeColor="text1"/>
                <w:sz w:val="24"/>
                <w:szCs w:val="24"/>
                <w:lang w:eastAsia="zh-CN"/>
                <w14:textFill>
                  <w14:solidFill>
                    <w14:schemeClr w14:val="tx1"/>
                  </w14:solidFill>
                </w14:textFill>
              </w:rPr>
              <w:t>et al</w:t>
            </w:r>
            <w:r>
              <w:rPr>
                <w:rStyle w:val="13"/>
                <w:rFonts w:ascii="Book Antiqua" w:hAnsi="Book Antiqua"/>
                <w:color w:val="000000" w:themeColor="text1"/>
                <w:sz w:val="24"/>
                <w:szCs w:val="24"/>
                <w:vertAlign w:val="superscript"/>
                <w14:textFill>
                  <w14:solidFill>
                    <w14:schemeClr w14:val="tx1"/>
                  </w14:solidFill>
                </w14:textFill>
              </w:rPr>
              <w:fldChar w:fldCharType="begin">
                <w:fldData xml:space="preserve">PEVuZE5vdGU+PENpdGU+PEF1dGhvcj5UYW1tPC9BdXRob3I+PFllYXI+MTk5NTwvWWVhcj48UmVj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</w:fldData>
              </w:fldChar>
            </w:r>
            <w:r>
              <w:rPr>
                <w:rStyle w:val="13"/>
                <w:rFonts w:ascii="Book Antiqua" w:hAnsi="Book Antiqua"/>
                <w:color w:val="000000" w:themeColor="text1"/>
                <w:sz w:val="24"/>
                <w:szCs w:val="24"/>
                <w:vertAlign w:val="superscript"/>
                <w14:textFill>
                  <w14:solidFill>
                    <w14:schemeClr w14:val="tx1"/>
                  </w14:solidFill>
                </w14:textFill>
              </w:rPr>
              <w:instrText xml:space="preserve"> ADDIN EN.CITE </w:instrText>
            </w:r>
            <w:r>
              <w:rPr>
                <w:rStyle w:val="13"/>
                <w:rFonts w:ascii="Book Antiqua" w:hAnsi="Book Antiqua"/>
                <w:color w:val="000000" w:themeColor="text1"/>
                <w:sz w:val="24"/>
                <w:szCs w:val="24"/>
                <w:vertAlign w:val="superscript"/>
                <w14:textFill>
                  <w14:solidFill>
                    <w14:schemeClr w14:val="tx1"/>
                  </w14:solidFill>
                </w14:textFill>
              </w:rPr>
              <w:fldChar w:fldCharType="begin">
                <w:fldData xml:space="preserve">PEVuZE5vdGU+PENpdGU+PEF1dGhvcj5UYW1tPC9BdXRob3I+PFllYXI+MTk5NTwvWWVhcj48UmVj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</w:fldData>
              </w:fldChar>
            </w:r>
            <w:r>
              <w:rPr>
                <w:rStyle w:val="13"/>
                <w:rFonts w:ascii="Book Antiqua" w:hAnsi="Book Antiqua"/>
                <w:color w:val="000000" w:themeColor="text1"/>
                <w:sz w:val="24"/>
                <w:szCs w:val="24"/>
                <w:vertAlign w:val="superscript"/>
                <w14:textFill>
                  <w14:solidFill>
                    <w14:schemeClr w14:val="tx1"/>
                  </w14:solidFill>
                </w14:textFill>
              </w:rPr>
              <w:instrText xml:space="preserve"> ADDIN EN.CITE.DATA </w:instrText>
            </w:r>
            <w:r>
              <w:rPr>
                <w:rStyle w:val="13"/>
                <w:rFonts w:ascii="Book Antiqua" w:hAnsi="Book Antiqua"/>
                <w:color w:val="000000" w:themeColor="text1"/>
                <w:sz w:val="24"/>
                <w:szCs w:val="24"/>
                <w:vertAlign w:val="superscript"/>
                <w14:textFill>
                  <w14:solidFill>
                    <w14:schemeClr w14:val="tx1"/>
                  </w14:solidFill>
                </w14:textFill>
              </w:rPr>
              <w:fldChar w:fldCharType="end"/>
            </w:r>
            <w:r>
              <w:rPr>
                <w:rStyle w:val="13"/>
                <w:rFonts w:ascii="Book Antiqua" w:hAnsi="Book Antiqua"/>
                <w:color w:val="000000" w:themeColor="text1"/>
                <w:sz w:val="24"/>
                <w:szCs w:val="24"/>
                <w:vertAlign w:val="superscript"/>
                <w14:textFill>
                  <w14:solidFill>
                    <w14:schemeClr w14:val="tx1"/>
                  </w14:solidFill>
                </w14:textFill>
              </w:rPr>
              <w:fldChar w:fldCharType="separate"/>
            </w:r>
            <w:r>
              <w:rPr>
                <w:rStyle w:val="13"/>
                <w:rFonts w:ascii="Book Antiqua" w:hAnsi="Book Antiqua"/>
                <w:color w:val="000000" w:themeColor="text1"/>
                <w:sz w:val="24"/>
                <w:szCs w:val="24"/>
                <w:vertAlign w:val="superscript"/>
                <w14:textFill>
                  <w14:solidFill>
                    <w14:schemeClr w14:val="tx1"/>
                  </w14:solidFill>
                </w14:textFill>
              </w:rPr>
              <w:t>[12]</w:t>
            </w:r>
            <w:r>
              <w:rPr>
                <w:rStyle w:val="13"/>
                <w:rFonts w:ascii="Book Antiqua" w:hAnsi="Book Antiqua"/>
                <w:color w:val="000000" w:themeColor="text1"/>
                <w:sz w:val="24"/>
                <w:szCs w:val="24"/>
                <w:vertAlign w:val="superscript"/>
                <w14:textFill>
                  <w14:solidFill>
                    <w14:schemeClr w14:val="tx1"/>
                  </w14:solidFill>
                </w14:textFill>
              </w:rPr>
              <w:fldChar w:fldCharType="end"/>
            </w:r>
          </w:p>
        </w:tc>
        <w:tc>
          <w:tcPr>
            <w:tcW w:w="840"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Hypointense</w:t>
            </w:r>
          </w:p>
        </w:tc>
        <w:tc>
          <w:tcPr>
            <w:tcW w:w="867"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Hyperintense</w:t>
            </w:r>
          </w:p>
        </w:tc>
        <w:tc>
          <w:tcPr>
            <w:tcW w:w="619"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NA</w:t>
            </w:r>
          </w:p>
        </w:tc>
        <w:tc>
          <w:tcPr>
            <w:tcW w:w="92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Delayed</w:t>
            </w:r>
          </w:p>
        </w:tc>
        <w:tc>
          <w:tcPr>
            <w:tcW w:w="99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Gaucher disease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Jelali</w:t>
            </w:r>
            <w:r>
              <w:rPr>
                <w:rStyle w:val="13"/>
                <w:rFonts w:hint="eastAsia" w:ascii="Book Antiqua" w:hAnsi="Book Antiqua"/>
                <w:i/>
                <w:color w:val="000000" w:themeColor="text1"/>
                <w:sz w:val="24"/>
                <w:szCs w:val="24"/>
                <w:lang w:eastAsia="zh-CN"/>
                <w14:textFill>
                  <w14:solidFill>
                    <w14:schemeClr w14:val="tx1"/>
                  </w14:solidFill>
                </w14:textFill>
              </w:rPr>
              <w:t xml:space="preserve"> et al</w:t>
            </w:r>
            <w:r>
              <w:rPr>
                <w:rStyle w:val="13"/>
                <w:rFonts w:ascii="Book Antiqua" w:hAnsi="Book Antiqua"/>
                <w:color w:val="000000" w:themeColor="text1"/>
                <w:sz w:val="24"/>
                <w:szCs w:val="24"/>
                <w:vertAlign w:val="superscript"/>
                <w14:textFill>
                  <w14:solidFill>
                    <w14:schemeClr w14:val="tx1"/>
                  </w14:solidFill>
                </w14:textFill>
              </w:rPr>
              <w:fldChar w:fldCharType="begin"/>
            </w:r>
            <w:r>
              <w:rPr>
                <w:rStyle w:val="13"/>
                <w:rFonts w:ascii="Book Antiqua" w:hAnsi="Book Antiqua"/>
                <w:color w:val="000000" w:themeColor="text1"/>
                <w:sz w:val="24"/>
                <w:szCs w:val="24"/>
                <w:vertAlign w:val="superscript"/>
                <w14:textFill>
                  <w14:solidFill>
                    <w14:schemeClr w14:val="tx1"/>
                  </w14:solidFill>
                </w14:textFill>
              </w:rPr>
              <w:instrText xml:space="preserve"> ADDIN EN.CITE &lt;EndNote&gt;&lt;Cite&gt;&lt;Author&gt;Jelali&lt;/Author&gt;&lt;Year&gt;2006&lt;/Year&gt;&lt;RecNum&gt;301&lt;/RecNum&gt;&lt;DisplayText&gt;(23)&lt;/DisplayText&gt;&lt;record&gt;&lt;rec-number&gt;301&lt;/rec-number&gt;&lt;foreign-keys&gt;&lt;key app="EN" db-id="9twvs2vfja9psiezat65reayvrsea99svdzv" timestamp="1620100932"&gt;301&lt;/key&gt;&lt;/foreign-keys&gt;&lt;ref-type name="Journal Article"&gt;17&lt;/ref-type&gt;&lt;contributors&gt;&lt;authors&gt;&lt;author&gt;Jelali, M. A.&lt;/author&gt;&lt;author&gt;Luciani, A.&lt;/author&gt;&lt;author&gt;Kobeiter, H.&lt;/author&gt;&lt;author&gt;Zafrani, S.&lt;/author&gt;&lt;author&gt;Anglade, M. C.&lt;/author&gt;&lt;author&gt;Zegai, B.&lt;/author&gt;&lt;author&gt;Bachir, D.&lt;/author&gt;&lt;author&gt;Rahmouni, A.&lt;/author&gt;&lt;/authors&gt;&lt;/contributors&gt;&lt;auth-address&gt;Department of Radiology, Centre Hospitalo-Universitaire Henri Mondor, 51 Avenue du Marechal de Lattre de Tassigny, 94010 Creteil, France.&lt;/auth-address&gt;&lt;titles&gt;&lt;title&gt;MRI features of intrahepatic extramedullary haematopoiesis in sickle cell anaemia&lt;/title&gt;&lt;secondary-title&gt;Cancer Imaging&lt;/secondary-title&gt;&lt;/titles&gt;&lt;periodical&gt;&lt;full-title&gt;Cancer Imaging&lt;/full-title&gt;&lt;/periodical&gt;&lt;pages&gt;182-5&lt;/pages&gt;&lt;volume&gt;6&lt;/volume&gt;&lt;edition&gt;2007/01/09&lt;/edition&gt;&lt;keywords&gt;&lt;keyword&gt;Adult&lt;/keyword&gt;&lt;keyword&gt;Anemia, Sickle Cell/*complications&lt;/keyword&gt;&lt;keyword&gt;Female&lt;/keyword&gt;&lt;keyword&gt;*Hematopoiesis, Extramedullary&lt;/keyword&gt;&lt;keyword&gt;Humans&lt;/keyword&gt;&lt;keyword&gt;Liver&lt;/keyword&gt;&lt;keyword&gt;*Magnetic Resonance Imaging&lt;/keyword&gt;&lt;/keywords&gt;&lt;dates&gt;&lt;year&gt;2006&lt;/year&gt;&lt;pub-dates&gt;&lt;date&gt;Nov 28&lt;/date&gt;&lt;/pub-dates&gt;&lt;/dates&gt;&lt;isbn&gt;1470-7330 (Electronic)&amp;#xD;1470-7330 (Linking)&lt;/isbn&gt;&lt;accession-num&gt;17208673&lt;/accession-num&gt;&lt;urls&gt;&lt;related-urls&gt;&lt;url&gt;https://www.ncbi.nlm.nih.gov/pubmed/17208673&lt;/url&gt;&lt;/related-urls&gt;&lt;/urls&gt;&lt;custom2&gt;PMC1766560&lt;/custom2&gt;&lt;electronic-resource-num&gt;10.1102/1470-7330.2006.0030&lt;/electronic-resource-num&gt;&lt;/record&gt;&lt;/Cite&gt;&lt;/EndNote&gt;</w:instrText>
            </w:r>
            <w:r>
              <w:rPr>
                <w:rStyle w:val="13"/>
                <w:rFonts w:ascii="Book Antiqua" w:hAnsi="Book Antiqua"/>
                <w:color w:val="000000" w:themeColor="text1"/>
                <w:sz w:val="24"/>
                <w:szCs w:val="24"/>
                <w:vertAlign w:val="superscript"/>
                <w14:textFill>
                  <w14:solidFill>
                    <w14:schemeClr w14:val="tx1"/>
                  </w14:solidFill>
                </w14:textFill>
              </w:rPr>
              <w:fldChar w:fldCharType="separate"/>
            </w:r>
            <w:r>
              <w:rPr>
                <w:rStyle w:val="13"/>
                <w:rFonts w:ascii="Book Antiqua" w:hAnsi="Book Antiqua"/>
                <w:color w:val="000000" w:themeColor="text1"/>
                <w:sz w:val="24"/>
                <w:szCs w:val="24"/>
                <w:vertAlign w:val="superscript"/>
                <w14:textFill>
                  <w14:solidFill>
                    <w14:schemeClr w14:val="tx1"/>
                  </w14:solidFill>
                </w14:textFill>
              </w:rPr>
              <w:t>[2</w:t>
            </w:r>
            <w:r>
              <w:rPr>
                <w:rStyle w:val="13"/>
                <w:rFonts w:hint="eastAsia" w:ascii="Book Antiqua" w:hAnsi="Book Antiqua"/>
                <w:color w:val="000000" w:themeColor="text1"/>
                <w:sz w:val="24"/>
                <w:szCs w:val="24"/>
                <w:vertAlign w:val="superscript"/>
                <w:lang w:eastAsia="zh-CN"/>
                <w14:textFill>
                  <w14:solidFill>
                    <w14:schemeClr w14:val="tx1"/>
                  </w14:solidFill>
                </w14:textFill>
              </w:rPr>
              <w:t>4</w:t>
            </w:r>
            <w:r>
              <w:rPr>
                <w:rStyle w:val="13"/>
                <w:rFonts w:ascii="Book Antiqua" w:hAnsi="Book Antiqua"/>
                <w:color w:val="000000" w:themeColor="text1"/>
                <w:sz w:val="24"/>
                <w:szCs w:val="24"/>
                <w:vertAlign w:val="superscript"/>
                <w14:textFill>
                  <w14:solidFill>
                    <w14:schemeClr w14:val="tx1"/>
                  </w14:solidFill>
                </w14:textFill>
              </w:rPr>
              <w:t>]</w:t>
            </w:r>
            <w:r>
              <w:rPr>
                <w:rStyle w:val="13"/>
                <w:rFonts w:ascii="Book Antiqua" w:hAnsi="Book Antiqua"/>
                <w:color w:val="000000" w:themeColor="text1"/>
                <w:sz w:val="24"/>
                <w:szCs w:val="24"/>
                <w:vertAlign w:val="superscript"/>
                <w14:textFill>
                  <w14:solidFill>
                    <w14:schemeClr w14:val="tx1"/>
                  </w14:solidFill>
                </w14:textFill>
              </w:rPr>
              <w:fldChar w:fldCharType="end"/>
            </w:r>
          </w:p>
        </w:tc>
        <w:tc>
          <w:tcPr>
            <w:tcW w:w="840"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Slightly hyperintense</w:t>
            </w:r>
          </w:p>
        </w:tc>
        <w:tc>
          <w:tcPr>
            <w:tcW w:w="867"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Slightly hyperintense</w:t>
            </w:r>
          </w:p>
        </w:tc>
        <w:tc>
          <w:tcPr>
            <w:tcW w:w="619"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NA</w:t>
            </w:r>
          </w:p>
        </w:tc>
        <w:tc>
          <w:tcPr>
            <w:tcW w:w="92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Delayed</w:t>
            </w:r>
          </w:p>
        </w:tc>
        <w:tc>
          <w:tcPr>
            <w:tcW w:w="99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Sickle cell disease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53"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Wong</w:t>
            </w:r>
            <w:r>
              <w:rPr>
                <w:rStyle w:val="13"/>
                <w:rFonts w:hint="eastAsia" w:ascii="Book Antiqua" w:hAnsi="Book Antiqua"/>
                <w:i/>
                <w:color w:val="000000" w:themeColor="text1"/>
                <w:sz w:val="24"/>
                <w:szCs w:val="24"/>
                <w:lang w:eastAsia="zh-CN"/>
                <w14:textFill>
                  <w14:solidFill>
                    <w14:schemeClr w14:val="tx1"/>
                  </w14:solidFill>
                </w14:textFill>
              </w:rPr>
              <w:t xml:space="preserve"> et al</w:t>
            </w:r>
            <w:r>
              <w:rPr>
                <w:rStyle w:val="13"/>
                <w:rFonts w:ascii="Book Antiqua" w:hAnsi="Book Antiqua"/>
                <w:color w:val="000000" w:themeColor="text1"/>
                <w:sz w:val="24"/>
                <w:szCs w:val="24"/>
                <w:vertAlign w:val="superscript"/>
                <w14:textFill>
                  <w14:solidFill>
                    <w14:schemeClr w14:val="tx1"/>
                  </w14:solidFill>
                </w14:textFill>
              </w:rPr>
              <w:fldChar w:fldCharType="begin"/>
            </w:r>
            <w:r>
              <w:rPr>
                <w:rStyle w:val="13"/>
                <w:rFonts w:ascii="Book Antiqua" w:hAnsi="Book Antiqua"/>
                <w:color w:val="000000" w:themeColor="text1"/>
                <w:sz w:val="24"/>
                <w:szCs w:val="24"/>
                <w:vertAlign w:val="superscript"/>
                <w14:textFill>
                  <w14:solidFill>
                    <w14:schemeClr w14:val="tx1"/>
                  </w14:solidFill>
                </w14:textFill>
              </w:rPr>
              <w:instrText xml:space="preserve"> ADDIN EN.CITE &lt;EndNote&gt;&lt;Cite&gt;&lt;Author&gt;Wong&lt;/Author&gt;&lt;Year&gt;1999&lt;/Year&gt;&lt;RecNum&gt;304&lt;/RecNum&gt;&lt;DisplayText&gt;(24)&lt;/DisplayText&gt;&lt;record&gt;&lt;rec-number&gt;304&lt;/rec-number&gt;&lt;foreign-keys&gt;&lt;key app="EN" db-id="9twvs2vfja9psiezat65reayvrsea99svdzv" timestamp="1620100932"&gt;304&lt;/key&gt;&lt;/foreign-keys&gt;&lt;ref-type name="Journal Article"&gt;17&lt;/ref-type&gt;&lt;contributors&gt;&lt;authors&gt;&lt;author&gt;Wong, Y.&lt;/author&gt;&lt;author&gt;Chen, F.&lt;/author&gt;&lt;author&gt;Tai, K. S.&lt;/author&gt;&lt;author&gt;Yip, L. K.&lt;/author&gt;&lt;author&gt;Tsang, K. W.&lt;/author&gt;&lt;author&gt;Chan, F. L.&lt;/author&gt;&lt;author&gt;Ooi, G. C.&lt;/author&gt;&lt;/authors&gt;&lt;/contributors&gt;&lt;auth-address&gt;Department of Diagnostic Radiology, University of Hong Kong, Pokfulam, China.&lt;/auth-address&gt;&lt;titles&gt;&lt;title&gt;Imaging features of focal intrahepatic extramedullary haematopoiesis&lt;/title&gt;&lt;secondary-title&gt;Br J Radiol&lt;/secondary-title&gt;&lt;/titles&gt;&lt;periodical&gt;&lt;full-title&gt;Br J Radiol&lt;/full-title&gt;&lt;/periodical&gt;&lt;pages&gt;906-10&lt;/pages&gt;&lt;volume&gt;72&lt;/volume&gt;&lt;number&gt;861&lt;/number&gt;&lt;edition&gt;2000/01/25&lt;/edition&gt;&lt;keywords&gt;&lt;keyword&gt;Female&lt;/keyword&gt;&lt;keyword&gt;*Hematopoiesis, Extramedullary&lt;/keyword&gt;&lt;keyword&gt;Humans&lt;/keyword&gt;&lt;keyword&gt;Liver/diagnostic imaging/physiopathology&lt;/keyword&gt;&lt;keyword&gt;Middle Aged&lt;/keyword&gt;&lt;keyword&gt;Tomography, X-Ray Computed&lt;/keyword&gt;&lt;keyword&gt;beta-Thalassemia/*physiopathology&lt;/keyword&gt;&lt;/keywords&gt;&lt;dates&gt;&lt;year&gt;1999&lt;/year&gt;&lt;pub-dates&gt;&lt;date&gt;Sep&lt;/date&gt;&lt;/pub-dates&gt;&lt;/dates&gt;&lt;isbn&gt;0007-1285 (Print)&amp;#xD;0007-1285 (Linking)&lt;/isbn&gt;&lt;accession-num&gt;10645201&lt;/accession-num&gt;&lt;urls&gt;&lt;related-urls&gt;&lt;url&gt;https://www.ncbi.nlm.nih.gov/pubmed/10645201&lt;/url&gt;&lt;/related-urls&gt;&lt;/urls&gt;&lt;electronic-resource-num&gt;10.1259/bjr.72.861.10645201&lt;/electronic-resource-num&gt;&lt;/record&gt;&lt;/Cite&gt;&lt;/EndNote&gt;</w:instrText>
            </w:r>
            <w:r>
              <w:rPr>
                <w:rStyle w:val="13"/>
                <w:rFonts w:ascii="Book Antiqua" w:hAnsi="Book Antiqua"/>
                <w:color w:val="000000" w:themeColor="text1"/>
                <w:sz w:val="24"/>
                <w:szCs w:val="24"/>
                <w:vertAlign w:val="superscript"/>
                <w14:textFill>
                  <w14:solidFill>
                    <w14:schemeClr w14:val="tx1"/>
                  </w14:solidFill>
                </w14:textFill>
              </w:rPr>
              <w:fldChar w:fldCharType="separate"/>
            </w:r>
            <w:r>
              <w:rPr>
                <w:rStyle w:val="13"/>
                <w:rFonts w:ascii="Book Antiqua" w:hAnsi="Book Antiqua"/>
                <w:color w:val="000000" w:themeColor="text1"/>
                <w:sz w:val="24"/>
                <w:szCs w:val="24"/>
                <w:vertAlign w:val="superscript"/>
                <w14:textFill>
                  <w14:solidFill>
                    <w14:schemeClr w14:val="tx1"/>
                  </w14:solidFill>
                </w14:textFill>
              </w:rPr>
              <w:t>[</w:t>
            </w:r>
            <w:r>
              <w:rPr>
                <w:rStyle w:val="13"/>
                <w:rFonts w:hint="eastAsia" w:ascii="Book Antiqua" w:hAnsi="Book Antiqua"/>
                <w:color w:val="000000" w:themeColor="text1"/>
                <w:sz w:val="24"/>
                <w:szCs w:val="24"/>
                <w:vertAlign w:val="superscript"/>
                <w:lang w:eastAsia="zh-CN"/>
                <w14:textFill>
                  <w14:solidFill>
                    <w14:schemeClr w14:val="tx1"/>
                  </w14:solidFill>
                </w14:textFill>
              </w:rPr>
              <w:t>17</w:t>
            </w:r>
            <w:r>
              <w:rPr>
                <w:rStyle w:val="13"/>
                <w:rFonts w:ascii="Book Antiqua" w:hAnsi="Book Antiqua"/>
                <w:color w:val="000000" w:themeColor="text1"/>
                <w:sz w:val="24"/>
                <w:szCs w:val="24"/>
                <w:vertAlign w:val="superscript"/>
                <w14:textFill>
                  <w14:solidFill>
                    <w14:schemeClr w14:val="tx1"/>
                  </w14:solidFill>
                </w14:textFill>
              </w:rPr>
              <w:t>]</w:t>
            </w:r>
            <w:r>
              <w:rPr>
                <w:rStyle w:val="13"/>
                <w:rFonts w:ascii="Book Antiqua" w:hAnsi="Book Antiqua"/>
                <w:color w:val="000000" w:themeColor="text1"/>
                <w:sz w:val="24"/>
                <w:szCs w:val="24"/>
                <w:vertAlign w:val="superscript"/>
                <w14:textFill>
                  <w14:solidFill>
                    <w14:schemeClr w14:val="tx1"/>
                  </w14:solidFill>
                </w14:textFill>
              </w:rPr>
              <w:fldChar w:fldCharType="end"/>
            </w:r>
          </w:p>
        </w:tc>
        <w:tc>
          <w:tcPr>
            <w:tcW w:w="840"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Hyperintense</w:t>
            </w:r>
          </w:p>
        </w:tc>
        <w:tc>
          <w:tcPr>
            <w:tcW w:w="867"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Heterogeneous</w:t>
            </w:r>
          </w:p>
        </w:tc>
        <w:tc>
          <w:tcPr>
            <w:tcW w:w="619"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Style w:val="13"/>
                <w:rFonts w:ascii="Book Antiqua" w:hAnsi="Book Antiqua"/>
                <w:color w:val="000000" w:themeColor="text1"/>
                <w:sz w:val="24"/>
                <w:szCs w:val="24"/>
                <w14:textFill>
                  <w14:solidFill>
                    <w14:schemeClr w14:val="tx1"/>
                  </w14:solidFill>
                </w14:textFill>
              </w:rPr>
              <w:t>NA</w:t>
            </w:r>
          </w:p>
        </w:tc>
        <w:tc>
          <w:tcPr>
            <w:tcW w:w="92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Delayed</w:t>
            </w:r>
          </w:p>
        </w:tc>
        <w:tc>
          <w:tcPr>
            <w:tcW w:w="995" w:type="pct"/>
            <w:shd w:val="clear" w:color="auto" w:fill="auto"/>
          </w:tcPr>
          <w:p>
            <w:pPr>
              <w:spacing w:line="360" w:lineRule="auto"/>
              <w:jc w:val="both"/>
              <w:rPr>
                <w:rStyle w:val="13"/>
                <w:rFonts w:ascii="Book Antiqua" w:hAnsi="Book Antiqua"/>
                <w:color w:val="000000" w:themeColor="text1"/>
                <w:sz w:val="24"/>
                <w:szCs w:val="24"/>
                <w14:textFill>
                  <w14:solidFill>
                    <w14:schemeClr w14:val="tx1"/>
                  </w14:solidFill>
                </w14:textFill>
              </w:rPr>
            </w:pPr>
            <w:r>
              <w:rPr>
                <w:rFonts w:ascii="Book Antiqua" w:hAnsi="Book Antiqua"/>
                <w:color w:val="000000" w:themeColor="text1"/>
                <w14:textFill>
                  <w14:solidFill>
                    <w14:schemeClr w14:val="tx1"/>
                  </w14:solidFill>
                </w14:textFill>
              </w:rPr>
              <w:t>β-Thalassemia</w:t>
            </w:r>
          </w:p>
        </w:tc>
      </w:tr>
    </w:tbl>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vertAlign w:val="superscript"/>
          <w14:textFill>
            <w14:solidFill>
              <w14:schemeClr w14:val="tx1"/>
            </w14:solidFill>
          </w14:textFill>
        </w:rPr>
        <w:t>1</w:t>
      </w:r>
      <w:r>
        <w:rPr>
          <w:rFonts w:hint="eastAsia"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valuated by T2</w:t>
      </w:r>
      <w:r>
        <w:rPr>
          <w:rFonts w:ascii="Book Antiqua" w:hAnsi="Book Antiqua"/>
          <w:color w:val="000000" w:themeColor="text1"/>
          <w:vertAlign w:val="superscript"/>
          <w:lang w:eastAsia="zh-CN"/>
          <w14:textFill>
            <w14:solidFill>
              <w14:schemeClr w14:val="tx1"/>
            </w14:solidFill>
          </w14:textFill>
        </w:rPr>
        <w:t>*</w:t>
      </w:r>
      <w:r>
        <w:rPr>
          <w:rFonts w:ascii="Book Antiqua" w:hAnsi="Book Antiqua"/>
          <w:color w:val="000000" w:themeColor="text1"/>
          <w14:textFill>
            <w14:solidFill>
              <w14:schemeClr w14:val="tx1"/>
            </w14:solidFill>
          </w14:textFill>
        </w:rPr>
        <w:t>WI.</w:t>
      </w:r>
      <w:r>
        <w:rPr>
          <w:rFonts w:hint="eastAsia" w:ascii="Book Antiqua" w:hAnsi="Book Antiqua"/>
          <w:color w:val="000000" w:themeColor="text1"/>
          <w:lang w:eastAsia="zh-CN"/>
          <w14:textFill>
            <w14:solidFill>
              <w14:schemeClr w14:val="tx1"/>
            </w14:solidFill>
          </w14:textFill>
        </w:rPr>
        <w:t xml:space="preserve"> </w:t>
      </w:r>
    </w:p>
    <w:p>
      <w:pPr>
        <w:spacing w:line="360" w:lineRule="auto"/>
        <w:jc w:val="both"/>
        <w:rPr>
          <w:rFonts w:hint="eastAsia" w:ascii="Book Antiqua" w:hAnsi="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r>
        <w:rPr>
          <w:rStyle w:val="13"/>
          <w:rFonts w:ascii="Book Antiqua" w:hAnsi="Book Antiqua"/>
          <w:color w:val="000000" w:themeColor="text1"/>
          <w:sz w:val="24"/>
          <w:szCs w:val="24"/>
          <w14:textFill>
            <w14:solidFill>
              <w14:schemeClr w14:val="tx1"/>
            </w14:solidFill>
          </w14:textFill>
        </w:rPr>
        <w:t>WI: Weighted image; NA</w:t>
      </w:r>
      <w:r>
        <w:rPr>
          <w:rFonts w:ascii="Book Antiqua" w:hAnsi="Book Antiqua"/>
          <w:color w:val="000000" w:themeColor="text1"/>
          <w14:textFill>
            <w14:solidFill>
              <w14:schemeClr w14:val="tx1"/>
            </w14:solidFill>
          </w14:textFill>
        </w:rPr>
        <w:t xml:space="preserve">: </w:t>
      </w:r>
      <w:r>
        <w:rPr>
          <w:rFonts w:hint="eastAsia" w:ascii="Book Antiqua" w:hAnsi="Book Antiqua"/>
          <w:color w:val="000000" w:themeColor="text1"/>
          <w:lang w:eastAsia="zh-CN"/>
          <w14:textFill>
            <w14:solidFill>
              <w14:schemeClr w14:val="tx1"/>
            </w14:solidFill>
          </w14:textFill>
        </w:rPr>
        <w:t>N</w:t>
      </w:r>
      <w:r>
        <w:rPr>
          <w:rFonts w:ascii="Book Antiqua" w:hAnsi="Book Antiqua"/>
          <w:color w:val="000000" w:themeColor="text1"/>
          <w14:textFill>
            <w14:solidFill>
              <w14:schemeClr w14:val="tx1"/>
            </w14:solidFill>
          </w14:textFill>
        </w:rPr>
        <w:t>ot performed or evaluated</w:t>
      </w:r>
      <w:r>
        <w:rPr>
          <w:rFonts w:hint="eastAsia" w:ascii="Book Antiqua" w:hAnsi="Book Antiqua"/>
          <w:color w:val="000000" w:themeColor="text1"/>
          <w:lang w:eastAsia="zh-CN"/>
          <w14:textFill>
            <w14:solidFill>
              <w14:schemeClr w14:val="tx1"/>
            </w14:solidFill>
          </w14:textFill>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imbusRomNo9L-Regu">
    <w:altName w:val="Cambria"/>
    <w:panose1 w:val="020B0604020202020204"/>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339803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03EE"/>
    <w:rsid w:val="000441B7"/>
    <w:rsid w:val="00053264"/>
    <w:rsid w:val="000705D9"/>
    <w:rsid w:val="000C6202"/>
    <w:rsid w:val="000C7E52"/>
    <w:rsid w:val="001210BB"/>
    <w:rsid w:val="001242DC"/>
    <w:rsid w:val="00135AF4"/>
    <w:rsid w:val="00151CEC"/>
    <w:rsid w:val="0015265A"/>
    <w:rsid w:val="00153F28"/>
    <w:rsid w:val="00160614"/>
    <w:rsid w:val="00161030"/>
    <w:rsid w:val="00181FE8"/>
    <w:rsid w:val="00183E43"/>
    <w:rsid w:val="001A7FB9"/>
    <w:rsid w:val="001B0056"/>
    <w:rsid w:val="001C5A03"/>
    <w:rsid w:val="001D2F0E"/>
    <w:rsid w:val="001D6C02"/>
    <w:rsid w:val="001D7C7C"/>
    <w:rsid w:val="001E3410"/>
    <w:rsid w:val="001E48AA"/>
    <w:rsid w:val="001F381A"/>
    <w:rsid w:val="002053B5"/>
    <w:rsid w:val="002127D2"/>
    <w:rsid w:val="00217EA0"/>
    <w:rsid w:val="002206DF"/>
    <w:rsid w:val="00223760"/>
    <w:rsid w:val="002304AC"/>
    <w:rsid w:val="00235278"/>
    <w:rsid w:val="00235A4D"/>
    <w:rsid w:val="00250361"/>
    <w:rsid w:val="00255BEB"/>
    <w:rsid w:val="0025665E"/>
    <w:rsid w:val="00287698"/>
    <w:rsid w:val="002907FB"/>
    <w:rsid w:val="002930B3"/>
    <w:rsid w:val="002B1F69"/>
    <w:rsid w:val="002B4EA2"/>
    <w:rsid w:val="002D177B"/>
    <w:rsid w:val="002D2CF6"/>
    <w:rsid w:val="002E116C"/>
    <w:rsid w:val="00316F49"/>
    <w:rsid w:val="003241C8"/>
    <w:rsid w:val="00324A07"/>
    <w:rsid w:val="00342699"/>
    <w:rsid w:val="0034537A"/>
    <w:rsid w:val="00353DF5"/>
    <w:rsid w:val="003572FD"/>
    <w:rsid w:val="003713A0"/>
    <w:rsid w:val="0037339F"/>
    <w:rsid w:val="003A5DD4"/>
    <w:rsid w:val="003C7829"/>
    <w:rsid w:val="003D2D25"/>
    <w:rsid w:val="003D407A"/>
    <w:rsid w:val="003F2CE5"/>
    <w:rsid w:val="003F3385"/>
    <w:rsid w:val="003F6EF8"/>
    <w:rsid w:val="00416158"/>
    <w:rsid w:val="004344DE"/>
    <w:rsid w:val="00453469"/>
    <w:rsid w:val="00463286"/>
    <w:rsid w:val="004645C6"/>
    <w:rsid w:val="00477AB2"/>
    <w:rsid w:val="00491B1F"/>
    <w:rsid w:val="004D0D39"/>
    <w:rsid w:val="004E4D9D"/>
    <w:rsid w:val="004F0D6A"/>
    <w:rsid w:val="004F1D3B"/>
    <w:rsid w:val="004F1E58"/>
    <w:rsid w:val="004F5630"/>
    <w:rsid w:val="0053499F"/>
    <w:rsid w:val="005470A2"/>
    <w:rsid w:val="005534FE"/>
    <w:rsid w:val="005542D8"/>
    <w:rsid w:val="00570AFD"/>
    <w:rsid w:val="00585A4A"/>
    <w:rsid w:val="005A39CE"/>
    <w:rsid w:val="005A3B3F"/>
    <w:rsid w:val="005A65B9"/>
    <w:rsid w:val="005C1B33"/>
    <w:rsid w:val="00601337"/>
    <w:rsid w:val="00616A90"/>
    <w:rsid w:val="00620E73"/>
    <w:rsid w:val="0068076C"/>
    <w:rsid w:val="00687A2E"/>
    <w:rsid w:val="0069092D"/>
    <w:rsid w:val="006A0DF1"/>
    <w:rsid w:val="006A3894"/>
    <w:rsid w:val="006B7636"/>
    <w:rsid w:val="006C5A61"/>
    <w:rsid w:val="006D3B12"/>
    <w:rsid w:val="00701A9D"/>
    <w:rsid w:val="00720598"/>
    <w:rsid w:val="00731789"/>
    <w:rsid w:val="00747D4C"/>
    <w:rsid w:val="00754DC7"/>
    <w:rsid w:val="0075623D"/>
    <w:rsid w:val="0077514C"/>
    <w:rsid w:val="00781F24"/>
    <w:rsid w:val="007A6B1F"/>
    <w:rsid w:val="007B0CD5"/>
    <w:rsid w:val="007B44A2"/>
    <w:rsid w:val="007B695C"/>
    <w:rsid w:val="007D526A"/>
    <w:rsid w:val="007E04A8"/>
    <w:rsid w:val="007E1B2D"/>
    <w:rsid w:val="007E41D2"/>
    <w:rsid w:val="007F6287"/>
    <w:rsid w:val="007F63E8"/>
    <w:rsid w:val="00816C85"/>
    <w:rsid w:val="008178F9"/>
    <w:rsid w:val="008210FF"/>
    <w:rsid w:val="008229BD"/>
    <w:rsid w:val="00861B4C"/>
    <w:rsid w:val="008B45D7"/>
    <w:rsid w:val="008D2BC7"/>
    <w:rsid w:val="008E4607"/>
    <w:rsid w:val="008F5F24"/>
    <w:rsid w:val="009317C3"/>
    <w:rsid w:val="00937DCD"/>
    <w:rsid w:val="00941BB2"/>
    <w:rsid w:val="0096692E"/>
    <w:rsid w:val="00970B0D"/>
    <w:rsid w:val="00972D36"/>
    <w:rsid w:val="0098443B"/>
    <w:rsid w:val="00994E77"/>
    <w:rsid w:val="009A0EEB"/>
    <w:rsid w:val="009B4C46"/>
    <w:rsid w:val="009C7FD0"/>
    <w:rsid w:val="009D42CE"/>
    <w:rsid w:val="009D4567"/>
    <w:rsid w:val="009F3C5C"/>
    <w:rsid w:val="009F742D"/>
    <w:rsid w:val="00A03D25"/>
    <w:rsid w:val="00A040D5"/>
    <w:rsid w:val="00A20268"/>
    <w:rsid w:val="00A2080B"/>
    <w:rsid w:val="00A67A94"/>
    <w:rsid w:val="00A74F87"/>
    <w:rsid w:val="00A77B3E"/>
    <w:rsid w:val="00A92D5E"/>
    <w:rsid w:val="00A970F3"/>
    <w:rsid w:val="00AC5043"/>
    <w:rsid w:val="00AD050F"/>
    <w:rsid w:val="00AE2FBE"/>
    <w:rsid w:val="00AF246C"/>
    <w:rsid w:val="00B31ADC"/>
    <w:rsid w:val="00B405D9"/>
    <w:rsid w:val="00B7644A"/>
    <w:rsid w:val="00B80081"/>
    <w:rsid w:val="00B80596"/>
    <w:rsid w:val="00B906FA"/>
    <w:rsid w:val="00B96185"/>
    <w:rsid w:val="00B96523"/>
    <w:rsid w:val="00BA07C0"/>
    <w:rsid w:val="00BD386D"/>
    <w:rsid w:val="00BE1C99"/>
    <w:rsid w:val="00C03E82"/>
    <w:rsid w:val="00C32EC3"/>
    <w:rsid w:val="00C32F9C"/>
    <w:rsid w:val="00C92D31"/>
    <w:rsid w:val="00CA0FC0"/>
    <w:rsid w:val="00CA1F86"/>
    <w:rsid w:val="00CA2A55"/>
    <w:rsid w:val="00CC24E9"/>
    <w:rsid w:val="00CD758A"/>
    <w:rsid w:val="00CE42B7"/>
    <w:rsid w:val="00D133C3"/>
    <w:rsid w:val="00D2626F"/>
    <w:rsid w:val="00D81CE6"/>
    <w:rsid w:val="00D92E2B"/>
    <w:rsid w:val="00DE3FB0"/>
    <w:rsid w:val="00DE7B17"/>
    <w:rsid w:val="00DF7AEF"/>
    <w:rsid w:val="00E05977"/>
    <w:rsid w:val="00E05CC5"/>
    <w:rsid w:val="00E06D3B"/>
    <w:rsid w:val="00E155F8"/>
    <w:rsid w:val="00E251B0"/>
    <w:rsid w:val="00E319D5"/>
    <w:rsid w:val="00E31D22"/>
    <w:rsid w:val="00E76419"/>
    <w:rsid w:val="00E93EC4"/>
    <w:rsid w:val="00EA40C6"/>
    <w:rsid w:val="00EB4A80"/>
    <w:rsid w:val="00EB65C2"/>
    <w:rsid w:val="00ED0219"/>
    <w:rsid w:val="00EF0CBC"/>
    <w:rsid w:val="00EF3100"/>
    <w:rsid w:val="00EF7FF1"/>
    <w:rsid w:val="00F02C89"/>
    <w:rsid w:val="00F0384F"/>
    <w:rsid w:val="00F213F5"/>
    <w:rsid w:val="00F33741"/>
    <w:rsid w:val="00F44C7B"/>
    <w:rsid w:val="00F5500D"/>
    <w:rsid w:val="00F62B2F"/>
    <w:rsid w:val="00F67C0F"/>
    <w:rsid w:val="00F769B7"/>
    <w:rsid w:val="00F878C9"/>
    <w:rsid w:val="00F9282C"/>
    <w:rsid w:val="00FA0A56"/>
    <w:rsid w:val="00FB6B44"/>
    <w:rsid w:val="00FB6D92"/>
    <w:rsid w:val="00FD2DEF"/>
    <w:rsid w:val="00FE417E"/>
    <w:rsid w:val="00FF7336"/>
    <w:rsid w:val="2C6E725C"/>
    <w:rsid w:val="774F2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rPr>
      <w:sz w:val="20"/>
      <w:szCs w:val="20"/>
    </w:rPr>
  </w:style>
  <w:style w:type="paragraph" w:styleId="3">
    <w:name w:val="Balloon Text"/>
    <w:basedOn w:val="1"/>
    <w:link w:val="12"/>
    <w:qFormat/>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qFormat/>
    <w:uiPriority w:val="0"/>
    <w:rPr>
      <w:b/>
      <w:bCs/>
    </w:rPr>
  </w:style>
  <w:style w:type="character" w:styleId="9">
    <w:name w:val="annotation reference"/>
    <w:basedOn w:val="8"/>
    <w:qFormat/>
    <w:uiPriority w:val="0"/>
    <w:rPr>
      <w:sz w:val="16"/>
      <w:szCs w:val="16"/>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fontstyle01"/>
    <w:basedOn w:val="8"/>
    <w:qFormat/>
    <w:uiPriority w:val="0"/>
    <w:rPr>
      <w:rFonts w:hint="default" w:ascii="NimbusRomNo9L-Regu" w:hAnsi="NimbusRomNo9L-Regu"/>
      <w:color w:val="000000"/>
      <w:sz w:val="20"/>
      <w:szCs w:val="20"/>
    </w:rPr>
  </w:style>
  <w:style w:type="character" w:customStyle="1" w:styleId="14">
    <w:name w:val="批注文字 字符"/>
    <w:basedOn w:val="8"/>
    <w:link w:val="2"/>
    <w:qFormat/>
    <w:uiPriority w:val="0"/>
  </w:style>
  <w:style w:type="character" w:customStyle="1" w:styleId="15">
    <w:name w:val="批注主题 字符"/>
    <w:basedOn w:val="14"/>
    <w:link w:val="6"/>
    <w:qFormat/>
    <w:uiPriority w:val="0"/>
    <w:rPr>
      <w:b/>
      <w:bCs/>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4653</Words>
  <Characters>27340</Characters>
  <Lines>301</Lines>
  <Paragraphs>85</Paragraphs>
  <TotalTime>3</TotalTime>
  <ScaleCrop>false</ScaleCrop>
  <LinksUpToDate>false</LinksUpToDate>
  <CharactersWithSpaces>31812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2022-05-16T08:52:00Z</dcterms:created>
  <dc:creator>joan</dc:creator>
  <cp:lastModifiedBy>晓晨</cp:lastModifiedBy>
  <dcterms:modified xsi:type="dcterms:W3CDTF">2022-06-24T02:00:16Z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13E360D55D9D4A18A8B4E10ACFB99729</vt:lpwstr>
  </property>
</Properties>
</file>