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Pediatrics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74057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bookmarkStart w:id="0" w:name="OLE_LINK5"/>
      <w:bookmarkStart w:id="1" w:name="OLE_LINK6"/>
      <w:r>
        <w:rPr>
          <w:rFonts w:ascii="Book Antiqua" w:hAnsi="Book Antiqua" w:eastAsia="Book Antiqua" w:cs="Book Antiqua"/>
          <w:b/>
          <w:i/>
          <w:color w:val="000000" w:themeColor="text1"/>
          <w14:textFill>
            <w14:solidFill>
              <w14:schemeClr w14:val="tx1"/>
            </w14:solidFill>
          </w14:textFill>
        </w:rPr>
        <w:t>Case Control Study</w:t>
      </w:r>
      <w:bookmarkEnd w:id="0"/>
      <w:bookmarkEnd w:id="1"/>
    </w:p>
    <w:p>
      <w:pPr>
        <w:spacing w:line="360" w:lineRule="auto"/>
        <w:jc w:val="both"/>
        <w:rPr>
          <w:rFonts w:ascii="Book Antiqua" w:hAnsi="Book Antiqua"/>
          <w:color w:val="000000" w:themeColor="text1"/>
          <w14:textFill>
            <w14:solidFill>
              <w14:schemeClr w14:val="tx1"/>
            </w14:solidFill>
          </w14:textFill>
        </w:rPr>
      </w:pPr>
      <w:bookmarkStart w:id="2" w:name="OLE_LINK2"/>
      <w:bookmarkStart w:id="3" w:name="OLE_LINK1"/>
      <w:r>
        <w:rPr>
          <w:rFonts w:ascii="Book Antiqua" w:hAnsi="Book Antiqua" w:eastAsia="Book Antiqua" w:cs="Book Antiqua"/>
          <w:b/>
          <w:bCs/>
          <w:color w:val="000000" w:themeColor="text1"/>
          <w:shd w:val="clear" w:color="auto" w:fill="FFFFFF"/>
          <w14:textFill>
            <w14:solidFill>
              <w14:schemeClr w14:val="tx1"/>
            </w14:solidFill>
          </w14:textFill>
        </w:rPr>
        <w:t xml:space="preserve">Effects of adherence to the </w:t>
      </w:r>
      <w:r>
        <w:rPr>
          <w:rFonts w:ascii="Book Antiqua" w:hAnsi="Book Antiqua" w:eastAsia="Book Antiqua" w:cs="Book Antiqua"/>
          <w:b/>
          <w:bCs/>
          <w:caps/>
          <w:color w:val="000000" w:themeColor="text1"/>
          <w:shd w:val="clear" w:color="auto" w:fill="FFFFFF"/>
          <w14:textFill>
            <w14:solidFill>
              <w14:schemeClr w14:val="tx1"/>
            </w14:solidFill>
          </w14:textFill>
        </w:rPr>
        <w:t>m</w:t>
      </w:r>
      <w:r>
        <w:rPr>
          <w:rFonts w:ascii="Book Antiqua" w:hAnsi="Book Antiqua" w:eastAsia="Book Antiqua" w:cs="Book Antiqua"/>
          <w:b/>
          <w:bCs/>
          <w:color w:val="000000" w:themeColor="text1"/>
          <w:shd w:val="clear" w:color="auto" w:fill="FFFFFF"/>
          <w14:textFill>
            <w14:solidFill>
              <w14:schemeClr w14:val="tx1"/>
            </w14:solidFill>
          </w14:textFill>
        </w:rPr>
        <w:t>editerranean diet in children and adolescents with irritable bowel syndrome</w:t>
      </w:r>
    </w:p>
    <w:bookmarkEnd w:id="2"/>
    <w:bookmarkEnd w:id="3"/>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Al-Biltagi</w:t>
      </w:r>
      <w:r>
        <w:rPr>
          <w:rFonts w:ascii="Book Antiqua" w:hAnsi="Book Antiqua" w:eastAsia="Book Antiqua" w:cs="Book Antiqua"/>
          <w:bCs/>
          <w:color w:val="000000" w:themeColor="text1"/>
          <w:shd w:val="clear" w:color="auto" w:fill="FFFFFF"/>
          <w14:textFill>
            <w14:solidFill>
              <w14:schemeClr w14:val="tx1"/>
            </w14:solidFill>
          </w14:textFill>
        </w:rPr>
        <w:t xml:space="preserve"> </w:t>
      </w:r>
      <w:r>
        <w:rPr>
          <w:rFonts w:ascii="Book Antiqua" w:hAnsi="Book Antiqua" w:cs="Book Antiqua"/>
          <w:bCs/>
          <w:color w:val="000000" w:themeColor="text1"/>
          <w:shd w:val="clear" w:color="auto" w:fill="FFFFFF"/>
          <w:lang w:eastAsia="zh-CN"/>
          <w14:textFill>
            <w14:solidFill>
              <w14:schemeClr w14:val="tx1"/>
            </w14:solidFill>
          </w14:textFill>
        </w:rPr>
        <w:t xml:space="preserve">M </w:t>
      </w:r>
      <w:r>
        <w:rPr>
          <w:rFonts w:ascii="Book Antiqua" w:hAnsi="Book Antiqua" w:cs="Book Antiqua"/>
          <w:bCs/>
          <w:i/>
          <w:color w:val="000000" w:themeColor="text1"/>
          <w:shd w:val="clear" w:color="auto" w:fill="FFFFFF"/>
          <w:lang w:eastAsia="zh-CN"/>
          <w14:textFill>
            <w14:solidFill>
              <w14:schemeClr w14:val="tx1"/>
            </w14:solidFill>
          </w14:textFill>
        </w:rPr>
        <w:t>et al</w:t>
      </w:r>
      <w:r>
        <w:rPr>
          <w:rFonts w:ascii="Book Antiqua" w:hAnsi="Book Antiqua" w:cs="Book Antiqua"/>
          <w:bCs/>
          <w:color w:val="000000" w:themeColor="text1"/>
          <w:shd w:val="clear" w:color="auto" w:fill="FFFFFF"/>
          <w:lang w:eastAsia="zh-CN"/>
          <w14:textFill>
            <w14:solidFill>
              <w14:schemeClr w14:val="tx1"/>
            </w14:solidFill>
          </w14:textFill>
        </w:rPr>
        <w:t xml:space="preserve">. </w:t>
      </w:r>
      <w:r>
        <w:rPr>
          <w:rFonts w:ascii="Book Antiqua" w:hAnsi="Book Antiqua" w:eastAsia="Book Antiqua" w:cs="Book Antiqua"/>
          <w:bCs/>
          <w:color w:val="000000" w:themeColor="text1"/>
          <w:shd w:val="clear" w:color="auto" w:fill="FFFFFF"/>
          <w14:textFill>
            <w14:solidFill>
              <w14:schemeClr w14:val="tx1"/>
            </w14:solidFill>
          </w14:textFill>
        </w:rPr>
        <w:t>Mediterranean diet in children with irritable bowel syndrome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Mohammed Al-Biltagi, Doaa El Amrousy, Heba El Ashry, Sara Maher, Mahmoud A Mohammed, Samir Hasan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Mohammed Al-Biltagi,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University Medical center, King Abdulla Medical City, Arabian Gulf University, Manama 26671, Bahrain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Mohammed Al-Biltagi,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Faculty of Medicine, Tanta University, Tanta 31527, Al Gharbia,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Mohammed Al-Biltagi,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University Medical Center, Dr. Sulaiman Al-Habib Medical Group, Manama 26671, Bahrain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Doaa El Amrousy, Samir Hasan,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Pediatrics, Tanta University, Faculty of Medicine, Tanta 31527, Alghrabia,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Heba El Ashry, </w:t>
      </w:r>
      <w:r>
        <w:rPr>
          <w:rFonts w:ascii="Book Antiqua" w:hAnsi="Book Antiqua" w:eastAsia="Book Antiqua" w:cs="Book Antiqua"/>
          <w:color w:val="000000" w:themeColor="text1"/>
          <w14:textFill>
            <w14:solidFill>
              <w14:schemeClr w14:val="tx1"/>
            </w14:solidFill>
          </w14:textFill>
        </w:rPr>
        <w:t>Department of Tropical Medicine, Faculty of Medicine, Tanta University, Tanta 31527, Alghrabia,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bookmarkStart w:id="4" w:name="OLE_LINK7"/>
      <w:r>
        <w:rPr>
          <w:rFonts w:hint="eastAsia" w:ascii="Book Antiqua" w:hAnsi="Book Antiqua"/>
          <w:b/>
          <w:bCs/>
          <w:color w:val="000000" w:themeColor="text1"/>
          <w14:textFill>
            <w14:solidFill>
              <w14:schemeClr w14:val="tx1"/>
            </w14:solidFill>
          </w14:textFill>
        </w:rPr>
        <w:t>Sara</w:t>
      </w:r>
      <w:bookmarkEnd w:id="4"/>
      <w:r>
        <w:rPr>
          <w:rFonts w:hint="eastAsia" w:ascii="Book Antiqua" w:hAnsi="Book Antiqua"/>
          <w:b/>
          <w:bCs/>
          <w:color w:val="000000" w:themeColor="text1"/>
          <w14:textFill>
            <w14:solidFill>
              <w14:schemeClr w14:val="tx1"/>
            </w14:solidFill>
          </w14:textFill>
        </w:rPr>
        <w:t xml:space="preserve"> Maher,</w:t>
      </w:r>
      <w:r>
        <w:rPr>
          <w:rFonts w:hint="eastAsia" w:ascii="Book Antiqua" w:hAnsi="Book Antiqua"/>
          <w:color w:val="000000" w:themeColor="text1"/>
          <w14:textFill>
            <w14:solidFill>
              <w14:schemeClr w14:val="tx1"/>
            </w14:solidFill>
          </w14:textFill>
        </w:rPr>
        <w:t xml:space="preserve"> </w:t>
      </w:r>
      <w:bookmarkStart w:id="7" w:name="_GoBack"/>
      <w:bookmarkEnd w:id="7"/>
      <w:r>
        <w:rPr>
          <w:rFonts w:hint="eastAsia" w:ascii="Book Antiqua" w:hAnsi="Book Antiqua"/>
          <w:color w:val="000000" w:themeColor="text1"/>
          <w14:textFill>
            <w14:solidFill>
              <w14:schemeClr w14:val="tx1"/>
            </w14:solidFill>
          </w14:textFill>
        </w:rPr>
        <w:t>Department of Immunology, Theodor Bilharz Research Institute, Cairo 12411,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Mahmoud A Mohammed, </w:t>
      </w:r>
      <w:r>
        <w:rPr>
          <w:rFonts w:ascii="Book Antiqua" w:hAnsi="Book Antiqua" w:eastAsia="Book Antiqua" w:cs="Book Antiqua"/>
          <w:color w:val="000000" w:themeColor="text1"/>
          <w14:textFill>
            <w14:solidFill>
              <w14:schemeClr w14:val="tx1"/>
            </w14:solidFill>
          </w14:textFill>
        </w:rPr>
        <w:t>Department of Industrial Pharmacy, Faculty of Pharmacy, Assiut University, Assiut 71515, Egypt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color w:val="000000" w:themeColor="text1"/>
          <w:shd w:val="clear" w:color="auto" w:fill="FFFFFF"/>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Hasan</w:t>
      </w:r>
      <w:r>
        <w:rPr>
          <w:rFonts w:ascii="Book Antiqua" w:hAnsi="Book Antiqua" w:cs="Book Antiqua"/>
          <w:color w:val="000000" w:themeColor="text1"/>
          <w:lang w:eastAsia="zh-CN"/>
          <w14:textFill>
            <w14:solidFill>
              <w14:schemeClr w14:val="tx1"/>
            </w14:solidFill>
          </w14:textFill>
        </w:rPr>
        <w:t xml:space="preserve"> S</w:t>
      </w:r>
      <w:r>
        <w:rPr>
          <w:rFonts w:ascii="Book Antiqua" w:hAnsi="Book Antiqua" w:eastAsia="Book Antiqua" w:cs="Book Antiqua"/>
          <w:color w:val="000000" w:themeColor="text1"/>
          <w14:textFill>
            <w14:solidFill>
              <w14:schemeClr w14:val="tx1"/>
            </w14:solidFill>
          </w14:textFill>
        </w:rPr>
        <w:t>, El-Amrousy</w:t>
      </w:r>
      <w:r>
        <w:rPr>
          <w:rFonts w:ascii="Book Antiqua" w:hAnsi="Book Antiqua" w:cs="Book Antiqua"/>
          <w:color w:val="000000" w:themeColor="text1"/>
          <w:lang w:eastAsia="zh-CN"/>
          <w14:textFill>
            <w14:solidFill>
              <w14:schemeClr w14:val="tx1"/>
            </w14:solidFill>
          </w14:textFill>
        </w:rPr>
        <w:t xml:space="preserve"> D</w:t>
      </w:r>
      <w:r>
        <w:rPr>
          <w:rFonts w:ascii="Book Antiqua" w:hAnsi="Book Antiqua" w:eastAsia="Book Antiqua" w:cs="Book Antiqua"/>
          <w:color w:val="000000" w:themeColor="text1"/>
          <w14:textFill>
            <w14:solidFill>
              <w14:schemeClr w14:val="tx1"/>
            </w14:solidFill>
          </w14:textFill>
        </w:rPr>
        <w:t>, and El-Ashry</w:t>
      </w:r>
      <w:r>
        <w:rPr>
          <w:rFonts w:ascii="Book Antiqua" w:hAnsi="Book Antiqua" w:cs="Book Antiqua"/>
          <w:color w:val="000000" w:themeColor="text1"/>
          <w:lang w:eastAsia="zh-CN"/>
          <w14:textFill>
            <w14:solidFill>
              <w14:schemeClr w14:val="tx1"/>
            </w14:solidFill>
          </w14:textFill>
        </w:rPr>
        <w:t xml:space="preserve"> H</w:t>
      </w:r>
      <w:r>
        <w:rPr>
          <w:rFonts w:ascii="Book Antiqua" w:hAnsi="Book Antiqua" w:eastAsia="Book Antiqua" w:cs="Book Antiqua"/>
          <w:color w:val="000000" w:themeColor="text1"/>
          <w14:textFill>
            <w14:solidFill>
              <w14:schemeClr w14:val="tx1"/>
            </w14:solidFill>
          </w14:textFill>
        </w:rPr>
        <w:t xml:space="preserve"> performed </w:t>
      </w:r>
      <w:r>
        <w:rPr>
          <w:rFonts w:ascii="Book Antiqua" w:hAnsi="Book Antiqua" w:eastAsia="Book Antiqua" w:cs="Book Antiqua"/>
          <w:color w:val="000000" w:themeColor="text1"/>
          <w:shd w:val="clear" w:color="auto" w:fill="FFFFFF"/>
          <w14:textFill>
            <w14:solidFill>
              <w14:schemeClr w14:val="tx1"/>
            </w14:solidFill>
          </w14:textFill>
        </w:rPr>
        <w:t>the clinical part and collected the data</w:t>
      </w:r>
      <w:r>
        <w:rPr>
          <w:rFonts w:ascii="Book Antiqua" w:hAnsi="Book Antiqua" w:cs="Book Antiqua"/>
          <w:color w:val="000000" w:themeColor="text1"/>
          <w:shd w:val="clear" w:color="auto" w:fill="FFFFFF"/>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Maher </w:t>
      </w:r>
      <w:r>
        <w:rPr>
          <w:rFonts w:ascii="Book Antiqua" w:hAnsi="Book Antiqua" w:cs="Book Antiqua"/>
          <w:color w:val="000000" w:themeColor="text1"/>
          <w:lang w:eastAsia="zh-CN"/>
          <w14:textFill>
            <w14:solidFill>
              <w14:schemeClr w14:val="tx1"/>
            </w14:solidFill>
          </w14:textFill>
        </w:rPr>
        <w:t xml:space="preserve">S </w:t>
      </w:r>
      <w:r>
        <w:rPr>
          <w:rFonts w:ascii="Book Antiqua" w:hAnsi="Book Antiqua" w:eastAsia="Book Antiqua" w:cs="Book Antiqua"/>
          <w:color w:val="000000" w:themeColor="text1"/>
          <w14:textFill>
            <w14:solidFill>
              <w14:schemeClr w14:val="tx1"/>
            </w14:solidFill>
          </w14:textFill>
        </w:rPr>
        <w:t>performed the laboratory part</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Mohammed </w:t>
      </w:r>
      <w:r>
        <w:rPr>
          <w:rFonts w:ascii="Book Antiqua" w:hAnsi="Book Antiqua" w:cs="Book Antiqua"/>
          <w:color w:val="000000" w:themeColor="text1"/>
          <w:lang w:eastAsia="zh-CN"/>
          <w14:textFill>
            <w14:solidFill>
              <w14:schemeClr w14:val="tx1"/>
            </w14:solidFill>
          </w14:textFill>
        </w:rPr>
        <w:t xml:space="preserve">MA </w:t>
      </w:r>
      <w:r>
        <w:rPr>
          <w:rFonts w:ascii="Book Antiqua" w:hAnsi="Book Antiqua" w:eastAsia="Book Antiqua" w:cs="Book Antiqua"/>
          <w:color w:val="000000" w:themeColor="text1"/>
          <w14:textFill>
            <w14:solidFill>
              <w14:schemeClr w14:val="tx1"/>
            </w14:solidFill>
          </w14:textFill>
        </w:rPr>
        <w:t>did the statistical analysis</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shd w:val="clear" w:color="auto" w:fill="FFFFFF"/>
          <w14:textFill>
            <w14:solidFill>
              <w14:schemeClr w14:val="tx1"/>
            </w14:solidFill>
          </w14:textFill>
        </w:rPr>
        <w:t xml:space="preserve">Al-Biltagi </w:t>
      </w:r>
      <w:r>
        <w:rPr>
          <w:rFonts w:ascii="Book Antiqua" w:hAnsi="Book Antiqua" w:cs="Book Antiqua"/>
          <w:color w:val="000000" w:themeColor="text1"/>
          <w:shd w:val="clear" w:color="auto" w:fill="FFFFFF"/>
          <w:lang w:eastAsia="zh-CN"/>
          <w14:textFill>
            <w14:solidFill>
              <w14:schemeClr w14:val="tx1"/>
            </w14:solidFill>
          </w14:textFill>
        </w:rPr>
        <w:t xml:space="preserve">M </w:t>
      </w:r>
      <w:r>
        <w:rPr>
          <w:rFonts w:ascii="Book Antiqua" w:hAnsi="Book Antiqua" w:eastAsia="Book Antiqua" w:cs="Book Antiqua"/>
          <w:color w:val="000000" w:themeColor="text1"/>
          <w:shd w:val="clear" w:color="auto" w:fill="FFFFFF"/>
          <w14:textFill>
            <w14:solidFill>
              <w14:schemeClr w14:val="tx1"/>
            </w14:solidFill>
          </w14:textFill>
        </w:rPr>
        <w:t>analyzed the data and wrote the manuscript</w:t>
      </w:r>
      <w:r>
        <w:rPr>
          <w:rFonts w:ascii="Book Antiqua" w:hAnsi="Book Antiqua" w:cs="Book Antiqua"/>
          <w:color w:val="000000" w:themeColor="text1"/>
          <w:shd w:val="clear" w:color="auto" w:fill="FFFFFF"/>
          <w:lang w:eastAsia="zh-CN"/>
          <w14:textFill>
            <w14:solidFill>
              <w14:schemeClr w14:val="tx1"/>
            </w14:solidFill>
          </w14:textFill>
        </w:rPr>
        <w:t>;</w:t>
      </w:r>
      <w:r>
        <w:rPr>
          <w:rFonts w:hint="eastAsia" w:ascii="Book Antiqua" w:hAnsi="Book Antiqua" w:cs="Book Antiqua"/>
          <w:color w:val="000000" w:themeColor="text1"/>
          <w:shd w:val="clear" w:color="auto" w:fill="FFFFFF"/>
          <w:lang w:eastAsia="zh-CN"/>
          <w14:textFill>
            <w14:solidFill>
              <w14:schemeClr w14:val="tx1"/>
            </w14:solidFill>
          </w14:textFill>
        </w:rPr>
        <w:t xml:space="preserve"> and </w:t>
      </w:r>
      <w:r>
        <w:rPr>
          <w:rFonts w:ascii="Book Antiqua" w:hAnsi="Book Antiqua" w:eastAsia="Book Antiqua" w:cs="Book Antiqua"/>
          <w:color w:val="000000" w:themeColor="text1"/>
          <w:shd w:val="clear" w:color="auto" w:fill="FFFFFF"/>
          <w14:textFill>
            <w14:solidFill>
              <w14:schemeClr w14:val="tx1"/>
            </w14:solidFill>
          </w14:textFill>
        </w:rPr>
        <w:t>All the authors revised and agreed on the final version of the manuscript.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Mohammed Al-Biltagi, MBChB, MD, MSc, PhD, Chairman, Professor, </w:t>
      </w:r>
      <w:r>
        <w:rPr>
          <w:rFonts w:ascii="Book Antiqua" w:hAnsi="Book Antiqua" w:eastAsia="Book Antiqua" w:cs="Book Antiqua"/>
          <w:color w:val="000000" w:themeColor="text1"/>
          <w14:textFill>
            <w14:solidFill>
              <w14:schemeClr w14:val="tx1"/>
            </w14:solidFill>
          </w14:textFill>
        </w:rPr>
        <w:t xml:space="preserve">Department of Pediatrics, University Medical center, King Abdulla Medical City, Arabian Gulf University, King Abdulaziz Avenue, Manama 26671, </w:t>
      </w:r>
      <w:bookmarkStart w:id="5" w:name="OLE_LINK3"/>
      <w:bookmarkStart w:id="6" w:name="OLE_LINK4"/>
      <w:r>
        <w:rPr>
          <w:rFonts w:ascii="Book Antiqua" w:hAnsi="Book Antiqua" w:eastAsia="Book Antiqua" w:cs="Book Antiqua"/>
          <w:color w:val="000000" w:themeColor="text1"/>
          <w14:textFill>
            <w14:solidFill>
              <w14:schemeClr w14:val="tx1"/>
            </w14:solidFill>
          </w14:textFill>
        </w:rPr>
        <w:t>Bahrain</w:t>
      </w:r>
      <w:bookmarkEnd w:id="5"/>
      <w:bookmarkEnd w:id="6"/>
      <w:r>
        <w:rPr>
          <w:rFonts w:ascii="Book Antiqua" w:hAnsi="Book Antiqua" w:eastAsia="Book Antiqua" w:cs="Book Antiqua"/>
          <w:color w:val="000000" w:themeColor="text1"/>
          <w14:textFill>
            <w14:solidFill>
              <w14:schemeClr w14:val="tx1"/>
            </w14:solidFill>
          </w14:textFill>
        </w:rPr>
        <w:t>. mbelrem@hotmail.com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December 13,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cs="Book Antiqua"/>
          <w:bCs/>
          <w:color w:val="000000" w:themeColor="text1"/>
          <w:lang w:eastAsia="zh-CN"/>
          <w14:textFill>
            <w14:solidFill>
              <w14:schemeClr w14:val="tx1"/>
            </w14:solidFill>
          </w14:textFill>
        </w:rPr>
        <w:t>March 24, 2022</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Accepted:</w:t>
      </w:r>
      <w:r>
        <w:t xml:space="preserve"> </w:t>
      </w:r>
      <w:r>
        <w:rPr>
          <w:rFonts w:ascii="Book Antiqua" w:hAnsi="Book Antiqua" w:eastAsia="Book Antiqua" w:cs="Book Antiqua"/>
          <w:b w:val="0"/>
          <w:bCs w:val="0"/>
          <w:color w:val="000000" w:themeColor="text1"/>
          <w14:textFill>
            <w14:solidFill>
              <w14:schemeClr w14:val="tx1"/>
            </w14:solidFill>
          </w14:textFill>
        </w:rPr>
        <w:t>April 28, 2022</w:t>
      </w:r>
    </w:p>
    <w:p>
      <w:pPr>
        <w:spacing w:line="360" w:lineRule="auto"/>
        <w:jc w:val="both"/>
        <w:rPr>
          <w:rFonts w:hint="eastAsia" w:ascii="Book Antiqua" w:hAnsi="Book Antiqua" w:eastAsia="宋体"/>
          <w:color w:val="000000" w:themeColor="text1"/>
          <w:lang w:val="en-US"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Published online:</w:t>
      </w:r>
      <w:r>
        <w:rPr>
          <w:rFonts w:hint="eastAsia" w:ascii="Book Antiqua" w:hAnsi="Book Antiqua" w:eastAsia="宋体" w:cs="Book Antiqua"/>
          <w:b/>
          <w:bCs/>
          <w:color w:val="000000" w:themeColor="text1"/>
          <w:lang w:val="en-US" w:eastAsia="zh-CN"/>
          <w14:textFill>
            <w14:solidFill>
              <w14:schemeClr w14:val="tx1"/>
            </w14:solidFill>
          </w14:textFill>
        </w:rPr>
        <w:t xml:space="preserve"> </w:t>
      </w:r>
      <w:r>
        <w:rPr>
          <w:rFonts w:hint="eastAsia" w:ascii="Book Antiqua" w:hAnsi="Book Antiqua"/>
          <w:b w:val="0"/>
          <w:bCs w:val="0"/>
        </w:rPr>
        <w:t>July 9, 2022</w:t>
      </w:r>
    </w:p>
    <w:p>
      <w:pPr>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Irritable bowel syndrome (IBS) is a highly prevalent gastrointestinal disorder in children and adults, which increased over the past twenty years. The Mediterranean diet is a well-known diet full of antioxidants and anti-inflammatory ingredients.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To</w:t>
      </w:r>
      <w:r>
        <w:rPr>
          <w:rFonts w:ascii="Book Antiqua" w:hAnsi="Book Antiqua" w:eastAsia="Book Antiqua" w:cs="Book Antiqua"/>
          <w:color w:val="000000" w:themeColor="text1"/>
          <w14:textFill>
            <w14:solidFill>
              <w14:schemeClr w14:val="tx1"/>
            </w14:solidFill>
          </w14:textFill>
        </w:rPr>
        <w:t xml:space="preserve"> evaluate the safety, tolerability, and effects of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on disease patterns in children and adolescents with IBS.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This prospective, cross-sectional case-controlled study included 100 consecutive IBS patients diagnosed according to Rome IV criteria, aged 12-18 years. Patients were subdivided into two groups (50 patients each); Group I received a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and Group II on their regular diet for six months. Besides IBS scores (IBS-SSS, IBS-QoL, and total score), different clinical and laboratory parameters were evaluated at the start and end of the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was safe and well-tolerated in IBS patients. IBS children and adolescents with good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(KIDMED Score ≥ 8 points); group I showed significant improvement in IBS scores. IBS-SSS in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group was 237.2</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65 at the beginning of the study and decreased to 163.2 ± 33.8 at the end of the study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It did not show a significant improvement in the group with a regular diet (248.3 ± 71.1 at the beginning of the study compared to 228.5 ± 54.3 at the study end with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The mean IBS-SSS in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b/>
          <w:bCs/>
          <w:color w:val="000000" w:themeColor="text1"/>
          <w:shd w:val="clear" w:color="auto" w:fill="FFFFFF"/>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group significantly improved compared with the group with a regular diet.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Mean IBS-QoL in group I improved from 57.3 ± 12.9 at the start of the study to</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72.4 ± 11.2 at the study end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and significantly improved when compared to its level in group II at the study end (59.2 ± 12.7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while group II showed no significant improvement in IBS-QoL at the study end when compared to the beginning of the study (59.2 ± 11.7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&gt;0.05). The mean total IBS score in group I became 28.8 ± 11.2 at the end of our study compared to 24.1 ± 10.4 at the start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and significantly improved when compared to its level in group II at the end of the study (22.1 ± 12.5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while in group II, non-significant improvement in the total score at the end of our study compared to its mean level at the start of the study (22.8 ± 13.5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 xml:space="preserve">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was safe and associated with significant improvement in IBS scores in children and adolescent patients with IBS.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Key</w:t>
      </w:r>
      <w:r>
        <w:rPr>
          <w:rFonts w:ascii="Book Antiqua" w:hAnsi="Book Antiqua" w:cs="Book Antiqua"/>
          <w:b/>
          <w:bCs/>
          <w:color w:val="000000" w:themeColor="text1"/>
          <w:lang w:eastAsia="zh-CN"/>
          <w14:textFill>
            <w14:solidFill>
              <w14:schemeClr w14:val="tx1"/>
            </w14:solidFill>
          </w14:textFill>
        </w:rPr>
        <w:t xml:space="preserve"> </w:t>
      </w:r>
      <w:r>
        <w:rPr>
          <w:rFonts w:ascii="Book Antiqua" w:hAnsi="Book Antiqua" w:eastAsia="Book Antiqua" w:cs="Book Antiqua"/>
          <w:b/>
          <w:bCs/>
          <w:color w:val="000000" w:themeColor="text1"/>
          <w14:textFill>
            <w14:solidFill>
              <w14:schemeClr w14:val="tx1"/>
            </w14:solidFill>
          </w14:textFill>
        </w:rPr>
        <w:t xml:space="preserve">words: </w:t>
      </w:r>
      <w:r>
        <w:rPr>
          <w:rFonts w:ascii="Book Antiqua" w:hAnsi="Book Antiqua" w:eastAsia="Book Antiqua" w:cs="Book Antiqua"/>
          <w:color w:val="000000" w:themeColor="text1"/>
          <w14:textFill>
            <w14:solidFill>
              <w14:schemeClr w14:val="tx1"/>
            </w14:solidFill>
          </w14:textFill>
        </w:rPr>
        <w:t xml:space="preserve">Mediterranean diet; </w:t>
      </w:r>
      <w:r>
        <w:rPr>
          <w:rFonts w:ascii="Book Antiqua" w:hAnsi="Book Antiqua" w:eastAsia="Book Antiqua" w:cs="Book Antiqua"/>
          <w:caps/>
          <w:color w:val="000000" w:themeColor="text1"/>
          <w14:textFill>
            <w14:solidFill>
              <w14:schemeClr w14:val="tx1"/>
            </w14:solidFill>
          </w14:textFill>
        </w:rPr>
        <w:t>i</w:t>
      </w:r>
      <w:r>
        <w:rPr>
          <w:rFonts w:ascii="Book Antiqua" w:hAnsi="Book Antiqua" w:eastAsia="Book Antiqua" w:cs="Book Antiqua"/>
          <w:color w:val="000000" w:themeColor="text1"/>
          <w14:textFill>
            <w14:solidFill>
              <w14:schemeClr w14:val="tx1"/>
            </w14:solidFill>
          </w14:textFill>
        </w:rPr>
        <w:t xml:space="preserve">rritable bowel syndrome; </w:t>
      </w:r>
      <w:r>
        <w:rPr>
          <w:rFonts w:ascii="Book Antiqua" w:hAnsi="Book Antiqua" w:eastAsia="Book Antiqua" w:cs="Book Antiqua"/>
          <w:caps/>
          <w:color w:val="000000" w:themeColor="text1"/>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hildren and adolescents</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afety</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olerability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Al-Biltagi M, El Amrousy D, El Ashry H, Maher S, Mohammed MA, Hasan S. Effects of adherence to the </w:t>
      </w:r>
      <w:r>
        <w:rPr>
          <w:rFonts w:ascii="Book Antiqua" w:hAnsi="Book Antiqua" w:eastAsia="Book Antiqua" w:cs="Book Antiqua"/>
          <w:caps/>
          <w:color w:val="000000" w:themeColor="text1"/>
          <w14:textFill>
            <w14:solidFill>
              <w14:schemeClr w14:val="tx1"/>
            </w14:solidFill>
          </w14:textFill>
        </w:rPr>
        <w:t>m</w:t>
      </w:r>
      <w:r>
        <w:rPr>
          <w:rFonts w:ascii="Book Antiqua" w:hAnsi="Book Antiqua" w:eastAsia="Book Antiqua" w:cs="Book Antiqua"/>
          <w:color w:val="000000" w:themeColor="text1"/>
          <w14:textFill>
            <w14:solidFill>
              <w14:schemeClr w14:val="tx1"/>
            </w14:solidFill>
          </w14:textFill>
        </w:rPr>
        <w:t xml:space="preserve">editerranean diet in children and adolescents with irritable bowel syndrome. </w:t>
      </w:r>
      <w:r>
        <w:rPr>
          <w:rFonts w:ascii="Book Antiqua" w:hAnsi="Book Antiqua" w:eastAsia="Book Antiqua" w:cs="Book Antiqua"/>
          <w:i/>
          <w:iCs/>
          <w:color w:val="000000" w:themeColor="text1"/>
          <w14:textFill>
            <w14:solidFill>
              <w14:schemeClr w14:val="tx1"/>
            </w14:solidFill>
          </w14:textFill>
        </w:rPr>
        <w:t>World J Clin Pediatr</w:t>
      </w:r>
      <w:r>
        <w:rPr>
          <w:rFonts w:ascii="Book Antiqua" w:hAnsi="Book Antiqua" w:eastAsia="Book Antiqua" w:cs="Book Antiqua"/>
          <w:color w:val="000000" w:themeColor="text1"/>
          <w14:textFill>
            <w14:solidFill>
              <w14:schemeClr w14:val="tx1"/>
            </w14:solidFill>
          </w14:textFill>
        </w:rPr>
        <w:t xml:space="preserve"> 2022; </w:t>
      </w:r>
      <w:r>
        <w:rPr>
          <w:rFonts w:hint="eastAsia" w:ascii="Book Antiqua" w:hAnsi="Book Antiqua"/>
        </w:rPr>
        <w:t>11(</w:t>
      </w:r>
      <w:r>
        <w:rPr>
          <w:rFonts w:hint="eastAsia" w:ascii="Book Antiqua" w:hAnsi="Book Antiqua"/>
          <w:lang w:val="en-US" w:eastAsia="zh-CN"/>
        </w:rPr>
        <w:t>4</w:t>
      </w:r>
      <w:r>
        <w:rPr>
          <w:rFonts w:hint="eastAsia" w:ascii="Book Antiqua" w:hAnsi="Book Antiqua"/>
        </w:rPr>
        <w:t xml:space="preserve">): 330-340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https://www.wjgnet.com/2219-2808/full/v11/i</w:t>
      </w:r>
      <w:r>
        <w:rPr>
          <w:rFonts w:hint="eastAsia" w:ascii="Book Antiqua" w:hAnsi="Book Antiqua"/>
          <w:lang w:val="en-US" w:eastAsia="zh-CN"/>
        </w:rPr>
        <w:t>4</w:t>
      </w:r>
      <w:r>
        <w:rPr>
          <w:rFonts w:hint="eastAsia" w:ascii="Book Antiqua" w:hAnsi="Book Antiqua"/>
        </w:rPr>
        <w:t xml:space="preserve">/330.htm </w:t>
      </w:r>
    </w:p>
    <w:p>
      <w:pPr>
        <w:spacing w:line="360" w:lineRule="auto"/>
        <w:jc w:val="both"/>
        <w:rPr>
          <w:rFonts w:ascii="Book Antiqua" w:hAnsi="Book Antiqua"/>
          <w:color w:val="000000" w:themeColor="text1"/>
          <w14:textFill>
            <w14:solidFill>
              <w14:schemeClr w14:val="tx1"/>
            </w14:solidFill>
          </w14:textFill>
        </w:rPr>
      </w:pPr>
      <w:r>
        <w:rPr>
          <w:rFonts w:hint="eastAsia" w:ascii="Book Antiqua" w:hAnsi="Book Antiqua"/>
          <w:b/>
          <w:bCs/>
        </w:rPr>
        <w:t>DOI</w:t>
      </w:r>
      <w:r>
        <w:rPr>
          <w:rFonts w:hint="eastAsia" w:ascii="Book Antiqua" w:hAnsi="Book Antiqua"/>
        </w:rPr>
        <w:t>: https://dx.doi.org/10.5409/wjcp.v11.i</w:t>
      </w:r>
      <w:r>
        <w:rPr>
          <w:rFonts w:hint="eastAsia" w:ascii="Book Antiqua" w:hAnsi="Book Antiqua"/>
          <w:lang w:val="en-US" w:eastAsia="zh-CN"/>
        </w:rPr>
        <w:t>4</w:t>
      </w:r>
      <w:r>
        <w:rPr>
          <w:rFonts w:hint="eastAsia" w:ascii="Book Antiqua" w:hAnsi="Book Antiqua"/>
        </w:rPr>
        <w:t>.330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 xml:space="preserve">Diet is an essential factor in the pathogenesis and management of irritable bowel syndrome (IBS) patients. Studies involving different modalities of diets in IBS are lacking with contradictory results. The Mediterranean diet </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is a well-known balanced diet with anti-inflammatory properties. We prospectively studied 100 pediatric and adolescent patients with IBS, divided into two equal groups: group I received a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and group II had a regular diet for six months. Different clinical and laboratory parameters besides IBS scores were evaluated at the start and end of the study. The current study showed that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is a safe and effective low-cost new strategy in pediatric and adolescent patients with IBS.</w:t>
      </w:r>
    </w:p>
    <w:p>
      <w:pPr>
        <w:spacing w:line="360" w:lineRule="auto"/>
        <w:jc w:val="both"/>
        <w:rPr>
          <w:rFonts w:ascii="Book Antiqua" w:hAnsi="Book Antiqua" w:eastAsia="Book Antiqua" w:cs="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Irritable bowel syndrome (IBS) is one of the highly prevalent gastrointestinal disorders in children and adults, which increased over the past twenty years. It has a significant effect on the lives of affected children and their families and poses a substantial burden on healthcare systems</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It is classified as one of the functional gastrointestinal disorders; characterized by varying degrees of abdominal pain or discomfort, abdominal distension, altered bowel habits, and flatulence, and can be divided into four subtypes; IBS with diarrhea (IBS-D), IBS with constipation (IBS-C), IBS with mixed bowel habits (IBS-M) and IBS unsubtyped (IBS-U)</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IBS pathogenesis is a poorly recognized disorder. Many theories were proposed to explain its pathogenesis</w:t>
      </w:r>
      <w:r>
        <w:rPr>
          <w:rFonts w:ascii="Book Antiqua" w:hAnsi="Book Antiqua" w:eastAsia="Book Antiqua" w:cs="Book Antiqua"/>
          <w:color w:val="000000" w:themeColor="text1"/>
          <w:vertAlign w:val="superscript"/>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It could be related to low-grade inflammation of the bowel mucosa. Dysbiosis with dysregulation of brain-gut axis function and bacterial overgrowth are commonly seen in IBS and are accepted theories that can explain the occurrence of IBS. Immune activation and visceral hypersensitivity are possible pathogenetic mechanisms associated with disturbed gastrointestinal motility</w:t>
      </w:r>
      <w:r>
        <w:rPr>
          <w:rFonts w:ascii="Book Antiqua" w:hAnsi="Book Antiqua" w:eastAsia="Book Antiqua" w:cs="Book Antiqua"/>
          <w:color w:val="000000" w:themeColor="text1"/>
          <w:vertAlign w:val="superscript"/>
          <w14:textFill>
            <w14:solidFill>
              <w14:schemeClr w14:val="tx1"/>
            </w14:solidFill>
          </w14:textFill>
        </w:rPr>
        <w:t>[4,5]</w:t>
      </w:r>
      <w:r>
        <w:rPr>
          <w:rFonts w:ascii="Book Antiqua" w:hAnsi="Book Antiqua" w:eastAsia="Book Antiqua" w:cs="Book Antiqua"/>
          <w:color w:val="000000" w:themeColor="text1"/>
          <w14:textFill>
            <w14:solidFill>
              <w14:schemeClr w14:val="tx1"/>
            </w14:solidFill>
          </w14:textFill>
        </w:rPr>
        <w:t>. A possible mechanism is dysregulated neurotransmitters such as cholecystokinin, vasoactive intestinal peptides, and serotonin with the abnormal gut-brain axis</w:t>
      </w:r>
      <w:r>
        <w:rPr>
          <w:rFonts w:ascii="Book Antiqua" w:hAnsi="Book Antiqua" w:eastAsia="Book Antiqua" w:cs="Book Antiqua"/>
          <w:color w:val="000000" w:themeColor="text1"/>
          <w:vertAlign w:val="superscript"/>
          <w14:textFill>
            <w14:solidFill>
              <w14:schemeClr w14:val="tx1"/>
            </w14:solidFill>
          </w14:textFill>
        </w:rPr>
        <w:t>[6]</w:t>
      </w:r>
      <w:r>
        <w:rPr>
          <w:rFonts w:ascii="Book Antiqua" w:hAnsi="Book Antiqua" w:eastAsia="Book Antiqua" w:cs="Book Antiqua"/>
          <w:color w:val="000000" w:themeColor="text1"/>
          <w14:textFill>
            <w14:solidFill>
              <w14:schemeClr w14:val="tx1"/>
            </w14:solidFill>
          </w14:textFill>
        </w:rPr>
        <w:t>. Moreover, food allergy or vitamin deficiency may play a role</w:t>
      </w:r>
      <w:r>
        <w:rPr>
          <w:rFonts w:ascii="Book Antiqua" w:hAnsi="Book Antiqua" w:eastAsia="Book Antiqua" w:cs="Book Antiqua"/>
          <w:color w:val="000000" w:themeColor="text1"/>
          <w:vertAlign w:val="superscript"/>
          <w14:textFill>
            <w14:solidFill>
              <w14:schemeClr w14:val="tx1"/>
            </w14:solidFill>
          </w14:textFill>
        </w:rPr>
        <w:t>[7,8]</w:t>
      </w:r>
      <w:r>
        <w:rPr>
          <w:rFonts w:ascii="Book Antiqua" w:hAnsi="Book Antiqua" w:eastAsia="Book Antiqua" w:cs="Book Antiqua"/>
          <w:color w:val="000000" w:themeColor="text1"/>
          <w14:textFill>
            <w14:solidFill>
              <w14:schemeClr w14:val="tx1"/>
            </w14:solidFill>
          </w14:textFill>
        </w:rPr>
        <w:t xml:space="preserve">.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few potential therapeutic modalities are available to treat children with IBS, and fewer of them have shown some benefits. Additionally, most of the described pathophysiological mechanisms and treatment choices are adult studies. These have surfaced as challenges when dealing with pediatric IBS, and they need to be overcome for the effective management of children with IBS</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Mediterranean diet is characterized by many vegetables, fruits, bread, and other forms of cereal, rice, beans, and nuts. It also includes virgin olive oil as the principal source of fat, moderate amounts of dairy products (basically cheese and yogurt), moderate amounts of fish, and red meat in low quantities. The value of this dietary model is related to being a balanced and diverse diet that can provide most of the recommended macronutrients in proper proportions. It is characterized by a low content of saturated fatty acids, high monounsaturated fatty acids, high amounts of fiber, complex carbohydrates, and essential antioxidants</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They play a crucial role in preventing cardiovascular and cerebrovascular diseases, diabetes, obesity, neurodegenerative illnesses, and cancer</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Data suggests that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might be beneficial in alleviating the functional gastrointestinal symptoms through increased fiber and antioxidant consumption and a low intake of saturated fats and oligosaccharides</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xml:space="preserve">. However, information about the compliance and efficacy of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in children and adolescents with IBS is lacking. We aimed to study the effects of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on the symptoms of IBS in children and adolescents.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designed the study to evaluate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's tolerability, safety, and potential efficacy in children and adolescent patients with IBS. After explaining the study design, goals, and rights, all patients/caregivers provided written consent or permission. We conducted the study according to the Helsinki Declaration of 1975. This prospective randomized, case-controlled study was carried out in the Pediatric and Gastroenterology departments, Tanta University Hospital, Egypt, between September 2020 and July 2021. We included one hundred consecutive children and adolescents with IBS diagnosed according to Rome IV criteria</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xml:space="preserve">, aged 12-18 years old. We divided the patients into two groups (50 patients each); the group I received a </w:t>
      </w:r>
      <w:r>
        <w:rPr>
          <w:rFonts w:ascii="Book Antiqua" w:hAnsi="Book Antiqua" w:eastAsia="Book Antiqua" w:cs="Book Antiqua"/>
          <w:caps/>
          <w:color w:val="000000" w:themeColor="text1"/>
          <w14:textFill>
            <w14:solidFill>
              <w14:schemeClr w14:val="tx1"/>
            </w14:solidFill>
          </w14:textFill>
        </w:rPr>
        <w:t>m</w:t>
      </w:r>
      <w:r>
        <w:rPr>
          <w:rFonts w:ascii="Book Antiqua" w:hAnsi="Book Antiqua" w:eastAsia="Book Antiqua" w:cs="Book Antiqua"/>
          <w:color w:val="000000" w:themeColor="text1"/>
          <w14:textFill>
            <w14:solidFill>
              <w14:schemeClr w14:val="tx1"/>
            </w14:solidFill>
          </w14:textFill>
        </w:rPr>
        <w:t xml:space="preserve">editerranean diet with good adherence (KIDMED Score ≥ 8 points), and Group II received a regular diet. Allocation to the groups was done using simple randomization. The study was not blind as we need to do patient and family education about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Inclusion criteria</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atients aged 12–18 years were diagnosed with childhood irritable bowel syndrome according to ROME IV criteria</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cs="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Exclusion criteria</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Exclusion criteria</w:t>
      </w:r>
      <w:r>
        <w:rPr>
          <w:rFonts w:ascii="Book Antiqua" w:hAnsi="Book Antiqua" w:cs="Book Antiqua"/>
          <w:color w:val="000000" w:themeColor="text1"/>
          <w:lang w:eastAsia="zh-CN"/>
          <w14:textFill>
            <w14:solidFill>
              <w14:schemeClr w14:val="tx1"/>
            </w14:solidFill>
          </w14:textFill>
        </w:rPr>
        <w:t xml:space="preserve"> include </w:t>
      </w:r>
      <w:r>
        <w:rPr>
          <w:rFonts w:ascii="Book Antiqua" w:hAnsi="Book Antiqua" w:eastAsia="Book Antiqua" w:cs="Book Antiqua"/>
          <w:color w:val="000000" w:themeColor="text1"/>
          <w14:textFill>
            <w14:solidFill>
              <w14:schemeClr w14:val="tx1"/>
            </w14:solidFill>
          </w14:textFill>
        </w:rPr>
        <w:t>recent changes in IBS therapy, gastrointestinal infection, history of gut surgery or radiation, celiac disease, overweight or underweight according to the centile curve</w:t>
      </w:r>
      <w:r>
        <w:rPr>
          <w:rFonts w:ascii="Book Antiqua" w:hAnsi="Book Antiqua" w:eastAsia="Book Antiqua" w:cs="Book Antiqua"/>
          <w:color w:val="000000" w:themeColor="text1"/>
          <w:vertAlign w:val="superscript"/>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chronic diseases such as renal failure or diabetes mellitus, and patients not adherent to the dietary protocol.</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eastAsia="Book Antiqua" w:cs="Book Antiqua"/>
          <w:b/>
          <w:iCs/>
          <w:color w:val="000000" w:themeColor="text1"/>
          <w14:textFill>
            <w14:solidFill>
              <w14:schemeClr w14:val="tx1"/>
            </w14:solidFill>
          </w14:textFill>
        </w:rPr>
        <w:t>Study intervention</w:t>
      </w:r>
      <w:r>
        <w:rPr>
          <w:rFonts w:ascii="Book Antiqua" w:hAnsi="Book Antiqua" w:cs="Book Antiqua"/>
          <w:b/>
          <w:iCs/>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During the study period (6 mo), the patients in group I had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as a sole intervention besides their regular treatment. Patients (and their caregivers) received one-to-one education and counseling by a dietitian trained in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during each visit. Before each visit, patients and their families completed a three</w:t>
      </w:r>
      <w:r>
        <w:rPr>
          <w:rFonts w:ascii="Book Antiqua" w:hAnsi="Book Antiqua" w:cs="Book Antiqua"/>
          <w:color w:val="000000" w:themeColor="text1"/>
          <w:lang w:eastAsia="zh-CN"/>
          <w14:textFill>
            <w14:solidFill>
              <w14:schemeClr w14:val="tx1"/>
            </w14:solidFill>
          </w14:textFill>
        </w:rPr>
        <w:t>-day</w:t>
      </w:r>
      <w:r>
        <w:rPr>
          <w:rFonts w:ascii="Book Antiqua" w:hAnsi="Book Antiqua" w:eastAsia="Book Antiqua" w:cs="Book Antiqua"/>
          <w:color w:val="000000" w:themeColor="text1"/>
          <w14:textFill>
            <w14:solidFill>
              <w14:schemeClr w14:val="tx1"/>
            </w14:solidFill>
          </w14:textFill>
        </w:rPr>
        <w:t xml:space="preserve"> food intake record to help assure compliance with the diet. We closely followed up with the patients with the study team, including the dietitian, research pediatrician, and research gastroenterologist, for questions and problem intervention during the study period.</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All participants had complete history taking, including dietetic history, thorough clinical examination, and anthropometric measurements such as height, weight, and body mass index (BMI). All participants with IBS filled out the IBS symptoms severity score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SSS) questionnaire</w:t>
      </w:r>
      <w:r>
        <w:rPr>
          <w:rFonts w:ascii="Book Antiqua" w:hAnsi="Book Antiqua" w:eastAsia="Book Antiqua" w:cs="Book Antiqua"/>
          <w:color w:val="000000" w:themeColor="text1"/>
          <w:vertAlign w:val="superscript"/>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SSS consists of 5 items (severity and frequency of abdominal pain, bloating, satisfaction with bowel habits, and quality of life) collected by direct interview using the visual analog scale (VAS). We scored each item on a scale from 0–to 100. A score below 75 means that the patient is in remission. The mild, moderate, and severe boundary scores are 75–175, 175–300, and above 300. A decrease in the score of 50 or more was considered a significant improvement. The patients also had an IBS quality of life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QoL) questionnaire</w:t>
      </w:r>
      <w:r>
        <w:rPr>
          <w:rFonts w:ascii="Book Antiqua" w:hAnsi="Book Antiqua" w:eastAsia="Book Antiqua" w:cs="Book Antiqua"/>
          <w:color w:val="000000" w:themeColor="text1"/>
          <w:vertAlign w:val="superscript"/>
          <w14:textFill>
            <w14:solidFill>
              <w14:schemeClr w14:val="tx1"/>
            </w14:solidFill>
          </w14:textFill>
        </w:rPr>
        <w:t>[18]</w:t>
      </w:r>
      <w:r>
        <w:rPr>
          <w:rFonts w:ascii="Book Antiqua" w:hAnsi="Book Antiqua" w:eastAsia="Book Antiqua" w:cs="Book Antiqua"/>
          <w:color w:val="000000" w:themeColor="text1"/>
          <w14:textFill>
            <w14:solidFill>
              <w14:schemeClr w14:val="tx1"/>
            </w14:solidFill>
          </w14:textFill>
        </w:rPr>
        <w:t>. Effectiveness, reliability, and sensitivity of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SSS to treatment are verified by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QoL, which has 34 items, using a 5-choice scale (0–4). We transformed the summed total score to a 100-scale ranging from 0 (lowest) to 100 (highest). A total score of IBS measured by a VAS of 100 scales is used to evaluate the real IBS symptoms' impact on the quality of life, which was done at the same frequency as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SSS and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 xml:space="preserve">QoL scores. </w:t>
      </w:r>
    </w:p>
    <w:p>
      <w:pPr>
        <w:spacing w:line="360" w:lineRule="auto"/>
        <w:ind w:firstLine="240" w:firstLineChars="100"/>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patients also had routine laboratory investigations such as complete blood count (CBC), erythrocyte sedimentation rate (ESR), serum calcium, random blood sugar, renal and hepatic functions, serum proteins, urine, and stool analysis. Fecal calprotectin was measured, and fecal blood in the stool was done in all included patients to exclude patients with inflammatory bowel disease. Follow-up visits were done at one, three, and six months. All IBS scores, laboratory parameters, and growth parameters (body weight, height, and BMI) were repeated at the end of our study.</w:t>
      </w:r>
    </w:p>
    <w:p>
      <w:pPr>
        <w:spacing w:line="360" w:lineRule="auto"/>
        <w:ind w:firstLine="240" w:firstLineChars="100"/>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eastAsia="Book Antiqua" w:cs="Book Antiqua"/>
          <w:b/>
          <w:iCs/>
          <w:color w:val="000000" w:themeColor="text1"/>
          <w14:textFill>
            <w14:solidFill>
              <w14:schemeClr w14:val="tx1"/>
            </w14:solidFill>
          </w14:textFill>
        </w:rPr>
        <w:t>KIDMED test</w:t>
      </w:r>
      <w:r>
        <w:rPr>
          <w:rFonts w:ascii="Book Antiqua" w:hAnsi="Book Antiqua" w:cs="Book Antiqua"/>
          <w:b/>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quality index for children and teenagers (KIDMED test) is an instrument developed and validated by Serra-Majem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xml:space="preserve">. It is used to evaluate the adherence of children and youths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The index ranges from 0 to 12. It is based on a 16-questions test that can be self-administered or conducted by interview (pediatrician, dietitian, </w:t>
      </w:r>
      <w:r>
        <w:rPr>
          <w:rFonts w:ascii="Book Antiqua" w:hAnsi="Book Antiqua" w:eastAsia="Book Antiqua" w:cs="Book Antiqua"/>
          <w:i/>
          <w:iCs/>
          <w:color w:val="000000" w:themeColor="text1"/>
          <w14:textFill>
            <w14:solidFill>
              <w14:schemeClr w14:val="tx1"/>
            </w14:solidFill>
          </w14:textFill>
        </w:rPr>
        <w:t>etc.</w:t>
      </w:r>
      <w:r>
        <w:rPr>
          <w:rFonts w:ascii="Book Antiqua" w:hAnsi="Book Antiqua" w:eastAsia="Book Antiqua" w:cs="Book Antiqua"/>
          <w:color w:val="000000" w:themeColor="text1"/>
          <w14:textFill>
            <w14:solidFill>
              <w14:schemeClr w14:val="tx1"/>
            </w14:solidFill>
          </w14:textFill>
        </w:rPr>
        <w:t xml:space="preserve">). Questions indicating a negative association concerning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are assigned a value of -1, and those with a positive aspect are given a value of +1. The total values from the processed test are categorized into three degrees: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1) ≥ 8, optimal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2) 4–7, adherence improvement is needed to adjust intake to Mediterranean patterns; </w:t>
      </w:r>
      <w:r>
        <w:rPr>
          <w:rFonts w:ascii="Book Antiqua" w:hAnsi="Book Antiqua" w:cs="Book Antiqua"/>
          <w:color w:val="000000" w:themeColor="text1"/>
          <w:lang w:eastAsia="zh-CN"/>
          <w14:textFill>
            <w14:solidFill>
              <w14:schemeClr w14:val="tx1"/>
            </w14:solidFill>
          </w14:textFill>
        </w:rPr>
        <w:t>and (</w:t>
      </w:r>
      <w:r>
        <w:rPr>
          <w:rFonts w:ascii="Book Antiqua" w:hAnsi="Book Antiqua" w:eastAsia="Book Antiqua" w:cs="Book Antiqua"/>
          <w:color w:val="000000" w:themeColor="text1"/>
          <w14:textFill>
            <w14:solidFill>
              <w14:schemeClr w14:val="tx1"/>
            </w14:solidFill>
          </w14:textFill>
        </w:rPr>
        <w:t>3)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3, poor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primary outcome of the current study was to assess the effects of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for six months on the IBS symptoms and severity score. The secondary outcome was to evaluate the safety and tolerability of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in children and adolescents with IBS.</w:t>
      </w:r>
    </w:p>
    <w:p>
      <w:pPr>
        <w:spacing w:line="360" w:lineRule="auto"/>
        <w:ind w:firstLine="240" w:firstLineChars="100"/>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Ethical considerations</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clinical study was conducted following the principles of the Declaration of Helsinki. At the beginning of the study, all subjects (and caregivers) were fully informed about the study objectives and their rights. They signed a written informed consent to participate in the study. The local Ethical Committee approved the study. The study is registered with the registration number PACTR202008711997928. All authors had access to the study data and have reviewed and approved this final manuscript.</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Statistical analysis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sample size of 45 IBS patients in each group was required to achieve a power of more than 80 to detect a difference of 60 in the mean of the primary outcome point (IBS</w:t>
      </w:r>
      <w:r>
        <w:rPr>
          <w:rFonts w:ascii="Book Antiqua" w:hAnsi="Book Antiqua" w:eastAsia="Book Antiqua" w:cs="Book Antiqua"/>
          <w:color w:val="000000" w:themeColor="text1"/>
          <w14:textFill>
            <w14:solidFill>
              <w14:schemeClr w14:val="tx1"/>
            </w14:solidFill>
          </w14:textFill>
        </w:rPr>
        <w:noBreakHyphen/>
      </w:r>
      <w:r>
        <w:rPr>
          <w:rFonts w:ascii="Book Antiqua" w:hAnsi="Book Antiqua" w:eastAsia="Book Antiqua" w:cs="Book Antiqua"/>
          <w:color w:val="000000" w:themeColor="text1"/>
          <w14:textFill>
            <w14:solidFill>
              <w14:schemeClr w14:val="tx1"/>
            </w14:solidFill>
          </w14:textFill>
        </w:rPr>
        <w:t>SSS) based on a previous study</w:t>
      </w:r>
      <w:r>
        <w:rPr>
          <w:rFonts w:ascii="Book Antiqua" w:hAnsi="Book Antiqua" w:eastAsia="Book Antiqua" w:cs="Book Antiqua"/>
          <w:color w:val="000000" w:themeColor="text1"/>
          <w:vertAlign w:val="superscript"/>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xml:space="preserve">. We recruited more than the estimated sample size, expecting a possible lack of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or withdrawal from the study, undermining our results. We collected and analyzed the data using SPSS version 17 (SPSS Inc., Chicago, IL</w:t>
      </w:r>
      <w:r>
        <w:rPr>
          <w:rFonts w:ascii="Book Antiqua" w:hAnsi="Book Antiqua" w:cs="Book Antiqua"/>
          <w:color w:val="000000" w:themeColor="text1"/>
          <w:lang w:eastAsia="zh-CN"/>
          <w14:textFill>
            <w14:solidFill>
              <w14:schemeClr w14:val="tx1"/>
            </w14:solidFill>
          </w14:textFill>
        </w:rPr>
        <w:t>, United States</w:t>
      </w:r>
      <w:r>
        <w:rPr>
          <w:rFonts w:ascii="Book Antiqua" w:hAnsi="Book Antiqua" w:eastAsia="Book Antiqua" w:cs="Book Antiqua"/>
          <w:color w:val="000000" w:themeColor="text1"/>
          <w14:textFill>
            <w14:solidFill>
              <w14:schemeClr w14:val="tx1"/>
            </w14:solidFill>
          </w14:textFill>
        </w:rPr>
        <w:t xml:space="preserve">). We expressed the continuous data as mean ± </w:t>
      </w:r>
      <w:r>
        <w:rPr>
          <w:rFonts w:ascii="Book Antiqua" w:hAnsi="Book Antiqua" w:eastAsia="Book Antiqua" w:cs="Book Antiqua"/>
          <w:caps/>
          <w:color w:val="000000" w:themeColor="text1"/>
          <w14:textFill>
            <w14:solidFill>
              <w14:schemeClr w14:val="tx1"/>
            </w14:solidFill>
          </w14:textFill>
        </w:rPr>
        <w:t>s</w:t>
      </w:r>
      <w:r>
        <w:rPr>
          <w:rFonts w:hint="eastAsia" w:ascii="Book Antiqua" w:hAnsi="Book Antiqua" w:cs="Book Antiqua"/>
          <w:color w:val="000000" w:themeColor="text1"/>
          <w:lang w:eastAsia="zh-CN"/>
          <w14:textFill>
            <w14:solidFill>
              <w14:schemeClr w14:val="tx1"/>
            </w14:solidFill>
          </w14:textFill>
        </w:rPr>
        <w:t>D</w:t>
      </w:r>
      <w:r>
        <w:rPr>
          <w:rFonts w:ascii="Book Antiqua" w:hAnsi="Book Antiqua" w:eastAsia="Book Antiqua" w:cs="Book Antiqua"/>
          <w:color w:val="000000" w:themeColor="text1"/>
          <w14:textFill>
            <w14:solidFill>
              <w14:schemeClr w14:val="tx1"/>
            </w14:solidFill>
          </w14:textFill>
        </w:rPr>
        <w:t xml:space="preserve">. We used the paired </w:t>
      </w:r>
      <w:r>
        <w:rPr>
          <w:rFonts w:ascii="Book Antiqua" w:hAnsi="Book Antiqua" w:eastAsia="Book Antiqua" w:cs="Book Antiqua"/>
          <w:i/>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-test to compare the same group before and after treatment. An independent </w:t>
      </w:r>
      <w:r>
        <w:rPr>
          <w:rFonts w:ascii="Book Antiqua" w:hAnsi="Book Antiqua" w:eastAsia="Book Antiqua" w:cs="Book Antiqua"/>
          <w:i/>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-test was used for comparison between group 1 and group 2. </w:t>
      </w:r>
      <w:r>
        <w:rPr>
          <w:rFonts w:ascii="Book Antiqua" w:hAnsi="Book Antiqua" w:eastAsia="Book Antiqua" w:cs="Book Antiqua"/>
          <w:caps/>
          <w:color w:val="000000" w:themeColor="text1"/>
          <w14:textFill>
            <w14:solidFill>
              <w14:schemeClr w14:val="tx1"/>
            </w14:solidFill>
          </w14:textFill>
        </w:rPr>
        <w:t>w</w:t>
      </w:r>
      <w:r>
        <w:rPr>
          <w:rFonts w:ascii="Book Antiqua" w:hAnsi="Book Antiqua" w:eastAsia="Book Antiqua" w:cs="Book Antiqua"/>
          <w:color w:val="000000" w:themeColor="text1"/>
          <w14:textFill>
            <w14:solidFill>
              <w14:schemeClr w14:val="tx1"/>
            </w14:solidFill>
          </w14:textFill>
        </w:rPr>
        <w:t xml:space="preserve">e expressed the categorical variables as numbers and percentages and analyzed them using the Chi-square test. We used the Pearson correlation to evaluate the correlation between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with IBS scores. The statistical significance was defined as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included 100 children and adolescent patients with IBS aged 12-18 years; divided into two groups included 50 patients. Group-I had 27 males and 23 females with a mean age of 15.5 ± 1.8 years, and group II had 26 males and 24 females with a mean age of 15.2 ± 1.5 years. Before the study, the average duration of IBS symptoms was 34.4</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 9.1 mo in group I and 35.3 ± 9.8 mo in group II. We illustrated the demographic, growth parameters, clinical subtypes, IBS severity, treatment drugs, and IBS scores in both groups in </w:t>
      </w:r>
      <w:r>
        <w:rPr>
          <w:rFonts w:ascii="Book Antiqua" w:hAnsi="Book Antiqua" w:eastAsia="Book Antiqua" w:cs="Book Antiqua"/>
          <w:cap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able </w:t>
      </w:r>
      <w:r>
        <w:rPr>
          <w:rFonts w:hint="eastAsia" w:ascii="Book Antiqua" w:hAnsi="Book Antiqua" w:cs="Book Antiqua"/>
          <w:color w:val="000000" w:themeColor="text1"/>
          <w:lang w:eastAsia="zh-CN"/>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We found no significant differences between the two groups in all measured parameters at the start of our study.</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Basic laboratory data in all patients done at start of our study</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ap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able </w:t>
      </w:r>
      <w:r>
        <w:rPr>
          <w:rFonts w:hint="eastAsia" w:ascii="Book Antiqua" w:hAnsi="Book Antiqua" w:cs="Book Antiqua"/>
          <w:color w:val="000000" w:themeColor="text1"/>
          <w:lang w:eastAsia="zh-CN"/>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with non-significant differences between both groups regarding serum albumin(4.1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0.9 g/dL in Group-I and 4.3</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 0.88 in Group-II with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0.93) ,serum triglycerides(120.7 ± 45.6 mg/dL in Group I and 112.9 ± 49.4 in Group-II with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0.44), serum cholesterol (154.0 ± 36.6 mg/dL in Group I and 163.6 ± 44.1 in Group II with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0.35),random blood glucose level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(86.20 ± 20.20 mg/dL in Group I and 85.7 ± 9.70 in Group II with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0.91),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hemoglobin level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(13.10 ± 1.60 g/dL in Group-I and 13.6 ± 1.80 in Group II with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0.47).</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Fecal calprotectin was normal in both groups</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(12 ± 9.10 μg/g in group I and 11 ± 8.80 in Group II with p 0.52), and it was done to exclude patients with inflammatory bowel disease.</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was well tolerated in IBS patients. Only three patients could not tolerate it and were withdrawn from the study (one after one month and two patients after three months, replaced by other patients; Figure 1). No adverse events regarding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were reported as reflected by non-significant changes in growth parameters (height, weight, and BMI), laboratory parameters (serum albumin, triglycerides, cholesterol, glucose, and hemoglobin levels) at the end of our study when compared to the same parameters at the start of the research and when compared to group-II at the end of our study (Table </w:t>
      </w:r>
      <w:r>
        <w:rPr>
          <w:rFonts w:hint="eastAsia" w:ascii="Book Antiqua" w:hAnsi="Book Antiqua" w:cs="Book Antiqua"/>
          <w:color w:val="000000" w:themeColor="text1"/>
          <w:lang w:eastAsia="zh-CN"/>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xml:space="preserve">). At the end of our research, there was a significant improvement in all IBS scores in IBS patients who received a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(group I) compared to such scores at the start of the study and when compared to group II at the end of the study (Table </w:t>
      </w:r>
      <w:r>
        <w:rPr>
          <w:rFonts w:hint="eastAsia" w:ascii="Book Antiqua" w:hAnsi="Book Antiqua" w:cs="Book Antiqua"/>
          <w:color w:val="000000" w:themeColor="text1"/>
          <w:lang w:eastAsia="zh-CN"/>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The mean IBS-SSS in group-I became 163.20 ± 33.80 at the study end compared to 237.20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65 at the start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with significant improvement when compared to group-II at the study end (228.50 ± 54.30)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while in group-II, there was no substantial improvement in IBS-SSS at the study end compared to its mean level at the start of the study</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(228.50 ± 54.30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248.30 ± 71.10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0.29). Mean IBS-QoL in group-I became 72.40 ± 11.20 at the end of our study compared to 57.30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12.90 at the start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and significantly improved when compared to its level in group II at the end of the study (59.20 ± 12.70)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while in group II, non-significant improvement in IBS-QoL at the end of our study compared to its mean level at the start of the study (59.20 ± 12.70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59.10 ± 11.70 with </w:t>
      </w:r>
      <w:r>
        <w:rPr>
          <w:rFonts w:ascii="Book Antiqua" w:hAnsi="Book Antiqua" w:eastAsia="Book Antiqua" w:cs="Book Antiqua"/>
          <w:i/>
          <w:caps/>
          <w:color w:val="000000" w:themeColor="text1"/>
          <w14:textFill>
            <w14:solidFill>
              <w14:schemeClr w14:val="tx1"/>
            </w14:solidFill>
          </w14:textFill>
        </w:rPr>
        <w:t xml:space="preserve">p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0.77). The mean total score in group I became 28.80 ± 11.20 at the end of our study compared to 24.10 ± 10.40 at the start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0.02) and significantly improved when compared to its level in group II at the end of the study (22.10 ± 12.50) with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0.03, while in group II, non-significant improvement in the total score at the end of our study compared to its mean level at the start of the study (22.10 ± 12.50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22.80 ± 13.50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0.94). These changes reflect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's positive impact on the symptoms and lifestyle of IBS children and adolescents.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What should we eat? This question is one of the most frequently asked questions by patients with IBS and their caregivers. Many patients also seek dietary guidelines because the diet is considered safer than medical therapies. Treating IBS symptoms by modifying the patient's diet has been one of the most desirable therapeutic strategies for a long time. Unfortunately, the scarcity of high-quality evidence supporting a specific dietary intervention resulted in the unnecessary exclusion of diets despite lacking evidence of efficacy and safety, especially in pediatric age groups</w:t>
      </w:r>
      <w:r>
        <w:rPr>
          <w:rFonts w:ascii="Book Antiqua" w:hAnsi="Book Antiqua" w:eastAsia="Book Antiqua" w:cs="Book Antiqua"/>
          <w:color w:val="000000" w:themeColor="text1"/>
          <w:vertAlign w:val="superscript"/>
          <w14:textFill>
            <w14:solidFill>
              <w14:schemeClr w14:val="tx1"/>
            </w14:solidFill>
          </w14:textFill>
        </w:rPr>
        <w:t>[22]</w:t>
      </w:r>
      <w:r>
        <w:rPr>
          <w:rFonts w:ascii="Book Antiqua" w:hAnsi="Book Antiqua" w:eastAsia="Book Antiqua" w:cs="Book Antiqua"/>
          <w:color w:val="000000" w:themeColor="text1"/>
          <w14:textFill>
            <w14:solidFill>
              <w14:schemeClr w14:val="tx1"/>
            </w14:solidFill>
          </w14:textFill>
        </w:rPr>
        <w:t xml:space="preserve">. The current study found that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was safe and well-tolerated in IBS patients. Compared to the control group, good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resulted in significant improvement in IBS scores and IBS-QoL and total IBS scores. Many previous studies on children and adolescents showed a negative correlation between compliance with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and the development of various diverse pathological conditions, such as obesity, asthma, and recurrent cold</w:t>
      </w:r>
      <w:r>
        <w:rPr>
          <w:rFonts w:ascii="Book Antiqua" w:hAnsi="Book Antiqua" w:eastAsia="Book Antiqua" w:cs="Book Antiqua"/>
          <w:color w:val="000000" w:themeColor="text1"/>
          <w:vertAlign w:val="superscript"/>
          <w14:textFill>
            <w14:solidFill>
              <w14:schemeClr w14:val="tx1"/>
            </w14:solidFill>
          </w14:textFill>
        </w:rPr>
        <w:t>[23</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Considering the potential association of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with the development of functional gastrointestinal disorders (FGIDs), much data from the adult population supports the beneficial effect of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on preventing the development of or lessening the gastrointestinal (GI) symptoms in patients with GI disorders, both functional (IBS, functional dyspepsia, gastroesophageal reflux) or organic (inflammatory bowel disease)</w:t>
      </w:r>
      <w:r>
        <w:rPr>
          <w:rFonts w:ascii="Book Antiqua" w:hAnsi="Book Antiqua" w:eastAsia="Book Antiqua" w:cs="Book Antiqua"/>
          <w:color w:val="000000" w:themeColor="text1"/>
          <w:vertAlign w:val="superscript"/>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xml:space="preserve">. Elmaliklis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[26]</w:t>
      </w:r>
      <w:r>
        <w:rPr>
          <w:rFonts w:ascii="Book Antiqua" w:hAnsi="Book Antiqua" w:eastAsia="Book Antiqua" w:cs="Book Antiqua"/>
          <w:color w:val="000000" w:themeColor="text1"/>
          <w14:textFill>
            <w14:solidFill>
              <w14:schemeClr w14:val="tx1"/>
            </w14:solidFill>
          </w14:textFill>
        </w:rPr>
        <w:t xml:space="preserve"> showed that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(including functional foods containing probiotics, prebiotics, antioxidants, fiber, vitamins, minerals) was significantly lower in adult patients with various gastrointestinal disorders such as IBS, Crohn's disease, ulcerative colitis, and gastroesophageal reflux than in controls.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Another Southern Italian study by Zito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xml:space="preserve"> investigated the association between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and the onset of symptoms in adults with functional dyspepsia or IBS. They demonstrated a negative correlation between compliance with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and the development of gastrointestinal symptoms. They concluded that good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could prevent the development of gastrointestinal symptoms in adults. Moreover, they showed that patients with functional dyspepsia and IBS between 17 and 24 years had significantly poorer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adherence than the age-matched controls. Interestingly, Strisciuglio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[28]</w:t>
      </w:r>
      <w:r>
        <w:rPr>
          <w:rFonts w:ascii="Book Antiqua" w:hAnsi="Book Antiqua" w:eastAsia="Book Antiqua" w:cs="Book Antiqua"/>
          <w:color w:val="000000" w:themeColor="text1"/>
          <w14:textFill>
            <w14:solidFill>
              <w14:schemeClr w14:val="tx1"/>
            </w14:solidFill>
          </w14:textFill>
        </w:rPr>
        <w:t xml:space="preserve"> studied the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in children and adolescents suffering from inflammatory bowel disease with an age-matched population with FGIDs (gastroesophageal reflux and functional constipation). It was found that children/adolescents with inflammatory bowel syndrome had poorer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than those with FGIDs. However, there is no data on the association of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adherence with the prevalence of FGIDs in children and adolescents.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the current study,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was well tolerated in IBS patients; only three patients could not tolerate it and were withdrawn from the study (one after one month, two patients after three months, and replaced by other patients). No adverse events regarding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were reported as reflected by non-significant changes in growth parameters (height, weight, and BMI), laboratory parameters (serum albumin, triglycerides, cholesterol, glucose, and hemoglobin levels) at the end of our study when compared to the same parameters at the start of the research and when compared to group II at the end of our study.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Our study found positive effects of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in children and adolescents with IBS, with significant improvements in all IBS scores compared to the patients on the regular diet. These effects may be due to the specific components of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which is characterized by a high intake of plant-based foods (vegetables, legumes, fruits, nuts, whole grain cereals), olive oil as the primary fat source, moderate amounts of dairy products (yogurt and cheese), and low or moderate cuts of fish and meat, with well-known antioxidant and anti-inflammatory properties</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Regular consumption of such products induces an accumulation of nitrate/nitrite/NO, polyunsaturated fatty acids (PUFA), and polyphenolic compounds, such as resveratrol, in the human body</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The most important dietary sources of NO</w:t>
      </w:r>
      <w:r>
        <w:rPr>
          <w:rFonts w:ascii="Book Antiqua" w:hAnsi="Book Antiqua" w:eastAsia="Book Antiqua" w:cs="Book Antiqua"/>
          <w:color w:val="000000" w:themeColor="text1"/>
          <w:vertAlign w:val="subscript"/>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for the human body include green vegetables such as spinach, lettuce, collard greens and radishes, beets, and meat. At the organ level, NO</w:t>
      </w:r>
      <w:r>
        <w:rPr>
          <w:rFonts w:ascii="Book Antiqua" w:hAnsi="Book Antiqua" w:eastAsia="Book Antiqua" w:cs="Book Antiqua"/>
          <w:color w:val="000000" w:themeColor="text1"/>
          <w:vertAlign w:val="sub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−-dependent vasorelaxation plays a role in hypoxic blood flow regulation and improves tissue microcirculation</w:t>
      </w:r>
      <w:r>
        <w:rPr>
          <w:rFonts w:ascii="Book Antiqua" w:hAnsi="Book Antiqua" w:eastAsia="Book Antiqua" w:cs="Book Antiqua"/>
          <w:color w:val="000000" w:themeColor="text1"/>
          <w:vertAlign w:val="superscript"/>
          <w14:textFill>
            <w14:solidFill>
              <w14:schemeClr w14:val="tx1"/>
            </w14:solidFill>
          </w14:textFill>
        </w:rPr>
        <w:t>[29,30]</w:t>
      </w:r>
      <w:r>
        <w:rPr>
          <w:rFonts w:ascii="Book Antiqua" w:hAnsi="Book Antiqua" w:eastAsia="Book Antiqua" w:cs="Book Antiqua"/>
          <w:color w:val="000000" w:themeColor="text1"/>
          <w14:textFill>
            <w14:solidFill>
              <w14:schemeClr w14:val="tx1"/>
            </w14:solidFill>
          </w14:textFill>
        </w:rPr>
        <w:t>.</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traditionally includes an abundance of vegetables and fish; both contain a substantial amount of diverse PUFA (ω-3, 6, 9). Briefly, PUFAs are divided into three classes based on the position of the first double bond from the methyl carbon, labeled "ω": ω-3 (DHA-docosahexaenoic, EPA-eicosapentaenoic, and ALA-α-linolenic), ω-6 (LA-linoleic, GLA-γ-linolenic, and AA-arachidonic); and ω-9 (OA-oleic). Extensive studies have revealed that the protective effects of EPA and DHA could be mediated by forming reactive lipid molecules called Resolvins</w:t>
      </w:r>
      <w:r>
        <w:rPr>
          <w:rFonts w:ascii="Book Antiqua" w:hAnsi="Book Antiqua" w:eastAsia="Book Antiqua" w:cs="Book Antiqua"/>
          <w:color w:val="000000" w:themeColor="text1"/>
          <w:vertAlign w:val="superscript"/>
          <w14:textFill>
            <w14:solidFill>
              <w14:schemeClr w14:val="tx1"/>
            </w14:solidFill>
          </w14:textFill>
        </w:rPr>
        <w:t>[31]</w:t>
      </w:r>
      <w:r>
        <w:rPr>
          <w:rFonts w:ascii="Book Antiqua" w:hAnsi="Book Antiqua" w:eastAsia="Book Antiqua" w:cs="Book Antiqua"/>
          <w:color w:val="000000" w:themeColor="text1"/>
          <w14:textFill>
            <w14:solidFill>
              <w14:schemeClr w14:val="tx1"/>
            </w14:solidFill>
          </w14:textFill>
        </w:rPr>
        <w:t>. Resolvins (E1 and D1) have a well-known anti-inflammatory property by preventing polymorphonuclear neutrophil (PMN) activation and translocation into the tissue</w:t>
      </w:r>
      <w:r>
        <w:rPr>
          <w:rFonts w:ascii="Book Antiqua" w:hAnsi="Book Antiqua" w:eastAsia="Book Antiqua" w:cs="Book Antiqua"/>
          <w:color w:val="000000" w:themeColor="text1"/>
          <w:vertAlign w:val="superscript"/>
          <w14:textFill>
            <w14:solidFill>
              <w14:schemeClr w14:val="tx1"/>
            </w14:solidFill>
          </w14:textFill>
        </w:rPr>
        <w:t>[32</w:t>
      </w:r>
      <w:r>
        <w:rPr>
          <w:rFonts w:ascii="Book Antiqua" w:hAnsi="Book Antiqua" w:cs="Book Antiqua"/>
          <w:color w:val="000000" w:themeColor="text1"/>
          <w:vertAlign w:val="superscript"/>
          <w:lang w:eastAsia="zh-CN"/>
          <w14:textFill>
            <w14:solidFill>
              <w14:schemeClr w14:val="tx1"/>
            </w14:solidFill>
          </w14:textFill>
        </w:rPr>
        <w:t>,</w:t>
      </w:r>
      <w:r>
        <w:rPr>
          <w:rFonts w:ascii="Book Antiqua" w:hAnsi="Book Antiqua" w:eastAsia="Book Antiqua" w:cs="Book Antiqua"/>
          <w:color w:val="000000" w:themeColor="text1"/>
          <w:vertAlign w:val="superscript"/>
          <w14:textFill>
            <w14:solidFill>
              <w14:schemeClr w14:val="tx1"/>
            </w14:solidFill>
          </w14:textFill>
        </w:rPr>
        <w:t>33]</w:t>
      </w:r>
      <w:r>
        <w:rPr>
          <w:rFonts w:ascii="Book Antiqua" w:hAnsi="Book Antiqua" w:eastAsia="Book Antiqua" w:cs="Book Antiqua"/>
          <w:color w:val="000000" w:themeColor="text1"/>
          <w14:textFill>
            <w14:solidFill>
              <w14:schemeClr w14:val="tx1"/>
            </w14:solidFill>
          </w14:textFill>
        </w:rPr>
        <w:t>. Resolvin E1 regulates cytokine/chemokine production</w:t>
      </w:r>
      <w:r>
        <w:rPr>
          <w:rFonts w:ascii="Book Antiqua" w:hAnsi="Book Antiqua" w:eastAsia="Book Antiqua" w:cs="Book Antiqua"/>
          <w:color w:val="000000" w:themeColor="text1"/>
          <w:vertAlign w:val="superscript"/>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 xml:space="preserve"> and inhibits TNFα-induced nuclear translocation of NF-kB</w:t>
      </w:r>
      <w:r>
        <w:rPr>
          <w:rFonts w:ascii="Book Antiqua" w:hAnsi="Book Antiqua" w:eastAsia="Book Antiqua" w:cs="Book Antiqua"/>
          <w:color w:val="000000" w:themeColor="text1"/>
          <w:vertAlign w:val="superscript"/>
          <w14:textFill>
            <w14:solidFill>
              <w14:schemeClr w14:val="tx1"/>
            </w14:solidFill>
          </w14:textFill>
        </w:rPr>
        <w:t>[35]</w:t>
      </w:r>
      <w:r>
        <w:rPr>
          <w:rFonts w:ascii="Book Antiqua" w:hAnsi="Book Antiqua" w:eastAsia="Book Antiqua" w:cs="Book Antiqua"/>
          <w:color w:val="000000" w:themeColor="text1"/>
          <w14:textFill>
            <w14:solidFill>
              <w14:schemeClr w14:val="tx1"/>
            </w14:solidFill>
          </w14:textFill>
        </w:rPr>
        <w:t xml:space="preserve">. Freeman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[36]</w:t>
      </w:r>
      <w:r>
        <w:rPr>
          <w:rFonts w:ascii="Book Antiqua" w:hAnsi="Book Antiqua" w:eastAsia="Book Antiqua" w:cs="Book Antiqua"/>
          <w:color w:val="000000" w:themeColor="text1"/>
          <w14:textFill>
            <w14:solidFill>
              <w14:schemeClr w14:val="tx1"/>
            </w14:solidFill>
          </w14:textFill>
        </w:rPr>
        <w:t xml:space="preserve"> characterized several electrophilic oxo-derivatives of DHA and EPA, synthesized in activated macrophages </w:t>
      </w:r>
      <w:r>
        <w:rPr>
          <w:rFonts w:ascii="Book Antiqua" w:hAnsi="Book Antiqua" w:eastAsia="Book Antiqua" w:cs="Book Antiqua"/>
          <w:i/>
          <w:iCs/>
          <w:color w:val="000000" w:themeColor="text1"/>
          <w14:textFill>
            <w14:solidFill>
              <w14:schemeClr w14:val="tx1"/>
            </w14:solidFill>
          </w14:textFill>
        </w:rPr>
        <w:t>via</w:t>
      </w:r>
      <w:r>
        <w:rPr>
          <w:rFonts w:ascii="Book Antiqua" w:hAnsi="Book Antiqua" w:eastAsia="Book Antiqua" w:cs="Book Antiqua"/>
          <w:color w:val="000000" w:themeColor="text1"/>
          <w14:textFill>
            <w14:solidFill>
              <w14:schemeClr w14:val="tx1"/>
            </w14:solidFill>
          </w14:textFill>
        </w:rPr>
        <w:t xml:space="preserve"> the cyclooxygenase-2 dependent pathway. Like Resolvins, these also possess strong anti-inflammatory properties.</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Regular consumption of grape wine is an integral element of the </w:t>
      </w:r>
      <w:r>
        <w:rPr>
          <w:rFonts w:ascii="Book Antiqua" w:hAnsi="Book Antiqua" w:eastAsia="Book Antiqua" w:cs="Book Antiqua"/>
          <w:b/>
          <w:bCs/>
          <w:caps/>
          <w:color w:val="000000" w:themeColor="text1"/>
          <w:shd w:val="clear" w:color="auto" w:fill="FFFFFF"/>
          <w14:textFill>
            <w14:solidFill>
              <w14:schemeClr w14:val="tx1"/>
            </w14:solidFill>
          </w14:textFill>
        </w:rPr>
        <w:t>m</w:t>
      </w:r>
      <w:r>
        <w:rPr>
          <w:rFonts w:ascii="Book Antiqua" w:hAnsi="Book Antiqua" w:eastAsia="Book Antiqua" w:cs="Book Antiqua"/>
          <w:b/>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The anti-inflammatory benefits of grape wine could be attributed to its phenolic components. Polyphenolic compounds such as quercetin, resveratrol, or catechins are potent antioxidants; thus, one of the mechanisms of protection they provide might be the inhibition of oxidative stress</w:t>
      </w:r>
      <w:r>
        <w:rPr>
          <w:rFonts w:ascii="Book Antiqua" w:hAnsi="Book Antiqua" w:eastAsia="Book Antiqua" w:cs="Book Antiqua"/>
          <w:color w:val="000000" w:themeColor="text1"/>
          <w:vertAlign w:val="superscript"/>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 xml:space="preserve">. Moreover, the effect of the </w:t>
      </w:r>
      <w:r>
        <w:rPr>
          <w:rFonts w:ascii="Book Antiqua" w:hAnsi="Book Antiqua" w:eastAsia="Book Antiqua" w:cs="Book Antiqua"/>
          <w:b/>
          <w:bCs/>
          <w:caps/>
          <w:color w:val="000000" w:themeColor="text1"/>
          <w:shd w:val="clear" w:color="auto" w:fill="FFFFFF"/>
          <w14:textFill>
            <w14:solidFill>
              <w14:schemeClr w14:val="tx1"/>
            </w14:solidFill>
          </w14:textFill>
        </w:rPr>
        <w:t>m</w:t>
      </w:r>
      <w:r>
        <w:rPr>
          <w:rFonts w:ascii="Book Antiqua" w:hAnsi="Book Antiqua" w:eastAsia="Book Antiqua" w:cs="Book Antiqua"/>
          <w:b/>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on gut microbiota may be an additional factor. Previous studies demonstrated that good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was associated with lower </w:t>
      </w:r>
      <w:r>
        <w:rPr>
          <w:rFonts w:ascii="Book Antiqua" w:hAnsi="Book Antiqua" w:eastAsia="Book Antiqua" w:cs="Book Antiqua"/>
          <w:i/>
          <w:iCs/>
          <w:color w:val="000000" w:themeColor="text1"/>
          <w14:textFill>
            <w14:solidFill>
              <w14:schemeClr w14:val="tx1"/>
            </w14:solidFill>
          </w14:textFill>
        </w:rPr>
        <w:t>Escherichia coli</w:t>
      </w:r>
      <w:r>
        <w:rPr>
          <w:rFonts w:ascii="Book Antiqua" w:hAnsi="Book Antiqua" w:eastAsia="Book Antiqua" w:cs="Book Antiqua"/>
          <w:color w:val="000000" w:themeColor="text1"/>
          <w14:textFill>
            <w14:solidFill>
              <w14:schemeClr w14:val="tx1"/>
            </w14:solidFill>
          </w14:textFill>
        </w:rPr>
        <w:t> </w:t>
      </w:r>
      <w:r>
        <w:rPr>
          <w:rFonts w:ascii="Book Antiqua" w:hAnsi="Book Antiqua" w:cs="Book Antiqua"/>
          <w:color w:val="000000" w:themeColor="text1"/>
          <w:lang w:eastAsia="zh-CN"/>
          <w14:textFill>
            <w14:solidFill>
              <w14:schemeClr w14:val="tx1"/>
            </w14:solidFill>
          </w14:textFill>
        </w:rPr>
        <w:t>(</w:t>
      </w:r>
      <w:r>
        <w:rPr>
          <w:rFonts w:ascii="Book Antiqua" w:hAnsi="Book Antiqua" w:cs="Book Antiqua"/>
          <w:i/>
          <w:color w:val="000000" w:themeColor="text1"/>
          <w:lang w:eastAsia="zh-CN"/>
          <w14:textFill>
            <w14:solidFill>
              <w14:schemeClr w14:val="tx1"/>
            </w14:solidFill>
          </w14:textFill>
        </w:rPr>
        <w:t>E.</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i/>
          <w:iCs/>
          <w:color w:val="000000" w:themeColor="text1"/>
          <w14:textFill>
            <w14:solidFill>
              <w14:schemeClr w14:val="tx1"/>
            </w14:solidFill>
          </w14:textFill>
        </w:rPr>
        <w:t>coli</w:t>
      </w:r>
      <w:r>
        <w:rPr>
          <w:rFonts w:ascii="Book Antiqua" w:hAnsi="Book Antiqua" w:eastAsia="Book Antiqua" w:cs="Book Antiqua"/>
          <w:color w:val="000000" w:themeColor="text1"/>
          <w14:textFill>
            <w14:solidFill>
              <w14:schemeClr w14:val="tx1"/>
            </w14:solidFill>
          </w14:textFill>
        </w:rPr>
        <w:t>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counts and a higher </w:t>
      </w:r>
      <w:r>
        <w:rPr>
          <w:rFonts w:ascii="Book Antiqua" w:hAnsi="Book Antiqua" w:eastAsia="Book Antiqua" w:cs="Book Antiqua"/>
          <w:i/>
          <w:iCs/>
          <w:color w:val="000000" w:themeColor="text1"/>
          <w14:textFill>
            <w14:solidFill>
              <w14:schemeClr w14:val="tx1"/>
            </w14:solidFill>
          </w14:textFill>
        </w:rPr>
        <w:t>Bifidobacteria</w:t>
      </w:r>
      <w:r>
        <w:rPr>
          <w:rFonts w:ascii="Book Antiqua" w:hAnsi="Book Antiqua" w:eastAsia="Book Antiqua" w:cs="Book Antiqua"/>
          <w:color w:val="000000" w:themeColor="text1"/>
          <w14:textFill>
            <w14:solidFill>
              <w14:schemeClr w14:val="tx1"/>
            </w14:solidFill>
          </w14:textFill>
        </w:rPr>
        <w:t xml:space="preserve"> to </w:t>
      </w:r>
      <w:r>
        <w:rPr>
          <w:rFonts w:ascii="Book Antiqua" w:hAnsi="Book Antiqua" w:eastAsia="Book Antiqua" w:cs="Book Antiqua"/>
          <w:i/>
          <w:iCs/>
          <w:color w:val="000000" w:themeColor="text1"/>
          <w14:textFill>
            <w14:solidFill>
              <w14:schemeClr w14:val="tx1"/>
            </w14:solidFill>
          </w14:textFill>
        </w:rPr>
        <w:t>E. coli</w:t>
      </w:r>
      <w:r>
        <w:rPr>
          <w:rFonts w:ascii="Book Antiqua" w:hAnsi="Book Antiqua" w:eastAsia="Book Antiqua" w:cs="Book Antiqua"/>
          <w:color w:val="000000" w:themeColor="text1"/>
          <w14:textFill>
            <w14:solidFill>
              <w14:schemeClr w14:val="tx1"/>
            </w14:solidFill>
          </w14:textFill>
        </w:rPr>
        <w:t xml:space="preserve"> ratio</w:t>
      </w:r>
      <w:r>
        <w:rPr>
          <w:rFonts w:ascii="Book Antiqua" w:hAnsi="Book Antiqua" w:eastAsia="Book Antiqua" w:cs="Book Antiqua"/>
          <w:color w:val="000000" w:themeColor="text1"/>
          <w:vertAlign w:val="superscript"/>
          <w14:textFill>
            <w14:solidFill>
              <w14:schemeClr w14:val="tx1"/>
            </w14:solidFill>
          </w14:textFill>
        </w:rPr>
        <w:t>[38]</w:t>
      </w:r>
      <w:r>
        <w:rPr>
          <w:rFonts w:ascii="Book Antiqua" w:hAnsi="Book Antiqua" w:eastAsia="Book Antiqua" w:cs="Book Antiqua"/>
          <w:color w:val="000000" w:themeColor="text1"/>
          <w14:textFill>
            <w14:solidFill>
              <w14:schemeClr w14:val="tx1"/>
            </w14:solidFill>
          </w14:textFill>
        </w:rPr>
        <w:t>. </w:t>
      </w:r>
    </w:p>
    <w:p>
      <w:pPr>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strength of the current study is that it is the first report on the association between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and IBS symptoms in children and adolescents. The main limitation is the cross-sectional design, which allows the assessment of good associations but not conclusions on causality. The study was also from a single center, so the data cannot be generalized.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Results of the current study indicate that good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is safe and associated with significant improvement in IBS-score in children and adolescents. The mechanisms underlying this association and the causality between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and IBS need further clarification. If other studies with extensive metabolomic analysis and microbiome assessments confirm the current study's findings, this will complete the picture of the diet–health interaction and relationship. Until then, we should encourage children and adolescents to follow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to have a place among other measures in minimizing the symptoms.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Irritable bowel syndrome (IBS) has a significant effect on the lives of affected children and their families and poses a substantial burden on healthcare systems. A few potential therapeutic modalities are available to treat children with IBS, and fewer of them have shown some benefits.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 few potential therapeutic modalities are available to treat children with IBS, and fewer of them have shown some benefits. </w:t>
      </w:r>
      <w:r>
        <w:rPr>
          <w:rFonts w:ascii="Book Antiqua" w:hAnsi="Book Antiqua" w:cs="Book Antiqua"/>
          <w:color w:val="000000" w:themeColor="text1"/>
          <w:lang w:eastAsia="zh-CN"/>
          <w14:textFill>
            <w14:solidFill>
              <w14:schemeClr w14:val="tx1"/>
            </w14:solidFill>
          </w14:textFill>
        </w:rPr>
        <w:t>The authors</w:t>
      </w:r>
      <w:r>
        <w:rPr>
          <w:rFonts w:ascii="Book Antiqua" w:hAnsi="Book Antiqua" w:eastAsia="Book Antiqua" w:cs="Book Antiqua"/>
          <w:color w:val="000000" w:themeColor="text1"/>
          <w14:textFill>
            <w14:solidFill>
              <w14:schemeClr w14:val="tx1"/>
            </w14:solidFill>
          </w14:textFill>
        </w:rPr>
        <w:t xml:space="preserve"> need to conduct more studies to help patients with IBS alleviate their symptoms.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The authors</w:t>
      </w:r>
      <w:r>
        <w:rPr>
          <w:rFonts w:ascii="Book Antiqua" w:hAnsi="Book Antiqua" w:eastAsia="Book Antiqua" w:cs="Book Antiqua"/>
          <w:color w:val="000000" w:themeColor="text1"/>
          <w14:textFill>
            <w14:solidFill>
              <w14:schemeClr w14:val="tx1"/>
            </w14:solidFill>
          </w14:textFill>
        </w:rPr>
        <w:t xml:space="preserve"> aimed to study the effects of the Mediterranean diet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on the symptoms of IBS in children and adolescents.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The authors</w:t>
      </w:r>
      <w:r>
        <w:rPr>
          <w:rFonts w:ascii="Book Antiqua" w:hAnsi="Book Antiqua" w:eastAsia="Book Antiqua" w:cs="Book Antiqua"/>
          <w:color w:val="000000" w:themeColor="text1"/>
          <w14:textFill>
            <w14:solidFill>
              <w14:schemeClr w14:val="tx1"/>
            </w14:solidFill>
          </w14:textFill>
        </w:rPr>
        <w:t xml:space="preserve"> studied one hundred consecutive IBS patients diagnosed according to Rome IV criteria, aged 12-18 years old. </w:t>
      </w:r>
      <w:r>
        <w:rPr>
          <w:rFonts w:ascii="Book Antiqua" w:hAnsi="Book Antiqua" w:cs="Book Antiqua"/>
          <w:color w:val="000000" w:themeColor="text1"/>
          <w:lang w:eastAsia="zh-CN"/>
          <w14:textFill>
            <w14:solidFill>
              <w14:schemeClr w14:val="tx1"/>
            </w14:solidFill>
          </w14:textFill>
        </w:rPr>
        <w:t>The authors</w:t>
      </w:r>
      <w:r>
        <w:rPr>
          <w:rFonts w:ascii="Book Antiqua" w:hAnsi="Book Antiqua" w:eastAsia="Book Antiqua" w:cs="Book Antiqua"/>
          <w:color w:val="000000" w:themeColor="text1"/>
          <w14:textFill>
            <w14:solidFill>
              <w14:schemeClr w14:val="tx1"/>
            </w14:solidFill>
          </w14:textFill>
        </w:rPr>
        <w:t xml:space="preserve"> divided the patients into two groups (50 patients each), the group I received a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with good adherence (KIDMED Score ≥ 8 points), and Group II received a regular diet.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IBS children and adolescents with good adherence to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(KIDMED Score ≥ 8 points); group I showed significant improvement in IBS scores. IBS-SSS in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group was 237.2</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65 at the beginning of the study and decreased to 163.2 ± 33.8 at the end of the study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It did not show a significant improvement in the group with a regular diet (248.3 ± 71.1 at the beginning of the study compared to 228.5 ± 54.3 at the study end with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The mean IBS-SSS in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group significantly improved compared with the group with a regular diet.</w:t>
      </w:r>
      <w:r>
        <w:rPr>
          <w:rFonts w:ascii="Book Antiqua" w:hAnsi="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Mean IBS-QoL in group I improved from 57.3</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12.9 at the start of the study to 72.4 ± 11.2 at the study end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and significantly improved when compared to its level in group II at the study end (59.2 ± 12.7)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while group II showed no significant improvement in IBS-QoL at the study end when compared to the beginning of the study (59.2 ± 11.7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0.05). The mean total IBS score in group I became 28.8 ± 11.2 at the end of our study compared to 24.1 ± 10.4 at the start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and significantly improved when compared to its level in group II at the end of the study (22.1 ± 12.5)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while in group II, non-significant improvement in the total score at the end of our study compared to its mean level at the start of the study (22.8 ± 13.5) with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was safe and associated with significant improvement in IBS scores in children and adolescent patients with IBS.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The authors</w:t>
      </w:r>
      <w:r>
        <w:rPr>
          <w:rFonts w:ascii="Book Antiqua" w:hAnsi="Book Antiqua" w:eastAsia="Book Antiqua" w:cs="Book Antiqua"/>
          <w:color w:val="000000" w:themeColor="text1"/>
          <w14:textFill>
            <w14:solidFill>
              <w14:schemeClr w14:val="tx1"/>
            </w14:solidFill>
          </w14:textFill>
        </w:rPr>
        <w:t xml:space="preserve"> need to extend our study for a longer duration. We also need to investigate the effects of the </w:t>
      </w:r>
      <w:r>
        <w:rPr>
          <w:rFonts w:ascii="Book Antiqua" w:hAnsi="Book Antiqua" w:eastAsia="Book Antiqua" w:cs="Book Antiqua"/>
          <w:bCs/>
          <w:caps/>
          <w:color w:val="000000" w:themeColor="text1"/>
          <w:shd w:val="clear" w:color="auto" w:fill="FFFFFF"/>
          <w14:textFill>
            <w14:solidFill>
              <w14:schemeClr w14:val="tx1"/>
            </w14:solidFill>
          </w14:textFill>
        </w:rPr>
        <w:t>m</w:t>
      </w:r>
      <w:r>
        <w:rPr>
          <w:rFonts w:ascii="Book Antiqua" w:hAnsi="Book Antiqua" w:eastAsia="Book Antiqua" w:cs="Book Antiqua"/>
          <w:bCs/>
          <w:color w:val="000000" w:themeColor="text1"/>
          <w:shd w:val="clear" w:color="auto" w:fill="FFFFFF"/>
          <w14:textFill>
            <w14:solidFill>
              <w14:schemeClr w14:val="tx1"/>
            </w14:solidFill>
          </w14:textFill>
        </w:rPr>
        <w:t>editerranean diet</w:t>
      </w:r>
      <w:r>
        <w:rPr>
          <w:rFonts w:ascii="Book Antiqua" w:hAnsi="Book Antiqua" w:eastAsia="Book Antiqua" w:cs="Book Antiqua"/>
          <w:color w:val="000000" w:themeColor="text1"/>
          <w14:textFill>
            <w14:solidFill>
              <w14:schemeClr w14:val="tx1"/>
            </w14:solidFill>
          </w14:textFill>
        </w:rPr>
        <w:t xml:space="preserve"> on the various GIT functions, including bowel movement, stool consistency, and the impact on the gut microbiota.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ACKNOWLEDGEMENTS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thank the anonymous referees and editors for their valuable suggestions.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Ahlawat R</w:t>
      </w:r>
      <w:r>
        <w:rPr>
          <w:rFonts w:ascii="Book Antiqua" w:hAnsi="Book Antiqua"/>
        </w:rPr>
        <w:t xml:space="preserve">, Weinstein T, Pettei MJ. Vitamin D in pediatric gastrointestinal disease. </w:t>
      </w:r>
      <w:r>
        <w:rPr>
          <w:rFonts w:ascii="Book Antiqua" w:hAnsi="Book Antiqua"/>
          <w:i/>
          <w:iCs/>
        </w:rPr>
        <w:t>Curr Opin Pediatr</w:t>
      </w:r>
      <w:r>
        <w:rPr>
          <w:rFonts w:ascii="Book Antiqua" w:hAnsi="Book Antiqua"/>
        </w:rPr>
        <w:t xml:space="preserve"> 2017; </w:t>
      </w:r>
      <w:r>
        <w:rPr>
          <w:rFonts w:ascii="Book Antiqua" w:hAnsi="Book Antiqua"/>
          <w:b/>
          <w:bCs/>
        </w:rPr>
        <w:t>29</w:t>
      </w:r>
      <w:r>
        <w:rPr>
          <w:rFonts w:ascii="Book Antiqua" w:hAnsi="Book Antiqua"/>
        </w:rPr>
        <w:t>: 122-127 [PMID: 27930380 DOI: 10.1097/MOP.0000000000000451]</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Sprake EF</w:t>
      </w:r>
      <w:r>
        <w:rPr>
          <w:rFonts w:ascii="Book Antiqua" w:hAnsi="Book Antiqua"/>
        </w:rPr>
        <w:t xml:space="preserve">, Grant VA, Corfe BM. Vitamin D3 as a novel treatment for irritable bowel syndrome: single case leads to critical analysis of patient-centred data. </w:t>
      </w:r>
      <w:r>
        <w:rPr>
          <w:rFonts w:ascii="Book Antiqua" w:hAnsi="Book Antiqua"/>
          <w:i/>
          <w:iCs/>
        </w:rPr>
        <w:t>BMJ Case Rep</w:t>
      </w:r>
      <w:r>
        <w:rPr>
          <w:rFonts w:ascii="Book Antiqua" w:hAnsi="Book Antiqua"/>
        </w:rPr>
        <w:t xml:space="preserve"> 2012; </w:t>
      </w:r>
      <w:r>
        <w:rPr>
          <w:rFonts w:ascii="Book Antiqua" w:hAnsi="Book Antiqua"/>
          <w:b/>
          <w:bCs/>
        </w:rPr>
        <w:t>2012</w:t>
      </w:r>
      <w:r>
        <w:rPr>
          <w:rFonts w:ascii="Book Antiqua" w:hAnsi="Book Antiqua"/>
        </w:rPr>
        <w:t xml:space="preserve"> [PMID: 23239770 DOI: 10.1136/bcr-2012-007223]</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O</w:t>
      </w:r>
      <w:r>
        <w:rPr>
          <w:rFonts w:ascii="Book Antiqua" w:hAnsi="Book Antiqua" w:eastAsia="MS Gothic" w:cs="MS Gothic"/>
          <w:b/>
          <w:bCs/>
        </w:rPr>
        <w:t>ś</w:t>
      </w:r>
      <w:r>
        <w:rPr>
          <w:rFonts w:ascii="Book Antiqua" w:hAnsi="Book Antiqua"/>
          <w:b/>
          <w:bCs/>
        </w:rPr>
        <w:t>wi</w:t>
      </w:r>
      <w:r>
        <w:rPr>
          <w:rFonts w:ascii="Book Antiqua" w:hAnsi="Book Antiqua" w:eastAsia="MS Gothic" w:cs="MS Gothic"/>
          <w:b/>
          <w:bCs/>
        </w:rPr>
        <w:t>ę</w:t>
      </w:r>
      <w:r>
        <w:rPr>
          <w:rFonts w:ascii="Book Antiqua" w:hAnsi="Book Antiqua"/>
          <w:b/>
          <w:bCs/>
        </w:rPr>
        <w:t>cimska J</w:t>
      </w:r>
      <w:r>
        <w:rPr>
          <w:rFonts w:ascii="Book Antiqua" w:hAnsi="Book Antiqua"/>
        </w:rPr>
        <w:t>, Szymlak A, Roczniak W, Girczys-Po</w:t>
      </w:r>
      <w:r>
        <w:rPr>
          <w:rFonts w:ascii="Book Antiqua" w:hAnsi="Book Antiqua" w:eastAsia="MS Gothic" w:cs="MS Gothic"/>
        </w:rPr>
        <w:t>ł</w:t>
      </w:r>
      <w:r>
        <w:rPr>
          <w:rFonts w:ascii="Book Antiqua" w:hAnsi="Book Antiqua"/>
        </w:rPr>
        <w:t xml:space="preserve">edniok K, Kwiecień J. New insights into the pathogenesis and treatment of irritable bowel syndrome. </w:t>
      </w:r>
      <w:r>
        <w:rPr>
          <w:rFonts w:ascii="Book Antiqua" w:hAnsi="Book Antiqua"/>
          <w:i/>
          <w:iCs/>
        </w:rPr>
        <w:t>Adv Med Sci</w:t>
      </w:r>
      <w:r>
        <w:rPr>
          <w:rFonts w:ascii="Book Antiqua" w:hAnsi="Book Antiqua"/>
        </w:rPr>
        <w:t xml:space="preserve"> 2017; </w:t>
      </w:r>
      <w:r>
        <w:rPr>
          <w:rFonts w:ascii="Book Antiqua" w:hAnsi="Book Antiqua"/>
          <w:b/>
          <w:bCs/>
        </w:rPr>
        <w:t>62</w:t>
      </w:r>
      <w:r>
        <w:rPr>
          <w:rFonts w:ascii="Book Antiqua" w:hAnsi="Book Antiqua"/>
        </w:rPr>
        <w:t>: 17-30 [PMID: 28135659 DOI: 10.1016/j.advms.2016.11.001]</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Parkes GC</w:t>
      </w:r>
      <w:r>
        <w:rPr>
          <w:rFonts w:ascii="Book Antiqua" w:hAnsi="Book Antiqua"/>
        </w:rPr>
        <w:t xml:space="preserve">, Brostoff J, Whelan K, Sanderson JD. Gastrointestinal microbiota in irritable bowel syndrome: their role in its pathogenesis and treatment. </w:t>
      </w:r>
      <w:r>
        <w:rPr>
          <w:rFonts w:ascii="Book Antiqua" w:hAnsi="Book Antiqua"/>
          <w:i/>
          <w:iCs/>
        </w:rPr>
        <w:t>Am J Gastroenterol</w:t>
      </w:r>
      <w:r>
        <w:rPr>
          <w:rFonts w:ascii="Book Antiqua" w:hAnsi="Book Antiqua"/>
        </w:rPr>
        <w:t xml:space="preserve"> 2008; </w:t>
      </w:r>
      <w:r>
        <w:rPr>
          <w:rFonts w:ascii="Book Antiqua" w:hAnsi="Book Antiqua"/>
          <w:b/>
          <w:bCs/>
        </w:rPr>
        <w:t>103</w:t>
      </w:r>
      <w:r>
        <w:rPr>
          <w:rFonts w:ascii="Book Antiqua" w:hAnsi="Book Antiqua"/>
        </w:rPr>
        <w:t>: 1557-1567 [PMID: 18513268 DOI: 10.1111/j.1572-0241.2008.01869.x]</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Carding S</w:t>
      </w:r>
      <w:r>
        <w:rPr>
          <w:rFonts w:ascii="Book Antiqua" w:hAnsi="Book Antiqua"/>
        </w:rPr>
        <w:t xml:space="preserve">, Verbeke K, Vipond DT, Corfe BM, Owen LJ. Dysbiosis of the gut microbiota in disease. </w:t>
      </w:r>
      <w:r>
        <w:rPr>
          <w:rFonts w:ascii="Book Antiqua" w:hAnsi="Book Antiqua"/>
          <w:i/>
          <w:iCs/>
        </w:rPr>
        <w:t>Microb Ecol Health Dis</w:t>
      </w:r>
      <w:r>
        <w:rPr>
          <w:rFonts w:ascii="Book Antiqua" w:hAnsi="Book Antiqua"/>
        </w:rPr>
        <w:t xml:space="preserve"> 2015; </w:t>
      </w:r>
      <w:r>
        <w:rPr>
          <w:rFonts w:ascii="Book Antiqua" w:hAnsi="Book Antiqua"/>
          <w:b/>
          <w:bCs/>
        </w:rPr>
        <w:t>26</w:t>
      </w:r>
      <w:r>
        <w:rPr>
          <w:rFonts w:ascii="Book Antiqua" w:hAnsi="Book Antiqua"/>
        </w:rPr>
        <w:t>: 26191 [PMID: 25651997 DOI: 10.3402/mehd.v26.26191]</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Longstreth GF</w:t>
      </w:r>
      <w:r>
        <w:rPr>
          <w:rFonts w:ascii="Book Antiqua" w:hAnsi="Book Antiqua"/>
        </w:rPr>
        <w:t xml:space="preserve">, Thompson WG, Chey WD, Houghton LA, Mearin F, Spiller RC. Functional bowel disorders. </w:t>
      </w:r>
      <w:r>
        <w:rPr>
          <w:rFonts w:ascii="Book Antiqua" w:hAnsi="Book Antiqua"/>
          <w:i/>
          <w:iCs/>
        </w:rPr>
        <w:t>Gastroenterology</w:t>
      </w:r>
      <w:r>
        <w:rPr>
          <w:rFonts w:ascii="Book Antiqua" w:hAnsi="Book Antiqua"/>
        </w:rPr>
        <w:t xml:space="preserve"> 2006; </w:t>
      </w:r>
      <w:r>
        <w:rPr>
          <w:rFonts w:ascii="Book Antiqua" w:hAnsi="Book Antiqua"/>
          <w:b/>
          <w:bCs/>
        </w:rPr>
        <w:t>130</w:t>
      </w:r>
      <w:r>
        <w:rPr>
          <w:rFonts w:ascii="Book Antiqua" w:hAnsi="Book Antiqua"/>
        </w:rPr>
        <w:t>: 1480-1491 [PMID: 16678561 DOI: 10.1053/j.gastro.2005.11.061]</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O'Malley T</w:t>
      </w:r>
      <w:r>
        <w:rPr>
          <w:rFonts w:ascii="Book Antiqua" w:hAnsi="Book Antiqua"/>
        </w:rPr>
        <w:t xml:space="preserve">, Heuberger R. Vitamin D status and supplementation in pediatric gastrointestinal disease. </w:t>
      </w:r>
      <w:r>
        <w:rPr>
          <w:rFonts w:ascii="Book Antiqua" w:hAnsi="Book Antiqua"/>
          <w:i/>
          <w:iCs/>
        </w:rPr>
        <w:t>J Spec Pediatr Nurs</w:t>
      </w:r>
      <w:r>
        <w:rPr>
          <w:rFonts w:ascii="Book Antiqua" w:hAnsi="Book Antiqua"/>
        </w:rPr>
        <w:t xml:space="preserve"> 2011; </w:t>
      </w:r>
      <w:r>
        <w:rPr>
          <w:rFonts w:ascii="Book Antiqua" w:hAnsi="Book Antiqua"/>
          <w:b/>
          <w:bCs/>
        </w:rPr>
        <w:t>16</w:t>
      </w:r>
      <w:r>
        <w:rPr>
          <w:rFonts w:ascii="Book Antiqua" w:hAnsi="Book Antiqua"/>
        </w:rPr>
        <w:t>: 140-150 [PMID: 21439004 DOI: 10.1111/j.1744-6155.2011.00280.x]</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Rao SS</w:t>
      </w:r>
      <w:r>
        <w:rPr>
          <w:rFonts w:ascii="Book Antiqua" w:hAnsi="Book Antiqua"/>
        </w:rPr>
        <w:t xml:space="preserve">, Yu S, Fedewa A. Systematic review: dietary fibre and FODMAP-restricted diet in the management of constipation and irritable bowel syndrome. </w:t>
      </w:r>
      <w:r>
        <w:rPr>
          <w:rFonts w:ascii="Book Antiqua" w:hAnsi="Book Antiqua"/>
          <w:i/>
          <w:iCs/>
        </w:rPr>
        <w:t>Aliment Pharmacol Ther</w:t>
      </w:r>
      <w:r>
        <w:rPr>
          <w:rFonts w:ascii="Book Antiqua" w:hAnsi="Book Antiqua"/>
        </w:rPr>
        <w:t xml:space="preserve"> 2015; </w:t>
      </w:r>
      <w:r>
        <w:rPr>
          <w:rFonts w:ascii="Book Antiqua" w:hAnsi="Book Antiqua"/>
          <w:b/>
          <w:bCs/>
        </w:rPr>
        <w:t>41</w:t>
      </w:r>
      <w:r>
        <w:rPr>
          <w:rFonts w:ascii="Book Antiqua" w:hAnsi="Book Antiqua"/>
        </w:rPr>
        <w:t>: 1256-1270 [PMID: 25903636 DOI: 10.1111/apt.13167]</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Devanarayana NM</w:t>
      </w:r>
      <w:r>
        <w:rPr>
          <w:rFonts w:ascii="Book Antiqua" w:hAnsi="Book Antiqua"/>
        </w:rPr>
        <w:t xml:space="preserve">, Rajindrajith S. Irritable bowel syndrome in children: Current knowledge, challenges and opportunities.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2211-2235 [PMID: 29881232 DOI: 10.3748/wjg.v24.i21.2211]</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Donini LM</w:t>
      </w:r>
      <w:r>
        <w:rPr>
          <w:rFonts w:ascii="Book Antiqua" w:hAnsi="Book Antiqua"/>
        </w:rPr>
        <w:t xml:space="preserve">, Serra-Majem L, Bulló M, Gil Á, Salas-Salvadó J. The Mediterranean diet: culture, health and science. </w:t>
      </w:r>
      <w:r>
        <w:rPr>
          <w:rFonts w:ascii="Book Antiqua" w:hAnsi="Book Antiqua"/>
          <w:i/>
          <w:iCs/>
        </w:rPr>
        <w:t>Br J Nutr</w:t>
      </w:r>
      <w:r>
        <w:rPr>
          <w:rFonts w:ascii="Book Antiqua" w:hAnsi="Book Antiqua"/>
        </w:rPr>
        <w:t xml:space="preserve"> 2015; </w:t>
      </w:r>
      <w:r>
        <w:rPr>
          <w:rFonts w:ascii="Book Antiqua" w:hAnsi="Book Antiqua"/>
          <w:b/>
          <w:bCs/>
        </w:rPr>
        <w:t>113 Suppl 2</w:t>
      </w:r>
      <w:r>
        <w:rPr>
          <w:rFonts w:ascii="Book Antiqua" w:hAnsi="Book Antiqua"/>
        </w:rPr>
        <w:t>: S1-S3 [PMID: 26148911 DOI: 10.1017/S0007114515001087]</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Bulló M</w:t>
      </w:r>
      <w:r>
        <w:rPr>
          <w:rFonts w:ascii="Book Antiqua" w:hAnsi="Book Antiqua"/>
        </w:rPr>
        <w:t xml:space="preserve">, Lamuela-Raventós R, Salas-Salvadó J. Mediterranean diet and oxidation: nuts and olive oil as important sources of fat and antioxidants. </w:t>
      </w:r>
      <w:r>
        <w:rPr>
          <w:rFonts w:ascii="Book Antiqua" w:hAnsi="Book Antiqua"/>
          <w:i/>
          <w:iCs/>
        </w:rPr>
        <w:t>Curr Top Med Chem</w:t>
      </w:r>
      <w:r>
        <w:rPr>
          <w:rFonts w:ascii="Book Antiqua" w:hAnsi="Book Antiqua"/>
        </w:rPr>
        <w:t xml:space="preserve"> 2011; </w:t>
      </w:r>
      <w:r>
        <w:rPr>
          <w:rFonts w:ascii="Book Antiqua" w:hAnsi="Book Antiqua"/>
          <w:b/>
          <w:bCs/>
        </w:rPr>
        <w:t>11</w:t>
      </w:r>
      <w:r>
        <w:rPr>
          <w:rFonts w:ascii="Book Antiqua" w:hAnsi="Book Antiqua"/>
        </w:rPr>
        <w:t>: 1797-1810 [PMID: 21506929 DOI: 10.2174/156802611796235062]</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Nadtochiy SM</w:t>
      </w:r>
      <w:r>
        <w:rPr>
          <w:rFonts w:ascii="Book Antiqua" w:hAnsi="Book Antiqua"/>
        </w:rPr>
        <w:t xml:space="preserve">, Redman EK. Mediterranean diet and cardioprotection: the role of nitrite, polyunsaturated fatty acids, and polyphenols. </w:t>
      </w:r>
      <w:r>
        <w:rPr>
          <w:rFonts w:ascii="Book Antiqua" w:hAnsi="Book Antiqua"/>
          <w:i/>
          <w:iCs/>
        </w:rPr>
        <w:t>Nutrition</w:t>
      </w:r>
      <w:r>
        <w:rPr>
          <w:rFonts w:ascii="Book Antiqua" w:hAnsi="Book Antiqua"/>
        </w:rPr>
        <w:t xml:space="preserve"> 2011; </w:t>
      </w:r>
      <w:r>
        <w:rPr>
          <w:rFonts w:ascii="Book Antiqua" w:hAnsi="Book Antiqua"/>
          <w:b/>
          <w:bCs/>
        </w:rPr>
        <w:t>27</w:t>
      </w:r>
      <w:r>
        <w:rPr>
          <w:rFonts w:ascii="Book Antiqua" w:hAnsi="Book Antiqua"/>
        </w:rPr>
        <w:t>: 733-744 [PMID: 21454053 DOI: 10.1016/j.nut.2010.12.006]</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Trichopoulou A</w:t>
      </w:r>
      <w:r>
        <w:rPr>
          <w:rFonts w:ascii="Book Antiqua" w:hAnsi="Book Antiqua"/>
        </w:rPr>
        <w:t xml:space="preserve">, Lagiou P. Healthy traditional Mediterranean diet: an expression of culture, history, and lifestyle. </w:t>
      </w:r>
      <w:r>
        <w:rPr>
          <w:rFonts w:ascii="Book Antiqua" w:hAnsi="Book Antiqua"/>
          <w:i/>
          <w:iCs/>
        </w:rPr>
        <w:t>Nutr Rev</w:t>
      </w:r>
      <w:r>
        <w:rPr>
          <w:rFonts w:ascii="Book Antiqua" w:hAnsi="Book Antiqua"/>
        </w:rPr>
        <w:t xml:space="preserve"> 1997; </w:t>
      </w:r>
      <w:r>
        <w:rPr>
          <w:rFonts w:ascii="Book Antiqua" w:hAnsi="Book Antiqua"/>
          <w:b/>
          <w:bCs/>
        </w:rPr>
        <w:t>55</w:t>
      </w:r>
      <w:r>
        <w:rPr>
          <w:rFonts w:ascii="Book Antiqua" w:hAnsi="Book Antiqua"/>
        </w:rPr>
        <w:t>: 383-389 [PMID: 9420448 DOI: 10.1111/j.1753-4887.1997.tb01578.x]</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Iaccarino Idelson P</w:t>
      </w:r>
      <w:r>
        <w:rPr>
          <w:rFonts w:ascii="Book Antiqua" w:hAnsi="Book Antiqua"/>
        </w:rPr>
        <w:t xml:space="preserve">, Scalfi L, Valerio G. Adherence to the Mediterranean Diet in children and adolescents: A systematic review. </w:t>
      </w:r>
      <w:r>
        <w:rPr>
          <w:rFonts w:ascii="Book Antiqua" w:hAnsi="Book Antiqua"/>
          <w:i/>
          <w:iCs/>
        </w:rPr>
        <w:t>Nutr Metab Cardiovasc Dis</w:t>
      </w:r>
      <w:r>
        <w:rPr>
          <w:rFonts w:ascii="Book Antiqua" w:hAnsi="Book Antiqua"/>
        </w:rPr>
        <w:t xml:space="preserve"> 2017; </w:t>
      </w:r>
      <w:r>
        <w:rPr>
          <w:rFonts w:ascii="Book Antiqua" w:hAnsi="Book Antiqua"/>
          <w:b/>
          <w:bCs/>
        </w:rPr>
        <w:t>27</w:t>
      </w:r>
      <w:r>
        <w:rPr>
          <w:rFonts w:ascii="Book Antiqua" w:hAnsi="Book Antiqua"/>
        </w:rPr>
        <w:t>: 283-299 [PMID: 28254269 DOI: 10.1016/j.numecd.2017.01.002]</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Hyams JS</w:t>
      </w:r>
      <w:r>
        <w:rPr>
          <w:rFonts w:ascii="Book Antiqua" w:hAnsi="Book Antiqua"/>
        </w:rPr>
        <w:t xml:space="preserve">, Di Lorenzo C, Saps M, Shulman RJ, Staiano A, van Tilburg M. Functional Disorders: Children and Adolescents. </w:t>
      </w:r>
      <w:r>
        <w:rPr>
          <w:rFonts w:ascii="Book Antiqua" w:hAnsi="Book Antiqua"/>
          <w:i/>
          <w:iCs/>
        </w:rPr>
        <w:t>Gastroenterology</w:t>
      </w:r>
      <w:r>
        <w:rPr>
          <w:rFonts w:ascii="Book Antiqua" w:hAnsi="Book Antiqua"/>
        </w:rPr>
        <w:t xml:space="preserve"> 2016 [PMID: 27144632 DOI: 10.1053/j.gastro.2016.02.015]</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Cole TJ</w:t>
      </w:r>
      <w:r>
        <w:rPr>
          <w:rFonts w:ascii="Book Antiqua" w:hAnsi="Book Antiqua"/>
        </w:rPr>
        <w:t xml:space="preserve">, Bellizzi MC, Flegal KM, Dietz WH. Establishing a standard definition for child overweight and obesity worldwide: international survey. </w:t>
      </w:r>
      <w:r>
        <w:rPr>
          <w:rFonts w:ascii="Book Antiqua" w:hAnsi="Book Antiqua"/>
          <w:i/>
          <w:iCs/>
        </w:rPr>
        <w:t>BMJ</w:t>
      </w:r>
      <w:r>
        <w:rPr>
          <w:rFonts w:ascii="Book Antiqua" w:hAnsi="Book Antiqua"/>
        </w:rPr>
        <w:t xml:space="preserve"> 2000; </w:t>
      </w:r>
      <w:r>
        <w:rPr>
          <w:rFonts w:ascii="Book Antiqua" w:hAnsi="Book Antiqua"/>
          <w:b/>
          <w:bCs/>
        </w:rPr>
        <w:t>320</w:t>
      </w:r>
      <w:r>
        <w:rPr>
          <w:rFonts w:ascii="Book Antiqua" w:hAnsi="Book Antiqua"/>
        </w:rPr>
        <w:t>: 1240-1243 [PMID: 10797032 DOI: 10.1136/bmj.320.7244.1240]</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Francis CY</w:t>
      </w:r>
      <w:r>
        <w:rPr>
          <w:rFonts w:ascii="Book Antiqua" w:hAnsi="Book Antiqua"/>
        </w:rPr>
        <w:t xml:space="preserve">, Morris J, Whorwell PJ. The irritable bowel severity scoring system: a simple method of monitoring irritable bowel syndrome and its progress. </w:t>
      </w:r>
      <w:r>
        <w:rPr>
          <w:rFonts w:ascii="Book Antiqua" w:hAnsi="Book Antiqua"/>
          <w:i/>
          <w:iCs/>
        </w:rPr>
        <w:t>Aliment Pharmacol Ther</w:t>
      </w:r>
      <w:r>
        <w:rPr>
          <w:rFonts w:ascii="Book Antiqua" w:hAnsi="Book Antiqua"/>
        </w:rPr>
        <w:t xml:space="preserve"> 1997; </w:t>
      </w:r>
      <w:r>
        <w:rPr>
          <w:rFonts w:ascii="Book Antiqua" w:hAnsi="Book Antiqua"/>
          <w:b/>
          <w:bCs/>
        </w:rPr>
        <w:t>11</w:t>
      </w:r>
      <w:r>
        <w:rPr>
          <w:rFonts w:ascii="Book Antiqua" w:hAnsi="Book Antiqua"/>
        </w:rPr>
        <w:t>: 395-402 [PMID: 9146781 DOI: 10.1046/j.1365-2036.1997.142318000.x]</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Bao C</w:t>
      </w:r>
      <w:r>
        <w:rPr>
          <w:rFonts w:ascii="Book Antiqua" w:hAnsi="Book Antiqua"/>
        </w:rPr>
        <w:t xml:space="preserve">, Zhang J, Liu J, Liu H, Wu L, Shi Y, Li J, Hu Z, Dong Y, Wang S, Zeng X, Wu H. Moxibustion treatment for diarrhea-predominant irritable bowel syndrome: study protocol for a randomized controlled trial. </w:t>
      </w:r>
      <w:r>
        <w:rPr>
          <w:rFonts w:ascii="Book Antiqua" w:hAnsi="Book Antiqua"/>
          <w:i/>
          <w:iCs/>
        </w:rPr>
        <w:t>BMC Complement Altern Med</w:t>
      </w:r>
      <w:r>
        <w:rPr>
          <w:rFonts w:ascii="Book Antiqua" w:hAnsi="Book Antiqua"/>
        </w:rPr>
        <w:t xml:space="preserve"> 2016; </w:t>
      </w:r>
      <w:r>
        <w:rPr>
          <w:rFonts w:ascii="Book Antiqua" w:hAnsi="Book Antiqua"/>
          <w:b/>
          <w:bCs/>
        </w:rPr>
        <w:t>16</w:t>
      </w:r>
      <w:r>
        <w:rPr>
          <w:rFonts w:ascii="Book Antiqua" w:hAnsi="Book Antiqua"/>
        </w:rPr>
        <w:t>: 408 [PMID: 27776494 DOI: 10.1186/s12906-016-1386-4]</w:t>
      </w:r>
    </w:p>
    <w:p>
      <w:pPr>
        <w:pStyle w:val="6"/>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Serra-Majem L</w:t>
      </w:r>
      <w:r>
        <w:rPr>
          <w:rFonts w:ascii="Book Antiqua" w:hAnsi="Book Antiqua"/>
        </w:rPr>
        <w:t xml:space="preserve">, García-Closas R, Ribas L, Pérez-Rodrigo C, Aranceta J. Food patterns of Spanish schoolchildren and adolescents: The enKid Study. </w:t>
      </w:r>
      <w:r>
        <w:rPr>
          <w:rFonts w:ascii="Book Antiqua" w:hAnsi="Book Antiqua"/>
          <w:i/>
          <w:iCs/>
        </w:rPr>
        <w:t>Public Health Nutr</w:t>
      </w:r>
      <w:r>
        <w:rPr>
          <w:rFonts w:ascii="Book Antiqua" w:hAnsi="Book Antiqua"/>
        </w:rPr>
        <w:t xml:space="preserve"> 2001; </w:t>
      </w:r>
      <w:r>
        <w:rPr>
          <w:rFonts w:ascii="Book Antiqua" w:hAnsi="Book Antiqua"/>
          <w:b/>
          <w:bCs/>
        </w:rPr>
        <w:t>4</w:t>
      </w:r>
      <w:r>
        <w:rPr>
          <w:rFonts w:ascii="Book Antiqua" w:hAnsi="Book Antiqua"/>
        </w:rPr>
        <w:t>: 1433-1438 [PMID: 11918496 DOI: 10.1079/phn2001234]</w:t>
      </w:r>
    </w:p>
    <w:p>
      <w:pPr>
        <w:pStyle w:val="6"/>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Serra-Majem L</w:t>
      </w:r>
      <w:r>
        <w:rPr>
          <w:rFonts w:ascii="Book Antiqua" w:hAnsi="Book Antiqua"/>
        </w:rPr>
        <w:t xml:space="preserve">, Ribas L, García A, Pérez-Rodrigo C, Aranceta J. Nutrient adequacy and Mediterranean Diet in Spanish school children and adolescents. </w:t>
      </w:r>
      <w:r>
        <w:rPr>
          <w:rFonts w:ascii="Book Antiqua" w:hAnsi="Book Antiqua"/>
          <w:i/>
          <w:iCs/>
        </w:rPr>
        <w:t>Eur J Clin Nutr</w:t>
      </w:r>
      <w:r>
        <w:rPr>
          <w:rFonts w:ascii="Book Antiqua" w:hAnsi="Book Antiqua"/>
        </w:rPr>
        <w:t xml:space="preserve"> 2003; </w:t>
      </w:r>
      <w:r>
        <w:rPr>
          <w:rFonts w:ascii="Book Antiqua" w:hAnsi="Book Antiqua"/>
          <w:b/>
          <w:bCs/>
        </w:rPr>
        <w:t>57 Suppl 1</w:t>
      </w:r>
      <w:r>
        <w:rPr>
          <w:rFonts w:ascii="Book Antiqua" w:hAnsi="Book Antiqua"/>
        </w:rPr>
        <w:t>: S35-S39 [PMID: 12947450 DOI: 10.1038/sj.ejcn.1601812]</w:t>
      </w:r>
    </w:p>
    <w:p>
      <w:pPr>
        <w:pStyle w:val="6"/>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Jalili M</w:t>
      </w:r>
      <w:r>
        <w:rPr>
          <w:rFonts w:ascii="Book Antiqua" w:hAnsi="Book Antiqua"/>
        </w:rPr>
        <w:t xml:space="preserve">, Hekmatdoost A, Vahedi H, Poustchi H, Khademi B, Saadi M, Zemestani M, Janani L. Co-Administration of Soy Isoflavones and Vitamin D in Management of Irritable Bowel Disease. </w:t>
      </w:r>
      <w:r>
        <w:rPr>
          <w:rFonts w:ascii="Book Antiqua" w:hAnsi="Book Antiqua"/>
          <w:i/>
          <w:iCs/>
        </w:rPr>
        <w:t>PLoS One</w:t>
      </w:r>
      <w:r>
        <w:rPr>
          <w:rFonts w:ascii="Book Antiqua" w:hAnsi="Book Antiqua"/>
        </w:rPr>
        <w:t xml:space="preserve"> 2016; </w:t>
      </w:r>
      <w:r>
        <w:rPr>
          <w:rFonts w:ascii="Book Antiqua" w:hAnsi="Book Antiqua"/>
          <w:b/>
          <w:bCs/>
        </w:rPr>
        <w:t>11</w:t>
      </w:r>
      <w:r>
        <w:rPr>
          <w:rFonts w:ascii="Book Antiqua" w:hAnsi="Book Antiqua"/>
        </w:rPr>
        <w:t>: e0158545 [PMID: 27490103 DOI: 10.1371/journal.pone.0158545]</w:t>
      </w:r>
    </w:p>
    <w:p>
      <w:pPr>
        <w:pStyle w:val="6"/>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Esteban-Cornejo I</w:t>
      </w:r>
      <w:r>
        <w:rPr>
          <w:rFonts w:ascii="Book Antiqua" w:hAnsi="Book Antiqua"/>
        </w:rPr>
        <w:t xml:space="preserve">, Izquierdo-Gomez R, Gómez-Martínez S, Padilla-Moledo C, Castro-Piñero J, Marcos A, Veiga OL. Adherence to the Mediterranean diet and academic performance in youth: the UP&amp;DOWN study. </w:t>
      </w:r>
      <w:r>
        <w:rPr>
          <w:rFonts w:ascii="Book Antiqua" w:hAnsi="Book Antiqua"/>
          <w:i/>
          <w:iCs/>
        </w:rPr>
        <w:t>Eur J Nutr</w:t>
      </w:r>
      <w:r>
        <w:rPr>
          <w:rFonts w:ascii="Book Antiqua" w:hAnsi="Book Antiqua"/>
        </w:rPr>
        <w:t xml:space="preserve"> 2016; </w:t>
      </w:r>
      <w:r>
        <w:rPr>
          <w:rFonts w:ascii="Book Antiqua" w:hAnsi="Book Antiqua"/>
          <w:b/>
          <w:bCs/>
        </w:rPr>
        <w:t>55</w:t>
      </w:r>
      <w:r>
        <w:rPr>
          <w:rFonts w:ascii="Book Antiqua" w:hAnsi="Book Antiqua"/>
        </w:rPr>
        <w:t>: 1133-1140 [PMID: 25975266 DOI: 10.1007/s00394-015-0927-9]</w:t>
      </w:r>
    </w:p>
    <w:p>
      <w:pPr>
        <w:pStyle w:val="6"/>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Calatayud-Sáez FM</w:t>
      </w:r>
      <w:r>
        <w:rPr>
          <w:rFonts w:ascii="Book Antiqua" w:hAnsi="Book Antiqua"/>
        </w:rPr>
        <w:t xml:space="preserve">, Calatayud Moscoso Del Prado B, Gallego Fernández-Pacheco JG, González-Martín C, Alguacil Merino LF. Mediterranean diet and childhood asthma. </w:t>
      </w:r>
      <w:r>
        <w:rPr>
          <w:rFonts w:ascii="Book Antiqua" w:hAnsi="Book Antiqua"/>
          <w:i/>
          <w:iCs/>
        </w:rPr>
        <w:t>Allergol Immunopathol (Madr)</w:t>
      </w:r>
      <w:r>
        <w:rPr>
          <w:rFonts w:ascii="Book Antiqua" w:hAnsi="Book Antiqua"/>
        </w:rPr>
        <w:t xml:space="preserve"> 2016; </w:t>
      </w:r>
      <w:r>
        <w:rPr>
          <w:rFonts w:ascii="Book Antiqua" w:hAnsi="Book Antiqua"/>
          <w:b/>
          <w:bCs/>
        </w:rPr>
        <w:t>44</w:t>
      </w:r>
      <w:r>
        <w:rPr>
          <w:rFonts w:ascii="Book Antiqua" w:hAnsi="Book Antiqua"/>
        </w:rPr>
        <w:t>: 99-105 [PMID: 26278484 DOI: 10.1016/j.aller.2015.04.007]</w:t>
      </w:r>
    </w:p>
    <w:p>
      <w:pPr>
        <w:pStyle w:val="6"/>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Calatayud FM</w:t>
      </w:r>
      <w:r>
        <w:rPr>
          <w:rFonts w:ascii="Book Antiqua" w:hAnsi="Book Antiqua"/>
        </w:rPr>
        <w:t xml:space="preserve">, Calatayud B, Gallego JG, González-Martín C, Alguacil LF. Effects of Mediterranean diet in patients with recurring colds and frequent complications. </w:t>
      </w:r>
      <w:r>
        <w:rPr>
          <w:rFonts w:ascii="Book Antiqua" w:hAnsi="Book Antiqua"/>
          <w:i/>
          <w:iCs/>
        </w:rPr>
        <w:t>Allergol Immunopathol (Madr)</w:t>
      </w:r>
      <w:r>
        <w:rPr>
          <w:rFonts w:ascii="Book Antiqua" w:hAnsi="Book Antiqua"/>
        </w:rPr>
        <w:t xml:space="preserve"> 2017; </w:t>
      </w:r>
      <w:r>
        <w:rPr>
          <w:rFonts w:ascii="Book Antiqua" w:hAnsi="Book Antiqua"/>
          <w:b/>
          <w:bCs/>
        </w:rPr>
        <w:t>45</w:t>
      </w:r>
      <w:r>
        <w:rPr>
          <w:rFonts w:ascii="Book Antiqua" w:hAnsi="Book Antiqua"/>
        </w:rPr>
        <w:t>: 417-424 [PMID: 27939720 DOI: 10.1016/j.aller.2016.08.006]</w:t>
      </w:r>
    </w:p>
    <w:p>
      <w:pPr>
        <w:pStyle w:val="6"/>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Reddavide R</w:t>
      </w:r>
      <w:r>
        <w:rPr>
          <w:rFonts w:ascii="Book Antiqua" w:hAnsi="Book Antiqua"/>
        </w:rPr>
        <w:t xml:space="preserve">, Rotolo O, Caruso MG, Stasi E, Notarnicola M, Miraglia C, Nouvenne A, Meschi T, De' Angelis GL, Di Mario F, Leandro G. The role of diet in the prevention and treatment of Inflammatory Bowel Diseases. </w:t>
      </w:r>
      <w:r>
        <w:rPr>
          <w:rFonts w:ascii="Book Antiqua" w:hAnsi="Book Antiqua"/>
          <w:i/>
          <w:iCs/>
        </w:rPr>
        <w:t>Acta Biomed</w:t>
      </w:r>
      <w:r>
        <w:rPr>
          <w:rFonts w:ascii="Book Antiqua" w:hAnsi="Book Antiqua"/>
        </w:rPr>
        <w:t xml:space="preserve"> 2018; </w:t>
      </w:r>
      <w:r>
        <w:rPr>
          <w:rFonts w:ascii="Book Antiqua" w:hAnsi="Book Antiqua"/>
          <w:b/>
          <w:bCs/>
        </w:rPr>
        <w:t>89</w:t>
      </w:r>
      <w:r>
        <w:rPr>
          <w:rFonts w:ascii="Book Antiqua" w:hAnsi="Book Antiqua"/>
        </w:rPr>
        <w:t>: 60-75 [PMID: 30561397 DOI: 10.23750/abm.v89i9-S.7952]</w:t>
      </w:r>
    </w:p>
    <w:p>
      <w:pPr>
        <w:pStyle w:val="6"/>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Elmaliklis IN</w:t>
      </w:r>
      <w:r>
        <w:rPr>
          <w:rFonts w:ascii="Book Antiqua" w:hAnsi="Book Antiqua"/>
        </w:rPr>
        <w:t>, Liveri A, Ntelis B, Paraskeva K, Goulis I, Koutelidakis AE. Increased Functional Foods' Consumption and Mediterranean Diet Adherence May Have a Protective Effect in the Appearance of Gastrointestinal Diseases: A Case</w:t>
      </w:r>
      <w:r>
        <w:rPr>
          <w:rFonts w:ascii="Times New Roman" w:hAnsi="Times New Roman" w:eastAsia="MS Gothic" w:cs="Times New Roman"/>
        </w:rPr>
        <w:t>⁻</w:t>
      </w:r>
      <w:r>
        <w:rPr>
          <w:rFonts w:ascii="Book Antiqua" w:hAnsi="Book Antiqua"/>
        </w:rPr>
        <w:t xml:space="preserve">Control Study. </w:t>
      </w:r>
      <w:r>
        <w:rPr>
          <w:rFonts w:ascii="Book Antiqua" w:hAnsi="Book Antiqua"/>
          <w:i/>
          <w:iCs/>
        </w:rPr>
        <w:t>Medicines (Basel)</w:t>
      </w:r>
      <w:r>
        <w:rPr>
          <w:rFonts w:ascii="Book Antiqua" w:hAnsi="Book Antiqua"/>
        </w:rPr>
        <w:t xml:space="preserve"> 2019; </w:t>
      </w:r>
      <w:r>
        <w:rPr>
          <w:rFonts w:ascii="Book Antiqua" w:hAnsi="Book Antiqua"/>
          <w:b/>
          <w:bCs/>
        </w:rPr>
        <w:t>6</w:t>
      </w:r>
      <w:r>
        <w:rPr>
          <w:rFonts w:ascii="Book Antiqua" w:hAnsi="Book Antiqua"/>
        </w:rPr>
        <w:t xml:space="preserve"> [PMID: 30970582 DOI: 10.3390/medicines6020050]</w:t>
      </w:r>
    </w:p>
    <w:p>
      <w:pPr>
        <w:pStyle w:val="6"/>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Zito FP</w:t>
      </w:r>
      <w:r>
        <w:rPr>
          <w:rFonts w:ascii="Book Antiqua" w:hAnsi="Book Antiqua"/>
        </w:rPr>
        <w:t xml:space="preserve">, Polese B, Vozzella L, Gala A, Genovese D, Verlezza V, Medugno F, Santini A, Barrea L, Cargiolli M, Andreozzi P, Sarnelli G, Cuomo R. Good adherence to mediterranean diet can prevent gastrointestinal symptoms: A survey from Southern Italy. </w:t>
      </w:r>
      <w:r>
        <w:rPr>
          <w:rFonts w:ascii="Book Antiqua" w:hAnsi="Book Antiqua"/>
          <w:i/>
          <w:iCs/>
        </w:rPr>
        <w:t>World J Gastrointest Pharmacol Ther</w:t>
      </w:r>
      <w:r>
        <w:rPr>
          <w:rFonts w:ascii="Book Antiqua" w:hAnsi="Book Antiqua"/>
        </w:rPr>
        <w:t xml:space="preserve"> 2016; </w:t>
      </w:r>
      <w:r>
        <w:rPr>
          <w:rFonts w:ascii="Book Antiqua" w:hAnsi="Book Antiqua"/>
          <w:b/>
          <w:bCs/>
        </w:rPr>
        <w:t>7</w:t>
      </w:r>
      <w:r>
        <w:rPr>
          <w:rFonts w:ascii="Book Antiqua" w:hAnsi="Book Antiqua"/>
        </w:rPr>
        <w:t>: 564-571 [PMID: 27867690 DOI: 10.4292/wjgpt.v7.i4.564]</w:t>
      </w:r>
    </w:p>
    <w:p>
      <w:pPr>
        <w:pStyle w:val="6"/>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Strisciuglio C</w:t>
      </w:r>
      <w:r>
        <w:rPr>
          <w:rFonts w:ascii="Book Antiqua" w:hAnsi="Book Antiqua"/>
        </w:rPr>
        <w:t xml:space="preserve">, Giugliano F, Martinelli M, Cenni S, Greco L, Staiano A, Miele E. Impact of Environmental and Familial Factors in a Cohort of Pediatric Patients With Inflammatory Bowel Disease. </w:t>
      </w:r>
      <w:r>
        <w:rPr>
          <w:rFonts w:ascii="Book Antiqua" w:hAnsi="Book Antiqua"/>
          <w:i/>
          <w:iCs/>
        </w:rPr>
        <w:t>J Pediatr Gastroenterol Nutr</w:t>
      </w:r>
      <w:r>
        <w:rPr>
          <w:rFonts w:ascii="Book Antiqua" w:hAnsi="Book Antiqua"/>
        </w:rPr>
        <w:t xml:space="preserve"> 2017; </w:t>
      </w:r>
      <w:r>
        <w:rPr>
          <w:rFonts w:ascii="Book Antiqua" w:hAnsi="Book Antiqua"/>
          <w:b/>
          <w:bCs/>
        </w:rPr>
        <w:t>64</w:t>
      </w:r>
      <w:r>
        <w:rPr>
          <w:rFonts w:ascii="Book Antiqua" w:hAnsi="Book Antiqua"/>
        </w:rPr>
        <w:t>: 569-574 [PMID: 27306105 DOI: 10.1097/MPG.0000000000001297]</w:t>
      </w:r>
    </w:p>
    <w:p>
      <w:pPr>
        <w:pStyle w:val="6"/>
        <w:spacing w:before="0" w:beforeAutospacing="0" w:after="0" w:afterAutospacing="0" w:line="360" w:lineRule="auto"/>
        <w:jc w:val="both"/>
        <w:rPr>
          <w:rFonts w:ascii="Book Antiqua" w:hAnsi="Book Antiqua"/>
        </w:rPr>
      </w:pPr>
      <w:r>
        <w:rPr>
          <w:rFonts w:ascii="Book Antiqua" w:hAnsi="Book Antiqua"/>
        </w:rPr>
        <w:t xml:space="preserve">29 </w:t>
      </w:r>
      <w:r>
        <w:rPr>
          <w:rFonts w:ascii="Book Antiqua" w:hAnsi="Book Antiqua"/>
          <w:b/>
          <w:bCs/>
        </w:rPr>
        <w:t>David LA</w:t>
      </w:r>
      <w:r>
        <w:rPr>
          <w:rFonts w:ascii="Book Antiqua" w:hAnsi="Book Antiqua"/>
        </w:rPr>
        <w:t xml:space="preserve">, Maurice CF, Carmody RN, Gootenberg DB, Button JE, Wolfe BE, Ling AV, Devlin AS, Varma Y, Fischbach MA, Biddinger SB, Dutton RJ, Turnbaugh PJ. Diet rapidly and reproducibly alters the human gut microbiome. </w:t>
      </w:r>
      <w:r>
        <w:rPr>
          <w:rFonts w:ascii="Book Antiqua" w:hAnsi="Book Antiqua"/>
          <w:i/>
          <w:iCs/>
        </w:rPr>
        <w:t>Nature</w:t>
      </w:r>
      <w:r>
        <w:rPr>
          <w:rFonts w:ascii="Book Antiqua" w:hAnsi="Book Antiqua"/>
        </w:rPr>
        <w:t xml:space="preserve"> 2014; </w:t>
      </w:r>
      <w:r>
        <w:rPr>
          <w:rFonts w:ascii="Book Antiqua" w:hAnsi="Book Antiqua"/>
          <w:b/>
          <w:bCs/>
        </w:rPr>
        <w:t>505</w:t>
      </w:r>
      <w:r>
        <w:rPr>
          <w:rFonts w:ascii="Book Antiqua" w:hAnsi="Book Antiqua"/>
        </w:rPr>
        <w:t>: 559-563 [PMID: 24336217 DOI: 10.1038/nature12820]</w:t>
      </w:r>
    </w:p>
    <w:p>
      <w:pPr>
        <w:pStyle w:val="6"/>
        <w:spacing w:before="0" w:beforeAutospacing="0" w:after="0" w:afterAutospacing="0" w:line="360" w:lineRule="auto"/>
        <w:jc w:val="both"/>
        <w:rPr>
          <w:rFonts w:ascii="Book Antiqua" w:hAnsi="Book Antiqua"/>
        </w:rPr>
      </w:pPr>
      <w:r>
        <w:rPr>
          <w:rFonts w:ascii="Book Antiqua" w:hAnsi="Book Antiqua"/>
        </w:rPr>
        <w:t xml:space="preserve">30 </w:t>
      </w:r>
      <w:r>
        <w:rPr>
          <w:rFonts w:ascii="Book Antiqua" w:hAnsi="Book Antiqua"/>
          <w:b/>
          <w:bCs/>
        </w:rPr>
        <w:t>Ologhobo AD</w:t>
      </w:r>
      <w:r>
        <w:rPr>
          <w:rFonts w:ascii="Book Antiqua" w:hAnsi="Book Antiqua"/>
        </w:rPr>
        <w:t xml:space="preserve">, Adegede HI, Maduagiwu EN. Occurrence of nitrate, nitrite and volatile nitrosamines in certain feedstuffs and animal products. </w:t>
      </w:r>
      <w:r>
        <w:rPr>
          <w:rFonts w:ascii="Book Antiqua" w:hAnsi="Book Antiqua"/>
          <w:i/>
          <w:iCs/>
        </w:rPr>
        <w:t>Nutr Health</w:t>
      </w:r>
      <w:r>
        <w:rPr>
          <w:rFonts w:ascii="Book Antiqua" w:hAnsi="Book Antiqua"/>
        </w:rPr>
        <w:t xml:space="preserve"> 1996; </w:t>
      </w:r>
      <w:r>
        <w:rPr>
          <w:rFonts w:ascii="Book Antiqua" w:hAnsi="Book Antiqua"/>
          <w:b/>
          <w:bCs/>
        </w:rPr>
        <w:t>11</w:t>
      </w:r>
      <w:r>
        <w:rPr>
          <w:rFonts w:ascii="Book Antiqua" w:hAnsi="Book Antiqua"/>
        </w:rPr>
        <w:t>: 109-114 [PMID: 8994234 DOI: 10.1177/026010609601100203]</w:t>
      </w:r>
    </w:p>
    <w:p>
      <w:pPr>
        <w:pStyle w:val="6"/>
        <w:spacing w:before="0" w:beforeAutospacing="0" w:after="0" w:afterAutospacing="0" w:line="360" w:lineRule="auto"/>
        <w:jc w:val="both"/>
        <w:rPr>
          <w:rFonts w:ascii="Book Antiqua" w:hAnsi="Book Antiqua"/>
        </w:rPr>
      </w:pPr>
      <w:r>
        <w:rPr>
          <w:rFonts w:ascii="Book Antiqua" w:hAnsi="Book Antiqua"/>
        </w:rPr>
        <w:t xml:space="preserve">31 </w:t>
      </w:r>
      <w:r>
        <w:rPr>
          <w:rFonts w:ascii="Book Antiqua" w:hAnsi="Book Antiqua"/>
          <w:b/>
          <w:bCs/>
        </w:rPr>
        <w:t>van Faassen EE</w:t>
      </w:r>
      <w:r>
        <w:rPr>
          <w:rFonts w:ascii="Book Antiqua" w:hAnsi="Book Antiqua"/>
        </w:rPr>
        <w:t xml:space="preserve">, Bahrami S, Feelisch M, Hogg N, Kelm M, Kim-Shapiro DB, Kozlov AV, Li H, Lundberg JO, Mason R, Nohl H, Rassaf T, Samouilov A, Slama-Schwok A, Shiva S, Vanin AF, Weitzberg E, Zweier J, Gladwin MT. Nitrite as regulator of hypoxic signaling in mammalian physiology. </w:t>
      </w:r>
      <w:r>
        <w:rPr>
          <w:rFonts w:ascii="Book Antiqua" w:hAnsi="Book Antiqua"/>
          <w:i/>
          <w:iCs/>
        </w:rPr>
        <w:t>Med Res Rev</w:t>
      </w:r>
      <w:r>
        <w:rPr>
          <w:rFonts w:ascii="Book Antiqua" w:hAnsi="Book Antiqua"/>
        </w:rPr>
        <w:t xml:space="preserve"> 2009; </w:t>
      </w:r>
      <w:r>
        <w:rPr>
          <w:rFonts w:ascii="Book Antiqua" w:hAnsi="Book Antiqua"/>
          <w:b/>
          <w:bCs/>
        </w:rPr>
        <w:t>29</w:t>
      </w:r>
      <w:r>
        <w:rPr>
          <w:rFonts w:ascii="Book Antiqua" w:hAnsi="Book Antiqua"/>
        </w:rPr>
        <w:t>: 683-741 [PMID: 19219851 DOI: 10.1002/med.20151]</w:t>
      </w:r>
    </w:p>
    <w:p>
      <w:pPr>
        <w:pStyle w:val="6"/>
        <w:spacing w:before="0" w:beforeAutospacing="0" w:after="0" w:afterAutospacing="0" w:line="360" w:lineRule="auto"/>
        <w:jc w:val="both"/>
        <w:rPr>
          <w:rFonts w:ascii="Book Antiqua" w:hAnsi="Book Antiqua"/>
        </w:rPr>
      </w:pPr>
      <w:r>
        <w:rPr>
          <w:rFonts w:ascii="Book Antiqua" w:hAnsi="Book Antiqua"/>
        </w:rPr>
        <w:t xml:space="preserve">32 </w:t>
      </w:r>
      <w:r>
        <w:rPr>
          <w:rFonts w:ascii="Book Antiqua" w:hAnsi="Book Antiqua"/>
          <w:b/>
          <w:bCs/>
        </w:rPr>
        <w:t>Serhan CN</w:t>
      </w:r>
      <w:r>
        <w:rPr>
          <w:rFonts w:ascii="Book Antiqua" w:hAnsi="Book Antiqua"/>
        </w:rPr>
        <w:t xml:space="preserve">, Hong S, Gronert K, Colgan SP, Devchand PR, Mirick G, Moussignac RL. Resolvins: a family of bioactive products of omega-3 fatty acid transformation circuits initiated by aspirin treatment that counter proinflammation signals. </w:t>
      </w:r>
      <w:r>
        <w:rPr>
          <w:rFonts w:ascii="Book Antiqua" w:hAnsi="Book Antiqua"/>
          <w:i/>
          <w:iCs/>
        </w:rPr>
        <w:t>J Exp Med</w:t>
      </w:r>
      <w:r>
        <w:rPr>
          <w:rFonts w:ascii="Book Antiqua" w:hAnsi="Book Antiqua"/>
        </w:rPr>
        <w:t xml:space="preserve"> 2002; </w:t>
      </w:r>
      <w:r>
        <w:rPr>
          <w:rFonts w:ascii="Book Antiqua" w:hAnsi="Book Antiqua"/>
          <w:b/>
          <w:bCs/>
        </w:rPr>
        <w:t>196</w:t>
      </w:r>
      <w:r>
        <w:rPr>
          <w:rFonts w:ascii="Book Antiqua" w:hAnsi="Book Antiqua"/>
        </w:rPr>
        <w:t>: 1025-1037 [PMID: 12391014 DOI: 10.1084/jem.20020760]</w:t>
      </w:r>
    </w:p>
    <w:p>
      <w:pPr>
        <w:pStyle w:val="6"/>
        <w:spacing w:before="0" w:beforeAutospacing="0" w:after="0" w:afterAutospacing="0" w:line="360" w:lineRule="auto"/>
        <w:jc w:val="both"/>
        <w:rPr>
          <w:rFonts w:ascii="Book Antiqua" w:hAnsi="Book Antiqua"/>
        </w:rPr>
      </w:pPr>
      <w:r>
        <w:rPr>
          <w:rFonts w:ascii="Book Antiqua" w:hAnsi="Book Antiqua"/>
        </w:rPr>
        <w:t xml:space="preserve">33 </w:t>
      </w:r>
      <w:r>
        <w:rPr>
          <w:rFonts w:ascii="Book Antiqua" w:hAnsi="Book Antiqua"/>
          <w:b/>
          <w:bCs/>
        </w:rPr>
        <w:t>Serhan CN</w:t>
      </w:r>
      <w:r>
        <w:rPr>
          <w:rFonts w:ascii="Book Antiqua" w:hAnsi="Book Antiqua"/>
        </w:rPr>
        <w:t xml:space="preserve">, Clish CB, Brannon J, Colgan SP, Chiang N, Gronert K. Novel functional sets of lipid-derived mediators with anti-inflammatory actions generated from omega-3 fatty acids via cyclooxygenase 2-nonsteroidal anti-inflammatory drugs and transcellular processing. </w:t>
      </w:r>
      <w:r>
        <w:rPr>
          <w:rFonts w:ascii="Book Antiqua" w:hAnsi="Book Antiqua"/>
          <w:i/>
          <w:iCs/>
        </w:rPr>
        <w:t>J Exp Med</w:t>
      </w:r>
      <w:r>
        <w:rPr>
          <w:rFonts w:ascii="Book Antiqua" w:hAnsi="Book Antiqua"/>
        </w:rPr>
        <w:t xml:space="preserve"> 2000; </w:t>
      </w:r>
      <w:r>
        <w:rPr>
          <w:rFonts w:ascii="Book Antiqua" w:hAnsi="Book Antiqua"/>
          <w:b/>
          <w:bCs/>
        </w:rPr>
        <w:t>192</w:t>
      </w:r>
      <w:r>
        <w:rPr>
          <w:rFonts w:ascii="Book Antiqua" w:hAnsi="Book Antiqua"/>
        </w:rPr>
        <w:t>: 1197-1204 [PMID: 11034610 DOI: 10.1084/jem.192.8.1197]</w:t>
      </w:r>
    </w:p>
    <w:p>
      <w:pPr>
        <w:pStyle w:val="6"/>
        <w:spacing w:before="0" w:beforeAutospacing="0" w:after="0" w:afterAutospacing="0" w:line="360" w:lineRule="auto"/>
        <w:jc w:val="both"/>
        <w:rPr>
          <w:rFonts w:ascii="Book Antiqua" w:hAnsi="Book Antiqua"/>
        </w:rPr>
      </w:pPr>
      <w:r>
        <w:rPr>
          <w:rFonts w:ascii="Book Antiqua" w:hAnsi="Book Antiqua"/>
        </w:rPr>
        <w:t xml:space="preserve">34 </w:t>
      </w:r>
      <w:r>
        <w:rPr>
          <w:rFonts w:ascii="Book Antiqua" w:hAnsi="Book Antiqua"/>
          <w:b/>
          <w:bCs/>
        </w:rPr>
        <w:t>Serhan CN</w:t>
      </w:r>
      <w:r>
        <w:rPr>
          <w:rFonts w:ascii="Book Antiqua" w:hAnsi="Book Antiqua"/>
        </w:rPr>
        <w:t xml:space="preserve">, Gotlinger K, Hong S, Arita M. Resolvins, docosatrienes, and neuroprotectins, novel omega-3-derived mediators, and their aspirin-triggered endogenous epimers: an overview of their protective roles in catabasis. </w:t>
      </w:r>
      <w:r>
        <w:rPr>
          <w:rFonts w:ascii="Book Antiqua" w:hAnsi="Book Antiqua"/>
          <w:i/>
          <w:iCs/>
        </w:rPr>
        <w:t>Prostaglandins Other Lipid Mediat</w:t>
      </w:r>
      <w:r>
        <w:rPr>
          <w:rFonts w:ascii="Book Antiqua" w:hAnsi="Book Antiqua"/>
        </w:rPr>
        <w:t xml:space="preserve"> 2004; </w:t>
      </w:r>
      <w:r>
        <w:rPr>
          <w:rFonts w:ascii="Book Antiqua" w:hAnsi="Book Antiqua"/>
          <w:b/>
          <w:bCs/>
        </w:rPr>
        <w:t>73</w:t>
      </w:r>
      <w:r>
        <w:rPr>
          <w:rFonts w:ascii="Book Antiqua" w:hAnsi="Book Antiqua"/>
        </w:rPr>
        <w:t>: 155-172 [PMID: 15290791 DOI: 10.1016/j.prostaglandins.2004.03.005]</w:t>
      </w:r>
    </w:p>
    <w:p>
      <w:pPr>
        <w:pStyle w:val="6"/>
        <w:spacing w:before="0" w:beforeAutospacing="0" w:after="0" w:afterAutospacing="0" w:line="360" w:lineRule="auto"/>
        <w:jc w:val="both"/>
        <w:rPr>
          <w:rFonts w:ascii="Book Antiqua" w:hAnsi="Book Antiqua"/>
        </w:rPr>
      </w:pPr>
      <w:r>
        <w:rPr>
          <w:rFonts w:ascii="Book Antiqua" w:hAnsi="Book Antiqua"/>
        </w:rPr>
        <w:t xml:space="preserve">35 </w:t>
      </w:r>
      <w:r>
        <w:rPr>
          <w:rFonts w:ascii="Book Antiqua" w:hAnsi="Book Antiqua"/>
          <w:b/>
          <w:bCs/>
        </w:rPr>
        <w:t>Bannenberg GL</w:t>
      </w:r>
      <w:r>
        <w:rPr>
          <w:rFonts w:ascii="Book Antiqua" w:hAnsi="Book Antiqua"/>
        </w:rPr>
        <w:t xml:space="preserve">, Chiang N, Ariel A, Arita M, Tjonahen E, Gotlinger KH, Hong S, Serhan CN. Molecular circuits of resolution: formation and actions of resolvins and protectins. </w:t>
      </w:r>
      <w:r>
        <w:rPr>
          <w:rFonts w:ascii="Book Antiqua" w:hAnsi="Book Antiqua"/>
          <w:i/>
          <w:iCs/>
        </w:rPr>
        <w:t>J Immunol</w:t>
      </w:r>
      <w:r>
        <w:rPr>
          <w:rFonts w:ascii="Book Antiqua" w:hAnsi="Book Antiqua"/>
        </w:rPr>
        <w:t xml:space="preserve"> 2005; </w:t>
      </w:r>
      <w:r>
        <w:rPr>
          <w:rFonts w:ascii="Book Antiqua" w:hAnsi="Book Antiqua"/>
          <w:b/>
          <w:bCs/>
        </w:rPr>
        <w:t>174</w:t>
      </w:r>
      <w:r>
        <w:rPr>
          <w:rFonts w:ascii="Book Antiqua" w:hAnsi="Book Antiqua"/>
        </w:rPr>
        <w:t>: 4345-4355 [PMID: 15778399 DOI: 10.4049/jimmunol.174.7.4345]</w:t>
      </w:r>
    </w:p>
    <w:p>
      <w:pPr>
        <w:pStyle w:val="6"/>
        <w:spacing w:before="0" w:beforeAutospacing="0" w:after="0" w:afterAutospacing="0" w:line="360" w:lineRule="auto"/>
        <w:jc w:val="both"/>
        <w:rPr>
          <w:rFonts w:ascii="Book Antiqua" w:hAnsi="Book Antiqua"/>
        </w:rPr>
      </w:pPr>
      <w:r>
        <w:rPr>
          <w:rFonts w:ascii="Book Antiqua" w:hAnsi="Book Antiqua"/>
        </w:rPr>
        <w:t xml:space="preserve">36 </w:t>
      </w:r>
      <w:r>
        <w:rPr>
          <w:rFonts w:ascii="Book Antiqua" w:hAnsi="Book Antiqua"/>
          <w:b/>
          <w:bCs/>
        </w:rPr>
        <w:t>Koenitzer JR</w:t>
      </w:r>
      <w:r>
        <w:rPr>
          <w:rFonts w:ascii="Book Antiqua" w:hAnsi="Book Antiqua"/>
        </w:rPr>
        <w:t xml:space="preserve">, Freeman BA. Redox signaling in inflammation: interactions of endogenous electrophiles and mitochondria in cardiovascular disease. </w:t>
      </w:r>
      <w:r>
        <w:rPr>
          <w:rFonts w:ascii="Book Antiqua" w:hAnsi="Book Antiqua"/>
          <w:i/>
          <w:iCs/>
        </w:rPr>
        <w:t>Ann N Y Acad Sci</w:t>
      </w:r>
      <w:r>
        <w:rPr>
          <w:rFonts w:ascii="Book Antiqua" w:hAnsi="Book Antiqua"/>
        </w:rPr>
        <w:t xml:space="preserve"> 2010; </w:t>
      </w:r>
      <w:r>
        <w:rPr>
          <w:rFonts w:ascii="Book Antiqua" w:hAnsi="Book Antiqua"/>
          <w:b/>
          <w:bCs/>
        </w:rPr>
        <w:t>1203</w:t>
      </w:r>
      <w:r>
        <w:rPr>
          <w:rFonts w:ascii="Book Antiqua" w:hAnsi="Book Antiqua"/>
        </w:rPr>
        <w:t>: 45-52 [PMID: 20716282 DOI: 10.1111/j.1749-6632.2010.05559.x]</w:t>
      </w:r>
    </w:p>
    <w:p>
      <w:pPr>
        <w:pStyle w:val="6"/>
        <w:spacing w:before="0" w:beforeAutospacing="0" w:after="0" w:afterAutospacing="0" w:line="360" w:lineRule="auto"/>
        <w:jc w:val="both"/>
        <w:rPr>
          <w:rFonts w:ascii="Book Antiqua" w:hAnsi="Book Antiqua"/>
        </w:rPr>
      </w:pPr>
      <w:r>
        <w:rPr>
          <w:rFonts w:ascii="Book Antiqua" w:hAnsi="Book Antiqua"/>
        </w:rPr>
        <w:t xml:space="preserve">37 </w:t>
      </w:r>
      <w:r>
        <w:rPr>
          <w:rFonts w:ascii="Book Antiqua" w:hAnsi="Book Antiqua"/>
          <w:b/>
          <w:bCs/>
        </w:rPr>
        <w:t>Groeger AL</w:t>
      </w:r>
      <w:r>
        <w:rPr>
          <w:rFonts w:ascii="Book Antiqua" w:hAnsi="Book Antiqua"/>
        </w:rPr>
        <w:t xml:space="preserve">, Cipollina C, Cole MP, Woodcock SR, Bonacci G, Rudolph TK, Rudolph V, Freeman BA, Schopfer FJ. Cyclooxygenase-2 generates anti-inflammatory mediators from omega-3 fatty acids. </w:t>
      </w:r>
      <w:r>
        <w:rPr>
          <w:rFonts w:ascii="Book Antiqua" w:hAnsi="Book Antiqua"/>
          <w:i/>
          <w:iCs/>
        </w:rPr>
        <w:t>Nat Chem Biol</w:t>
      </w:r>
      <w:r>
        <w:rPr>
          <w:rFonts w:ascii="Book Antiqua" w:hAnsi="Book Antiqua"/>
        </w:rPr>
        <w:t xml:space="preserve"> 2010; </w:t>
      </w:r>
      <w:r>
        <w:rPr>
          <w:rFonts w:ascii="Book Antiqua" w:hAnsi="Book Antiqua"/>
          <w:b/>
          <w:bCs/>
        </w:rPr>
        <w:t>6</w:t>
      </w:r>
      <w:r>
        <w:rPr>
          <w:rFonts w:ascii="Book Antiqua" w:hAnsi="Book Antiqua"/>
        </w:rPr>
        <w:t>: 433-441 [PMID: 20436486 DOI: 10.1038/nchembio.367]</w:t>
      </w:r>
    </w:p>
    <w:p>
      <w:pPr>
        <w:pStyle w:val="6"/>
        <w:spacing w:before="0" w:beforeAutospacing="0" w:after="0" w:afterAutospacing="0" w:line="360" w:lineRule="auto"/>
        <w:jc w:val="both"/>
        <w:rPr>
          <w:rFonts w:ascii="Book Antiqua" w:hAnsi="Book Antiqua"/>
        </w:rPr>
      </w:pPr>
      <w:r>
        <w:rPr>
          <w:rFonts w:ascii="Book Antiqua" w:hAnsi="Book Antiqua"/>
        </w:rPr>
        <w:t xml:space="preserve">38 </w:t>
      </w:r>
      <w:r>
        <w:rPr>
          <w:rFonts w:ascii="Book Antiqua" w:hAnsi="Book Antiqua"/>
          <w:b/>
          <w:bCs/>
        </w:rPr>
        <w:t>De Filippis F</w:t>
      </w:r>
      <w:r>
        <w:rPr>
          <w:rFonts w:ascii="Book Antiqua" w:hAnsi="Book Antiqua"/>
        </w:rPr>
        <w:t xml:space="preserve">, Pellegrini N, Vannini L, Jeffery IB, La Storia A, Laghi L, Serrazanetti DI, Di Cagno R, Ferrocino I, Lazzi C, Turroni S, Cocolin L, Brigidi P, Neviani E, Gobbetti M, O'Toole PW, Ercolini D. High-level adherence to a Mediterranean diet beneficially impacts the gut microbiota and associated metabolome.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1812-1821 [PMID: 26416813 DOI: 10.1136/gutjnl-2015-309957]</w:t>
      </w:r>
    </w:p>
    <w:p>
      <w:pPr>
        <w:spacing w:line="360" w:lineRule="auto"/>
        <w:jc w:val="both"/>
        <w:rPr>
          <w:rFonts w:ascii="Book Antiqua" w:hAnsi="Book Antiqua" w:cs="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We performed to study according to the latest version of Helsinki's Declaration. The Research and Ethics Committee at the Ministry of Health, Kingdom of Bahrain, approved the study.</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Informed consent statement: </w:t>
      </w:r>
      <w:r>
        <w:rPr>
          <w:rFonts w:ascii="Book Antiqua" w:hAnsi="Book Antiqua" w:eastAsia="Book Antiqua" w:cs="Book Antiqua"/>
          <w:color w:val="000000" w:themeColor="text1"/>
          <w14:textFill>
            <w14:solidFill>
              <w14:schemeClr w14:val="tx1"/>
            </w14:solidFill>
          </w14:textFill>
        </w:rPr>
        <w:t>An informed written consent was signed by all subjects (and their caregivers).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None of the authors had potential undisclosed conflicts</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of interest.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shd w:val="clear" w:color="auto" w:fill="FFFFFF"/>
          <w14:textFill>
            <w14:solidFill>
              <w14:schemeClr w14:val="tx1"/>
            </w14:solidFill>
          </w14:textFill>
        </w:rPr>
        <w:t>Data are available upon reasonable request.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STROBE statement: </w:t>
      </w:r>
      <w:r>
        <w:rPr>
          <w:rFonts w:ascii="Book Antiqua" w:hAnsi="Book Antiqua" w:eastAsia="Book Antiqua" w:cs="Book Antiqua"/>
          <w:color w:val="000000" w:themeColor="text1"/>
          <w14:textFill>
            <w14:solidFill>
              <w14:schemeClr w14:val="tx1"/>
            </w14:solidFill>
          </w14:textFill>
        </w:rPr>
        <w:t>The authors have read the STROBE statement, and the manuscript was prepared and revised according to the STROBE statement.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Invited article; Externally peer reviewed.</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December 13,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March 24, 2022</w:t>
      </w:r>
    </w:p>
    <w:p>
      <w:pPr>
        <w:spacing w:line="360" w:lineRule="auto"/>
        <w:jc w:val="both"/>
        <w:rPr>
          <w:rFonts w:hint="eastAsia" w:ascii="Book Antiqua" w:hAnsi="Book Antiqua" w:eastAsia="宋体"/>
          <w:color w:val="000000" w:themeColor="text1"/>
          <w:lang w:val="en-US"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Article in press:</w:t>
      </w:r>
      <w:r>
        <w:rPr>
          <w:rFonts w:hint="eastAsia" w:ascii="Book Antiqua" w:hAnsi="Book Antiqua" w:eastAsia="宋体" w:cs="Book Antiqua"/>
          <w:b/>
          <w:color w:val="000000" w:themeColor="text1"/>
          <w:lang w:val="en-US" w:eastAsia="zh-CN"/>
          <w14:textFill>
            <w14:solidFill>
              <w14:schemeClr w14:val="tx1"/>
            </w14:solidFill>
          </w14:textFill>
        </w:rPr>
        <w:t xml:space="preserve"> </w:t>
      </w:r>
      <w:r>
        <w:rPr>
          <w:rFonts w:ascii="Book Antiqua" w:hAnsi="Book Antiqua" w:eastAsia="Book Antiqua" w:cs="Book Antiqua"/>
          <w:b w:val="0"/>
          <w:bCs w:val="0"/>
          <w:color w:val="000000" w:themeColor="text1"/>
          <w14:textFill>
            <w14:solidFill>
              <w14:schemeClr w14:val="tx1"/>
            </w14:solidFill>
          </w14:textFill>
        </w:rPr>
        <w:t>April 28,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Pediatrics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Egypt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B</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Soares RLS, Brazil; Ulasoglu C, Turkey</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cs="Book Antiqua"/>
          <w:color w:val="000000" w:themeColor="text1"/>
          <w:lang w:eastAsia="zh-CN"/>
          <w14:textFill>
            <w14:solidFill>
              <w14:schemeClr w14:val="tx1"/>
            </w14:solidFill>
          </w14:textFill>
        </w:rPr>
        <w:t>Ma</w:t>
      </w:r>
      <w:r>
        <w:rPr>
          <w:rFonts w:hint="eastAsia" w:ascii="Book Antiqua" w:hAnsi="Book Antiqua" w:cs="Book Antiqua"/>
          <w:color w:val="000000" w:themeColor="text1"/>
          <w:lang w:eastAsia="zh-CN"/>
          <w14:textFill>
            <w14:solidFill>
              <w14:schemeClr w14:val="tx1"/>
            </w14:solidFill>
          </w14:textFill>
        </w:rPr>
        <w:t xml:space="preserve"> YJ</w:t>
      </w:r>
      <w:r>
        <w:rPr>
          <w:rFonts w:ascii="Book Antiqua" w:hAnsi="Book Antiqua" w:eastAsia="Book Antiqua" w:cs="Book Antiqua"/>
          <w:b/>
          <w:color w:val="000000" w:themeColor="text1"/>
          <w14:textFill>
            <w14:solidFill>
              <w14:schemeClr w14:val="tx1"/>
            </w14:solidFill>
          </w14:textFill>
        </w:rPr>
        <w:t xml:space="preserve"> L-Editor: </w:t>
      </w:r>
      <w:r>
        <w:rPr>
          <w:rFonts w:hint="eastAsia" w:ascii="Book Antiqua" w:hAnsi="Book Antiqua" w:cs="Book Antiqua"/>
          <w:color w:val="000000" w:themeColor="text1"/>
          <w:lang w:eastAsia="zh-CN"/>
          <w14:textFill>
            <w14:solidFill>
              <w14:schemeClr w14:val="tx1"/>
            </w14:solidFill>
          </w14:textFill>
        </w:rPr>
        <w:t>A</w:t>
      </w:r>
      <w:r>
        <w:rPr>
          <w:rFonts w:hint="eastAsia" w:ascii="Book Antiqua" w:hAnsi="Book Antiqua" w:cs="Book Antiqua"/>
          <w:b/>
          <w:color w:val="000000" w:themeColor="text1"/>
          <w:lang w:eastAsia="zh-CN"/>
          <w14:textFill>
            <w14:solidFill>
              <w14:schemeClr w14:val="tx1"/>
            </w14:solidFill>
          </w14:textFill>
        </w:rPr>
        <w:t xml:space="preserve"> </w:t>
      </w:r>
      <w:r>
        <w:rPr>
          <w:rFonts w:ascii="Book Antiqua" w:hAnsi="Book Antiqua" w:eastAsia="Book Antiqua" w:cs="Book Antiqua"/>
          <w:b/>
          <w:color w:val="000000" w:themeColor="text1"/>
          <w14:textFill>
            <w14:solidFill>
              <w14:schemeClr w14:val="tx1"/>
            </w14:solidFill>
          </w14:textFill>
        </w:rPr>
        <w:t xml:space="preserve">P-Editor: </w:t>
      </w:r>
      <w:r>
        <w:rPr>
          <w:rFonts w:ascii="Book Antiqua" w:hAnsi="Book Antiqua" w:cs="Book Antiqua"/>
          <w:color w:val="000000" w:themeColor="text1"/>
          <w:lang w:eastAsia="zh-CN"/>
          <w14:textFill>
            <w14:solidFill>
              <w14:schemeClr w14:val="tx1"/>
            </w14:solidFill>
          </w14:textFill>
        </w:rPr>
        <w:t>Ma</w:t>
      </w:r>
      <w:r>
        <w:rPr>
          <w:rFonts w:hint="eastAsia" w:ascii="Book Antiqua" w:hAnsi="Book Antiqua" w:cs="Book Antiqua"/>
          <w:color w:val="000000" w:themeColor="text1"/>
          <w:lang w:eastAsia="zh-CN"/>
          <w14:textFill>
            <w14:solidFill>
              <w14:schemeClr w14:val="tx1"/>
            </w14:solidFill>
          </w14:textFill>
        </w:rPr>
        <w:t xml:space="preserve"> YJ</w:t>
      </w: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drawing>
          <wp:inline distT="0" distB="0" distL="114300" distR="114300">
            <wp:extent cx="4138930" cy="2432050"/>
            <wp:effectExtent l="0" t="0" r="6350" b="6350"/>
            <wp:docPr id="1" name="图片 1" descr="WJCP-11-33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P-11-330-g001"/>
                    <pic:cNvPicPr>
                      <a:picLocks noChangeAspect="1"/>
                    </pic:cNvPicPr>
                  </pic:nvPicPr>
                  <pic:blipFill>
                    <a:blip r:embed="rId5"/>
                    <a:stretch>
                      <a:fillRect/>
                    </a:stretch>
                  </pic:blipFill>
                  <pic:spPr>
                    <a:xfrm>
                      <a:off x="0" y="0"/>
                      <a:ext cx="4138930" cy="2432050"/>
                    </a:xfrm>
                    <a:prstGeom prst="rect">
                      <a:avLst/>
                    </a:prstGeom>
                  </pic:spPr>
                </pic:pic>
              </a:graphicData>
            </a:graphic>
          </wp:inline>
        </w:drawing>
      </w:r>
    </w:p>
    <w:p>
      <w:pPr>
        <w:spacing w:line="360" w:lineRule="auto"/>
        <w:jc w:val="both"/>
        <w:rPr>
          <w:rFonts w:ascii="Book Antiqua" w:hAnsi="Book Antiqua" w:cs="Book Antiqua"/>
          <w:b/>
          <w:bCs/>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1 The flow chart of the study</w:t>
      </w:r>
      <w:r>
        <w:rPr>
          <w:rFonts w:ascii="Book Antiqua" w:hAnsi="Book Antiqua" w:cs="Book Antiqua"/>
          <w:b/>
          <w:bCs/>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s="Book Antiqua"/>
          <w:b/>
          <w:bCs/>
          <w:color w:val="000000" w:themeColor="text1"/>
          <w:lang w:eastAsia="zh-CN"/>
          <w14:textFill>
            <w14:solidFill>
              <w14:schemeClr w14:val="tx1"/>
            </w14:solidFill>
          </w14:textFill>
        </w:rPr>
        <w:br w:type="page"/>
      </w:r>
      <w:r>
        <w:rPr>
          <w:rFonts w:ascii="Book Antiqua" w:hAnsi="Book Antiqua" w:eastAsia="CorporateSBQ-Bold" w:cs="CorporateSBQ-Bold"/>
          <w:b/>
          <w:bCs/>
          <w:color w:val="000000" w:themeColor="text1"/>
          <w14:textFill>
            <w14:solidFill>
              <w14:schemeClr w14:val="tx1"/>
            </w14:solidFill>
          </w14:textFill>
        </w:rPr>
        <w:t xml:space="preserve">Table </w:t>
      </w:r>
      <w:r>
        <w:rPr>
          <w:rFonts w:hint="eastAsia" w:ascii="Book Antiqua" w:hAnsi="Book Antiqua" w:cs="CorporateSBQ-Bold"/>
          <w:b/>
          <w:bCs/>
          <w:color w:val="000000" w:themeColor="text1"/>
          <w:lang w:eastAsia="zh-CN"/>
          <w14:textFill>
            <w14:solidFill>
              <w14:schemeClr w14:val="tx1"/>
            </w14:solidFill>
          </w14:textFill>
        </w:rPr>
        <w:t xml:space="preserve">1 </w:t>
      </w:r>
      <w:r>
        <w:rPr>
          <w:rFonts w:ascii="Book Antiqua" w:hAnsi="Book Antiqua" w:eastAsia="CorporateSBQ-Bold" w:cs="CorporateSBQ-Bold"/>
          <w:b/>
          <w:bCs/>
          <w:color w:val="000000" w:themeColor="text1"/>
          <w14:textFill>
            <w14:solidFill>
              <w14:schemeClr w14:val="tx1"/>
            </w14:solidFill>
          </w14:textFill>
        </w:rPr>
        <w:t>Demographic data and clinical characteristics in irritable bowel syndrome patients' groups before the start of the Mediterranean diet</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bottom w:val="single" w:color="auto" w:sz="4" w:space="0"/>
            </w:tcBorders>
          </w:tcPr>
          <w:p>
            <w:pPr>
              <w:spacing w:line="360" w:lineRule="auto"/>
              <w:jc w:val="both"/>
              <w:rPr>
                <w:rFonts w:ascii="Book Antiqua" w:hAnsi="Book Antiqua" w:cstheme="minorBidi"/>
                <w:b/>
                <w:bCs/>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Variable</w:t>
            </w:r>
          </w:p>
        </w:tc>
        <w:tc>
          <w:tcPr>
            <w:tcW w:w="2394" w:type="dxa"/>
            <w:tcBorders>
              <w:top w:val="single" w:color="auto" w:sz="4" w:space="0"/>
              <w:bottom w:val="single" w:color="auto" w:sz="4" w:space="0"/>
            </w:tcBorders>
          </w:tcPr>
          <w:p>
            <w:pPr>
              <w:spacing w:line="360" w:lineRule="auto"/>
              <w:jc w:val="both"/>
              <w:rPr>
                <w:rFonts w:ascii="Book Antiqua" w:hAnsi="Book Antiqua" w:cstheme="minorBidi"/>
                <w:b/>
                <w:bCs/>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Group I</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(Mediterranean diet) (</w:t>
            </w:r>
            <w:r>
              <w:rPr>
                <w:rFonts w:ascii="Book Antiqua" w:hAnsi="Book Antiqua" w:cstheme="minorBidi"/>
                <w:b/>
                <w:bCs/>
                <w:i/>
                <w:color w:val="000000" w:themeColor="text1"/>
                <w14:textFill>
                  <w14:solidFill>
                    <w14:schemeClr w14:val="tx1"/>
                  </w14:solidFill>
                </w14:textFill>
              </w:rPr>
              <w:t>n</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50)</w:t>
            </w:r>
          </w:p>
        </w:tc>
        <w:tc>
          <w:tcPr>
            <w:tcW w:w="2394" w:type="dxa"/>
            <w:tcBorders>
              <w:top w:val="single" w:color="auto" w:sz="4" w:space="0"/>
              <w:bottom w:val="single" w:color="auto" w:sz="4" w:space="0"/>
            </w:tcBorders>
          </w:tcPr>
          <w:p>
            <w:pPr>
              <w:spacing w:line="360" w:lineRule="auto"/>
              <w:jc w:val="both"/>
              <w:rPr>
                <w:rFonts w:ascii="Book Antiqua" w:hAnsi="Book Antiqua" w:cstheme="minorBidi"/>
                <w:b/>
                <w:bCs/>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Group I</w:t>
            </w:r>
            <w:r>
              <w:rPr>
                <w:rFonts w:ascii="Book Antiqua" w:hAnsi="Book Antiqua" w:cstheme="minorBidi"/>
                <w:b/>
                <w:bCs/>
                <w:caps/>
                <w:color w:val="000000" w:themeColor="text1"/>
                <w14:textFill>
                  <w14:solidFill>
                    <w14:schemeClr w14:val="tx1"/>
                  </w14:solidFill>
                </w14:textFill>
              </w:rPr>
              <w:t>i</w:t>
            </w:r>
            <w:r>
              <w:rPr>
                <w:rFonts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w:t>
            </w:r>
            <w:r>
              <w:rPr>
                <w:rFonts w:ascii="Book Antiqua" w:hAnsi="Book Antiqua" w:cstheme="minorBidi"/>
                <w:b/>
                <w:bCs/>
                <w:i/>
                <w:color w:val="000000" w:themeColor="text1"/>
                <w14:textFill>
                  <w14:solidFill>
                    <w14:schemeClr w14:val="tx1"/>
                  </w14:solidFill>
                </w14:textFill>
              </w:rPr>
              <w:t>n</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50)</w:t>
            </w:r>
          </w:p>
        </w:tc>
        <w:tc>
          <w:tcPr>
            <w:tcW w:w="2394" w:type="dxa"/>
            <w:tcBorders>
              <w:top w:val="single" w:color="auto" w:sz="4" w:space="0"/>
              <w:bottom w:val="single" w:color="auto" w:sz="4" w:space="0"/>
            </w:tcBorders>
          </w:tcPr>
          <w:p>
            <w:pPr>
              <w:spacing w:line="360" w:lineRule="auto"/>
              <w:jc w:val="both"/>
              <w:rPr>
                <w:rFonts w:ascii="Book Antiqua" w:hAnsi="Book Antiqua" w:cstheme="minorBidi"/>
                <w:b/>
                <w:bCs/>
                <w:i/>
                <w:iCs/>
                <w:color w:val="000000" w:themeColor="text1"/>
                <w:lang w:eastAsia="zh-CN"/>
                <w14:textFill>
                  <w14:solidFill>
                    <w14:schemeClr w14:val="tx1"/>
                  </w14:solidFill>
                </w14:textFill>
              </w:rPr>
            </w:pPr>
            <w:r>
              <w:rPr>
                <w:rFonts w:ascii="Book Antiqua" w:hAnsi="Book Antiqua" w:cstheme="minorBidi"/>
                <w:b/>
                <w:bCs/>
                <w:i/>
                <w:iCs/>
                <w:color w:val="000000" w:themeColor="text1"/>
                <w14:textFill>
                  <w14:solidFill>
                    <w14:schemeClr w14:val="tx1"/>
                  </w14:solidFill>
                </w14:textFill>
              </w:rPr>
              <w:t>P</w:t>
            </w:r>
            <w:r>
              <w:rPr>
                <w:rFonts w:hint="eastAsia" w:ascii="Book Antiqua" w:hAnsi="Book Antiqua" w:cstheme="minorBidi"/>
                <w:b/>
                <w:bCs/>
                <w:i/>
                <w:iCs/>
                <w:color w:val="000000" w:themeColor="text1"/>
                <w:lang w:eastAsia="zh-CN"/>
                <w14:textFill>
                  <w14:solidFill>
                    <w14:schemeClr w14:val="tx1"/>
                  </w14:solidFill>
                </w14:textFill>
              </w:rPr>
              <w:t xml:space="preserve"> </w:t>
            </w:r>
            <w:r>
              <w:rPr>
                <w:rFonts w:ascii="Book Antiqua" w:hAnsi="Book Antiqua" w:cstheme="minorBidi"/>
                <w:b/>
                <w:bCs/>
                <w:iCs/>
                <w:color w:val="000000" w:themeColor="text1"/>
                <w:lang w:eastAsia="zh-CN"/>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Age</w:t>
            </w:r>
            <w:r>
              <w:rPr>
                <w:rFonts w:hint="eastAsia" w:ascii="Book Antiqua" w:hAnsi="Book Antiqua" w:cstheme="minorBidi"/>
                <w:bCs/>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(yr)</w:t>
            </w:r>
          </w:p>
        </w:tc>
        <w:tc>
          <w:tcPr>
            <w:tcW w:w="2394" w:type="dxa"/>
            <w:tcBorders>
              <w:top w:val="single" w:color="auto" w:sz="4" w:space="0"/>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15.50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1.80</w:t>
            </w:r>
          </w:p>
        </w:tc>
        <w:tc>
          <w:tcPr>
            <w:tcW w:w="2394" w:type="dxa"/>
            <w:tcBorders>
              <w:top w:val="single" w:color="auto" w:sz="4" w:space="0"/>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15.2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1.5</w:t>
            </w:r>
          </w:p>
        </w:tc>
        <w:tc>
          <w:tcPr>
            <w:tcW w:w="2394" w:type="dxa"/>
            <w:tcBorders>
              <w:top w:val="single" w:color="auto" w:sz="4" w:space="0"/>
            </w:tcBorders>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14:textFill>
                  <w14:solidFill>
                    <w14:schemeClr w14:val="tx1"/>
                  </w14:solidFill>
                </w14:textFill>
              </w:rPr>
              <w:t>0.88</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Sex</w:t>
            </w:r>
            <w:r>
              <w:rPr>
                <w:rFonts w:hint="eastAsia" w:ascii="Book Antiqua" w:hAnsi="Book Antiqua" w:cstheme="minorBidi"/>
                <w:bCs/>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(M: F)</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27:23</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26:24</w:t>
            </w:r>
          </w:p>
        </w:tc>
        <w:tc>
          <w:tcPr>
            <w:tcW w:w="2394" w:type="dxa"/>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14:textFill>
                  <w14:solidFill>
                    <w14:schemeClr w14:val="tx1"/>
                  </w14:solidFill>
                </w14:textFill>
              </w:rPr>
              <w:t>0.90</w:t>
            </w:r>
            <w:r>
              <w:rPr>
                <w:rFonts w:hint="eastAsia" w:ascii="Book Antiqua" w:hAnsi="Book Antiqua" w:cstheme="minorBidi"/>
                <w:color w:val="000000" w:themeColor="text1"/>
                <w:vertAlign w:val="superscript"/>
                <w:lang w:eastAsia="zh-CN"/>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Height</w:t>
            </w:r>
            <w:r>
              <w:rPr>
                <w:rFonts w:hint="eastAsia" w:ascii="Book Antiqua" w:hAnsi="Book Antiqua" w:cstheme="minorBidi"/>
                <w:bCs/>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(z-score)</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0.04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0.04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1.00</w:t>
            </w:r>
          </w:p>
        </w:tc>
        <w:tc>
          <w:tcPr>
            <w:tcW w:w="2394" w:type="dxa"/>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color w:val="000000" w:themeColor="text1"/>
                <w14:textFill>
                  <w14:solidFill>
                    <w14:schemeClr w14:val="tx1"/>
                  </w14:solidFill>
                </w14:textFill>
              </w:rPr>
              <w:t>0.66</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Weight</w:t>
            </w:r>
            <w:r>
              <w:rPr>
                <w:rFonts w:hint="eastAsia" w:ascii="Book Antiqua" w:hAnsi="Book Antiqua" w:cstheme="minorBidi"/>
                <w:bCs/>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(z-score)</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0.14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0.99</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0.12</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0.89</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0.83</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BMI</w:t>
            </w:r>
            <w:r>
              <w:rPr>
                <w:rFonts w:hint="eastAsia" w:ascii="Book Antiqua" w:hAnsi="Book Antiqua" w:cstheme="minorBidi"/>
                <w:bCs/>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(z-score)</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0.18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0.88</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0.17</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1.02</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0.77</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6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IBS subtypes</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0.47</w:t>
            </w:r>
            <w:r>
              <w:rPr>
                <w:rFonts w:hint="eastAsia" w:ascii="Book Antiqua" w:hAnsi="Book Antiqua" w:cstheme="minorBidi"/>
                <w:color w:val="000000" w:themeColor="text1"/>
                <w:vertAlign w:val="superscript"/>
                <w:lang w:eastAsia="zh-CN"/>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94" w:type="dxa"/>
          </w:tcPr>
          <w:p>
            <w:pPr>
              <w:spacing w:line="360" w:lineRule="auto"/>
              <w:jc w:val="both"/>
              <w:rPr>
                <w:rFonts w:ascii="Book Antiqua" w:hAnsi="Book Antiqua" w:cstheme="minorBidi"/>
                <w:bCs/>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IBS-C</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22</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(44 %)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21</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(42 %)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IBS-D</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20</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(40 %)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21</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(42 %)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IBS-M</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4</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(8 %)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(10 %)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58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IBS-U</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(4 %)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3</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(6 %)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8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IBS severity</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0.55</w:t>
            </w:r>
            <w:r>
              <w:rPr>
                <w:rFonts w:hint="eastAsia" w:ascii="Book Antiqua" w:hAnsi="Book Antiqua" w:cstheme="minorBidi"/>
                <w:color w:val="000000" w:themeColor="text1"/>
                <w:vertAlign w:val="superscript"/>
                <w:lang w:eastAsia="zh-CN"/>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2394" w:type="dxa"/>
          </w:tcPr>
          <w:p>
            <w:pPr>
              <w:spacing w:line="360" w:lineRule="auto"/>
              <w:jc w:val="both"/>
              <w:rPr>
                <w:rFonts w:ascii="Book Antiqua" w:hAnsi="Book Antiqua" w:cstheme="minorBidi"/>
                <w:bCs/>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Mild</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12</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(24%)</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14</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(28 %)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Moderate</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33</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(66%)</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31</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(62 %)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Severe</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w:t>
            </w:r>
            <w:r>
              <w:rPr>
                <w:rFonts w:hint="eastAsia" w:ascii="Book Antiqua" w:hAnsi="Book Antiqua" w:cstheme="minorBidi"/>
                <w:color w:val="000000" w:themeColor="text1"/>
                <w:lang w:val="en-US"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(10 %)</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Duration of IBS symptoms</w:t>
            </w:r>
            <w:r>
              <w:rPr>
                <w:rFonts w:hint="eastAsia" w:ascii="Book Antiqua" w:hAnsi="Book Antiqua" w:cstheme="minorBidi"/>
                <w:bCs/>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(mo)</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34.40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9.10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35.30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9.80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0.58</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2394" w:type="dxa"/>
          </w:tcPr>
          <w:p>
            <w:pPr>
              <w:spacing w:line="360" w:lineRule="auto"/>
              <w:jc w:val="both"/>
              <w:rPr>
                <w:rFonts w:ascii="Book Antiqua" w:hAnsi="Book Antiqua" w:cstheme="minorBidi"/>
                <w:color w:val="000000" w:themeColor="text1"/>
                <w:lang w:eastAsia="zh-CN"/>
                <w14:textFill>
                  <w14:solidFill>
                    <w14:schemeClr w14:val="tx1"/>
                  </w14:solidFill>
                </w14:textFill>
              </w:rPr>
            </w:pPr>
            <w:r>
              <w:rPr>
                <w:rFonts w:ascii="Book Antiqua" w:hAnsi="Book Antiqua" w:cstheme="minorBidi"/>
                <w:bCs/>
                <w:color w:val="000000" w:themeColor="text1"/>
                <w14:textFill>
                  <w14:solidFill>
                    <w14:schemeClr w14:val="tx1"/>
                  </w14:solidFill>
                </w14:textFill>
              </w:rPr>
              <w:t>Treatment drugs</w:t>
            </w:r>
            <w:r>
              <w:rPr>
                <w:rFonts w:hint="eastAsia" w:ascii="Book Antiqua" w:hAnsi="Book Antiqua" w:cstheme="minorBidi"/>
                <w:bCs/>
                <w:color w:val="000000" w:themeColor="text1"/>
                <w:vertAlign w:val="superscript"/>
                <w:lang w:eastAsia="zh-CN"/>
                <w14:textFill>
                  <w14:solidFill>
                    <w14:schemeClr w14:val="tx1"/>
                  </w14:solidFill>
                </w14:textFill>
              </w:rPr>
              <w:t>3</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0.66</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2394" w:type="dxa"/>
          </w:tcPr>
          <w:p>
            <w:pPr>
              <w:spacing w:line="360" w:lineRule="auto"/>
              <w:jc w:val="both"/>
              <w:rPr>
                <w:rFonts w:ascii="Book Antiqua" w:hAnsi="Book Antiqua" w:cstheme="minorBidi"/>
                <w:bCs/>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Gastroprokinetic</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1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Antidepressants</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11</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12</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Antacids</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18</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Antibiotics</w:t>
            </w:r>
          </w:p>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probiotics</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9</w:t>
            </w:r>
          </w:p>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24</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7</w:t>
            </w:r>
          </w:p>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23</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inorBidi"/>
                <w:bCs/>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IBS-SSS</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237.20 ± 65</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248.30</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71.10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0.68</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inorBidi"/>
                <w:bCs/>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IBS-QoL</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57.30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12.90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59.10</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11.70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0.71</w:t>
            </w:r>
            <w:r>
              <w:rPr>
                <w:rFonts w:hint="eastAsia" w:ascii="Book Antiqua" w:hAnsi="Book Antiqua" w:cstheme="minorBidi"/>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inorBidi"/>
                <w:bCs/>
                <w:color w:val="000000" w:themeColor="text1"/>
                <w14:textFill>
                  <w14:solidFill>
                    <w14:schemeClr w14:val="tx1"/>
                  </w14:solidFill>
                </w14:textFill>
              </w:rPr>
            </w:pPr>
            <w:r>
              <w:rPr>
                <w:rFonts w:ascii="Book Antiqua" w:hAnsi="Book Antiqua" w:cstheme="minorBidi"/>
                <w:bCs/>
                <w:color w:val="000000" w:themeColor="text1"/>
                <w14:textFill>
                  <w14:solidFill>
                    <w14:schemeClr w14:val="tx1"/>
                  </w14:solidFill>
                </w14:textFill>
              </w:rPr>
              <w:t>Total score</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24.10</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10.40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22.80</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13.50</w:t>
            </w:r>
          </w:p>
        </w:tc>
        <w:tc>
          <w:tcPr>
            <w:tcW w:w="2394" w:type="dxa"/>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0.82</w:t>
            </w:r>
            <w:r>
              <w:rPr>
                <w:rFonts w:hint="eastAsia" w:ascii="Book Antiqua" w:hAnsi="Book Antiqua" w:cstheme="minorBidi"/>
                <w:color w:val="000000" w:themeColor="text1"/>
                <w:vertAlign w:val="superscript"/>
                <w:lang w:eastAsia="zh-CN"/>
                <w14:textFill>
                  <w14:solidFill>
                    <w14:schemeClr w14:val="tx1"/>
                  </w14:solidFill>
                </w14:textFill>
              </w:rPr>
              <w:t>1</w:t>
            </w:r>
          </w:p>
        </w:tc>
      </w:tr>
    </w:tbl>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1</w:t>
      </w:r>
      <w:r>
        <w:rPr>
          <w:rFonts w:ascii="Book Antiqua" w:hAnsi="Book Antiqua"/>
          <w:caps/>
          <w:color w:val="000000" w:themeColor="text1"/>
          <w14:textFill>
            <w14:solidFill>
              <w14:schemeClr w14:val="tx1"/>
            </w14:solidFill>
          </w14:textFill>
        </w:rPr>
        <w:t>i</w:t>
      </w:r>
      <w:r>
        <w:rPr>
          <w:rFonts w:ascii="Book Antiqua" w:hAnsi="Book Antiqua"/>
          <w:color w:val="000000" w:themeColor="text1"/>
          <w14:textFill>
            <w14:solidFill>
              <w14:schemeClr w14:val="tx1"/>
            </w14:solidFill>
          </w14:textFill>
        </w:rPr>
        <w:t xml:space="preserve">ndependent </w:t>
      </w:r>
      <w:r>
        <w:rPr>
          <w:rFonts w:ascii="Book Antiqua" w:hAnsi="Book Antiqua"/>
          <w:i/>
          <w:iCs/>
          <w:color w:val="000000" w:themeColor="text1"/>
          <w14:textFill>
            <w14:solidFill>
              <w14:schemeClr w14:val="tx1"/>
            </w14:solidFill>
          </w14:textFill>
        </w:rPr>
        <w:t>t</w:t>
      </w:r>
      <w:r>
        <w:rPr>
          <w:rFonts w:ascii="Book Antiqua" w:hAnsi="Book Antiqua"/>
          <w:color w:val="000000" w:themeColor="text1"/>
          <w14:textFill>
            <w14:solidFill>
              <w14:schemeClr w14:val="tx1"/>
            </w14:solidFill>
          </w14:textFill>
        </w:rPr>
        <w:t>-test</w:t>
      </w:r>
      <w:r>
        <w:rPr>
          <w:rFonts w:hint="eastAsia"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2</w:t>
      </w:r>
      <w:r>
        <w:rPr>
          <w:rFonts w:ascii="Book Antiqua" w:hAnsi="Book Antiqua"/>
          <w:color w:val="000000" w:themeColor="text1"/>
          <w14:textFill>
            <w14:solidFill>
              <w14:schemeClr w14:val="tx1"/>
            </w14:solidFill>
          </w14:textFill>
        </w:rPr>
        <w:t>Chi</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square test</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p>
    <w:p>
      <w:pPr>
        <w:spacing w:line="360" w:lineRule="auto"/>
        <w:jc w:val="both"/>
        <w:rPr>
          <w:rFonts w:ascii="Book Antiqua" w:hAnsi="Book Antiqua"/>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3</w:t>
      </w:r>
      <w:r>
        <w:rPr>
          <w:rFonts w:ascii="Book Antiqua" w:hAnsi="Book Antiqua"/>
          <w:color w:val="000000" w:themeColor="text1"/>
          <w14:textFill>
            <w14:solidFill>
              <w14:schemeClr w14:val="tx1"/>
            </w14:solidFill>
          </w14:textFill>
        </w:rPr>
        <w:t>Treatment drugs for one month before starting the study and during the whole study period.</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MD</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Mediterranean diet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 xml:space="preserve">BMI: Body mass index; IBS: </w:t>
      </w:r>
      <w:r>
        <w:rPr>
          <w:rFonts w:ascii="Book Antiqua" w:hAnsi="Book Antiqua"/>
          <w:caps/>
          <w:color w:val="000000" w:themeColor="text1"/>
          <w14:textFill>
            <w14:solidFill>
              <w14:schemeClr w14:val="tx1"/>
            </w14:solidFill>
          </w14:textFill>
        </w:rPr>
        <w:t>i</w:t>
      </w:r>
      <w:r>
        <w:rPr>
          <w:rFonts w:ascii="Book Antiqua" w:hAnsi="Book Antiqua"/>
          <w:color w:val="000000" w:themeColor="text1"/>
          <w14:textFill>
            <w14:solidFill>
              <w14:schemeClr w14:val="tx1"/>
            </w14:solidFill>
          </w14:textFill>
        </w:rPr>
        <w:t>rritable bowel syndrome; IBS</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C: </w:t>
      </w:r>
      <w:r>
        <w:rPr>
          <w:rFonts w:hint="eastAsia" w:ascii="Book Antiqua" w:hAnsi="Book Antiqua"/>
          <w:color w:val="000000" w:themeColor="text1"/>
          <w:lang w:eastAsia="zh-CN"/>
          <w14:textFill>
            <w14:solidFill>
              <w14:schemeClr w14:val="tx1"/>
            </w14:solidFill>
          </w14:textFill>
        </w:rPr>
        <w:t xml:space="preserve">IBS </w:t>
      </w:r>
      <w:r>
        <w:rPr>
          <w:rFonts w:ascii="Book Antiqua" w:hAnsi="Book Antiqua"/>
          <w:color w:val="000000" w:themeColor="text1"/>
          <w14:textFill>
            <w14:solidFill>
              <w14:schemeClr w14:val="tx1"/>
            </w14:solidFill>
          </w14:textFill>
        </w:rPr>
        <w:t>constipation; IBS</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D: </w:t>
      </w:r>
      <w:r>
        <w:rPr>
          <w:rFonts w:hint="eastAsia" w:ascii="Book Antiqua" w:hAnsi="Book Antiqua"/>
          <w:color w:val="000000" w:themeColor="text1"/>
          <w:lang w:eastAsia="zh-CN"/>
          <w14:textFill>
            <w14:solidFill>
              <w14:schemeClr w14:val="tx1"/>
            </w14:solidFill>
          </w14:textFill>
        </w:rPr>
        <w:t>IBS</w:t>
      </w:r>
      <w:r>
        <w:rPr>
          <w:rFonts w:ascii="Book Antiqua" w:hAnsi="Book Antiqua"/>
          <w:color w:val="000000" w:themeColor="text1"/>
          <w14:textFill>
            <w14:solidFill>
              <w14:schemeClr w14:val="tx1"/>
            </w14:solidFill>
          </w14:textFill>
        </w:rPr>
        <w:t xml:space="preserve"> diarrhea; IBS</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M: </w:t>
      </w:r>
      <w:r>
        <w:rPr>
          <w:rFonts w:hint="eastAsia" w:ascii="Book Antiqua" w:hAnsi="Book Antiqua"/>
          <w:color w:val="000000" w:themeColor="text1"/>
          <w:lang w:eastAsia="zh-CN"/>
          <w14:textFill>
            <w14:solidFill>
              <w14:schemeClr w14:val="tx1"/>
            </w14:solidFill>
          </w14:textFill>
        </w:rPr>
        <w:t>IBS</w:t>
      </w:r>
      <w:r>
        <w:rPr>
          <w:rFonts w:ascii="Book Antiqua" w:hAnsi="Book Antiqua"/>
          <w:color w:val="000000" w:themeColor="text1"/>
          <w14:textFill>
            <w14:solidFill>
              <w14:schemeClr w14:val="tx1"/>
            </w14:solidFill>
          </w14:textFill>
        </w:rPr>
        <w:t xml:space="preserve"> mixed; IBS</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U: </w:t>
      </w:r>
      <w:r>
        <w:rPr>
          <w:rFonts w:hint="eastAsia" w:ascii="Book Antiqua" w:hAnsi="Book Antiqua"/>
          <w:color w:val="000000" w:themeColor="text1"/>
          <w:lang w:eastAsia="zh-CN"/>
          <w14:textFill>
            <w14:solidFill>
              <w14:schemeClr w14:val="tx1"/>
            </w14:solidFill>
          </w14:textFill>
        </w:rPr>
        <w:t>IBS</w:t>
      </w:r>
      <w:r>
        <w:rPr>
          <w:rFonts w:ascii="Book Antiqua" w:hAnsi="Book Antiqua"/>
          <w:color w:val="000000" w:themeColor="text1"/>
          <w14:textFill>
            <w14:solidFill>
              <w14:schemeClr w14:val="tx1"/>
            </w14:solidFill>
          </w14:textFill>
        </w:rPr>
        <w:t xml:space="preserve"> unsubtyped; IBS</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SSS: IBS symptoms severity score questionnaire; IBS</w:t>
      </w:r>
      <w:r>
        <w:rPr>
          <w:rFonts w:ascii="Book Antiqua" w:hAnsi="Book Antiqua"/>
          <w:bCs/>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QoL: IBS quality of life questionnaire</w:t>
      </w:r>
      <w:r>
        <w:rPr>
          <w:rFonts w:hint="eastAsia"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br w:type="page"/>
      </w:r>
      <w:r>
        <w:rPr>
          <w:rFonts w:ascii="Book Antiqua" w:hAnsi="Book Antiqua" w:eastAsia="CorporateSBQ-Bold" w:cs="CorporateSBQ-Bold"/>
          <w:b/>
          <w:bCs/>
          <w:color w:val="000000" w:themeColor="text1"/>
          <w14:textFill>
            <w14:solidFill>
              <w14:schemeClr w14:val="tx1"/>
            </w14:solidFill>
          </w14:textFill>
        </w:rPr>
        <w:t xml:space="preserve">Table </w:t>
      </w:r>
      <w:r>
        <w:rPr>
          <w:rFonts w:hint="eastAsia" w:ascii="Book Antiqua" w:hAnsi="Book Antiqua" w:cs="CorporateSBQ-Bold"/>
          <w:b/>
          <w:bCs/>
          <w:color w:val="000000" w:themeColor="text1"/>
          <w:lang w:eastAsia="zh-CN"/>
          <w14:textFill>
            <w14:solidFill>
              <w14:schemeClr w14:val="tx1"/>
            </w14:solidFill>
          </w14:textFill>
        </w:rPr>
        <w:t xml:space="preserve">2 </w:t>
      </w:r>
      <w:r>
        <w:rPr>
          <w:rFonts w:ascii="Book Antiqua" w:hAnsi="Book Antiqua" w:eastAsia="CorporateSBQ-Bold" w:cs="CorporateSBQ-Bold"/>
          <w:b/>
          <w:bCs/>
          <w:color w:val="000000" w:themeColor="text1"/>
          <w14:textFill>
            <w14:solidFill>
              <w14:schemeClr w14:val="tx1"/>
            </w14:solidFill>
          </w14:textFill>
        </w:rPr>
        <w:t>Laboratory data of all patients at the start of the study</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bottom w:val="single" w:color="auto" w:sz="4" w:space="0"/>
            </w:tcBorders>
          </w:tcPr>
          <w:p>
            <w:pPr>
              <w:spacing w:line="360" w:lineRule="auto"/>
              <w:jc w:val="both"/>
              <w:rPr>
                <w:rFonts w:ascii="Book Antiqua" w:hAnsi="Book Antiqua" w:cstheme="minorBidi"/>
                <w:b/>
                <w:bCs/>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Variable</w:t>
            </w:r>
          </w:p>
        </w:tc>
        <w:tc>
          <w:tcPr>
            <w:tcW w:w="2394" w:type="dxa"/>
            <w:tcBorders>
              <w:top w:val="single" w:color="auto" w:sz="4" w:space="0"/>
              <w:bottom w:val="single" w:color="auto" w:sz="4" w:space="0"/>
            </w:tcBorders>
          </w:tcPr>
          <w:p>
            <w:pPr>
              <w:spacing w:line="360" w:lineRule="auto"/>
              <w:jc w:val="both"/>
              <w:rPr>
                <w:rFonts w:ascii="Book Antiqua" w:hAnsi="Book Antiqua" w:cstheme="minorBidi"/>
                <w:b/>
                <w:bCs/>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Group I</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(Mediterranean diet) (</w:t>
            </w:r>
            <w:r>
              <w:rPr>
                <w:rFonts w:ascii="Book Antiqua" w:hAnsi="Book Antiqua" w:cstheme="minorBidi"/>
                <w:b/>
                <w:bCs/>
                <w:i/>
                <w:color w:val="000000" w:themeColor="text1"/>
                <w14:textFill>
                  <w14:solidFill>
                    <w14:schemeClr w14:val="tx1"/>
                  </w14:solidFill>
                </w14:textFill>
              </w:rPr>
              <w:t>n</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50)</w:t>
            </w:r>
          </w:p>
        </w:tc>
        <w:tc>
          <w:tcPr>
            <w:tcW w:w="2394" w:type="dxa"/>
            <w:tcBorders>
              <w:top w:val="single" w:color="auto" w:sz="4" w:space="0"/>
              <w:bottom w:val="single" w:color="auto" w:sz="4" w:space="0"/>
            </w:tcBorders>
          </w:tcPr>
          <w:p>
            <w:pPr>
              <w:spacing w:line="360" w:lineRule="auto"/>
              <w:jc w:val="both"/>
              <w:rPr>
                <w:rFonts w:ascii="Book Antiqua" w:hAnsi="Book Antiqua" w:cstheme="minorBidi"/>
                <w:b/>
                <w:bCs/>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Group I</w:t>
            </w:r>
            <w:r>
              <w:rPr>
                <w:rFonts w:ascii="Book Antiqua" w:hAnsi="Book Antiqua" w:cstheme="minorBidi"/>
                <w:b/>
                <w:bCs/>
                <w:caps/>
                <w:color w:val="000000" w:themeColor="text1"/>
                <w14:textFill>
                  <w14:solidFill>
                    <w14:schemeClr w14:val="tx1"/>
                  </w14:solidFill>
                </w14:textFill>
              </w:rPr>
              <w:t>i</w:t>
            </w:r>
            <w:r>
              <w:rPr>
                <w:rFonts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w:t>
            </w:r>
            <w:r>
              <w:rPr>
                <w:rFonts w:ascii="Book Antiqua" w:hAnsi="Book Antiqua" w:cstheme="minorBidi"/>
                <w:b/>
                <w:bCs/>
                <w:i/>
                <w:color w:val="000000" w:themeColor="text1"/>
                <w14:textFill>
                  <w14:solidFill>
                    <w14:schemeClr w14:val="tx1"/>
                  </w14:solidFill>
                </w14:textFill>
              </w:rPr>
              <w:t>n</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w:t>
            </w:r>
            <w:r>
              <w:rPr>
                <w:rFonts w:hint="eastAsia" w:ascii="Book Antiqua" w:hAnsi="Book Antiqua" w:cstheme="minorBidi"/>
                <w:b/>
                <w:bCs/>
                <w:color w:val="000000" w:themeColor="text1"/>
                <w:lang w:eastAsia="zh-CN"/>
                <w14:textFill>
                  <w14:solidFill>
                    <w14:schemeClr w14:val="tx1"/>
                  </w14:solidFill>
                </w14:textFill>
              </w:rPr>
              <w:t xml:space="preserve"> </w:t>
            </w:r>
            <w:r>
              <w:rPr>
                <w:rFonts w:ascii="Book Antiqua" w:hAnsi="Book Antiqua" w:cstheme="minorBidi"/>
                <w:b/>
                <w:bCs/>
                <w:color w:val="000000" w:themeColor="text1"/>
                <w14:textFill>
                  <w14:solidFill>
                    <w14:schemeClr w14:val="tx1"/>
                  </w14:solidFill>
                </w14:textFill>
              </w:rPr>
              <w:t>50)</w:t>
            </w:r>
          </w:p>
        </w:tc>
        <w:tc>
          <w:tcPr>
            <w:tcW w:w="2394" w:type="dxa"/>
            <w:tcBorders>
              <w:top w:val="single" w:color="auto" w:sz="4" w:space="0"/>
              <w:bottom w:val="single" w:color="auto" w:sz="4" w:space="0"/>
            </w:tcBorders>
          </w:tcPr>
          <w:p>
            <w:pPr>
              <w:spacing w:line="360" w:lineRule="auto"/>
              <w:jc w:val="both"/>
              <w:rPr>
                <w:rFonts w:ascii="Book Antiqua" w:hAnsi="Book Antiqua" w:cstheme="minorBidi"/>
                <w:b/>
                <w:bCs/>
                <w:i/>
                <w:iCs/>
                <w:color w:val="000000" w:themeColor="text1"/>
                <w14:textFill>
                  <w14:solidFill>
                    <w14:schemeClr w14:val="tx1"/>
                  </w14:solidFill>
                </w14:textFill>
              </w:rPr>
            </w:pPr>
            <w:r>
              <w:rPr>
                <w:rFonts w:ascii="Book Antiqua" w:hAnsi="Book Antiqua" w:cstheme="minorBidi"/>
                <w:b/>
                <w:bCs/>
                <w:i/>
                <w:iCs/>
                <w:color w:val="000000" w:themeColor="text1"/>
                <w14:textFill>
                  <w14:solidFill>
                    <w14:schemeClr w14:val="tx1"/>
                  </w14:solidFill>
                </w14:textFill>
              </w:rPr>
              <w:t>P</w:t>
            </w:r>
            <w:r>
              <w:rPr>
                <w:rFonts w:hint="eastAsia" w:ascii="Book Antiqua" w:hAnsi="Book Antiqua" w:cstheme="minorBidi"/>
                <w:b/>
                <w:bCs/>
                <w:i/>
                <w:iCs/>
                <w:color w:val="000000" w:themeColor="text1"/>
                <w:lang w:eastAsia="zh-CN"/>
                <w14:textFill>
                  <w14:solidFill>
                    <w14:schemeClr w14:val="tx1"/>
                  </w14:solidFill>
                </w14:textFill>
              </w:rPr>
              <w:t xml:space="preserve"> </w:t>
            </w:r>
            <w:r>
              <w:rPr>
                <w:rFonts w:hint="eastAsia" w:ascii="Book Antiqua" w:hAnsi="Book Antiqua" w:cstheme="minorBidi"/>
                <w:b/>
                <w:bCs/>
                <w:iCs/>
                <w:color w:val="000000" w:themeColor="text1"/>
                <w:lang w:eastAsia="zh-CN"/>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Borders>
              <w:top w:val="single" w:color="auto" w:sz="4" w:space="0"/>
            </w:tcBorders>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inorBidi"/>
                <w:color w:val="000000" w:themeColor="text1"/>
                <w14:textFill>
                  <w14:solidFill>
                    <w14:schemeClr w14:val="tx1"/>
                  </w14:solidFill>
                </w14:textFill>
              </w:rPr>
              <w:t>Albumin (g/d</w:t>
            </w:r>
            <w:r>
              <w:rPr>
                <w:rFonts w:ascii="Book Antiqua" w:hAnsi="Book Antiqua" w:cstheme="minorBidi"/>
                <w:caps/>
                <w:color w:val="000000" w:themeColor="text1"/>
                <w14:textFill>
                  <w14:solidFill>
                    <w14:schemeClr w14:val="tx1"/>
                  </w14:solidFill>
                </w14:textFill>
              </w:rPr>
              <w:t>l</w:t>
            </w:r>
            <w:r>
              <w:rPr>
                <w:rFonts w:ascii="Book Antiqua" w:hAnsi="Book Antiqua" w:cstheme="minorBidi"/>
                <w:color w:val="000000" w:themeColor="text1"/>
                <w14:textFill>
                  <w14:solidFill>
                    <w14:schemeClr w14:val="tx1"/>
                  </w14:solidFill>
                </w14:textFill>
              </w:rPr>
              <w:t>)</w:t>
            </w:r>
          </w:p>
        </w:tc>
        <w:tc>
          <w:tcPr>
            <w:tcW w:w="2394" w:type="dxa"/>
            <w:tcBorders>
              <w:top w:val="single" w:color="auto" w:sz="4" w:space="0"/>
            </w:tcBorders>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4.10</w:t>
            </w:r>
            <w:r>
              <w:rPr>
                <w:rFonts w:hint="eastAsia" w:ascii="Book Antiqua" w:hAnsi="Book Antiqua"/>
                <w:color w:val="000000" w:themeColor="text1"/>
                <w:sz w:val="24"/>
                <w:szCs w:val="24"/>
                <w:lang w:eastAsia="zh-CN"/>
                <w14:textFill>
                  <w14:solidFill>
                    <w14:schemeClr w14:val="tx1"/>
                  </w14:solidFill>
                </w14:textFill>
              </w:rPr>
              <w:t xml:space="preserve"> </w:t>
            </w:r>
            <w:r>
              <w:rPr>
                <w:rFonts w:ascii="Book Antiqua" w:hAnsi="Book Antiqua" w:cstheme="minorHAnsi"/>
                <w:color w:val="000000" w:themeColor="text1"/>
                <w:sz w:val="24"/>
                <w:szCs w:val="24"/>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t>0.90</w:t>
            </w:r>
          </w:p>
        </w:tc>
        <w:tc>
          <w:tcPr>
            <w:tcW w:w="2394" w:type="dxa"/>
            <w:tcBorders>
              <w:top w:val="single" w:color="auto" w:sz="4" w:space="0"/>
            </w:tcBorders>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4.30</w:t>
            </w:r>
            <w:r>
              <w:rPr>
                <w:rFonts w:hint="eastAsia" w:ascii="Book Antiqua" w:hAnsi="Book Antiqua"/>
                <w:color w:val="000000" w:themeColor="text1"/>
                <w:sz w:val="24"/>
                <w:szCs w:val="24"/>
                <w:lang w:eastAsia="zh-CN"/>
                <w14:textFill>
                  <w14:solidFill>
                    <w14:schemeClr w14:val="tx1"/>
                  </w14:solidFill>
                </w14:textFill>
              </w:rPr>
              <w:t xml:space="preserve"> </w:t>
            </w:r>
            <w:r>
              <w:rPr>
                <w:rFonts w:ascii="Book Antiqua" w:hAnsi="Book Antiqua" w:cstheme="minorHAnsi"/>
                <w:color w:val="000000" w:themeColor="text1"/>
                <w:sz w:val="24"/>
                <w:szCs w:val="24"/>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t>0.88</w:t>
            </w:r>
          </w:p>
        </w:tc>
        <w:tc>
          <w:tcPr>
            <w:tcW w:w="2394" w:type="dxa"/>
            <w:tcBorders>
              <w:top w:val="single" w:color="auto" w:sz="4" w:space="0"/>
            </w:tcBorders>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0.93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Triglycerides (mg/d</w:t>
            </w:r>
            <w:r>
              <w:rPr>
                <w:rFonts w:ascii="Book Antiqua" w:hAnsi="Book Antiqua" w:cstheme="majorBidi"/>
                <w:bCs/>
                <w:caps/>
                <w:color w:val="000000" w:themeColor="text1"/>
                <w:lang w:bidi="ar-MA"/>
                <w14:textFill>
                  <w14:solidFill>
                    <w14:schemeClr w14:val="tx1"/>
                  </w14:solidFill>
                </w14:textFill>
              </w:rPr>
              <w:t>l</w:t>
            </w:r>
            <w:r>
              <w:rPr>
                <w:rFonts w:ascii="Book Antiqua" w:hAnsi="Book Antiqua" w:cstheme="majorBidi"/>
                <w:bCs/>
                <w:color w:val="000000" w:themeColor="text1"/>
                <w:lang w:bidi="ar-MA"/>
                <w14:textFill>
                  <w14:solidFill>
                    <w14:schemeClr w14:val="tx1"/>
                  </w14:solidFill>
                </w14:textFill>
              </w:rPr>
              <w:t>)</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120.70 ± 45.60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112.90 ± 49.40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0.44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Cholesterol (mg/d</w:t>
            </w:r>
            <w:r>
              <w:rPr>
                <w:rFonts w:ascii="Book Antiqua" w:hAnsi="Book Antiqua" w:cstheme="majorBidi"/>
                <w:bCs/>
                <w:caps/>
                <w:color w:val="000000" w:themeColor="text1"/>
                <w:lang w:bidi="ar-MA"/>
                <w14:textFill>
                  <w14:solidFill>
                    <w14:schemeClr w14:val="tx1"/>
                  </w14:solidFill>
                </w14:textFill>
              </w:rPr>
              <w:t>l</w:t>
            </w:r>
            <w:r>
              <w:rPr>
                <w:rFonts w:ascii="Book Antiqua" w:hAnsi="Book Antiqua" w:cstheme="majorBidi"/>
                <w:bCs/>
                <w:color w:val="000000" w:themeColor="text1"/>
                <w:lang w:bidi="ar-MA"/>
                <w14:textFill>
                  <w14:solidFill>
                    <w14:schemeClr w14:val="tx1"/>
                  </w14:solidFill>
                </w14:textFill>
              </w:rPr>
              <w:t>)</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154.00 ± 36.60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163.60 ± 44.10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Glucose (mg/d</w:t>
            </w:r>
            <w:r>
              <w:rPr>
                <w:rFonts w:ascii="Book Antiqua" w:hAnsi="Book Antiqua" w:cstheme="majorBidi"/>
                <w:bCs/>
                <w:caps/>
                <w:color w:val="000000" w:themeColor="text1"/>
                <w:lang w:bidi="ar-MA"/>
                <w14:textFill>
                  <w14:solidFill>
                    <w14:schemeClr w14:val="tx1"/>
                  </w14:solidFill>
                </w14:textFill>
              </w:rPr>
              <w:t>l</w:t>
            </w:r>
            <w:r>
              <w:rPr>
                <w:rFonts w:ascii="Book Antiqua" w:hAnsi="Book Antiqua" w:cstheme="majorBidi"/>
                <w:bCs/>
                <w:color w:val="000000" w:themeColor="text1"/>
                <w:lang w:bidi="ar-MA"/>
                <w14:textFill>
                  <w14:solidFill>
                    <w14:schemeClr w14:val="tx1"/>
                  </w14:solidFill>
                </w14:textFill>
              </w:rPr>
              <w:t>)</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86.20</w:t>
            </w:r>
            <w:r>
              <w:rPr>
                <w:rFonts w:hint="eastAsia" w:ascii="Book Antiqua" w:hAnsi="Book Antiqua" w:cstheme="majorBidi"/>
                <w:bCs/>
                <w:color w:val="000000" w:themeColor="text1"/>
                <w:lang w:eastAsia="zh-CN" w:bidi="ar-MA"/>
                <w14:textFill>
                  <w14:solidFill>
                    <w14:schemeClr w14:val="tx1"/>
                  </w14:solidFill>
                </w14:textFill>
              </w:rPr>
              <w:t xml:space="preserve"> </w:t>
            </w:r>
            <w:r>
              <w:rPr>
                <w:rFonts w:ascii="Book Antiqua" w:hAnsi="Book Antiqua" w:cstheme="majorBidi"/>
                <w:bCs/>
                <w:color w:val="000000" w:themeColor="text1"/>
                <w:lang w:bidi="ar-MA"/>
                <w14:textFill>
                  <w14:solidFill>
                    <w14:schemeClr w14:val="tx1"/>
                  </w14:solidFill>
                </w14:textFill>
              </w:rPr>
              <w:t>± 20.20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85.70</w:t>
            </w:r>
            <w:r>
              <w:rPr>
                <w:rFonts w:hint="eastAsia" w:ascii="Book Antiqua" w:hAnsi="Book Antiqua" w:cstheme="majorBidi"/>
                <w:bCs/>
                <w:color w:val="000000" w:themeColor="text1"/>
                <w:lang w:eastAsia="zh-CN" w:bidi="ar-MA"/>
                <w14:textFill>
                  <w14:solidFill>
                    <w14:schemeClr w14:val="tx1"/>
                  </w14:solidFill>
                </w14:textFill>
              </w:rPr>
              <w:t xml:space="preserve"> </w:t>
            </w:r>
            <w:r>
              <w:rPr>
                <w:rFonts w:ascii="Book Antiqua" w:hAnsi="Book Antiqua" w:cstheme="majorBidi"/>
                <w:bCs/>
                <w:color w:val="000000" w:themeColor="text1"/>
                <w:lang w:bidi="ar-MA"/>
                <w14:textFill>
                  <w14:solidFill>
                    <w14:schemeClr w14:val="tx1"/>
                  </w14:solidFill>
                </w14:textFill>
              </w:rPr>
              <w:t>± 9.70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0.91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Hemoglobin (g/d</w:t>
            </w:r>
            <w:r>
              <w:rPr>
                <w:rFonts w:ascii="Book Antiqua" w:hAnsi="Book Antiqua" w:cstheme="majorBidi"/>
                <w:bCs/>
                <w:caps/>
                <w:color w:val="000000" w:themeColor="text1"/>
                <w:lang w:bidi="ar-MA"/>
                <w14:textFill>
                  <w14:solidFill>
                    <w14:schemeClr w14:val="tx1"/>
                  </w14:solidFill>
                </w14:textFill>
              </w:rPr>
              <w:t>l</w:t>
            </w:r>
            <w:r>
              <w:rPr>
                <w:rFonts w:ascii="Book Antiqua" w:hAnsi="Book Antiqua" w:cstheme="majorBidi"/>
                <w:bCs/>
                <w:color w:val="000000" w:themeColor="text1"/>
                <w:lang w:bidi="ar-MA"/>
                <w14:textFill>
                  <w14:solidFill>
                    <w14:schemeClr w14:val="tx1"/>
                  </w14:solidFill>
                </w14:textFill>
              </w:rPr>
              <w:t>)</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13.10 ± 1.60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13.60 ± 1.80</w:t>
            </w:r>
          </w:p>
        </w:tc>
        <w:tc>
          <w:tcPr>
            <w:tcW w:w="2394" w:type="dxa"/>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0.47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94" w:type="dxa"/>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 xml:space="preserve">Fecal calprotectin (μg/g) </w:t>
            </w:r>
            <w:r>
              <w:rPr>
                <w:rFonts w:ascii="Book Antiqua" w:hAnsi="Book Antiqua"/>
                <w:i/>
                <w:color w:val="000000" w:themeColor="text1"/>
                <w:sz w:val="24"/>
                <w:szCs w:val="24"/>
                <w14:textFill>
                  <w14:solidFill>
                    <w14:schemeClr w14:val="tx1"/>
                  </w14:solidFill>
                </w14:textFill>
              </w:rPr>
              <w:t>n</w:t>
            </w:r>
            <w:r>
              <w:rPr>
                <w:rFonts w:hint="eastAsia" w:ascii="Book Antiqua" w:hAnsi="Book Antiqua"/>
                <w:color w:val="000000" w:themeColor="text1"/>
                <w:sz w:val="24"/>
                <w:szCs w:val="24"/>
                <w:lang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t>&lt;</w:t>
            </w:r>
            <w:r>
              <w:rPr>
                <w:rFonts w:hint="eastAsia" w:ascii="Book Antiqua" w:hAnsi="Book Antiqua"/>
                <w:color w:val="000000" w:themeColor="text1"/>
                <w:sz w:val="24"/>
                <w:szCs w:val="24"/>
                <w:lang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t>50</w:t>
            </w:r>
          </w:p>
        </w:tc>
        <w:tc>
          <w:tcPr>
            <w:tcW w:w="2394" w:type="dxa"/>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12 ± 9.10</w:t>
            </w:r>
          </w:p>
        </w:tc>
        <w:tc>
          <w:tcPr>
            <w:tcW w:w="2394" w:type="dxa"/>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11</w:t>
            </w:r>
            <w:r>
              <w:rPr>
                <w:rFonts w:hint="eastAsia" w:ascii="Book Antiqua" w:hAnsi="Book Antiqua"/>
                <w:color w:val="000000" w:themeColor="text1"/>
                <w:sz w:val="24"/>
                <w:szCs w:val="24"/>
                <w:lang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t>± 8.80</w:t>
            </w:r>
          </w:p>
        </w:tc>
        <w:tc>
          <w:tcPr>
            <w:tcW w:w="2394" w:type="dxa"/>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 xml:space="preserve">0.52 </w:t>
            </w:r>
          </w:p>
        </w:tc>
      </w:tr>
    </w:tbl>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p>
      <w:pPr>
        <w:spacing w:line="360" w:lineRule="auto"/>
        <w:jc w:val="both"/>
        <w:rPr>
          <w:rFonts w:ascii="Book Antiqua" w:hAnsi="Book Antiqua" w:eastAsia="CorporateSBQ-Bold" w:cs="CorporateSBQ-Bold"/>
          <w:b/>
          <w:bCs/>
          <w:color w:val="000000" w:themeColor="text1"/>
          <w14:textFill>
            <w14:solidFill>
              <w14:schemeClr w14:val="tx1"/>
            </w14:solidFill>
          </w14:textFill>
        </w:rPr>
      </w:pPr>
      <w:r>
        <w:rPr>
          <w:rFonts w:ascii="Book Antiqua" w:hAnsi="Book Antiqua" w:cs="Garamond"/>
          <w:color w:val="000000" w:themeColor="text1"/>
          <w:lang w:eastAsia="zh-CN"/>
          <w14:textFill>
            <w14:solidFill>
              <w14:schemeClr w14:val="tx1"/>
            </w14:solidFill>
          </w14:textFill>
        </w:rPr>
        <w:br w:type="page"/>
      </w:r>
      <w:r>
        <w:rPr>
          <w:rFonts w:ascii="Book Antiqua" w:hAnsi="Book Antiqua" w:eastAsia="CorporateSBQ-Bold" w:cs="CorporateSBQ-Bold"/>
          <w:b/>
          <w:bCs/>
          <w:color w:val="000000" w:themeColor="text1"/>
          <w14:textFill>
            <w14:solidFill>
              <w14:schemeClr w14:val="tx1"/>
            </w14:solidFill>
          </w14:textFill>
        </w:rPr>
        <w:t xml:space="preserve">Table </w:t>
      </w:r>
      <w:r>
        <w:rPr>
          <w:rFonts w:hint="eastAsia" w:ascii="Book Antiqua" w:hAnsi="Book Antiqua" w:cs="CorporateSBQ-Bold"/>
          <w:b/>
          <w:bCs/>
          <w:color w:val="000000" w:themeColor="text1"/>
          <w:lang w:eastAsia="zh-CN"/>
          <w14:textFill>
            <w14:solidFill>
              <w14:schemeClr w14:val="tx1"/>
            </w14:solidFill>
          </w14:textFill>
        </w:rPr>
        <w:t>3</w:t>
      </w:r>
      <w:r>
        <w:rPr>
          <w:rFonts w:ascii="Book Antiqua" w:hAnsi="Book Antiqua" w:eastAsia="CorporateSBQ-Bold" w:cs="CorporateSBQ-Bold"/>
          <w:b/>
          <w:bCs/>
          <w:color w:val="000000" w:themeColor="text1"/>
          <w14:textFill>
            <w14:solidFill>
              <w14:schemeClr w14:val="tx1"/>
            </w14:solidFill>
          </w14:textFill>
        </w:rPr>
        <w:t xml:space="preserve"> Growth parameters, laboratory data, and irritable bowel syndrome scores in all patients at the start versus at the end of the study</w:t>
      </w:r>
    </w:p>
    <w:tbl>
      <w:tblPr>
        <w:tblStyle w:val="9"/>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12"/>
        <w:gridCol w:w="1853"/>
        <w:gridCol w:w="876"/>
        <w:gridCol w:w="876"/>
        <w:gridCol w:w="995"/>
        <w:gridCol w:w="876"/>
        <w:gridCol w:w="876"/>
        <w:gridCol w:w="817"/>
        <w:gridCol w:w="9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1705" w:type="pct"/>
            <w:gridSpan w:val="2"/>
            <w:vMerge w:val="restar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color w:val="000000" w:themeColor="text1"/>
                <w14:textFill>
                  <w14:solidFill>
                    <w14:schemeClr w14:val="tx1"/>
                  </w14:solidFill>
                </w14:textFill>
              </w:rPr>
            </w:pPr>
            <w:r>
              <w:rPr>
                <w:rFonts w:ascii="Book Antiqua" w:hAnsi="Book Antiqua" w:cs="Garamond"/>
                <w:b/>
                <w:caps/>
                <w:color w:val="000000" w:themeColor="text1"/>
                <w14:textFill>
                  <w14:solidFill>
                    <w14:schemeClr w14:val="tx1"/>
                  </w14:solidFill>
                </w14:textFill>
              </w:rPr>
              <w:t>v</w:t>
            </w:r>
            <w:r>
              <w:rPr>
                <w:rFonts w:ascii="Book Antiqua" w:hAnsi="Book Antiqua" w:cs="Garamond"/>
                <w:b/>
                <w:color w:val="000000" w:themeColor="text1"/>
                <w14:textFill>
                  <w14:solidFill>
                    <w14:schemeClr w14:val="tx1"/>
                  </w14:solidFill>
                </w14:textFill>
              </w:rPr>
              <w:t>ariables</w:t>
            </w:r>
          </w:p>
        </w:tc>
        <w:tc>
          <w:tcPr>
            <w:tcW w:w="1434" w:type="pct"/>
            <w:gridSpan w:val="3"/>
            <w:tcBorders>
              <w:top w:val="single" w:color="auto" w:sz="4" w:space="0"/>
              <w:bottom w:val="single" w:color="auto" w:sz="4" w:space="0"/>
            </w:tcBorders>
          </w:tcPr>
          <w:p>
            <w:pPr>
              <w:autoSpaceDE w:val="0"/>
              <w:autoSpaceDN w:val="0"/>
              <w:adjustRightInd w:val="0"/>
              <w:spacing w:line="360" w:lineRule="auto"/>
              <w:jc w:val="both"/>
              <w:rPr>
                <w:rFonts w:hint="eastAsia" w:ascii="Book Antiqua" w:hAnsi="Book Antiqua" w:cs="Garamond" w:eastAsiaTheme="minorEastAsia"/>
                <w:b/>
                <w:color w:val="000000" w:themeColor="text1"/>
                <w:lang w:val="en-US" w:eastAsia="zh-CN"/>
                <w14:textFill>
                  <w14:solidFill>
                    <w14:schemeClr w14:val="tx1"/>
                  </w14:solidFill>
                </w14:textFill>
              </w:rPr>
            </w:pPr>
            <w:r>
              <w:rPr>
                <w:rFonts w:ascii="Book Antiqua" w:hAnsi="Book Antiqua" w:cs="Garamond"/>
                <w:b/>
                <w:color w:val="000000" w:themeColor="text1"/>
                <w14:textFill>
                  <w14:solidFill>
                    <w14:schemeClr w14:val="tx1"/>
                  </w14:solidFill>
                </w14:textFill>
              </w:rPr>
              <w:t>Group I</w:t>
            </w:r>
            <w:r>
              <w:rPr>
                <w:rFonts w:hint="eastAsia" w:ascii="Book Antiqua" w:hAnsi="Book Antiqua" w:cs="Garamond"/>
                <w:b/>
                <w:color w:val="000000" w:themeColor="text1"/>
                <w:lang w:eastAsia="zh-CN"/>
                <w14:textFill>
                  <w14:solidFill>
                    <w14:schemeClr w14:val="tx1"/>
                  </w14:solidFill>
                </w14:textFill>
              </w:rPr>
              <w:t xml:space="preserve"> </w:t>
            </w:r>
            <w:r>
              <w:rPr>
                <w:rFonts w:ascii="Book Antiqua" w:hAnsi="Book Antiqua" w:cs="Garamond"/>
                <w:b/>
                <w:color w:val="000000" w:themeColor="text1"/>
                <w14:textFill>
                  <w14:solidFill>
                    <w14:schemeClr w14:val="tx1"/>
                  </w14:solidFill>
                </w14:textFill>
              </w:rPr>
              <w:t xml:space="preserve">(Mediterranean diet) </w:t>
            </w:r>
            <w:r>
              <w:rPr>
                <w:rFonts w:hint="eastAsia" w:ascii="Book Antiqua" w:hAnsi="Book Antiqua" w:cs="Garamond"/>
                <w:b/>
                <w:color w:val="000000" w:themeColor="text1"/>
                <w:lang w:val="en-US" w:eastAsia="zh-CN"/>
                <w14:textFill>
                  <w14:solidFill>
                    <w14:schemeClr w14:val="tx1"/>
                  </w14:solidFill>
                </w14:textFill>
              </w:rPr>
              <w:t xml:space="preserve"> (</w:t>
            </w:r>
            <w:r>
              <w:rPr>
                <w:rFonts w:ascii="Book Antiqua" w:hAnsi="Book Antiqua" w:cs="Garamond"/>
                <w:b/>
                <w:i/>
                <w:color w:val="000000" w:themeColor="text1"/>
                <w14:textFill>
                  <w14:solidFill>
                    <w14:schemeClr w14:val="tx1"/>
                  </w14:solidFill>
                </w14:textFill>
              </w:rPr>
              <w:t>n</w:t>
            </w:r>
            <w:r>
              <w:rPr>
                <w:rFonts w:hint="eastAsia" w:ascii="Book Antiqua" w:hAnsi="Book Antiqua" w:cs="Garamond"/>
                <w:b/>
                <w:i/>
                <w:color w:val="000000" w:themeColor="text1"/>
                <w:lang w:eastAsia="zh-CN"/>
                <w14:textFill>
                  <w14:solidFill>
                    <w14:schemeClr w14:val="tx1"/>
                  </w14:solidFill>
                </w14:textFill>
              </w:rPr>
              <w:t xml:space="preserve"> </w:t>
            </w:r>
            <w:r>
              <w:rPr>
                <w:rFonts w:ascii="Book Antiqua" w:hAnsi="Book Antiqua" w:cs="Garamond"/>
                <w:b/>
                <w:color w:val="000000" w:themeColor="text1"/>
                <w14:textFill>
                  <w14:solidFill>
                    <w14:schemeClr w14:val="tx1"/>
                  </w14:solidFill>
                </w14:textFill>
              </w:rPr>
              <w:t>=</w:t>
            </w:r>
            <w:r>
              <w:rPr>
                <w:rFonts w:hint="eastAsia" w:ascii="Book Antiqua" w:hAnsi="Book Antiqua" w:cs="Garamond"/>
                <w:b/>
                <w:color w:val="000000" w:themeColor="text1"/>
                <w:lang w:eastAsia="zh-CN"/>
                <w14:textFill>
                  <w14:solidFill>
                    <w14:schemeClr w14:val="tx1"/>
                  </w14:solidFill>
                </w14:textFill>
              </w:rPr>
              <w:t xml:space="preserve"> </w:t>
            </w:r>
            <w:r>
              <w:rPr>
                <w:rFonts w:ascii="Book Antiqua" w:hAnsi="Book Antiqua" w:cs="Garamond"/>
                <w:b/>
                <w:color w:val="000000" w:themeColor="text1"/>
                <w14:textFill>
                  <w14:solidFill>
                    <w14:schemeClr w14:val="tx1"/>
                  </w14:solidFill>
                </w14:textFill>
              </w:rPr>
              <w:t>50</w:t>
            </w:r>
            <w:r>
              <w:rPr>
                <w:rFonts w:hint="eastAsia" w:ascii="Book Antiqua" w:hAnsi="Book Antiqua" w:cs="Garamond"/>
                <w:b/>
                <w:color w:val="000000" w:themeColor="text1"/>
                <w:lang w:val="en-US" w:eastAsia="zh-CN"/>
                <w14:textFill>
                  <w14:solidFill>
                    <w14:schemeClr w14:val="tx1"/>
                  </w14:solidFill>
                </w14:textFill>
              </w:rPr>
              <w:t>)</w:t>
            </w:r>
          </w:p>
        </w:tc>
        <w:tc>
          <w:tcPr>
            <w:tcW w:w="1341" w:type="pct"/>
            <w:gridSpan w:val="3"/>
            <w:tcBorders>
              <w:top w:val="single" w:color="auto" w:sz="4" w:space="0"/>
              <w:bottom w:val="single" w:color="auto" w:sz="4" w:space="0"/>
            </w:tcBorders>
          </w:tcPr>
          <w:p>
            <w:pPr>
              <w:autoSpaceDE w:val="0"/>
              <w:autoSpaceDN w:val="0"/>
              <w:adjustRightInd w:val="0"/>
              <w:spacing w:line="360" w:lineRule="auto"/>
              <w:jc w:val="both"/>
              <w:rPr>
                <w:rFonts w:hint="eastAsia" w:ascii="Book Antiqua" w:hAnsi="Book Antiqua" w:cs="Garamond" w:eastAsiaTheme="minorEastAsia"/>
                <w:b/>
                <w:color w:val="000000" w:themeColor="text1"/>
                <w:lang w:val="en-US" w:eastAsia="zh-CN"/>
                <w14:textFill>
                  <w14:solidFill>
                    <w14:schemeClr w14:val="tx1"/>
                  </w14:solidFill>
                </w14:textFill>
              </w:rPr>
            </w:pPr>
            <w:r>
              <w:rPr>
                <w:rFonts w:ascii="Book Antiqua" w:hAnsi="Book Antiqua" w:cs="Garamond"/>
                <w:b/>
                <w:color w:val="000000" w:themeColor="text1"/>
                <w14:textFill>
                  <w14:solidFill>
                    <w14:schemeClr w14:val="tx1"/>
                  </w14:solidFill>
                </w14:textFill>
              </w:rPr>
              <w:t xml:space="preserve">Group II </w:t>
            </w:r>
            <w:r>
              <w:rPr>
                <w:rFonts w:hint="eastAsia" w:ascii="Book Antiqua" w:hAnsi="Book Antiqua" w:cs="Garamond"/>
                <w:b/>
                <w:color w:val="000000" w:themeColor="text1"/>
                <w:lang w:val="en-US" w:eastAsia="zh-CN"/>
                <w14:textFill>
                  <w14:solidFill>
                    <w14:schemeClr w14:val="tx1"/>
                  </w14:solidFill>
                </w14:textFill>
              </w:rPr>
              <w:t>(</w:t>
            </w:r>
            <w:r>
              <w:rPr>
                <w:rFonts w:ascii="Book Antiqua" w:hAnsi="Book Antiqua" w:cs="Garamond"/>
                <w:b/>
                <w:i/>
                <w:color w:val="000000" w:themeColor="text1"/>
                <w14:textFill>
                  <w14:solidFill>
                    <w14:schemeClr w14:val="tx1"/>
                  </w14:solidFill>
                </w14:textFill>
              </w:rPr>
              <w:t>n</w:t>
            </w:r>
            <w:r>
              <w:rPr>
                <w:rFonts w:hint="eastAsia" w:ascii="Book Antiqua" w:hAnsi="Book Antiqua" w:cs="Garamond"/>
                <w:b/>
                <w:i/>
                <w:color w:val="000000" w:themeColor="text1"/>
                <w:lang w:eastAsia="zh-CN"/>
                <w14:textFill>
                  <w14:solidFill>
                    <w14:schemeClr w14:val="tx1"/>
                  </w14:solidFill>
                </w14:textFill>
              </w:rPr>
              <w:t xml:space="preserve"> </w:t>
            </w:r>
            <w:r>
              <w:rPr>
                <w:rFonts w:ascii="Book Antiqua" w:hAnsi="Book Antiqua" w:cs="Garamond"/>
                <w:b/>
                <w:color w:val="000000" w:themeColor="text1"/>
                <w14:textFill>
                  <w14:solidFill>
                    <w14:schemeClr w14:val="tx1"/>
                  </w14:solidFill>
                </w14:textFill>
              </w:rPr>
              <w:t>=</w:t>
            </w:r>
            <w:r>
              <w:rPr>
                <w:rFonts w:hint="eastAsia" w:ascii="Book Antiqua" w:hAnsi="Book Antiqua" w:cs="Garamond"/>
                <w:b/>
                <w:color w:val="000000" w:themeColor="text1"/>
                <w:lang w:eastAsia="zh-CN"/>
                <w14:textFill>
                  <w14:solidFill>
                    <w14:schemeClr w14:val="tx1"/>
                  </w14:solidFill>
                </w14:textFill>
              </w:rPr>
              <w:t xml:space="preserve"> </w:t>
            </w:r>
            <w:r>
              <w:rPr>
                <w:rFonts w:ascii="Book Antiqua" w:hAnsi="Book Antiqua" w:cs="Garamond"/>
                <w:b/>
                <w:color w:val="000000" w:themeColor="text1"/>
                <w14:textFill>
                  <w14:solidFill>
                    <w14:schemeClr w14:val="tx1"/>
                  </w14:solidFill>
                </w14:textFill>
              </w:rPr>
              <w:t>50</w:t>
            </w:r>
            <w:r>
              <w:rPr>
                <w:rFonts w:hint="eastAsia" w:ascii="Book Antiqua" w:hAnsi="Book Antiqua" w:cs="Garamond"/>
                <w:b/>
                <w:color w:val="000000" w:themeColor="text1"/>
                <w:lang w:val="en-US" w:eastAsia="zh-CN"/>
                <w14:textFill>
                  <w14:solidFill>
                    <w14:schemeClr w14:val="tx1"/>
                  </w14:solidFill>
                </w14:textFill>
              </w:rPr>
              <w:t>)</w:t>
            </w:r>
          </w:p>
        </w:tc>
        <w:tc>
          <w:tcPr>
            <w:tcW w:w="520" w:type="pct"/>
            <w:vMerge w:val="restart"/>
            <w:tcBorders>
              <w:top w:val="single" w:color="auto" w:sz="4" w:space="0"/>
              <w:bottom w:val="single" w:color="auto" w:sz="4" w:space="0"/>
            </w:tcBorders>
            <w:shd w:val="clear" w:color="auto" w:fill="auto"/>
          </w:tcPr>
          <w:p>
            <w:pPr>
              <w:spacing w:line="360" w:lineRule="auto"/>
              <w:jc w:val="both"/>
              <w:rPr>
                <w:rFonts w:ascii="Book Antiqua" w:hAnsi="Book Antiqua" w:cs="Garamond"/>
                <w:color w:val="000000" w:themeColor="text1"/>
                <w:lang w:eastAsia="zh-CN"/>
                <w14:textFill>
                  <w14:solidFill>
                    <w14:schemeClr w14:val="tx1"/>
                  </w14:solidFill>
                </w14:textFill>
              </w:rPr>
            </w:pPr>
            <w:r>
              <w:rPr>
                <w:rFonts w:ascii="Book Antiqua" w:hAnsi="Book Antiqua" w:cs="Garamond"/>
                <w:b/>
                <w:i/>
                <w:iCs/>
                <w:color w:val="000000" w:themeColor="text1"/>
                <w14:textFill>
                  <w14:solidFill>
                    <w14:schemeClr w14:val="tx1"/>
                  </w14:solidFill>
                </w14:textFill>
              </w:rPr>
              <w:t>P</w:t>
            </w:r>
            <w:r>
              <w:rPr>
                <w:rFonts w:hint="eastAsia" w:ascii="Book Antiqua" w:hAnsi="Book Antiqua" w:cs="Garamond"/>
                <w:b/>
                <w:i/>
                <w:iCs/>
                <w:color w:val="000000" w:themeColor="text1"/>
                <w:lang w:eastAsia="zh-CN"/>
                <w14:textFill>
                  <w14:solidFill>
                    <w14:schemeClr w14:val="tx1"/>
                  </w14:solidFill>
                </w14:textFill>
              </w:rPr>
              <w:t xml:space="preserve"> </w:t>
            </w:r>
            <w:r>
              <w:rPr>
                <w:rFonts w:ascii="Book Antiqua" w:hAnsi="Book Antiqua" w:cs="Garamond"/>
                <w:b/>
                <w:iCs/>
                <w:color w:val="000000" w:themeColor="text1"/>
                <w:lang w:eastAsia="zh-CN"/>
                <w14:textFill>
                  <w14:solidFill>
                    <w14:schemeClr w14:val="tx1"/>
                  </w14:solidFill>
                </w14:textFill>
              </w:rPr>
              <w:t>value</w:t>
            </w:r>
            <w:r>
              <w:rPr>
                <w:rFonts w:ascii="Book Antiqua" w:hAnsi="Book Antiqua" w:cs="Garamond"/>
                <w:iCs/>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705" w:type="pct"/>
            <w:gridSpan w:val="2"/>
            <w:vMerge w:val="continue"/>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color w:val="000000" w:themeColor="text1"/>
                <w14:textFill>
                  <w14:solidFill>
                    <w14:schemeClr w14:val="tx1"/>
                  </w14:solidFill>
                </w14:textFill>
              </w:rPr>
            </w:pPr>
          </w:p>
        </w:tc>
        <w:tc>
          <w:tcPr>
            <w:tcW w:w="45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color w:val="000000" w:themeColor="text1"/>
                <w14:textFill>
                  <w14:solidFill>
                    <w14:schemeClr w14:val="tx1"/>
                  </w14:solidFill>
                </w14:textFill>
              </w:rPr>
            </w:pPr>
            <w:r>
              <w:rPr>
                <w:rFonts w:ascii="Book Antiqua" w:hAnsi="Book Antiqua" w:cs="Garamond"/>
                <w:b/>
                <w:color w:val="000000" w:themeColor="text1"/>
                <w14:textFill>
                  <w14:solidFill>
                    <w14:schemeClr w14:val="tx1"/>
                  </w14:solidFill>
                </w14:textFill>
              </w:rPr>
              <w:t>Start</w:t>
            </w:r>
          </w:p>
        </w:tc>
        <w:tc>
          <w:tcPr>
            <w:tcW w:w="45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color w:val="000000" w:themeColor="text1"/>
                <w14:textFill>
                  <w14:solidFill>
                    <w14:schemeClr w14:val="tx1"/>
                  </w14:solidFill>
                </w14:textFill>
              </w:rPr>
            </w:pPr>
            <w:r>
              <w:rPr>
                <w:rFonts w:ascii="Book Antiqua" w:hAnsi="Book Antiqua" w:cs="Garamond"/>
                <w:b/>
                <w:color w:val="000000" w:themeColor="text1"/>
                <w14:textFill>
                  <w14:solidFill>
                    <w14:schemeClr w14:val="tx1"/>
                  </w14:solidFill>
                </w14:textFill>
              </w:rPr>
              <w:t>End</w:t>
            </w:r>
          </w:p>
        </w:tc>
        <w:tc>
          <w:tcPr>
            <w:tcW w:w="520"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i/>
                <w:iCs/>
                <w:color w:val="000000" w:themeColor="text1"/>
                <w14:textFill>
                  <w14:solidFill>
                    <w14:schemeClr w14:val="tx1"/>
                  </w14:solidFill>
                </w14:textFill>
              </w:rPr>
            </w:pPr>
            <w:r>
              <w:rPr>
                <w:rFonts w:ascii="Book Antiqua" w:hAnsi="Book Antiqua" w:cs="Garamond"/>
                <w:b/>
                <w:i/>
                <w:iCs/>
                <w:color w:val="000000" w:themeColor="text1"/>
                <w14:textFill>
                  <w14:solidFill>
                    <w14:schemeClr w14:val="tx1"/>
                  </w14:solidFill>
                </w14:textFill>
              </w:rPr>
              <w:t>P</w:t>
            </w:r>
            <w:r>
              <w:rPr>
                <w:rFonts w:hint="eastAsia" w:ascii="Book Antiqua" w:hAnsi="Book Antiqua" w:cs="Garamond"/>
                <w:b/>
                <w:i/>
                <w:iCs/>
                <w:color w:val="000000" w:themeColor="text1"/>
                <w:lang w:eastAsia="zh-CN"/>
                <w14:textFill>
                  <w14:solidFill>
                    <w14:schemeClr w14:val="tx1"/>
                  </w14:solidFill>
                </w14:textFill>
              </w:rPr>
              <w:t xml:space="preserve"> </w:t>
            </w:r>
            <w:r>
              <w:rPr>
                <w:rFonts w:hint="eastAsia" w:ascii="Book Antiqua" w:hAnsi="Book Antiqua" w:cs="Garamond"/>
                <w:b/>
                <w:iCs/>
                <w:color w:val="000000" w:themeColor="text1"/>
                <w:lang w:eastAsia="zh-CN"/>
                <w14:textFill>
                  <w14:solidFill>
                    <w14:schemeClr w14:val="tx1"/>
                  </w14:solidFill>
                </w14:textFill>
              </w:rPr>
              <w:t>value</w:t>
            </w:r>
          </w:p>
        </w:tc>
        <w:tc>
          <w:tcPr>
            <w:tcW w:w="45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color w:val="000000" w:themeColor="text1"/>
                <w14:textFill>
                  <w14:solidFill>
                    <w14:schemeClr w14:val="tx1"/>
                  </w14:solidFill>
                </w14:textFill>
              </w:rPr>
            </w:pPr>
            <w:r>
              <w:rPr>
                <w:rFonts w:ascii="Book Antiqua" w:hAnsi="Book Antiqua" w:cs="Garamond"/>
                <w:b/>
                <w:color w:val="000000" w:themeColor="text1"/>
                <w14:textFill>
                  <w14:solidFill>
                    <w14:schemeClr w14:val="tx1"/>
                  </w14:solidFill>
                </w14:textFill>
              </w:rPr>
              <w:t>Start</w:t>
            </w:r>
          </w:p>
        </w:tc>
        <w:tc>
          <w:tcPr>
            <w:tcW w:w="45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color w:val="000000" w:themeColor="text1"/>
                <w14:textFill>
                  <w14:solidFill>
                    <w14:schemeClr w14:val="tx1"/>
                  </w14:solidFill>
                </w14:textFill>
              </w:rPr>
            </w:pPr>
            <w:r>
              <w:rPr>
                <w:rFonts w:ascii="Book Antiqua" w:hAnsi="Book Antiqua" w:cs="Garamond"/>
                <w:b/>
                <w:color w:val="000000" w:themeColor="text1"/>
                <w14:textFill>
                  <w14:solidFill>
                    <w14:schemeClr w14:val="tx1"/>
                  </w14:solidFill>
                </w14:textFill>
              </w:rPr>
              <w:t>End</w:t>
            </w:r>
          </w:p>
        </w:tc>
        <w:tc>
          <w:tcPr>
            <w:tcW w:w="426"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Garamond"/>
                <w:b/>
                <w:i/>
                <w:iCs/>
                <w:color w:val="000000" w:themeColor="text1"/>
                <w14:textFill>
                  <w14:solidFill>
                    <w14:schemeClr w14:val="tx1"/>
                  </w14:solidFill>
                </w14:textFill>
              </w:rPr>
            </w:pPr>
            <w:r>
              <w:rPr>
                <w:rFonts w:ascii="Book Antiqua" w:hAnsi="Book Antiqua" w:cs="Garamond"/>
                <w:b/>
                <w:i/>
                <w:iCs/>
                <w:color w:val="000000" w:themeColor="text1"/>
                <w14:textFill>
                  <w14:solidFill>
                    <w14:schemeClr w14:val="tx1"/>
                  </w14:solidFill>
                </w14:textFill>
              </w:rPr>
              <w:t>P</w:t>
            </w:r>
            <w:r>
              <w:rPr>
                <w:rFonts w:hint="eastAsia" w:ascii="Book Antiqua" w:hAnsi="Book Antiqua" w:cs="Garamond"/>
                <w:b/>
                <w:i/>
                <w:iCs/>
                <w:color w:val="000000" w:themeColor="text1"/>
                <w:lang w:eastAsia="zh-CN"/>
                <w14:textFill>
                  <w14:solidFill>
                    <w14:schemeClr w14:val="tx1"/>
                  </w14:solidFill>
                </w14:textFill>
              </w:rPr>
              <w:t xml:space="preserve"> </w:t>
            </w:r>
            <w:r>
              <w:rPr>
                <w:rFonts w:hint="eastAsia" w:ascii="Book Antiqua" w:hAnsi="Book Antiqua" w:cs="Garamond"/>
                <w:b/>
                <w:iCs/>
                <w:color w:val="000000" w:themeColor="text1"/>
                <w:lang w:eastAsia="zh-CN"/>
                <w14:textFill>
                  <w14:solidFill>
                    <w14:schemeClr w14:val="tx1"/>
                  </w14:solidFill>
                </w14:textFill>
              </w:rPr>
              <w:t>value</w:t>
            </w:r>
          </w:p>
        </w:tc>
        <w:tc>
          <w:tcPr>
            <w:tcW w:w="520" w:type="pct"/>
            <w:vMerge w:val="continue"/>
            <w:tcBorders>
              <w:top w:val="single" w:color="auto" w:sz="4" w:space="0"/>
              <w:bottom w:val="single" w:color="auto" w:sz="4" w:space="0"/>
            </w:tcBorders>
            <w:shd w:val="clear" w:color="auto" w:fill="auto"/>
          </w:tcPr>
          <w:p>
            <w:pPr>
              <w:spacing w:line="360" w:lineRule="auto"/>
              <w:jc w:val="both"/>
              <w:rPr>
                <w:rFonts w:ascii="Book Antiqua" w:hAnsi="Book Antiqua" w:cs="Garamond"/>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737" w:type="pct"/>
            <w:vMerge w:val="restart"/>
            <w:tcBorders>
              <w:top w:val="single" w:color="auto" w:sz="4" w:space="0"/>
              <w:bottom w:val="nil"/>
            </w:tcBorders>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Growth</w:t>
            </w:r>
          </w:p>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parameters</w:t>
            </w:r>
          </w:p>
        </w:tc>
        <w:tc>
          <w:tcPr>
            <w:tcW w:w="968" w:type="pct"/>
            <w:tcBorders>
              <w:top w:val="single" w:color="auto" w:sz="4" w:space="0"/>
              <w:bottom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Height</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(z-score)</w:t>
            </w:r>
          </w:p>
        </w:tc>
        <w:tc>
          <w:tcPr>
            <w:tcW w:w="457" w:type="pct"/>
            <w:tcBorders>
              <w:top w:val="single" w:color="auto" w:sz="4" w:space="0"/>
              <w:bottom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0.04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w:t>
            </w:r>
          </w:p>
        </w:tc>
        <w:tc>
          <w:tcPr>
            <w:tcW w:w="457" w:type="pct"/>
            <w:tcBorders>
              <w:top w:val="single" w:color="auto" w:sz="4" w:space="0"/>
              <w:bottom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0.04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0.92</w:t>
            </w:r>
          </w:p>
        </w:tc>
        <w:tc>
          <w:tcPr>
            <w:tcW w:w="520" w:type="pct"/>
            <w:tcBorders>
              <w:top w:val="single" w:color="auto" w:sz="4" w:space="0"/>
              <w:bottom w:val="nil"/>
            </w:tcBorders>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0.88</w:t>
            </w:r>
          </w:p>
        </w:tc>
        <w:tc>
          <w:tcPr>
            <w:tcW w:w="457" w:type="pct"/>
            <w:tcBorders>
              <w:top w:val="single" w:color="auto" w:sz="4" w:space="0"/>
              <w:bottom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0.04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1.00</w:t>
            </w:r>
          </w:p>
        </w:tc>
        <w:tc>
          <w:tcPr>
            <w:tcW w:w="457" w:type="pct"/>
            <w:tcBorders>
              <w:top w:val="single" w:color="auto" w:sz="4" w:space="0"/>
              <w:bottom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0.04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0.99</w:t>
            </w:r>
          </w:p>
        </w:tc>
        <w:tc>
          <w:tcPr>
            <w:tcW w:w="426" w:type="pct"/>
            <w:tcBorders>
              <w:top w:val="single" w:color="auto" w:sz="4" w:space="0"/>
              <w:bottom w:val="nil"/>
            </w:tcBorders>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0.63</w:t>
            </w:r>
          </w:p>
        </w:tc>
        <w:tc>
          <w:tcPr>
            <w:tcW w:w="520" w:type="pct"/>
            <w:tcBorders>
              <w:top w:val="single" w:color="auto" w:sz="4" w:space="0"/>
              <w:bottom w:val="nil"/>
            </w:tcBorders>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737" w:type="pct"/>
            <w:vMerge w:val="continue"/>
            <w:tcBorders>
              <w:top w:val="nil"/>
            </w:tcBorders>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Borders>
              <w:top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Weight</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(z-score)</w:t>
            </w:r>
          </w:p>
        </w:tc>
        <w:tc>
          <w:tcPr>
            <w:tcW w:w="457" w:type="pct"/>
            <w:tcBorders>
              <w:top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0.14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0.99</w:t>
            </w:r>
          </w:p>
        </w:tc>
        <w:tc>
          <w:tcPr>
            <w:tcW w:w="457" w:type="pct"/>
            <w:tcBorders>
              <w:top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0.13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1.0</w:t>
            </w:r>
          </w:p>
        </w:tc>
        <w:tc>
          <w:tcPr>
            <w:tcW w:w="520" w:type="pct"/>
            <w:tcBorders>
              <w:top w:val="nil"/>
            </w:tcBorders>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0.54</w:t>
            </w:r>
          </w:p>
        </w:tc>
        <w:tc>
          <w:tcPr>
            <w:tcW w:w="457" w:type="pct"/>
            <w:tcBorders>
              <w:top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0.12</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0.89</w:t>
            </w:r>
          </w:p>
        </w:tc>
        <w:tc>
          <w:tcPr>
            <w:tcW w:w="457" w:type="pct"/>
            <w:tcBorders>
              <w:top w:val="nil"/>
            </w:tcBorders>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0.12</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0.55</w:t>
            </w:r>
          </w:p>
        </w:tc>
        <w:tc>
          <w:tcPr>
            <w:tcW w:w="426" w:type="pct"/>
            <w:tcBorders>
              <w:top w:val="nil"/>
            </w:tcBorders>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0.61</w:t>
            </w:r>
          </w:p>
        </w:tc>
        <w:tc>
          <w:tcPr>
            <w:tcW w:w="520" w:type="pct"/>
            <w:tcBorders>
              <w:top w:val="nil"/>
            </w:tcBorders>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BMI</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(z-score)</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0.18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0.88</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0.17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0.69</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0.6</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0.17</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1.02</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0.16</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1.08</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0.80</w:t>
            </w:r>
          </w:p>
        </w:tc>
        <w:tc>
          <w:tcPr>
            <w:tcW w:w="520" w:type="pct"/>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737" w:type="pct"/>
            <w:vMerge w:val="restar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Laboratory</w:t>
            </w:r>
            <w:r>
              <w:rPr>
                <w:rFonts w:hint="eastAsia" w:ascii="Book Antiqua" w:hAnsi="Book Antiqua" w:cs="Garamond"/>
                <w:color w:val="000000" w:themeColor="text1"/>
                <w:lang w:eastAsia="zh-CN"/>
                <w14:textFill>
                  <w14:solidFill>
                    <w14:schemeClr w14:val="tx1"/>
                  </w14:solidFill>
                </w14:textFill>
              </w:rPr>
              <w:t xml:space="preserve"> </w:t>
            </w:r>
            <w:r>
              <w:rPr>
                <w:rFonts w:ascii="Book Antiqua" w:hAnsi="Book Antiqua" w:cs="Garamond"/>
                <w:color w:val="000000" w:themeColor="text1"/>
                <w14:textFill>
                  <w14:solidFill>
                    <w14:schemeClr w14:val="tx1"/>
                  </w14:solidFill>
                </w14:textFill>
              </w:rPr>
              <w:t>data</w:t>
            </w:r>
          </w:p>
        </w:tc>
        <w:tc>
          <w:tcPr>
            <w:tcW w:w="968"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Albumin</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(g/d</w:t>
            </w:r>
            <w:r>
              <w:rPr>
                <w:rFonts w:ascii="Book Antiqua" w:hAnsi="Book Antiqua" w:cstheme="minorBidi"/>
                <w:caps/>
                <w:color w:val="000000" w:themeColor="text1"/>
                <w14:textFill>
                  <w14:solidFill>
                    <w14:schemeClr w14:val="tx1"/>
                  </w14:solidFill>
                </w14:textFill>
              </w:rPr>
              <w:t>l</w:t>
            </w:r>
            <w:r>
              <w:rPr>
                <w:rFonts w:ascii="Book Antiqua" w:hAnsi="Book Antiqua" w:cstheme="minorBidi"/>
                <w:color w:val="000000" w:themeColor="text1"/>
                <w14:textFill>
                  <w14:solidFill>
                    <w14:schemeClr w14:val="tx1"/>
                  </w14:solidFill>
                </w14:textFill>
              </w:rPr>
              <w:t>)</w:t>
            </w:r>
          </w:p>
        </w:tc>
        <w:tc>
          <w:tcPr>
            <w:tcW w:w="457" w:type="pct"/>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4.10</w:t>
            </w:r>
            <w:r>
              <w:rPr>
                <w:rFonts w:ascii="Book Antiqua" w:hAnsi="Book Antiqua" w:cstheme="minorHAnsi"/>
                <w:color w:val="000000" w:themeColor="text1"/>
                <w:sz w:val="24"/>
                <w:szCs w:val="24"/>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t>0.90</w:t>
            </w:r>
          </w:p>
        </w:tc>
        <w:tc>
          <w:tcPr>
            <w:tcW w:w="457" w:type="pct"/>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4.3</w:t>
            </w:r>
            <w:r>
              <w:rPr>
                <w:rFonts w:ascii="Book Antiqua" w:hAnsi="Book Antiqua" w:cstheme="minorHAnsi"/>
                <w:color w:val="000000" w:themeColor="text1"/>
                <w:sz w:val="24"/>
                <w:szCs w:val="24"/>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t>0.94</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0.77</w:t>
            </w:r>
          </w:p>
        </w:tc>
        <w:tc>
          <w:tcPr>
            <w:tcW w:w="457" w:type="pct"/>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4.30</w:t>
            </w:r>
            <w:r>
              <w:rPr>
                <w:rFonts w:ascii="Book Antiqua" w:hAnsi="Book Antiqua" w:cstheme="minorHAnsi"/>
                <w:color w:val="000000" w:themeColor="text1"/>
                <w:sz w:val="24"/>
                <w:szCs w:val="24"/>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t>0.88</w:t>
            </w:r>
          </w:p>
        </w:tc>
        <w:tc>
          <w:tcPr>
            <w:tcW w:w="457" w:type="pct"/>
          </w:tcPr>
          <w:p>
            <w:pPr>
              <w:pStyle w:val="16"/>
              <w:bidi w:val="0"/>
              <w:spacing w:after="0" w:line="360" w:lineRule="auto"/>
              <w:ind w:left="0"/>
              <w:jc w:val="both"/>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14:textFill>
                  <w14:solidFill>
                    <w14:schemeClr w14:val="tx1"/>
                  </w14:solidFill>
                </w14:textFill>
              </w:rPr>
              <w:t>4.50</w:t>
            </w:r>
            <w:r>
              <w:rPr>
                <w:rFonts w:ascii="Book Antiqua" w:hAnsi="Book Antiqua" w:cstheme="minorHAnsi"/>
                <w:color w:val="000000" w:themeColor="text1"/>
                <w:sz w:val="24"/>
                <w:szCs w:val="24"/>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t>0.91</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0.49</w:t>
            </w:r>
          </w:p>
        </w:tc>
        <w:tc>
          <w:tcPr>
            <w:tcW w:w="520" w:type="pct"/>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ajorBidi"/>
                <w:bCs/>
                <w:color w:val="000000" w:themeColor="text1"/>
                <w:lang w:eastAsia="zh-CN"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Triglycerides (mg/d</w:t>
            </w:r>
            <w:r>
              <w:rPr>
                <w:rFonts w:ascii="Book Antiqua" w:hAnsi="Book Antiqua" w:cstheme="majorBidi"/>
                <w:bCs/>
                <w:caps/>
                <w:color w:val="000000" w:themeColor="text1"/>
                <w:lang w:bidi="ar-MA"/>
                <w14:textFill>
                  <w14:solidFill>
                    <w14:schemeClr w14:val="tx1"/>
                  </w14:solidFill>
                </w14:textFill>
              </w:rPr>
              <w:t>l</w:t>
            </w:r>
            <w:r>
              <w:rPr>
                <w:rFonts w:hint="eastAsia" w:ascii="Book Antiqua" w:hAnsi="Book Antiqua" w:cstheme="majorBidi"/>
                <w:bCs/>
                <w:color w:val="000000" w:themeColor="text1"/>
                <w:lang w:eastAsia="zh-CN" w:bidi="ar-MA"/>
                <w14:textFill>
                  <w14:solidFill>
                    <w14:schemeClr w14:val="tx1"/>
                  </w14:solidFill>
                </w14:textFill>
              </w:rPr>
              <w:t>)</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120.7 0 ± 45.60</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118.50 ± 47.10</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0.90</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112.90 ± 49.40</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115.20 ± 50.40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0.51</w:t>
            </w:r>
          </w:p>
        </w:tc>
        <w:tc>
          <w:tcPr>
            <w:tcW w:w="520" w:type="pct"/>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Cholesterol</w:t>
            </w:r>
            <w:r>
              <w:rPr>
                <w:rFonts w:hint="eastAsia" w:ascii="Book Antiqua" w:hAnsi="Book Antiqua" w:cstheme="majorBidi"/>
                <w:bCs/>
                <w:color w:val="000000" w:themeColor="text1"/>
                <w:lang w:eastAsia="zh-CN" w:bidi="ar-MA"/>
                <w14:textFill>
                  <w14:solidFill>
                    <w14:schemeClr w14:val="tx1"/>
                  </w14:solidFill>
                </w14:textFill>
              </w:rPr>
              <w:t xml:space="preserve"> </w:t>
            </w:r>
            <w:r>
              <w:rPr>
                <w:rFonts w:ascii="Book Antiqua" w:hAnsi="Book Antiqua" w:cstheme="majorBidi"/>
                <w:bCs/>
                <w:color w:val="000000" w:themeColor="text1"/>
                <w:lang w:bidi="ar-MA"/>
                <w14:textFill>
                  <w14:solidFill>
                    <w14:schemeClr w14:val="tx1"/>
                  </w14:solidFill>
                </w14:textFill>
              </w:rPr>
              <w:t>(mg/d</w:t>
            </w:r>
            <w:r>
              <w:rPr>
                <w:rFonts w:ascii="Book Antiqua" w:hAnsi="Book Antiqua" w:cstheme="majorBidi"/>
                <w:bCs/>
                <w:caps/>
                <w:color w:val="000000" w:themeColor="text1"/>
                <w:lang w:bidi="ar-MA"/>
                <w14:textFill>
                  <w14:solidFill>
                    <w14:schemeClr w14:val="tx1"/>
                  </w14:solidFill>
                </w14:textFill>
              </w:rPr>
              <w:t>l</w:t>
            </w:r>
            <w:r>
              <w:rPr>
                <w:rFonts w:ascii="Book Antiqua" w:hAnsi="Book Antiqua" w:cstheme="majorBidi"/>
                <w:bCs/>
                <w:color w:val="000000" w:themeColor="text1"/>
                <w:lang w:bidi="ar-MA"/>
                <w14:textFill>
                  <w14:solidFill>
                    <w14:schemeClr w14:val="tx1"/>
                  </w14:solidFill>
                </w14:textFill>
              </w:rPr>
              <w:t>)</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154</w:t>
            </w:r>
            <w:r>
              <w:rPr>
                <w:rFonts w:hint="eastAsia" w:ascii="Book Antiqua" w:hAnsi="Book Antiqua" w:cstheme="majorBidi"/>
                <w:bCs/>
                <w:color w:val="000000" w:themeColor="text1"/>
                <w:lang w:eastAsia="zh-CN" w:bidi="ar-MA"/>
                <w14:textFill>
                  <w14:solidFill>
                    <w14:schemeClr w14:val="tx1"/>
                  </w14:solidFill>
                </w14:textFill>
              </w:rPr>
              <w:t xml:space="preserve"> </w:t>
            </w:r>
            <w:r>
              <w:rPr>
                <w:rFonts w:ascii="Book Antiqua" w:hAnsi="Book Antiqua" w:cstheme="majorBidi"/>
                <w:bCs/>
                <w:color w:val="000000" w:themeColor="text1"/>
                <w:lang w:bidi="ar-MA"/>
                <w14:textFill>
                  <w14:solidFill>
                    <w14:schemeClr w14:val="tx1"/>
                  </w14:solidFill>
                </w14:textFill>
              </w:rPr>
              <w:t>± 36.60</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155.80 ± 32.20</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0.56</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163.60 ± 44.1</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168.10 ± 42.90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0.63</w:t>
            </w:r>
          </w:p>
        </w:tc>
        <w:tc>
          <w:tcPr>
            <w:tcW w:w="520" w:type="pct"/>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Glucose</w:t>
            </w:r>
            <w:r>
              <w:rPr>
                <w:rFonts w:hint="eastAsia" w:ascii="Book Antiqua" w:hAnsi="Book Antiqua" w:cstheme="majorBidi"/>
                <w:bCs/>
                <w:color w:val="000000" w:themeColor="text1"/>
                <w:lang w:eastAsia="zh-CN" w:bidi="ar-MA"/>
                <w14:textFill>
                  <w14:solidFill>
                    <w14:schemeClr w14:val="tx1"/>
                  </w14:solidFill>
                </w14:textFill>
              </w:rPr>
              <w:t xml:space="preserve"> </w:t>
            </w:r>
            <w:r>
              <w:rPr>
                <w:rFonts w:ascii="Book Antiqua" w:hAnsi="Book Antiqua" w:cstheme="majorBidi"/>
                <w:bCs/>
                <w:color w:val="000000" w:themeColor="text1"/>
                <w:lang w:bidi="ar-MA"/>
                <w14:textFill>
                  <w14:solidFill>
                    <w14:schemeClr w14:val="tx1"/>
                  </w14:solidFill>
                </w14:textFill>
              </w:rPr>
              <w:t>(mg/d</w:t>
            </w:r>
            <w:r>
              <w:rPr>
                <w:rFonts w:ascii="Book Antiqua" w:hAnsi="Book Antiqua" w:cstheme="majorBidi"/>
                <w:bCs/>
                <w:caps/>
                <w:color w:val="000000" w:themeColor="text1"/>
                <w:lang w:bidi="ar-MA"/>
                <w14:textFill>
                  <w14:solidFill>
                    <w14:schemeClr w14:val="tx1"/>
                  </w14:solidFill>
                </w14:textFill>
              </w:rPr>
              <w:t>l</w:t>
            </w:r>
            <w:r>
              <w:rPr>
                <w:rFonts w:ascii="Book Antiqua" w:hAnsi="Book Antiqua" w:cstheme="majorBidi"/>
                <w:bCs/>
                <w:color w:val="000000" w:themeColor="text1"/>
                <w:lang w:bidi="ar-MA"/>
                <w14:textFill>
                  <w14:solidFill>
                    <w14:schemeClr w14:val="tx1"/>
                  </w14:solidFill>
                </w14:textFill>
              </w:rPr>
              <w:t>)</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86.2 ± 20.20</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81.90 ± 24.50</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0.27</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85.7 ± 9.7</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87.30 ± 11.20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0.28</w:t>
            </w:r>
          </w:p>
        </w:tc>
        <w:tc>
          <w:tcPr>
            <w:tcW w:w="520" w:type="pct"/>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Hemoglobin</w:t>
            </w:r>
            <w:r>
              <w:rPr>
                <w:rFonts w:hint="eastAsia" w:ascii="Book Antiqua" w:hAnsi="Book Antiqua" w:cstheme="majorBidi"/>
                <w:bCs/>
                <w:color w:val="000000" w:themeColor="text1"/>
                <w:lang w:eastAsia="zh-CN" w:bidi="ar-MA"/>
                <w14:textFill>
                  <w14:solidFill>
                    <w14:schemeClr w14:val="tx1"/>
                  </w14:solidFill>
                </w14:textFill>
              </w:rPr>
              <w:t xml:space="preserve"> </w:t>
            </w:r>
            <w:r>
              <w:rPr>
                <w:rFonts w:ascii="Book Antiqua" w:hAnsi="Book Antiqua" w:cstheme="majorBidi"/>
                <w:bCs/>
                <w:color w:val="000000" w:themeColor="text1"/>
                <w:lang w:bidi="ar-MA"/>
                <w14:textFill>
                  <w14:solidFill>
                    <w14:schemeClr w14:val="tx1"/>
                  </w14:solidFill>
                </w14:textFill>
              </w:rPr>
              <w:t>(g/d</w:t>
            </w:r>
            <w:r>
              <w:rPr>
                <w:rFonts w:ascii="Book Antiqua" w:hAnsi="Book Antiqua" w:cstheme="majorBidi"/>
                <w:bCs/>
                <w:caps/>
                <w:color w:val="000000" w:themeColor="text1"/>
                <w:lang w:bidi="ar-MA"/>
                <w14:textFill>
                  <w14:solidFill>
                    <w14:schemeClr w14:val="tx1"/>
                  </w14:solidFill>
                </w14:textFill>
              </w:rPr>
              <w:t>l</w:t>
            </w:r>
            <w:r>
              <w:rPr>
                <w:rFonts w:ascii="Book Antiqua" w:hAnsi="Book Antiqua" w:cstheme="majorBidi"/>
                <w:bCs/>
                <w:color w:val="000000" w:themeColor="text1"/>
                <w:lang w:bidi="ar-MA"/>
                <w14:textFill>
                  <w14:solidFill>
                    <w14:schemeClr w14:val="tx1"/>
                  </w14:solidFill>
                </w14:textFill>
              </w:rPr>
              <w:t>)</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13.1 ± 1.60</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14.00</w:t>
            </w:r>
            <w:r>
              <w:rPr>
                <w:rFonts w:hint="eastAsia" w:ascii="Book Antiqua" w:hAnsi="Book Antiqua" w:cstheme="majorBidi"/>
                <w:bCs/>
                <w:color w:val="000000" w:themeColor="text1"/>
                <w:lang w:eastAsia="zh-CN" w:bidi="ar-MA"/>
                <w14:textFill>
                  <w14:solidFill>
                    <w14:schemeClr w14:val="tx1"/>
                  </w14:solidFill>
                </w14:textFill>
              </w:rPr>
              <w:t xml:space="preserve"> </w:t>
            </w:r>
            <w:r>
              <w:rPr>
                <w:rFonts w:ascii="Book Antiqua" w:hAnsi="Book Antiqua" w:cstheme="majorBidi"/>
                <w:bCs/>
                <w:color w:val="000000" w:themeColor="text1"/>
                <w:lang w:bidi="ar-MA"/>
                <w14:textFill>
                  <w14:solidFill>
                    <w14:schemeClr w14:val="tx1"/>
                  </w14:solidFill>
                </w14:textFill>
              </w:rPr>
              <w:t>± 1.10</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0.66</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13.60 ± 1.80</w:t>
            </w:r>
          </w:p>
        </w:tc>
        <w:tc>
          <w:tcPr>
            <w:tcW w:w="457" w:type="pct"/>
          </w:tcPr>
          <w:p>
            <w:pPr>
              <w:spacing w:line="360" w:lineRule="auto"/>
              <w:jc w:val="both"/>
              <w:rPr>
                <w:rFonts w:ascii="Book Antiqua" w:hAnsi="Book Antiqua" w:cstheme="majorBidi"/>
                <w:bCs/>
                <w:color w:val="000000" w:themeColor="text1"/>
                <w:lang w:bidi="ar-MA"/>
                <w14:textFill>
                  <w14:solidFill>
                    <w14:schemeClr w14:val="tx1"/>
                  </w14:solidFill>
                </w14:textFill>
              </w:rPr>
            </w:pPr>
            <w:r>
              <w:rPr>
                <w:rFonts w:ascii="Book Antiqua" w:hAnsi="Book Antiqua" w:cstheme="majorBidi"/>
                <w:bCs/>
                <w:color w:val="000000" w:themeColor="text1"/>
                <w:lang w:bidi="ar-MA"/>
                <w14:textFill>
                  <w14:solidFill>
                    <w14:schemeClr w14:val="tx1"/>
                  </w14:solidFill>
                </w14:textFill>
              </w:rPr>
              <w:t>13.20 ± 1.50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0.71</w:t>
            </w:r>
          </w:p>
        </w:tc>
        <w:tc>
          <w:tcPr>
            <w:tcW w:w="520" w:type="pct"/>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Fecal calprotectin</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 xml:space="preserve">(μg/g) </w:t>
            </w:r>
            <w:r>
              <w:rPr>
                <w:rFonts w:ascii="Book Antiqua" w:hAnsi="Book Antiqua" w:cstheme="minorBidi"/>
                <w:i/>
                <w:color w:val="000000" w:themeColor="text1"/>
                <w14:textFill>
                  <w14:solidFill>
                    <w14:schemeClr w14:val="tx1"/>
                  </w14:solidFill>
                </w14:textFill>
              </w:rPr>
              <w:t>n</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&lt;</w:t>
            </w:r>
            <w:r>
              <w:rPr>
                <w:rFonts w:hint="eastAsia" w:ascii="Book Antiqua" w:hAnsi="Book Antiqua" w:cstheme="minorHAnsi"/>
                <w:color w:val="000000" w:themeColor="text1"/>
                <w:lang w:eastAsia="zh-CN"/>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50</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12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9.10</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11.30</w:t>
            </w:r>
            <w:r>
              <w:rPr>
                <w:rFonts w:hint="eastAsia" w:ascii="Book Antiqua" w:hAnsi="Book Antiqua" w:cstheme="minorBid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9.90</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0.81</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11</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8.80</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10.80</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9.20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0.88</w:t>
            </w:r>
          </w:p>
        </w:tc>
        <w:tc>
          <w:tcPr>
            <w:tcW w:w="520" w:type="pct"/>
            <w:shd w:val="clear" w:color="auto" w:fill="auto"/>
          </w:tcPr>
          <w:p>
            <w:pPr>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737" w:type="pct"/>
            <w:vMerge w:val="restar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IBS scores</w:t>
            </w:r>
          </w:p>
        </w:tc>
        <w:tc>
          <w:tcPr>
            <w:tcW w:w="968"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IBS-SSS</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237.20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65</w:t>
            </w:r>
          </w:p>
        </w:tc>
        <w:tc>
          <w:tcPr>
            <w:tcW w:w="457"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163.20 ± 33.80</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0.001</w:t>
            </w:r>
            <w:r>
              <w:rPr>
                <w:rFonts w:hint="eastAsia" w:ascii="Book Antiqua" w:hAnsi="Book Antiqua" w:cs="Garamond"/>
                <w:color w:val="000000" w:themeColor="text1"/>
                <w:vertAlign w:val="superscript"/>
                <w:lang w:eastAsia="zh-CN"/>
                <w14:textFill>
                  <w14:solidFill>
                    <w14:schemeClr w14:val="tx1"/>
                  </w14:solidFill>
                </w14:textFill>
              </w:rPr>
              <w:t>1</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248.3</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71.1</w:t>
            </w:r>
          </w:p>
        </w:tc>
        <w:tc>
          <w:tcPr>
            <w:tcW w:w="457"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228.50 ± 54.30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0.29</w:t>
            </w:r>
          </w:p>
        </w:tc>
        <w:tc>
          <w:tcPr>
            <w:tcW w:w="520" w:type="pct"/>
            <w:shd w:val="clear" w:color="auto" w:fill="auto"/>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&lt;</w:t>
            </w:r>
            <w:r>
              <w:rPr>
                <w:rFonts w:hint="eastAsia" w:ascii="Book Antiqua" w:hAnsi="Book Antiqua" w:cstheme="minorHAns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0.001</w:t>
            </w:r>
            <w:r>
              <w:rPr>
                <w:rFonts w:hint="eastAsia" w:ascii="Book Antiqua" w:hAnsi="Book Antiqua" w:cs="Garamond"/>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IBS-QoL</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 xml:space="preserve">57.30 </w:t>
            </w:r>
            <w:r>
              <w:rPr>
                <w:rFonts w:ascii="Book Antiqua" w:hAnsi="Book Antiqua" w:cstheme="minorHAnsi"/>
                <w:color w:val="000000" w:themeColor="text1"/>
                <w14:textFill>
                  <w14:solidFill>
                    <w14:schemeClr w14:val="tx1"/>
                  </w14:solidFill>
                </w14:textFill>
              </w:rPr>
              <w:t xml:space="preserve">± </w:t>
            </w:r>
            <w:r>
              <w:rPr>
                <w:rFonts w:ascii="Book Antiqua" w:hAnsi="Book Antiqua" w:cstheme="minorBidi"/>
                <w:color w:val="000000" w:themeColor="text1"/>
                <w14:textFill>
                  <w14:solidFill>
                    <w14:schemeClr w14:val="tx1"/>
                  </w14:solidFill>
                </w14:textFill>
              </w:rPr>
              <w:t>12.9</w:t>
            </w:r>
          </w:p>
        </w:tc>
        <w:tc>
          <w:tcPr>
            <w:tcW w:w="457"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72.40 ± 11.2</w:t>
            </w:r>
          </w:p>
        </w:tc>
        <w:tc>
          <w:tcPr>
            <w:tcW w:w="520" w:type="pct"/>
          </w:tcPr>
          <w:p>
            <w:pPr>
              <w:autoSpaceDE w:val="0"/>
              <w:autoSpaceDN w:val="0"/>
              <w:adjustRightInd w:val="0"/>
              <w:spacing w:line="360" w:lineRule="auto"/>
              <w:jc w:val="both"/>
              <w:rPr>
                <w:rFonts w:ascii="Book Antiqua" w:hAnsi="Book Antiqua" w:cs="Garamond"/>
                <w:color w:val="000000" w:themeColor="text1"/>
                <w:lang w:eastAsia="zh-CN"/>
                <w14:textFill>
                  <w14:solidFill>
                    <w14:schemeClr w14:val="tx1"/>
                  </w14:solidFill>
                </w14:textFill>
              </w:rPr>
            </w:pPr>
            <w:r>
              <w:rPr>
                <w:rFonts w:ascii="Book Antiqua" w:hAnsi="Book Antiqua" w:cs="Garamond"/>
                <w:color w:val="000000" w:themeColor="text1"/>
                <w14:textFill>
                  <w14:solidFill>
                    <w14:schemeClr w14:val="tx1"/>
                  </w14:solidFill>
                </w14:textFill>
              </w:rPr>
              <w:t>&lt;0.001</w:t>
            </w:r>
            <w:r>
              <w:rPr>
                <w:rFonts w:hint="eastAsia" w:ascii="Book Antiqua" w:hAnsi="Book Antiqua" w:cs="Garamond"/>
                <w:color w:val="000000" w:themeColor="text1"/>
                <w:vertAlign w:val="superscript"/>
                <w:lang w:eastAsia="zh-CN"/>
                <w14:textFill>
                  <w14:solidFill>
                    <w14:schemeClr w14:val="tx1"/>
                  </w14:solidFill>
                </w14:textFill>
              </w:rPr>
              <w:t>1</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59.1</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11.7</w:t>
            </w:r>
          </w:p>
        </w:tc>
        <w:tc>
          <w:tcPr>
            <w:tcW w:w="457"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59.20 ± 12.70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0.77</w:t>
            </w:r>
          </w:p>
        </w:tc>
        <w:tc>
          <w:tcPr>
            <w:tcW w:w="520" w:type="pct"/>
            <w:shd w:val="clear" w:color="auto" w:fill="auto"/>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&lt;</w:t>
            </w:r>
            <w:r>
              <w:rPr>
                <w:rFonts w:hint="eastAsia" w:ascii="Book Antiqua" w:hAnsi="Book Antiqua" w:cstheme="minorHAnsi"/>
                <w:color w:val="000000" w:themeColor="text1"/>
                <w:lang w:eastAsia="zh-CN"/>
                <w14:textFill>
                  <w14:solidFill>
                    <w14:schemeClr w14:val="tx1"/>
                  </w14:solidFill>
                </w14:textFill>
              </w:rPr>
              <w:t xml:space="preserve"> </w:t>
            </w:r>
            <w:r>
              <w:rPr>
                <w:rFonts w:ascii="Book Antiqua" w:hAnsi="Book Antiqua" w:cstheme="minorHAnsi"/>
                <w:color w:val="000000" w:themeColor="text1"/>
                <w14:textFill>
                  <w14:solidFill>
                    <w14:schemeClr w14:val="tx1"/>
                  </w14:solidFill>
                </w14:textFill>
              </w:rPr>
              <w:t>0.001</w:t>
            </w:r>
            <w:r>
              <w:rPr>
                <w:rFonts w:hint="eastAsia" w:ascii="Book Antiqua" w:hAnsi="Book Antiqua" w:cs="Garamond"/>
                <w:color w:val="000000" w:themeColor="text1"/>
                <w:vertAlign w:val="superscript"/>
                <w:lang w:eastAsia="zh-CN"/>
                <w14:textFill>
                  <w14:solidFill>
                    <w14:schemeClr w14:val="tx1"/>
                  </w14:solidFill>
                </w14:textFill>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737" w:type="pct"/>
            <w:vMerge w:val="continue"/>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p>
        </w:tc>
        <w:tc>
          <w:tcPr>
            <w:tcW w:w="968"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Total score</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24.10</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10.4</w:t>
            </w:r>
          </w:p>
        </w:tc>
        <w:tc>
          <w:tcPr>
            <w:tcW w:w="457"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28.80 ± 11.20</w:t>
            </w:r>
          </w:p>
        </w:tc>
        <w:tc>
          <w:tcPr>
            <w:tcW w:w="520"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0.02</w:t>
            </w:r>
            <w:r>
              <w:rPr>
                <w:rFonts w:hint="eastAsia" w:ascii="Book Antiqua" w:hAnsi="Book Antiqua" w:cs="Garamond"/>
                <w:color w:val="000000" w:themeColor="text1"/>
                <w:vertAlign w:val="superscript"/>
                <w:lang w:eastAsia="zh-CN"/>
                <w14:textFill>
                  <w14:solidFill>
                    <w14:schemeClr w14:val="tx1"/>
                  </w14:solidFill>
                </w14:textFill>
              </w:rPr>
              <w:t>1</w:t>
            </w:r>
          </w:p>
        </w:tc>
        <w:tc>
          <w:tcPr>
            <w:tcW w:w="457" w:type="pct"/>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heme="minorBidi"/>
                <w:color w:val="000000" w:themeColor="text1"/>
                <w14:textFill>
                  <w14:solidFill>
                    <w14:schemeClr w14:val="tx1"/>
                  </w14:solidFill>
                </w14:textFill>
              </w:rPr>
              <w:t>22.8</w:t>
            </w:r>
            <w:r>
              <w:rPr>
                <w:rFonts w:ascii="Book Antiqua" w:hAnsi="Book Antiqua" w:cstheme="minorHAnsi"/>
                <w:color w:val="000000" w:themeColor="text1"/>
                <w14:textFill>
                  <w14:solidFill>
                    <w14:schemeClr w14:val="tx1"/>
                  </w14:solidFill>
                </w14:textFill>
              </w:rPr>
              <w:t xml:space="preserve"> ± </w:t>
            </w:r>
            <w:r>
              <w:rPr>
                <w:rFonts w:ascii="Book Antiqua" w:hAnsi="Book Antiqua" w:cstheme="minorBidi"/>
                <w:color w:val="000000" w:themeColor="text1"/>
                <w14:textFill>
                  <w14:solidFill>
                    <w14:schemeClr w14:val="tx1"/>
                  </w14:solidFill>
                </w14:textFill>
              </w:rPr>
              <w:t>13.50</w:t>
            </w:r>
          </w:p>
        </w:tc>
        <w:tc>
          <w:tcPr>
            <w:tcW w:w="457" w:type="pct"/>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22.10 ± 12.50</w:t>
            </w:r>
          </w:p>
        </w:tc>
        <w:tc>
          <w:tcPr>
            <w:tcW w:w="426" w:type="pct"/>
          </w:tcPr>
          <w:p>
            <w:pPr>
              <w:autoSpaceDE w:val="0"/>
              <w:autoSpaceDN w:val="0"/>
              <w:adjustRightInd w:val="0"/>
              <w:spacing w:line="360" w:lineRule="auto"/>
              <w:jc w:val="both"/>
              <w:rPr>
                <w:rFonts w:ascii="Book Antiqua" w:hAnsi="Book Antiqua" w:cs="Garamond"/>
                <w:color w:val="000000" w:themeColor="text1"/>
                <w14:textFill>
                  <w14:solidFill>
                    <w14:schemeClr w14:val="tx1"/>
                  </w14:solidFill>
                </w14:textFill>
              </w:rPr>
            </w:pPr>
            <w:r>
              <w:rPr>
                <w:rFonts w:ascii="Book Antiqua" w:hAnsi="Book Antiqua" w:cs="Garamond"/>
                <w:color w:val="000000" w:themeColor="text1"/>
                <w14:textFill>
                  <w14:solidFill>
                    <w14:schemeClr w14:val="tx1"/>
                  </w14:solidFill>
                </w14:textFill>
              </w:rPr>
              <w:t>0.94</w:t>
            </w:r>
          </w:p>
        </w:tc>
        <w:tc>
          <w:tcPr>
            <w:tcW w:w="520" w:type="pct"/>
            <w:shd w:val="clear" w:color="auto" w:fill="auto"/>
          </w:tcPr>
          <w:p>
            <w:pPr>
              <w:spacing w:line="360" w:lineRule="auto"/>
              <w:jc w:val="both"/>
              <w:rPr>
                <w:rFonts w:ascii="Book Antiqua" w:hAnsi="Book Antiqua" w:cstheme="minorHAnsi"/>
                <w:color w:val="000000" w:themeColor="text1"/>
                <w14:textFill>
                  <w14:solidFill>
                    <w14:schemeClr w14:val="tx1"/>
                  </w14:solidFill>
                </w14:textFill>
              </w:rPr>
            </w:pPr>
            <w:r>
              <w:rPr>
                <w:rFonts w:ascii="Book Antiqua" w:hAnsi="Book Antiqua" w:cstheme="minorHAnsi"/>
                <w:color w:val="000000" w:themeColor="text1"/>
                <w14:textFill>
                  <w14:solidFill>
                    <w14:schemeClr w14:val="tx1"/>
                  </w14:solidFill>
                </w14:textFill>
              </w:rPr>
              <w:t>0.03</w:t>
            </w:r>
            <w:r>
              <w:rPr>
                <w:rFonts w:hint="eastAsia" w:ascii="Book Antiqua" w:hAnsi="Book Antiqua" w:cs="Garamond"/>
                <w:color w:val="000000" w:themeColor="text1"/>
                <w:vertAlign w:val="superscript"/>
                <w:lang w:eastAsia="zh-CN"/>
                <w14:textFill>
                  <w14:solidFill>
                    <w14:schemeClr w14:val="tx1"/>
                  </w14:solidFill>
                </w14:textFill>
              </w:rPr>
              <w:t>1</w:t>
            </w:r>
          </w:p>
        </w:tc>
      </w:tr>
    </w:tbl>
    <w:p>
      <w:pPr>
        <w:spacing w:line="360" w:lineRule="auto"/>
        <w:jc w:val="both"/>
        <w:rPr>
          <w:rFonts w:ascii="Book Antiqua" w:hAnsi="Book Antiqua"/>
          <w:color w:val="000000" w:themeColor="text1"/>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1</w:t>
      </w:r>
      <w:r>
        <w:rPr>
          <w:rFonts w:ascii="Book Antiqua" w:hAnsi="Book Antiqua"/>
          <w:i/>
          <w:color w:val="000000" w:themeColor="text1"/>
          <w14:textFill>
            <w14:solidFill>
              <w14:schemeClr w14:val="tx1"/>
            </w14:solidFill>
          </w14:textFill>
        </w:rPr>
        <w:t>P</w:t>
      </w:r>
      <w:r>
        <w:rPr>
          <w:rFonts w:ascii="Book Antiqua" w:hAnsi="Book Antiqua"/>
          <w:color w:val="000000" w:themeColor="text1"/>
          <w14:textFill>
            <w14:solidFill>
              <w14:schemeClr w14:val="tx1"/>
            </w14:solidFill>
          </w14:textFill>
        </w:rPr>
        <w:t xml:space="preserve"> value is for group I </w:t>
      </w:r>
      <w:r>
        <w:rPr>
          <w:rFonts w:ascii="Book Antiqua" w:hAnsi="Book Antiqua"/>
          <w:i/>
          <w:color w:val="000000" w:themeColor="text1"/>
          <w14:textFill>
            <w14:solidFill>
              <w14:schemeClr w14:val="tx1"/>
            </w14:solidFill>
          </w14:textFill>
        </w:rPr>
        <w:t>vs</w:t>
      </w:r>
      <w:r>
        <w:rPr>
          <w:rFonts w:ascii="Book Antiqua" w:hAnsi="Book Antiqua"/>
          <w:color w:val="000000" w:themeColor="text1"/>
          <w14:textFill>
            <w14:solidFill>
              <w14:schemeClr w14:val="tx1"/>
            </w14:solidFill>
          </w14:textFill>
        </w:rPr>
        <w:t xml:space="preserve"> group II at the end of the study.</w:t>
      </w:r>
    </w:p>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color w:val="000000" w:themeColor="text1"/>
          <w14:textFill>
            <w14:solidFill>
              <w14:schemeClr w14:val="tx1"/>
            </w14:solidFill>
          </w14:textFill>
        </w:rPr>
        <w:t>BMI: Body mass index; IBS: Irritable bowel syndrome; IBS</w:t>
      </w:r>
      <w:r>
        <w:rPr>
          <w:rFonts w:ascii="Book Antiqua" w:hAnsi="Book Antiqua" w:cstheme="minorHAns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SSS: IBS symptoms severity score questionnaire; IBS</w:t>
      </w:r>
      <w:r>
        <w:rPr>
          <w:rFonts w:ascii="Book Antiqua" w:hAnsi="Book Antiqua" w:cstheme="minorHAnsi"/>
          <w:color w:val="000000" w:themeColor="text1"/>
          <w14:textFill>
            <w14:solidFill>
              <w14:schemeClr w14:val="tx1"/>
            </w14:solidFill>
          </w14:textFill>
        </w:rPr>
        <w:t>-</w:t>
      </w:r>
      <w:r>
        <w:rPr>
          <w:rFonts w:ascii="Book Antiqua" w:hAnsi="Book Antiqua"/>
          <w:color w:val="000000" w:themeColor="text1"/>
          <w14:textFill>
            <w14:solidFill>
              <w14:schemeClr w14:val="tx1"/>
            </w14:solidFill>
          </w14:textFill>
        </w:rPr>
        <w:t xml:space="preserve">QoL: IBS quality of life questionnaire.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CorporateSBQ-Bold">
    <w:altName w:val="MS Gothic"/>
    <w:panose1 w:val="00000000000000000000"/>
    <w:charset w:val="80"/>
    <w:family w:val="swiss"/>
    <w:pitch w:val="default"/>
    <w:sig w:usb0="00000000" w:usb1="00000000" w:usb2="00000010" w:usb3="00000000" w:csb0="00020000" w:csb1="00000000"/>
  </w:font>
  <w:font w:name="Garamond">
    <w:panose1 w:val="02020404030301010803"/>
    <w:charset w:val="00"/>
    <w:family w:val="roman"/>
    <w:pitch w:val="default"/>
    <w:sig w:usb0="00000287" w:usb1="00000000" w:usb2="00000000" w:usb3="00000000" w:csb0="0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BookAntiqua-Bold">
    <w:altName w:val="Calibri"/>
    <w:panose1 w:val="00000000000000000000"/>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120027"/>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29</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0sLA0MbcwNTYzNTJV0lEKTi0uzszPAykwqgUAoPO89iwAAAA="/>
  </w:docVars>
  <w:rsids>
    <w:rsidRoot w:val="00A77B3E"/>
    <w:rsid w:val="000C3398"/>
    <w:rsid w:val="00177C18"/>
    <w:rsid w:val="0019396D"/>
    <w:rsid w:val="00194896"/>
    <w:rsid w:val="001C1199"/>
    <w:rsid w:val="0026365E"/>
    <w:rsid w:val="00290E9F"/>
    <w:rsid w:val="002D2124"/>
    <w:rsid w:val="002F17AB"/>
    <w:rsid w:val="003025B3"/>
    <w:rsid w:val="00371F26"/>
    <w:rsid w:val="0042377D"/>
    <w:rsid w:val="00590BEA"/>
    <w:rsid w:val="00656EEF"/>
    <w:rsid w:val="006871B1"/>
    <w:rsid w:val="006B42CE"/>
    <w:rsid w:val="006D3CE7"/>
    <w:rsid w:val="006D714C"/>
    <w:rsid w:val="00744A9B"/>
    <w:rsid w:val="007E3565"/>
    <w:rsid w:val="00817B05"/>
    <w:rsid w:val="00827A32"/>
    <w:rsid w:val="00847DDB"/>
    <w:rsid w:val="008B0FBA"/>
    <w:rsid w:val="009300CC"/>
    <w:rsid w:val="00985C2C"/>
    <w:rsid w:val="009A6862"/>
    <w:rsid w:val="009D0BA5"/>
    <w:rsid w:val="00A77B3E"/>
    <w:rsid w:val="00AA19D7"/>
    <w:rsid w:val="00B637DD"/>
    <w:rsid w:val="00B822B0"/>
    <w:rsid w:val="00BC683C"/>
    <w:rsid w:val="00BD760B"/>
    <w:rsid w:val="00C26762"/>
    <w:rsid w:val="00C72A9F"/>
    <w:rsid w:val="00C87877"/>
    <w:rsid w:val="00CA2A55"/>
    <w:rsid w:val="00CB1FC0"/>
    <w:rsid w:val="00CE3A97"/>
    <w:rsid w:val="00D9644D"/>
    <w:rsid w:val="00DF6238"/>
    <w:rsid w:val="00E73EDB"/>
    <w:rsid w:val="00E83F4A"/>
    <w:rsid w:val="00EB4180"/>
    <w:rsid w:val="00F131C6"/>
    <w:rsid w:val="00F3412E"/>
    <w:rsid w:val="00FA2474"/>
    <w:rsid w:val="07350087"/>
    <w:rsid w:val="07E04497"/>
    <w:rsid w:val="11AE585A"/>
    <w:rsid w:val="188C6AFE"/>
    <w:rsid w:val="20FB2099"/>
    <w:rsid w:val="290738FD"/>
    <w:rsid w:val="2CB55955"/>
    <w:rsid w:val="2CDE1DC5"/>
    <w:rsid w:val="2DD36243"/>
    <w:rsid w:val="3276317E"/>
    <w:rsid w:val="48DD58AD"/>
    <w:rsid w:val="4EC372F3"/>
    <w:rsid w:val="5CE86703"/>
    <w:rsid w:val="67EC36E4"/>
    <w:rsid w:val="6DBC5F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style>
  <w:style w:type="paragraph" w:styleId="3">
    <w:name w:val="Balloon Text"/>
    <w:basedOn w:val="1"/>
    <w:link w:val="15"/>
    <w:qFormat/>
    <w:uiPriority w:val="0"/>
    <w:rPr>
      <w:sz w:val="18"/>
      <w:szCs w:val="18"/>
    </w:rPr>
  </w:style>
  <w:style w:type="paragraph" w:styleId="4">
    <w:name w:val="footer"/>
    <w:basedOn w:val="1"/>
    <w:link w:val="18"/>
    <w:unhideWhenUsed/>
    <w:qFormat/>
    <w:uiPriority w:val="99"/>
    <w:pPr>
      <w:tabs>
        <w:tab w:val="center" w:pos="4153"/>
        <w:tab w:val="right" w:pos="8306"/>
      </w:tabs>
      <w:snapToGrid w:val="0"/>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semiHidden/>
    <w:unhideWhenUsed/>
    <w:qFormat/>
    <w:uiPriority w:val="0"/>
    <w:rPr>
      <w:b/>
      <w:bCs/>
    </w:rPr>
  </w:style>
  <w:style w:type="table" w:styleId="9">
    <w:name w:val="Table Grid"/>
    <w:basedOn w:val="8"/>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iCs/>
    </w:rPr>
  </w:style>
  <w:style w:type="character" w:styleId="12">
    <w:name w:val="annotation reference"/>
    <w:basedOn w:val="10"/>
    <w:semiHidden/>
    <w:unhideWhenUsed/>
    <w:qFormat/>
    <w:uiPriority w:val="0"/>
    <w:rPr>
      <w:sz w:val="21"/>
      <w:szCs w:val="21"/>
    </w:rPr>
  </w:style>
  <w:style w:type="character" w:customStyle="1" w:styleId="13">
    <w:name w:val="批注文字 字符"/>
    <w:basedOn w:val="10"/>
    <w:link w:val="2"/>
    <w:qFormat/>
    <w:uiPriority w:val="99"/>
    <w:rPr>
      <w:sz w:val="24"/>
      <w:szCs w:val="24"/>
    </w:rPr>
  </w:style>
  <w:style w:type="character" w:customStyle="1" w:styleId="14">
    <w:name w:val="批注主题 字符"/>
    <w:basedOn w:val="13"/>
    <w:link w:val="7"/>
    <w:semiHidden/>
    <w:qFormat/>
    <w:uiPriority w:val="0"/>
    <w:rPr>
      <w:b/>
      <w:bCs/>
      <w:sz w:val="24"/>
      <w:szCs w:val="24"/>
    </w:rPr>
  </w:style>
  <w:style w:type="character" w:customStyle="1" w:styleId="15">
    <w:name w:val="批注框文本 字符"/>
    <w:basedOn w:val="10"/>
    <w:link w:val="3"/>
    <w:qFormat/>
    <w:uiPriority w:val="0"/>
    <w:rPr>
      <w:sz w:val="18"/>
      <w:szCs w:val="18"/>
    </w:rPr>
  </w:style>
  <w:style w:type="paragraph" w:styleId="16">
    <w:name w:val="List Paragraph"/>
    <w:basedOn w:val="1"/>
    <w:qFormat/>
    <w:uiPriority w:val="34"/>
    <w:pPr>
      <w:bidi/>
      <w:spacing w:after="200" w:line="276" w:lineRule="auto"/>
      <w:ind w:left="720"/>
      <w:contextualSpacing/>
    </w:pPr>
    <w:rPr>
      <w:rFonts w:asciiTheme="minorHAnsi" w:hAnsiTheme="minorHAnsi" w:cstheme="minorBidi"/>
      <w:sz w:val="22"/>
      <w:szCs w:val="22"/>
    </w:rPr>
  </w:style>
  <w:style w:type="character" w:customStyle="1" w:styleId="17">
    <w:name w:val="页眉 字符"/>
    <w:basedOn w:val="10"/>
    <w:link w:val="5"/>
    <w:qFormat/>
    <w:uiPriority w:val="0"/>
    <w:rPr>
      <w:sz w:val="18"/>
      <w:szCs w:val="18"/>
    </w:rPr>
  </w:style>
  <w:style w:type="character" w:customStyle="1" w:styleId="18">
    <w:name w:val="页脚 字符"/>
    <w:basedOn w:val="10"/>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E0DF6B-92AF-42D9-B62F-DE9395670A87}">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29</Pages>
  <Words>6620</Words>
  <Characters>37738</Characters>
  <Lines>314</Lines>
  <Paragraphs>88</Paragraphs>
  <TotalTime>13</TotalTime>
  <ScaleCrop>false</ScaleCrop>
  <LinksUpToDate>false</LinksUpToDate>
  <CharactersWithSpaces>44270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2022-04-27T23:28:00Z</dcterms:created>
  <dc:creator>Hp</dc:creator>
  <cp:lastModifiedBy>千</cp:lastModifiedBy>
  <cp:lastPrinted>2022-04-27T01:04:00Z</cp:lastPrinted>
  <dcterms:modified xsi:type="dcterms:W3CDTF">2022-07-06T08:54:46Z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9C1FF44D639949B9AE30A2D97499A3B9</vt:lpwstr>
  </property>
</Properties>
</file>