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4994B"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t xml:space="preserve">Name of Journal: </w:t>
      </w:r>
      <w:r w:rsidRPr="00D51201">
        <w:rPr>
          <w:rFonts w:ascii="Book Antiqua" w:eastAsia="Book Antiqua" w:hAnsi="Book Antiqua" w:cs="Book Antiqua"/>
          <w:i/>
          <w:color w:val="000000"/>
        </w:rPr>
        <w:t>World Journal of Gastrointestinal Surgery</w:t>
      </w:r>
    </w:p>
    <w:p w14:paraId="6C09BAEB"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t xml:space="preserve">Manuscript NO: </w:t>
      </w:r>
      <w:r w:rsidRPr="00D51201">
        <w:rPr>
          <w:rFonts w:ascii="Book Antiqua" w:eastAsia="Book Antiqua" w:hAnsi="Book Antiqua" w:cs="Book Antiqua"/>
          <w:color w:val="000000"/>
        </w:rPr>
        <w:t>74352</w:t>
      </w:r>
    </w:p>
    <w:p w14:paraId="4C54C022"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t xml:space="preserve">Manuscript Type: </w:t>
      </w:r>
      <w:r w:rsidRPr="00D51201">
        <w:rPr>
          <w:rFonts w:ascii="Book Antiqua" w:eastAsia="Book Antiqua" w:hAnsi="Book Antiqua" w:cs="Book Antiqua"/>
          <w:color w:val="000000"/>
        </w:rPr>
        <w:t>ORIGINAL ARTICLE</w:t>
      </w:r>
    </w:p>
    <w:p w14:paraId="6A5BAE71" w14:textId="77777777" w:rsidR="00A77B3E" w:rsidRPr="00D51201" w:rsidRDefault="00A77B3E" w:rsidP="00603AB3">
      <w:pPr>
        <w:adjustRightInd w:val="0"/>
        <w:snapToGrid w:val="0"/>
        <w:spacing w:line="360" w:lineRule="auto"/>
        <w:jc w:val="both"/>
        <w:rPr>
          <w:rFonts w:ascii="Book Antiqua" w:hAnsi="Book Antiqua"/>
        </w:rPr>
      </w:pPr>
    </w:p>
    <w:p w14:paraId="5A4019F0"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i/>
          <w:color w:val="000000"/>
        </w:rPr>
        <w:t>Retrospective Cohort Study</w:t>
      </w:r>
    </w:p>
    <w:p w14:paraId="682FF3D0"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t>Para-aortic lymph node involvement should not be a contraindication to resection of pancreatic ductal adenocarcinoma</w:t>
      </w:r>
    </w:p>
    <w:p w14:paraId="12A9546C" w14:textId="77777777" w:rsidR="00A77B3E" w:rsidRPr="00D51201" w:rsidRDefault="00A77B3E" w:rsidP="00603AB3">
      <w:pPr>
        <w:adjustRightInd w:val="0"/>
        <w:snapToGrid w:val="0"/>
        <w:spacing w:line="360" w:lineRule="auto"/>
        <w:jc w:val="both"/>
        <w:rPr>
          <w:rFonts w:ascii="Book Antiqua" w:hAnsi="Book Antiqua"/>
        </w:rPr>
      </w:pPr>
    </w:p>
    <w:p w14:paraId="05186F42"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Pande</w:t>
      </w:r>
      <w:r w:rsidRPr="00D51201">
        <w:rPr>
          <w:rFonts w:ascii="Book Antiqua" w:eastAsia="Book Antiqua" w:hAnsi="Book Antiqua" w:cs="Book Antiqua"/>
          <w:bCs/>
          <w:color w:val="000000"/>
        </w:rPr>
        <w:t xml:space="preserve"> R </w:t>
      </w:r>
      <w:r w:rsidRPr="00D51201">
        <w:rPr>
          <w:rFonts w:ascii="Book Antiqua" w:eastAsia="Book Antiqua" w:hAnsi="Book Antiqua" w:cs="Book Antiqua"/>
          <w:bCs/>
          <w:i/>
          <w:color w:val="000000"/>
        </w:rPr>
        <w:t>et al</w:t>
      </w:r>
      <w:r w:rsidRPr="00D51201">
        <w:rPr>
          <w:rFonts w:ascii="Book Antiqua" w:eastAsia="Book Antiqua" w:hAnsi="Book Antiqua" w:cs="Book Antiqua"/>
          <w:bCs/>
          <w:color w:val="000000"/>
        </w:rPr>
        <w:t>. PALN not contraindication to PDAC resection</w:t>
      </w:r>
    </w:p>
    <w:p w14:paraId="1570D70C" w14:textId="77777777" w:rsidR="00A77B3E" w:rsidRPr="00D51201" w:rsidRDefault="00A77B3E" w:rsidP="00603AB3">
      <w:pPr>
        <w:adjustRightInd w:val="0"/>
        <w:snapToGrid w:val="0"/>
        <w:spacing w:line="360" w:lineRule="auto"/>
        <w:jc w:val="both"/>
        <w:rPr>
          <w:rFonts w:ascii="Book Antiqua" w:hAnsi="Book Antiqua"/>
        </w:rPr>
      </w:pPr>
    </w:p>
    <w:p w14:paraId="24F6B74F"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Rupaly Pande, Shafiq Chughtai, Manish Ahuja, Rachel Brown, David C Bartlett, B</w:t>
      </w:r>
      <w:r w:rsidR="00820C4D" w:rsidRPr="00D51201">
        <w:rPr>
          <w:rFonts w:ascii="Book Antiqua" w:eastAsia="Book Antiqua" w:hAnsi="Book Antiqua" w:cs="Book Antiqua"/>
          <w:color w:val="000000"/>
        </w:rPr>
        <w:t xml:space="preserve">obby </w:t>
      </w:r>
      <w:r w:rsidRPr="00D51201">
        <w:rPr>
          <w:rFonts w:ascii="Book Antiqua" w:eastAsia="Book Antiqua" w:hAnsi="Book Antiqua" w:cs="Book Antiqua"/>
          <w:color w:val="000000"/>
        </w:rPr>
        <w:t>V Dasari, Ravi Marudanayagam, Darius Mirza, Keith Roberts, John Isaac, R</w:t>
      </w:r>
      <w:r w:rsidR="00820C4D" w:rsidRPr="00D51201">
        <w:rPr>
          <w:rFonts w:ascii="Book Antiqua" w:eastAsia="Book Antiqua" w:hAnsi="Book Antiqua" w:cs="Book Antiqua"/>
          <w:color w:val="000000"/>
        </w:rPr>
        <w:t xml:space="preserve">obert </w:t>
      </w:r>
      <w:r w:rsidRPr="00D51201">
        <w:rPr>
          <w:rFonts w:ascii="Book Antiqua" w:eastAsia="Book Antiqua" w:hAnsi="Book Antiqua" w:cs="Book Antiqua"/>
          <w:color w:val="000000"/>
        </w:rPr>
        <w:t>P Sutcliffe, Nikolaos A Chatzizacharias</w:t>
      </w:r>
    </w:p>
    <w:p w14:paraId="27E32446" w14:textId="77777777" w:rsidR="00A77B3E" w:rsidRPr="00D51201" w:rsidRDefault="00A77B3E" w:rsidP="00603AB3">
      <w:pPr>
        <w:adjustRightInd w:val="0"/>
        <w:snapToGrid w:val="0"/>
        <w:spacing w:line="360" w:lineRule="auto"/>
        <w:jc w:val="both"/>
        <w:rPr>
          <w:rFonts w:ascii="Book Antiqua" w:hAnsi="Book Antiqua"/>
        </w:rPr>
      </w:pPr>
    </w:p>
    <w:p w14:paraId="4FF34B59" w14:textId="1B6AF3B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bCs/>
          <w:color w:val="000000"/>
        </w:rPr>
        <w:t xml:space="preserve">Rupaly Pande, Shafiq Chughtai, Manish Ahuja, David C Bartlett, </w:t>
      </w:r>
      <w:r w:rsidR="00F42D2C" w:rsidRPr="00D51201">
        <w:rPr>
          <w:rFonts w:ascii="Book Antiqua" w:eastAsia="Book Antiqua" w:hAnsi="Book Antiqua" w:cs="Book Antiqua"/>
          <w:b/>
          <w:bCs/>
          <w:color w:val="000000"/>
        </w:rPr>
        <w:t>Bobby</w:t>
      </w:r>
      <w:r w:rsidR="00F42D2C" w:rsidRPr="00D51201" w:rsidDel="00F42D2C">
        <w:rPr>
          <w:rFonts w:ascii="Book Antiqua" w:eastAsia="Book Antiqua" w:hAnsi="Book Antiqua" w:cs="Book Antiqua"/>
          <w:b/>
          <w:bCs/>
          <w:color w:val="000000"/>
        </w:rPr>
        <w:t xml:space="preserve"> </w:t>
      </w:r>
      <w:r w:rsidRPr="00D51201">
        <w:rPr>
          <w:rFonts w:ascii="Book Antiqua" w:eastAsia="Book Antiqua" w:hAnsi="Book Antiqua" w:cs="Book Antiqua"/>
          <w:b/>
          <w:bCs/>
          <w:color w:val="000000"/>
        </w:rPr>
        <w:t xml:space="preserve">V Dasari, Ravi Marudanayagam, </w:t>
      </w:r>
      <w:r w:rsidR="000C3310" w:rsidRPr="00D51201">
        <w:rPr>
          <w:rFonts w:ascii="Book Antiqua" w:eastAsia="Book Antiqua" w:hAnsi="Book Antiqua" w:cs="Book Antiqua"/>
          <w:b/>
          <w:bCs/>
          <w:color w:val="000000"/>
        </w:rPr>
        <w:t xml:space="preserve">Darius Mirza, Keith Roberts, John Isaac, </w:t>
      </w:r>
      <w:r w:rsidR="00F42D2C" w:rsidRPr="00D51201">
        <w:rPr>
          <w:rFonts w:ascii="Book Antiqua" w:eastAsia="Book Antiqua" w:hAnsi="Book Antiqua" w:cs="Book Antiqua"/>
          <w:b/>
          <w:color w:val="000000"/>
        </w:rPr>
        <w:t xml:space="preserve">Robert </w:t>
      </w:r>
      <w:r w:rsidR="000C3310" w:rsidRPr="00D51201">
        <w:rPr>
          <w:rFonts w:ascii="Book Antiqua" w:eastAsia="Book Antiqua" w:hAnsi="Book Antiqua" w:cs="Book Antiqua"/>
          <w:b/>
          <w:bCs/>
          <w:color w:val="000000"/>
        </w:rPr>
        <w:t xml:space="preserve">P Sutcliffe, Nikolaos A Chatzizacharias, </w:t>
      </w:r>
      <w:r w:rsidRPr="00D51201">
        <w:rPr>
          <w:rFonts w:ascii="Book Antiqua" w:eastAsia="Book Antiqua" w:hAnsi="Book Antiqua" w:cs="Book Antiqua"/>
          <w:color w:val="000000"/>
        </w:rPr>
        <w:t xml:space="preserve">Department of </w:t>
      </w:r>
      <w:r w:rsidR="001D4F96" w:rsidRPr="00D51201">
        <w:rPr>
          <w:rFonts w:ascii="Book Antiqua" w:eastAsia="Book Antiqua" w:hAnsi="Book Antiqua" w:cs="Book Antiqua"/>
          <w:color w:val="000000"/>
        </w:rPr>
        <w:t xml:space="preserve">nt of Hepato-Pancreato-Biliary </w:t>
      </w:r>
      <w:r w:rsidRPr="00D51201">
        <w:rPr>
          <w:rFonts w:ascii="Book Antiqua" w:eastAsia="Book Antiqua" w:hAnsi="Book Antiqua" w:cs="Book Antiqua"/>
          <w:color w:val="000000"/>
        </w:rPr>
        <w:t>and Liver Transplant Surgery, University Hospitals Birmingham NHS Foundation Trust, Birmingham B15 2GW, United Kingdom</w:t>
      </w:r>
    </w:p>
    <w:p w14:paraId="439E7ED5" w14:textId="77777777" w:rsidR="00A77B3E" w:rsidRPr="00D51201" w:rsidRDefault="00A77B3E" w:rsidP="00603AB3">
      <w:pPr>
        <w:adjustRightInd w:val="0"/>
        <w:snapToGrid w:val="0"/>
        <w:spacing w:line="360" w:lineRule="auto"/>
        <w:jc w:val="both"/>
        <w:rPr>
          <w:rFonts w:ascii="Book Antiqua" w:hAnsi="Book Antiqua"/>
        </w:rPr>
      </w:pPr>
    </w:p>
    <w:p w14:paraId="327481A1"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bCs/>
          <w:color w:val="000000"/>
        </w:rPr>
        <w:t xml:space="preserve">Rachel Brown, </w:t>
      </w:r>
      <w:r w:rsidRPr="00D51201">
        <w:rPr>
          <w:rFonts w:ascii="Book Antiqua" w:eastAsia="Book Antiqua" w:hAnsi="Book Antiqua" w:cs="Book Antiqua"/>
          <w:color w:val="000000"/>
        </w:rPr>
        <w:t>Department of Pathology, University Hospitals Birmingham NHS Foundation Trust, Birmingham B15 2GW, United Kingdom</w:t>
      </w:r>
    </w:p>
    <w:p w14:paraId="3A9DC592" w14:textId="77777777" w:rsidR="00A77B3E" w:rsidRPr="00D51201" w:rsidRDefault="00A77B3E" w:rsidP="00603AB3">
      <w:pPr>
        <w:adjustRightInd w:val="0"/>
        <w:snapToGrid w:val="0"/>
        <w:spacing w:line="360" w:lineRule="auto"/>
        <w:jc w:val="both"/>
        <w:rPr>
          <w:rFonts w:ascii="Book Antiqua" w:hAnsi="Book Antiqua"/>
        </w:rPr>
      </w:pPr>
    </w:p>
    <w:p w14:paraId="51B141D6" w14:textId="6D333488" w:rsidR="0081292B" w:rsidRPr="00D51201" w:rsidRDefault="00D450DE" w:rsidP="00603AB3">
      <w:pPr>
        <w:adjustRightInd w:val="0"/>
        <w:snapToGrid w:val="0"/>
        <w:spacing w:line="360" w:lineRule="auto"/>
        <w:jc w:val="both"/>
        <w:rPr>
          <w:rFonts w:ascii="Book Antiqua" w:eastAsia="Book Antiqua" w:hAnsi="Book Antiqua" w:cs="Book Antiqua"/>
          <w:szCs w:val="21"/>
        </w:rPr>
      </w:pPr>
      <w:r w:rsidRPr="00D51201">
        <w:rPr>
          <w:rFonts w:ascii="Book Antiqua" w:eastAsia="Book Antiqua" w:hAnsi="Book Antiqua" w:cs="Book Antiqua"/>
          <w:b/>
          <w:bCs/>
          <w:color w:val="000000"/>
        </w:rPr>
        <w:t xml:space="preserve">Author contributions: </w:t>
      </w:r>
      <w:r w:rsidR="0081292B" w:rsidRPr="00D51201">
        <w:rPr>
          <w:rFonts w:ascii="Book Antiqua" w:eastAsia="Book Antiqua" w:hAnsi="Book Antiqua" w:cs="Book Antiqua"/>
          <w:color w:val="000000"/>
        </w:rPr>
        <w:t>Pande R</w:t>
      </w:r>
      <w:r w:rsidR="0081292B" w:rsidRPr="00D51201">
        <w:rPr>
          <w:rFonts w:ascii="Book Antiqua" w:eastAsia="Book Antiqua" w:hAnsi="Book Antiqua" w:cs="Book Antiqua"/>
          <w:szCs w:val="21"/>
        </w:rPr>
        <w:t xml:space="preserve">, </w:t>
      </w:r>
      <w:r w:rsidR="0081292B" w:rsidRPr="00D51201">
        <w:rPr>
          <w:rFonts w:ascii="Book Antiqua" w:eastAsia="Book Antiqua" w:hAnsi="Book Antiqua" w:cs="Book Antiqua"/>
          <w:color w:val="000000"/>
        </w:rPr>
        <w:t>Chughtai S, Ahuja M</w:t>
      </w:r>
      <w:r w:rsidR="0081292B" w:rsidRPr="00D51201">
        <w:rPr>
          <w:rFonts w:ascii="Book Antiqua" w:eastAsia="Book Antiqua" w:hAnsi="Book Antiqua" w:cs="Book Antiqua"/>
          <w:szCs w:val="21"/>
        </w:rPr>
        <w:t xml:space="preserve">, </w:t>
      </w:r>
      <w:r w:rsidR="0081292B" w:rsidRPr="00D51201">
        <w:rPr>
          <w:rFonts w:ascii="Book Antiqua" w:eastAsia="Book Antiqua" w:hAnsi="Book Antiqua" w:cs="Book Antiqua"/>
          <w:color w:val="000000"/>
        </w:rPr>
        <w:t>Brown R, Chatzizacharias NA</w:t>
      </w:r>
      <w:r w:rsidR="0081292B" w:rsidRPr="00D51201">
        <w:rPr>
          <w:rFonts w:ascii="Book Antiqua" w:eastAsia="Book Antiqua" w:hAnsi="Book Antiqua" w:cs="Book Antiqua"/>
          <w:szCs w:val="21"/>
        </w:rPr>
        <w:t xml:space="preserve"> developed this protocol/project, collected data and performed the research</w:t>
      </w:r>
      <w:r w:rsidR="0081292B" w:rsidRPr="00D51201">
        <w:rPr>
          <w:rFonts w:ascii="Book Antiqua" w:eastAsia="宋体" w:hAnsi="Book Antiqua" w:cs="Book Antiqua" w:hint="eastAsia"/>
          <w:szCs w:val="21"/>
          <w:lang w:eastAsia="zh-CN"/>
        </w:rPr>
        <w:t>;</w:t>
      </w:r>
      <w:r w:rsidR="0081292B" w:rsidRPr="00D51201">
        <w:rPr>
          <w:rFonts w:ascii="Book Antiqua" w:eastAsia="Book Antiqua" w:hAnsi="Book Antiqua" w:cs="Book Antiqua"/>
          <w:szCs w:val="21"/>
        </w:rPr>
        <w:t xml:space="preserve"> </w:t>
      </w:r>
      <w:r w:rsidR="0081292B" w:rsidRPr="00D51201">
        <w:rPr>
          <w:rFonts w:ascii="Book Antiqua" w:eastAsia="Book Antiqua" w:hAnsi="Book Antiqua" w:cs="Book Antiqua"/>
          <w:color w:val="000000"/>
        </w:rPr>
        <w:t>Pande R</w:t>
      </w:r>
      <w:r w:rsidR="0081292B" w:rsidRPr="00D51201">
        <w:rPr>
          <w:rFonts w:ascii="Book Antiqua" w:eastAsia="Book Antiqua" w:hAnsi="Book Antiqua" w:cs="Book Antiqua"/>
          <w:szCs w:val="21"/>
        </w:rPr>
        <w:t xml:space="preserve">, </w:t>
      </w:r>
      <w:r w:rsidR="0081292B" w:rsidRPr="00D51201">
        <w:rPr>
          <w:rFonts w:ascii="Book Antiqua" w:eastAsia="Book Antiqua" w:hAnsi="Book Antiqua" w:cs="Book Antiqua"/>
          <w:color w:val="000000"/>
        </w:rPr>
        <w:t xml:space="preserve">Chughtai S, Ahuja M, </w:t>
      </w:r>
      <w:r w:rsidR="001307F9" w:rsidRPr="00D51201">
        <w:rPr>
          <w:rFonts w:ascii="Book Antiqua" w:eastAsia="Book Antiqua" w:hAnsi="Book Antiqua" w:cs="Book Antiqua"/>
          <w:color w:val="000000"/>
        </w:rPr>
        <w:t xml:space="preserve">and </w:t>
      </w:r>
      <w:r w:rsidR="0081292B" w:rsidRPr="00D51201">
        <w:rPr>
          <w:rFonts w:ascii="Book Antiqua" w:eastAsia="Book Antiqua" w:hAnsi="Book Antiqua" w:cs="Book Antiqua"/>
          <w:color w:val="000000"/>
        </w:rPr>
        <w:t>Chatzizacharias NA</w:t>
      </w:r>
      <w:r w:rsidR="0081292B" w:rsidRPr="00D51201">
        <w:rPr>
          <w:rFonts w:ascii="Book Antiqua" w:eastAsia="Book Antiqua" w:hAnsi="Book Antiqua" w:cs="Book Antiqua"/>
          <w:szCs w:val="21"/>
        </w:rPr>
        <w:t xml:space="preserve"> contributed analytical tools;</w:t>
      </w:r>
      <w:r w:rsidR="001307F9" w:rsidRPr="00D51201">
        <w:rPr>
          <w:rFonts w:ascii="Book Antiqua" w:eastAsia="Book Antiqua" w:hAnsi="Book Antiqua" w:cs="Book Antiqua"/>
          <w:szCs w:val="21"/>
        </w:rPr>
        <w:t xml:space="preserve"> </w:t>
      </w:r>
      <w:r w:rsidR="0081292B" w:rsidRPr="00D51201">
        <w:rPr>
          <w:rFonts w:ascii="Book Antiqua" w:eastAsia="Book Antiqua" w:hAnsi="Book Antiqua" w:cs="Book Antiqua"/>
          <w:color w:val="000000"/>
        </w:rPr>
        <w:t>Pande R</w:t>
      </w:r>
      <w:r w:rsidR="0081292B" w:rsidRPr="00D51201">
        <w:rPr>
          <w:rFonts w:ascii="Book Antiqua" w:eastAsia="Book Antiqua" w:hAnsi="Book Antiqua" w:cs="Book Antiqua"/>
          <w:szCs w:val="21"/>
        </w:rPr>
        <w:t xml:space="preserve">, </w:t>
      </w:r>
      <w:r w:rsidR="0081292B" w:rsidRPr="00D51201">
        <w:rPr>
          <w:rFonts w:ascii="Book Antiqua" w:eastAsia="Book Antiqua" w:hAnsi="Book Antiqua" w:cs="Book Antiqua"/>
          <w:color w:val="000000"/>
        </w:rPr>
        <w:t>Chughtai S, Ahuja M</w:t>
      </w:r>
      <w:r w:rsidR="0081292B" w:rsidRPr="00D51201">
        <w:rPr>
          <w:rFonts w:ascii="Book Antiqua" w:eastAsia="Book Antiqua" w:hAnsi="Book Antiqua" w:cs="Book Antiqua"/>
          <w:szCs w:val="21"/>
        </w:rPr>
        <w:t xml:space="preserve">, </w:t>
      </w:r>
      <w:r w:rsidR="0081292B" w:rsidRPr="00D51201">
        <w:rPr>
          <w:rFonts w:ascii="Book Antiqua" w:eastAsia="Book Antiqua" w:hAnsi="Book Antiqua" w:cs="Book Antiqua"/>
          <w:color w:val="000000"/>
        </w:rPr>
        <w:t>Brown R, Chatzizacharias NA</w:t>
      </w:r>
      <w:r w:rsidR="0081292B" w:rsidRPr="00D51201">
        <w:rPr>
          <w:rFonts w:ascii="Book Antiqua" w:eastAsia="Book Antiqua" w:hAnsi="Book Antiqua" w:cs="Book Antiqua"/>
          <w:szCs w:val="21"/>
        </w:rPr>
        <w:t xml:space="preserve">, </w:t>
      </w:r>
      <w:r w:rsidR="0081292B" w:rsidRPr="00D51201">
        <w:rPr>
          <w:rFonts w:ascii="Book Antiqua" w:eastAsia="Book Antiqua" w:hAnsi="Book Antiqua" w:cs="Book Antiqua"/>
          <w:color w:val="000000"/>
        </w:rPr>
        <w:t>Bartlett DC, Marudanayagam R, Mirza D, Isaac J, Sutcliffe R</w:t>
      </w:r>
      <w:r w:rsidR="0072647B" w:rsidRPr="00D51201">
        <w:rPr>
          <w:rFonts w:ascii="Book Antiqua" w:eastAsia="Book Antiqua" w:hAnsi="Book Antiqua" w:cs="Book Antiqua"/>
          <w:color w:val="000000"/>
        </w:rPr>
        <w:t>P</w:t>
      </w:r>
      <w:r w:rsidR="0081292B" w:rsidRPr="00D51201">
        <w:rPr>
          <w:rFonts w:ascii="Book Antiqua" w:eastAsia="Book Antiqua" w:hAnsi="Book Antiqua" w:cs="Book Antiqua"/>
          <w:color w:val="000000"/>
        </w:rPr>
        <w:t xml:space="preserve">, </w:t>
      </w:r>
      <w:r w:rsidR="001307F9" w:rsidRPr="00D51201">
        <w:rPr>
          <w:rFonts w:ascii="Book Antiqua" w:eastAsia="Book Antiqua" w:hAnsi="Book Antiqua" w:cs="Book Antiqua"/>
          <w:color w:val="000000"/>
        </w:rPr>
        <w:t xml:space="preserve">and </w:t>
      </w:r>
      <w:r w:rsidR="0081292B" w:rsidRPr="00D51201">
        <w:rPr>
          <w:rFonts w:ascii="Book Antiqua" w:eastAsia="Book Antiqua" w:hAnsi="Book Antiqua" w:cs="Book Antiqua"/>
          <w:color w:val="000000"/>
        </w:rPr>
        <w:t>Roberts KJ</w:t>
      </w:r>
      <w:r w:rsidR="0081292B" w:rsidRPr="00D51201">
        <w:rPr>
          <w:rFonts w:ascii="Book Antiqua" w:eastAsia="Book Antiqua" w:hAnsi="Book Antiqua" w:cs="Book Antiqua"/>
          <w:szCs w:val="21"/>
        </w:rPr>
        <w:t xml:space="preserve"> analyzed the data and wrote the manuscript; all authors have read and approve the final manuscript.</w:t>
      </w:r>
    </w:p>
    <w:p w14:paraId="183799BE" w14:textId="77777777" w:rsidR="00606EED" w:rsidRPr="00D51201" w:rsidRDefault="00606EED" w:rsidP="00603AB3">
      <w:pPr>
        <w:adjustRightInd w:val="0"/>
        <w:snapToGrid w:val="0"/>
        <w:spacing w:line="360" w:lineRule="auto"/>
        <w:jc w:val="both"/>
        <w:rPr>
          <w:rFonts w:ascii="Book Antiqua" w:eastAsia="Book Antiqua" w:hAnsi="Book Antiqua" w:cs="Book Antiqua"/>
          <w:b/>
          <w:bCs/>
          <w:color w:val="000000"/>
        </w:rPr>
      </w:pPr>
    </w:p>
    <w:p w14:paraId="2811D030" w14:textId="3EBBB0C9"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bCs/>
          <w:color w:val="000000"/>
        </w:rPr>
        <w:t xml:space="preserve">Corresponding author: Nikolaos A Chatzizacharias, FACS, FRCS, MD, PhD, </w:t>
      </w:r>
      <w:r w:rsidR="003310C3" w:rsidRPr="00D51201">
        <w:rPr>
          <w:rFonts w:ascii="Book Antiqua" w:eastAsia="Book Antiqua" w:hAnsi="Book Antiqua" w:cs="Book Antiqua"/>
          <w:b/>
          <w:bCs/>
          <w:color w:val="000000"/>
        </w:rPr>
        <w:t xml:space="preserve">Consultant </w:t>
      </w:r>
      <w:r w:rsidRPr="00D51201">
        <w:rPr>
          <w:rFonts w:ascii="Book Antiqua" w:eastAsia="Book Antiqua" w:hAnsi="Book Antiqua" w:cs="Book Antiqua"/>
          <w:b/>
          <w:bCs/>
          <w:color w:val="000000"/>
        </w:rPr>
        <w:t xml:space="preserve">Surgeon, </w:t>
      </w:r>
      <w:r w:rsidRPr="00D51201">
        <w:rPr>
          <w:rFonts w:ascii="Book Antiqua" w:eastAsia="Book Antiqua" w:hAnsi="Book Antiqua" w:cs="Book Antiqua"/>
          <w:color w:val="000000"/>
        </w:rPr>
        <w:t xml:space="preserve">Department of </w:t>
      </w:r>
      <w:r w:rsidR="001D4F96" w:rsidRPr="00D51201">
        <w:rPr>
          <w:rFonts w:ascii="Book Antiqua" w:eastAsia="Book Antiqua" w:hAnsi="Book Antiqua" w:cs="Book Antiqua"/>
          <w:color w:val="000000"/>
        </w:rPr>
        <w:t xml:space="preserve">Hepato-Pancreato-Biliary </w:t>
      </w:r>
      <w:r w:rsidRPr="00D51201">
        <w:rPr>
          <w:rFonts w:ascii="Book Antiqua" w:eastAsia="Book Antiqua" w:hAnsi="Book Antiqua" w:cs="Book Antiqua"/>
          <w:color w:val="000000"/>
        </w:rPr>
        <w:t>and Li</w:t>
      </w:r>
      <w:r w:rsidR="0069398B" w:rsidRPr="00D51201">
        <w:rPr>
          <w:rFonts w:ascii="Book Antiqua" w:eastAsia="Book Antiqua" w:hAnsi="Book Antiqua" w:cs="Book Antiqua"/>
          <w:color w:val="000000"/>
        </w:rPr>
        <w:t>ver Transplant Surgery</w:t>
      </w:r>
      <w:r w:rsidRPr="00D51201">
        <w:rPr>
          <w:rFonts w:ascii="Book Antiqua" w:eastAsia="Book Antiqua" w:hAnsi="Book Antiqua" w:cs="Book Antiqua"/>
          <w:color w:val="000000"/>
        </w:rPr>
        <w:t>, University Hospitals B</w:t>
      </w:r>
      <w:r w:rsidR="0069398B" w:rsidRPr="00D51201">
        <w:rPr>
          <w:rFonts w:ascii="Book Antiqua" w:eastAsia="Book Antiqua" w:hAnsi="Book Antiqua" w:cs="Book Antiqua"/>
          <w:color w:val="000000"/>
        </w:rPr>
        <w:t>irmingham NHS Foundation Trust</w:t>
      </w:r>
      <w:r w:rsidRPr="00D51201">
        <w:rPr>
          <w:rFonts w:ascii="Book Antiqua" w:eastAsia="Book Antiqua" w:hAnsi="Book Antiqua" w:cs="Book Antiqua"/>
          <w:color w:val="000000"/>
        </w:rPr>
        <w:t>, Mindelsohn Way, Birmingham B15 2GW, United Kingdom. chatzizacharias@gmail.com</w:t>
      </w:r>
    </w:p>
    <w:p w14:paraId="4E6C83D3" w14:textId="77777777" w:rsidR="00A77B3E" w:rsidRPr="00D51201" w:rsidRDefault="00A77B3E" w:rsidP="00603AB3">
      <w:pPr>
        <w:adjustRightInd w:val="0"/>
        <w:snapToGrid w:val="0"/>
        <w:spacing w:line="360" w:lineRule="auto"/>
        <w:jc w:val="both"/>
        <w:rPr>
          <w:rFonts w:ascii="Book Antiqua" w:hAnsi="Book Antiqua"/>
        </w:rPr>
      </w:pPr>
    </w:p>
    <w:p w14:paraId="340A0CF2"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bCs/>
          <w:color w:val="000000"/>
        </w:rPr>
        <w:t xml:space="preserve">Received: </w:t>
      </w:r>
      <w:r w:rsidRPr="00D51201">
        <w:rPr>
          <w:rFonts w:ascii="Book Antiqua" w:eastAsia="Book Antiqua" w:hAnsi="Book Antiqua" w:cs="Book Antiqua"/>
          <w:color w:val="000000"/>
        </w:rPr>
        <w:t>December 21, 2021</w:t>
      </w:r>
    </w:p>
    <w:p w14:paraId="009F6AD9"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bCs/>
          <w:color w:val="000000"/>
        </w:rPr>
        <w:t xml:space="preserve">Revised: </w:t>
      </w:r>
      <w:r w:rsidRPr="00D51201">
        <w:rPr>
          <w:rFonts w:ascii="Book Antiqua" w:eastAsia="Book Antiqua" w:hAnsi="Book Antiqua" w:cs="Book Antiqua"/>
          <w:color w:val="000000"/>
        </w:rPr>
        <w:t>March 19, 2022</w:t>
      </w:r>
    </w:p>
    <w:p w14:paraId="7ED2AC84" w14:textId="10728FF3"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bCs/>
          <w:color w:val="000000"/>
        </w:rPr>
        <w:t xml:space="preserve">Accepted: </w:t>
      </w:r>
      <w:r w:rsidR="000F5458" w:rsidRPr="00D51201">
        <w:rPr>
          <w:rFonts w:ascii="Book Antiqua" w:eastAsia="Book Antiqua" w:hAnsi="Book Antiqua" w:cs="Book Antiqua"/>
          <w:color w:val="000000"/>
        </w:rPr>
        <w:t>April 21, 2022</w:t>
      </w:r>
    </w:p>
    <w:p w14:paraId="7331522A" w14:textId="18DE1A9A"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bCs/>
          <w:color w:val="000000"/>
        </w:rPr>
        <w:t xml:space="preserve">Published online: </w:t>
      </w:r>
      <w:r w:rsidR="00247935" w:rsidRPr="00D51201">
        <w:rPr>
          <w:rFonts w:ascii="Book Antiqua, serif" w:hAnsi="Book Antiqua, serif"/>
        </w:rPr>
        <w:t>May 27, 2022</w:t>
      </w:r>
    </w:p>
    <w:p w14:paraId="462A178F" w14:textId="77777777" w:rsidR="00A77B3E" w:rsidRPr="00D51201" w:rsidRDefault="00A77B3E" w:rsidP="00603AB3">
      <w:pPr>
        <w:adjustRightInd w:val="0"/>
        <w:snapToGrid w:val="0"/>
        <w:spacing w:line="360" w:lineRule="auto"/>
        <w:jc w:val="both"/>
        <w:rPr>
          <w:rFonts w:ascii="Book Antiqua" w:hAnsi="Book Antiqua"/>
        </w:rPr>
        <w:sectPr w:rsidR="00A77B3E" w:rsidRPr="00D51201">
          <w:headerReference w:type="default" r:id="rId7"/>
          <w:footerReference w:type="even" r:id="rId8"/>
          <w:footerReference w:type="default" r:id="rId9"/>
          <w:pgSz w:w="12240" w:h="15840"/>
          <w:pgMar w:top="1440" w:right="1440" w:bottom="1440" w:left="1440" w:header="720" w:footer="720" w:gutter="0"/>
          <w:cols w:space="720"/>
          <w:docGrid w:linePitch="360"/>
        </w:sectPr>
      </w:pPr>
    </w:p>
    <w:p w14:paraId="57D69DFE"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lastRenderedPageBreak/>
        <w:t>Abstract</w:t>
      </w:r>
    </w:p>
    <w:p w14:paraId="5F77F954"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BACKGROUND</w:t>
      </w:r>
    </w:p>
    <w:p w14:paraId="18A5067A"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Para-aortic lymph nodes (PALN) are found in the aortocaval groove and they are staged as metastatic disease if involved by pancreatic ductal adenocarcinoma (PDAC). The data in the literature is conflicting with some studies having associated PALN involvement with poor prognosis, while others not sharing the same results. PALN resection is not included in the standard lymphadenectomy during pancreatic resections as per the International Study Group for Pancreatic Surgery</w:t>
      </w:r>
      <w:r w:rsidR="0069398B"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and there is no consensus on the management of these cases.</w:t>
      </w:r>
    </w:p>
    <w:p w14:paraId="0DF62C92" w14:textId="77777777" w:rsidR="00A77B3E" w:rsidRPr="00D51201" w:rsidRDefault="00A77B3E" w:rsidP="00603AB3">
      <w:pPr>
        <w:adjustRightInd w:val="0"/>
        <w:snapToGrid w:val="0"/>
        <w:spacing w:line="360" w:lineRule="auto"/>
        <w:jc w:val="both"/>
        <w:rPr>
          <w:rFonts w:ascii="Book Antiqua" w:hAnsi="Book Antiqua"/>
        </w:rPr>
      </w:pPr>
    </w:p>
    <w:p w14:paraId="3818A3FF"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AIM</w:t>
      </w:r>
    </w:p>
    <w:p w14:paraId="24584801"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 xml:space="preserve">To investigate the prognostic significance of PALN metastases on the oncological outcomes after resection for PDAC. </w:t>
      </w:r>
    </w:p>
    <w:p w14:paraId="69CF0416" w14:textId="77777777" w:rsidR="00A77B3E" w:rsidRPr="00D51201" w:rsidRDefault="00A77B3E" w:rsidP="00603AB3">
      <w:pPr>
        <w:adjustRightInd w:val="0"/>
        <w:snapToGrid w:val="0"/>
        <w:spacing w:line="360" w:lineRule="auto"/>
        <w:jc w:val="both"/>
        <w:rPr>
          <w:rFonts w:ascii="Book Antiqua" w:hAnsi="Book Antiqua"/>
        </w:rPr>
      </w:pPr>
    </w:p>
    <w:p w14:paraId="45DCA2E6"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METHODS</w:t>
      </w:r>
    </w:p>
    <w:p w14:paraId="3C622267"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 xml:space="preserve">This is a retrospective cohort study of data retrieved from a prospectively maintained database on consecutive patients undergoing pancreatectomies for PDAC where PALN was sampled between 2011 and 2020. Statistical comparison of the data between PALN+ and PALN- subgroups, survival analysis with the Kaplan-Meier method and risk analysis with univariable and multivariable time to event Cox regression analysis were performed, specifically </w:t>
      </w:r>
      <w:r w:rsidR="004E6E5A" w:rsidRPr="00D51201">
        <w:rPr>
          <w:rFonts w:ascii="Book Antiqua" w:eastAsia="Book Antiqua" w:hAnsi="Book Antiqua" w:cs="Book Antiqua"/>
          <w:color w:val="000000"/>
        </w:rPr>
        <w:t xml:space="preserve">assessing oncological outcomes </w:t>
      </w:r>
      <w:r w:rsidRPr="00D51201">
        <w:rPr>
          <w:rFonts w:ascii="Book Antiqua" w:eastAsia="Book Antiqua" w:hAnsi="Book Antiqua" w:cs="Book Antiqua"/>
          <w:color w:val="000000"/>
        </w:rPr>
        <w:t xml:space="preserve">such as median overall </w:t>
      </w:r>
      <w:r w:rsidR="001A002D" w:rsidRPr="00D51201">
        <w:rPr>
          <w:rFonts w:ascii="Book Antiqua" w:eastAsia="Book Antiqua" w:hAnsi="Book Antiqua" w:cs="Book Antiqua"/>
          <w:color w:val="000000"/>
        </w:rPr>
        <w:t xml:space="preserve">survival </w:t>
      </w:r>
      <w:r w:rsidRPr="00D51201">
        <w:rPr>
          <w:rFonts w:ascii="Book Antiqua" w:eastAsia="Book Antiqua" w:hAnsi="Book Antiqua" w:cs="Book Antiqua"/>
          <w:color w:val="000000"/>
        </w:rPr>
        <w:t xml:space="preserve">(OS) and disease-free survival (DFS). </w:t>
      </w:r>
    </w:p>
    <w:p w14:paraId="1BCEA2E3" w14:textId="77777777" w:rsidR="00A77B3E" w:rsidRPr="00D51201" w:rsidRDefault="00A77B3E" w:rsidP="00603AB3">
      <w:pPr>
        <w:adjustRightInd w:val="0"/>
        <w:snapToGrid w:val="0"/>
        <w:spacing w:line="360" w:lineRule="auto"/>
        <w:jc w:val="both"/>
        <w:rPr>
          <w:rFonts w:ascii="Book Antiqua" w:hAnsi="Book Antiqua"/>
        </w:rPr>
      </w:pPr>
    </w:p>
    <w:p w14:paraId="614B8D4B"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RESULTS</w:t>
      </w:r>
    </w:p>
    <w:p w14:paraId="2A78643E"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81 cases had PALN sampling and 17 (21%) were positive. Pathological N stage was significantly different between PALN+ and PALN- patients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0.005), while no difference was observed in an</w:t>
      </w:r>
      <w:r w:rsidR="0069398B" w:rsidRPr="00D51201">
        <w:rPr>
          <w:rFonts w:ascii="Book Antiqua" w:eastAsia="Book Antiqua" w:hAnsi="Book Antiqua" w:cs="Book Antiqua"/>
          <w:color w:val="000000"/>
        </w:rPr>
        <w:t>y of the other characteristics.</w:t>
      </w:r>
      <w:r w:rsidRPr="00D51201">
        <w:rPr>
          <w:rFonts w:ascii="Book Antiqua" w:eastAsia="Book Antiqua" w:hAnsi="Book Antiqua" w:cs="Book Antiqua"/>
          <w:color w:val="000000"/>
        </w:rPr>
        <w:t xml:space="preserve"> Preoperative imaging diagnosed PALN positivity in one case. OS and DFS were comparable between PALN+ and PALN- patients with lymph node positive disease (OS: 13.2</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18.8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0.161; </w:t>
      </w:r>
      <w:r w:rsidRPr="00D51201">
        <w:rPr>
          <w:rFonts w:ascii="Book Antiqua" w:eastAsia="Book Antiqua" w:hAnsi="Book Antiqua" w:cs="Book Antiqua"/>
          <w:color w:val="000000"/>
        </w:rPr>
        <w:lastRenderedPageBreak/>
        <w:t>DFS: 13</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16.4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0.179). No difference in OS or DFS was identified between PALN positive and negative patients when they received chemotherapy either in the neoadjuvant or in the adjuvant setting (OS: 23.4</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20.6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0.192; DFS: 23.9</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20.5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0.718). On the contrary, when patients did not receive chemotherapy, PALN disease had substantially shorter OS (5.5</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14.2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0.015) and DFS (4.4</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9.8 mo; </w:t>
      </w:r>
      <w:r w:rsidR="0069398B" w:rsidRPr="00D51201">
        <w:rPr>
          <w:rFonts w:ascii="Book Antiqua" w:eastAsia="Book Antiqua" w:hAnsi="Book Antiqua" w:cs="Book Antiqua"/>
          <w:i/>
          <w:color w:val="000000"/>
        </w:rPr>
        <w:t>P</w:t>
      </w:r>
      <w:r w:rsidR="0069398B"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&lt;</w:t>
      </w:r>
      <w:r w:rsidR="0069398B"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0.001). PALN involvement was not identified as an independent predictor for OS after multivariable analysis, while it was for DFS doubling the risk of recurrence.</w:t>
      </w:r>
    </w:p>
    <w:p w14:paraId="67AA6AE0" w14:textId="77777777" w:rsidR="00A77B3E" w:rsidRPr="00D51201" w:rsidRDefault="00A77B3E" w:rsidP="00603AB3">
      <w:pPr>
        <w:adjustRightInd w:val="0"/>
        <w:snapToGrid w:val="0"/>
        <w:spacing w:line="360" w:lineRule="auto"/>
        <w:jc w:val="both"/>
        <w:rPr>
          <w:rFonts w:ascii="Book Antiqua" w:hAnsi="Book Antiqua"/>
        </w:rPr>
      </w:pPr>
    </w:p>
    <w:p w14:paraId="0FD2F0BD"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CONCLUSION</w:t>
      </w:r>
    </w:p>
    <w:p w14:paraId="2A6A4293"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 xml:space="preserve">PALN involvement does not affect OS when patients complete the indicated treatment pathway for PDAC, surgery and chemotherapy, and should not be considered as a contraindication to resection. </w:t>
      </w:r>
    </w:p>
    <w:p w14:paraId="4988D8EB" w14:textId="77777777" w:rsidR="00A77B3E" w:rsidRPr="00D51201" w:rsidRDefault="00A77B3E" w:rsidP="00603AB3">
      <w:pPr>
        <w:adjustRightInd w:val="0"/>
        <w:snapToGrid w:val="0"/>
        <w:spacing w:line="360" w:lineRule="auto"/>
        <w:jc w:val="both"/>
        <w:rPr>
          <w:rFonts w:ascii="Book Antiqua" w:hAnsi="Book Antiqua"/>
        </w:rPr>
      </w:pPr>
    </w:p>
    <w:p w14:paraId="21F68F35" w14:textId="6FA36F06" w:rsidR="00A77B3E" w:rsidRPr="00D51201" w:rsidRDefault="00D450DE" w:rsidP="00603AB3">
      <w:pPr>
        <w:adjustRightInd w:val="0"/>
        <w:snapToGrid w:val="0"/>
        <w:spacing w:line="360" w:lineRule="auto"/>
        <w:jc w:val="both"/>
        <w:rPr>
          <w:rFonts w:ascii="Book Antiqua" w:eastAsia="Book Antiqua" w:hAnsi="Book Antiqua" w:cs="Book Antiqua"/>
          <w:color w:val="000000"/>
        </w:rPr>
      </w:pPr>
      <w:r w:rsidRPr="00D51201">
        <w:rPr>
          <w:rFonts w:ascii="Book Antiqua" w:eastAsia="Book Antiqua" w:hAnsi="Book Antiqua" w:cs="Book Antiqua"/>
          <w:b/>
          <w:bCs/>
          <w:color w:val="000000"/>
        </w:rPr>
        <w:t xml:space="preserve">Key Words: </w:t>
      </w:r>
      <w:r w:rsidRPr="00D51201">
        <w:rPr>
          <w:rFonts w:ascii="Book Antiqua" w:eastAsia="Book Antiqua" w:hAnsi="Book Antiqua" w:cs="Book Antiqua"/>
          <w:color w:val="000000"/>
        </w:rPr>
        <w:t xml:space="preserve">Para-aortic lymph node; </w:t>
      </w:r>
      <w:r w:rsidR="0069398B" w:rsidRPr="00D51201">
        <w:rPr>
          <w:rFonts w:ascii="Book Antiqua" w:eastAsia="Book Antiqua" w:hAnsi="Book Antiqua" w:cs="Book Antiqua"/>
          <w:color w:val="000000"/>
        </w:rPr>
        <w:t>P</w:t>
      </w:r>
      <w:r w:rsidRPr="00D51201">
        <w:rPr>
          <w:rFonts w:ascii="Book Antiqua" w:eastAsia="Book Antiqua" w:hAnsi="Book Antiqua" w:cs="Book Antiqua"/>
          <w:color w:val="000000"/>
        </w:rPr>
        <w:t xml:space="preserve">ancreatectomy; </w:t>
      </w:r>
      <w:r w:rsidR="0069398B" w:rsidRPr="00D51201">
        <w:rPr>
          <w:rFonts w:ascii="Book Antiqua" w:eastAsia="Book Antiqua" w:hAnsi="Book Antiqua" w:cs="Book Antiqua"/>
          <w:color w:val="000000"/>
        </w:rPr>
        <w:t>S</w:t>
      </w:r>
      <w:r w:rsidRPr="00D51201">
        <w:rPr>
          <w:rFonts w:ascii="Book Antiqua" w:eastAsia="Book Antiqua" w:hAnsi="Book Antiqua" w:cs="Book Antiqua"/>
          <w:color w:val="000000"/>
        </w:rPr>
        <w:t xml:space="preserve">urvival; </w:t>
      </w:r>
      <w:r w:rsidR="0069398B" w:rsidRPr="00D51201">
        <w:rPr>
          <w:rFonts w:ascii="Book Antiqua" w:eastAsia="Book Antiqua" w:hAnsi="Book Antiqua" w:cs="Book Antiqua"/>
          <w:color w:val="000000"/>
        </w:rPr>
        <w:t>P</w:t>
      </w:r>
      <w:r w:rsidRPr="00D51201">
        <w:rPr>
          <w:rFonts w:ascii="Book Antiqua" w:eastAsia="Book Antiqua" w:hAnsi="Book Antiqua" w:cs="Book Antiqua"/>
          <w:color w:val="000000"/>
        </w:rPr>
        <w:t xml:space="preserve">ancreatic adenocarcinoma; </w:t>
      </w:r>
      <w:r w:rsidR="0069398B" w:rsidRPr="00D51201">
        <w:rPr>
          <w:rFonts w:ascii="Book Antiqua" w:eastAsia="Book Antiqua" w:hAnsi="Book Antiqua" w:cs="Book Antiqua"/>
          <w:color w:val="000000"/>
        </w:rPr>
        <w:t>C</w:t>
      </w:r>
      <w:r w:rsidRPr="00D51201">
        <w:rPr>
          <w:rFonts w:ascii="Book Antiqua" w:eastAsia="Book Antiqua" w:hAnsi="Book Antiqua" w:cs="Book Antiqua"/>
          <w:color w:val="000000"/>
        </w:rPr>
        <w:t xml:space="preserve">hemotherapy; </w:t>
      </w:r>
      <w:r w:rsidR="0069398B" w:rsidRPr="00D51201">
        <w:rPr>
          <w:rFonts w:ascii="Book Antiqua" w:eastAsia="Book Antiqua" w:hAnsi="Book Antiqua" w:cs="Book Antiqua"/>
          <w:color w:val="000000"/>
        </w:rPr>
        <w:t>L</w:t>
      </w:r>
      <w:r w:rsidRPr="00D51201">
        <w:rPr>
          <w:rFonts w:ascii="Book Antiqua" w:eastAsia="Book Antiqua" w:hAnsi="Book Antiqua" w:cs="Book Antiqua"/>
          <w:color w:val="000000"/>
        </w:rPr>
        <w:t>ymph node sampling</w:t>
      </w:r>
    </w:p>
    <w:p w14:paraId="6BE73D47" w14:textId="77777777" w:rsidR="00196F8A" w:rsidRPr="00D51201" w:rsidRDefault="00196F8A" w:rsidP="00603AB3">
      <w:pPr>
        <w:adjustRightInd w:val="0"/>
        <w:snapToGrid w:val="0"/>
        <w:spacing w:line="360" w:lineRule="auto"/>
        <w:jc w:val="both"/>
        <w:rPr>
          <w:rFonts w:ascii="Book Antiqua" w:hAnsi="Book Antiqua"/>
        </w:rPr>
      </w:pPr>
    </w:p>
    <w:p w14:paraId="4EB50880" w14:textId="77777777" w:rsidR="0096764D" w:rsidRPr="00D51201" w:rsidRDefault="0096764D" w:rsidP="0096764D">
      <w:pPr>
        <w:spacing w:line="360" w:lineRule="auto"/>
        <w:jc w:val="both"/>
        <w:rPr>
          <w:rFonts w:ascii="Book Antiqua" w:eastAsia="Book Antiqua" w:hAnsi="Book Antiqua" w:cs="Book Antiqua"/>
          <w:color w:val="000000"/>
        </w:rPr>
      </w:pPr>
      <w:r w:rsidRPr="00D51201">
        <w:rPr>
          <w:rFonts w:ascii="Book Antiqua" w:eastAsia="Book Antiqua" w:hAnsi="Book Antiqua" w:cs="Book Antiqua" w:hint="eastAsia"/>
          <w:b/>
          <w:color w:val="000000"/>
        </w:rPr>
        <w:t>©</w:t>
      </w:r>
      <w:r w:rsidRPr="00D51201">
        <w:rPr>
          <w:rFonts w:ascii="Book Antiqua" w:eastAsia="Book Antiqua" w:hAnsi="Book Antiqua" w:cs="Book Antiqua"/>
          <w:b/>
          <w:color w:val="000000"/>
        </w:rPr>
        <w:t>The</w:t>
      </w:r>
      <w:r w:rsidRPr="00D51201">
        <w:rPr>
          <w:rFonts w:ascii="Book Antiqua" w:eastAsia="Book Antiqua" w:hAnsi="Book Antiqua" w:cs="Book Antiqua"/>
          <w:color w:val="000000"/>
        </w:rPr>
        <w:t xml:space="preserve"> </w:t>
      </w:r>
      <w:r w:rsidRPr="00D51201">
        <w:rPr>
          <w:rFonts w:ascii="Book Antiqua" w:eastAsia="Book Antiqua" w:hAnsi="Book Antiqua" w:cs="Book Antiqua"/>
          <w:b/>
          <w:color w:val="000000"/>
        </w:rPr>
        <w:t xml:space="preserve">Author(s) 2022. </w:t>
      </w:r>
      <w:r w:rsidRPr="00D51201">
        <w:rPr>
          <w:rFonts w:ascii="Book Antiqua" w:eastAsia="Book Antiqua" w:hAnsi="Book Antiqua" w:cs="Book Antiqua"/>
          <w:color w:val="000000"/>
        </w:rPr>
        <w:t xml:space="preserve">Published by Baishideng Publishing Group Inc. All rights reserved. </w:t>
      </w:r>
    </w:p>
    <w:p w14:paraId="0AE0A3F2" w14:textId="77777777" w:rsidR="00A77B3E" w:rsidRPr="00D51201" w:rsidRDefault="00A77B3E" w:rsidP="00603AB3">
      <w:pPr>
        <w:adjustRightInd w:val="0"/>
        <w:snapToGrid w:val="0"/>
        <w:spacing w:line="360" w:lineRule="auto"/>
        <w:jc w:val="both"/>
        <w:rPr>
          <w:rFonts w:ascii="Book Antiqua" w:hAnsi="Book Antiqua"/>
        </w:rPr>
      </w:pPr>
    </w:p>
    <w:p w14:paraId="208FAD03" w14:textId="7923DB5D" w:rsidR="00247935" w:rsidRPr="00D51201" w:rsidRDefault="0096764D" w:rsidP="00247935">
      <w:pPr>
        <w:spacing w:line="360" w:lineRule="auto"/>
        <w:jc w:val="both"/>
      </w:pPr>
      <w:r w:rsidRPr="00D51201">
        <w:rPr>
          <w:rFonts w:ascii="Book Antiqua" w:hAnsi="Book Antiqua" w:cs="Book Antiqua" w:hint="eastAsia"/>
          <w:b/>
          <w:color w:val="000000"/>
          <w:lang w:eastAsia="zh-CN"/>
        </w:rPr>
        <w:t>Citation:</w:t>
      </w:r>
      <w:r w:rsidR="00196F8A" w:rsidRPr="00D51201">
        <w:rPr>
          <w:rFonts w:ascii="Book Antiqua" w:hAnsi="Book Antiqua" w:cs="Book Antiqua"/>
          <w:b/>
          <w:color w:val="000000"/>
          <w:lang w:eastAsia="zh-CN"/>
        </w:rPr>
        <w:t xml:space="preserve"> </w:t>
      </w:r>
      <w:r w:rsidR="00D450DE" w:rsidRPr="00D51201">
        <w:rPr>
          <w:rFonts w:ascii="Book Antiqua" w:eastAsia="Book Antiqua" w:hAnsi="Book Antiqua" w:cs="Book Antiqua"/>
          <w:color w:val="000000"/>
        </w:rPr>
        <w:t>Pande R, Chughtai S, Ahuja M, Brown R, Bartlett DC, Dasari B</w:t>
      </w:r>
      <w:r w:rsidR="003E7371" w:rsidRPr="00D51201">
        <w:rPr>
          <w:rFonts w:ascii="Book Antiqua" w:eastAsia="Book Antiqua" w:hAnsi="Book Antiqua" w:cs="Book Antiqua"/>
          <w:color w:val="000000"/>
        </w:rPr>
        <w:t>V</w:t>
      </w:r>
      <w:r w:rsidR="00D450DE" w:rsidRPr="00D51201">
        <w:rPr>
          <w:rFonts w:ascii="Book Antiqua" w:eastAsia="Book Antiqua" w:hAnsi="Book Antiqua" w:cs="Book Antiqua"/>
          <w:color w:val="000000"/>
        </w:rPr>
        <w:t>, Marudanayagam R, Mirza D, Roberts K, Isaac J, Sutcliffe R</w:t>
      </w:r>
      <w:r w:rsidR="003E7371" w:rsidRPr="00D51201">
        <w:rPr>
          <w:rFonts w:ascii="Book Antiqua" w:eastAsia="Book Antiqua" w:hAnsi="Book Antiqua" w:cs="Book Antiqua"/>
          <w:color w:val="000000"/>
        </w:rPr>
        <w:t>P</w:t>
      </w:r>
      <w:r w:rsidR="00D450DE" w:rsidRPr="00D51201">
        <w:rPr>
          <w:rFonts w:ascii="Book Antiqua" w:eastAsia="Book Antiqua" w:hAnsi="Book Antiqua" w:cs="Book Antiqua"/>
          <w:color w:val="000000"/>
        </w:rPr>
        <w:t xml:space="preserve">, Chatzizacharias NA. Para-aortic lymph node involvement should not be a contraindication to resection of pancreatic ductal adenocarcinoma. </w:t>
      </w:r>
      <w:r w:rsidR="00D450DE" w:rsidRPr="00D51201">
        <w:rPr>
          <w:rFonts w:ascii="Book Antiqua" w:eastAsia="Book Antiqua" w:hAnsi="Book Antiqua" w:cs="Book Antiqua"/>
          <w:i/>
          <w:iCs/>
          <w:color w:val="000000"/>
        </w:rPr>
        <w:t>World J Gastrointest Surg</w:t>
      </w:r>
      <w:r w:rsidR="00D450DE" w:rsidRPr="00D51201">
        <w:rPr>
          <w:rFonts w:ascii="Book Antiqua" w:eastAsia="Book Antiqua" w:hAnsi="Book Antiqua" w:cs="Book Antiqua"/>
          <w:color w:val="000000"/>
        </w:rPr>
        <w:t xml:space="preserve"> 2022</w:t>
      </w:r>
      <w:r w:rsidR="00247935" w:rsidRPr="00D51201">
        <w:rPr>
          <w:rFonts w:ascii="Book Antiqua" w:eastAsia="Book Antiqua" w:hAnsi="Book Antiqua" w:cs="Book Antiqua"/>
          <w:color w:val="000000"/>
        </w:rPr>
        <w:t>; 14(5):</w:t>
      </w:r>
      <w:r w:rsidRPr="00D51201">
        <w:rPr>
          <w:rFonts w:ascii="Book Antiqua" w:eastAsia="Book Antiqua" w:hAnsi="Book Antiqua" w:cs="Book Antiqua"/>
          <w:color w:val="000000"/>
        </w:rPr>
        <w:t>429</w:t>
      </w:r>
      <w:r w:rsidR="00247935" w:rsidRPr="00D51201">
        <w:rPr>
          <w:rFonts w:ascii="Book Antiqua" w:eastAsia="Book Antiqua" w:hAnsi="Book Antiqua" w:cs="Book Antiqua"/>
          <w:color w:val="000000"/>
        </w:rPr>
        <w:t>-</w:t>
      </w:r>
      <w:r w:rsidRPr="00D51201">
        <w:rPr>
          <w:rFonts w:ascii="Book Antiqua" w:eastAsia="Book Antiqua" w:hAnsi="Book Antiqua" w:cs="Book Antiqua"/>
          <w:color w:val="000000"/>
        </w:rPr>
        <w:t>441</w:t>
      </w:r>
      <w:r w:rsidR="00247935" w:rsidRPr="00D51201">
        <w:rPr>
          <w:rFonts w:ascii="Book Antiqua" w:eastAsia="Book Antiqua" w:hAnsi="Book Antiqua" w:cs="Book Antiqua"/>
          <w:color w:val="000000"/>
        </w:rPr>
        <w:t xml:space="preserve"> </w:t>
      </w:r>
    </w:p>
    <w:p w14:paraId="42ED118C" w14:textId="2ED2711C" w:rsidR="00247935" w:rsidRPr="00D51201" w:rsidRDefault="00247935" w:rsidP="00247935">
      <w:pPr>
        <w:spacing w:line="360" w:lineRule="auto"/>
        <w:jc w:val="both"/>
        <w:rPr>
          <w:rFonts w:ascii="Book Antiqua" w:eastAsia="Book Antiqua" w:hAnsi="Book Antiqua" w:cs="Book Antiqua"/>
          <w:color w:val="000000"/>
        </w:rPr>
      </w:pPr>
      <w:r w:rsidRPr="00D51201">
        <w:rPr>
          <w:rFonts w:ascii="Book Antiqua" w:eastAsia="Book Antiqua" w:hAnsi="Book Antiqua" w:cs="Book Antiqua"/>
          <w:b/>
          <w:bCs/>
          <w:color w:val="000000"/>
        </w:rPr>
        <w:t>URL</w:t>
      </w:r>
      <w:r w:rsidRPr="00D51201">
        <w:rPr>
          <w:rFonts w:ascii="Book Antiqua" w:eastAsia="Book Antiqua" w:hAnsi="Book Antiqua" w:cs="Book Antiqua"/>
          <w:color w:val="000000"/>
        </w:rPr>
        <w:t>: https://www.wjgnet.com/1948-9366/full/v14/i5/</w:t>
      </w:r>
      <w:r w:rsidR="0096764D" w:rsidRPr="00D51201">
        <w:rPr>
          <w:rFonts w:ascii="Book Antiqua" w:eastAsia="Book Antiqua" w:hAnsi="Book Antiqua" w:cs="Book Antiqua"/>
          <w:color w:val="000000"/>
        </w:rPr>
        <w:t>429</w:t>
      </w:r>
      <w:r w:rsidRPr="00D51201">
        <w:rPr>
          <w:rFonts w:ascii="Book Antiqua" w:eastAsia="Book Antiqua" w:hAnsi="Book Antiqua" w:cs="Book Antiqua"/>
          <w:color w:val="000000"/>
        </w:rPr>
        <w:t xml:space="preserve">.htm  </w:t>
      </w:r>
    </w:p>
    <w:p w14:paraId="1BC71050" w14:textId="488EE1FD" w:rsidR="00247935" w:rsidRPr="00D51201" w:rsidRDefault="00247935" w:rsidP="00247935">
      <w:pPr>
        <w:spacing w:line="360" w:lineRule="auto"/>
        <w:jc w:val="both"/>
      </w:pPr>
      <w:r w:rsidRPr="00D51201">
        <w:rPr>
          <w:rFonts w:ascii="Book Antiqua" w:eastAsia="Book Antiqua" w:hAnsi="Book Antiqua" w:cs="Book Antiqua"/>
          <w:b/>
          <w:bCs/>
          <w:color w:val="000000"/>
        </w:rPr>
        <w:t>DOI</w:t>
      </w:r>
      <w:r w:rsidRPr="00D51201">
        <w:rPr>
          <w:rFonts w:ascii="Book Antiqua" w:eastAsia="Book Antiqua" w:hAnsi="Book Antiqua" w:cs="Book Antiqua"/>
          <w:color w:val="000000"/>
        </w:rPr>
        <w:t xml:space="preserve">: </w:t>
      </w:r>
      <w:r w:rsidR="0096764D" w:rsidRPr="00D51201">
        <w:rPr>
          <w:rFonts w:ascii="Book Antiqua" w:eastAsia="Book Antiqua" w:hAnsi="Book Antiqua" w:cs="Book Antiqua"/>
        </w:rPr>
        <w:t>https://dx.doi.org/10.4240/wjgs.v14.i5.429</w:t>
      </w:r>
    </w:p>
    <w:p w14:paraId="428B29E0" w14:textId="3EC9887B" w:rsidR="00A77B3E" w:rsidRPr="00D51201" w:rsidRDefault="00A77B3E" w:rsidP="00603AB3">
      <w:pPr>
        <w:adjustRightInd w:val="0"/>
        <w:snapToGrid w:val="0"/>
        <w:spacing w:line="360" w:lineRule="auto"/>
        <w:jc w:val="both"/>
        <w:rPr>
          <w:rFonts w:ascii="Book Antiqua" w:hAnsi="Book Antiqua"/>
        </w:rPr>
      </w:pPr>
    </w:p>
    <w:p w14:paraId="6FD25B4D" w14:textId="77777777" w:rsidR="00F552DF" w:rsidRPr="00D51201" w:rsidRDefault="00D450DE" w:rsidP="00603AB3">
      <w:pPr>
        <w:adjustRightInd w:val="0"/>
        <w:snapToGrid w:val="0"/>
        <w:spacing w:line="360" w:lineRule="auto"/>
        <w:jc w:val="both"/>
        <w:rPr>
          <w:rFonts w:ascii="Book Antiqua" w:eastAsia="Book Antiqua" w:hAnsi="Book Antiqua" w:cs="Book Antiqua"/>
          <w:color w:val="000000"/>
        </w:rPr>
      </w:pPr>
      <w:r w:rsidRPr="00D51201">
        <w:rPr>
          <w:rFonts w:ascii="Book Antiqua" w:eastAsia="Book Antiqua" w:hAnsi="Book Antiqua" w:cs="Book Antiqua"/>
          <w:b/>
          <w:bCs/>
          <w:color w:val="000000"/>
        </w:rPr>
        <w:t xml:space="preserve">Core Tip: </w:t>
      </w:r>
      <w:r w:rsidRPr="00D51201">
        <w:rPr>
          <w:rFonts w:ascii="Book Antiqua" w:eastAsia="Book Antiqua" w:hAnsi="Book Antiqua" w:cs="Book Antiqua"/>
          <w:color w:val="000000"/>
        </w:rPr>
        <w:t xml:space="preserve">Currently there is no consensus on the prognostic significance of para-aortic lymph node (PALN) involvement in pancreatic ductal adenocarcinoma (PDAC), which is staged as metastatic disease (M1). Our study has demonstrated that patients with </w:t>
      </w:r>
      <w:r w:rsidRPr="00D51201">
        <w:rPr>
          <w:rFonts w:ascii="Book Antiqua" w:eastAsia="Book Antiqua" w:hAnsi="Book Antiqua" w:cs="Book Antiqua"/>
          <w:color w:val="000000"/>
        </w:rPr>
        <w:lastRenderedPageBreak/>
        <w:t xml:space="preserve">PALN involvement have comparable oncological outcomes, overall </w:t>
      </w:r>
      <w:r w:rsidR="001A002D" w:rsidRPr="00D51201">
        <w:rPr>
          <w:rFonts w:ascii="Book Antiqua" w:eastAsia="Book Antiqua" w:hAnsi="Book Antiqua" w:cs="Book Antiqua"/>
          <w:color w:val="000000"/>
        </w:rPr>
        <w:t xml:space="preserve">survival </w:t>
      </w:r>
      <w:r w:rsidRPr="00D51201">
        <w:rPr>
          <w:rFonts w:ascii="Book Antiqua" w:eastAsia="Book Antiqua" w:hAnsi="Book Antiqua" w:cs="Book Antiqua"/>
          <w:color w:val="000000"/>
        </w:rPr>
        <w:t xml:space="preserve">(OS) and </w:t>
      </w:r>
      <w:proofErr w:type="gramStart"/>
      <w:r w:rsidRPr="00D51201">
        <w:rPr>
          <w:rFonts w:ascii="Book Antiqua" w:eastAsia="Book Antiqua" w:hAnsi="Book Antiqua" w:cs="Book Antiqua"/>
          <w:color w:val="000000"/>
        </w:rPr>
        <w:t>disease free</w:t>
      </w:r>
      <w:proofErr w:type="gramEnd"/>
      <w:r w:rsidRPr="00D51201">
        <w:rPr>
          <w:rFonts w:ascii="Book Antiqua" w:eastAsia="Book Antiqua" w:hAnsi="Book Antiqua" w:cs="Book Antiqua"/>
          <w:color w:val="000000"/>
        </w:rPr>
        <w:t xml:space="preserve"> survival, to ones without PALN disease, when the appropriate treatment pathway is competed (surgery and chemotherapy). Multivariable risk analysis did not identify PALN involvement as an independent predictor for OS, while it doubled the risk of disease recurrence. Our data support that PALN involvement should not be considered a contraindication to resection for PDAC.</w:t>
      </w:r>
    </w:p>
    <w:p w14:paraId="74058C82" w14:textId="77777777" w:rsidR="004E6E5A" w:rsidRPr="00D51201" w:rsidRDefault="004E6E5A" w:rsidP="00603AB3">
      <w:pPr>
        <w:adjustRightInd w:val="0"/>
        <w:snapToGrid w:val="0"/>
        <w:spacing w:line="360" w:lineRule="auto"/>
        <w:jc w:val="both"/>
        <w:rPr>
          <w:rFonts w:ascii="Book Antiqua" w:eastAsia="Book Antiqua" w:hAnsi="Book Antiqua" w:cs="Book Antiqua"/>
          <w:color w:val="000000"/>
        </w:rPr>
      </w:pPr>
    </w:p>
    <w:p w14:paraId="13EC5B07"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aps/>
          <w:color w:val="000000"/>
          <w:u w:val="single"/>
        </w:rPr>
        <w:t>INTRODUCTION</w:t>
      </w:r>
    </w:p>
    <w:p w14:paraId="6D6CE27F" w14:textId="0C3E7E3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 xml:space="preserve">Pancreatic ductal adenocarcinoma (PDAC) presents as localised disease for only a small subset of patients for whom only 20% are eligible for </w:t>
      </w:r>
      <w:proofErr w:type="gramStart"/>
      <w:r w:rsidRPr="00D51201">
        <w:rPr>
          <w:rFonts w:ascii="Book Antiqua" w:eastAsia="Book Antiqua" w:hAnsi="Book Antiqua" w:cs="Book Antiqua"/>
          <w:color w:val="000000"/>
        </w:rPr>
        <w:t>resection</w:t>
      </w:r>
      <w:r w:rsidR="00967E5E"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1</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with 5-year survival of 6.8%</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2</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Nodal status is amongst the most important prognostic indicators. Early lymph node involvement can be as common as 90% and may lead to tumour recurrence even after complete </w:t>
      </w:r>
      <w:proofErr w:type="gramStart"/>
      <w:r w:rsidRPr="00D51201">
        <w:rPr>
          <w:rFonts w:ascii="Book Antiqua" w:eastAsia="Book Antiqua" w:hAnsi="Book Antiqua" w:cs="Book Antiqua"/>
          <w:color w:val="000000"/>
        </w:rPr>
        <w:t>resection</w:t>
      </w:r>
      <w:r w:rsidR="00967E5E"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3</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Survival difference has been demonstrated between N0 and lymph node positive disease within variances of lymph node </w:t>
      </w:r>
      <w:proofErr w:type="gramStart"/>
      <w:r w:rsidRPr="00D51201">
        <w:rPr>
          <w:rFonts w:ascii="Book Antiqua" w:eastAsia="Book Antiqua" w:hAnsi="Book Antiqua" w:cs="Book Antiqua"/>
          <w:color w:val="000000"/>
        </w:rPr>
        <w:t>ratio</w:t>
      </w:r>
      <w:r w:rsidR="00967E5E"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4</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and nodal</w:t>
      </w:r>
      <w:r w:rsidR="00967E5E" w:rsidRPr="00D51201">
        <w:rPr>
          <w:rFonts w:ascii="Book Antiqua" w:eastAsia="Book Antiqua" w:hAnsi="Book Antiqua" w:cs="Book Antiqua"/>
          <w:color w:val="000000"/>
        </w:rPr>
        <w:t xml:space="preserve"> stations</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5</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However, para-aortic lymph nodes found in the aortocaval groove (PALN, station Ln16b1) are distinct from regional lymph node stations and are staged as distant metastatic (M1) disease</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6</w:t>
      </w:r>
      <w:r w:rsidR="00967E5E" w:rsidRPr="00D51201">
        <w:rPr>
          <w:rFonts w:ascii="Book Antiqua" w:eastAsia="Book Antiqua" w:hAnsi="Book Antiqua" w:cs="Book Antiqua"/>
          <w:color w:val="000000"/>
          <w:vertAlign w:val="superscript"/>
        </w:rPr>
        <w:t>]</w:t>
      </w:r>
      <w:r w:rsidR="00CF3F6A"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PALN metastases are found in 14</w:t>
      </w:r>
      <w:r w:rsidR="00967E5E" w:rsidRPr="00D51201">
        <w:rPr>
          <w:rFonts w:ascii="Book Antiqua" w:eastAsia="Book Antiqua" w:hAnsi="Book Antiqua" w:cs="Book Antiqua"/>
          <w:color w:val="000000"/>
        </w:rPr>
        <w:t>%</w:t>
      </w:r>
      <w:r w:rsidRPr="00D51201">
        <w:rPr>
          <w:rFonts w:ascii="Book Antiqua" w:eastAsia="Book Antiqua" w:hAnsi="Book Antiqua" w:cs="Book Antiqua"/>
          <w:color w:val="000000"/>
        </w:rPr>
        <w:t>-18% of pancreatic head/uncinate PDAC at resection</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7</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The exact significance and management of PALN</w:t>
      </w:r>
      <w:r w:rsidR="00614142" w:rsidRPr="00D51201">
        <w:rPr>
          <w:rFonts w:ascii="Book Antiqua" w:eastAsia="Book Antiqua" w:hAnsi="Book Antiqua" w:cs="Book Antiqua"/>
          <w:color w:val="000000"/>
        </w:rPr>
        <w:t xml:space="preserve"> is yet to be fully determined.</w:t>
      </w:r>
      <w:r w:rsidRPr="00D51201">
        <w:rPr>
          <w:rFonts w:ascii="Book Antiqua" w:eastAsia="Book Antiqua" w:hAnsi="Book Antiqua" w:cs="Book Antiqua"/>
          <w:color w:val="000000"/>
        </w:rPr>
        <w:t xml:space="preserve"> Within the literature, various studies have alluded to PALN metastases being associated with poor prognosis, whereas others have failed to replicate this </w:t>
      </w:r>
      <w:proofErr w:type="gramStart"/>
      <w:r w:rsidRPr="00D51201">
        <w:rPr>
          <w:rFonts w:ascii="Book Antiqua" w:eastAsia="Book Antiqua" w:hAnsi="Book Antiqua" w:cs="Book Antiqua"/>
          <w:color w:val="000000"/>
        </w:rPr>
        <w:t>effect</w:t>
      </w:r>
      <w:r w:rsidR="00967E5E"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8,9</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and a meta-analysis</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10</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has only concluded the need for intra-operative assessment of PALN. A consensus statement from the International Study Group for Pancreatic Surgery (ISGPS) supported standard lymphadenectomy for pancreatic resections, as evidence do not support any benefit w</w:t>
      </w:r>
      <w:r w:rsidR="00967E5E" w:rsidRPr="00D51201">
        <w:rPr>
          <w:rFonts w:ascii="Book Antiqua" w:eastAsia="Book Antiqua" w:hAnsi="Book Antiqua" w:cs="Book Antiqua"/>
          <w:color w:val="000000"/>
        </w:rPr>
        <w:t xml:space="preserve">ith an extended </w:t>
      </w:r>
      <w:proofErr w:type="gramStart"/>
      <w:r w:rsidR="00967E5E" w:rsidRPr="00D51201">
        <w:rPr>
          <w:rFonts w:ascii="Book Antiqua" w:eastAsia="Book Antiqua" w:hAnsi="Book Antiqua" w:cs="Book Antiqua"/>
          <w:color w:val="000000"/>
        </w:rPr>
        <w:t>approach</w:t>
      </w:r>
      <w:r w:rsidR="00967E5E" w:rsidRPr="00D51201">
        <w:rPr>
          <w:rFonts w:ascii="Book Antiqua" w:eastAsia="Book Antiqua" w:hAnsi="Book Antiqua" w:cs="Book Antiqua"/>
          <w:color w:val="000000"/>
          <w:vertAlign w:val="superscript"/>
        </w:rPr>
        <w:t>[</w:t>
      </w:r>
      <w:proofErr w:type="gramEnd"/>
      <w:r w:rsidR="00967E5E" w:rsidRPr="00D51201">
        <w:rPr>
          <w:rFonts w:ascii="Book Antiqua" w:eastAsia="Book Antiqua" w:hAnsi="Book Antiqua" w:cs="Book Antiqua"/>
          <w:color w:val="000000"/>
          <w:vertAlign w:val="superscript"/>
        </w:rPr>
        <w:t>11]</w:t>
      </w:r>
      <w:r w:rsidR="00967E5E"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 xml:space="preserve">There was no recommendation to include PALN in standard lymphadenectomy, however it was acknowledged that PALN may be included in the resection plane based on individual practice. Currently, whether intra-operative assessment should be undertaken or whether there is sufficient evidence that resection should be abandoned depends on surgeon or unit policy. </w:t>
      </w:r>
    </w:p>
    <w:p w14:paraId="053A22DE" w14:textId="77777777" w:rsidR="00A77B3E" w:rsidRPr="00D51201" w:rsidRDefault="00D450DE" w:rsidP="00603AB3">
      <w:pPr>
        <w:adjustRightInd w:val="0"/>
        <w:snapToGrid w:val="0"/>
        <w:spacing w:line="360" w:lineRule="auto"/>
        <w:ind w:firstLineChars="100" w:firstLine="240"/>
        <w:jc w:val="both"/>
        <w:rPr>
          <w:rFonts w:ascii="Book Antiqua" w:hAnsi="Book Antiqua"/>
        </w:rPr>
      </w:pPr>
      <w:r w:rsidRPr="00D51201">
        <w:rPr>
          <w:rFonts w:ascii="Book Antiqua" w:eastAsia="Book Antiqua" w:hAnsi="Book Antiqua" w:cs="Book Antiqua"/>
          <w:color w:val="000000"/>
        </w:rPr>
        <w:lastRenderedPageBreak/>
        <w:t xml:space="preserve">The aim of this study was to determine the prognostic significance of PALN metastases on the oncological outcomes after pancreatic resections for PDAC. </w:t>
      </w:r>
    </w:p>
    <w:p w14:paraId="22585486" w14:textId="77777777" w:rsidR="00A77B3E" w:rsidRPr="00D51201" w:rsidRDefault="00A77B3E" w:rsidP="00603AB3">
      <w:pPr>
        <w:adjustRightInd w:val="0"/>
        <w:snapToGrid w:val="0"/>
        <w:spacing w:line="360" w:lineRule="auto"/>
        <w:jc w:val="both"/>
        <w:rPr>
          <w:rFonts w:ascii="Book Antiqua" w:hAnsi="Book Antiqua"/>
        </w:rPr>
      </w:pPr>
    </w:p>
    <w:p w14:paraId="31AF6329"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aps/>
          <w:color w:val="000000"/>
          <w:u w:val="single"/>
        </w:rPr>
        <w:t>MATERIALS AND METHODS</w:t>
      </w:r>
    </w:p>
    <w:p w14:paraId="307BE480"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 xml:space="preserve">The study was conducted in line with STROBE (Strengthening the Reporting of Observational studies in Epidemiology) </w:t>
      </w:r>
      <w:proofErr w:type="gramStart"/>
      <w:r w:rsidRPr="00D51201">
        <w:rPr>
          <w:rFonts w:ascii="Book Antiqua" w:eastAsia="Book Antiqua" w:hAnsi="Book Antiqua" w:cs="Book Antiqua"/>
          <w:color w:val="000000"/>
        </w:rPr>
        <w:t>guidelines</w:t>
      </w:r>
      <w:r w:rsidR="00967E5E"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12</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It was conducted at the University Hospitals of Birmingham, a tertiary specialist centre for the treatment of pancreatic cancer, after departmental approval. Staging of the tumours was based on the NCCN staging </w:t>
      </w:r>
      <w:proofErr w:type="gramStart"/>
      <w:r w:rsidRPr="00D51201">
        <w:rPr>
          <w:rFonts w:ascii="Book Antiqua" w:eastAsia="Book Antiqua" w:hAnsi="Book Antiqua" w:cs="Book Antiqua"/>
          <w:color w:val="000000"/>
        </w:rPr>
        <w:t>criteria</w:t>
      </w:r>
      <w:r w:rsidR="00967E5E"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13</w:t>
      </w:r>
      <w:r w:rsidR="00967E5E" w:rsidRPr="00D51201">
        <w:rPr>
          <w:rFonts w:ascii="Book Antiqua" w:eastAsia="Book Antiqua" w:hAnsi="Book Antiqua" w:cs="Book Antiqua"/>
          <w:color w:val="000000"/>
          <w:vertAlign w:val="superscript"/>
        </w:rPr>
        <w:t>]</w:t>
      </w:r>
      <w:r w:rsidR="00614142" w:rsidRPr="00D51201">
        <w:rPr>
          <w:rFonts w:ascii="Book Antiqua" w:eastAsia="Book Antiqua" w:hAnsi="Book Antiqua" w:cs="Book Antiqua"/>
          <w:color w:val="000000"/>
        </w:rPr>
        <w:t>.</w:t>
      </w:r>
      <w:r w:rsidRPr="00D51201">
        <w:rPr>
          <w:rFonts w:ascii="Book Antiqua" w:eastAsia="Book Antiqua" w:hAnsi="Book Antiqua" w:cs="Book Antiqua"/>
          <w:color w:val="000000"/>
        </w:rPr>
        <w:t xml:space="preserve"> The unit adopts a policy of </w:t>
      </w:r>
      <w:r w:rsidR="00614142" w:rsidRPr="00D51201">
        <w:rPr>
          <w:rFonts w:ascii="Book Antiqua" w:eastAsia="Book Antiqua" w:hAnsi="Book Antiqua" w:cs="Book Antiqua"/>
          <w:color w:val="000000"/>
        </w:rPr>
        <w:t>f</w:t>
      </w:r>
      <w:r w:rsidRPr="00D51201">
        <w:rPr>
          <w:rFonts w:ascii="Book Antiqua" w:eastAsia="Book Antiqua" w:hAnsi="Book Antiqua" w:cs="Book Antiqua"/>
          <w:color w:val="000000"/>
        </w:rPr>
        <w:t>ast-</w:t>
      </w:r>
      <w:proofErr w:type="gramStart"/>
      <w:r w:rsidRPr="00D51201">
        <w:rPr>
          <w:rFonts w:ascii="Book Antiqua" w:eastAsia="Book Antiqua" w:hAnsi="Book Antiqua" w:cs="Book Antiqua"/>
          <w:color w:val="000000"/>
        </w:rPr>
        <w:t>track</w:t>
      </w:r>
      <w:r w:rsidR="00967E5E"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14</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upfront surgery approach for resectable and borderline resectable PDAC with venous only involvement as supported by the </w:t>
      </w:r>
      <w:r w:rsidR="00D42F54" w:rsidRPr="00D51201">
        <w:rPr>
          <w:rFonts w:ascii="Book Antiqua" w:eastAsia="Book Antiqua" w:hAnsi="Book Antiqua" w:cs="Book Antiqua"/>
          <w:color w:val="000000"/>
        </w:rPr>
        <w:t>United Kingdom</w:t>
      </w:r>
      <w:r w:rsidRPr="00D51201">
        <w:rPr>
          <w:rFonts w:ascii="Book Antiqua" w:eastAsia="Book Antiqua" w:hAnsi="Book Antiqua" w:cs="Book Antiqua"/>
          <w:color w:val="000000"/>
        </w:rPr>
        <w:t xml:space="preserve"> National Institute for Care and Health Excellence</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15</w:t>
      </w:r>
      <w:r w:rsidR="00967E5E"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w:t>
      </w:r>
      <w:r w:rsidR="00614142" w:rsidRPr="00D51201">
        <w:rPr>
          <w:rFonts w:ascii="Book Antiqua" w:eastAsia="Book Antiqua" w:hAnsi="Book Antiqua" w:cs="Book Antiqua"/>
          <w:color w:val="000000"/>
        </w:rPr>
        <w:t>p</w:t>
      </w:r>
      <w:r w:rsidRPr="00D51201">
        <w:rPr>
          <w:rFonts w:ascii="Book Antiqua" w:eastAsia="Book Antiqua" w:hAnsi="Book Antiqua" w:cs="Book Antiqua"/>
          <w:color w:val="000000"/>
        </w:rPr>
        <w:t xml:space="preserve">atients with borderline tumours with arterial involvement and locally advanced PDAC undergo neoadjuvant chemotherapy before resection is contemplated. All patients are referred for adjuvant chemotherapy after resection. </w:t>
      </w:r>
      <w:r w:rsidRPr="00D51201">
        <w:rPr>
          <w:rFonts w:ascii="Book Antiqua" w:eastAsia="Book Antiqua" w:hAnsi="Book Antiqua" w:cs="Book Antiqua"/>
          <w:color w:val="000000"/>
          <w:shd w:val="clear" w:color="auto" w:fill="FFFFFF"/>
        </w:rPr>
        <w:t xml:space="preserve">In the early part of the study gemcitabine-based regimens were used both in the neoadjuvant and adjuvant setting. In the more recent years, modified FOLFIRINOX has been the preferred regimen, with gemcitabine-based regimens as back-up option depending on patients’ status and tolerance. </w:t>
      </w:r>
      <w:r w:rsidRPr="00D51201">
        <w:rPr>
          <w:rFonts w:ascii="Book Antiqua" w:eastAsia="Book Antiqua" w:hAnsi="Book Antiqua" w:cs="Book Antiqua"/>
          <w:color w:val="000000"/>
        </w:rPr>
        <w:t>PALN were sampled from the infra-renal, aortacaval lymph nodes and more specifically from the level of the third part of the duodenum to the angle of th</w:t>
      </w:r>
      <w:r w:rsidR="00725D4D" w:rsidRPr="00D51201">
        <w:rPr>
          <w:rFonts w:ascii="Book Antiqua" w:eastAsia="Book Antiqua" w:hAnsi="Book Antiqua" w:cs="Book Antiqua"/>
          <w:color w:val="000000"/>
        </w:rPr>
        <w:t>e left renal vein (station 16).</w:t>
      </w:r>
      <w:r w:rsidRPr="00D51201">
        <w:rPr>
          <w:rFonts w:ascii="Book Antiqua" w:eastAsia="Book Antiqua" w:hAnsi="Book Antiqua" w:cs="Book Antiqua"/>
          <w:color w:val="000000"/>
        </w:rPr>
        <w:t xml:space="preserve"> PALN sampling was performed at the discretion of the operating surgeon. Over the last 3 years of the study 3 surgeons sampled PALN routinely, accounting for 36% of the cases in the study. Pre-operative staging included a computer tomography (CT) with IV contrast of the thorax, abdomen and pelvis and endoscopic ultrasound (EUS) with fine needle aspiration</w:t>
      </w:r>
      <w:r w:rsidR="00725D4D"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when preoperative cytological diagnosis was required. Magnetic resonance imaging (MRI) liver and positron emission tomography</w:t>
      </w:r>
      <w:r w:rsidR="00725D4D" w:rsidRPr="00D51201">
        <w:rPr>
          <w:rFonts w:ascii="Book Antiqua" w:eastAsia="Book Antiqua" w:hAnsi="Book Antiqua" w:cs="Book Antiqua"/>
          <w:color w:val="000000"/>
        </w:rPr>
        <w:t>/CT</w:t>
      </w:r>
      <w:r w:rsidRPr="00D51201">
        <w:rPr>
          <w:rFonts w:ascii="Book Antiqua" w:eastAsia="Book Antiqua" w:hAnsi="Book Antiqua" w:cs="Book Antiqua"/>
          <w:color w:val="000000"/>
        </w:rPr>
        <w:t xml:space="preserve"> (PET</w:t>
      </w:r>
      <w:r w:rsidR="00725D4D" w:rsidRPr="00D51201">
        <w:rPr>
          <w:rFonts w:ascii="Book Antiqua" w:eastAsia="Book Antiqua" w:hAnsi="Book Antiqua" w:cs="Book Antiqua"/>
          <w:color w:val="000000"/>
        </w:rPr>
        <w:t>/</w:t>
      </w:r>
      <w:r w:rsidRPr="00D51201">
        <w:rPr>
          <w:rFonts w:ascii="Book Antiqua" w:eastAsia="Book Antiqua" w:hAnsi="Book Antiqua" w:cs="Book Antiqua"/>
          <w:color w:val="000000"/>
        </w:rPr>
        <w:t xml:space="preserve">CT) were used selectively if there were concerns for metastatic disease based on the CT scan. The management of all cases was discussed and agreed in the hepatopancreaticobiliary multidisciplinary meeting. Follow-up of patients was determined from time of diagnosis until disease recurrence or death. The study cohort included all patients that had PALN </w:t>
      </w:r>
      <w:r w:rsidRPr="00D51201">
        <w:rPr>
          <w:rFonts w:ascii="Book Antiqua" w:eastAsia="Book Antiqua" w:hAnsi="Book Antiqua" w:cs="Book Antiqua"/>
          <w:color w:val="000000"/>
        </w:rPr>
        <w:lastRenderedPageBreak/>
        <w:t>sampling during pancreatic resection for PDAC between 2011 and 2020. Clinical, radiological and pathological data were obtained from the hospital’s electronic records and the departmental pro</w:t>
      </w:r>
      <w:r w:rsidR="00725D4D" w:rsidRPr="00D51201">
        <w:rPr>
          <w:rFonts w:ascii="Book Antiqua" w:eastAsia="Book Antiqua" w:hAnsi="Book Antiqua" w:cs="Book Antiqua"/>
          <w:color w:val="000000"/>
        </w:rPr>
        <w:t>spectively maintained database.</w:t>
      </w:r>
      <w:r w:rsidRPr="00D51201">
        <w:rPr>
          <w:rFonts w:ascii="Book Antiqua" w:eastAsia="Book Antiqua" w:hAnsi="Book Antiqua" w:cs="Book Antiqua"/>
          <w:color w:val="000000"/>
        </w:rPr>
        <w:t xml:space="preserve"> The </w:t>
      </w:r>
      <w:r w:rsidR="00725D4D" w:rsidRPr="00D51201">
        <w:rPr>
          <w:rFonts w:ascii="Book Antiqua" w:eastAsia="Book Antiqua" w:hAnsi="Book Antiqua" w:cs="Book Antiqua"/>
          <w:color w:val="000000"/>
        </w:rPr>
        <w:t>American Joint Committee on Cancer</w:t>
      </w:r>
      <w:r w:rsidR="00302095"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8</w:t>
      </w:r>
      <w:r w:rsidRPr="00D51201">
        <w:rPr>
          <w:rFonts w:ascii="Book Antiqua" w:eastAsia="Book Antiqua" w:hAnsi="Book Antiqua" w:cs="Book Antiqua"/>
          <w:color w:val="000000"/>
          <w:vertAlign w:val="superscript"/>
        </w:rPr>
        <w:t>th</w:t>
      </w:r>
      <w:r w:rsidRPr="00D51201">
        <w:rPr>
          <w:rFonts w:ascii="Book Antiqua" w:eastAsia="Book Antiqua" w:hAnsi="Book Antiqua" w:cs="Book Antiqua"/>
          <w:color w:val="000000"/>
        </w:rPr>
        <w:t xml:space="preserve"> edition was used for </w:t>
      </w:r>
      <w:r w:rsidR="00725D4D" w:rsidRPr="00D51201">
        <w:rPr>
          <w:rFonts w:ascii="Book Antiqua" w:eastAsia="Book Antiqua" w:hAnsi="Book Antiqua" w:cs="Book Antiqua"/>
          <w:color w:val="000000"/>
        </w:rPr>
        <w:t>tumor-node-metastasis (TNM)</w:t>
      </w:r>
      <w:r w:rsidRPr="00D51201">
        <w:rPr>
          <w:rFonts w:ascii="Book Antiqua" w:eastAsia="Book Antiqua" w:hAnsi="Book Antiqua" w:cs="Book Antiqua"/>
          <w:color w:val="000000"/>
        </w:rPr>
        <w:t xml:space="preserve"> staging</w:t>
      </w:r>
      <w:r w:rsidR="00725D4D" w:rsidRPr="00D51201">
        <w:rPr>
          <w:rFonts w:ascii="Book Antiqua" w:eastAsia="Book Antiqua" w:hAnsi="Book Antiqua" w:cs="Book Antiqua"/>
          <w:color w:val="000000"/>
        </w:rPr>
        <w:t xml:space="preserve"> statistical a</w:t>
      </w:r>
      <w:r w:rsidRPr="00D51201">
        <w:rPr>
          <w:rFonts w:ascii="Book Antiqua" w:eastAsia="Book Antiqua" w:hAnsi="Book Antiqua" w:cs="Book Antiqua"/>
          <w:color w:val="000000"/>
        </w:rPr>
        <w:t xml:space="preserve">nalysis. Overall survival </w:t>
      </w:r>
      <w:r w:rsidR="001C49DD" w:rsidRPr="00D51201">
        <w:rPr>
          <w:rFonts w:ascii="Book Antiqua" w:eastAsia="Book Antiqua" w:hAnsi="Book Antiqua" w:cs="Book Antiqua"/>
          <w:color w:val="000000"/>
        </w:rPr>
        <w:t xml:space="preserve">(OS) </w:t>
      </w:r>
      <w:r w:rsidRPr="00D51201">
        <w:rPr>
          <w:rFonts w:ascii="Book Antiqua" w:eastAsia="Book Antiqua" w:hAnsi="Book Antiqua" w:cs="Book Antiqua"/>
          <w:color w:val="000000"/>
        </w:rPr>
        <w:t xml:space="preserve">was defined as the time from diagnosis to death or last follow-up and </w:t>
      </w:r>
      <w:proofErr w:type="gramStart"/>
      <w:r w:rsidRPr="00D51201">
        <w:rPr>
          <w:rFonts w:ascii="Book Antiqua" w:eastAsia="Book Antiqua" w:hAnsi="Book Antiqua" w:cs="Book Antiqua"/>
          <w:color w:val="000000"/>
        </w:rPr>
        <w:t>disease free</w:t>
      </w:r>
      <w:proofErr w:type="gramEnd"/>
      <w:r w:rsidRPr="00D51201">
        <w:rPr>
          <w:rFonts w:ascii="Book Antiqua" w:eastAsia="Book Antiqua" w:hAnsi="Book Antiqua" w:cs="Book Antiqua"/>
          <w:color w:val="000000"/>
        </w:rPr>
        <w:t xml:space="preserve"> survival as the time from resection to diagnosis of disease recurrence. </w:t>
      </w:r>
    </w:p>
    <w:p w14:paraId="1BF9DCB7" w14:textId="77777777" w:rsidR="00A77B3E" w:rsidRPr="00D51201" w:rsidRDefault="00D450DE" w:rsidP="00603AB3">
      <w:pPr>
        <w:adjustRightInd w:val="0"/>
        <w:snapToGrid w:val="0"/>
        <w:spacing w:line="360" w:lineRule="auto"/>
        <w:ind w:firstLineChars="100" w:firstLine="240"/>
        <w:jc w:val="both"/>
        <w:rPr>
          <w:rFonts w:ascii="Book Antiqua" w:hAnsi="Book Antiqua"/>
        </w:rPr>
      </w:pPr>
      <w:r w:rsidRPr="00D51201">
        <w:rPr>
          <w:rFonts w:ascii="Book Antiqua" w:eastAsia="Book Antiqua" w:hAnsi="Book Antiqua" w:cs="Book Antiqua"/>
          <w:color w:val="000000"/>
        </w:rPr>
        <w:t xml:space="preserve">The cohort characteristics are presented with standard descriptive statistical analysis. </w:t>
      </w:r>
      <w:proofErr w:type="gramStart"/>
      <w:r w:rsidRPr="00D51201">
        <w:rPr>
          <w:rFonts w:ascii="Book Antiqua" w:eastAsia="Book Antiqua" w:hAnsi="Book Antiqua" w:cs="Book Antiqua"/>
          <w:color w:val="000000"/>
        </w:rPr>
        <w:t>One way</w:t>
      </w:r>
      <w:proofErr w:type="gramEnd"/>
      <w:r w:rsidRPr="00D51201">
        <w:rPr>
          <w:rFonts w:ascii="Book Antiqua" w:eastAsia="Book Antiqua" w:hAnsi="Book Antiqua" w:cs="Book Antiqua"/>
          <w:color w:val="000000"/>
        </w:rPr>
        <w:t xml:space="preserve"> Anova, Chi-Square and Mann-Whitney </w:t>
      </w:r>
      <w:r w:rsidRPr="00D51201">
        <w:rPr>
          <w:rFonts w:ascii="Book Antiqua" w:eastAsia="Book Antiqua" w:hAnsi="Book Antiqua" w:cs="Book Antiqua"/>
          <w:i/>
          <w:color w:val="000000"/>
        </w:rPr>
        <w:t>U</w:t>
      </w:r>
      <w:r w:rsidRPr="00D51201">
        <w:rPr>
          <w:rFonts w:ascii="Book Antiqua" w:eastAsia="Book Antiqua" w:hAnsi="Book Antiqua" w:cs="Book Antiqua"/>
          <w:color w:val="000000"/>
        </w:rPr>
        <w:t xml:space="preserve"> tests were used as appropriate to compare variables and outcomes between PALN positive and negative subgroups, with statistical significance set at </w:t>
      </w:r>
      <w:r w:rsidR="001A002D" w:rsidRPr="00D51201">
        <w:rPr>
          <w:rFonts w:ascii="Book Antiqua" w:eastAsia="Book Antiqua" w:hAnsi="Book Antiqua" w:cs="Book Antiqua"/>
          <w:i/>
          <w:color w:val="000000"/>
        </w:rPr>
        <w:t>P</w:t>
      </w:r>
      <w:r w:rsidR="001A002D"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&lt;</w:t>
      </w:r>
      <w:r w:rsidR="001A002D"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 xml:space="preserve">0.05. Exact statistics were used for all tests to account for small sample size. Survival analysis was performed with the Kaplan-Meier method and log rank test was used to compare survival curves. Univariable and multivariable time to event analyses were performed using the Cox proportional hazard model to determine risk factors for median </w:t>
      </w:r>
      <w:r w:rsidR="001C49DD" w:rsidRPr="00D51201">
        <w:rPr>
          <w:rFonts w:ascii="Book Antiqua" w:eastAsia="Book Antiqua" w:hAnsi="Book Antiqua" w:cs="Book Antiqua"/>
          <w:color w:val="000000"/>
        </w:rPr>
        <w:t>OS</w:t>
      </w:r>
      <w:r w:rsidRPr="00D51201">
        <w:rPr>
          <w:rFonts w:ascii="Book Antiqua" w:eastAsia="Book Antiqua" w:hAnsi="Book Antiqua" w:cs="Book Antiqua"/>
          <w:color w:val="000000"/>
        </w:rPr>
        <w:t xml:space="preserve"> and disease-free survival (DFS). Variables were subjected to a univariable analysis first and those with </w:t>
      </w:r>
      <w:r w:rsidR="001C49DD" w:rsidRPr="00D51201">
        <w:rPr>
          <w:rFonts w:ascii="Book Antiqua" w:eastAsia="Book Antiqua" w:hAnsi="Book Antiqua" w:cs="Book Antiqua"/>
          <w:i/>
          <w:color w:val="000000"/>
        </w:rPr>
        <w:t>P</w:t>
      </w:r>
      <w:r w:rsidR="001C49DD"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&lt;</w:t>
      </w:r>
      <w:r w:rsidR="001C49DD"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0.2 were introduced into a multivariable model. Hazard ratios</w:t>
      </w:r>
      <w:r w:rsidR="001A002D"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 xml:space="preserve">and associated 95% confidence intervals (CI) were calculated. A two-tailed </w:t>
      </w:r>
      <w:r w:rsidR="001C49DD" w:rsidRPr="00D51201">
        <w:rPr>
          <w:rFonts w:ascii="Book Antiqua" w:eastAsia="Book Antiqua" w:hAnsi="Book Antiqua" w:cs="Book Antiqua"/>
          <w:i/>
          <w:color w:val="000000"/>
        </w:rPr>
        <w:t>P</w:t>
      </w:r>
      <w:r w:rsidRPr="00D51201">
        <w:rPr>
          <w:rFonts w:ascii="Book Antiqua" w:eastAsia="Book Antiqua" w:hAnsi="Book Antiqua" w:cs="Book Antiqua"/>
          <w:color w:val="000000"/>
        </w:rPr>
        <w:t xml:space="preserve"> value &lt;</w:t>
      </w:r>
      <w:r w:rsidR="001C49DD"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 xml:space="preserve">0.05 was considered statistically significant. All statistical analyses were performed using the software package SPSS Statistics for Windows (version 25.0; SPSS Inc., Chicago, IL, </w:t>
      </w:r>
      <w:r w:rsidR="001C49DD" w:rsidRPr="00D51201">
        <w:rPr>
          <w:rFonts w:ascii="Book Antiqua" w:eastAsia="Book Antiqua" w:hAnsi="Book Antiqua" w:cs="Book Antiqua"/>
          <w:color w:val="000000"/>
        </w:rPr>
        <w:t>United States</w:t>
      </w:r>
      <w:r w:rsidRPr="00D51201">
        <w:rPr>
          <w:rFonts w:ascii="Book Antiqua" w:eastAsia="Book Antiqua" w:hAnsi="Book Antiqua" w:cs="Book Antiqua"/>
          <w:color w:val="000000"/>
        </w:rPr>
        <w:t>).</w:t>
      </w:r>
    </w:p>
    <w:p w14:paraId="5B9526A1" w14:textId="77777777" w:rsidR="00A77B3E" w:rsidRPr="00D51201" w:rsidRDefault="00A77B3E" w:rsidP="00603AB3">
      <w:pPr>
        <w:adjustRightInd w:val="0"/>
        <w:snapToGrid w:val="0"/>
        <w:spacing w:line="360" w:lineRule="auto"/>
        <w:jc w:val="both"/>
        <w:rPr>
          <w:rFonts w:ascii="Book Antiqua" w:hAnsi="Book Antiqua"/>
        </w:rPr>
      </w:pPr>
    </w:p>
    <w:p w14:paraId="03F7D9A4"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aps/>
          <w:color w:val="000000"/>
          <w:u w:val="single"/>
        </w:rPr>
        <w:t>RESULTS</w:t>
      </w:r>
    </w:p>
    <w:p w14:paraId="56651250"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 xml:space="preserve">During the study period there were 81 patients who underwent pancreatectomies for PDAC where PALN were sampled. PALN metastasis was identified in 17 (21%) cases. </w:t>
      </w:r>
      <w:r w:rsidRPr="00D51201">
        <w:rPr>
          <w:rFonts w:ascii="Book Antiqua" w:eastAsia="Book Antiqua" w:hAnsi="Book Antiqua" w:cs="Book Antiqua"/>
          <w:color w:val="000000"/>
          <w:shd w:val="clear" w:color="auto" w:fill="FFFFFF"/>
        </w:rPr>
        <w:t xml:space="preserve">The median sampled LNs were 2 (range 1-7) and median positivity ratio 0.5 (range 0.14-1). </w:t>
      </w:r>
      <w:r w:rsidRPr="00D51201">
        <w:rPr>
          <w:rFonts w:ascii="Book Antiqua" w:eastAsia="Book Antiqua" w:hAnsi="Book Antiqua" w:cs="Book Antiqua"/>
          <w:color w:val="000000"/>
        </w:rPr>
        <w:t>Patient, tumour and post-operative parameters for the whole cohort, as well as for the PALN positive and negative subgroups, are displayed in Table 1. Pathology N stage (pN) was significantly different between patients with PALN positive and negative disease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0.005). All patients with PALN metastases also had regional lymph node disease, with </w:t>
      </w:r>
      <w:r w:rsidRPr="00D51201">
        <w:rPr>
          <w:rFonts w:ascii="Book Antiqua" w:eastAsia="Book Antiqua" w:hAnsi="Book Antiqua" w:cs="Book Antiqua"/>
          <w:color w:val="000000"/>
        </w:rPr>
        <w:lastRenderedPageBreak/>
        <w:t xml:space="preserve">82% having pN2 disease (in contrast to 45% of PALN negative patients). There was no difference observed in any of the other characteristics. PALN sampling did not cause any significant morbidity in terms of chyle leak or post-pancreatectomy haemorrhage. </w:t>
      </w:r>
    </w:p>
    <w:p w14:paraId="7E7C6791" w14:textId="77777777" w:rsidR="00A77B3E" w:rsidRPr="00D51201" w:rsidRDefault="00A77B3E" w:rsidP="00603AB3">
      <w:pPr>
        <w:adjustRightInd w:val="0"/>
        <w:snapToGrid w:val="0"/>
        <w:spacing w:line="360" w:lineRule="auto"/>
        <w:jc w:val="both"/>
        <w:rPr>
          <w:rFonts w:ascii="Book Antiqua" w:hAnsi="Book Antiqua"/>
        </w:rPr>
      </w:pPr>
    </w:p>
    <w:p w14:paraId="059E2415" w14:textId="77777777" w:rsidR="00A77B3E" w:rsidRPr="00D51201" w:rsidRDefault="00D450DE" w:rsidP="00603AB3">
      <w:pPr>
        <w:adjustRightInd w:val="0"/>
        <w:snapToGrid w:val="0"/>
        <w:spacing w:line="360" w:lineRule="auto"/>
        <w:jc w:val="both"/>
        <w:rPr>
          <w:rFonts w:ascii="Book Antiqua" w:hAnsi="Book Antiqua"/>
          <w:b/>
          <w:i/>
        </w:rPr>
      </w:pPr>
      <w:r w:rsidRPr="00D51201">
        <w:rPr>
          <w:rFonts w:ascii="Book Antiqua" w:eastAsia="Book Antiqua" w:hAnsi="Book Antiqua" w:cs="Book Antiqua"/>
          <w:b/>
          <w:i/>
          <w:color w:val="000000"/>
        </w:rPr>
        <w:t xml:space="preserve">Radiological detection of PALN </w:t>
      </w:r>
    </w:p>
    <w:p w14:paraId="1EDAFD97"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 xml:space="preserve">Amongst patients with metastatic PALN on pathology, there was no modality of investigation which detected this during preoperative staging (CT 1/81, EUS 0/5 or PET 0/3). </w:t>
      </w:r>
    </w:p>
    <w:p w14:paraId="523F5A07" w14:textId="77777777" w:rsidR="00A77B3E" w:rsidRPr="00D51201" w:rsidRDefault="00A77B3E" w:rsidP="00603AB3">
      <w:pPr>
        <w:adjustRightInd w:val="0"/>
        <w:snapToGrid w:val="0"/>
        <w:spacing w:line="360" w:lineRule="auto"/>
        <w:jc w:val="both"/>
        <w:rPr>
          <w:rFonts w:ascii="Book Antiqua" w:hAnsi="Book Antiqua"/>
        </w:rPr>
      </w:pPr>
    </w:p>
    <w:p w14:paraId="636DA604" w14:textId="77777777" w:rsidR="00A77B3E" w:rsidRPr="00D51201" w:rsidRDefault="001C49DD" w:rsidP="00603AB3">
      <w:pPr>
        <w:adjustRightInd w:val="0"/>
        <w:snapToGrid w:val="0"/>
        <w:spacing w:line="360" w:lineRule="auto"/>
        <w:jc w:val="both"/>
        <w:rPr>
          <w:rFonts w:ascii="Book Antiqua" w:hAnsi="Book Antiqua"/>
          <w:b/>
          <w:i/>
        </w:rPr>
      </w:pPr>
      <w:r w:rsidRPr="00D51201">
        <w:rPr>
          <w:rFonts w:ascii="Book Antiqua" w:eastAsia="Book Antiqua" w:hAnsi="Book Antiqua" w:cs="Book Antiqua"/>
          <w:b/>
          <w:i/>
          <w:color w:val="000000"/>
        </w:rPr>
        <w:t>OS</w:t>
      </w:r>
    </w:p>
    <w:p w14:paraId="0086E1BE"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OS was better in PALN negative patients with a median of 20.6 mo compared to 13.2 mo in PALN positive patients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0.037) (Figure 1</w:t>
      </w:r>
      <w:r w:rsidR="001C49DD" w:rsidRPr="00D51201">
        <w:rPr>
          <w:rFonts w:ascii="Book Antiqua" w:eastAsia="Book Antiqua" w:hAnsi="Book Antiqua" w:cs="Book Antiqua"/>
          <w:color w:val="000000"/>
        </w:rPr>
        <w:t>A</w:t>
      </w:r>
      <w:r w:rsidRPr="00D51201">
        <w:rPr>
          <w:rFonts w:ascii="Book Antiqua" w:eastAsia="Book Antiqua" w:hAnsi="Book Antiqua" w:cs="Book Antiqua"/>
          <w:color w:val="000000"/>
        </w:rPr>
        <w:t>). However, OS among patients with lymph node disease (pN1 and pN2) was comparable between PALN positive and negative cases (13.2</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18.8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0.161) (Figure 1</w:t>
      </w:r>
      <w:r w:rsidR="001C49DD" w:rsidRPr="00D51201">
        <w:rPr>
          <w:rFonts w:ascii="Book Antiqua" w:eastAsia="Book Antiqua" w:hAnsi="Book Antiqua" w:cs="Book Antiqua"/>
          <w:color w:val="000000"/>
        </w:rPr>
        <w:t>B</w:t>
      </w:r>
      <w:r w:rsidRPr="00D51201">
        <w:rPr>
          <w:rFonts w:ascii="Book Antiqua" w:eastAsia="Book Antiqua" w:hAnsi="Book Antiqua" w:cs="Book Antiqua"/>
          <w:color w:val="000000"/>
        </w:rPr>
        <w:t xml:space="preserve">). </w:t>
      </w:r>
    </w:p>
    <w:p w14:paraId="518ED3EB" w14:textId="77777777" w:rsidR="00A77B3E" w:rsidRPr="00D51201" w:rsidRDefault="00D450DE" w:rsidP="00603AB3">
      <w:pPr>
        <w:adjustRightInd w:val="0"/>
        <w:snapToGrid w:val="0"/>
        <w:spacing w:line="360" w:lineRule="auto"/>
        <w:ind w:firstLineChars="100" w:firstLine="240"/>
        <w:jc w:val="both"/>
        <w:rPr>
          <w:rFonts w:ascii="Book Antiqua" w:hAnsi="Book Antiqua"/>
        </w:rPr>
      </w:pPr>
      <w:r w:rsidRPr="00D51201">
        <w:rPr>
          <w:rFonts w:ascii="Book Antiqua" w:eastAsia="Book Antiqua" w:hAnsi="Book Antiqua" w:cs="Book Antiqua"/>
          <w:color w:val="000000"/>
        </w:rPr>
        <w:t>Similarly, when patients were stratified based on receipt of chemotherapy, either in the neoadjuvant or the adjuvant setting, no difference in OS was observed between PALN positive and negative patients who had chemotherapy (23.4</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20.6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0.192). Interestingly OS of PALN positive patients was slightly longer by about 3 mo (Figure 1</w:t>
      </w:r>
      <w:r w:rsidR="00584326" w:rsidRPr="00D51201">
        <w:rPr>
          <w:rFonts w:ascii="Book Antiqua" w:eastAsia="Book Antiqua" w:hAnsi="Book Antiqua" w:cs="Book Antiqua"/>
          <w:color w:val="000000"/>
        </w:rPr>
        <w:t>C</w:t>
      </w:r>
      <w:r w:rsidRPr="00D51201">
        <w:rPr>
          <w:rFonts w:ascii="Book Antiqua" w:eastAsia="Book Antiqua" w:hAnsi="Book Antiqua" w:cs="Book Antiqua"/>
          <w:color w:val="000000"/>
        </w:rPr>
        <w:t>). On the contrary, when patients did not receive chemotherapy, PALN metastatic disease had substantially shorter OS (5.5</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14.2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0.015) (Figure 1 </w:t>
      </w:r>
      <w:r w:rsidR="00584326" w:rsidRPr="00D51201">
        <w:rPr>
          <w:rFonts w:ascii="Book Antiqua" w:eastAsia="Book Antiqua" w:hAnsi="Book Antiqua" w:cs="Book Antiqua"/>
          <w:color w:val="000000"/>
        </w:rPr>
        <w:t>D</w:t>
      </w:r>
      <w:r w:rsidRPr="00D51201">
        <w:rPr>
          <w:rFonts w:ascii="Book Antiqua" w:eastAsia="Book Antiqua" w:hAnsi="Book Antiqua" w:cs="Book Antiqua"/>
          <w:color w:val="000000"/>
        </w:rPr>
        <w:t>).</w:t>
      </w:r>
    </w:p>
    <w:p w14:paraId="6F64CA6B" w14:textId="77777777" w:rsidR="00A77B3E" w:rsidRPr="00D51201" w:rsidRDefault="00D450DE" w:rsidP="00603AB3">
      <w:pPr>
        <w:adjustRightInd w:val="0"/>
        <w:snapToGrid w:val="0"/>
        <w:spacing w:line="360" w:lineRule="auto"/>
        <w:ind w:firstLineChars="100" w:firstLine="240"/>
        <w:jc w:val="both"/>
        <w:rPr>
          <w:rFonts w:ascii="Book Antiqua" w:hAnsi="Book Antiqua"/>
        </w:rPr>
      </w:pPr>
      <w:r w:rsidRPr="00D51201">
        <w:rPr>
          <w:rFonts w:ascii="Book Antiqua" w:eastAsia="Book Antiqua" w:hAnsi="Book Antiqua" w:cs="Book Antiqua"/>
          <w:color w:val="000000"/>
        </w:rPr>
        <w:t xml:space="preserve">Univariable Cox regression analysis showed that pT, pN, presence of PALN metastases, resection margin status and receipt of chemotherapy were associated with OS (Table 2). Multivariable analysis identified pT, pN, margin status and receipt of chemotherapy as independent predictors of survival (Table 2). Of note PALN positivity was not identified as an independent prognostic factor for OS. </w:t>
      </w:r>
    </w:p>
    <w:p w14:paraId="08B64D55" w14:textId="77777777" w:rsidR="00A77B3E" w:rsidRPr="00D51201" w:rsidRDefault="00A77B3E" w:rsidP="00603AB3">
      <w:pPr>
        <w:adjustRightInd w:val="0"/>
        <w:snapToGrid w:val="0"/>
        <w:spacing w:line="360" w:lineRule="auto"/>
        <w:jc w:val="both"/>
        <w:rPr>
          <w:rFonts w:ascii="Book Antiqua" w:hAnsi="Book Antiqua"/>
        </w:rPr>
      </w:pPr>
    </w:p>
    <w:p w14:paraId="54C15D11" w14:textId="77777777" w:rsidR="00A77B3E" w:rsidRPr="00D51201" w:rsidRDefault="00D450DE" w:rsidP="00603AB3">
      <w:pPr>
        <w:adjustRightInd w:val="0"/>
        <w:snapToGrid w:val="0"/>
        <w:spacing w:line="360" w:lineRule="auto"/>
        <w:jc w:val="both"/>
        <w:rPr>
          <w:rFonts w:ascii="Book Antiqua" w:hAnsi="Book Antiqua"/>
          <w:b/>
          <w:i/>
        </w:rPr>
      </w:pPr>
      <w:r w:rsidRPr="00D51201">
        <w:rPr>
          <w:rFonts w:ascii="Book Antiqua" w:eastAsia="Book Antiqua" w:hAnsi="Book Antiqua" w:cs="Book Antiqua"/>
          <w:b/>
          <w:i/>
          <w:color w:val="000000"/>
        </w:rPr>
        <w:t>Disease-free survival</w:t>
      </w:r>
    </w:p>
    <w:p w14:paraId="191C2EF1"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Median DFS in the PALN positive group was 13 mo compared to 20.5 mo in the PALN negative one (Figure 2</w:t>
      </w:r>
      <w:r w:rsidR="00584326" w:rsidRPr="00D51201">
        <w:rPr>
          <w:rFonts w:ascii="Book Antiqua" w:eastAsia="Book Antiqua" w:hAnsi="Book Antiqua" w:cs="Book Antiqua"/>
          <w:color w:val="000000"/>
        </w:rPr>
        <w:t>A</w:t>
      </w:r>
      <w:r w:rsidRPr="00D51201">
        <w:rPr>
          <w:rFonts w:ascii="Book Antiqua" w:eastAsia="Book Antiqua" w:hAnsi="Book Antiqua" w:cs="Book Antiqua"/>
          <w:color w:val="000000"/>
        </w:rPr>
        <w:t>). This approached but did not achieve statistical significance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lastRenderedPageBreak/>
        <w:t>= 0.093). However, among patients with lymph node disease (pN1 and pN2), DFS was comparable between PALN positive and negative cases (13</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16.4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0.179) (Figure 2</w:t>
      </w:r>
      <w:r w:rsidR="00584326" w:rsidRPr="00D51201">
        <w:rPr>
          <w:rFonts w:ascii="Book Antiqua" w:eastAsia="Book Antiqua" w:hAnsi="Book Antiqua" w:cs="Book Antiqua"/>
          <w:color w:val="000000"/>
        </w:rPr>
        <w:t>B</w:t>
      </w:r>
      <w:r w:rsidRPr="00D51201">
        <w:rPr>
          <w:rFonts w:ascii="Book Antiqua" w:eastAsia="Book Antiqua" w:hAnsi="Book Antiqua" w:cs="Book Antiqua"/>
          <w:color w:val="000000"/>
        </w:rPr>
        <w:t>).</w:t>
      </w:r>
    </w:p>
    <w:p w14:paraId="69419E41" w14:textId="77777777" w:rsidR="00A77B3E" w:rsidRPr="00D51201" w:rsidRDefault="00D450DE" w:rsidP="00603AB3">
      <w:pPr>
        <w:adjustRightInd w:val="0"/>
        <w:snapToGrid w:val="0"/>
        <w:spacing w:line="360" w:lineRule="auto"/>
        <w:ind w:firstLineChars="100" w:firstLine="240"/>
        <w:jc w:val="both"/>
        <w:rPr>
          <w:rFonts w:ascii="Book Antiqua" w:hAnsi="Book Antiqua"/>
        </w:rPr>
      </w:pPr>
      <w:r w:rsidRPr="00D51201">
        <w:rPr>
          <w:rFonts w:ascii="Book Antiqua" w:eastAsia="Book Antiqua" w:hAnsi="Book Antiqua" w:cs="Book Antiqua"/>
          <w:color w:val="000000"/>
        </w:rPr>
        <w:t>When the patients were stratified based on receipt of chemotherapy, either in the neoadjuvant or the adjuvant setting, no difference in DFS was observed between PALN positive and negative patients that had chemotherapy (23.9</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20.5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0.718). Interestingly DFS of PALN positive patients was slightly longer by about 3 mo (Figure 2</w:t>
      </w:r>
      <w:r w:rsidR="00584326" w:rsidRPr="00D51201">
        <w:rPr>
          <w:rFonts w:ascii="Book Antiqua" w:eastAsia="Book Antiqua" w:hAnsi="Book Antiqua" w:cs="Book Antiqua"/>
          <w:color w:val="000000"/>
        </w:rPr>
        <w:t>C</w:t>
      </w:r>
      <w:r w:rsidRPr="00D51201">
        <w:rPr>
          <w:rFonts w:ascii="Book Antiqua" w:eastAsia="Book Antiqua" w:hAnsi="Book Antiqua" w:cs="Book Antiqua"/>
          <w:color w:val="000000"/>
        </w:rPr>
        <w:t>). When patients did not receive chemotherapy, PALN metastatic disease had substantially shorter DFS (4.4</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9.8 mo; </w:t>
      </w:r>
      <w:r w:rsidR="00584326" w:rsidRPr="00D51201">
        <w:rPr>
          <w:rFonts w:ascii="Book Antiqua" w:eastAsia="Book Antiqua" w:hAnsi="Book Antiqua" w:cs="Book Antiqua"/>
          <w:i/>
          <w:color w:val="000000"/>
        </w:rPr>
        <w:t>P</w:t>
      </w:r>
      <w:r w:rsidR="00584326"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&lt;</w:t>
      </w:r>
      <w:r w:rsidR="00584326"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0.001) (Figure 2</w:t>
      </w:r>
      <w:r w:rsidR="00584326" w:rsidRPr="00D51201">
        <w:rPr>
          <w:rFonts w:ascii="Book Antiqua" w:eastAsia="Book Antiqua" w:hAnsi="Book Antiqua" w:cs="Book Antiqua"/>
          <w:color w:val="000000"/>
        </w:rPr>
        <w:t>D</w:t>
      </w:r>
      <w:r w:rsidRPr="00D51201">
        <w:rPr>
          <w:rFonts w:ascii="Book Antiqua" w:eastAsia="Book Antiqua" w:hAnsi="Book Antiqua" w:cs="Book Antiqua"/>
          <w:color w:val="000000"/>
        </w:rPr>
        <w:t>).</w:t>
      </w:r>
    </w:p>
    <w:p w14:paraId="15610120" w14:textId="77777777" w:rsidR="00A77B3E" w:rsidRPr="00D51201" w:rsidRDefault="00D450DE" w:rsidP="00603AB3">
      <w:pPr>
        <w:adjustRightInd w:val="0"/>
        <w:snapToGrid w:val="0"/>
        <w:spacing w:line="360" w:lineRule="auto"/>
        <w:ind w:firstLineChars="100" w:firstLine="240"/>
        <w:jc w:val="both"/>
        <w:rPr>
          <w:rFonts w:ascii="Book Antiqua" w:hAnsi="Book Antiqua"/>
        </w:rPr>
      </w:pPr>
      <w:r w:rsidRPr="00D51201">
        <w:rPr>
          <w:rFonts w:ascii="Book Antiqua" w:eastAsia="Book Antiqua" w:hAnsi="Book Antiqua" w:cs="Book Antiqua"/>
          <w:color w:val="000000"/>
        </w:rPr>
        <w:t xml:space="preserve">Univariable Cox regression analysis showed that pT, resection margin status and receipt of chemotherapy were associated with DFS. Age, pN, PALN metastases, perineural and perivascular invasion approached but did not achieve significance (Table 3). On multivariable analysis PALN positivity was identified as an independent predictor of DFS, doubling the risk of recurrence. Other predictors were age, pT, margin status, PNI and chemotherapy (Table 3). </w:t>
      </w:r>
    </w:p>
    <w:p w14:paraId="4574F67A" w14:textId="77777777" w:rsidR="00A77B3E" w:rsidRPr="00D51201" w:rsidRDefault="00A77B3E" w:rsidP="00603AB3">
      <w:pPr>
        <w:adjustRightInd w:val="0"/>
        <w:snapToGrid w:val="0"/>
        <w:spacing w:line="360" w:lineRule="auto"/>
        <w:jc w:val="both"/>
        <w:rPr>
          <w:rFonts w:ascii="Book Antiqua" w:hAnsi="Book Antiqua"/>
        </w:rPr>
      </w:pPr>
    </w:p>
    <w:p w14:paraId="33207598"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aps/>
          <w:color w:val="000000"/>
          <w:u w:val="single"/>
        </w:rPr>
        <w:t>DISCUSSION</w:t>
      </w:r>
    </w:p>
    <w:p w14:paraId="7F4C28CC"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 xml:space="preserve">The prognostic significance of PALN positivity has long been an area of debate. The anatomic location of PALN in the aortocaval groove and away from the peri-pancreatic area has resulted in staging these as extra-regional lymph nodes and therefore metastatic disease on TNM if </w:t>
      </w:r>
      <w:proofErr w:type="gramStart"/>
      <w:r w:rsidRPr="00D51201">
        <w:rPr>
          <w:rFonts w:ascii="Book Antiqua" w:eastAsia="Book Antiqua" w:hAnsi="Book Antiqua" w:cs="Book Antiqua"/>
          <w:color w:val="000000"/>
        </w:rPr>
        <w:t>involved</w:t>
      </w:r>
      <w:r w:rsidR="0058432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16</w:t>
      </w:r>
      <w:r w:rsidR="0058432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On the other hand, PALN (LN16b1) drain lymph nodes around groups 13 and 14</w:t>
      </w:r>
      <w:r w:rsidR="0058432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7,17,18</w:t>
      </w:r>
      <w:r w:rsidR="0058432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which are commonly involved in PDAC and therefore PALN could be considered the next lymph node station involved in cases of node positive disease. Furthermore, one theory that has been proposed to explain PALN acting similarly to nodal disease rather than metastatic is that LN16 involvement is due to local invasion through the fascia of </w:t>
      </w:r>
      <w:proofErr w:type="gramStart"/>
      <w:r w:rsidRPr="00D51201">
        <w:rPr>
          <w:rFonts w:ascii="Book Antiqua" w:eastAsia="Book Antiqua" w:hAnsi="Book Antiqua" w:cs="Book Antiqua"/>
          <w:color w:val="000000"/>
        </w:rPr>
        <w:t>Treitz</w:t>
      </w:r>
      <w:r w:rsidR="0058432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19</w:t>
      </w:r>
      <w:r w:rsidR="0058432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and this is why it is also associated with a high incidence of positive resection margins</w:t>
      </w:r>
      <w:r w:rsidR="0058432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9,19</w:t>
      </w:r>
      <w:r w:rsidR="0058432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In this case, PALN excision may allow extensive mesopancreas </w:t>
      </w:r>
      <w:proofErr w:type="gramStart"/>
      <w:r w:rsidRPr="00D51201">
        <w:rPr>
          <w:rFonts w:ascii="Book Antiqua" w:eastAsia="Book Antiqua" w:hAnsi="Book Antiqua" w:cs="Book Antiqua"/>
          <w:color w:val="000000"/>
        </w:rPr>
        <w:t>dissection</w:t>
      </w:r>
      <w:r w:rsidR="0058432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20</w:t>
      </w:r>
      <w:r w:rsidR="0058432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The published evidence on the significance of PALN positive disease and its impact in oncological outcomes is conflicting. A consensus </w:t>
      </w:r>
      <w:r w:rsidRPr="00D51201">
        <w:rPr>
          <w:rFonts w:ascii="Book Antiqua" w:eastAsia="Book Antiqua" w:hAnsi="Book Antiqua" w:cs="Book Antiqua"/>
          <w:color w:val="000000"/>
        </w:rPr>
        <w:lastRenderedPageBreak/>
        <w:t xml:space="preserve">statement from the ISGPS suggested that extended lymphadenectomy is not indicated in pancreatic </w:t>
      </w:r>
      <w:proofErr w:type="gramStart"/>
      <w:r w:rsidRPr="00D51201">
        <w:rPr>
          <w:rFonts w:ascii="Book Antiqua" w:eastAsia="Book Antiqua" w:hAnsi="Book Antiqua" w:cs="Book Antiqua"/>
          <w:color w:val="000000"/>
        </w:rPr>
        <w:t>resections</w:t>
      </w:r>
      <w:r w:rsidR="0058432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11</w:t>
      </w:r>
      <w:r w:rsidR="0058432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The same group defined standard lymphadenectomy for pancreaticoduodenectomy to include lymph nodes in the hepatoduodenal ligament (stations 5, 6, 8a, 12b, 12c), pancreaticoduodenal groove (stations 13 and 17), right side of the superior mesenteric artery (stations 14a and 14b) and for distal pancreatectomy those along the splenic artery (station 11), along the inferior border of the pancreas (station 18) and in the splenic hilum (station 10), with station 9 to be included only in pancreatic body tumours. Resection of PALN (station 16) was not recommended based on the reported poor outcomes of patients with PALN positive disease. Nonetheless, it was acknowledged that PALN may be included in the resection plane based on individual practice. Some studies have stated no impact of PALN involvement on </w:t>
      </w:r>
      <w:proofErr w:type="gramStart"/>
      <w:r w:rsidRPr="00D51201">
        <w:rPr>
          <w:rFonts w:ascii="Book Antiqua" w:eastAsia="Book Antiqua" w:hAnsi="Book Antiqua" w:cs="Book Antiqua"/>
          <w:color w:val="000000"/>
        </w:rPr>
        <w:t>survival</w:t>
      </w:r>
      <w:r w:rsidR="0058432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7,19,21</w:t>
      </w:r>
      <w:r w:rsidR="0058432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with others suggested the opposite and even abandoning resection if this is identified intra-operatively upon sampling</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8,22,23</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A confounding flaw in many studies is the comparison of survival between PALN+ and PALN-, where the latter group includes a subgroup of N0 patients with invariably better survival rates. A meta-analysis by Agalianos </w:t>
      </w:r>
      <w:r w:rsidRPr="00D51201">
        <w:rPr>
          <w:rFonts w:ascii="Book Antiqua" w:eastAsia="Book Antiqua" w:hAnsi="Book Antiqua" w:cs="Book Antiqua"/>
          <w:i/>
          <w:iCs/>
          <w:color w:val="000000"/>
        </w:rPr>
        <w:t xml:space="preserve">et </w:t>
      </w:r>
      <w:proofErr w:type="gramStart"/>
      <w:r w:rsidRPr="00D51201">
        <w:rPr>
          <w:rFonts w:ascii="Book Antiqua" w:eastAsia="Book Antiqua" w:hAnsi="Book Antiqua" w:cs="Book Antiqua"/>
          <w:i/>
          <w:iCs/>
          <w:color w:val="000000"/>
        </w:rPr>
        <w:t>al</w:t>
      </w:r>
      <w:r w:rsidR="0058432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9</w:t>
      </w:r>
      <w:r w:rsidR="0058432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made a pertinent comparison of PALN+ with pN1 PALN- patients, showing that survival rates at 1 and 2 years were sign</w:t>
      </w:r>
      <w:r w:rsidR="004B46C6" w:rsidRPr="00D51201">
        <w:rPr>
          <w:rFonts w:ascii="Book Antiqua" w:eastAsia="Book Antiqua" w:hAnsi="Book Antiqua" w:cs="Book Antiqua"/>
          <w:color w:val="000000"/>
        </w:rPr>
        <w:t>ificantly worse in PALN+ group.</w:t>
      </w:r>
      <w:r w:rsidRPr="00D51201">
        <w:rPr>
          <w:rFonts w:ascii="Book Antiqua" w:eastAsia="Book Antiqua" w:hAnsi="Book Antiqua" w:cs="Book Antiqua"/>
          <w:color w:val="000000"/>
        </w:rPr>
        <w:t xml:space="preserve"> This was contested by Hempel </w:t>
      </w:r>
      <w:r w:rsidRPr="00D51201">
        <w:rPr>
          <w:rFonts w:ascii="Book Antiqua" w:eastAsia="Book Antiqua" w:hAnsi="Book Antiqua" w:cs="Book Antiqua"/>
          <w:i/>
          <w:iCs/>
          <w:color w:val="000000"/>
        </w:rPr>
        <w:t xml:space="preserve">et </w:t>
      </w:r>
      <w:proofErr w:type="gramStart"/>
      <w:r w:rsidRPr="00D51201">
        <w:rPr>
          <w:rFonts w:ascii="Book Antiqua" w:eastAsia="Book Antiqua" w:hAnsi="Book Antiqua" w:cs="Book Antiqua"/>
          <w:i/>
          <w:iCs/>
          <w:color w:val="000000"/>
        </w:rPr>
        <w:t>al</w:t>
      </w:r>
      <w:r w:rsidR="004B46C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6</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who showed that the OS of PALN+ and pN1 PALN- patients were not significantly different. In our study all PALN positive patients also had regional lymph node disease, whereas 22% of PALN negative patients were staged as pN0. No significant difference in OS and DFS was identified in regional lymph node positive (pN1 and pN2) PALN positive patients compared to PALN negative ones. Given that resection in the presence of nodal disease has been shown to prolong </w:t>
      </w:r>
      <w:proofErr w:type="gramStart"/>
      <w:r w:rsidRPr="00D51201">
        <w:rPr>
          <w:rFonts w:ascii="Book Antiqua" w:eastAsia="Book Antiqua" w:hAnsi="Book Antiqua" w:cs="Book Antiqua"/>
          <w:color w:val="000000"/>
        </w:rPr>
        <w:t>survival</w:t>
      </w:r>
      <w:r w:rsidR="004B46C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24</w:t>
      </w:r>
      <w:r w:rsidR="004E6E5A"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28</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there is no indication on this basis to abandon resection. </w:t>
      </w:r>
    </w:p>
    <w:p w14:paraId="27C61F7C" w14:textId="77777777" w:rsidR="00A77B3E" w:rsidRPr="00D51201" w:rsidRDefault="00D450DE" w:rsidP="00603AB3">
      <w:pPr>
        <w:adjustRightInd w:val="0"/>
        <w:snapToGrid w:val="0"/>
        <w:spacing w:line="360" w:lineRule="auto"/>
        <w:ind w:firstLineChars="100" w:firstLine="240"/>
        <w:jc w:val="both"/>
        <w:rPr>
          <w:rFonts w:ascii="Book Antiqua" w:hAnsi="Book Antiqua"/>
        </w:rPr>
      </w:pPr>
      <w:r w:rsidRPr="00D51201">
        <w:rPr>
          <w:rFonts w:ascii="Book Antiqua" w:eastAsia="Book Antiqua" w:hAnsi="Book Antiqua" w:cs="Book Antiqua"/>
          <w:color w:val="000000"/>
        </w:rPr>
        <w:t>The appropriateness of PALN+ being termed M1 disease has also been challenged where long term survival after PALN+ resection has b</w:t>
      </w:r>
      <w:r w:rsidR="004B46C6" w:rsidRPr="00D51201">
        <w:rPr>
          <w:rFonts w:ascii="Book Antiqua" w:eastAsia="Book Antiqua" w:hAnsi="Book Antiqua" w:cs="Book Antiqua"/>
          <w:color w:val="000000"/>
        </w:rPr>
        <w:t xml:space="preserve">een achieved by various </w:t>
      </w:r>
      <w:proofErr w:type="gramStart"/>
      <w:r w:rsidR="004B46C6" w:rsidRPr="00D51201">
        <w:rPr>
          <w:rFonts w:ascii="Book Antiqua" w:eastAsia="Book Antiqua" w:hAnsi="Book Antiqua" w:cs="Book Antiqua"/>
          <w:color w:val="000000"/>
        </w:rPr>
        <w:t>studies</w:t>
      </w:r>
      <w:r w:rsidR="004B46C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6,29,30</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including a multicentre study of 102 (12.4%) PALN+ which has shown survival of 2 years of PALN+ patients</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20</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Our study covers a </w:t>
      </w:r>
      <w:proofErr w:type="gramStart"/>
      <w:r w:rsidRPr="00D51201">
        <w:rPr>
          <w:rFonts w:ascii="Book Antiqua" w:eastAsia="Book Antiqua" w:hAnsi="Book Antiqua" w:cs="Book Antiqua"/>
          <w:color w:val="000000"/>
        </w:rPr>
        <w:t>10 year</w:t>
      </w:r>
      <w:proofErr w:type="gramEnd"/>
      <w:r w:rsidRPr="00D51201">
        <w:rPr>
          <w:rFonts w:ascii="Book Antiqua" w:eastAsia="Book Antiqua" w:hAnsi="Book Antiqua" w:cs="Book Antiqua"/>
          <w:color w:val="000000"/>
        </w:rPr>
        <w:t xml:space="preserve"> period during which the chemotherapy practice has changed from single agent gemcitabine to gemcitabine </w:t>
      </w:r>
      <w:r w:rsidRPr="00D51201">
        <w:rPr>
          <w:rFonts w:ascii="Book Antiqua" w:eastAsia="Book Antiqua" w:hAnsi="Book Antiqua" w:cs="Book Antiqua"/>
          <w:color w:val="000000"/>
        </w:rPr>
        <w:lastRenderedPageBreak/>
        <w:t>combined with capecitabine and more recently FOLFIRINOX. This along with the fact that approximately 30% of patients did not receive any systemic treatment can explain the OS of 20.6 mo in PALN negative and 13.2 mo in PALN positive patients. However, in patients who received chemotherapy, whether NAT or adjuvant chemotherapy, this disparity disappeared. Furthermore, on multivariable analysis PALN positivity was not an independent predictor for OS. Interestingly, OS was slightly longer in the PLAN positive patients after chemotherapy (23.4</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20.6 mo). This may reflect a treatment selection bias by the oncology teams as patients with more aggressive disease received more commonly chemotherapy in the adjuvant period (71% for PALN positive disease compared to 58% for PALN negative), even though this difference did not reach statistical significance. D</w:t>
      </w:r>
      <w:r w:rsidRPr="00D51201">
        <w:rPr>
          <w:rFonts w:ascii="Book Antiqua" w:eastAsia="Book Antiqua" w:hAnsi="Book Antiqua" w:cs="Book Antiqua"/>
          <w:color w:val="000000"/>
          <w:shd w:val="clear" w:color="auto" w:fill="FFFFFF"/>
        </w:rPr>
        <w:t xml:space="preserve">uring the same time period, patients diagnosed with metastatic disease intra-operatively had a medial OS of 14.1 mo after palliative treatment (6.1 mo if they did not receive any palliative treatment), which is substantially less than the 23.4 mo OS recorded for PALN+ patients with chemotherapy. </w:t>
      </w:r>
    </w:p>
    <w:p w14:paraId="76B297CF"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Similarly, DFS was only worse in PALN positive patients if they did not receive any systemic treatment. However, in patients that had systemic treatment DFS was slightly longer in PALN positive patients (23.9</w:t>
      </w:r>
      <w:r w:rsidR="00584326" w:rsidRPr="00D51201">
        <w:rPr>
          <w:rFonts w:ascii="Book Antiqua" w:eastAsia="Book Antiqua" w:hAnsi="Book Antiqua" w:cs="Book Antiqua"/>
          <w:color w:val="000000"/>
        </w:rPr>
        <w:t xml:space="preserve"> mo</w:t>
      </w:r>
      <w:r w:rsidRPr="00D51201">
        <w:rPr>
          <w:rFonts w:ascii="Book Antiqua" w:eastAsia="Book Antiqua" w:hAnsi="Book Antiqua" w:cs="Book Antiqua"/>
          <w:color w:val="000000"/>
        </w:rPr>
        <w:t xml:space="preserve">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20.5 mo). Similar to OS, this is most likely a reflection of oncological treatment selection bias. Furthermore, the fact that PALN positivity was identified on multivariable analysis as an independent predictor of DFS, doubling the risk for recurrence, is not an unexpected finding, as nodal disease is a </w:t>
      </w:r>
      <w:proofErr w:type="gramStart"/>
      <w:r w:rsidRPr="00D51201">
        <w:rPr>
          <w:rFonts w:ascii="Book Antiqua" w:eastAsia="Book Antiqua" w:hAnsi="Book Antiqua" w:cs="Book Antiqua"/>
          <w:color w:val="000000"/>
        </w:rPr>
        <w:t>well established</w:t>
      </w:r>
      <w:proofErr w:type="gramEnd"/>
      <w:r w:rsidRPr="00D51201">
        <w:rPr>
          <w:rFonts w:ascii="Book Antiqua" w:eastAsia="Book Antiqua" w:hAnsi="Book Antiqua" w:cs="Book Antiqua"/>
          <w:color w:val="000000"/>
        </w:rPr>
        <w:t xml:space="preserve"> prognostic factor for recurrence of PDAC. </w:t>
      </w:r>
    </w:p>
    <w:p w14:paraId="3C76D025" w14:textId="77777777" w:rsidR="00A77B3E" w:rsidRPr="00D51201" w:rsidRDefault="00D450DE" w:rsidP="00603AB3">
      <w:pPr>
        <w:adjustRightInd w:val="0"/>
        <w:snapToGrid w:val="0"/>
        <w:spacing w:line="360" w:lineRule="auto"/>
        <w:ind w:firstLineChars="100" w:firstLine="240"/>
        <w:jc w:val="both"/>
        <w:rPr>
          <w:rFonts w:ascii="Book Antiqua" w:hAnsi="Book Antiqua"/>
        </w:rPr>
      </w:pPr>
      <w:r w:rsidRPr="00D51201">
        <w:rPr>
          <w:rFonts w:ascii="Book Antiqua" w:eastAsia="Book Antiqua" w:hAnsi="Book Antiqua" w:cs="Book Antiqua"/>
          <w:color w:val="000000"/>
        </w:rPr>
        <w:t>The survival benefit of completion of the treatment pathway (surgery and chemotherapy) in patients with PDAC is well established and the sequence of chemotherapy is based on preoperative staging (n</w:t>
      </w:r>
      <w:r w:rsidR="004B46C6" w:rsidRPr="00D51201">
        <w:rPr>
          <w:rFonts w:ascii="Book Antiqua" w:eastAsia="Book Antiqua" w:hAnsi="Book Antiqua" w:cs="Book Antiqua"/>
          <w:color w:val="000000"/>
        </w:rPr>
        <w:t xml:space="preserve">eoadjuvant or adjuvant </w:t>
      </w:r>
      <w:proofErr w:type="gramStart"/>
      <w:r w:rsidR="004B46C6" w:rsidRPr="00D51201">
        <w:rPr>
          <w:rFonts w:ascii="Book Antiqua" w:eastAsia="Book Antiqua" w:hAnsi="Book Antiqua" w:cs="Book Antiqua"/>
          <w:color w:val="000000"/>
        </w:rPr>
        <w:t>setting)</w:t>
      </w:r>
      <w:r w:rsidR="004B46C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31</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32</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With regards to PALN involvement, this is further supported by the results of this study as well as others on PALN </w:t>
      </w:r>
      <w:proofErr w:type="gramStart"/>
      <w:r w:rsidRPr="00D51201">
        <w:rPr>
          <w:rFonts w:ascii="Book Antiqua" w:eastAsia="Book Antiqua" w:hAnsi="Book Antiqua" w:cs="Book Antiqua"/>
          <w:color w:val="000000"/>
        </w:rPr>
        <w:t>disease</w:t>
      </w:r>
      <w:r w:rsidR="004B46C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20,33,34</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Therefore, the comparable OS and DFS after completion of the whole treatment, surgery and chemotherapy, suggest that PALN should not be considered as a contraindication for resection if identified intra-operatively. The substantially worse OS in patients who did not receive any chemotherapy, stresses </w:t>
      </w:r>
      <w:r w:rsidRPr="00D51201">
        <w:rPr>
          <w:rFonts w:ascii="Book Antiqua" w:eastAsia="Book Antiqua" w:hAnsi="Book Antiqua" w:cs="Book Antiqua"/>
          <w:color w:val="000000"/>
        </w:rPr>
        <w:lastRenderedPageBreak/>
        <w:t>the importance of considering PALN positive disease in preoperative staging as an indication for NAT. Pre-operative CA19-9 Levels have been associated with PALN</w:t>
      </w:r>
      <w:proofErr w:type="gramStart"/>
      <w:r w:rsidRPr="00D51201">
        <w:rPr>
          <w:rFonts w:ascii="Book Antiqua" w:eastAsia="Book Antiqua" w:hAnsi="Book Antiqua" w:cs="Book Antiqua"/>
          <w:color w:val="000000"/>
        </w:rPr>
        <w:t>+</w:t>
      </w:r>
      <w:r w:rsidR="004B46C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20,23,35</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Nonetheless, preoperative staging investigations have a very low sensitivity for this in the current as well as other studies to provide the required confirmation. The sensitivity of CT and MRI has been suggested to be close to zero for PALN</w:t>
      </w:r>
      <w:proofErr w:type="gramStart"/>
      <w:r w:rsidRPr="00D51201">
        <w:rPr>
          <w:rFonts w:ascii="Book Antiqua" w:eastAsia="Book Antiqua" w:hAnsi="Book Antiqua" w:cs="Book Antiqua"/>
          <w:color w:val="000000"/>
        </w:rPr>
        <w:t>+</w:t>
      </w:r>
      <w:r w:rsidR="004B46C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36</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while </w:t>
      </w:r>
      <w:r w:rsidRPr="00D51201">
        <w:rPr>
          <w:rFonts w:ascii="Book Antiqua" w:eastAsia="Book Antiqua" w:hAnsi="Book Antiqua" w:cs="Book Antiqua"/>
          <w:color w:val="000000"/>
          <w:vertAlign w:val="superscript"/>
        </w:rPr>
        <w:t>18</w:t>
      </w:r>
      <w:r w:rsidRPr="00D51201">
        <w:rPr>
          <w:rFonts w:ascii="Book Antiqua" w:eastAsia="Book Antiqua" w:hAnsi="Book Antiqua" w:cs="Book Antiqua"/>
          <w:color w:val="000000"/>
        </w:rPr>
        <w:t>F-flurodeoxyglucose positron emission tomography (FDG-PET) was shown to have sensitivity 37</w:t>
      </w:r>
      <w:r w:rsidR="004B46C6" w:rsidRPr="00D51201">
        <w:rPr>
          <w:rFonts w:ascii="Book Antiqua" w:eastAsia="Book Antiqua" w:hAnsi="Book Antiqua" w:cs="Book Antiqua"/>
          <w:color w:val="000000"/>
        </w:rPr>
        <w:t>%</w:t>
      </w:r>
      <w:r w:rsidRPr="00D51201">
        <w:rPr>
          <w:rFonts w:ascii="Book Antiqua" w:eastAsia="Book Antiqua" w:hAnsi="Book Antiqua" w:cs="Book Antiqua"/>
          <w:color w:val="000000"/>
        </w:rPr>
        <w:t>-50%</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37–39</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EUS is used for staging of nodal involvement with accuracy reaching around 65</w:t>
      </w:r>
      <w:proofErr w:type="gramStart"/>
      <w:r w:rsidRPr="00D51201">
        <w:rPr>
          <w:rFonts w:ascii="Book Antiqua" w:eastAsia="Book Antiqua" w:hAnsi="Book Antiqua" w:cs="Book Antiqua"/>
          <w:color w:val="000000"/>
        </w:rPr>
        <w:t>%</w:t>
      </w:r>
      <w:r w:rsidR="004B46C6" w:rsidRPr="00D51201">
        <w:rPr>
          <w:rFonts w:ascii="Book Antiqua" w:eastAsia="Book Antiqua" w:hAnsi="Book Antiqua" w:cs="Book Antiqua"/>
          <w:color w:val="000000"/>
          <w:vertAlign w:val="superscript"/>
        </w:rPr>
        <w:t>[</w:t>
      </w:r>
      <w:proofErr w:type="gramEnd"/>
      <w:r w:rsidRPr="00D51201">
        <w:rPr>
          <w:rFonts w:ascii="Book Antiqua" w:eastAsia="Book Antiqua" w:hAnsi="Book Antiqua" w:cs="Book Antiqua"/>
          <w:color w:val="000000"/>
          <w:vertAlign w:val="superscript"/>
        </w:rPr>
        <w:t>40,41</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xml:space="preserve"> though one small study of 21 patients with PALN+ was shown to have 95% sensitivity</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vertAlign w:val="superscript"/>
        </w:rPr>
        <w:t>42</w:t>
      </w:r>
      <w:r w:rsidR="004B46C6" w:rsidRPr="00D51201">
        <w:rPr>
          <w:rFonts w:ascii="Book Antiqua" w:eastAsia="Book Antiqua" w:hAnsi="Book Antiqua" w:cs="Book Antiqua"/>
          <w:color w:val="000000"/>
          <w:vertAlign w:val="superscript"/>
        </w:rPr>
        <w:t>]</w:t>
      </w:r>
      <w:r w:rsidRPr="00D51201">
        <w:rPr>
          <w:rFonts w:ascii="Book Antiqua" w:eastAsia="Book Antiqua" w:hAnsi="Book Antiqua" w:cs="Book Antiqua"/>
          <w:color w:val="000000"/>
        </w:rPr>
        <w:t>. In our study only one case of PALN metastasis was identified on preoperative staging scans, while operative excisional sampling upstaged the diagnosis in 21% of the cases without increasing the risk of peri-operative complications.</w:t>
      </w:r>
    </w:p>
    <w:p w14:paraId="351BDD4E" w14:textId="77777777" w:rsidR="00A77B3E" w:rsidRPr="00D51201" w:rsidRDefault="00D450DE" w:rsidP="00603AB3">
      <w:pPr>
        <w:adjustRightInd w:val="0"/>
        <w:snapToGrid w:val="0"/>
        <w:spacing w:line="360" w:lineRule="auto"/>
        <w:ind w:firstLineChars="100" w:firstLine="240"/>
        <w:jc w:val="both"/>
        <w:rPr>
          <w:rFonts w:ascii="Book Antiqua" w:hAnsi="Book Antiqua"/>
        </w:rPr>
      </w:pPr>
      <w:r w:rsidRPr="00D51201">
        <w:rPr>
          <w:rFonts w:ascii="Book Antiqua" w:eastAsia="Book Antiqua" w:hAnsi="Book Antiqua" w:cs="Book Antiqua"/>
          <w:color w:val="000000"/>
        </w:rPr>
        <w:t xml:space="preserve">The limitations of this study include its retrospective and single centre nature, as well as the selection bias associated with intra-operative PALN sampling. Additionally, as the study covers a </w:t>
      </w:r>
      <w:proofErr w:type="gramStart"/>
      <w:r w:rsidRPr="00D51201">
        <w:rPr>
          <w:rFonts w:ascii="Book Antiqua" w:eastAsia="Book Antiqua" w:hAnsi="Book Antiqua" w:cs="Book Antiqua"/>
          <w:color w:val="000000"/>
        </w:rPr>
        <w:t>10 year</w:t>
      </w:r>
      <w:proofErr w:type="gramEnd"/>
      <w:r w:rsidRPr="00D51201">
        <w:rPr>
          <w:rFonts w:ascii="Book Antiqua" w:eastAsia="Book Antiqua" w:hAnsi="Book Antiqua" w:cs="Book Antiqua"/>
          <w:color w:val="000000"/>
        </w:rPr>
        <w:t xml:space="preserve"> period with changes in the preferred systemic treatment regimens for PDAC, systemic treatment selection time bias is inevitable. The small number of PALN positive patients precluded a subgroup analysis of types and duration of NAT or adjuvant chemotherapy. Despite these limitations, the study accurately reflects the practice around PALN over the previous decade and the results clearly add to the body of evidence advocating against considering PALN involvement in the absence of evidence of distant metastases as unresectable disease and against treating these patients with palliative intent. </w:t>
      </w:r>
    </w:p>
    <w:p w14:paraId="0905C637" w14:textId="77777777" w:rsidR="00A77B3E" w:rsidRPr="00D51201" w:rsidRDefault="00A77B3E" w:rsidP="00603AB3">
      <w:pPr>
        <w:adjustRightInd w:val="0"/>
        <w:snapToGrid w:val="0"/>
        <w:spacing w:line="360" w:lineRule="auto"/>
        <w:jc w:val="both"/>
        <w:rPr>
          <w:rFonts w:ascii="Book Antiqua" w:hAnsi="Book Antiqua"/>
        </w:rPr>
      </w:pPr>
    </w:p>
    <w:p w14:paraId="3D91ED65"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aps/>
          <w:color w:val="000000"/>
          <w:u w:val="single"/>
        </w:rPr>
        <w:t>CONCLUSION</w:t>
      </w:r>
    </w:p>
    <w:p w14:paraId="224D0520"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 xml:space="preserve">This study suggests that PALN sampling is safe and should be routinely performed during resection of PDAC for accurate staging, even in the absence of involvement in the pre-operative imaging. PALN involvement does not affect OS when patients complete the indicated treatment pathway (surgery and chemotherapy) and occult involvement identified intra-operatively should not be considered as a contraindication to resection. </w:t>
      </w:r>
      <w:r w:rsidRPr="00D51201">
        <w:rPr>
          <w:rFonts w:ascii="Book Antiqua" w:eastAsia="Book Antiqua" w:hAnsi="Book Antiqua" w:cs="Book Antiqua"/>
          <w:color w:val="000000"/>
        </w:rPr>
        <w:lastRenderedPageBreak/>
        <w:t>Future studies should focus on improving pre-operative diagnosis and on the value of NAT for these cases.</w:t>
      </w:r>
    </w:p>
    <w:p w14:paraId="7FCA5066" w14:textId="77777777" w:rsidR="00A77B3E" w:rsidRPr="00D51201" w:rsidRDefault="00A77B3E" w:rsidP="00603AB3">
      <w:pPr>
        <w:adjustRightInd w:val="0"/>
        <w:snapToGrid w:val="0"/>
        <w:spacing w:line="360" w:lineRule="auto"/>
        <w:jc w:val="both"/>
        <w:rPr>
          <w:rFonts w:ascii="Book Antiqua" w:hAnsi="Book Antiqua"/>
        </w:rPr>
      </w:pPr>
    </w:p>
    <w:p w14:paraId="0F7B469A"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aps/>
          <w:color w:val="000000"/>
          <w:u w:val="single"/>
        </w:rPr>
        <w:t>ARTICLE HIGHLIGHTS</w:t>
      </w:r>
    </w:p>
    <w:p w14:paraId="07504B01" w14:textId="77777777" w:rsidR="004B46C6" w:rsidRPr="00D51201" w:rsidRDefault="004B46C6"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i/>
          <w:color w:val="000000"/>
        </w:rPr>
        <w:t>Research background</w:t>
      </w:r>
    </w:p>
    <w:p w14:paraId="2E5A1CA9" w14:textId="77777777" w:rsidR="004B46C6" w:rsidRPr="00D51201" w:rsidRDefault="004B46C6"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Pancreatic ductal adenocarcinoma (PDAC) presents as localised disease for only a small subset of patients for whom only 20% are eligible for resection with 5-year survival of 6.8%. Nodal status is amongst the most important prognostic indicators. Para-aortic lymph nodes found in the aortocaval groove (PALN) are staged as distant metastatic (M1) disease and are found in 14</w:t>
      </w:r>
      <w:r w:rsidR="001F1D79" w:rsidRPr="00D51201">
        <w:rPr>
          <w:rFonts w:ascii="Book Antiqua" w:eastAsia="Book Antiqua" w:hAnsi="Book Antiqua" w:cs="Book Antiqua"/>
          <w:color w:val="000000"/>
        </w:rPr>
        <w:t>%</w:t>
      </w:r>
      <w:r w:rsidRPr="00D51201">
        <w:rPr>
          <w:rFonts w:ascii="Book Antiqua" w:eastAsia="Book Antiqua" w:hAnsi="Book Antiqua" w:cs="Book Antiqua"/>
          <w:color w:val="000000"/>
        </w:rPr>
        <w:t>-18% of pancreatic head/uncinate PDAC at resection. Various studies have alluded to PALN metastases being associated with poor prognosis, whereas others have failed to replicate this effect</w:t>
      </w:r>
      <w:r w:rsidR="00302095"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and a meta-analysis has only concluded the need for intra-operative assessment of PALN. A consensus statement from the International Study Group for Pancreatic Surgery</w:t>
      </w:r>
      <w:r w:rsidR="00302095"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supported standard lymphadenectomy for pancreatic resections, which does not include PALN. </w:t>
      </w:r>
    </w:p>
    <w:p w14:paraId="520A5B2E" w14:textId="77777777" w:rsidR="004B46C6" w:rsidRPr="00D51201" w:rsidRDefault="004B46C6" w:rsidP="00603AB3">
      <w:pPr>
        <w:adjustRightInd w:val="0"/>
        <w:snapToGrid w:val="0"/>
        <w:spacing w:line="360" w:lineRule="auto"/>
        <w:jc w:val="both"/>
        <w:rPr>
          <w:rFonts w:ascii="Book Antiqua" w:eastAsia="Book Antiqua" w:hAnsi="Book Antiqua" w:cs="Book Antiqua"/>
          <w:b/>
          <w:i/>
          <w:color w:val="000000"/>
        </w:rPr>
      </w:pPr>
    </w:p>
    <w:p w14:paraId="7258E11A"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i/>
          <w:color w:val="000000"/>
        </w:rPr>
        <w:t>Research motivation</w:t>
      </w:r>
    </w:p>
    <w:p w14:paraId="56C0AA24"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Currently, whether intra-operative assessment of PALN should be undertaken or whether there is sufficient evidence that resection should be abandoned depends on surgeon or unit policy</w:t>
      </w:r>
      <w:r w:rsidR="00D36ACB" w:rsidRPr="00D51201">
        <w:rPr>
          <w:rFonts w:ascii="Book Antiqua" w:eastAsia="Book Antiqua" w:hAnsi="Book Antiqua" w:cs="Book Antiqua"/>
          <w:color w:val="000000"/>
        </w:rPr>
        <w:t>.</w:t>
      </w:r>
    </w:p>
    <w:p w14:paraId="384BFF1F" w14:textId="77777777" w:rsidR="00A77B3E" w:rsidRPr="00D51201" w:rsidRDefault="00A77B3E" w:rsidP="00603AB3">
      <w:pPr>
        <w:adjustRightInd w:val="0"/>
        <w:snapToGrid w:val="0"/>
        <w:spacing w:line="360" w:lineRule="auto"/>
        <w:jc w:val="both"/>
        <w:rPr>
          <w:rFonts w:ascii="Book Antiqua" w:hAnsi="Book Antiqua"/>
        </w:rPr>
      </w:pPr>
    </w:p>
    <w:p w14:paraId="56870C25" w14:textId="77777777" w:rsidR="004B46C6" w:rsidRPr="00D51201" w:rsidRDefault="004B46C6"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i/>
          <w:color w:val="000000"/>
        </w:rPr>
        <w:t>Research objectives</w:t>
      </w:r>
    </w:p>
    <w:p w14:paraId="15E9D703" w14:textId="77777777" w:rsidR="004B46C6" w:rsidRPr="00D51201" w:rsidRDefault="004B46C6"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The aim of this study was to determine the prognostic significance of PALN metastases on the oncological outcomes after pancreatic resections for PDAC.</w:t>
      </w:r>
    </w:p>
    <w:p w14:paraId="46EA5353" w14:textId="77777777" w:rsidR="00A77B3E" w:rsidRPr="00D51201" w:rsidRDefault="00A77B3E" w:rsidP="00603AB3">
      <w:pPr>
        <w:adjustRightInd w:val="0"/>
        <w:snapToGrid w:val="0"/>
        <w:spacing w:line="360" w:lineRule="auto"/>
        <w:jc w:val="both"/>
        <w:rPr>
          <w:rFonts w:ascii="Book Antiqua" w:hAnsi="Book Antiqua"/>
        </w:rPr>
      </w:pPr>
    </w:p>
    <w:p w14:paraId="268B6AB3"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i/>
          <w:color w:val="000000"/>
        </w:rPr>
        <w:t>Research methods</w:t>
      </w:r>
    </w:p>
    <w:p w14:paraId="4D891CCF"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 xml:space="preserve">This is a retrospective cohort study of data from a prospectively maintained database on consecutive patients undergoing pancreatectomies for PDAC where PALN was sampled between 2011 and 2020 in a tertiary specialist centre. The study was conducted in line </w:t>
      </w:r>
      <w:r w:rsidRPr="00D51201">
        <w:rPr>
          <w:rFonts w:ascii="Book Antiqua" w:eastAsia="Book Antiqua" w:hAnsi="Book Antiqua" w:cs="Book Antiqua"/>
          <w:color w:val="000000"/>
        </w:rPr>
        <w:lastRenderedPageBreak/>
        <w:t>with STROBE (Strengthening the Reporting of Observational studies in Epidemiology) guidelines. Staging of the tumours was based on the NCCN staging criteria. PALN were sampled from the infra-renal, aortacaval lymph nodes and more specifically from the level of the third part of the duodenum to the angle of the left renal vein (station 16).</w:t>
      </w:r>
      <w:r w:rsidR="00302095"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PALN sampling was performed at the discretion of the operating surgeon. Over the last 3 years of the study 3 surgeons sampled PALN routinely, accounting for 36% of the cases in the study. Follow-up of patients was determined from time of diagnosis until disease recurrence or death.</w:t>
      </w:r>
      <w:r w:rsidR="00477861" w:rsidRPr="00D51201">
        <w:rPr>
          <w:rFonts w:ascii="Book Antiqua" w:eastAsia="Book Antiqua" w:hAnsi="Book Antiqua" w:cs="Book Antiqua"/>
          <w:color w:val="000000"/>
        </w:rPr>
        <w:t xml:space="preserve"> </w:t>
      </w:r>
      <w:r w:rsidR="001C49DD" w:rsidRPr="00D51201">
        <w:rPr>
          <w:rFonts w:ascii="Book Antiqua" w:eastAsia="Book Antiqua" w:hAnsi="Book Antiqua" w:cs="Book Antiqua"/>
          <w:color w:val="000000"/>
        </w:rPr>
        <w:t>OS</w:t>
      </w:r>
      <w:r w:rsidRPr="00D51201">
        <w:rPr>
          <w:rFonts w:ascii="Book Antiqua" w:eastAsia="Book Antiqua" w:hAnsi="Book Antiqua" w:cs="Book Antiqua"/>
          <w:color w:val="000000"/>
        </w:rPr>
        <w:t xml:space="preserve"> was defined as the time from diagnosis to death or last follow-up and </w:t>
      </w:r>
      <w:proofErr w:type="gramStart"/>
      <w:r w:rsidRPr="00D51201">
        <w:rPr>
          <w:rFonts w:ascii="Book Antiqua" w:eastAsia="Book Antiqua" w:hAnsi="Book Antiqua" w:cs="Book Antiqua"/>
          <w:color w:val="000000"/>
        </w:rPr>
        <w:t>disease free</w:t>
      </w:r>
      <w:proofErr w:type="gramEnd"/>
      <w:r w:rsidRPr="00D51201">
        <w:rPr>
          <w:rFonts w:ascii="Book Antiqua" w:eastAsia="Book Antiqua" w:hAnsi="Book Antiqua" w:cs="Book Antiqua"/>
          <w:color w:val="000000"/>
        </w:rPr>
        <w:t xml:space="preserve"> survival as the time from resection to diagnosis of disease recurrence. </w:t>
      </w:r>
    </w:p>
    <w:p w14:paraId="20230B7D" w14:textId="77777777" w:rsidR="00A77B3E" w:rsidRPr="00D51201" w:rsidRDefault="00D450DE" w:rsidP="00603AB3">
      <w:pPr>
        <w:adjustRightInd w:val="0"/>
        <w:snapToGrid w:val="0"/>
        <w:spacing w:line="360" w:lineRule="auto"/>
        <w:ind w:firstLineChars="100" w:firstLine="240"/>
        <w:jc w:val="both"/>
        <w:rPr>
          <w:rFonts w:ascii="Book Antiqua" w:hAnsi="Book Antiqua"/>
        </w:rPr>
      </w:pPr>
      <w:r w:rsidRPr="00D51201">
        <w:rPr>
          <w:rFonts w:ascii="Book Antiqua" w:eastAsia="Book Antiqua" w:hAnsi="Book Antiqua" w:cs="Book Antiqua"/>
          <w:color w:val="000000"/>
        </w:rPr>
        <w:t xml:space="preserve">The cohort characteristics are presented with standard descriptive statistical analysis. </w:t>
      </w:r>
      <w:proofErr w:type="gramStart"/>
      <w:r w:rsidRPr="00D51201">
        <w:rPr>
          <w:rFonts w:ascii="Book Antiqua" w:eastAsia="Book Antiqua" w:hAnsi="Book Antiqua" w:cs="Book Antiqua"/>
          <w:color w:val="000000"/>
        </w:rPr>
        <w:t>One way</w:t>
      </w:r>
      <w:proofErr w:type="gramEnd"/>
      <w:r w:rsidRPr="00D51201">
        <w:rPr>
          <w:rFonts w:ascii="Book Antiqua" w:eastAsia="Book Antiqua" w:hAnsi="Book Antiqua" w:cs="Book Antiqua"/>
          <w:color w:val="000000"/>
        </w:rPr>
        <w:t xml:space="preserve"> Anova, Chi-Square and Mann-Whitney </w:t>
      </w:r>
      <w:r w:rsidRPr="00D51201">
        <w:rPr>
          <w:rFonts w:ascii="Book Antiqua" w:eastAsia="Book Antiqua" w:hAnsi="Book Antiqua" w:cs="Book Antiqua"/>
          <w:i/>
          <w:color w:val="000000"/>
        </w:rPr>
        <w:t>U</w:t>
      </w:r>
      <w:r w:rsidRPr="00D51201">
        <w:rPr>
          <w:rFonts w:ascii="Book Antiqua" w:eastAsia="Book Antiqua" w:hAnsi="Book Antiqua" w:cs="Book Antiqua"/>
          <w:color w:val="000000"/>
        </w:rPr>
        <w:t xml:space="preserve"> tests were used as appropriate</w:t>
      </w:r>
      <w:r w:rsidR="00477861" w:rsidRPr="00D51201">
        <w:rPr>
          <w:rFonts w:ascii="Book Antiqua" w:eastAsia="Book Antiqua" w:hAnsi="Book Antiqua" w:cs="Book Antiqua"/>
          <w:color w:val="000000"/>
        </w:rPr>
        <w:t xml:space="preserve"> for statistical comparisons</w:t>
      </w:r>
      <w:r w:rsidRPr="00D51201">
        <w:rPr>
          <w:rFonts w:ascii="Book Antiqua" w:eastAsia="Book Antiqua" w:hAnsi="Book Antiqua" w:cs="Book Antiqua"/>
          <w:color w:val="000000"/>
        </w:rPr>
        <w:t xml:space="preserve"> with statistical significance set at </w:t>
      </w:r>
      <w:r w:rsidR="00D36ACB" w:rsidRPr="00D51201">
        <w:rPr>
          <w:rFonts w:ascii="Book Antiqua" w:eastAsia="Book Antiqua" w:hAnsi="Book Antiqua" w:cs="Book Antiqua"/>
          <w:i/>
          <w:color w:val="000000"/>
        </w:rPr>
        <w:t>P</w:t>
      </w:r>
      <w:r w:rsidR="00D36ACB"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&lt;</w:t>
      </w:r>
      <w:r w:rsidR="00D36ACB"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 xml:space="preserve">0.05. Exact statistics were used for all tests to account for small sample size. Survival analysis was performed with the Kaplan-Meier method and log rank test was used to compare survival curves. Univariable and multivariable time to event analyses were performed using the Cox proportional hazard model to determine risk factors for median </w:t>
      </w:r>
      <w:r w:rsidR="00477861" w:rsidRPr="00D51201">
        <w:rPr>
          <w:rFonts w:ascii="Book Antiqua" w:eastAsia="Book Antiqua" w:hAnsi="Book Antiqua" w:cs="Book Antiqua"/>
          <w:color w:val="000000"/>
        </w:rPr>
        <w:t>OS</w:t>
      </w:r>
      <w:r w:rsidR="001A002D"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 xml:space="preserve">and disease-free survival (DFS). Variables were subjected to a univariable analysis first and those with </w:t>
      </w:r>
      <w:r w:rsidR="00D36ACB" w:rsidRPr="00D51201">
        <w:rPr>
          <w:rFonts w:ascii="Book Antiqua" w:eastAsia="Book Antiqua" w:hAnsi="Book Antiqua" w:cs="Book Antiqua"/>
          <w:i/>
          <w:color w:val="000000"/>
        </w:rPr>
        <w:t>P</w:t>
      </w:r>
      <w:r w:rsidR="00D36ACB"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&lt;</w:t>
      </w:r>
      <w:r w:rsidR="00D36ACB"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0.2 were introduced into a multivariable model. Hazard ratios</w:t>
      </w:r>
      <w:r w:rsidR="00D36ACB"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and associated 95% confidence intervals</w:t>
      </w:r>
      <w:r w:rsidR="00D36ACB"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 xml:space="preserve">were calculated. A two-tailed </w:t>
      </w:r>
      <w:r w:rsidR="00D36ACB" w:rsidRPr="00D51201">
        <w:rPr>
          <w:rFonts w:ascii="Book Antiqua" w:eastAsia="Book Antiqua" w:hAnsi="Book Antiqua" w:cs="Book Antiqua"/>
          <w:i/>
          <w:color w:val="000000"/>
        </w:rPr>
        <w:t>P</w:t>
      </w:r>
      <w:r w:rsidRPr="00D51201">
        <w:rPr>
          <w:rFonts w:ascii="Book Antiqua" w:eastAsia="Book Antiqua" w:hAnsi="Book Antiqua" w:cs="Book Antiqua"/>
          <w:color w:val="000000"/>
        </w:rPr>
        <w:t xml:space="preserve"> value &lt;</w:t>
      </w:r>
      <w:r w:rsidR="00D36ACB"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 xml:space="preserve">0.05 was considered statistically significant. All statistical analyses were performed using the software package SPSS Statistics for Windows (version 25.0; SPSS Inc., Chicago, IL, </w:t>
      </w:r>
      <w:r w:rsidR="00D36ACB" w:rsidRPr="00D51201">
        <w:rPr>
          <w:rFonts w:ascii="Book Antiqua" w:eastAsia="Book Antiqua" w:hAnsi="Book Antiqua" w:cs="Book Antiqua"/>
          <w:color w:val="000000"/>
        </w:rPr>
        <w:t>United States</w:t>
      </w:r>
      <w:r w:rsidRPr="00D51201">
        <w:rPr>
          <w:rFonts w:ascii="Book Antiqua" w:eastAsia="Book Antiqua" w:hAnsi="Book Antiqua" w:cs="Book Antiqua"/>
          <w:color w:val="000000"/>
        </w:rPr>
        <w:t>).</w:t>
      </w:r>
    </w:p>
    <w:p w14:paraId="7B7C8F87" w14:textId="77777777" w:rsidR="00A77B3E" w:rsidRPr="00D51201" w:rsidRDefault="00A77B3E" w:rsidP="00603AB3">
      <w:pPr>
        <w:adjustRightInd w:val="0"/>
        <w:snapToGrid w:val="0"/>
        <w:spacing w:line="360" w:lineRule="auto"/>
        <w:jc w:val="both"/>
        <w:rPr>
          <w:rFonts w:ascii="Book Antiqua" w:hAnsi="Book Antiqua"/>
        </w:rPr>
      </w:pPr>
    </w:p>
    <w:p w14:paraId="749B1511" w14:textId="77777777" w:rsidR="00302095" w:rsidRPr="00D51201" w:rsidRDefault="00302095"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i/>
          <w:color w:val="000000"/>
        </w:rPr>
        <w:t>Research results</w:t>
      </w:r>
    </w:p>
    <w:p w14:paraId="7C842415" w14:textId="77777777" w:rsidR="00302095" w:rsidRPr="00D51201" w:rsidRDefault="00302095"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81 cases had PALN sampling and 17 (21%) were positive. Pathological N stage was significantly different between PALN+ and PALN- patients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0.005), while no difference was observed in an</w:t>
      </w:r>
      <w:r w:rsidR="00D36ACB" w:rsidRPr="00D51201">
        <w:rPr>
          <w:rFonts w:ascii="Book Antiqua" w:eastAsia="Book Antiqua" w:hAnsi="Book Antiqua" w:cs="Book Antiqua"/>
          <w:color w:val="000000"/>
        </w:rPr>
        <w:t>y of the other characteristics.</w:t>
      </w:r>
      <w:r w:rsidRPr="00D51201">
        <w:rPr>
          <w:rFonts w:ascii="Book Antiqua" w:eastAsia="Book Antiqua" w:hAnsi="Book Antiqua" w:cs="Book Antiqua"/>
          <w:color w:val="000000"/>
        </w:rPr>
        <w:t xml:space="preserve"> Preoperative imaging diagnosed PALN positivity in one case. OS and DFS were comparable between PALN+ and PALN- patients with lymph node positive disease (OS: 13.2 mo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18.8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0.161; DFS: 13 mo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16.4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0.179). No difference in OS or DFS was identified between </w:t>
      </w:r>
      <w:r w:rsidRPr="00D51201">
        <w:rPr>
          <w:rFonts w:ascii="Book Antiqua" w:eastAsia="Book Antiqua" w:hAnsi="Book Antiqua" w:cs="Book Antiqua"/>
          <w:color w:val="000000"/>
        </w:rPr>
        <w:lastRenderedPageBreak/>
        <w:t xml:space="preserve">PALN positive and negative patients when they received chemotherapy either in the neoadjuvant or in the adjuvant setting (OS: 23.4 mo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20.6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0.192; DFS: 23.9 mo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20.5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0.718). On the contrary, when patients did not receive chemotherapy, PALN disease had substantially shorter OS (5.5 mo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14.2 mo; </w:t>
      </w:r>
      <w:r w:rsidRPr="00D51201">
        <w:rPr>
          <w:rFonts w:ascii="Book Antiqua" w:eastAsia="Book Antiqua" w:hAnsi="Book Antiqua" w:cs="Book Antiqua"/>
          <w:i/>
          <w:iCs/>
          <w:color w:val="000000"/>
        </w:rPr>
        <w:t>P</w:t>
      </w:r>
      <w:r w:rsidRPr="00D51201">
        <w:rPr>
          <w:rFonts w:ascii="Book Antiqua" w:eastAsia="Book Antiqua" w:hAnsi="Book Antiqua" w:cs="Book Antiqua"/>
          <w:color w:val="000000"/>
        </w:rPr>
        <w:t xml:space="preserve"> = 0.015) and DFS (4.4 mo </w:t>
      </w:r>
      <w:r w:rsidRPr="00D51201">
        <w:rPr>
          <w:rFonts w:ascii="Book Antiqua" w:eastAsia="Book Antiqua" w:hAnsi="Book Antiqua" w:cs="Book Antiqua"/>
          <w:i/>
          <w:iCs/>
          <w:color w:val="000000"/>
        </w:rPr>
        <w:t>vs</w:t>
      </w:r>
      <w:r w:rsidRPr="00D51201">
        <w:rPr>
          <w:rFonts w:ascii="Book Antiqua" w:eastAsia="Book Antiqua" w:hAnsi="Book Antiqua" w:cs="Book Antiqua"/>
          <w:color w:val="000000"/>
        </w:rPr>
        <w:t xml:space="preserve"> 9.8 mo; </w:t>
      </w:r>
      <w:r w:rsidR="00D36ACB" w:rsidRPr="00D51201">
        <w:rPr>
          <w:rFonts w:ascii="Book Antiqua" w:eastAsia="Book Antiqua" w:hAnsi="Book Antiqua" w:cs="Book Antiqua"/>
          <w:i/>
          <w:color w:val="000000"/>
        </w:rPr>
        <w:t>P</w:t>
      </w:r>
      <w:r w:rsidR="00D36ACB"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&lt;</w:t>
      </w:r>
      <w:r w:rsidR="00D36ACB" w:rsidRPr="00D51201">
        <w:rPr>
          <w:rFonts w:ascii="Book Antiqua" w:eastAsia="Book Antiqua" w:hAnsi="Book Antiqua" w:cs="Book Antiqua"/>
          <w:color w:val="000000"/>
        </w:rPr>
        <w:t xml:space="preserve"> </w:t>
      </w:r>
      <w:r w:rsidRPr="00D51201">
        <w:rPr>
          <w:rFonts w:ascii="Book Antiqua" w:eastAsia="Book Antiqua" w:hAnsi="Book Antiqua" w:cs="Book Antiqua"/>
          <w:color w:val="000000"/>
        </w:rPr>
        <w:t>0.001). PALN involvement was not identified as an independent predictor for OS after multivariable analysis, while it was for DFS doubling the risk of recurrence.</w:t>
      </w:r>
    </w:p>
    <w:p w14:paraId="74694405" w14:textId="77777777" w:rsidR="00302095" w:rsidRPr="00D51201" w:rsidRDefault="00302095" w:rsidP="00603AB3">
      <w:pPr>
        <w:adjustRightInd w:val="0"/>
        <w:snapToGrid w:val="0"/>
        <w:spacing w:line="360" w:lineRule="auto"/>
        <w:jc w:val="both"/>
        <w:rPr>
          <w:rFonts w:ascii="Book Antiqua" w:hAnsi="Book Antiqua"/>
        </w:rPr>
      </w:pPr>
    </w:p>
    <w:p w14:paraId="0563608B" w14:textId="77777777" w:rsidR="00302095" w:rsidRPr="00D51201" w:rsidRDefault="00302095"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i/>
          <w:color w:val="000000"/>
        </w:rPr>
        <w:t>Research conclusions</w:t>
      </w:r>
    </w:p>
    <w:p w14:paraId="507B5730" w14:textId="77777777" w:rsidR="00302095" w:rsidRPr="00D51201" w:rsidRDefault="00302095"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This study suggests that PALN sampling is safe and should be routinely performed during resection of PDAC for accurate staging, even in the absence of involvement in the pre-operative imaging. PALN involvement does not affect OS when patients complete the indicated treatment pathway (surgery and chemotherapy) and occult involvement identified intra-operatively should not be considered as a contraindication to resection.</w:t>
      </w:r>
    </w:p>
    <w:p w14:paraId="26CCAA1A" w14:textId="77777777" w:rsidR="00302095" w:rsidRPr="00D51201" w:rsidRDefault="00302095" w:rsidP="00603AB3">
      <w:pPr>
        <w:adjustRightInd w:val="0"/>
        <w:snapToGrid w:val="0"/>
        <w:spacing w:line="360" w:lineRule="auto"/>
        <w:jc w:val="both"/>
        <w:rPr>
          <w:rFonts w:ascii="Book Antiqua" w:eastAsia="Book Antiqua" w:hAnsi="Book Antiqua" w:cs="Book Antiqua"/>
          <w:b/>
          <w:i/>
          <w:color w:val="000000"/>
        </w:rPr>
      </w:pPr>
    </w:p>
    <w:p w14:paraId="14A65CDF" w14:textId="77777777" w:rsidR="00302095" w:rsidRPr="00D51201" w:rsidRDefault="00302095"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i/>
          <w:color w:val="000000"/>
        </w:rPr>
        <w:t>Research perspectives</w:t>
      </w:r>
    </w:p>
    <w:p w14:paraId="4D459E0B" w14:textId="77777777" w:rsidR="00302095" w:rsidRPr="00D51201" w:rsidRDefault="00302095"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Future studies should focus on improving pre-operative diagnosis and on the value of NAT for these cases.</w:t>
      </w:r>
    </w:p>
    <w:p w14:paraId="02CCED55" w14:textId="77777777" w:rsidR="00302095" w:rsidRPr="00D51201" w:rsidRDefault="00302095" w:rsidP="00603AB3">
      <w:pPr>
        <w:adjustRightInd w:val="0"/>
        <w:snapToGrid w:val="0"/>
        <w:spacing w:line="360" w:lineRule="auto"/>
        <w:jc w:val="both"/>
        <w:rPr>
          <w:rFonts w:ascii="Book Antiqua" w:hAnsi="Book Antiqua"/>
        </w:rPr>
      </w:pPr>
    </w:p>
    <w:p w14:paraId="0AB9877C"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t>REFERENCES</w:t>
      </w:r>
    </w:p>
    <w:p w14:paraId="0A8F5CF8"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1 </w:t>
      </w:r>
      <w:r w:rsidRPr="00D51201">
        <w:rPr>
          <w:rFonts w:ascii="Book Antiqua" w:hAnsi="Book Antiqua"/>
          <w:b/>
          <w:bCs/>
        </w:rPr>
        <w:t>Hartwig W</w:t>
      </w:r>
      <w:r w:rsidRPr="00D51201">
        <w:rPr>
          <w:rFonts w:ascii="Book Antiqua" w:hAnsi="Book Antiqua"/>
        </w:rPr>
        <w:t xml:space="preserve">, Werner J, Jäger D, Debus J, Büchler MW. Improvement of surgical results for pancreatic cancer. </w:t>
      </w:r>
      <w:r w:rsidRPr="00D51201">
        <w:rPr>
          <w:rFonts w:ascii="Book Antiqua" w:hAnsi="Book Antiqua"/>
          <w:i/>
          <w:iCs/>
        </w:rPr>
        <w:t>Lancet Oncol</w:t>
      </w:r>
      <w:r w:rsidRPr="00D51201">
        <w:rPr>
          <w:rFonts w:ascii="Book Antiqua" w:hAnsi="Book Antiqua"/>
        </w:rPr>
        <w:t xml:space="preserve"> 2013; </w:t>
      </w:r>
      <w:r w:rsidRPr="00D51201">
        <w:rPr>
          <w:rFonts w:ascii="Book Antiqua" w:hAnsi="Book Antiqua"/>
          <w:b/>
          <w:bCs/>
        </w:rPr>
        <w:t>14</w:t>
      </w:r>
      <w:r w:rsidRPr="00D51201">
        <w:rPr>
          <w:rFonts w:ascii="Book Antiqua" w:hAnsi="Book Antiqua"/>
        </w:rPr>
        <w:t>: e476-e485 [PMID: 24079875 DOI: 10.1016/S1470-2045(13)70172-4]</w:t>
      </w:r>
    </w:p>
    <w:p w14:paraId="38EE540D"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2 </w:t>
      </w:r>
      <w:r w:rsidRPr="00D51201">
        <w:rPr>
          <w:rFonts w:ascii="Book Antiqua" w:hAnsi="Book Antiqua"/>
          <w:b/>
          <w:bCs/>
        </w:rPr>
        <w:t>Allemani C</w:t>
      </w:r>
      <w:r w:rsidRPr="00D51201">
        <w:rPr>
          <w:rFonts w:ascii="Book Antiqua" w:hAnsi="Book Antiqua"/>
        </w:rPr>
        <w:t>, Matsuda T, Di Carlo V, Harewood R, Matz M, Nikšić M, Bonaventure A, Valkov M, Johnson CJ, Estève J, Ogunbiyi OJ, Azevedo E Silva G, Chen WQ, Eser S, Engholm G, Stiller CA, Monnereau A, Woods RR, Visser O, Lim GH, Aitken J, Weir HK, Coleman MP; CONCORD Working Group. Global surveillance of trends in cancer survival 2000-14 (CONCORD-3): analysis of individual records for 37</w:t>
      </w:r>
      <w:r w:rsidRPr="00D51201">
        <w:t> </w:t>
      </w:r>
      <w:r w:rsidRPr="00D51201">
        <w:rPr>
          <w:rFonts w:ascii="Book Antiqua" w:hAnsi="Book Antiqua"/>
        </w:rPr>
        <w:t>513</w:t>
      </w:r>
      <w:r w:rsidRPr="00D51201">
        <w:t> </w:t>
      </w:r>
      <w:r w:rsidRPr="00D51201">
        <w:rPr>
          <w:rFonts w:ascii="Book Antiqua" w:hAnsi="Book Antiqua"/>
        </w:rPr>
        <w:t xml:space="preserve">025 patients </w:t>
      </w:r>
      <w:r w:rsidRPr="00D51201">
        <w:rPr>
          <w:rFonts w:ascii="Book Antiqua" w:hAnsi="Book Antiqua"/>
        </w:rPr>
        <w:lastRenderedPageBreak/>
        <w:t xml:space="preserve">diagnosed with one of 18 cancers from 322 population-based registries in 71 countries. </w:t>
      </w:r>
      <w:r w:rsidRPr="00D51201">
        <w:rPr>
          <w:rFonts w:ascii="Book Antiqua" w:hAnsi="Book Antiqua"/>
          <w:i/>
          <w:iCs/>
        </w:rPr>
        <w:t>Lancet</w:t>
      </w:r>
      <w:r w:rsidRPr="00D51201">
        <w:rPr>
          <w:rFonts w:ascii="Book Antiqua" w:hAnsi="Book Antiqua"/>
        </w:rPr>
        <w:t xml:space="preserve"> 2018; </w:t>
      </w:r>
      <w:r w:rsidRPr="00D51201">
        <w:rPr>
          <w:rFonts w:ascii="Book Antiqua" w:hAnsi="Book Antiqua"/>
          <w:b/>
          <w:bCs/>
        </w:rPr>
        <w:t>391</w:t>
      </w:r>
      <w:r w:rsidRPr="00D51201">
        <w:rPr>
          <w:rFonts w:ascii="Book Antiqua" w:hAnsi="Book Antiqua"/>
        </w:rPr>
        <w:t>: 1023-1075 [PMID: 29395269 DOI: 10.1016/S0140-6736(17)33326-3]</w:t>
      </w:r>
    </w:p>
    <w:p w14:paraId="2A1B49A0"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3 </w:t>
      </w:r>
      <w:r w:rsidRPr="00D51201">
        <w:rPr>
          <w:rFonts w:ascii="Book Antiqua" w:hAnsi="Book Antiqua"/>
          <w:b/>
          <w:bCs/>
        </w:rPr>
        <w:t>Slidell MB</w:t>
      </w:r>
      <w:r w:rsidRPr="00D51201">
        <w:rPr>
          <w:rFonts w:ascii="Book Antiqua" w:hAnsi="Book Antiqua"/>
        </w:rPr>
        <w:t xml:space="preserve">, Chang DC, Cameron JL, Wolfgang C, Herman JM, Schulick RD, Choti MA, Pawlik TM. Impact of total lymph node count and lymph node ratio on staging and survival after pancreatectomy for pancreatic adenocarcinoma: a large, population-based analysis. </w:t>
      </w:r>
      <w:r w:rsidRPr="00D51201">
        <w:rPr>
          <w:rFonts w:ascii="Book Antiqua" w:hAnsi="Book Antiqua"/>
          <w:i/>
          <w:iCs/>
        </w:rPr>
        <w:t>Ann Surg Oncol</w:t>
      </w:r>
      <w:r w:rsidRPr="00D51201">
        <w:rPr>
          <w:rFonts w:ascii="Book Antiqua" w:hAnsi="Book Antiqua"/>
        </w:rPr>
        <w:t xml:space="preserve"> 2008; </w:t>
      </w:r>
      <w:r w:rsidRPr="00D51201">
        <w:rPr>
          <w:rFonts w:ascii="Book Antiqua" w:hAnsi="Book Antiqua"/>
          <w:b/>
          <w:bCs/>
        </w:rPr>
        <w:t>15</w:t>
      </w:r>
      <w:r w:rsidRPr="00D51201">
        <w:rPr>
          <w:rFonts w:ascii="Book Antiqua" w:hAnsi="Book Antiqua"/>
        </w:rPr>
        <w:t>: 165-174 [PMID: 17896141 DOI: 10.1245/s10434-007-9587-1]</w:t>
      </w:r>
    </w:p>
    <w:p w14:paraId="73E435F8"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4 </w:t>
      </w:r>
      <w:r w:rsidRPr="00D51201">
        <w:rPr>
          <w:rFonts w:ascii="Book Antiqua" w:hAnsi="Book Antiqua"/>
          <w:b/>
          <w:bCs/>
        </w:rPr>
        <w:t>Malleo G</w:t>
      </w:r>
      <w:r w:rsidRPr="00D51201">
        <w:rPr>
          <w:rFonts w:ascii="Book Antiqua" w:hAnsi="Book Antiqua"/>
        </w:rPr>
        <w:t xml:space="preserve">, Maggino L, Capelli P, Gulino F, Segattini S, Scarpa A, Bassi C, Butturini G, Salvia R. Reappraisal of Nodal Staging and Study of Lymph Node Station Involvement in Pancreaticoduodenectomy with the Standard International Study Group of Pancreatic Surgery Definition of Lymphadenectomy for Cancer. </w:t>
      </w:r>
      <w:r w:rsidRPr="00D51201">
        <w:rPr>
          <w:rFonts w:ascii="Book Antiqua" w:hAnsi="Book Antiqua"/>
          <w:i/>
          <w:iCs/>
        </w:rPr>
        <w:t>J Am Coll Surg</w:t>
      </w:r>
      <w:r w:rsidRPr="00D51201">
        <w:rPr>
          <w:rFonts w:ascii="Book Antiqua" w:hAnsi="Book Antiqua"/>
        </w:rPr>
        <w:t xml:space="preserve"> 2015; </w:t>
      </w:r>
      <w:r w:rsidRPr="00D51201">
        <w:rPr>
          <w:rFonts w:ascii="Book Antiqua" w:hAnsi="Book Antiqua"/>
          <w:b/>
          <w:bCs/>
        </w:rPr>
        <w:t>221</w:t>
      </w:r>
      <w:r w:rsidRPr="00D51201">
        <w:rPr>
          <w:rFonts w:ascii="Book Antiqua" w:hAnsi="Book Antiqua"/>
        </w:rPr>
        <w:t>: 367-</w:t>
      </w:r>
      <w:proofErr w:type="gramStart"/>
      <w:r w:rsidRPr="00D51201">
        <w:rPr>
          <w:rFonts w:ascii="Book Antiqua" w:hAnsi="Book Antiqua"/>
        </w:rPr>
        <w:t>79.e</w:t>
      </w:r>
      <w:proofErr w:type="gramEnd"/>
      <w:r w:rsidRPr="00D51201">
        <w:rPr>
          <w:rFonts w:ascii="Book Antiqua" w:hAnsi="Book Antiqua"/>
        </w:rPr>
        <w:t>4 [PMID: 26081176 DOI: 10.1016/j.jamcollsurg.2015.02.019]</w:t>
      </w:r>
    </w:p>
    <w:p w14:paraId="14F769CD"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5 </w:t>
      </w:r>
      <w:r w:rsidRPr="00D51201">
        <w:rPr>
          <w:rFonts w:ascii="Book Antiqua" w:hAnsi="Book Antiqua"/>
          <w:b/>
          <w:bCs/>
        </w:rPr>
        <w:t>Chun YS</w:t>
      </w:r>
      <w:r w:rsidRPr="00D51201">
        <w:rPr>
          <w:rFonts w:ascii="Book Antiqua" w:hAnsi="Book Antiqua"/>
        </w:rPr>
        <w:t xml:space="preserve">, Pawlik TM, Vauthey JN. 8th Edition of the AJCC Cancer Staging Manual: Pancreas and Hepatobiliary Cancers. </w:t>
      </w:r>
      <w:r w:rsidRPr="00D51201">
        <w:rPr>
          <w:rFonts w:ascii="Book Antiqua" w:hAnsi="Book Antiqua"/>
          <w:i/>
          <w:iCs/>
        </w:rPr>
        <w:t>Ann Surg Oncol</w:t>
      </w:r>
      <w:r w:rsidRPr="00D51201">
        <w:rPr>
          <w:rFonts w:ascii="Book Antiqua" w:hAnsi="Book Antiqua"/>
        </w:rPr>
        <w:t xml:space="preserve"> 2018; </w:t>
      </w:r>
      <w:r w:rsidRPr="00D51201">
        <w:rPr>
          <w:rFonts w:ascii="Book Antiqua" w:hAnsi="Book Antiqua"/>
          <w:b/>
          <w:bCs/>
        </w:rPr>
        <w:t>25</w:t>
      </w:r>
      <w:r w:rsidRPr="00D51201">
        <w:rPr>
          <w:rFonts w:ascii="Book Antiqua" w:hAnsi="Book Antiqua"/>
        </w:rPr>
        <w:t>: 845-847 [PMID: 28752469 DOI: 10.1245/s10434-017-6025-x]</w:t>
      </w:r>
    </w:p>
    <w:p w14:paraId="72A296F1"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6 </w:t>
      </w:r>
      <w:r w:rsidRPr="00D51201">
        <w:rPr>
          <w:rFonts w:ascii="Book Antiqua" w:hAnsi="Book Antiqua"/>
          <w:b/>
          <w:bCs/>
        </w:rPr>
        <w:t>Hempel S</w:t>
      </w:r>
      <w:r w:rsidRPr="00D51201">
        <w:rPr>
          <w:rFonts w:ascii="Book Antiqua" w:hAnsi="Book Antiqua"/>
        </w:rPr>
        <w:t xml:space="preserve">, Plodeck V, Mierke F, Distler M, Aust DE, Saeger HD, Weitz J, Welsch T. Para-aortic lymph node metastases in pancreatic cancer should not be considered a watershed for curative resection. </w:t>
      </w:r>
      <w:r w:rsidRPr="00D51201">
        <w:rPr>
          <w:rFonts w:ascii="Book Antiqua" w:hAnsi="Book Antiqua"/>
          <w:i/>
          <w:iCs/>
        </w:rPr>
        <w:t>Sci Rep</w:t>
      </w:r>
      <w:r w:rsidRPr="00D51201">
        <w:rPr>
          <w:rFonts w:ascii="Book Antiqua" w:hAnsi="Book Antiqua"/>
        </w:rPr>
        <w:t xml:space="preserve"> 2017; </w:t>
      </w:r>
      <w:r w:rsidRPr="00D51201">
        <w:rPr>
          <w:rFonts w:ascii="Book Antiqua" w:hAnsi="Book Antiqua"/>
          <w:b/>
          <w:bCs/>
        </w:rPr>
        <w:t>7</w:t>
      </w:r>
      <w:r w:rsidRPr="00D51201">
        <w:rPr>
          <w:rFonts w:ascii="Book Antiqua" w:hAnsi="Book Antiqua"/>
        </w:rPr>
        <w:t>: 7688 [PMID: 28794500 DOI: 10.1038/s41598-017-08165-w]</w:t>
      </w:r>
    </w:p>
    <w:p w14:paraId="6285819A"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7 </w:t>
      </w:r>
      <w:r w:rsidRPr="00D51201">
        <w:rPr>
          <w:rFonts w:ascii="Book Antiqua" w:hAnsi="Book Antiqua"/>
          <w:b/>
          <w:bCs/>
        </w:rPr>
        <w:t>Kayahara M</w:t>
      </w:r>
      <w:r w:rsidRPr="00D51201">
        <w:rPr>
          <w:rFonts w:ascii="Book Antiqua" w:hAnsi="Book Antiqua"/>
        </w:rPr>
        <w:t xml:space="preserve">, Nagakawa T, Ohta T, Kitagawa H, Ueno K, Tajima H, Elnemr A, Miwa K. Analysis of paraaortic lymph node involvement in pancreatic carcinoma: a significant indication for surgery? </w:t>
      </w:r>
      <w:r w:rsidRPr="00D51201">
        <w:rPr>
          <w:rFonts w:ascii="Book Antiqua" w:hAnsi="Book Antiqua"/>
          <w:i/>
          <w:iCs/>
        </w:rPr>
        <w:t>Cancer</w:t>
      </w:r>
      <w:r w:rsidRPr="00D51201">
        <w:rPr>
          <w:rFonts w:ascii="Book Antiqua" w:hAnsi="Book Antiqua"/>
        </w:rPr>
        <w:t xml:space="preserve"> 1999; </w:t>
      </w:r>
      <w:r w:rsidRPr="00D51201">
        <w:rPr>
          <w:rFonts w:ascii="Book Antiqua" w:hAnsi="Book Antiqua"/>
          <w:b/>
          <w:bCs/>
        </w:rPr>
        <w:t>85</w:t>
      </w:r>
      <w:r w:rsidRPr="00D51201">
        <w:rPr>
          <w:rFonts w:ascii="Book Antiqua" w:hAnsi="Book Antiqua"/>
        </w:rPr>
        <w:t>: 583-590 [PMID: 10091731 DOI: 10.1002/(sici)1097-0142(19990201)85:3&lt;</w:t>
      </w:r>
      <w:proofErr w:type="gramStart"/>
      <w:r w:rsidRPr="00D51201">
        <w:rPr>
          <w:rFonts w:ascii="Book Antiqua" w:hAnsi="Book Antiqua"/>
        </w:rPr>
        <w:t>583::</w:t>
      </w:r>
      <w:proofErr w:type="gramEnd"/>
      <w:r w:rsidRPr="00D51201">
        <w:rPr>
          <w:rFonts w:ascii="Book Antiqua" w:hAnsi="Book Antiqua"/>
        </w:rPr>
        <w:t>aid-cncr8&gt;3.0.co;2-j]</w:t>
      </w:r>
    </w:p>
    <w:p w14:paraId="36C9DA12"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8 </w:t>
      </w:r>
      <w:r w:rsidRPr="00D51201">
        <w:rPr>
          <w:rFonts w:ascii="Book Antiqua" w:hAnsi="Book Antiqua"/>
          <w:b/>
          <w:bCs/>
        </w:rPr>
        <w:t>Doi R</w:t>
      </w:r>
      <w:r w:rsidRPr="00D51201">
        <w:rPr>
          <w:rFonts w:ascii="Book Antiqua" w:hAnsi="Book Antiqua"/>
        </w:rPr>
        <w:t xml:space="preserve">, Kami K, Ito D, Fujimoto K, Kawaguchi Y, Wada M, Kogire M, Hosotani R, Imamura M, Uemoto S. Prognostic implication of para-aortic lymph node metastasis in resectable pancreatic cancer. </w:t>
      </w:r>
      <w:r w:rsidRPr="00D51201">
        <w:rPr>
          <w:rFonts w:ascii="Book Antiqua" w:hAnsi="Book Antiqua"/>
          <w:i/>
          <w:iCs/>
        </w:rPr>
        <w:t>World J Surg</w:t>
      </w:r>
      <w:r w:rsidRPr="00D51201">
        <w:rPr>
          <w:rFonts w:ascii="Book Antiqua" w:hAnsi="Book Antiqua"/>
        </w:rPr>
        <w:t xml:space="preserve"> 2007; </w:t>
      </w:r>
      <w:r w:rsidRPr="00D51201">
        <w:rPr>
          <w:rFonts w:ascii="Book Antiqua" w:hAnsi="Book Antiqua"/>
          <w:b/>
          <w:bCs/>
        </w:rPr>
        <w:t>31</w:t>
      </w:r>
      <w:r w:rsidRPr="00D51201">
        <w:rPr>
          <w:rFonts w:ascii="Book Antiqua" w:hAnsi="Book Antiqua"/>
        </w:rPr>
        <w:t>: 147-154 [PMID: 17171496 DOI: 10.1007/s00268-005-0730-5]</w:t>
      </w:r>
    </w:p>
    <w:p w14:paraId="78BFB84E"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9 </w:t>
      </w:r>
      <w:r w:rsidRPr="00D51201">
        <w:rPr>
          <w:rFonts w:ascii="Book Antiqua" w:hAnsi="Book Antiqua"/>
          <w:b/>
          <w:bCs/>
        </w:rPr>
        <w:t>Agalianos C</w:t>
      </w:r>
      <w:r w:rsidRPr="00D51201">
        <w:rPr>
          <w:rFonts w:ascii="Book Antiqua" w:hAnsi="Book Antiqua"/>
        </w:rPr>
        <w:t>, Gouvas N, Papaparaskeva K, Dervenis C. Positive para-aortic lymph nodes following pancreatectomy for pancreatic cancer. Systematic review and meta-</w:t>
      </w:r>
      <w:r w:rsidRPr="00D51201">
        <w:rPr>
          <w:rFonts w:ascii="Book Antiqua" w:hAnsi="Book Antiqua"/>
        </w:rPr>
        <w:lastRenderedPageBreak/>
        <w:t xml:space="preserve">analysis of impact on short term survival and association with clinicopathologic features. </w:t>
      </w:r>
      <w:r w:rsidRPr="00D51201">
        <w:rPr>
          <w:rFonts w:ascii="Book Antiqua" w:hAnsi="Book Antiqua"/>
          <w:i/>
          <w:iCs/>
        </w:rPr>
        <w:t>HPB (Oxford)</w:t>
      </w:r>
      <w:r w:rsidRPr="00D51201">
        <w:rPr>
          <w:rFonts w:ascii="Book Antiqua" w:hAnsi="Book Antiqua"/>
        </w:rPr>
        <w:t xml:space="preserve"> 2016; </w:t>
      </w:r>
      <w:r w:rsidRPr="00D51201">
        <w:rPr>
          <w:rFonts w:ascii="Book Antiqua" w:hAnsi="Book Antiqua"/>
          <w:b/>
          <w:bCs/>
        </w:rPr>
        <w:t>18</w:t>
      </w:r>
      <w:r w:rsidRPr="00D51201">
        <w:rPr>
          <w:rFonts w:ascii="Book Antiqua" w:hAnsi="Book Antiqua"/>
        </w:rPr>
        <w:t>: 633-641 [PMID: 27485057 DOI: 10.1016/j.hpb.2016.04.007]</w:t>
      </w:r>
    </w:p>
    <w:p w14:paraId="6E0E8B62"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10 </w:t>
      </w:r>
      <w:r w:rsidRPr="00D51201">
        <w:rPr>
          <w:rFonts w:ascii="Book Antiqua" w:hAnsi="Book Antiqua"/>
          <w:b/>
          <w:bCs/>
        </w:rPr>
        <w:t>Paiella S</w:t>
      </w:r>
      <w:r w:rsidRPr="00D51201">
        <w:rPr>
          <w:rFonts w:ascii="Book Antiqua" w:hAnsi="Book Antiqua"/>
        </w:rPr>
        <w:t xml:space="preserve">, Sandini M, Gianotti L, Butturini G, Salvia R, Bassi C. The prognostic impact of para-aortic lymph node metastasis in pancreatic cancer: A systematic review and meta-analysis. </w:t>
      </w:r>
      <w:r w:rsidRPr="00D51201">
        <w:rPr>
          <w:rFonts w:ascii="Book Antiqua" w:hAnsi="Book Antiqua"/>
          <w:i/>
          <w:iCs/>
        </w:rPr>
        <w:t>Eur J Surg Oncol</w:t>
      </w:r>
      <w:r w:rsidRPr="00D51201">
        <w:rPr>
          <w:rFonts w:ascii="Book Antiqua" w:hAnsi="Book Antiqua"/>
        </w:rPr>
        <w:t xml:space="preserve"> 2016; </w:t>
      </w:r>
      <w:r w:rsidRPr="00D51201">
        <w:rPr>
          <w:rFonts w:ascii="Book Antiqua" w:hAnsi="Book Antiqua"/>
          <w:b/>
          <w:bCs/>
        </w:rPr>
        <w:t>42</w:t>
      </w:r>
      <w:r w:rsidRPr="00D51201">
        <w:rPr>
          <w:rFonts w:ascii="Book Antiqua" w:hAnsi="Book Antiqua"/>
        </w:rPr>
        <w:t>: 616-624 [PMID: 26916137 DOI: 10.1016/j.ejso.2016.02.003]</w:t>
      </w:r>
    </w:p>
    <w:p w14:paraId="3F0622F7"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11 </w:t>
      </w:r>
      <w:r w:rsidRPr="00D51201">
        <w:rPr>
          <w:rFonts w:ascii="Book Antiqua" w:hAnsi="Book Antiqua"/>
          <w:b/>
          <w:bCs/>
        </w:rPr>
        <w:t>Tol JA</w:t>
      </w:r>
      <w:r w:rsidRPr="00D51201">
        <w:rPr>
          <w:rFonts w:ascii="Book Antiqua" w:hAnsi="Book Antiqua"/>
        </w:rPr>
        <w:t xml:space="preserve">, Gouma DJ, Bassi C, Dervenis C, Montorsi M, Adham M, Andrén-Sandberg A, Asbun HJ, Bockhorn M, Büchler MW, Conlon KC, Fernández-Cruz L, Fingerhut A, Friess H, Hartwig W, Izbicki JR, Lillemoe KD, Milicevic MN, Neoptolemos JP, Shrikhande SV, Vollmer CM, Yeo CJ, Charnley RM; International Study Group on Pancreatic Surgery. Definition of a standard lymphadenectomy in surgery for pancreatic ductal adenocarcinoma: a consensus statement by the International Study Group on Pancreatic Surgery (ISGPS). </w:t>
      </w:r>
      <w:r w:rsidRPr="00D51201">
        <w:rPr>
          <w:rFonts w:ascii="Book Antiqua" w:hAnsi="Book Antiqua"/>
          <w:i/>
          <w:iCs/>
        </w:rPr>
        <w:t>Surgery</w:t>
      </w:r>
      <w:r w:rsidRPr="00D51201">
        <w:rPr>
          <w:rFonts w:ascii="Book Antiqua" w:hAnsi="Book Antiqua"/>
        </w:rPr>
        <w:t xml:space="preserve"> 2014; </w:t>
      </w:r>
      <w:r w:rsidRPr="00D51201">
        <w:rPr>
          <w:rFonts w:ascii="Book Antiqua" w:hAnsi="Book Antiqua"/>
          <w:b/>
          <w:bCs/>
        </w:rPr>
        <w:t>156</w:t>
      </w:r>
      <w:r w:rsidRPr="00D51201">
        <w:rPr>
          <w:rFonts w:ascii="Book Antiqua" w:hAnsi="Book Antiqua"/>
        </w:rPr>
        <w:t>: 591-600 [PMID: 25061003 DOI: 10.1016/j.surg.2014.06.016]</w:t>
      </w:r>
    </w:p>
    <w:p w14:paraId="69783B04"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12 </w:t>
      </w:r>
      <w:r w:rsidRPr="00D51201">
        <w:rPr>
          <w:rFonts w:ascii="Book Antiqua" w:hAnsi="Book Antiqua"/>
          <w:b/>
          <w:bCs/>
        </w:rPr>
        <w:t>von Elm E</w:t>
      </w:r>
      <w:r w:rsidRPr="00D51201">
        <w:rPr>
          <w:rFonts w:ascii="Book Antiqua" w:hAnsi="Book Antiqua"/>
        </w:rPr>
        <w:t xml:space="preserve">, Altman DG, Egger M, Pocock SJ, Gøtzsche PC, Vandenbroucke JP; STROBE Initiative. The Strengthening the Reporting of Observational Studies in Epidemiology (STROBE) statement: guidelines for reporting observational studies. </w:t>
      </w:r>
      <w:r w:rsidRPr="00D51201">
        <w:rPr>
          <w:rFonts w:ascii="Book Antiqua" w:hAnsi="Book Antiqua"/>
          <w:i/>
          <w:iCs/>
        </w:rPr>
        <w:t>Lancet</w:t>
      </w:r>
      <w:r w:rsidRPr="00D51201">
        <w:rPr>
          <w:rFonts w:ascii="Book Antiqua" w:hAnsi="Book Antiqua"/>
        </w:rPr>
        <w:t xml:space="preserve"> 2007; </w:t>
      </w:r>
      <w:r w:rsidRPr="00D51201">
        <w:rPr>
          <w:rFonts w:ascii="Book Antiqua" w:hAnsi="Book Antiqua"/>
          <w:b/>
          <w:bCs/>
        </w:rPr>
        <w:t>370</w:t>
      </w:r>
      <w:r w:rsidRPr="00D51201">
        <w:rPr>
          <w:rFonts w:ascii="Book Antiqua" w:hAnsi="Book Antiqua"/>
        </w:rPr>
        <w:t>: 1453-1457 [PMID: 18064739 DOI: 10.1016/S0140-6736(07)61602-X]</w:t>
      </w:r>
    </w:p>
    <w:p w14:paraId="447CE7C3" w14:textId="77777777" w:rsidR="00974909" w:rsidRPr="00D51201" w:rsidRDefault="00974909" w:rsidP="00603AB3">
      <w:pPr>
        <w:adjustRightInd w:val="0"/>
        <w:snapToGrid w:val="0"/>
        <w:spacing w:line="360" w:lineRule="auto"/>
        <w:jc w:val="both"/>
        <w:rPr>
          <w:rFonts w:ascii="Book Antiqua" w:hAnsi="Book Antiqua"/>
        </w:rPr>
      </w:pPr>
      <w:r w:rsidRPr="00D51201">
        <w:rPr>
          <w:rFonts w:ascii="Book Antiqua" w:hAnsi="Book Antiqua"/>
        </w:rPr>
        <w:t xml:space="preserve">13 </w:t>
      </w:r>
      <w:r w:rsidR="003D5A3B" w:rsidRPr="00D51201">
        <w:rPr>
          <w:rFonts w:ascii="Book Antiqua" w:hAnsi="Book Antiqua"/>
          <w:b/>
        </w:rPr>
        <w:t>NCCN</w:t>
      </w:r>
      <w:r w:rsidR="003D5A3B" w:rsidRPr="00D51201">
        <w:rPr>
          <w:rFonts w:ascii="Book Antiqua" w:hAnsi="Book Antiqua"/>
        </w:rPr>
        <w:t xml:space="preserve">. </w:t>
      </w:r>
      <w:r w:rsidRPr="00D51201">
        <w:rPr>
          <w:rFonts w:ascii="Book Antiqua" w:hAnsi="Book Antiqua"/>
        </w:rPr>
        <w:t>C</w:t>
      </w:r>
      <w:r w:rsidRPr="00D51201">
        <w:rPr>
          <w:rFonts w:ascii="Book Antiqua" w:hAnsi="Book Antiqua" w:cstheme="minorHAnsi"/>
          <w:color w:val="000000" w:themeColor="text1"/>
        </w:rPr>
        <w:t>ancer Network Clinical Practice Guidelines in Oncology: Pancreatic adenocarcinoma. Version 2.2021.</w:t>
      </w:r>
      <w:r w:rsidRPr="00D51201">
        <w:rPr>
          <w:rFonts w:ascii="Book Antiqua" w:hAnsi="Book Antiqua" w:cstheme="minorHAnsi"/>
        </w:rPr>
        <w:t xml:space="preserve"> Available from: </w:t>
      </w:r>
      <w:hyperlink r:id="rId10" w:history="1">
        <w:r w:rsidR="003D5A3B" w:rsidRPr="00D51201">
          <w:rPr>
            <w:rStyle w:val="a8"/>
            <w:rFonts w:ascii="Book Antiqua" w:hAnsi="Book Antiqua" w:cstheme="minorHAnsi"/>
            <w:color w:val="auto"/>
            <w:u w:val="none"/>
          </w:rPr>
          <w:t>https://www.nccn.org/guidelines/guidelines-detail?category=1&amp;id=1455</w:t>
        </w:r>
      </w:hyperlink>
      <w:r w:rsidR="003D5A3B" w:rsidRPr="00D51201">
        <w:rPr>
          <w:rFonts w:ascii="Book Antiqua" w:hAnsi="Book Antiqua" w:cstheme="minorHAnsi"/>
        </w:rPr>
        <w:t xml:space="preserve"> </w:t>
      </w:r>
    </w:p>
    <w:p w14:paraId="06D3FF7B"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14 </w:t>
      </w:r>
      <w:r w:rsidRPr="00D51201">
        <w:rPr>
          <w:rFonts w:ascii="Book Antiqua" w:hAnsi="Book Antiqua"/>
          <w:b/>
          <w:bCs/>
        </w:rPr>
        <w:t>Roberts KJ</w:t>
      </w:r>
      <w:r w:rsidRPr="00D51201">
        <w:rPr>
          <w:rFonts w:ascii="Book Antiqua" w:hAnsi="Book Antiqua"/>
        </w:rPr>
        <w:t xml:space="preserve">, Prasad P, Steele Y, Marcon F, Faulkner T, Cilliers H, Dasari B, Abradelo M, Marudanayagam R, Sutcliffe RP, Muiesan P, Mirza DF, Isaac J. A reduced time to surgery within a 'fast track' pathway for periampullary malignancy is associated with an increased rate of pancreatoduodenectomy. </w:t>
      </w:r>
      <w:r w:rsidRPr="00D51201">
        <w:rPr>
          <w:rFonts w:ascii="Book Antiqua" w:hAnsi="Book Antiqua"/>
          <w:i/>
          <w:iCs/>
        </w:rPr>
        <w:t>HPB (Oxford)</w:t>
      </w:r>
      <w:r w:rsidRPr="00D51201">
        <w:rPr>
          <w:rFonts w:ascii="Book Antiqua" w:hAnsi="Book Antiqua"/>
        </w:rPr>
        <w:t xml:space="preserve"> 2017; </w:t>
      </w:r>
      <w:r w:rsidRPr="00D51201">
        <w:rPr>
          <w:rFonts w:ascii="Book Antiqua" w:hAnsi="Book Antiqua"/>
          <w:b/>
          <w:bCs/>
        </w:rPr>
        <w:t>19</w:t>
      </w:r>
      <w:r w:rsidRPr="00D51201">
        <w:rPr>
          <w:rFonts w:ascii="Book Antiqua" w:hAnsi="Book Antiqua"/>
        </w:rPr>
        <w:t>: 713-720 [PMID: 28566239 DOI: 10.1016/j.hpb.2017.04.011]</w:t>
      </w:r>
    </w:p>
    <w:p w14:paraId="0DFCCAC8"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15 </w:t>
      </w:r>
      <w:r w:rsidRPr="00D51201">
        <w:rPr>
          <w:rFonts w:ascii="Book Antiqua" w:hAnsi="Book Antiqua"/>
          <w:b/>
        </w:rPr>
        <w:t>NICE</w:t>
      </w:r>
      <w:r w:rsidRPr="00D51201">
        <w:rPr>
          <w:rFonts w:ascii="Book Antiqua" w:hAnsi="Book Antiqua"/>
        </w:rPr>
        <w:t>. Pancreatic cancer in adults: diagnosis and ancreatic cancer in adults: diagnosis and management management NICE guideline. 2018</w:t>
      </w:r>
      <w:r w:rsidR="00206174" w:rsidRPr="00D51201">
        <w:rPr>
          <w:rFonts w:ascii="Book Antiqua" w:hAnsi="Book Antiqua"/>
        </w:rPr>
        <w:t>.</w:t>
      </w:r>
      <w:r w:rsidR="00DE446B" w:rsidRPr="00D51201">
        <w:rPr>
          <w:rFonts w:ascii="Book Antiqua" w:hAnsi="Book Antiqua"/>
        </w:rPr>
        <w:t xml:space="preserve"> </w:t>
      </w:r>
      <w:r w:rsidRPr="00D51201">
        <w:rPr>
          <w:rFonts w:ascii="Book Antiqua" w:hAnsi="Book Antiqua"/>
        </w:rPr>
        <w:t xml:space="preserve">Available from: </w:t>
      </w:r>
      <w:hyperlink r:id="rId11" w:history="1">
        <w:r w:rsidR="00206174" w:rsidRPr="00D51201">
          <w:rPr>
            <w:rStyle w:val="a8"/>
            <w:rFonts w:ascii="Book Antiqua" w:hAnsi="Book Antiqua"/>
          </w:rPr>
          <w:t>https://www.nice.org.uk/guidance/ng85/resources/pancreatic-cancer-in-adults-diagnosis-and-management-pdf-1837696373701</w:t>
        </w:r>
      </w:hyperlink>
      <w:r w:rsidR="00206174" w:rsidRPr="00D51201">
        <w:rPr>
          <w:rFonts w:ascii="Book Antiqua" w:hAnsi="Book Antiqua"/>
        </w:rPr>
        <w:t xml:space="preserve"> </w:t>
      </w:r>
    </w:p>
    <w:p w14:paraId="35FC1DDE" w14:textId="77777777" w:rsidR="00CB5277" w:rsidRPr="00D51201" w:rsidRDefault="00157899" w:rsidP="00603AB3">
      <w:pPr>
        <w:adjustRightInd w:val="0"/>
        <w:snapToGrid w:val="0"/>
        <w:spacing w:line="360" w:lineRule="auto"/>
        <w:jc w:val="both"/>
        <w:rPr>
          <w:rFonts w:ascii="Helvetica" w:hAnsi="Helvetica" w:cs="Helvetica"/>
          <w:color w:val="333333"/>
          <w:spacing w:val="3"/>
          <w:sz w:val="17"/>
          <w:szCs w:val="17"/>
          <w:shd w:val="clear" w:color="auto" w:fill="FCFCFC"/>
        </w:rPr>
      </w:pPr>
      <w:r w:rsidRPr="00D51201">
        <w:rPr>
          <w:rFonts w:ascii="Book Antiqua" w:hAnsi="Book Antiqua"/>
        </w:rPr>
        <w:t xml:space="preserve">16 </w:t>
      </w:r>
      <w:r w:rsidRPr="00D51201">
        <w:rPr>
          <w:rFonts w:ascii="Book Antiqua" w:hAnsi="Book Antiqua"/>
          <w:b/>
          <w:bCs/>
        </w:rPr>
        <w:t>Isaji S</w:t>
      </w:r>
      <w:r w:rsidRPr="00D51201">
        <w:rPr>
          <w:rFonts w:ascii="Book Antiqua" w:hAnsi="Book Antiqua"/>
          <w:bCs/>
        </w:rPr>
        <w:t>,</w:t>
      </w:r>
      <w:r w:rsidRPr="00D51201">
        <w:rPr>
          <w:rFonts w:ascii="Book Antiqua" w:hAnsi="Book Antiqua"/>
        </w:rPr>
        <w:t xml:space="preserve"> Murata Y, Kishiwada M.</w:t>
      </w:r>
      <w:r w:rsidR="00206174" w:rsidRPr="00D51201">
        <w:rPr>
          <w:rFonts w:ascii="Book Antiqua" w:hAnsi="Book Antiqua"/>
        </w:rPr>
        <w:t xml:space="preserve"> </w:t>
      </w:r>
      <w:r w:rsidRPr="00D51201">
        <w:rPr>
          <w:rFonts w:ascii="Book Antiqua" w:hAnsi="Book Antiqua"/>
        </w:rPr>
        <w:t>New Japanese Classification of Pancreatic Cancer. In: Neoptolemos J, Urrutia R, Abbruzzese J, Büchler M. (eds) Pancreatic Cancer. Springer, New York, 2018</w:t>
      </w:r>
      <w:r w:rsidR="00206174" w:rsidRPr="00D51201">
        <w:rPr>
          <w:rFonts w:ascii="Book Antiqua" w:hAnsi="Book Antiqua"/>
        </w:rPr>
        <w:t>: 1021-1037</w:t>
      </w:r>
      <w:r w:rsidRPr="00D51201">
        <w:rPr>
          <w:rFonts w:ascii="Book Antiqua" w:hAnsi="Book Antiqua"/>
        </w:rPr>
        <w:t xml:space="preserve"> [DOI: 10.1007/978-1-4939-7193-0_84]</w:t>
      </w:r>
    </w:p>
    <w:p w14:paraId="2412A4DE"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17 </w:t>
      </w:r>
      <w:r w:rsidRPr="00D51201">
        <w:rPr>
          <w:rFonts w:ascii="Book Antiqua" w:hAnsi="Book Antiqua"/>
          <w:b/>
          <w:bCs/>
        </w:rPr>
        <w:t>Kayahara M</w:t>
      </w:r>
      <w:r w:rsidRPr="00D51201">
        <w:rPr>
          <w:rFonts w:ascii="Book Antiqua" w:hAnsi="Book Antiqua"/>
        </w:rPr>
        <w:t xml:space="preserve">, Nagakawa T, Kobayashi H, Mori K, Nakano T, Kadoya N, Ohta T, Ueno K, Miyazaki I. Lymphatic flow in carcinoma of the head of the pancreas. </w:t>
      </w:r>
      <w:r w:rsidRPr="00D51201">
        <w:rPr>
          <w:rFonts w:ascii="Book Antiqua" w:hAnsi="Book Antiqua"/>
          <w:i/>
          <w:iCs/>
        </w:rPr>
        <w:t>Cancer</w:t>
      </w:r>
      <w:r w:rsidRPr="00D51201">
        <w:rPr>
          <w:rFonts w:ascii="Book Antiqua" w:hAnsi="Book Antiqua"/>
        </w:rPr>
        <w:t xml:space="preserve"> 1992; </w:t>
      </w:r>
      <w:r w:rsidRPr="00D51201">
        <w:rPr>
          <w:rFonts w:ascii="Book Antiqua" w:hAnsi="Book Antiqua"/>
          <w:b/>
          <w:bCs/>
        </w:rPr>
        <w:t>70</w:t>
      </w:r>
      <w:r w:rsidRPr="00D51201">
        <w:rPr>
          <w:rFonts w:ascii="Book Antiqua" w:hAnsi="Book Antiqua"/>
        </w:rPr>
        <w:t>: 2061-2066 [PMID: 1327485 DOI: 10.1002/1097-0142(19921015)70:8&lt;</w:t>
      </w:r>
      <w:proofErr w:type="gramStart"/>
      <w:r w:rsidRPr="00D51201">
        <w:rPr>
          <w:rFonts w:ascii="Book Antiqua" w:hAnsi="Book Antiqua"/>
        </w:rPr>
        <w:t>2061::</w:t>
      </w:r>
      <w:proofErr w:type="gramEnd"/>
      <w:r w:rsidRPr="00D51201">
        <w:rPr>
          <w:rFonts w:ascii="Book Antiqua" w:hAnsi="Book Antiqua"/>
        </w:rPr>
        <w:t>aid-cncr2820700808&gt;3.0.co;2-v]</w:t>
      </w:r>
    </w:p>
    <w:p w14:paraId="7A4B9C9B"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18 </w:t>
      </w:r>
      <w:r w:rsidRPr="00D51201">
        <w:rPr>
          <w:rFonts w:ascii="Book Antiqua" w:hAnsi="Book Antiqua"/>
          <w:b/>
          <w:bCs/>
        </w:rPr>
        <w:t>Ohta T</w:t>
      </w:r>
      <w:r w:rsidRPr="00D51201">
        <w:rPr>
          <w:rFonts w:ascii="Book Antiqua" w:hAnsi="Book Antiqua"/>
        </w:rPr>
        <w:t xml:space="preserve">, Kitagawa H, Kayahara M, Kinami S, Ninomiya I, Fushida S, Fujimura T, Nishimura G, Shimizu K, Yi S, Miwa K. Sentinel lymph node navigation surgery for pancreatic head cancers. </w:t>
      </w:r>
      <w:r w:rsidRPr="00D51201">
        <w:rPr>
          <w:rFonts w:ascii="Book Antiqua" w:hAnsi="Book Antiqua"/>
          <w:i/>
          <w:iCs/>
        </w:rPr>
        <w:t>Oncol Rep</w:t>
      </w:r>
      <w:r w:rsidRPr="00D51201">
        <w:rPr>
          <w:rFonts w:ascii="Book Antiqua" w:hAnsi="Book Antiqua"/>
        </w:rPr>
        <w:t xml:space="preserve"> 2003; </w:t>
      </w:r>
      <w:r w:rsidRPr="00D51201">
        <w:rPr>
          <w:rFonts w:ascii="Book Antiqua" w:hAnsi="Book Antiqua"/>
          <w:b/>
          <w:bCs/>
        </w:rPr>
        <w:t>10</w:t>
      </w:r>
      <w:r w:rsidRPr="00D51201">
        <w:rPr>
          <w:rFonts w:ascii="Book Antiqua" w:hAnsi="Book Antiqua"/>
        </w:rPr>
        <w:t>: 315-319 [PMID: 12579265]</w:t>
      </w:r>
    </w:p>
    <w:p w14:paraId="41C3DCD8"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19 </w:t>
      </w:r>
      <w:r w:rsidRPr="00D51201">
        <w:rPr>
          <w:rFonts w:ascii="Book Antiqua" w:hAnsi="Book Antiqua"/>
          <w:b/>
          <w:bCs/>
        </w:rPr>
        <w:t>Connor S</w:t>
      </w:r>
      <w:r w:rsidRPr="00D51201">
        <w:rPr>
          <w:rFonts w:ascii="Book Antiqua" w:hAnsi="Book Antiqua"/>
        </w:rPr>
        <w:t xml:space="preserve">, Bosonnet L, Ghaneh P, Alexakis N, Hartley M, Campbell F, Sutton R, Neoptolemos JP. Survival of patients with periampullary carcinoma is predicted by lymph node 8a but not by lymph node 16b1 status. </w:t>
      </w:r>
      <w:r w:rsidRPr="00D51201">
        <w:rPr>
          <w:rFonts w:ascii="Book Antiqua" w:hAnsi="Book Antiqua"/>
          <w:i/>
          <w:iCs/>
        </w:rPr>
        <w:t>Br J Surg</w:t>
      </w:r>
      <w:r w:rsidRPr="00D51201">
        <w:rPr>
          <w:rFonts w:ascii="Book Antiqua" w:hAnsi="Book Antiqua"/>
        </w:rPr>
        <w:t xml:space="preserve"> 2004; </w:t>
      </w:r>
      <w:r w:rsidRPr="00D51201">
        <w:rPr>
          <w:rFonts w:ascii="Book Antiqua" w:hAnsi="Book Antiqua"/>
          <w:b/>
          <w:bCs/>
        </w:rPr>
        <w:t>91</w:t>
      </w:r>
      <w:r w:rsidRPr="00D51201">
        <w:rPr>
          <w:rFonts w:ascii="Book Antiqua" w:hAnsi="Book Antiqua"/>
        </w:rPr>
        <w:t>: 1592-1599 [PMID: 15515111 DOI: 10.1002/bjs.4761]</w:t>
      </w:r>
    </w:p>
    <w:p w14:paraId="11FC3219"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20 </w:t>
      </w:r>
      <w:r w:rsidRPr="00D51201">
        <w:rPr>
          <w:rFonts w:ascii="Book Antiqua" w:hAnsi="Book Antiqua"/>
          <w:b/>
          <w:bCs/>
        </w:rPr>
        <w:t>Sho M</w:t>
      </w:r>
      <w:r w:rsidRPr="00D51201">
        <w:rPr>
          <w:rFonts w:ascii="Book Antiqua" w:hAnsi="Book Antiqua"/>
        </w:rPr>
        <w:t xml:space="preserve">, Murakami Y, Motoi F, Satoi S, Matsumoto I, Kawai M, Honda G, Uemura K, Yanagimoto H, Kurata M, Fukumoto T, Akahori T, Kinoshita S, Nagai M, Nishiwada S, Unno M, Yamaue H, Nakajima Y. Postoperative prognosis of pancreatic cancer with para-aortic lymph node metastasis: a multicenter study on 822 patients. </w:t>
      </w:r>
      <w:r w:rsidRPr="00D51201">
        <w:rPr>
          <w:rFonts w:ascii="Book Antiqua" w:hAnsi="Book Antiqua"/>
          <w:i/>
          <w:iCs/>
        </w:rPr>
        <w:t>J Gastroenterol</w:t>
      </w:r>
      <w:r w:rsidRPr="00D51201">
        <w:rPr>
          <w:rFonts w:ascii="Book Antiqua" w:hAnsi="Book Antiqua"/>
        </w:rPr>
        <w:t xml:space="preserve"> 2015; </w:t>
      </w:r>
      <w:r w:rsidRPr="00D51201">
        <w:rPr>
          <w:rFonts w:ascii="Book Antiqua" w:hAnsi="Book Antiqua"/>
          <w:b/>
          <w:bCs/>
        </w:rPr>
        <w:t>50</w:t>
      </w:r>
      <w:r w:rsidRPr="00D51201">
        <w:rPr>
          <w:rFonts w:ascii="Book Antiqua" w:hAnsi="Book Antiqua"/>
        </w:rPr>
        <w:t>: 694-702 [PMID: 25341657 DOI: 10.1007/s00535-014-1005-4]</w:t>
      </w:r>
    </w:p>
    <w:p w14:paraId="131AA494"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21 </w:t>
      </w:r>
      <w:r w:rsidRPr="00D51201">
        <w:rPr>
          <w:rFonts w:ascii="Book Antiqua" w:hAnsi="Book Antiqua"/>
          <w:b/>
          <w:bCs/>
        </w:rPr>
        <w:t>Yeo CJ</w:t>
      </w:r>
      <w:r w:rsidRPr="00D51201">
        <w:rPr>
          <w:rFonts w:ascii="Book Antiqua" w:hAnsi="Book Antiqua"/>
        </w:rPr>
        <w:t xml:space="preserve">, Cameron JL, Lillemoe KD, Sohn TA, Campbell KA, Sauter PK, Coleman J, Abrams RA, Hruban RH. Pancreaticoduodenectomy with or without distal gastrectomy and extended retroperitoneal lymphadenectomy for periampullary adenocarcinoma, part 2: randomized controlled trial evaluating survival, morbidity, and mortality. </w:t>
      </w:r>
      <w:r w:rsidRPr="00D51201">
        <w:rPr>
          <w:rFonts w:ascii="Book Antiqua" w:hAnsi="Book Antiqua"/>
          <w:i/>
          <w:iCs/>
        </w:rPr>
        <w:t>Ann Surg</w:t>
      </w:r>
      <w:r w:rsidRPr="00D51201">
        <w:rPr>
          <w:rFonts w:ascii="Book Antiqua" w:hAnsi="Book Antiqua"/>
        </w:rPr>
        <w:t xml:space="preserve"> 2002; </w:t>
      </w:r>
      <w:r w:rsidRPr="00D51201">
        <w:rPr>
          <w:rFonts w:ascii="Book Antiqua" w:hAnsi="Book Antiqua"/>
          <w:b/>
          <w:bCs/>
        </w:rPr>
        <w:t>236</w:t>
      </w:r>
      <w:r w:rsidRPr="00D51201">
        <w:rPr>
          <w:rFonts w:ascii="Book Antiqua" w:hAnsi="Book Antiqua"/>
        </w:rPr>
        <w:t>: 355-66; discussion 366-8 [PMID: 12192322 DOI: 10.1097/00000658-200209000-00012]</w:t>
      </w:r>
    </w:p>
    <w:p w14:paraId="00287DCA"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lastRenderedPageBreak/>
        <w:t xml:space="preserve">22 </w:t>
      </w:r>
      <w:r w:rsidRPr="00D51201">
        <w:rPr>
          <w:rFonts w:ascii="Book Antiqua" w:hAnsi="Book Antiqua"/>
          <w:b/>
          <w:bCs/>
        </w:rPr>
        <w:t>Schwarz L</w:t>
      </w:r>
      <w:r w:rsidRPr="00D51201">
        <w:rPr>
          <w:rFonts w:ascii="Book Antiqua" w:hAnsi="Book Antiqua"/>
        </w:rPr>
        <w:t xml:space="preserve">, Lupinacci RM, Svrcek M, Lesurtel M, Bubenheim M, Vuarnesson H, Balladur P, Paye F. Para-aortic lymph node sampling in pancreatic head adenocarcinoma. </w:t>
      </w:r>
      <w:r w:rsidRPr="00D51201">
        <w:rPr>
          <w:rFonts w:ascii="Book Antiqua" w:hAnsi="Book Antiqua"/>
          <w:i/>
          <w:iCs/>
        </w:rPr>
        <w:t>Br J Surg</w:t>
      </w:r>
      <w:r w:rsidRPr="00D51201">
        <w:rPr>
          <w:rFonts w:ascii="Book Antiqua" w:hAnsi="Book Antiqua"/>
        </w:rPr>
        <w:t xml:space="preserve"> 2014; </w:t>
      </w:r>
      <w:r w:rsidRPr="00D51201">
        <w:rPr>
          <w:rFonts w:ascii="Book Antiqua" w:hAnsi="Book Antiqua"/>
          <w:b/>
          <w:bCs/>
        </w:rPr>
        <w:t>101</w:t>
      </w:r>
      <w:r w:rsidRPr="00D51201">
        <w:rPr>
          <w:rFonts w:ascii="Book Antiqua" w:hAnsi="Book Antiqua"/>
        </w:rPr>
        <w:t>: 530-538 [PMID: 24633831 DOI: 10.1002/bjs.9444]</w:t>
      </w:r>
    </w:p>
    <w:p w14:paraId="2C6E4E74"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23 </w:t>
      </w:r>
      <w:r w:rsidRPr="00D51201">
        <w:rPr>
          <w:rFonts w:ascii="Book Antiqua" w:hAnsi="Book Antiqua"/>
          <w:b/>
          <w:bCs/>
        </w:rPr>
        <w:t>Shimada K</w:t>
      </w:r>
      <w:r w:rsidRPr="00D51201">
        <w:rPr>
          <w:rFonts w:ascii="Book Antiqua" w:hAnsi="Book Antiqua"/>
        </w:rPr>
        <w:t xml:space="preserve">, Sakamoto Y, Sano T, Kosuge T. The role of paraaortic lymph node involvement on early recurrence and survival after macroscopic curative resection with extended lymphadenectomy for pancreatic carcinoma. </w:t>
      </w:r>
      <w:r w:rsidRPr="00D51201">
        <w:rPr>
          <w:rFonts w:ascii="Book Antiqua" w:hAnsi="Book Antiqua"/>
          <w:i/>
          <w:iCs/>
        </w:rPr>
        <w:t>J Am Coll Surg</w:t>
      </w:r>
      <w:r w:rsidRPr="00D51201">
        <w:rPr>
          <w:rFonts w:ascii="Book Antiqua" w:hAnsi="Book Antiqua"/>
        </w:rPr>
        <w:t xml:space="preserve"> 2006; </w:t>
      </w:r>
      <w:r w:rsidRPr="00D51201">
        <w:rPr>
          <w:rFonts w:ascii="Book Antiqua" w:hAnsi="Book Antiqua"/>
          <w:b/>
          <w:bCs/>
        </w:rPr>
        <w:t>203</w:t>
      </w:r>
      <w:r w:rsidRPr="00D51201">
        <w:rPr>
          <w:rFonts w:ascii="Book Antiqua" w:hAnsi="Book Antiqua"/>
        </w:rPr>
        <w:t>: 345-352 [PMID: 16931307 DOI: 10.1016/j.jamcollsurg.2006.05.289]</w:t>
      </w:r>
    </w:p>
    <w:p w14:paraId="1EC48818"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24 </w:t>
      </w:r>
      <w:r w:rsidRPr="00D51201">
        <w:rPr>
          <w:rFonts w:ascii="Book Antiqua" w:hAnsi="Book Antiqua"/>
          <w:b/>
          <w:bCs/>
        </w:rPr>
        <w:t>Delcore R</w:t>
      </w:r>
      <w:r w:rsidRPr="00D51201">
        <w:rPr>
          <w:rFonts w:ascii="Book Antiqua" w:hAnsi="Book Antiqua"/>
        </w:rPr>
        <w:t xml:space="preserve">, Rodriguez FJ, Forster J, Hermreck AS, Thomas JH. Significance of lymph node metastases in patients with pancreatic cancer undergoing curative resection. </w:t>
      </w:r>
      <w:r w:rsidRPr="00D51201">
        <w:rPr>
          <w:rFonts w:ascii="Book Antiqua" w:hAnsi="Book Antiqua"/>
          <w:i/>
          <w:iCs/>
        </w:rPr>
        <w:t>Am J Surg</w:t>
      </w:r>
      <w:r w:rsidRPr="00D51201">
        <w:rPr>
          <w:rFonts w:ascii="Book Antiqua" w:hAnsi="Book Antiqua"/>
        </w:rPr>
        <w:t xml:space="preserve"> 1996; </w:t>
      </w:r>
      <w:r w:rsidRPr="00D51201">
        <w:rPr>
          <w:rFonts w:ascii="Book Antiqua" w:hAnsi="Book Antiqua"/>
          <w:b/>
          <w:bCs/>
        </w:rPr>
        <w:t>172</w:t>
      </w:r>
      <w:r w:rsidRPr="00D51201">
        <w:rPr>
          <w:rFonts w:ascii="Book Antiqua" w:hAnsi="Book Antiqua"/>
        </w:rPr>
        <w:t>: 463-8; discussion 468-9 [PMID: 8942545 DOI: 10.1016/S0002-9610(96)00237-1]</w:t>
      </w:r>
    </w:p>
    <w:p w14:paraId="74A5BB4F"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25 </w:t>
      </w:r>
      <w:r w:rsidRPr="00D51201">
        <w:rPr>
          <w:rFonts w:ascii="Book Antiqua" w:hAnsi="Book Antiqua"/>
          <w:b/>
          <w:bCs/>
        </w:rPr>
        <w:t>van Geenen RC</w:t>
      </w:r>
      <w:r w:rsidRPr="00D51201">
        <w:rPr>
          <w:rFonts w:ascii="Book Antiqua" w:hAnsi="Book Antiqua"/>
        </w:rPr>
        <w:t xml:space="preserve">, van Gulik TM, Offerhaus GJ, de Wit LT, Busch OR, Obertop H, Gouma DJ. Survival after pancreaticoduodenectomy for periampullary adenocarcinoma: an update. </w:t>
      </w:r>
      <w:r w:rsidRPr="00D51201">
        <w:rPr>
          <w:rFonts w:ascii="Book Antiqua" w:hAnsi="Book Antiqua"/>
          <w:i/>
          <w:iCs/>
        </w:rPr>
        <w:t>Eur J Surg Oncol</w:t>
      </w:r>
      <w:r w:rsidRPr="00D51201">
        <w:rPr>
          <w:rFonts w:ascii="Book Antiqua" w:hAnsi="Book Antiqua"/>
        </w:rPr>
        <w:t xml:space="preserve"> 2001; </w:t>
      </w:r>
      <w:r w:rsidRPr="00D51201">
        <w:rPr>
          <w:rFonts w:ascii="Book Antiqua" w:hAnsi="Book Antiqua"/>
          <w:b/>
          <w:bCs/>
        </w:rPr>
        <w:t>27</w:t>
      </w:r>
      <w:r w:rsidRPr="00D51201">
        <w:rPr>
          <w:rFonts w:ascii="Book Antiqua" w:hAnsi="Book Antiqua"/>
        </w:rPr>
        <w:t>: 549-557 [PMID: 11520088 DOI: 10.1053/ejso.2001.1162]</w:t>
      </w:r>
    </w:p>
    <w:p w14:paraId="150FC78E"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26 </w:t>
      </w:r>
      <w:r w:rsidRPr="00D51201">
        <w:rPr>
          <w:rFonts w:ascii="Book Antiqua" w:hAnsi="Book Antiqua"/>
          <w:b/>
          <w:bCs/>
        </w:rPr>
        <w:t>Neoptolemos JP</w:t>
      </w:r>
      <w:r w:rsidRPr="00D51201">
        <w:rPr>
          <w:rFonts w:ascii="Book Antiqua" w:hAnsi="Book Antiqua"/>
        </w:rPr>
        <w:t xml:space="preserve">, Stocken DD, Dunn JA, Almond J, Beger HG, Pederzoli P, Bassi C, Dervenis C, Fernandez-Cruz L, Lacaine F, Buckels J, Deakin M, Adab FA, Sutton R, Imrie C, Ihse I, Tihanyi T, Olah A, Pedrazzoli S, Spooner D, Kerr DJ, Friess H, Büchler MW; European Study Group for Pancreatic Cancer. Influence of resection margins on survival for patients with pancreatic cancer treated by adjuvant chemoradiation and/or chemotherapy in the ESPAC-1 randomized controlled trial. </w:t>
      </w:r>
      <w:r w:rsidRPr="00D51201">
        <w:rPr>
          <w:rFonts w:ascii="Book Antiqua" w:hAnsi="Book Antiqua"/>
          <w:i/>
          <w:iCs/>
        </w:rPr>
        <w:t>Ann Surg</w:t>
      </w:r>
      <w:r w:rsidRPr="00D51201">
        <w:rPr>
          <w:rFonts w:ascii="Book Antiqua" w:hAnsi="Book Antiqua"/>
        </w:rPr>
        <w:t xml:space="preserve"> 2001; </w:t>
      </w:r>
      <w:r w:rsidRPr="00D51201">
        <w:rPr>
          <w:rFonts w:ascii="Book Antiqua" w:hAnsi="Book Antiqua"/>
          <w:b/>
          <w:bCs/>
        </w:rPr>
        <w:t>234</w:t>
      </w:r>
      <w:r w:rsidRPr="00D51201">
        <w:rPr>
          <w:rFonts w:ascii="Book Antiqua" w:hAnsi="Book Antiqua"/>
        </w:rPr>
        <w:t>: 758-768 [PMID: 11729382 DOI: 10.1097/00000658-200112000-00007]</w:t>
      </w:r>
    </w:p>
    <w:p w14:paraId="19673DD2"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27 </w:t>
      </w:r>
      <w:r w:rsidRPr="00D51201">
        <w:rPr>
          <w:rFonts w:ascii="Book Antiqua" w:hAnsi="Book Antiqua"/>
          <w:b/>
          <w:bCs/>
        </w:rPr>
        <w:t>Sohn TA</w:t>
      </w:r>
      <w:r w:rsidRPr="00D51201">
        <w:rPr>
          <w:rFonts w:ascii="Book Antiqua" w:hAnsi="Book Antiqua"/>
        </w:rPr>
        <w:t xml:space="preserve">, Yeo CJ, Cameron JL, Koniaris L, Kaushal S, Abrams RA, Sauter PK, Coleman J, Hruban RH, Lillemoe KD. Resected adenocarcinoma of the pancreas-616 patients: results, outcomes, and prognostic indicators. </w:t>
      </w:r>
      <w:r w:rsidRPr="00D51201">
        <w:rPr>
          <w:rFonts w:ascii="Book Antiqua" w:hAnsi="Book Antiqua"/>
          <w:i/>
          <w:iCs/>
        </w:rPr>
        <w:t>J Gastrointest Surg</w:t>
      </w:r>
      <w:r w:rsidRPr="00D51201">
        <w:rPr>
          <w:rFonts w:ascii="Book Antiqua" w:hAnsi="Book Antiqua"/>
        </w:rPr>
        <w:t xml:space="preserve"> 2000; </w:t>
      </w:r>
      <w:r w:rsidRPr="00D51201">
        <w:rPr>
          <w:rFonts w:ascii="Book Antiqua" w:hAnsi="Book Antiqua"/>
          <w:b/>
          <w:bCs/>
        </w:rPr>
        <w:t>4</w:t>
      </w:r>
      <w:r w:rsidRPr="00D51201">
        <w:rPr>
          <w:rFonts w:ascii="Book Antiqua" w:hAnsi="Book Antiqua"/>
        </w:rPr>
        <w:t>: 567-579 [PMID: 11307091 DOI: 10.1016/s1091-255</w:t>
      </w:r>
      <w:proofErr w:type="gramStart"/>
      <w:r w:rsidRPr="00D51201">
        <w:rPr>
          <w:rFonts w:ascii="Book Antiqua" w:hAnsi="Book Antiqua"/>
        </w:rPr>
        <w:t>x(</w:t>
      </w:r>
      <w:proofErr w:type="gramEnd"/>
      <w:r w:rsidRPr="00D51201">
        <w:rPr>
          <w:rFonts w:ascii="Book Antiqua" w:hAnsi="Book Antiqua"/>
        </w:rPr>
        <w:t>00)80105-5]</w:t>
      </w:r>
    </w:p>
    <w:p w14:paraId="28BB73B6"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28 </w:t>
      </w:r>
      <w:r w:rsidRPr="00D51201">
        <w:rPr>
          <w:rFonts w:ascii="Book Antiqua" w:hAnsi="Book Antiqua"/>
          <w:b/>
          <w:bCs/>
        </w:rPr>
        <w:t>Benassai G</w:t>
      </w:r>
      <w:r w:rsidRPr="00D51201">
        <w:rPr>
          <w:rFonts w:ascii="Book Antiqua" w:hAnsi="Book Antiqua"/>
        </w:rPr>
        <w:t xml:space="preserve">, Mastrorilli M, Quarto G, Cappiello A, Giani U, Forestieri P, Mazzeo F. Factors influencing survival after resection for ductal adenocarcinoma of the head of the </w:t>
      </w:r>
      <w:r w:rsidRPr="00D51201">
        <w:rPr>
          <w:rFonts w:ascii="Book Antiqua" w:hAnsi="Book Antiqua"/>
        </w:rPr>
        <w:lastRenderedPageBreak/>
        <w:t xml:space="preserve">pancreas. </w:t>
      </w:r>
      <w:r w:rsidRPr="00D51201">
        <w:rPr>
          <w:rFonts w:ascii="Book Antiqua" w:hAnsi="Book Antiqua"/>
          <w:i/>
          <w:iCs/>
        </w:rPr>
        <w:t>J Surg Oncol</w:t>
      </w:r>
      <w:r w:rsidRPr="00D51201">
        <w:rPr>
          <w:rFonts w:ascii="Book Antiqua" w:hAnsi="Book Antiqua"/>
        </w:rPr>
        <w:t xml:space="preserve"> 2000; </w:t>
      </w:r>
      <w:r w:rsidRPr="00D51201">
        <w:rPr>
          <w:rFonts w:ascii="Book Antiqua" w:hAnsi="Book Antiqua"/>
          <w:b/>
          <w:bCs/>
        </w:rPr>
        <w:t>73</w:t>
      </w:r>
      <w:r w:rsidRPr="00D51201">
        <w:rPr>
          <w:rFonts w:ascii="Book Antiqua" w:hAnsi="Book Antiqua"/>
        </w:rPr>
        <w:t>: 212-218 [PMID: 10797334 DOI: 10.1002/(sici)1096-9098(200004)73:4&lt;</w:t>
      </w:r>
      <w:proofErr w:type="gramStart"/>
      <w:r w:rsidRPr="00D51201">
        <w:rPr>
          <w:rFonts w:ascii="Book Antiqua" w:hAnsi="Book Antiqua"/>
        </w:rPr>
        <w:t>212::</w:t>
      </w:r>
      <w:proofErr w:type="gramEnd"/>
      <w:r w:rsidRPr="00D51201">
        <w:rPr>
          <w:rFonts w:ascii="Book Antiqua" w:hAnsi="Book Antiqua"/>
        </w:rPr>
        <w:t>aid-jso5&gt;3.0.co;2-d]</w:t>
      </w:r>
    </w:p>
    <w:p w14:paraId="3A52DF77"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29 </w:t>
      </w:r>
      <w:r w:rsidRPr="00D51201">
        <w:rPr>
          <w:rFonts w:ascii="Book Antiqua" w:hAnsi="Book Antiqua"/>
          <w:b/>
          <w:bCs/>
        </w:rPr>
        <w:t>Masui T</w:t>
      </w:r>
      <w:r w:rsidRPr="00D51201">
        <w:rPr>
          <w:rFonts w:ascii="Book Antiqua" w:hAnsi="Book Antiqua"/>
        </w:rPr>
        <w:t xml:space="preserve">, Kubota T, Aoki K, Nakanishi Y, Miyamoto T, Nagata J, Morino K, Fukugaki A, Takamura M, Sugimoto S, Onuma H, Tokuka A. Long-term survival after resection of pancreatic ductal adenocarcinoma with para-aortic lymph node metastasis: case report. </w:t>
      </w:r>
      <w:r w:rsidRPr="00D51201">
        <w:rPr>
          <w:rFonts w:ascii="Book Antiqua" w:hAnsi="Book Antiqua"/>
          <w:i/>
          <w:iCs/>
        </w:rPr>
        <w:t>World J Surg Oncol</w:t>
      </w:r>
      <w:r w:rsidRPr="00D51201">
        <w:rPr>
          <w:rFonts w:ascii="Book Antiqua" w:hAnsi="Book Antiqua"/>
        </w:rPr>
        <w:t xml:space="preserve"> 2013; </w:t>
      </w:r>
      <w:r w:rsidRPr="00D51201">
        <w:rPr>
          <w:rFonts w:ascii="Book Antiqua" w:hAnsi="Book Antiqua"/>
          <w:b/>
          <w:bCs/>
        </w:rPr>
        <w:t>11</w:t>
      </w:r>
      <w:r w:rsidRPr="00D51201">
        <w:rPr>
          <w:rFonts w:ascii="Book Antiqua" w:hAnsi="Book Antiqua"/>
        </w:rPr>
        <w:t>: 195 [PMID: 23945441 DOI: 10.1186/1477-7819-11-195]</w:t>
      </w:r>
    </w:p>
    <w:p w14:paraId="1853A39C"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30 </w:t>
      </w:r>
      <w:r w:rsidRPr="00D51201">
        <w:rPr>
          <w:rFonts w:ascii="Book Antiqua" w:hAnsi="Book Antiqua"/>
          <w:b/>
          <w:bCs/>
        </w:rPr>
        <w:t>Shrikhande SV</w:t>
      </w:r>
      <w:r w:rsidRPr="00D51201">
        <w:rPr>
          <w:rFonts w:ascii="Book Antiqua" w:hAnsi="Book Antiqua"/>
        </w:rPr>
        <w:t xml:space="preserve">, Kleeff J, Reiser C, Weitz J, Hinz U, Esposito I, Schmidt J, Friess H, Büchler MW. Pancreatic resection for M1 pancreatic ductal adenocarcinoma. </w:t>
      </w:r>
      <w:r w:rsidRPr="00D51201">
        <w:rPr>
          <w:rFonts w:ascii="Book Antiqua" w:hAnsi="Book Antiqua"/>
          <w:i/>
          <w:iCs/>
        </w:rPr>
        <w:t>Ann Surg Oncol</w:t>
      </w:r>
      <w:r w:rsidRPr="00D51201">
        <w:rPr>
          <w:rFonts w:ascii="Book Antiqua" w:hAnsi="Book Antiqua"/>
        </w:rPr>
        <w:t xml:space="preserve"> 2007; </w:t>
      </w:r>
      <w:r w:rsidRPr="00D51201">
        <w:rPr>
          <w:rFonts w:ascii="Book Antiqua" w:hAnsi="Book Antiqua"/>
          <w:b/>
          <w:bCs/>
        </w:rPr>
        <w:t>14</w:t>
      </w:r>
      <w:r w:rsidRPr="00D51201">
        <w:rPr>
          <w:rFonts w:ascii="Book Antiqua" w:hAnsi="Book Antiqua"/>
        </w:rPr>
        <w:t>: 118-127 [PMID: 17066229 DOI: 10.1245/s10434-006-9131-8]</w:t>
      </w:r>
    </w:p>
    <w:p w14:paraId="5BB8672B"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31 </w:t>
      </w:r>
      <w:r w:rsidRPr="00D51201">
        <w:rPr>
          <w:rFonts w:ascii="Book Antiqua" w:hAnsi="Book Antiqua"/>
          <w:b/>
          <w:bCs/>
        </w:rPr>
        <w:t>Neoptolemos JP</w:t>
      </w:r>
      <w:r w:rsidRPr="00D51201">
        <w:rPr>
          <w:rFonts w:ascii="Book Antiqua" w:hAnsi="Book Antiqua"/>
        </w:rPr>
        <w:t xml:space="preserve">, Stocken DD, Friess H, Bassi C, Dunn JA, Hickey H, Beger H, Fernandez-Cruz L, Dervenis C, Lacaine F, Falconi M, Pederzoli P, Pap A, Spooner D, Kerr DJ, Büchler MW; European Study Group for Pancreatic Cancer. A randomized trial of chemoradiotherapy and chemotherapy after resection of pancreatic cancer. </w:t>
      </w:r>
      <w:r w:rsidRPr="00D51201">
        <w:rPr>
          <w:rFonts w:ascii="Book Antiqua" w:hAnsi="Book Antiqua"/>
          <w:i/>
          <w:iCs/>
        </w:rPr>
        <w:t>N Engl J Med</w:t>
      </w:r>
      <w:r w:rsidRPr="00D51201">
        <w:rPr>
          <w:rFonts w:ascii="Book Antiqua" w:hAnsi="Book Antiqua"/>
        </w:rPr>
        <w:t xml:space="preserve"> 2004; </w:t>
      </w:r>
      <w:r w:rsidRPr="00D51201">
        <w:rPr>
          <w:rFonts w:ascii="Book Antiqua" w:hAnsi="Book Antiqua"/>
          <w:b/>
          <w:bCs/>
        </w:rPr>
        <w:t>350</w:t>
      </w:r>
      <w:r w:rsidRPr="00D51201">
        <w:rPr>
          <w:rFonts w:ascii="Book Antiqua" w:hAnsi="Book Antiqua"/>
        </w:rPr>
        <w:t>: 1200-1210 [PMID: 15028824 DOI: 10.1056/NEJMoa032295]</w:t>
      </w:r>
    </w:p>
    <w:p w14:paraId="4C5AD21C"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32 </w:t>
      </w:r>
      <w:r w:rsidRPr="00D51201">
        <w:rPr>
          <w:rFonts w:ascii="Book Antiqua" w:hAnsi="Book Antiqua"/>
          <w:b/>
          <w:bCs/>
        </w:rPr>
        <w:t>Versteijne E</w:t>
      </w:r>
      <w:r w:rsidRPr="00D51201">
        <w:rPr>
          <w:rFonts w:ascii="Book Antiqua" w:hAnsi="Book Antiqua"/>
        </w:rPr>
        <w:t xml:space="preserve">, Vogel JA, Besselink MG, Busch ORC, Wilmink JW, Daams JG, van Eijck CHJ, Groot Koerkamp B, Rasch CRN, van Tienhoven G; Dutch Pancreatic Cancer Group. Meta-analysis comparing upfront surgery with neoadjuvant treatment in patients with resectable or borderline resectable pancreatic cancer. </w:t>
      </w:r>
      <w:r w:rsidRPr="00D51201">
        <w:rPr>
          <w:rFonts w:ascii="Book Antiqua" w:hAnsi="Book Antiqua"/>
          <w:i/>
          <w:iCs/>
        </w:rPr>
        <w:t>Br J Surg</w:t>
      </w:r>
      <w:r w:rsidRPr="00D51201">
        <w:rPr>
          <w:rFonts w:ascii="Book Antiqua" w:hAnsi="Book Antiqua"/>
        </w:rPr>
        <w:t xml:space="preserve"> 2018; </w:t>
      </w:r>
      <w:r w:rsidRPr="00D51201">
        <w:rPr>
          <w:rFonts w:ascii="Book Antiqua" w:hAnsi="Book Antiqua"/>
          <w:b/>
          <w:bCs/>
        </w:rPr>
        <w:t>105</w:t>
      </w:r>
      <w:r w:rsidRPr="00D51201">
        <w:rPr>
          <w:rFonts w:ascii="Book Antiqua" w:hAnsi="Book Antiqua"/>
        </w:rPr>
        <w:t>: 946-958 [PMID: 29708592 DOI: 10.1002/bjs.10870]</w:t>
      </w:r>
    </w:p>
    <w:p w14:paraId="533B4ED1"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33 </w:t>
      </w:r>
      <w:r w:rsidRPr="00D51201">
        <w:rPr>
          <w:rFonts w:ascii="Book Antiqua" w:hAnsi="Book Antiqua"/>
          <w:b/>
          <w:bCs/>
        </w:rPr>
        <w:t>Sperti C</w:t>
      </w:r>
      <w:r w:rsidRPr="00D51201">
        <w:rPr>
          <w:rFonts w:ascii="Book Antiqua" w:hAnsi="Book Antiqua"/>
        </w:rPr>
        <w:t xml:space="preserve">, Gruppo M, Blandamura S, Valmasoni M, Pozza G, Passuello N, Beltrame V, Moletta L. Para-aortic node involvement is not an independent predictor of survival after resection for pancreatic cancer. </w:t>
      </w:r>
      <w:r w:rsidRPr="00D51201">
        <w:rPr>
          <w:rFonts w:ascii="Book Antiqua" w:hAnsi="Book Antiqua"/>
          <w:i/>
          <w:iCs/>
        </w:rPr>
        <w:t>World J Gastroenterol</w:t>
      </w:r>
      <w:r w:rsidRPr="00D51201">
        <w:rPr>
          <w:rFonts w:ascii="Book Antiqua" w:hAnsi="Book Antiqua"/>
        </w:rPr>
        <w:t xml:space="preserve"> 2017; </w:t>
      </w:r>
      <w:r w:rsidRPr="00D51201">
        <w:rPr>
          <w:rFonts w:ascii="Book Antiqua" w:hAnsi="Book Antiqua"/>
          <w:b/>
          <w:bCs/>
        </w:rPr>
        <w:t>23</w:t>
      </w:r>
      <w:r w:rsidRPr="00D51201">
        <w:rPr>
          <w:rFonts w:ascii="Book Antiqua" w:hAnsi="Book Antiqua"/>
        </w:rPr>
        <w:t>: 4399-4406 [PMID: 28706422 DOI: 10.3748/</w:t>
      </w:r>
      <w:proofErr w:type="gramStart"/>
      <w:r w:rsidRPr="00D51201">
        <w:rPr>
          <w:rFonts w:ascii="Book Antiqua" w:hAnsi="Book Antiqua"/>
        </w:rPr>
        <w:t>wjg.v23.i</w:t>
      </w:r>
      <w:proofErr w:type="gramEnd"/>
      <w:r w:rsidRPr="00D51201">
        <w:rPr>
          <w:rFonts w:ascii="Book Antiqua" w:hAnsi="Book Antiqua"/>
        </w:rPr>
        <w:t>24.4399]</w:t>
      </w:r>
    </w:p>
    <w:p w14:paraId="254B8F2E"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34 </w:t>
      </w:r>
      <w:r w:rsidRPr="00D51201">
        <w:rPr>
          <w:rFonts w:ascii="Book Antiqua" w:hAnsi="Book Antiqua"/>
          <w:b/>
          <w:bCs/>
        </w:rPr>
        <w:t>Yamada S</w:t>
      </w:r>
      <w:r w:rsidRPr="00D51201">
        <w:rPr>
          <w:rFonts w:ascii="Book Antiqua" w:hAnsi="Book Antiqua"/>
        </w:rPr>
        <w:t xml:space="preserve">, Nakao A, Fujii T, Sugimoto H, Kanazumi N, Nomoto S, Kodera Y, Takeda S. Pancreatic cancer with paraaortic lymph node metastasis: a contraindication for radical surgery? </w:t>
      </w:r>
      <w:r w:rsidRPr="00D51201">
        <w:rPr>
          <w:rFonts w:ascii="Book Antiqua" w:hAnsi="Book Antiqua"/>
          <w:i/>
          <w:iCs/>
        </w:rPr>
        <w:t>Pancreas</w:t>
      </w:r>
      <w:r w:rsidRPr="00D51201">
        <w:rPr>
          <w:rFonts w:ascii="Book Antiqua" w:hAnsi="Book Antiqua"/>
        </w:rPr>
        <w:t xml:space="preserve"> 2009; </w:t>
      </w:r>
      <w:r w:rsidRPr="00D51201">
        <w:rPr>
          <w:rFonts w:ascii="Book Antiqua" w:hAnsi="Book Antiqua"/>
          <w:b/>
          <w:bCs/>
        </w:rPr>
        <w:t>38</w:t>
      </w:r>
      <w:r w:rsidRPr="00D51201">
        <w:rPr>
          <w:rFonts w:ascii="Book Antiqua" w:hAnsi="Book Antiqua"/>
        </w:rPr>
        <w:t>: e13-e17 [PMID: 18797422 DOI: 10.1097/MPA.0b013e3181889e2d]</w:t>
      </w:r>
    </w:p>
    <w:p w14:paraId="5EC096B9"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35 </w:t>
      </w:r>
      <w:r w:rsidRPr="00D51201">
        <w:rPr>
          <w:rFonts w:ascii="Book Antiqua" w:hAnsi="Book Antiqua"/>
          <w:b/>
          <w:bCs/>
        </w:rPr>
        <w:t>Gaedcke J</w:t>
      </w:r>
      <w:r w:rsidRPr="00D51201">
        <w:rPr>
          <w:rFonts w:ascii="Book Antiqua" w:hAnsi="Book Antiqua"/>
        </w:rPr>
        <w:t xml:space="preserve">, Gunawan B, Grade M, Szöke R, Liersch T, Becker H, Ghadimi BM. The mesopancreas is the primary site for R1 resection in pancreatic head cancer: relevance for </w:t>
      </w:r>
      <w:r w:rsidRPr="00D51201">
        <w:rPr>
          <w:rFonts w:ascii="Book Antiqua" w:hAnsi="Book Antiqua"/>
        </w:rPr>
        <w:lastRenderedPageBreak/>
        <w:t xml:space="preserve">clinical trials. </w:t>
      </w:r>
      <w:r w:rsidRPr="00D51201">
        <w:rPr>
          <w:rFonts w:ascii="Book Antiqua" w:hAnsi="Book Antiqua"/>
          <w:i/>
          <w:iCs/>
        </w:rPr>
        <w:t>Langenbecks Arch Surg</w:t>
      </w:r>
      <w:r w:rsidRPr="00D51201">
        <w:rPr>
          <w:rFonts w:ascii="Book Antiqua" w:hAnsi="Book Antiqua"/>
        </w:rPr>
        <w:t xml:space="preserve"> 2010; </w:t>
      </w:r>
      <w:r w:rsidRPr="00D51201">
        <w:rPr>
          <w:rFonts w:ascii="Book Antiqua" w:hAnsi="Book Antiqua"/>
          <w:b/>
          <w:bCs/>
        </w:rPr>
        <w:t>395</w:t>
      </w:r>
      <w:r w:rsidRPr="00D51201">
        <w:rPr>
          <w:rFonts w:ascii="Book Antiqua" w:hAnsi="Book Antiqua"/>
        </w:rPr>
        <w:t>: 451-458 [PMID: 19418067 DOI: 10.1007/s00423-009-0494-8]</w:t>
      </w:r>
    </w:p>
    <w:p w14:paraId="1D632E32"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36 </w:t>
      </w:r>
      <w:r w:rsidRPr="00D51201">
        <w:rPr>
          <w:rFonts w:ascii="Book Antiqua" w:hAnsi="Book Antiqua"/>
          <w:b/>
          <w:bCs/>
        </w:rPr>
        <w:t>Imai H</w:t>
      </w:r>
      <w:r w:rsidRPr="00D51201">
        <w:rPr>
          <w:rFonts w:ascii="Book Antiqua" w:hAnsi="Book Antiqua"/>
        </w:rPr>
        <w:t xml:space="preserve">, Doi R, Kanazawa H, Kamo N, Koizumi M, Masui T, Iwanaga Y, Kawaguchi Y, Takada Y, Isoda H, Uemoto S. Preoperative assessment of para-aortic lymph node metastasis in patients with pancreatic cancer. </w:t>
      </w:r>
      <w:r w:rsidRPr="00D51201">
        <w:rPr>
          <w:rFonts w:ascii="Book Antiqua" w:hAnsi="Book Antiqua"/>
          <w:i/>
          <w:iCs/>
        </w:rPr>
        <w:t>Int J Clin Oncol</w:t>
      </w:r>
      <w:r w:rsidRPr="00D51201">
        <w:rPr>
          <w:rFonts w:ascii="Book Antiqua" w:hAnsi="Book Antiqua"/>
        </w:rPr>
        <w:t xml:space="preserve"> 2010; </w:t>
      </w:r>
      <w:r w:rsidRPr="00D51201">
        <w:rPr>
          <w:rFonts w:ascii="Book Antiqua" w:hAnsi="Book Antiqua"/>
          <w:b/>
          <w:bCs/>
        </w:rPr>
        <w:t>15</w:t>
      </w:r>
      <w:r w:rsidRPr="00D51201">
        <w:rPr>
          <w:rFonts w:ascii="Book Antiqua" w:hAnsi="Book Antiqua"/>
        </w:rPr>
        <w:t>: 294-300 [PMID: 20232101 DOI: 10.1007/s10147-010-0066-5]</w:t>
      </w:r>
    </w:p>
    <w:p w14:paraId="00EFF8BA"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37 </w:t>
      </w:r>
      <w:r w:rsidRPr="00D51201">
        <w:rPr>
          <w:rFonts w:ascii="Book Antiqua" w:hAnsi="Book Antiqua"/>
          <w:b/>
          <w:bCs/>
        </w:rPr>
        <w:t>Asagi A</w:t>
      </w:r>
      <w:r w:rsidRPr="00D51201">
        <w:rPr>
          <w:rFonts w:ascii="Book Antiqua" w:hAnsi="Book Antiqua"/>
        </w:rPr>
        <w:t xml:space="preserve">, Ohta K, Nasu J, Tanada M, Nadano S, Nishimura R, Teramoto N, Yamamoto K, Inoue T, Iguchi H. Utility of contrast-enhanced FDG-PET/CT in the clinical management of pancreatic cancer: impact on diagnosis, staging, evaluation of treatment response, and detection of recurrence. </w:t>
      </w:r>
      <w:r w:rsidRPr="00D51201">
        <w:rPr>
          <w:rFonts w:ascii="Book Antiqua" w:hAnsi="Book Antiqua"/>
          <w:i/>
          <w:iCs/>
        </w:rPr>
        <w:t>Pancreas</w:t>
      </w:r>
      <w:r w:rsidRPr="00D51201">
        <w:rPr>
          <w:rFonts w:ascii="Book Antiqua" w:hAnsi="Book Antiqua"/>
        </w:rPr>
        <w:t xml:space="preserve"> 2013; </w:t>
      </w:r>
      <w:r w:rsidRPr="00D51201">
        <w:rPr>
          <w:rFonts w:ascii="Book Antiqua" w:hAnsi="Book Antiqua"/>
          <w:b/>
          <w:bCs/>
        </w:rPr>
        <w:t>42</w:t>
      </w:r>
      <w:r w:rsidRPr="00D51201">
        <w:rPr>
          <w:rFonts w:ascii="Book Antiqua" w:hAnsi="Book Antiqua"/>
        </w:rPr>
        <w:t>: 11-19 [PMID: 22699206 DOI: 10.1097/MPA.0b013e3182550d77]</w:t>
      </w:r>
    </w:p>
    <w:p w14:paraId="1125B2C4"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38 </w:t>
      </w:r>
      <w:r w:rsidRPr="00D51201">
        <w:rPr>
          <w:rFonts w:ascii="Book Antiqua" w:hAnsi="Book Antiqua"/>
          <w:b/>
          <w:bCs/>
        </w:rPr>
        <w:t>Kauhanen SP</w:t>
      </w:r>
      <w:r w:rsidRPr="00D51201">
        <w:rPr>
          <w:rFonts w:ascii="Book Antiqua" w:hAnsi="Book Antiqua"/>
        </w:rPr>
        <w:t xml:space="preserve">, Komar G, Seppänen MP, Dean KI, Minn HR, Kajander SA, Rinta-Kiikka I, Alanen K, Borra RJ, Puolakkainen PA, Nuutila P, Ovaska JT. A prospective diagnostic accuracy study of 18F-fluorodeoxyglucose positron emission tomography/computed tomography, multidetector row computed tomography, and magnetic resonance imaging in primary diagnosis and staging of pancreatic cancer. </w:t>
      </w:r>
      <w:r w:rsidRPr="00D51201">
        <w:rPr>
          <w:rFonts w:ascii="Book Antiqua" w:hAnsi="Book Antiqua"/>
          <w:i/>
          <w:iCs/>
        </w:rPr>
        <w:t>Ann Surg</w:t>
      </w:r>
      <w:r w:rsidRPr="00D51201">
        <w:rPr>
          <w:rFonts w:ascii="Book Antiqua" w:hAnsi="Book Antiqua"/>
        </w:rPr>
        <w:t xml:space="preserve"> 2009; </w:t>
      </w:r>
      <w:r w:rsidRPr="00D51201">
        <w:rPr>
          <w:rFonts w:ascii="Book Antiqua" w:hAnsi="Book Antiqua"/>
          <w:b/>
          <w:bCs/>
        </w:rPr>
        <w:t>250</w:t>
      </w:r>
      <w:r w:rsidRPr="00D51201">
        <w:rPr>
          <w:rFonts w:ascii="Book Antiqua" w:hAnsi="Book Antiqua"/>
        </w:rPr>
        <w:t>: 957-963 [PMID: 19687736 DOI: 10.1097/SLA.0b013e3181b2fafa]</w:t>
      </w:r>
    </w:p>
    <w:p w14:paraId="6E47CFB6"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39 </w:t>
      </w:r>
      <w:r w:rsidRPr="00D51201">
        <w:rPr>
          <w:rFonts w:ascii="Book Antiqua" w:hAnsi="Book Antiqua"/>
          <w:b/>
          <w:bCs/>
        </w:rPr>
        <w:t>Maemura K</w:t>
      </w:r>
      <w:r w:rsidRPr="00D51201">
        <w:rPr>
          <w:rFonts w:ascii="Book Antiqua" w:hAnsi="Book Antiqua"/>
        </w:rPr>
        <w:t xml:space="preserve">, Takao S, Shinchi H, Noma H, Mataki Y, Kurahara H, Jinnouchi S, Aikou T. Role of positron emission tomography in decisions on treatment strategies for pancreatic cancer. </w:t>
      </w:r>
      <w:r w:rsidRPr="00D51201">
        <w:rPr>
          <w:rFonts w:ascii="Book Antiqua" w:hAnsi="Book Antiqua"/>
          <w:i/>
          <w:iCs/>
        </w:rPr>
        <w:t>J Hepatobiliary Pancreat Surg</w:t>
      </w:r>
      <w:r w:rsidRPr="00D51201">
        <w:rPr>
          <w:rFonts w:ascii="Book Antiqua" w:hAnsi="Book Antiqua"/>
        </w:rPr>
        <w:t xml:space="preserve"> 2006; </w:t>
      </w:r>
      <w:r w:rsidRPr="00D51201">
        <w:rPr>
          <w:rFonts w:ascii="Book Antiqua" w:hAnsi="Book Antiqua"/>
          <w:b/>
          <w:bCs/>
        </w:rPr>
        <w:t>13</w:t>
      </w:r>
      <w:r w:rsidRPr="00D51201">
        <w:rPr>
          <w:rFonts w:ascii="Book Antiqua" w:hAnsi="Book Antiqua"/>
        </w:rPr>
        <w:t>: 435-441 [PMID: 17013719 DOI: 10.1007/s00534-006-1102-8]</w:t>
      </w:r>
    </w:p>
    <w:p w14:paraId="53F85B89"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40 </w:t>
      </w:r>
      <w:r w:rsidRPr="00D51201">
        <w:rPr>
          <w:rFonts w:ascii="Book Antiqua" w:hAnsi="Book Antiqua"/>
          <w:b/>
          <w:bCs/>
        </w:rPr>
        <w:t>Soriano A</w:t>
      </w:r>
      <w:r w:rsidRPr="00D51201">
        <w:rPr>
          <w:rFonts w:ascii="Book Antiqua" w:hAnsi="Book Antiqua"/>
        </w:rPr>
        <w:t xml:space="preserve">, Castells A, Ayuso C, Ayuso JR, de Caralt MT, Ginès MA, Real MI, Gilabert R, Quintó L, Trilla A, Feu F, Montanyà X, Fernández-Cruz L, Navarro S. Preoperative staging and tumor resectability assessment of pancreatic cancer: prospective study comparing endoscopic ultrasonography, helical computed tomography, magnetic resonance imaging, and angiography. </w:t>
      </w:r>
      <w:r w:rsidRPr="00D51201">
        <w:rPr>
          <w:rFonts w:ascii="Book Antiqua" w:hAnsi="Book Antiqua"/>
          <w:i/>
          <w:iCs/>
        </w:rPr>
        <w:t>Am J Gastroenterol</w:t>
      </w:r>
      <w:r w:rsidRPr="00D51201">
        <w:rPr>
          <w:rFonts w:ascii="Book Antiqua" w:hAnsi="Book Antiqua"/>
        </w:rPr>
        <w:t xml:space="preserve"> 2004; </w:t>
      </w:r>
      <w:r w:rsidRPr="00D51201">
        <w:rPr>
          <w:rFonts w:ascii="Book Antiqua" w:hAnsi="Book Antiqua"/>
          <w:b/>
          <w:bCs/>
        </w:rPr>
        <w:t>99</w:t>
      </w:r>
      <w:r w:rsidRPr="00D51201">
        <w:rPr>
          <w:rFonts w:ascii="Book Antiqua" w:hAnsi="Book Antiqua"/>
        </w:rPr>
        <w:t>: 492-501 [PMID: 15056091 DOI: 10.1111/j.1572-0241.</w:t>
      </w:r>
      <w:proofErr w:type="gramStart"/>
      <w:r w:rsidRPr="00D51201">
        <w:rPr>
          <w:rFonts w:ascii="Book Antiqua" w:hAnsi="Book Antiqua"/>
        </w:rPr>
        <w:t>2004.04087.x</w:t>
      </w:r>
      <w:proofErr w:type="gramEnd"/>
      <w:r w:rsidRPr="00D51201">
        <w:rPr>
          <w:rFonts w:ascii="Book Antiqua" w:hAnsi="Book Antiqua"/>
        </w:rPr>
        <w:t>]</w:t>
      </w:r>
    </w:p>
    <w:p w14:paraId="79DC73E7"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lastRenderedPageBreak/>
        <w:t xml:space="preserve">41 </w:t>
      </w:r>
      <w:r w:rsidRPr="00D51201">
        <w:rPr>
          <w:rFonts w:ascii="Book Antiqua" w:hAnsi="Book Antiqua"/>
          <w:b/>
          <w:bCs/>
        </w:rPr>
        <w:t>Li JH</w:t>
      </w:r>
      <w:r w:rsidRPr="00D51201">
        <w:rPr>
          <w:rFonts w:ascii="Book Antiqua" w:hAnsi="Book Antiqua"/>
        </w:rPr>
        <w:t xml:space="preserve">, He R, Li YM, Cao G, Ma QY, Yang WB. Endoscopic ultrasonography for tumor node staging and vascular invasion in pancreatic cancer: a meta-analysis. </w:t>
      </w:r>
      <w:r w:rsidRPr="00D51201">
        <w:rPr>
          <w:rFonts w:ascii="Book Antiqua" w:hAnsi="Book Antiqua"/>
          <w:i/>
          <w:iCs/>
        </w:rPr>
        <w:t>Dig Surg</w:t>
      </w:r>
      <w:r w:rsidRPr="00D51201">
        <w:rPr>
          <w:rFonts w:ascii="Book Antiqua" w:hAnsi="Book Antiqua"/>
        </w:rPr>
        <w:t xml:space="preserve"> 2014; </w:t>
      </w:r>
      <w:r w:rsidRPr="00D51201">
        <w:rPr>
          <w:rFonts w:ascii="Book Antiqua" w:hAnsi="Book Antiqua"/>
          <w:b/>
          <w:bCs/>
        </w:rPr>
        <w:t>31</w:t>
      </w:r>
      <w:r w:rsidRPr="00D51201">
        <w:rPr>
          <w:rFonts w:ascii="Book Antiqua" w:hAnsi="Book Antiqua"/>
        </w:rPr>
        <w:t>: 297-305 [PMID: 25376486 DOI: 10.1159/000368089]</w:t>
      </w:r>
    </w:p>
    <w:p w14:paraId="19575CA8" w14:textId="77777777" w:rsidR="00157899" w:rsidRPr="00D51201" w:rsidRDefault="00157899" w:rsidP="00603AB3">
      <w:pPr>
        <w:adjustRightInd w:val="0"/>
        <w:snapToGrid w:val="0"/>
        <w:spacing w:line="360" w:lineRule="auto"/>
        <w:jc w:val="both"/>
        <w:rPr>
          <w:rFonts w:ascii="Book Antiqua" w:hAnsi="Book Antiqua"/>
        </w:rPr>
      </w:pPr>
      <w:r w:rsidRPr="00D51201">
        <w:rPr>
          <w:rFonts w:ascii="Book Antiqua" w:hAnsi="Book Antiqua"/>
        </w:rPr>
        <w:t xml:space="preserve">42 </w:t>
      </w:r>
      <w:r w:rsidRPr="00D51201">
        <w:rPr>
          <w:rFonts w:ascii="Book Antiqua" w:hAnsi="Book Antiqua"/>
          <w:b/>
          <w:bCs/>
        </w:rPr>
        <w:t>Kurita A</w:t>
      </w:r>
      <w:r w:rsidRPr="00D51201">
        <w:rPr>
          <w:rFonts w:ascii="Book Antiqua" w:hAnsi="Book Antiqua"/>
        </w:rPr>
        <w:t xml:space="preserve">, Kodama Y, Nakamoto Y, Isoda H, Minamiguchi S, Yoshimura K, Kuriyama K, Sawai Y, Uza N, Hatano E, Uemoto S, Togashi K, Haga H, Chiba T. Impact of EUS-FNA for preoperative para-aortic lymph node staging in patients with pancreatobiliary cancer. </w:t>
      </w:r>
      <w:r w:rsidRPr="00D51201">
        <w:rPr>
          <w:rFonts w:ascii="Book Antiqua" w:hAnsi="Book Antiqua"/>
          <w:i/>
          <w:iCs/>
        </w:rPr>
        <w:t>Gastrointest Endosc</w:t>
      </w:r>
      <w:r w:rsidRPr="00D51201">
        <w:rPr>
          <w:rFonts w:ascii="Book Antiqua" w:hAnsi="Book Antiqua"/>
        </w:rPr>
        <w:t xml:space="preserve"> 2016; </w:t>
      </w:r>
      <w:r w:rsidRPr="00D51201">
        <w:rPr>
          <w:rFonts w:ascii="Book Antiqua" w:hAnsi="Book Antiqua"/>
          <w:b/>
          <w:bCs/>
        </w:rPr>
        <w:t>84</w:t>
      </w:r>
      <w:r w:rsidRPr="00D51201">
        <w:rPr>
          <w:rFonts w:ascii="Book Antiqua" w:hAnsi="Book Antiqua"/>
        </w:rPr>
        <w:t>: 467-475.e1 [PMID: 26970011 DOI: 10.1016/j.gie.2016.02.045]</w:t>
      </w:r>
    </w:p>
    <w:p w14:paraId="478A56B2" w14:textId="77777777" w:rsidR="00A77B3E" w:rsidRPr="00D51201" w:rsidRDefault="00A77B3E" w:rsidP="00603AB3">
      <w:pPr>
        <w:adjustRightInd w:val="0"/>
        <w:snapToGrid w:val="0"/>
        <w:spacing w:line="360" w:lineRule="auto"/>
        <w:jc w:val="both"/>
        <w:rPr>
          <w:rFonts w:ascii="Book Antiqua" w:hAnsi="Book Antiqua"/>
        </w:rPr>
      </w:pPr>
    </w:p>
    <w:p w14:paraId="212CD750" w14:textId="77777777" w:rsidR="00A77B3E" w:rsidRPr="00D51201" w:rsidRDefault="00A77B3E" w:rsidP="00603AB3">
      <w:pPr>
        <w:adjustRightInd w:val="0"/>
        <w:snapToGrid w:val="0"/>
        <w:spacing w:line="360" w:lineRule="auto"/>
        <w:jc w:val="both"/>
        <w:rPr>
          <w:rFonts w:ascii="Book Antiqua" w:hAnsi="Book Antiqua"/>
        </w:rPr>
        <w:sectPr w:rsidR="00A77B3E" w:rsidRPr="00D51201">
          <w:pgSz w:w="12240" w:h="15840"/>
          <w:pgMar w:top="1440" w:right="1440" w:bottom="1440" w:left="1440" w:header="720" w:footer="720" w:gutter="0"/>
          <w:cols w:space="720"/>
          <w:docGrid w:linePitch="360"/>
        </w:sectPr>
      </w:pPr>
    </w:p>
    <w:p w14:paraId="504CDA13"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lastRenderedPageBreak/>
        <w:t>Footnotes</w:t>
      </w:r>
    </w:p>
    <w:p w14:paraId="2F56E5B7"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bCs/>
          <w:color w:val="000000"/>
        </w:rPr>
        <w:t xml:space="preserve">Institutional review board statement: </w:t>
      </w:r>
      <w:r w:rsidRPr="00D51201">
        <w:rPr>
          <w:rFonts w:ascii="Book Antiqua" w:eastAsia="Book Antiqua" w:hAnsi="Book Antiqua" w:cs="Book Antiqua"/>
          <w:color w:val="000000"/>
        </w:rPr>
        <w:t xml:space="preserve">The study was reviewed and approved for publication by the Departmental Institutional Review </w:t>
      </w:r>
      <w:r w:rsidR="00C6461C" w:rsidRPr="00D51201">
        <w:rPr>
          <w:rFonts w:ascii="Book Antiqua" w:eastAsia="Book Antiqua" w:hAnsi="Book Antiqua" w:cs="Book Antiqua"/>
          <w:color w:val="000000"/>
        </w:rPr>
        <w:t>B</w:t>
      </w:r>
      <w:r w:rsidRPr="00D51201">
        <w:rPr>
          <w:rFonts w:ascii="Book Antiqua" w:eastAsia="Book Antiqua" w:hAnsi="Book Antiqua" w:cs="Book Antiqua"/>
          <w:color w:val="000000"/>
        </w:rPr>
        <w:t xml:space="preserve">oard. </w:t>
      </w:r>
    </w:p>
    <w:p w14:paraId="33B77D04" w14:textId="77777777" w:rsidR="00A77B3E" w:rsidRPr="00D51201" w:rsidRDefault="00A77B3E" w:rsidP="00603AB3">
      <w:pPr>
        <w:adjustRightInd w:val="0"/>
        <w:snapToGrid w:val="0"/>
        <w:spacing w:line="360" w:lineRule="auto"/>
        <w:jc w:val="both"/>
        <w:rPr>
          <w:rFonts w:ascii="Book Antiqua" w:hAnsi="Book Antiqua"/>
        </w:rPr>
      </w:pPr>
    </w:p>
    <w:p w14:paraId="2143CCA2" w14:textId="77777777" w:rsidR="00C6461C" w:rsidRPr="00D51201" w:rsidRDefault="00C6461C" w:rsidP="00603AB3">
      <w:pPr>
        <w:adjustRightInd w:val="0"/>
        <w:snapToGrid w:val="0"/>
        <w:spacing w:line="360" w:lineRule="auto"/>
        <w:jc w:val="both"/>
        <w:rPr>
          <w:rFonts w:ascii="Book Antiqua" w:hAnsi="Book Antiqua"/>
        </w:rPr>
      </w:pPr>
      <w:r w:rsidRPr="00D51201">
        <w:rPr>
          <w:rFonts w:ascii="Book Antiqua" w:hAnsi="Book Antiqua"/>
          <w:b/>
        </w:rPr>
        <w:t xml:space="preserve">Informed consent statement: </w:t>
      </w:r>
      <w:r w:rsidRPr="00D51201">
        <w:rPr>
          <w:rFonts w:ascii="Book Antiqua" w:hAnsi="Book Antiqua"/>
        </w:rPr>
        <w:t>As this was an anonymised retrospective cohort study over a period of 10 years, individual consent forms were not required based on the policy of Queen Elizabeth Hospital and the UK on ethics and research.</w:t>
      </w:r>
    </w:p>
    <w:p w14:paraId="410E35F3" w14:textId="77777777" w:rsidR="00C6461C" w:rsidRPr="00D51201" w:rsidRDefault="00C6461C" w:rsidP="00603AB3">
      <w:pPr>
        <w:adjustRightInd w:val="0"/>
        <w:snapToGrid w:val="0"/>
        <w:spacing w:line="360" w:lineRule="auto"/>
        <w:jc w:val="both"/>
        <w:rPr>
          <w:rFonts w:ascii="Book Antiqua" w:hAnsi="Book Antiqua"/>
        </w:rPr>
      </w:pPr>
    </w:p>
    <w:p w14:paraId="59386F9C"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bCs/>
          <w:color w:val="000000"/>
        </w:rPr>
        <w:t xml:space="preserve">Conflict-of-interest statement: </w:t>
      </w:r>
      <w:r w:rsidRPr="00D51201">
        <w:rPr>
          <w:rFonts w:ascii="Book Antiqua" w:eastAsia="Book Antiqua" w:hAnsi="Book Antiqua" w:cs="Book Antiqua"/>
          <w:color w:val="000000"/>
        </w:rPr>
        <w:t xml:space="preserve">All the Authors have no conflict of interest related to the manuscript. </w:t>
      </w:r>
    </w:p>
    <w:p w14:paraId="651EA6AF" w14:textId="77777777" w:rsidR="00A77B3E" w:rsidRPr="00D51201" w:rsidRDefault="00A77B3E" w:rsidP="00603AB3">
      <w:pPr>
        <w:adjustRightInd w:val="0"/>
        <w:snapToGrid w:val="0"/>
        <w:spacing w:line="360" w:lineRule="auto"/>
        <w:jc w:val="both"/>
        <w:rPr>
          <w:rFonts w:ascii="Book Antiqua" w:hAnsi="Book Antiqua"/>
        </w:rPr>
      </w:pPr>
    </w:p>
    <w:p w14:paraId="63ED80CE"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bCs/>
          <w:color w:val="000000"/>
        </w:rPr>
        <w:t xml:space="preserve">Data sharing statement: </w:t>
      </w:r>
      <w:r w:rsidRPr="00D51201">
        <w:rPr>
          <w:rFonts w:ascii="Book Antiqua" w:eastAsia="Book Antiqua" w:hAnsi="Book Antiqua" w:cs="Book Antiqua"/>
          <w:color w:val="000000"/>
        </w:rPr>
        <w:t>The original anonymous dataset is available upon request from the corresponding author.</w:t>
      </w:r>
    </w:p>
    <w:p w14:paraId="29735AFE" w14:textId="77777777" w:rsidR="00A77B3E" w:rsidRPr="00D51201" w:rsidRDefault="00A77B3E" w:rsidP="00603AB3">
      <w:pPr>
        <w:adjustRightInd w:val="0"/>
        <w:snapToGrid w:val="0"/>
        <w:spacing w:line="360" w:lineRule="auto"/>
        <w:jc w:val="both"/>
        <w:rPr>
          <w:rFonts w:ascii="Book Antiqua" w:hAnsi="Book Antiqua"/>
        </w:rPr>
      </w:pPr>
    </w:p>
    <w:p w14:paraId="49769B4A" w14:textId="4A545770"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bCs/>
          <w:color w:val="000000"/>
        </w:rPr>
        <w:t xml:space="preserve">STROBE statement: </w:t>
      </w:r>
      <w:r w:rsidR="009A18A4" w:rsidRPr="00D51201">
        <w:rPr>
          <w:rFonts w:ascii="Book Antiqua" w:eastAsia="Book Antiqua" w:hAnsi="Book Antiqua" w:cs="Book Antiqua"/>
          <w:color w:val="000000"/>
        </w:rPr>
        <w:t>T</w:t>
      </w:r>
      <w:r w:rsidRPr="00D51201">
        <w:rPr>
          <w:rFonts w:ascii="Book Antiqua" w:eastAsia="Book Antiqua" w:hAnsi="Book Antiqua" w:cs="Book Antiqua"/>
          <w:color w:val="000000"/>
        </w:rPr>
        <w:t>he authors have reviewed the STROBE statement-checklist of items. The written material was prepared concordant with the STROBE statement-check list of items.</w:t>
      </w:r>
    </w:p>
    <w:p w14:paraId="663037A1" w14:textId="77777777" w:rsidR="00A77B3E" w:rsidRPr="00D51201" w:rsidRDefault="00A77B3E" w:rsidP="00603AB3">
      <w:pPr>
        <w:adjustRightInd w:val="0"/>
        <w:snapToGrid w:val="0"/>
        <w:spacing w:line="360" w:lineRule="auto"/>
        <w:jc w:val="both"/>
        <w:rPr>
          <w:rFonts w:ascii="Book Antiqua" w:hAnsi="Book Antiqua"/>
        </w:rPr>
      </w:pPr>
    </w:p>
    <w:p w14:paraId="62D2FBD8"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bCs/>
          <w:color w:val="000000"/>
        </w:rPr>
        <w:t xml:space="preserve">Open-Access: </w:t>
      </w:r>
      <w:r w:rsidRPr="00D5120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147DEF" w14:textId="77777777" w:rsidR="00A77B3E" w:rsidRPr="00D51201" w:rsidRDefault="00A77B3E" w:rsidP="00603AB3">
      <w:pPr>
        <w:adjustRightInd w:val="0"/>
        <w:snapToGrid w:val="0"/>
        <w:spacing w:line="360" w:lineRule="auto"/>
        <w:jc w:val="both"/>
        <w:rPr>
          <w:rFonts w:ascii="Book Antiqua" w:hAnsi="Book Antiqua"/>
        </w:rPr>
      </w:pPr>
    </w:p>
    <w:p w14:paraId="54302C50"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t xml:space="preserve">Provenance and peer review: </w:t>
      </w:r>
      <w:r w:rsidRPr="00D51201">
        <w:rPr>
          <w:rFonts w:ascii="Book Antiqua" w:eastAsia="Book Antiqua" w:hAnsi="Book Antiqua" w:cs="Book Antiqua"/>
          <w:color w:val="000000"/>
        </w:rPr>
        <w:t>Invited article; Externally peer reviewed.</w:t>
      </w:r>
    </w:p>
    <w:p w14:paraId="5720E7E1"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t xml:space="preserve">Peer-review model: </w:t>
      </w:r>
      <w:r w:rsidRPr="00D51201">
        <w:rPr>
          <w:rFonts w:ascii="Book Antiqua" w:eastAsia="Book Antiqua" w:hAnsi="Book Antiqua" w:cs="Book Antiqua"/>
          <w:color w:val="000000"/>
        </w:rPr>
        <w:t>Single blind</w:t>
      </w:r>
    </w:p>
    <w:p w14:paraId="246C9561" w14:textId="77777777" w:rsidR="00A77B3E" w:rsidRPr="00D51201" w:rsidRDefault="00A77B3E" w:rsidP="00603AB3">
      <w:pPr>
        <w:adjustRightInd w:val="0"/>
        <w:snapToGrid w:val="0"/>
        <w:spacing w:line="360" w:lineRule="auto"/>
        <w:jc w:val="both"/>
        <w:rPr>
          <w:rFonts w:ascii="Book Antiqua" w:hAnsi="Book Antiqua"/>
        </w:rPr>
      </w:pPr>
    </w:p>
    <w:p w14:paraId="74AB80A1"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t xml:space="preserve">Peer-review started: </w:t>
      </w:r>
      <w:r w:rsidRPr="00D51201">
        <w:rPr>
          <w:rFonts w:ascii="Book Antiqua" w:eastAsia="Book Antiqua" w:hAnsi="Book Antiqua" w:cs="Book Antiqua"/>
          <w:color w:val="000000"/>
        </w:rPr>
        <w:t>December 21, 2021</w:t>
      </w:r>
    </w:p>
    <w:p w14:paraId="72728AE2"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lastRenderedPageBreak/>
        <w:t xml:space="preserve">First decision: </w:t>
      </w:r>
      <w:r w:rsidRPr="00D51201">
        <w:rPr>
          <w:rFonts w:ascii="Book Antiqua" w:eastAsia="Book Antiqua" w:hAnsi="Book Antiqua" w:cs="Book Antiqua"/>
          <w:color w:val="000000"/>
        </w:rPr>
        <w:t>March 13, 2022</w:t>
      </w:r>
    </w:p>
    <w:p w14:paraId="2F46FD9C" w14:textId="5FAE9A5D"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t>Article in press:</w:t>
      </w:r>
      <w:r w:rsidR="00247935" w:rsidRPr="00D51201">
        <w:rPr>
          <w:rFonts w:ascii="Book Antiqua" w:eastAsia="Book Antiqua" w:hAnsi="Book Antiqua" w:cs="Book Antiqua"/>
          <w:color w:val="000000"/>
        </w:rPr>
        <w:t xml:space="preserve"> April 21, 2022</w:t>
      </w:r>
      <w:r w:rsidRPr="00D51201">
        <w:rPr>
          <w:rFonts w:ascii="Book Antiqua" w:eastAsia="Book Antiqua" w:hAnsi="Book Antiqua" w:cs="Book Antiqua"/>
          <w:b/>
          <w:color w:val="000000"/>
        </w:rPr>
        <w:t xml:space="preserve"> </w:t>
      </w:r>
    </w:p>
    <w:p w14:paraId="517C06BD" w14:textId="77777777" w:rsidR="00A77B3E" w:rsidRPr="00D51201" w:rsidRDefault="00A77B3E" w:rsidP="00603AB3">
      <w:pPr>
        <w:adjustRightInd w:val="0"/>
        <w:snapToGrid w:val="0"/>
        <w:spacing w:line="360" w:lineRule="auto"/>
        <w:jc w:val="both"/>
        <w:rPr>
          <w:rFonts w:ascii="Book Antiqua" w:hAnsi="Book Antiqua"/>
        </w:rPr>
      </w:pPr>
    </w:p>
    <w:p w14:paraId="1E1B5BED"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t xml:space="preserve">Specialty type: </w:t>
      </w:r>
      <w:r w:rsidRPr="00D51201">
        <w:rPr>
          <w:rFonts w:ascii="Book Antiqua" w:eastAsia="Book Antiqua" w:hAnsi="Book Antiqua" w:cs="Book Antiqua"/>
          <w:color w:val="000000"/>
        </w:rPr>
        <w:t>Surgery</w:t>
      </w:r>
    </w:p>
    <w:p w14:paraId="1AA24FB8"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t xml:space="preserve">Country/Territory of origin: </w:t>
      </w:r>
      <w:r w:rsidRPr="00D51201">
        <w:rPr>
          <w:rFonts w:ascii="Book Antiqua" w:eastAsia="Book Antiqua" w:hAnsi="Book Antiqua" w:cs="Book Antiqua"/>
          <w:color w:val="000000"/>
        </w:rPr>
        <w:t>United Kingdom</w:t>
      </w:r>
    </w:p>
    <w:p w14:paraId="5FD8F74B"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b/>
          <w:color w:val="000000"/>
        </w:rPr>
        <w:t>Peer-review report’s scientific quality classification</w:t>
      </w:r>
    </w:p>
    <w:p w14:paraId="2193F3F4"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Grade A (Excellent): 0</w:t>
      </w:r>
    </w:p>
    <w:p w14:paraId="4402AD35"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Grade B (Very good): B</w:t>
      </w:r>
    </w:p>
    <w:p w14:paraId="35BBB4BA"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Grade C (Good): C, C</w:t>
      </w:r>
    </w:p>
    <w:p w14:paraId="7D1121AD"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Grade D (Fair): 0</w:t>
      </w:r>
    </w:p>
    <w:p w14:paraId="1545EF73" w14:textId="77777777" w:rsidR="00A77B3E" w:rsidRPr="00D51201" w:rsidRDefault="00D450DE" w:rsidP="00603AB3">
      <w:pPr>
        <w:adjustRightInd w:val="0"/>
        <w:snapToGrid w:val="0"/>
        <w:spacing w:line="360" w:lineRule="auto"/>
        <w:jc w:val="both"/>
        <w:rPr>
          <w:rFonts w:ascii="Book Antiqua" w:hAnsi="Book Antiqua"/>
        </w:rPr>
      </w:pPr>
      <w:r w:rsidRPr="00D51201">
        <w:rPr>
          <w:rFonts w:ascii="Book Antiqua" w:eastAsia="Book Antiqua" w:hAnsi="Book Antiqua" w:cs="Book Antiqua"/>
          <w:color w:val="000000"/>
        </w:rPr>
        <w:t>Grade E (Poor): 0</w:t>
      </w:r>
    </w:p>
    <w:p w14:paraId="36FFBD29" w14:textId="77777777" w:rsidR="00A77B3E" w:rsidRPr="00D51201" w:rsidRDefault="00A77B3E" w:rsidP="00603AB3">
      <w:pPr>
        <w:adjustRightInd w:val="0"/>
        <w:snapToGrid w:val="0"/>
        <w:spacing w:line="360" w:lineRule="auto"/>
        <w:jc w:val="both"/>
        <w:rPr>
          <w:rFonts w:ascii="Book Antiqua" w:hAnsi="Book Antiqua"/>
        </w:rPr>
      </w:pPr>
    </w:p>
    <w:p w14:paraId="0C089215" w14:textId="047E940E" w:rsidR="00A77B3E" w:rsidRPr="00D51201" w:rsidRDefault="00D450DE" w:rsidP="00603AB3">
      <w:pPr>
        <w:adjustRightInd w:val="0"/>
        <w:snapToGrid w:val="0"/>
        <w:spacing w:line="360" w:lineRule="auto"/>
        <w:jc w:val="both"/>
        <w:rPr>
          <w:rFonts w:ascii="Book Antiqua" w:eastAsia="Book Antiqua" w:hAnsi="Book Antiqua" w:cs="Book Antiqua"/>
          <w:b/>
          <w:color w:val="000000"/>
        </w:rPr>
      </w:pPr>
      <w:r w:rsidRPr="00D51201">
        <w:rPr>
          <w:rFonts w:ascii="Book Antiqua" w:eastAsia="Book Antiqua" w:hAnsi="Book Antiqua" w:cs="Book Antiqua"/>
          <w:b/>
          <w:color w:val="000000"/>
        </w:rPr>
        <w:t xml:space="preserve">P-Reviewer: </w:t>
      </w:r>
      <w:r w:rsidRPr="00D51201">
        <w:rPr>
          <w:rFonts w:ascii="Book Antiqua" w:eastAsia="Book Antiqua" w:hAnsi="Book Antiqua" w:cs="Book Antiqua"/>
          <w:color w:val="000000"/>
        </w:rPr>
        <w:t>Jiang L</w:t>
      </w:r>
      <w:r w:rsidR="00BE576F" w:rsidRPr="00D51201">
        <w:rPr>
          <w:rFonts w:ascii="Book Antiqua" w:eastAsia="Book Antiqua" w:hAnsi="Book Antiqua" w:cs="Book Antiqua"/>
          <w:color w:val="000000"/>
        </w:rPr>
        <w:t>, China</w:t>
      </w:r>
      <w:r w:rsidRPr="00D51201">
        <w:rPr>
          <w:rFonts w:ascii="Book Antiqua" w:eastAsia="Book Antiqua" w:hAnsi="Book Antiqua" w:cs="Book Antiqua"/>
          <w:color w:val="000000"/>
        </w:rPr>
        <w:t>; Kuo SH, Taiwan; Nguyen LT</w:t>
      </w:r>
      <w:r w:rsidR="00130A59" w:rsidRPr="00D51201">
        <w:rPr>
          <w:rFonts w:ascii="Book Antiqua" w:eastAsia="Book Antiqua" w:hAnsi="Book Antiqua" w:cs="Book Antiqua"/>
          <w:color w:val="000000"/>
        </w:rPr>
        <w:t>, Viet Nam</w:t>
      </w:r>
      <w:r w:rsidRPr="00D51201">
        <w:rPr>
          <w:rFonts w:ascii="Book Antiqua" w:eastAsia="Book Antiqua" w:hAnsi="Book Antiqua" w:cs="Book Antiqua"/>
          <w:b/>
          <w:color w:val="000000"/>
        </w:rPr>
        <w:t xml:space="preserve"> S-Editor: </w:t>
      </w:r>
      <w:r w:rsidRPr="00D51201">
        <w:rPr>
          <w:rFonts w:ascii="Book Antiqua" w:eastAsia="Book Antiqua" w:hAnsi="Book Antiqua" w:cs="Book Antiqua"/>
          <w:color w:val="000000"/>
        </w:rPr>
        <w:t>Gong ZM</w:t>
      </w:r>
      <w:r w:rsidRPr="00D51201">
        <w:rPr>
          <w:rFonts w:ascii="Book Antiqua" w:eastAsia="Book Antiqua" w:hAnsi="Book Antiqua" w:cs="Book Antiqua"/>
          <w:b/>
          <w:color w:val="000000"/>
        </w:rPr>
        <w:t xml:space="preserve"> L-Editor: </w:t>
      </w:r>
      <w:r w:rsidR="0093315B" w:rsidRPr="00D51201">
        <w:rPr>
          <w:rFonts w:ascii="Book Antiqua" w:eastAsia="Book Antiqua" w:hAnsi="Book Antiqua" w:cs="Book Antiqua"/>
          <w:color w:val="000000"/>
        </w:rPr>
        <w:t xml:space="preserve">A </w:t>
      </w:r>
      <w:r w:rsidRPr="00D51201">
        <w:rPr>
          <w:rFonts w:ascii="Book Antiqua" w:eastAsia="Book Antiqua" w:hAnsi="Book Antiqua" w:cs="Book Antiqua"/>
          <w:b/>
          <w:color w:val="000000"/>
        </w:rPr>
        <w:t xml:space="preserve">P-Editor: </w:t>
      </w:r>
      <w:r w:rsidR="0093315B" w:rsidRPr="00D51201">
        <w:rPr>
          <w:rFonts w:ascii="Book Antiqua" w:eastAsia="Book Antiqua" w:hAnsi="Book Antiqua" w:cs="Book Antiqua"/>
          <w:color w:val="000000"/>
        </w:rPr>
        <w:t>Gong ZM</w:t>
      </w:r>
    </w:p>
    <w:p w14:paraId="3FD8EE58" w14:textId="77777777" w:rsidR="00157899" w:rsidRPr="00D51201" w:rsidRDefault="00157899" w:rsidP="00603AB3">
      <w:pPr>
        <w:adjustRightInd w:val="0"/>
        <w:snapToGrid w:val="0"/>
        <w:spacing w:line="360" w:lineRule="auto"/>
        <w:jc w:val="both"/>
        <w:rPr>
          <w:rFonts w:ascii="Book Antiqua" w:hAnsi="Book Antiqua"/>
        </w:rPr>
        <w:sectPr w:rsidR="00157899" w:rsidRPr="00D51201">
          <w:pgSz w:w="12240" w:h="15840"/>
          <w:pgMar w:top="1440" w:right="1440" w:bottom="1440" w:left="1440" w:header="720" w:footer="720" w:gutter="0"/>
          <w:cols w:space="720"/>
          <w:docGrid w:linePitch="360"/>
        </w:sectPr>
      </w:pPr>
    </w:p>
    <w:p w14:paraId="003C8116" w14:textId="77777777" w:rsidR="00A77B3E" w:rsidRPr="00D51201" w:rsidRDefault="00D450DE" w:rsidP="00603AB3">
      <w:pPr>
        <w:adjustRightInd w:val="0"/>
        <w:snapToGrid w:val="0"/>
        <w:spacing w:line="360" w:lineRule="auto"/>
        <w:jc w:val="both"/>
        <w:rPr>
          <w:rFonts w:ascii="Book Antiqua" w:eastAsia="Book Antiqua" w:hAnsi="Book Antiqua" w:cs="Book Antiqua"/>
          <w:b/>
          <w:color w:val="000000"/>
        </w:rPr>
      </w:pPr>
      <w:r w:rsidRPr="00D51201">
        <w:rPr>
          <w:rFonts w:ascii="Book Antiqua" w:eastAsia="Book Antiqua" w:hAnsi="Book Antiqua" w:cs="Book Antiqua"/>
          <w:b/>
          <w:color w:val="000000"/>
        </w:rPr>
        <w:lastRenderedPageBreak/>
        <w:t>Figure Legends</w:t>
      </w:r>
    </w:p>
    <w:p w14:paraId="2C30D7AD" w14:textId="1CA11134" w:rsidR="00F552DF" w:rsidRPr="00D51201" w:rsidRDefault="00D51201" w:rsidP="00603AB3">
      <w:pPr>
        <w:adjustRightInd w:val="0"/>
        <w:snapToGrid w:val="0"/>
        <w:spacing w:line="360" w:lineRule="auto"/>
        <w:jc w:val="both"/>
        <w:rPr>
          <w:rFonts w:ascii="Book Antiqua" w:hAnsi="Book Antiqua"/>
        </w:rPr>
      </w:pPr>
      <w:r>
        <w:rPr>
          <w:noProof/>
        </w:rPr>
        <w:lastRenderedPageBreak/>
        <w:drawing>
          <wp:inline distT="0" distB="0" distL="0" distR="0" wp14:anchorId="0242DB8B" wp14:editId="761F776D">
            <wp:extent cx="5943600" cy="79622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62265"/>
                    </a:xfrm>
                    <a:prstGeom prst="rect">
                      <a:avLst/>
                    </a:prstGeom>
                    <a:noFill/>
                    <a:ln>
                      <a:noFill/>
                    </a:ln>
                  </pic:spPr>
                </pic:pic>
              </a:graphicData>
            </a:graphic>
          </wp:inline>
        </w:drawing>
      </w:r>
    </w:p>
    <w:p w14:paraId="68CEC18B" w14:textId="77777777" w:rsidR="00A77B3E" w:rsidRPr="00D51201" w:rsidRDefault="00157899" w:rsidP="00603AB3">
      <w:pPr>
        <w:adjustRightInd w:val="0"/>
        <w:snapToGrid w:val="0"/>
        <w:spacing w:line="360" w:lineRule="auto"/>
        <w:jc w:val="both"/>
        <w:rPr>
          <w:rFonts w:ascii="Book Antiqua" w:eastAsia="Book Antiqua" w:hAnsi="Book Antiqua" w:cs="Book Antiqua"/>
          <w:bCs/>
          <w:color w:val="000000"/>
        </w:rPr>
      </w:pPr>
      <w:r w:rsidRPr="00D51201">
        <w:rPr>
          <w:rFonts w:ascii="Book Antiqua" w:eastAsia="Book Antiqua" w:hAnsi="Book Antiqua" w:cs="Book Antiqua"/>
          <w:b/>
          <w:bCs/>
          <w:color w:val="000000"/>
        </w:rPr>
        <w:lastRenderedPageBreak/>
        <w:t>Figure 1</w:t>
      </w:r>
      <w:r w:rsidR="00D450DE" w:rsidRPr="00D51201">
        <w:rPr>
          <w:rFonts w:ascii="Book Antiqua" w:eastAsia="Book Antiqua" w:hAnsi="Book Antiqua" w:cs="Book Antiqua"/>
          <w:b/>
          <w:bCs/>
          <w:color w:val="000000"/>
        </w:rPr>
        <w:t xml:space="preserve"> Kaplan Meier curves comparing overall survival in patients with </w:t>
      </w:r>
      <w:r w:rsidR="007972DA" w:rsidRPr="00D51201">
        <w:rPr>
          <w:rFonts w:ascii="Book Antiqua" w:eastAsia="Book Antiqua" w:hAnsi="Book Antiqua" w:cs="Book Antiqua"/>
          <w:b/>
          <w:bCs/>
          <w:color w:val="000000"/>
        </w:rPr>
        <w:t xml:space="preserve">para-aortic lymph </w:t>
      </w:r>
      <w:proofErr w:type="gramStart"/>
      <w:r w:rsidR="007972DA" w:rsidRPr="00D51201">
        <w:rPr>
          <w:rFonts w:ascii="Book Antiqua" w:eastAsia="Book Antiqua" w:hAnsi="Book Antiqua" w:cs="Book Antiqua"/>
          <w:b/>
          <w:bCs/>
          <w:color w:val="000000"/>
        </w:rPr>
        <w:t>nodes(</w:t>
      </w:r>
      <w:proofErr w:type="gramEnd"/>
      <w:r w:rsidR="00D450DE" w:rsidRPr="00D51201">
        <w:rPr>
          <w:rFonts w:ascii="Book Antiqua" w:eastAsia="Book Antiqua" w:hAnsi="Book Antiqua" w:cs="Book Antiqua"/>
          <w:b/>
          <w:bCs/>
          <w:color w:val="000000"/>
        </w:rPr>
        <w:t>+</w:t>
      </w:r>
      <w:r w:rsidR="007972DA" w:rsidRPr="00D51201">
        <w:rPr>
          <w:rFonts w:ascii="Book Antiqua" w:eastAsia="Book Antiqua" w:hAnsi="Book Antiqua" w:cs="Book Antiqua"/>
          <w:b/>
          <w:bCs/>
          <w:color w:val="000000"/>
        </w:rPr>
        <w:t>)</w:t>
      </w:r>
      <w:r w:rsidR="00D450DE" w:rsidRPr="00D51201">
        <w:rPr>
          <w:rFonts w:ascii="Book Antiqua" w:eastAsia="Book Antiqua" w:hAnsi="Book Antiqua" w:cs="Book Antiqua"/>
          <w:b/>
          <w:bCs/>
          <w:color w:val="000000"/>
        </w:rPr>
        <w:t xml:space="preserve"> </w:t>
      </w:r>
      <w:r w:rsidR="00D450DE" w:rsidRPr="00D51201">
        <w:rPr>
          <w:rFonts w:ascii="Book Antiqua" w:eastAsia="Book Antiqua" w:hAnsi="Book Antiqua" w:cs="Book Antiqua"/>
          <w:b/>
          <w:bCs/>
          <w:i/>
          <w:iCs/>
          <w:color w:val="000000"/>
        </w:rPr>
        <w:t>vs</w:t>
      </w:r>
      <w:r w:rsidR="00D450DE" w:rsidRPr="00D51201">
        <w:rPr>
          <w:rFonts w:ascii="Book Antiqua" w:eastAsia="Book Antiqua" w:hAnsi="Book Antiqua" w:cs="Book Antiqua"/>
          <w:b/>
          <w:bCs/>
          <w:color w:val="000000"/>
        </w:rPr>
        <w:t xml:space="preserve"> </w:t>
      </w:r>
      <w:r w:rsidR="007972DA" w:rsidRPr="00D51201">
        <w:rPr>
          <w:rFonts w:ascii="Book Antiqua" w:eastAsia="Book Antiqua" w:hAnsi="Book Antiqua" w:cs="Book Antiqua"/>
          <w:b/>
          <w:bCs/>
          <w:color w:val="000000"/>
        </w:rPr>
        <w:t>para-aortic lymph nodes(-)</w:t>
      </w:r>
      <w:r w:rsidRPr="00D51201">
        <w:rPr>
          <w:rFonts w:ascii="Book Antiqua" w:eastAsia="Book Antiqua" w:hAnsi="Book Antiqua" w:cs="Book Antiqua"/>
          <w:b/>
          <w:bCs/>
          <w:color w:val="000000"/>
        </w:rPr>
        <w:t xml:space="preserve">. </w:t>
      </w:r>
      <w:r w:rsidRPr="00D51201">
        <w:rPr>
          <w:rFonts w:ascii="Book Antiqua" w:eastAsia="Book Antiqua" w:hAnsi="Book Antiqua" w:cs="Book Antiqua"/>
          <w:bCs/>
          <w:color w:val="000000"/>
        </w:rPr>
        <w:t>A:</w:t>
      </w:r>
      <w:r w:rsidR="00D450DE" w:rsidRPr="00D51201">
        <w:rPr>
          <w:rFonts w:ascii="Book Antiqua" w:eastAsia="Book Antiqua" w:hAnsi="Book Antiqua" w:cs="Book Antiqua"/>
          <w:bCs/>
          <w:color w:val="000000"/>
        </w:rPr>
        <w:t xml:space="preserve"> </w:t>
      </w:r>
      <w:r w:rsidRPr="00D51201">
        <w:rPr>
          <w:rFonts w:ascii="Book Antiqua" w:eastAsia="Book Antiqua" w:hAnsi="Book Antiqua" w:cs="Book Antiqua"/>
          <w:bCs/>
          <w:color w:val="000000"/>
        </w:rPr>
        <w:t>T</w:t>
      </w:r>
      <w:r w:rsidR="00D450DE" w:rsidRPr="00D51201">
        <w:rPr>
          <w:rFonts w:ascii="Book Antiqua" w:eastAsia="Book Antiqua" w:hAnsi="Book Antiqua" w:cs="Book Antiqua"/>
          <w:bCs/>
          <w:color w:val="000000"/>
        </w:rPr>
        <w:t>otal cohort</w:t>
      </w:r>
      <w:r w:rsidRPr="00D51201">
        <w:rPr>
          <w:rFonts w:ascii="Book Antiqua" w:eastAsia="Book Antiqua" w:hAnsi="Book Antiqua" w:cs="Book Antiqua"/>
          <w:bCs/>
          <w:color w:val="000000"/>
        </w:rPr>
        <w:t>;</w:t>
      </w:r>
      <w:r w:rsidR="00D450DE" w:rsidRPr="00D51201">
        <w:rPr>
          <w:rFonts w:ascii="Book Antiqua" w:eastAsia="Book Antiqua" w:hAnsi="Book Antiqua" w:cs="Book Antiqua"/>
          <w:bCs/>
          <w:color w:val="000000"/>
        </w:rPr>
        <w:t xml:space="preserve"> </w:t>
      </w:r>
      <w:r w:rsidRPr="00D51201">
        <w:rPr>
          <w:rFonts w:ascii="Book Antiqua" w:eastAsia="Book Antiqua" w:hAnsi="Book Antiqua" w:cs="Book Antiqua"/>
          <w:bCs/>
          <w:color w:val="000000"/>
        </w:rPr>
        <w:t>B:</w:t>
      </w:r>
      <w:r w:rsidR="00D450DE" w:rsidRPr="00D51201">
        <w:rPr>
          <w:rFonts w:ascii="Book Antiqua" w:eastAsia="Book Antiqua" w:hAnsi="Book Antiqua" w:cs="Book Antiqua"/>
          <w:bCs/>
          <w:color w:val="000000"/>
        </w:rPr>
        <w:t xml:space="preserve"> </w:t>
      </w:r>
      <w:r w:rsidRPr="00D51201">
        <w:rPr>
          <w:rFonts w:ascii="Book Antiqua" w:eastAsia="Book Antiqua" w:hAnsi="Book Antiqua" w:cs="Book Antiqua"/>
          <w:bCs/>
          <w:color w:val="000000"/>
        </w:rPr>
        <w:t>P</w:t>
      </w:r>
      <w:r w:rsidR="00D450DE" w:rsidRPr="00D51201">
        <w:rPr>
          <w:rFonts w:ascii="Book Antiqua" w:eastAsia="Book Antiqua" w:hAnsi="Book Antiqua" w:cs="Book Antiqua"/>
          <w:bCs/>
          <w:color w:val="000000"/>
        </w:rPr>
        <w:t>atients with positive nodal disease</w:t>
      </w:r>
      <w:r w:rsidRPr="00D51201">
        <w:rPr>
          <w:rFonts w:ascii="Book Antiqua" w:eastAsia="Book Antiqua" w:hAnsi="Book Antiqua" w:cs="Book Antiqua"/>
          <w:bCs/>
          <w:color w:val="000000"/>
        </w:rPr>
        <w:t>;</w:t>
      </w:r>
      <w:r w:rsidR="00D450DE" w:rsidRPr="00D51201">
        <w:rPr>
          <w:rFonts w:ascii="Book Antiqua" w:eastAsia="Book Antiqua" w:hAnsi="Book Antiqua" w:cs="Book Antiqua"/>
          <w:bCs/>
          <w:color w:val="000000"/>
        </w:rPr>
        <w:t xml:space="preserve"> </w:t>
      </w:r>
      <w:r w:rsidRPr="00D51201">
        <w:rPr>
          <w:rFonts w:ascii="Book Antiqua" w:eastAsia="Book Antiqua" w:hAnsi="Book Antiqua" w:cs="Book Antiqua"/>
          <w:bCs/>
          <w:color w:val="000000"/>
        </w:rPr>
        <w:t>C:</w:t>
      </w:r>
      <w:r w:rsidR="00D450DE" w:rsidRPr="00D51201">
        <w:rPr>
          <w:rFonts w:ascii="Book Antiqua" w:eastAsia="Book Antiqua" w:hAnsi="Book Antiqua" w:cs="Book Antiqua"/>
          <w:bCs/>
          <w:color w:val="000000"/>
        </w:rPr>
        <w:t xml:space="preserve"> </w:t>
      </w:r>
      <w:r w:rsidRPr="00D51201">
        <w:rPr>
          <w:rFonts w:ascii="Book Antiqua" w:eastAsia="Book Antiqua" w:hAnsi="Book Antiqua" w:cs="Book Antiqua"/>
          <w:bCs/>
          <w:color w:val="000000"/>
        </w:rPr>
        <w:t>P</w:t>
      </w:r>
      <w:r w:rsidR="00D450DE" w:rsidRPr="00D51201">
        <w:rPr>
          <w:rFonts w:ascii="Book Antiqua" w:eastAsia="Book Antiqua" w:hAnsi="Book Antiqua" w:cs="Book Antiqua"/>
          <w:bCs/>
          <w:color w:val="000000"/>
        </w:rPr>
        <w:t>atients who received chemotherapy</w:t>
      </w:r>
      <w:r w:rsidRPr="00D51201">
        <w:rPr>
          <w:rFonts w:ascii="Book Antiqua" w:eastAsia="Book Antiqua" w:hAnsi="Book Antiqua" w:cs="Book Antiqua"/>
          <w:bCs/>
          <w:color w:val="000000"/>
        </w:rPr>
        <w:t>;</w:t>
      </w:r>
      <w:r w:rsidR="00D450DE" w:rsidRPr="00D51201">
        <w:rPr>
          <w:rFonts w:ascii="Book Antiqua" w:eastAsia="Book Antiqua" w:hAnsi="Book Antiqua" w:cs="Book Antiqua"/>
          <w:bCs/>
          <w:color w:val="000000"/>
        </w:rPr>
        <w:t xml:space="preserve"> </w:t>
      </w:r>
      <w:r w:rsidRPr="00D51201">
        <w:rPr>
          <w:rFonts w:ascii="Book Antiqua" w:eastAsia="Book Antiqua" w:hAnsi="Book Antiqua" w:cs="Book Antiqua"/>
          <w:bCs/>
          <w:color w:val="000000"/>
        </w:rPr>
        <w:t>D:</w:t>
      </w:r>
      <w:r w:rsidR="00D450DE" w:rsidRPr="00D51201">
        <w:rPr>
          <w:rFonts w:ascii="Book Antiqua" w:eastAsia="Book Antiqua" w:hAnsi="Book Antiqua" w:cs="Book Antiqua"/>
          <w:bCs/>
          <w:color w:val="000000"/>
        </w:rPr>
        <w:t xml:space="preserve"> </w:t>
      </w:r>
      <w:r w:rsidRPr="00D51201">
        <w:rPr>
          <w:rFonts w:ascii="Book Antiqua" w:eastAsia="Book Antiqua" w:hAnsi="Book Antiqua" w:cs="Book Antiqua"/>
          <w:bCs/>
          <w:color w:val="000000"/>
        </w:rPr>
        <w:t>P</w:t>
      </w:r>
      <w:r w:rsidR="00D450DE" w:rsidRPr="00D51201">
        <w:rPr>
          <w:rFonts w:ascii="Book Antiqua" w:eastAsia="Book Antiqua" w:hAnsi="Book Antiqua" w:cs="Book Antiqua"/>
          <w:bCs/>
          <w:color w:val="000000"/>
        </w:rPr>
        <w:t>atients who did not receive chemotherapy</w:t>
      </w:r>
      <w:r w:rsidRPr="00D51201">
        <w:rPr>
          <w:rFonts w:ascii="Book Antiqua" w:eastAsia="Book Antiqua" w:hAnsi="Book Antiqua" w:cs="Book Antiqua"/>
          <w:bCs/>
          <w:color w:val="000000"/>
        </w:rPr>
        <w:t>.</w:t>
      </w:r>
      <w:r w:rsidR="007972DA" w:rsidRPr="00D51201">
        <w:rPr>
          <w:rFonts w:ascii="Book Antiqua" w:eastAsia="Book Antiqua" w:hAnsi="Book Antiqua" w:cs="Book Antiqua"/>
          <w:bCs/>
          <w:color w:val="000000"/>
        </w:rPr>
        <w:t xml:space="preserve"> PALN: Para-aortic lymph nodes.</w:t>
      </w:r>
    </w:p>
    <w:p w14:paraId="5EE3D47A" w14:textId="77777777" w:rsidR="007972DA" w:rsidRPr="00D51201" w:rsidRDefault="007972DA" w:rsidP="00603AB3">
      <w:pPr>
        <w:adjustRightInd w:val="0"/>
        <w:snapToGrid w:val="0"/>
        <w:spacing w:line="360" w:lineRule="auto"/>
        <w:jc w:val="both"/>
        <w:rPr>
          <w:rFonts w:ascii="Book Antiqua" w:eastAsia="Book Antiqua" w:hAnsi="Book Antiqua" w:cs="Book Antiqua"/>
          <w:b/>
          <w:bCs/>
          <w:color w:val="000000"/>
        </w:rPr>
      </w:pPr>
    </w:p>
    <w:p w14:paraId="655B2422" w14:textId="39E92601" w:rsidR="005F7A35" w:rsidRPr="00D51201" w:rsidRDefault="00820C4D" w:rsidP="00603AB3">
      <w:pPr>
        <w:tabs>
          <w:tab w:val="left" w:pos="780"/>
        </w:tabs>
        <w:adjustRightInd w:val="0"/>
        <w:snapToGrid w:val="0"/>
        <w:spacing w:line="360" w:lineRule="auto"/>
        <w:jc w:val="both"/>
        <w:rPr>
          <w:rFonts w:ascii="Book Antiqua" w:hAnsi="Book Antiqua"/>
        </w:rPr>
      </w:pPr>
      <w:r w:rsidRPr="00D51201">
        <w:rPr>
          <w:rFonts w:ascii="Book Antiqua" w:eastAsia="Book Antiqua" w:hAnsi="Book Antiqua" w:cs="Book Antiqua"/>
          <w:noProof/>
          <w:lang w:eastAsia="zh-CN"/>
        </w:rPr>
        <w:lastRenderedPageBreak/>
        <w:drawing>
          <wp:anchor distT="0" distB="0" distL="114300" distR="114300" simplePos="0" relativeHeight="251659264" behindDoc="0" locked="0" layoutInCell="1" allowOverlap="1" wp14:anchorId="7FFF4873" wp14:editId="7F8B6088">
            <wp:simplePos x="0" y="0"/>
            <wp:positionH relativeFrom="column">
              <wp:posOffset>4313959</wp:posOffset>
            </wp:positionH>
            <wp:positionV relativeFrom="paragraph">
              <wp:posOffset>3804574</wp:posOffset>
            </wp:positionV>
            <wp:extent cx="313459" cy="180109"/>
            <wp:effectExtent l="19050" t="0" r="0" b="0"/>
            <wp:wrapNone/>
            <wp:docPr id="9" name="图片 3" descr="C:\Users\HY\Desktop\图片\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Y\Desktop\图片\图片3.png"/>
                    <pic:cNvPicPr>
                      <a:picLocks noChangeAspect="1" noChangeArrowheads="1"/>
                    </pic:cNvPicPr>
                  </pic:nvPicPr>
                  <pic:blipFill>
                    <a:blip r:embed="rId13" cstate="print">
                      <a:extLst>
                        <a:ext uri="{28A0092B-C50C-407E-A947-70E740481C1C}">
                          <a14:useLocalDpi xmlns:a14="http://schemas.microsoft.com/office/drawing/2010/main" val="0"/>
                        </a:ext>
                      </a:extLst>
                    </a:blip>
                    <a:srcRect l="73491" t="52168" r="20967" b="45018"/>
                    <a:stretch>
                      <a:fillRect/>
                    </a:stretch>
                  </pic:blipFill>
                  <pic:spPr bwMode="auto">
                    <a:xfrm>
                      <a:off x="0" y="0"/>
                      <a:ext cx="313459" cy="180109"/>
                    </a:xfrm>
                    <a:prstGeom prst="rect">
                      <a:avLst/>
                    </a:prstGeom>
                    <a:noFill/>
                    <a:ln>
                      <a:noFill/>
                    </a:ln>
                  </pic:spPr>
                </pic:pic>
              </a:graphicData>
            </a:graphic>
          </wp:anchor>
        </w:drawing>
      </w:r>
      <w:r w:rsidR="007972DA" w:rsidRPr="00D51201">
        <w:rPr>
          <w:rFonts w:ascii="Book Antiqua" w:eastAsia="Book Antiqua" w:hAnsi="Book Antiqua" w:cs="Book Antiqua"/>
        </w:rPr>
        <w:tab/>
      </w:r>
      <w:r w:rsidR="00D51201">
        <w:rPr>
          <w:noProof/>
        </w:rPr>
        <w:drawing>
          <wp:inline distT="0" distB="0" distL="0" distR="0" wp14:anchorId="7D7448CA" wp14:editId="49371D92">
            <wp:extent cx="5943600" cy="78873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887335"/>
                    </a:xfrm>
                    <a:prstGeom prst="rect">
                      <a:avLst/>
                    </a:prstGeom>
                    <a:noFill/>
                    <a:ln>
                      <a:noFill/>
                    </a:ln>
                  </pic:spPr>
                </pic:pic>
              </a:graphicData>
            </a:graphic>
          </wp:inline>
        </w:drawing>
      </w:r>
    </w:p>
    <w:p w14:paraId="7486280E" w14:textId="77777777" w:rsidR="00A77B3E" w:rsidRPr="00D51201" w:rsidRDefault="00157899" w:rsidP="00603AB3">
      <w:pPr>
        <w:adjustRightInd w:val="0"/>
        <w:snapToGrid w:val="0"/>
        <w:spacing w:line="360" w:lineRule="auto"/>
        <w:jc w:val="both"/>
        <w:rPr>
          <w:rFonts w:ascii="Book Antiqua" w:eastAsia="Book Antiqua" w:hAnsi="Book Antiqua" w:cs="Book Antiqua"/>
          <w:bCs/>
          <w:color w:val="000000"/>
        </w:rPr>
      </w:pPr>
      <w:r w:rsidRPr="00D51201">
        <w:rPr>
          <w:rFonts w:ascii="Book Antiqua" w:eastAsia="Book Antiqua" w:hAnsi="Book Antiqua" w:cs="Book Antiqua"/>
          <w:b/>
          <w:bCs/>
          <w:color w:val="000000"/>
        </w:rPr>
        <w:lastRenderedPageBreak/>
        <w:t>Figure 2</w:t>
      </w:r>
      <w:r w:rsidR="00D450DE" w:rsidRPr="00D51201">
        <w:rPr>
          <w:rFonts w:ascii="Book Antiqua" w:eastAsia="Book Antiqua" w:hAnsi="Book Antiqua" w:cs="Book Antiqua"/>
          <w:b/>
          <w:bCs/>
          <w:color w:val="000000"/>
        </w:rPr>
        <w:t xml:space="preserve"> Kaplan Meier curves comparing disease-free survival in patients with </w:t>
      </w:r>
      <w:r w:rsidR="007972DA" w:rsidRPr="00D51201">
        <w:rPr>
          <w:rFonts w:ascii="Book Antiqua" w:eastAsia="Book Antiqua" w:hAnsi="Book Antiqua" w:cs="Book Antiqua"/>
          <w:b/>
          <w:bCs/>
          <w:color w:val="000000"/>
        </w:rPr>
        <w:t xml:space="preserve">para-aortic lymph </w:t>
      </w:r>
      <w:proofErr w:type="gramStart"/>
      <w:r w:rsidR="007972DA" w:rsidRPr="00D51201">
        <w:rPr>
          <w:rFonts w:ascii="Book Antiqua" w:eastAsia="Book Antiqua" w:hAnsi="Book Antiqua" w:cs="Book Antiqua"/>
          <w:b/>
          <w:bCs/>
          <w:color w:val="000000"/>
        </w:rPr>
        <w:t>nodes(</w:t>
      </w:r>
      <w:proofErr w:type="gramEnd"/>
      <w:r w:rsidR="007972DA" w:rsidRPr="00D51201">
        <w:rPr>
          <w:rFonts w:ascii="Book Antiqua" w:eastAsia="Book Antiqua" w:hAnsi="Book Antiqua" w:cs="Book Antiqua"/>
          <w:b/>
          <w:bCs/>
          <w:color w:val="000000"/>
        </w:rPr>
        <w:t xml:space="preserve">+) </w:t>
      </w:r>
      <w:r w:rsidR="007972DA" w:rsidRPr="00D51201">
        <w:rPr>
          <w:rFonts w:ascii="Book Antiqua" w:eastAsia="Book Antiqua" w:hAnsi="Book Antiqua" w:cs="Book Antiqua"/>
          <w:b/>
          <w:bCs/>
          <w:i/>
          <w:iCs/>
          <w:color w:val="000000"/>
        </w:rPr>
        <w:t>vs</w:t>
      </w:r>
      <w:r w:rsidR="007972DA" w:rsidRPr="00D51201">
        <w:rPr>
          <w:rFonts w:ascii="Book Antiqua" w:eastAsia="Book Antiqua" w:hAnsi="Book Antiqua" w:cs="Book Antiqua"/>
          <w:b/>
          <w:bCs/>
          <w:color w:val="000000"/>
        </w:rPr>
        <w:t xml:space="preserve"> para-aortic lymph nodes(-)</w:t>
      </w:r>
      <w:r w:rsidRPr="00D51201">
        <w:rPr>
          <w:rFonts w:ascii="Book Antiqua" w:eastAsia="Book Antiqua" w:hAnsi="Book Antiqua" w:cs="Book Antiqua"/>
          <w:b/>
          <w:bCs/>
          <w:color w:val="000000"/>
        </w:rPr>
        <w:t xml:space="preserve">. </w:t>
      </w:r>
      <w:r w:rsidRPr="00D51201">
        <w:rPr>
          <w:rFonts w:ascii="Book Antiqua" w:eastAsia="Book Antiqua" w:hAnsi="Book Antiqua" w:cs="Book Antiqua"/>
          <w:bCs/>
          <w:color w:val="000000"/>
        </w:rPr>
        <w:t>A: T</w:t>
      </w:r>
      <w:r w:rsidR="00D450DE" w:rsidRPr="00D51201">
        <w:rPr>
          <w:rFonts w:ascii="Book Antiqua" w:eastAsia="Book Antiqua" w:hAnsi="Book Antiqua" w:cs="Book Antiqua"/>
          <w:bCs/>
          <w:color w:val="000000"/>
        </w:rPr>
        <w:t>otal cohort b</w:t>
      </w:r>
      <w:r w:rsidRPr="00D51201">
        <w:rPr>
          <w:rFonts w:ascii="Book Antiqua" w:eastAsia="Book Antiqua" w:hAnsi="Book Antiqua" w:cs="Book Antiqua"/>
          <w:bCs/>
          <w:color w:val="000000"/>
        </w:rPr>
        <w:t>; B: P</w:t>
      </w:r>
      <w:r w:rsidR="00D450DE" w:rsidRPr="00D51201">
        <w:rPr>
          <w:rFonts w:ascii="Book Antiqua" w:eastAsia="Book Antiqua" w:hAnsi="Book Antiqua" w:cs="Book Antiqua"/>
          <w:bCs/>
          <w:color w:val="000000"/>
        </w:rPr>
        <w:t>atients with positive nodal disease</w:t>
      </w:r>
      <w:r w:rsidRPr="00D51201">
        <w:rPr>
          <w:rFonts w:ascii="Book Antiqua" w:eastAsia="Book Antiqua" w:hAnsi="Book Antiqua" w:cs="Book Antiqua"/>
          <w:bCs/>
          <w:color w:val="000000"/>
        </w:rPr>
        <w:t>; C: P</w:t>
      </w:r>
      <w:r w:rsidR="00D450DE" w:rsidRPr="00D51201">
        <w:rPr>
          <w:rFonts w:ascii="Book Antiqua" w:eastAsia="Book Antiqua" w:hAnsi="Book Antiqua" w:cs="Book Antiqua"/>
          <w:bCs/>
          <w:color w:val="000000"/>
        </w:rPr>
        <w:t>atients who received chemotherapy</w:t>
      </w:r>
      <w:r w:rsidRPr="00D51201">
        <w:rPr>
          <w:rFonts w:ascii="Book Antiqua" w:eastAsia="Book Antiqua" w:hAnsi="Book Antiqua" w:cs="Book Antiqua"/>
          <w:bCs/>
          <w:color w:val="000000"/>
        </w:rPr>
        <w:t>; D: P</w:t>
      </w:r>
      <w:r w:rsidR="00D450DE" w:rsidRPr="00D51201">
        <w:rPr>
          <w:rFonts w:ascii="Book Antiqua" w:eastAsia="Book Antiqua" w:hAnsi="Book Antiqua" w:cs="Book Antiqua"/>
          <w:bCs/>
          <w:color w:val="000000"/>
        </w:rPr>
        <w:t>atients who did not receive chemotherapy</w:t>
      </w:r>
      <w:r w:rsidR="005F7A35" w:rsidRPr="00D51201">
        <w:rPr>
          <w:rFonts w:ascii="Book Antiqua" w:eastAsia="Book Antiqua" w:hAnsi="Book Antiqua" w:cs="Book Antiqua"/>
          <w:bCs/>
          <w:color w:val="000000"/>
        </w:rPr>
        <w:t>.</w:t>
      </w:r>
      <w:r w:rsidR="007972DA" w:rsidRPr="00D51201">
        <w:rPr>
          <w:rFonts w:ascii="Book Antiqua" w:eastAsia="Book Antiqua" w:hAnsi="Book Antiqua" w:cs="Book Antiqua"/>
          <w:bCs/>
          <w:color w:val="000000"/>
        </w:rPr>
        <w:t xml:space="preserve"> PALN: Para-aortic lymph nodes.</w:t>
      </w:r>
    </w:p>
    <w:p w14:paraId="59BB9D04" w14:textId="77777777" w:rsidR="005F7A35" w:rsidRPr="00D51201" w:rsidRDefault="005F7A35" w:rsidP="00603AB3">
      <w:pPr>
        <w:adjustRightInd w:val="0"/>
        <w:snapToGrid w:val="0"/>
        <w:spacing w:line="360" w:lineRule="auto"/>
        <w:rPr>
          <w:rFonts w:ascii="Book Antiqua" w:hAnsi="Book Antiqua"/>
          <w:b/>
        </w:rPr>
      </w:pPr>
      <w:r w:rsidRPr="00D51201">
        <w:rPr>
          <w:rFonts w:ascii="Book Antiqua" w:eastAsia="Book Antiqua" w:hAnsi="Book Antiqua" w:cs="Book Antiqua"/>
          <w:b/>
          <w:bCs/>
          <w:color w:val="000000"/>
        </w:rPr>
        <w:br w:type="page"/>
      </w:r>
      <w:r w:rsidR="00157899" w:rsidRPr="00D51201">
        <w:rPr>
          <w:rFonts w:ascii="Book Antiqua" w:hAnsi="Book Antiqua"/>
          <w:b/>
        </w:rPr>
        <w:lastRenderedPageBreak/>
        <w:t>Table 1</w:t>
      </w:r>
      <w:r w:rsidRPr="00D51201">
        <w:rPr>
          <w:rFonts w:ascii="Book Antiqua" w:hAnsi="Book Antiqua"/>
          <w:b/>
        </w:rPr>
        <w:t xml:space="preserve"> Patient demographics, operative and pathological characteristics and outcomes</w:t>
      </w:r>
    </w:p>
    <w:tbl>
      <w:tblPr>
        <w:tblStyle w:val="a3"/>
        <w:tblW w:w="0" w:type="auto"/>
        <w:tblInd w:w="-1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1808"/>
        <w:gridCol w:w="1783"/>
        <w:gridCol w:w="1789"/>
        <w:gridCol w:w="1041"/>
      </w:tblGrid>
      <w:tr w:rsidR="005F7A35" w:rsidRPr="00D51201" w14:paraId="4ED1A57B" w14:textId="77777777" w:rsidTr="00351DDE">
        <w:tc>
          <w:tcPr>
            <w:tcW w:w="3119" w:type="dxa"/>
            <w:tcBorders>
              <w:top w:val="single" w:sz="4" w:space="0" w:color="auto"/>
              <w:bottom w:val="single" w:sz="4" w:space="0" w:color="auto"/>
            </w:tcBorders>
            <w:shd w:val="clear" w:color="auto" w:fill="auto"/>
          </w:tcPr>
          <w:p w14:paraId="0D838D14" w14:textId="77777777" w:rsidR="005F7A35" w:rsidRPr="00D51201" w:rsidRDefault="005F7A35" w:rsidP="00603AB3">
            <w:pPr>
              <w:adjustRightInd w:val="0"/>
              <w:snapToGrid w:val="0"/>
              <w:spacing w:line="360" w:lineRule="auto"/>
              <w:rPr>
                <w:rFonts w:ascii="Book Antiqua" w:hAnsi="Book Antiqua"/>
                <w:b/>
              </w:rPr>
            </w:pPr>
            <w:r w:rsidRPr="00D51201">
              <w:rPr>
                <w:rFonts w:ascii="Book Antiqua" w:hAnsi="Book Antiqua"/>
                <w:b/>
              </w:rPr>
              <w:t>Factors</w:t>
            </w:r>
          </w:p>
        </w:tc>
        <w:tc>
          <w:tcPr>
            <w:tcW w:w="1860" w:type="dxa"/>
            <w:tcBorders>
              <w:top w:val="single" w:sz="4" w:space="0" w:color="auto"/>
              <w:bottom w:val="single" w:sz="4" w:space="0" w:color="auto"/>
            </w:tcBorders>
            <w:shd w:val="clear" w:color="auto" w:fill="auto"/>
          </w:tcPr>
          <w:p w14:paraId="0AC7FDF4" w14:textId="77777777" w:rsidR="005F7A35" w:rsidRPr="00D51201" w:rsidRDefault="005F7A35" w:rsidP="00603AB3">
            <w:pPr>
              <w:adjustRightInd w:val="0"/>
              <w:snapToGrid w:val="0"/>
              <w:spacing w:line="360" w:lineRule="auto"/>
              <w:rPr>
                <w:rFonts w:ascii="Book Antiqua" w:hAnsi="Book Antiqua"/>
                <w:b/>
              </w:rPr>
            </w:pPr>
            <w:r w:rsidRPr="00D51201">
              <w:rPr>
                <w:rFonts w:ascii="Book Antiqua" w:hAnsi="Book Antiqua"/>
                <w:b/>
              </w:rPr>
              <w:t>Total (</w:t>
            </w:r>
            <w:r w:rsidRPr="00D51201">
              <w:rPr>
                <w:rFonts w:ascii="Book Antiqua" w:hAnsi="Book Antiqua"/>
                <w:b/>
                <w:i/>
              </w:rPr>
              <w:t>n</w:t>
            </w:r>
            <w:r w:rsidR="00157899" w:rsidRPr="00D51201">
              <w:rPr>
                <w:rFonts w:ascii="Book Antiqua" w:hAnsi="Book Antiqua"/>
                <w:b/>
              </w:rPr>
              <w:t xml:space="preserve"> </w:t>
            </w:r>
            <w:r w:rsidRPr="00D51201">
              <w:rPr>
                <w:rFonts w:ascii="Book Antiqua" w:hAnsi="Book Antiqua"/>
                <w:b/>
              </w:rPr>
              <w:t>=</w:t>
            </w:r>
            <w:r w:rsidR="00157899" w:rsidRPr="00D51201">
              <w:rPr>
                <w:rFonts w:ascii="Book Antiqua" w:hAnsi="Book Antiqua"/>
                <w:b/>
              </w:rPr>
              <w:t xml:space="preserve"> </w:t>
            </w:r>
            <w:r w:rsidRPr="00D51201">
              <w:rPr>
                <w:rFonts w:ascii="Book Antiqua" w:hAnsi="Book Antiqua"/>
                <w:b/>
              </w:rPr>
              <w:t>81)</w:t>
            </w:r>
          </w:p>
        </w:tc>
        <w:tc>
          <w:tcPr>
            <w:tcW w:w="1826" w:type="dxa"/>
            <w:tcBorders>
              <w:top w:val="single" w:sz="4" w:space="0" w:color="auto"/>
              <w:bottom w:val="single" w:sz="4" w:space="0" w:color="auto"/>
            </w:tcBorders>
            <w:shd w:val="clear" w:color="auto" w:fill="auto"/>
          </w:tcPr>
          <w:p w14:paraId="35662A45" w14:textId="77777777" w:rsidR="005F7A35" w:rsidRPr="00D51201" w:rsidRDefault="005F7A35" w:rsidP="00603AB3">
            <w:pPr>
              <w:adjustRightInd w:val="0"/>
              <w:snapToGrid w:val="0"/>
              <w:spacing w:line="360" w:lineRule="auto"/>
              <w:rPr>
                <w:rFonts w:ascii="Book Antiqua" w:hAnsi="Book Antiqua"/>
                <w:b/>
              </w:rPr>
            </w:pPr>
            <w:r w:rsidRPr="00D51201">
              <w:rPr>
                <w:rFonts w:ascii="Book Antiqua" w:hAnsi="Book Antiqua"/>
                <w:b/>
              </w:rPr>
              <w:t>PALN+ (</w:t>
            </w:r>
            <w:r w:rsidRPr="00D51201">
              <w:rPr>
                <w:rFonts w:ascii="Book Antiqua" w:hAnsi="Book Antiqua"/>
                <w:b/>
                <w:i/>
              </w:rPr>
              <w:t>n</w:t>
            </w:r>
            <w:r w:rsidR="00157899" w:rsidRPr="00D51201">
              <w:rPr>
                <w:rFonts w:ascii="Book Antiqua" w:hAnsi="Book Antiqua"/>
                <w:b/>
              </w:rPr>
              <w:t xml:space="preserve"> </w:t>
            </w:r>
            <w:r w:rsidRPr="00D51201">
              <w:rPr>
                <w:rFonts w:ascii="Book Antiqua" w:hAnsi="Book Antiqua"/>
                <w:b/>
              </w:rPr>
              <w:t>=</w:t>
            </w:r>
            <w:r w:rsidR="00157899" w:rsidRPr="00D51201">
              <w:rPr>
                <w:rFonts w:ascii="Book Antiqua" w:hAnsi="Book Antiqua"/>
                <w:b/>
              </w:rPr>
              <w:t xml:space="preserve"> </w:t>
            </w:r>
            <w:r w:rsidRPr="00D51201">
              <w:rPr>
                <w:rFonts w:ascii="Book Antiqua" w:hAnsi="Book Antiqua"/>
                <w:b/>
              </w:rPr>
              <w:t>17)</w:t>
            </w:r>
          </w:p>
        </w:tc>
        <w:tc>
          <w:tcPr>
            <w:tcW w:w="1836" w:type="dxa"/>
            <w:tcBorders>
              <w:top w:val="single" w:sz="4" w:space="0" w:color="auto"/>
              <w:bottom w:val="single" w:sz="4" w:space="0" w:color="auto"/>
            </w:tcBorders>
            <w:shd w:val="clear" w:color="auto" w:fill="auto"/>
          </w:tcPr>
          <w:p w14:paraId="2B706E7C" w14:textId="77777777" w:rsidR="005F7A35" w:rsidRPr="00D51201" w:rsidRDefault="005F7A35" w:rsidP="00603AB3">
            <w:pPr>
              <w:adjustRightInd w:val="0"/>
              <w:snapToGrid w:val="0"/>
              <w:spacing w:line="360" w:lineRule="auto"/>
              <w:rPr>
                <w:rFonts w:ascii="Book Antiqua" w:hAnsi="Book Antiqua"/>
                <w:b/>
              </w:rPr>
            </w:pPr>
            <w:r w:rsidRPr="00D51201">
              <w:rPr>
                <w:rFonts w:ascii="Book Antiqua" w:hAnsi="Book Antiqua"/>
                <w:b/>
              </w:rPr>
              <w:t>PALN- (</w:t>
            </w:r>
            <w:r w:rsidRPr="00D51201">
              <w:rPr>
                <w:rFonts w:ascii="Book Antiqua" w:hAnsi="Book Antiqua"/>
                <w:b/>
                <w:i/>
              </w:rPr>
              <w:t>n</w:t>
            </w:r>
            <w:r w:rsidR="00157899" w:rsidRPr="00D51201">
              <w:rPr>
                <w:rFonts w:ascii="Book Antiqua" w:hAnsi="Book Antiqua"/>
                <w:b/>
              </w:rPr>
              <w:t xml:space="preserve"> </w:t>
            </w:r>
            <w:r w:rsidRPr="00D51201">
              <w:rPr>
                <w:rFonts w:ascii="Book Antiqua" w:hAnsi="Book Antiqua"/>
                <w:b/>
              </w:rPr>
              <w:t>=</w:t>
            </w:r>
            <w:r w:rsidR="00157899" w:rsidRPr="00D51201">
              <w:rPr>
                <w:rFonts w:ascii="Book Antiqua" w:hAnsi="Book Antiqua"/>
                <w:b/>
              </w:rPr>
              <w:t xml:space="preserve"> </w:t>
            </w:r>
            <w:r w:rsidRPr="00D51201">
              <w:rPr>
                <w:rFonts w:ascii="Book Antiqua" w:hAnsi="Book Antiqua"/>
                <w:b/>
              </w:rPr>
              <w:t>64)</w:t>
            </w:r>
          </w:p>
        </w:tc>
        <w:tc>
          <w:tcPr>
            <w:tcW w:w="1054" w:type="dxa"/>
            <w:tcBorders>
              <w:top w:val="single" w:sz="4" w:space="0" w:color="auto"/>
              <w:bottom w:val="single" w:sz="4" w:space="0" w:color="auto"/>
            </w:tcBorders>
            <w:shd w:val="clear" w:color="auto" w:fill="auto"/>
          </w:tcPr>
          <w:p w14:paraId="134B6796" w14:textId="77777777" w:rsidR="005F7A35" w:rsidRPr="00D51201" w:rsidRDefault="005F7A35" w:rsidP="00603AB3">
            <w:pPr>
              <w:adjustRightInd w:val="0"/>
              <w:snapToGrid w:val="0"/>
              <w:spacing w:line="360" w:lineRule="auto"/>
              <w:rPr>
                <w:rFonts w:ascii="Book Antiqua" w:hAnsi="Book Antiqua"/>
                <w:b/>
              </w:rPr>
            </w:pPr>
            <w:r w:rsidRPr="00D51201">
              <w:rPr>
                <w:rFonts w:ascii="Book Antiqua" w:hAnsi="Book Antiqua"/>
                <w:b/>
                <w:i/>
              </w:rPr>
              <w:t>P</w:t>
            </w:r>
            <w:r w:rsidRPr="00D51201">
              <w:rPr>
                <w:rFonts w:ascii="Book Antiqua" w:hAnsi="Book Antiqua"/>
                <w:b/>
              </w:rPr>
              <w:t xml:space="preserve"> value</w:t>
            </w:r>
          </w:p>
        </w:tc>
      </w:tr>
      <w:tr w:rsidR="005F7A35" w:rsidRPr="00D51201" w14:paraId="0DFB9214" w14:textId="77777777" w:rsidTr="00351DDE">
        <w:tc>
          <w:tcPr>
            <w:tcW w:w="3119" w:type="dxa"/>
            <w:tcBorders>
              <w:top w:val="single" w:sz="4" w:space="0" w:color="auto"/>
            </w:tcBorders>
            <w:shd w:val="clear" w:color="auto" w:fill="auto"/>
          </w:tcPr>
          <w:p w14:paraId="5BC63E2B"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Demographics</w:t>
            </w:r>
          </w:p>
        </w:tc>
        <w:tc>
          <w:tcPr>
            <w:tcW w:w="1860" w:type="dxa"/>
            <w:tcBorders>
              <w:top w:val="single" w:sz="4" w:space="0" w:color="auto"/>
            </w:tcBorders>
            <w:shd w:val="clear" w:color="auto" w:fill="auto"/>
          </w:tcPr>
          <w:p w14:paraId="5F4BD355" w14:textId="77777777" w:rsidR="005F7A35" w:rsidRPr="00D51201" w:rsidRDefault="005F7A35" w:rsidP="00603AB3">
            <w:pPr>
              <w:adjustRightInd w:val="0"/>
              <w:snapToGrid w:val="0"/>
              <w:spacing w:line="360" w:lineRule="auto"/>
              <w:rPr>
                <w:rFonts w:ascii="Book Antiqua" w:hAnsi="Book Antiqua"/>
              </w:rPr>
            </w:pPr>
          </w:p>
        </w:tc>
        <w:tc>
          <w:tcPr>
            <w:tcW w:w="1826" w:type="dxa"/>
            <w:tcBorders>
              <w:top w:val="single" w:sz="4" w:space="0" w:color="auto"/>
            </w:tcBorders>
            <w:shd w:val="clear" w:color="auto" w:fill="auto"/>
          </w:tcPr>
          <w:p w14:paraId="7AF74A4D" w14:textId="77777777" w:rsidR="005F7A35" w:rsidRPr="00D51201" w:rsidRDefault="005F7A35" w:rsidP="00603AB3">
            <w:pPr>
              <w:adjustRightInd w:val="0"/>
              <w:snapToGrid w:val="0"/>
              <w:spacing w:line="360" w:lineRule="auto"/>
              <w:rPr>
                <w:rFonts w:ascii="Book Antiqua" w:hAnsi="Book Antiqua"/>
              </w:rPr>
            </w:pPr>
          </w:p>
        </w:tc>
        <w:tc>
          <w:tcPr>
            <w:tcW w:w="1836" w:type="dxa"/>
            <w:tcBorders>
              <w:top w:val="single" w:sz="4" w:space="0" w:color="auto"/>
            </w:tcBorders>
            <w:shd w:val="clear" w:color="auto" w:fill="auto"/>
          </w:tcPr>
          <w:p w14:paraId="7BEA77C9" w14:textId="77777777" w:rsidR="005F7A35" w:rsidRPr="00D51201" w:rsidRDefault="005F7A35" w:rsidP="00603AB3">
            <w:pPr>
              <w:adjustRightInd w:val="0"/>
              <w:snapToGrid w:val="0"/>
              <w:spacing w:line="360" w:lineRule="auto"/>
              <w:rPr>
                <w:rFonts w:ascii="Book Antiqua" w:hAnsi="Book Antiqua"/>
              </w:rPr>
            </w:pPr>
          </w:p>
        </w:tc>
        <w:tc>
          <w:tcPr>
            <w:tcW w:w="1054" w:type="dxa"/>
            <w:tcBorders>
              <w:top w:val="single" w:sz="4" w:space="0" w:color="auto"/>
            </w:tcBorders>
            <w:shd w:val="clear" w:color="auto" w:fill="auto"/>
          </w:tcPr>
          <w:p w14:paraId="6D02581F"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503D445F" w14:textId="77777777" w:rsidTr="00351DDE">
        <w:tc>
          <w:tcPr>
            <w:tcW w:w="3119" w:type="dxa"/>
            <w:shd w:val="clear" w:color="auto" w:fill="auto"/>
          </w:tcPr>
          <w:p w14:paraId="071FC3A3"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Age (median and range in years)</w:t>
            </w:r>
          </w:p>
        </w:tc>
        <w:tc>
          <w:tcPr>
            <w:tcW w:w="1860" w:type="dxa"/>
            <w:shd w:val="clear" w:color="auto" w:fill="auto"/>
          </w:tcPr>
          <w:p w14:paraId="68A10ACC"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69 (43-84)</w:t>
            </w:r>
          </w:p>
        </w:tc>
        <w:tc>
          <w:tcPr>
            <w:tcW w:w="1826" w:type="dxa"/>
            <w:shd w:val="clear" w:color="auto" w:fill="auto"/>
          </w:tcPr>
          <w:p w14:paraId="0528120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68.8 (61-72.3)</w:t>
            </w:r>
          </w:p>
        </w:tc>
        <w:tc>
          <w:tcPr>
            <w:tcW w:w="1836" w:type="dxa"/>
            <w:shd w:val="clear" w:color="auto" w:fill="auto"/>
          </w:tcPr>
          <w:p w14:paraId="6D472DF7"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69 (61-75)</w:t>
            </w:r>
          </w:p>
        </w:tc>
        <w:tc>
          <w:tcPr>
            <w:tcW w:w="1054" w:type="dxa"/>
            <w:shd w:val="clear" w:color="auto" w:fill="auto"/>
          </w:tcPr>
          <w:p w14:paraId="5EBB3DC3"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0.404</w:t>
            </w:r>
          </w:p>
        </w:tc>
      </w:tr>
      <w:tr w:rsidR="005F7A35" w:rsidRPr="00D51201" w14:paraId="0C7B1FC3" w14:textId="77777777" w:rsidTr="00351DDE">
        <w:tc>
          <w:tcPr>
            <w:tcW w:w="3119" w:type="dxa"/>
            <w:shd w:val="clear" w:color="auto" w:fill="auto"/>
          </w:tcPr>
          <w:p w14:paraId="5974C4E1"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Gender, male (%)</w:t>
            </w:r>
          </w:p>
        </w:tc>
        <w:tc>
          <w:tcPr>
            <w:tcW w:w="1860" w:type="dxa"/>
            <w:shd w:val="clear" w:color="auto" w:fill="auto"/>
          </w:tcPr>
          <w:p w14:paraId="6FB1D9CE"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38 (47)</w:t>
            </w:r>
          </w:p>
        </w:tc>
        <w:tc>
          <w:tcPr>
            <w:tcW w:w="1826" w:type="dxa"/>
            <w:shd w:val="clear" w:color="auto" w:fill="auto"/>
          </w:tcPr>
          <w:p w14:paraId="14FDAD86"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12 (71)</w:t>
            </w:r>
          </w:p>
        </w:tc>
        <w:tc>
          <w:tcPr>
            <w:tcW w:w="1836" w:type="dxa"/>
            <w:shd w:val="clear" w:color="auto" w:fill="auto"/>
          </w:tcPr>
          <w:p w14:paraId="62F6A08E"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33 (52)</w:t>
            </w:r>
          </w:p>
        </w:tc>
        <w:tc>
          <w:tcPr>
            <w:tcW w:w="1054" w:type="dxa"/>
            <w:shd w:val="clear" w:color="auto" w:fill="auto"/>
          </w:tcPr>
          <w:p w14:paraId="2A7A4E3D"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0.171</w:t>
            </w:r>
          </w:p>
          <w:p w14:paraId="31184E28"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04146168" w14:textId="77777777" w:rsidTr="00351DDE">
        <w:tc>
          <w:tcPr>
            <w:tcW w:w="3119" w:type="dxa"/>
            <w:shd w:val="clear" w:color="auto" w:fill="auto"/>
          </w:tcPr>
          <w:p w14:paraId="6A7E3D66"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BMI (kg/m</w:t>
            </w:r>
            <w:r w:rsidRPr="00D51201">
              <w:rPr>
                <w:rFonts w:ascii="Book Antiqua" w:hAnsi="Book Antiqua"/>
                <w:vertAlign w:val="superscript"/>
              </w:rPr>
              <w:t>2</w:t>
            </w:r>
            <w:r w:rsidRPr="00D51201">
              <w:rPr>
                <w:rFonts w:ascii="Book Antiqua" w:hAnsi="Book Antiqua"/>
              </w:rPr>
              <w:t>)</w:t>
            </w:r>
          </w:p>
        </w:tc>
        <w:tc>
          <w:tcPr>
            <w:tcW w:w="1860" w:type="dxa"/>
            <w:shd w:val="clear" w:color="auto" w:fill="auto"/>
          </w:tcPr>
          <w:p w14:paraId="08066FCA"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25.1 (22.0-27.8)</w:t>
            </w:r>
          </w:p>
        </w:tc>
        <w:tc>
          <w:tcPr>
            <w:tcW w:w="1826" w:type="dxa"/>
            <w:shd w:val="clear" w:color="auto" w:fill="auto"/>
          </w:tcPr>
          <w:p w14:paraId="79FB43EA"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26.2 (22.2-27.8)</w:t>
            </w:r>
          </w:p>
        </w:tc>
        <w:tc>
          <w:tcPr>
            <w:tcW w:w="1836" w:type="dxa"/>
            <w:shd w:val="clear" w:color="auto" w:fill="auto"/>
          </w:tcPr>
          <w:p w14:paraId="3769564E"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24.9 (21.9-27.7)</w:t>
            </w:r>
          </w:p>
        </w:tc>
        <w:tc>
          <w:tcPr>
            <w:tcW w:w="1054" w:type="dxa"/>
            <w:shd w:val="clear" w:color="auto" w:fill="auto"/>
          </w:tcPr>
          <w:p w14:paraId="5F20B032"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0.413</w:t>
            </w:r>
          </w:p>
        </w:tc>
      </w:tr>
      <w:tr w:rsidR="005F7A35" w:rsidRPr="00D51201" w14:paraId="3D4E54C8" w14:textId="77777777" w:rsidTr="00351DDE">
        <w:tc>
          <w:tcPr>
            <w:tcW w:w="3119" w:type="dxa"/>
            <w:shd w:val="clear" w:color="auto" w:fill="auto"/>
          </w:tcPr>
          <w:p w14:paraId="1CE99432"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Non-smoker (%)</w:t>
            </w:r>
          </w:p>
        </w:tc>
        <w:tc>
          <w:tcPr>
            <w:tcW w:w="1860" w:type="dxa"/>
            <w:shd w:val="clear" w:color="auto" w:fill="auto"/>
          </w:tcPr>
          <w:p w14:paraId="47E70B98"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 xml:space="preserve">13 (73) </w:t>
            </w:r>
          </w:p>
        </w:tc>
        <w:tc>
          <w:tcPr>
            <w:tcW w:w="1826" w:type="dxa"/>
            <w:shd w:val="clear" w:color="auto" w:fill="auto"/>
          </w:tcPr>
          <w:p w14:paraId="05B4A05D"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 xml:space="preserve">14 (82) </w:t>
            </w:r>
          </w:p>
        </w:tc>
        <w:tc>
          <w:tcPr>
            <w:tcW w:w="1836" w:type="dxa"/>
            <w:shd w:val="clear" w:color="auto" w:fill="auto"/>
          </w:tcPr>
          <w:p w14:paraId="7D78B09A"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46 (72)</w:t>
            </w:r>
          </w:p>
        </w:tc>
        <w:tc>
          <w:tcPr>
            <w:tcW w:w="1054" w:type="dxa"/>
            <w:shd w:val="clear" w:color="auto" w:fill="auto"/>
          </w:tcPr>
          <w:p w14:paraId="1A1BF337"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0.462</w:t>
            </w:r>
          </w:p>
        </w:tc>
      </w:tr>
      <w:tr w:rsidR="005F7A35" w:rsidRPr="00D51201" w14:paraId="5A1E0938" w14:textId="77777777" w:rsidTr="00351DDE">
        <w:tc>
          <w:tcPr>
            <w:tcW w:w="3119" w:type="dxa"/>
            <w:shd w:val="clear" w:color="auto" w:fill="auto"/>
          </w:tcPr>
          <w:p w14:paraId="0117414B"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Preoperative CA19-9 levels (KU/L)</w:t>
            </w:r>
          </w:p>
        </w:tc>
        <w:tc>
          <w:tcPr>
            <w:tcW w:w="1860" w:type="dxa"/>
            <w:shd w:val="clear" w:color="auto" w:fill="auto"/>
          </w:tcPr>
          <w:p w14:paraId="74309C68"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286 (2-36000)</w:t>
            </w:r>
          </w:p>
        </w:tc>
        <w:tc>
          <w:tcPr>
            <w:tcW w:w="1826" w:type="dxa"/>
            <w:shd w:val="clear" w:color="auto" w:fill="auto"/>
          </w:tcPr>
          <w:p w14:paraId="07ED2A8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410 (14-2784)</w:t>
            </w:r>
          </w:p>
        </w:tc>
        <w:tc>
          <w:tcPr>
            <w:tcW w:w="1836" w:type="dxa"/>
            <w:shd w:val="clear" w:color="auto" w:fill="auto"/>
          </w:tcPr>
          <w:p w14:paraId="3085863D"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252 (2-36000)</w:t>
            </w:r>
          </w:p>
        </w:tc>
        <w:tc>
          <w:tcPr>
            <w:tcW w:w="1054" w:type="dxa"/>
            <w:shd w:val="clear" w:color="auto" w:fill="auto"/>
          </w:tcPr>
          <w:p w14:paraId="0D7B9C0B"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0.594</w:t>
            </w:r>
          </w:p>
        </w:tc>
      </w:tr>
      <w:tr w:rsidR="005F7A35" w:rsidRPr="00D51201" w14:paraId="2B1E68C9" w14:textId="77777777" w:rsidTr="00351DDE">
        <w:tc>
          <w:tcPr>
            <w:tcW w:w="3119" w:type="dxa"/>
            <w:shd w:val="clear" w:color="auto" w:fill="auto"/>
          </w:tcPr>
          <w:p w14:paraId="4D547E2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 xml:space="preserve">Charlson </w:t>
            </w:r>
            <w:r w:rsidR="00157899" w:rsidRPr="00D51201">
              <w:rPr>
                <w:rFonts w:ascii="Book Antiqua" w:hAnsi="Book Antiqua"/>
              </w:rPr>
              <w:t>comorbidity inde</w:t>
            </w:r>
            <w:r w:rsidRPr="00D51201">
              <w:rPr>
                <w:rFonts w:ascii="Book Antiqua" w:hAnsi="Book Antiqua"/>
              </w:rPr>
              <w:t>x</w:t>
            </w:r>
          </w:p>
        </w:tc>
        <w:tc>
          <w:tcPr>
            <w:tcW w:w="1860" w:type="dxa"/>
            <w:shd w:val="clear" w:color="auto" w:fill="auto"/>
          </w:tcPr>
          <w:p w14:paraId="3D78DC6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4 (3-5)</w:t>
            </w:r>
          </w:p>
        </w:tc>
        <w:tc>
          <w:tcPr>
            <w:tcW w:w="1826" w:type="dxa"/>
            <w:shd w:val="clear" w:color="auto" w:fill="auto"/>
          </w:tcPr>
          <w:p w14:paraId="60AC891A"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4 (3-5)</w:t>
            </w:r>
          </w:p>
        </w:tc>
        <w:tc>
          <w:tcPr>
            <w:tcW w:w="1836" w:type="dxa"/>
            <w:shd w:val="clear" w:color="auto" w:fill="auto"/>
          </w:tcPr>
          <w:p w14:paraId="561485EF"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4.5 (3-5)</w:t>
            </w:r>
          </w:p>
        </w:tc>
        <w:tc>
          <w:tcPr>
            <w:tcW w:w="1054" w:type="dxa"/>
            <w:shd w:val="clear" w:color="auto" w:fill="auto"/>
          </w:tcPr>
          <w:p w14:paraId="6C62F358"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0.079</w:t>
            </w:r>
          </w:p>
        </w:tc>
      </w:tr>
      <w:tr w:rsidR="005F7A35" w:rsidRPr="00D51201" w14:paraId="155290CC" w14:textId="77777777" w:rsidTr="00351DDE">
        <w:tc>
          <w:tcPr>
            <w:tcW w:w="3119" w:type="dxa"/>
            <w:shd w:val="clear" w:color="auto" w:fill="auto"/>
          </w:tcPr>
          <w:p w14:paraId="48A6BD9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 xml:space="preserve">Preoperative radiological stage </w:t>
            </w:r>
            <w:r w:rsidRPr="00D51201">
              <w:rPr>
                <w:rFonts w:ascii="Book Antiqua" w:hAnsi="Book Antiqua"/>
                <w:i/>
              </w:rPr>
              <w:t>n</w:t>
            </w:r>
            <w:r w:rsidRPr="00D51201">
              <w:rPr>
                <w:rFonts w:ascii="Book Antiqua" w:hAnsi="Book Antiqua"/>
              </w:rPr>
              <w:t xml:space="preserve"> (%)</w:t>
            </w:r>
          </w:p>
        </w:tc>
        <w:tc>
          <w:tcPr>
            <w:tcW w:w="1860" w:type="dxa"/>
            <w:shd w:val="clear" w:color="auto" w:fill="auto"/>
          </w:tcPr>
          <w:p w14:paraId="3FC30F49" w14:textId="77777777" w:rsidR="005F7A35" w:rsidRPr="00D51201" w:rsidRDefault="005F7A35" w:rsidP="00603AB3">
            <w:pPr>
              <w:adjustRightInd w:val="0"/>
              <w:snapToGrid w:val="0"/>
              <w:spacing w:line="360" w:lineRule="auto"/>
              <w:rPr>
                <w:rFonts w:ascii="Book Antiqua" w:hAnsi="Book Antiqua"/>
              </w:rPr>
            </w:pPr>
          </w:p>
        </w:tc>
        <w:tc>
          <w:tcPr>
            <w:tcW w:w="1826" w:type="dxa"/>
            <w:shd w:val="clear" w:color="auto" w:fill="auto"/>
          </w:tcPr>
          <w:p w14:paraId="392E326B" w14:textId="77777777" w:rsidR="005F7A35" w:rsidRPr="00D51201" w:rsidRDefault="005F7A35" w:rsidP="00603AB3">
            <w:pPr>
              <w:adjustRightInd w:val="0"/>
              <w:snapToGrid w:val="0"/>
              <w:spacing w:line="360" w:lineRule="auto"/>
              <w:rPr>
                <w:rFonts w:ascii="Book Antiqua" w:hAnsi="Book Antiqua"/>
              </w:rPr>
            </w:pPr>
          </w:p>
        </w:tc>
        <w:tc>
          <w:tcPr>
            <w:tcW w:w="1836" w:type="dxa"/>
            <w:shd w:val="clear" w:color="auto" w:fill="auto"/>
          </w:tcPr>
          <w:p w14:paraId="3C5116FA" w14:textId="77777777" w:rsidR="005F7A35" w:rsidRPr="00D51201" w:rsidRDefault="005F7A35" w:rsidP="00603AB3">
            <w:pPr>
              <w:adjustRightInd w:val="0"/>
              <w:snapToGrid w:val="0"/>
              <w:spacing w:line="360" w:lineRule="auto"/>
              <w:rPr>
                <w:rFonts w:ascii="Book Antiqua" w:hAnsi="Book Antiqua"/>
              </w:rPr>
            </w:pPr>
          </w:p>
        </w:tc>
        <w:tc>
          <w:tcPr>
            <w:tcW w:w="1054" w:type="dxa"/>
            <w:shd w:val="clear" w:color="auto" w:fill="auto"/>
          </w:tcPr>
          <w:p w14:paraId="0DEB4213"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3EBA4D30" w14:textId="77777777" w:rsidTr="00351DDE">
        <w:tc>
          <w:tcPr>
            <w:tcW w:w="3119" w:type="dxa"/>
            <w:shd w:val="clear" w:color="auto" w:fill="auto"/>
          </w:tcPr>
          <w:p w14:paraId="1B8996F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Resectable</w:t>
            </w:r>
          </w:p>
        </w:tc>
        <w:tc>
          <w:tcPr>
            <w:tcW w:w="1860" w:type="dxa"/>
            <w:shd w:val="clear" w:color="auto" w:fill="auto"/>
          </w:tcPr>
          <w:p w14:paraId="08702AD7"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41 (51)</w:t>
            </w:r>
          </w:p>
        </w:tc>
        <w:tc>
          <w:tcPr>
            <w:tcW w:w="1826" w:type="dxa"/>
            <w:shd w:val="clear" w:color="auto" w:fill="auto"/>
          </w:tcPr>
          <w:p w14:paraId="52282FAE"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8 (47)</w:t>
            </w:r>
          </w:p>
        </w:tc>
        <w:tc>
          <w:tcPr>
            <w:tcW w:w="1836" w:type="dxa"/>
            <w:shd w:val="clear" w:color="auto" w:fill="auto"/>
          </w:tcPr>
          <w:p w14:paraId="6AB9FB2D"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33 (52)</w:t>
            </w:r>
          </w:p>
        </w:tc>
        <w:tc>
          <w:tcPr>
            <w:tcW w:w="1054" w:type="dxa"/>
            <w:vMerge w:val="restart"/>
            <w:shd w:val="clear" w:color="auto" w:fill="auto"/>
          </w:tcPr>
          <w:p w14:paraId="7BE5ECCC"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0.601</w:t>
            </w:r>
          </w:p>
        </w:tc>
      </w:tr>
      <w:tr w:rsidR="005F7A35" w:rsidRPr="00D51201" w14:paraId="64FE6BBD" w14:textId="77777777" w:rsidTr="00351DDE">
        <w:tc>
          <w:tcPr>
            <w:tcW w:w="3119" w:type="dxa"/>
            <w:shd w:val="clear" w:color="auto" w:fill="auto"/>
          </w:tcPr>
          <w:p w14:paraId="0C3006AD"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Borderline resectable</w:t>
            </w:r>
          </w:p>
        </w:tc>
        <w:tc>
          <w:tcPr>
            <w:tcW w:w="1860" w:type="dxa"/>
            <w:shd w:val="clear" w:color="auto" w:fill="auto"/>
          </w:tcPr>
          <w:p w14:paraId="297CE554"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31 (38)</w:t>
            </w:r>
          </w:p>
        </w:tc>
        <w:tc>
          <w:tcPr>
            <w:tcW w:w="1826" w:type="dxa"/>
            <w:shd w:val="clear" w:color="auto" w:fill="auto"/>
          </w:tcPr>
          <w:p w14:paraId="3776901F"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8(47)</w:t>
            </w:r>
          </w:p>
        </w:tc>
        <w:tc>
          <w:tcPr>
            <w:tcW w:w="1836" w:type="dxa"/>
            <w:shd w:val="clear" w:color="auto" w:fill="auto"/>
          </w:tcPr>
          <w:p w14:paraId="5A83CF7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23 (36)</w:t>
            </w:r>
          </w:p>
        </w:tc>
        <w:tc>
          <w:tcPr>
            <w:tcW w:w="1054" w:type="dxa"/>
            <w:vMerge/>
            <w:shd w:val="clear" w:color="auto" w:fill="auto"/>
          </w:tcPr>
          <w:p w14:paraId="0DBB4979"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318870C4" w14:textId="77777777" w:rsidTr="00351DDE">
        <w:tc>
          <w:tcPr>
            <w:tcW w:w="3119" w:type="dxa"/>
            <w:shd w:val="clear" w:color="auto" w:fill="auto"/>
          </w:tcPr>
          <w:p w14:paraId="0F78282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Locally advanced</w:t>
            </w:r>
          </w:p>
        </w:tc>
        <w:tc>
          <w:tcPr>
            <w:tcW w:w="1860" w:type="dxa"/>
            <w:shd w:val="clear" w:color="auto" w:fill="auto"/>
          </w:tcPr>
          <w:p w14:paraId="0FA80DC6"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9 (11)</w:t>
            </w:r>
          </w:p>
        </w:tc>
        <w:tc>
          <w:tcPr>
            <w:tcW w:w="1826" w:type="dxa"/>
            <w:shd w:val="clear" w:color="auto" w:fill="auto"/>
          </w:tcPr>
          <w:p w14:paraId="3D25169C"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 (6)</w:t>
            </w:r>
          </w:p>
        </w:tc>
        <w:tc>
          <w:tcPr>
            <w:tcW w:w="1836" w:type="dxa"/>
            <w:shd w:val="clear" w:color="auto" w:fill="auto"/>
          </w:tcPr>
          <w:p w14:paraId="52E1228E"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8 (12)</w:t>
            </w:r>
          </w:p>
        </w:tc>
        <w:tc>
          <w:tcPr>
            <w:tcW w:w="1054" w:type="dxa"/>
            <w:vMerge/>
            <w:shd w:val="clear" w:color="auto" w:fill="auto"/>
          </w:tcPr>
          <w:p w14:paraId="21F79128"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23DC3DF1" w14:textId="77777777" w:rsidTr="00351DDE">
        <w:tc>
          <w:tcPr>
            <w:tcW w:w="3119" w:type="dxa"/>
            <w:shd w:val="clear" w:color="auto" w:fill="auto"/>
          </w:tcPr>
          <w:p w14:paraId="5A5AE2BF"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Operation</w:t>
            </w:r>
            <w:r w:rsidR="0025262E" w:rsidRPr="00D51201">
              <w:rPr>
                <w:rFonts w:ascii="Book Antiqua" w:hAnsi="Book Antiqua"/>
              </w:rPr>
              <w:t>,</w:t>
            </w:r>
            <w:r w:rsidRPr="00D51201">
              <w:rPr>
                <w:rFonts w:ascii="Book Antiqua" w:hAnsi="Book Antiqua"/>
              </w:rPr>
              <w:t xml:space="preserve"> </w:t>
            </w:r>
            <w:r w:rsidRPr="00D51201">
              <w:rPr>
                <w:rFonts w:ascii="Book Antiqua" w:hAnsi="Book Antiqua"/>
                <w:i/>
              </w:rPr>
              <w:t>n</w:t>
            </w:r>
            <w:r w:rsidRPr="00D51201">
              <w:rPr>
                <w:rFonts w:ascii="Book Antiqua" w:hAnsi="Book Antiqua"/>
              </w:rPr>
              <w:t xml:space="preserve"> (%)</w:t>
            </w:r>
          </w:p>
        </w:tc>
        <w:tc>
          <w:tcPr>
            <w:tcW w:w="1860" w:type="dxa"/>
            <w:shd w:val="clear" w:color="auto" w:fill="auto"/>
          </w:tcPr>
          <w:p w14:paraId="6BB9A787" w14:textId="77777777" w:rsidR="005F7A35" w:rsidRPr="00D51201" w:rsidRDefault="005F7A35" w:rsidP="00603AB3">
            <w:pPr>
              <w:adjustRightInd w:val="0"/>
              <w:snapToGrid w:val="0"/>
              <w:spacing w:line="360" w:lineRule="auto"/>
              <w:rPr>
                <w:rFonts w:ascii="Book Antiqua" w:hAnsi="Book Antiqua"/>
              </w:rPr>
            </w:pPr>
          </w:p>
        </w:tc>
        <w:tc>
          <w:tcPr>
            <w:tcW w:w="1826" w:type="dxa"/>
            <w:shd w:val="clear" w:color="auto" w:fill="auto"/>
          </w:tcPr>
          <w:p w14:paraId="4C5CE6B2" w14:textId="77777777" w:rsidR="005F7A35" w:rsidRPr="00D51201" w:rsidRDefault="005F7A35" w:rsidP="00603AB3">
            <w:pPr>
              <w:adjustRightInd w:val="0"/>
              <w:snapToGrid w:val="0"/>
              <w:spacing w:line="360" w:lineRule="auto"/>
              <w:rPr>
                <w:rFonts w:ascii="Book Antiqua" w:hAnsi="Book Antiqua"/>
              </w:rPr>
            </w:pPr>
          </w:p>
        </w:tc>
        <w:tc>
          <w:tcPr>
            <w:tcW w:w="1836" w:type="dxa"/>
            <w:shd w:val="clear" w:color="auto" w:fill="auto"/>
          </w:tcPr>
          <w:p w14:paraId="230B0FDC" w14:textId="77777777" w:rsidR="005F7A35" w:rsidRPr="00D51201" w:rsidRDefault="005F7A35" w:rsidP="00603AB3">
            <w:pPr>
              <w:adjustRightInd w:val="0"/>
              <w:snapToGrid w:val="0"/>
              <w:spacing w:line="360" w:lineRule="auto"/>
              <w:rPr>
                <w:rFonts w:ascii="Book Antiqua" w:hAnsi="Book Antiqua"/>
              </w:rPr>
            </w:pPr>
          </w:p>
        </w:tc>
        <w:tc>
          <w:tcPr>
            <w:tcW w:w="1054" w:type="dxa"/>
            <w:shd w:val="clear" w:color="auto" w:fill="auto"/>
          </w:tcPr>
          <w:p w14:paraId="7A6C328D"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615586E2" w14:textId="77777777" w:rsidTr="00351DDE">
        <w:tc>
          <w:tcPr>
            <w:tcW w:w="3119" w:type="dxa"/>
            <w:shd w:val="clear" w:color="auto" w:fill="auto"/>
          </w:tcPr>
          <w:p w14:paraId="5340FD9F"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Distal pancreatectomy</w:t>
            </w:r>
          </w:p>
        </w:tc>
        <w:tc>
          <w:tcPr>
            <w:tcW w:w="1860" w:type="dxa"/>
            <w:shd w:val="clear" w:color="auto" w:fill="auto"/>
          </w:tcPr>
          <w:p w14:paraId="7F4EAA01"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 (1)</w:t>
            </w:r>
          </w:p>
        </w:tc>
        <w:tc>
          <w:tcPr>
            <w:tcW w:w="1826" w:type="dxa"/>
            <w:shd w:val="clear" w:color="auto" w:fill="auto"/>
          </w:tcPr>
          <w:p w14:paraId="07DCE22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w:t>
            </w:r>
          </w:p>
        </w:tc>
        <w:tc>
          <w:tcPr>
            <w:tcW w:w="1836" w:type="dxa"/>
            <w:shd w:val="clear" w:color="auto" w:fill="auto"/>
          </w:tcPr>
          <w:p w14:paraId="3FDB9F8B"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 (1)</w:t>
            </w:r>
          </w:p>
        </w:tc>
        <w:tc>
          <w:tcPr>
            <w:tcW w:w="1054" w:type="dxa"/>
            <w:vMerge w:val="restart"/>
            <w:shd w:val="clear" w:color="auto" w:fill="auto"/>
          </w:tcPr>
          <w:p w14:paraId="678480FE"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0.681</w:t>
            </w:r>
          </w:p>
        </w:tc>
      </w:tr>
      <w:tr w:rsidR="005F7A35" w:rsidRPr="00D51201" w14:paraId="6F933089" w14:textId="77777777" w:rsidTr="00351DDE">
        <w:tc>
          <w:tcPr>
            <w:tcW w:w="3119" w:type="dxa"/>
            <w:shd w:val="clear" w:color="auto" w:fill="auto"/>
          </w:tcPr>
          <w:p w14:paraId="29247A8C"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Total pancreatectomy</w:t>
            </w:r>
          </w:p>
        </w:tc>
        <w:tc>
          <w:tcPr>
            <w:tcW w:w="1860" w:type="dxa"/>
            <w:shd w:val="clear" w:color="auto" w:fill="auto"/>
          </w:tcPr>
          <w:p w14:paraId="777E1CA8"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14 (17)</w:t>
            </w:r>
          </w:p>
        </w:tc>
        <w:tc>
          <w:tcPr>
            <w:tcW w:w="1826" w:type="dxa"/>
            <w:shd w:val="clear" w:color="auto" w:fill="auto"/>
          </w:tcPr>
          <w:p w14:paraId="3C1E4408"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 (12)</w:t>
            </w:r>
          </w:p>
        </w:tc>
        <w:tc>
          <w:tcPr>
            <w:tcW w:w="1836" w:type="dxa"/>
            <w:shd w:val="clear" w:color="auto" w:fill="auto"/>
          </w:tcPr>
          <w:p w14:paraId="7024A911"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12 (19)</w:t>
            </w:r>
          </w:p>
        </w:tc>
        <w:tc>
          <w:tcPr>
            <w:tcW w:w="1054" w:type="dxa"/>
            <w:vMerge/>
            <w:shd w:val="clear" w:color="auto" w:fill="auto"/>
          </w:tcPr>
          <w:p w14:paraId="4976D9ED"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0F3BFBAF" w14:textId="77777777" w:rsidTr="00351DDE">
        <w:tc>
          <w:tcPr>
            <w:tcW w:w="3119" w:type="dxa"/>
            <w:shd w:val="clear" w:color="auto" w:fill="auto"/>
          </w:tcPr>
          <w:p w14:paraId="7CB9F6FF"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Pancreaticoduodenectomy</w:t>
            </w:r>
          </w:p>
        </w:tc>
        <w:tc>
          <w:tcPr>
            <w:tcW w:w="1860" w:type="dxa"/>
            <w:shd w:val="clear" w:color="auto" w:fill="auto"/>
          </w:tcPr>
          <w:p w14:paraId="05457EF7"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66 (82)</w:t>
            </w:r>
          </w:p>
        </w:tc>
        <w:tc>
          <w:tcPr>
            <w:tcW w:w="1826" w:type="dxa"/>
            <w:shd w:val="clear" w:color="auto" w:fill="auto"/>
          </w:tcPr>
          <w:p w14:paraId="5624739D"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15 (88)</w:t>
            </w:r>
          </w:p>
        </w:tc>
        <w:tc>
          <w:tcPr>
            <w:tcW w:w="1836" w:type="dxa"/>
            <w:shd w:val="clear" w:color="auto" w:fill="auto"/>
          </w:tcPr>
          <w:p w14:paraId="4F743C7B"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51 (80)</w:t>
            </w:r>
          </w:p>
        </w:tc>
        <w:tc>
          <w:tcPr>
            <w:tcW w:w="1054" w:type="dxa"/>
            <w:vMerge/>
            <w:shd w:val="clear" w:color="auto" w:fill="auto"/>
          </w:tcPr>
          <w:p w14:paraId="39410A7C"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1067B2B5" w14:textId="77777777" w:rsidTr="00351DDE">
        <w:tc>
          <w:tcPr>
            <w:tcW w:w="3119" w:type="dxa"/>
            <w:shd w:val="clear" w:color="auto" w:fill="auto"/>
          </w:tcPr>
          <w:p w14:paraId="0B332ABD"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Vein resection</w:t>
            </w:r>
          </w:p>
        </w:tc>
        <w:tc>
          <w:tcPr>
            <w:tcW w:w="1860" w:type="dxa"/>
            <w:shd w:val="clear" w:color="auto" w:fill="auto"/>
          </w:tcPr>
          <w:p w14:paraId="44FB570C"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33 (41)</w:t>
            </w:r>
          </w:p>
        </w:tc>
        <w:tc>
          <w:tcPr>
            <w:tcW w:w="1826" w:type="dxa"/>
            <w:shd w:val="clear" w:color="auto" w:fill="auto"/>
          </w:tcPr>
          <w:p w14:paraId="79473EA6"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7 (41)</w:t>
            </w:r>
          </w:p>
        </w:tc>
        <w:tc>
          <w:tcPr>
            <w:tcW w:w="1836" w:type="dxa"/>
            <w:shd w:val="clear" w:color="auto" w:fill="auto"/>
          </w:tcPr>
          <w:p w14:paraId="3D3B579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26 (41)</w:t>
            </w:r>
          </w:p>
        </w:tc>
        <w:tc>
          <w:tcPr>
            <w:tcW w:w="1054" w:type="dxa"/>
            <w:shd w:val="clear" w:color="auto" w:fill="auto"/>
          </w:tcPr>
          <w:p w14:paraId="289C54A3"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0.310</w:t>
            </w:r>
          </w:p>
        </w:tc>
      </w:tr>
      <w:tr w:rsidR="005F7A35" w:rsidRPr="00D51201" w14:paraId="7FDF4A69" w14:textId="77777777" w:rsidTr="00351DDE">
        <w:tc>
          <w:tcPr>
            <w:tcW w:w="3119" w:type="dxa"/>
            <w:shd w:val="clear" w:color="auto" w:fill="auto"/>
          </w:tcPr>
          <w:p w14:paraId="753F73C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Arterial resection</w:t>
            </w:r>
          </w:p>
        </w:tc>
        <w:tc>
          <w:tcPr>
            <w:tcW w:w="1860" w:type="dxa"/>
            <w:shd w:val="clear" w:color="auto" w:fill="auto"/>
          </w:tcPr>
          <w:p w14:paraId="1E49E267"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3 (4)</w:t>
            </w:r>
          </w:p>
        </w:tc>
        <w:tc>
          <w:tcPr>
            <w:tcW w:w="1826" w:type="dxa"/>
            <w:shd w:val="clear" w:color="auto" w:fill="auto"/>
          </w:tcPr>
          <w:p w14:paraId="137F50FA"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 (6)</w:t>
            </w:r>
          </w:p>
        </w:tc>
        <w:tc>
          <w:tcPr>
            <w:tcW w:w="1836" w:type="dxa"/>
            <w:shd w:val="clear" w:color="auto" w:fill="auto"/>
          </w:tcPr>
          <w:p w14:paraId="16524C35"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 (3)</w:t>
            </w:r>
          </w:p>
        </w:tc>
        <w:tc>
          <w:tcPr>
            <w:tcW w:w="1054" w:type="dxa"/>
            <w:shd w:val="clear" w:color="auto" w:fill="auto"/>
          </w:tcPr>
          <w:p w14:paraId="6E42485F"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0.842</w:t>
            </w:r>
          </w:p>
        </w:tc>
      </w:tr>
      <w:tr w:rsidR="005F7A35" w:rsidRPr="00D51201" w14:paraId="16BBCF25" w14:textId="77777777" w:rsidTr="00351DDE">
        <w:tc>
          <w:tcPr>
            <w:tcW w:w="3119" w:type="dxa"/>
            <w:shd w:val="clear" w:color="auto" w:fill="auto"/>
          </w:tcPr>
          <w:p w14:paraId="34369F8C"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Pathological staging</w:t>
            </w:r>
            <w:r w:rsidR="0025262E" w:rsidRPr="00D51201">
              <w:rPr>
                <w:rFonts w:ascii="Book Antiqua" w:hAnsi="Book Antiqua"/>
              </w:rPr>
              <w:t>,</w:t>
            </w:r>
            <w:r w:rsidRPr="00D51201">
              <w:rPr>
                <w:rFonts w:ascii="Book Antiqua" w:hAnsi="Book Antiqua"/>
              </w:rPr>
              <w:t xml:space="preserve"> </w:t>
            </w:r>
            <w:r w:rsidRPr="00D51201">
              <w:rPr>
                <w:rFonts w:ascii="Book Antiqua" w:hAnsi="Book Antiqua"/>
                <w:i/>
              </w:rPr>
              <w:t>n</w:t>
            </w:r>
            <w:r w:rsidRPr="00D51201">
              <w:rPr>
                <w:rFonts w:ascii="Book Antiqua" w:hAnsi="Book Antiqua"/>
              </w:rPr>
              <w:t xml:space="preserve"> (%)</w:t>
            </w:r>
          </w:p>
        </w:tc>
        <w:tc>
          <w:tcPr>
            <w:tcW w:w="1860" w:type="dxa"/>
            <w:shd w:val="clear" w:color="auto" w:fill="auto"/>
          </w:tcPr>
          <w:p w14:paraId="2E938C03" w14:textId="77777777" w:rsidR="005F7A35" w:rsidRPr="00D51201" w:rsidRDefault="005F7A35" w:rsidP="00603AB3">
            <w:pPr>
              <w:adjustRightInd w:val="0"/>
              <w:snapToGrid w:val="0"/>
              <w:spacing w:line="360" w:lineRule="auto"/>
              <w:rPr>
                <w:rFonts w:ascii="Book Antiqua" w:hAnsi="Book Antiqua"/>
              </w:rPr>
            </w:pPr>
          </w:p>
        </w:tc>
        <w:tc>
          <w:tcPr>
            <w:tcW w:w="1826" w:type="dxa"/>
            <w:shd w:val="clear" w:color="auto" w:fill="auto"/>
          </w:tcPr>
          <w:p w14:paraId="6D6F13DF" w14:textId="77777777" w:rsidR="005F7A35" w:rsidRPr="00D51201" w:rsidRDefault="005F7A35" w:rsidP="00603AB3">
            <w:pPr>
              <w:adjustRightInd w:val="0"/>
              <w:snapToGrid w:val="0"/>
              <w:spacing w:line="360" w:lineRule="auto"/>
              <w:rPr>
                <w:rFonts w:ascii="Book Antiqua" w:hAnsi="Book Antiqua"/>
              </w:rPr>
            </w:pPr>
          </w:p>
        </w:tc>
        <w:tc>
          <w:tcPr>
            <w:tcW w:w="1836" w:type="dxa"/>
            <w:shd w:val="clear" w:color="auto" w:fill="auto"/>
          </w:tcPr>
          <w:p w14:paraId="595A4879" w14:textId="77777777" w:rsidR="005F7A35" w:rsidRPr="00D51201" w:rsidRDefault="005F7A35" w:rsidP="00603AB3">
            <w:pPr>
              <w:adjustRightInd w:val="0"/>
              <w:snapToGrid w:val="0"/>
              <w:spacing w:line="360" w:lineRule="auto"/>
              <w:rPr>
                <w:rFonts w:ascii="Book Antiqua" w:hAnsi="Book Antiqua"/>
              </w:rPr>
            </w:pPr>
          </w:p>
        </w:tc>
        <w:tc>
          <w:tcPr>
            <w:tcW w:w="1054" w:type="dxa"/>
            <w:shd w:val="clear" w:color="auto" w:fill="auto"/>
          </w:tcPr>
          <w:p w14:paraId="779B2A8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1.000</w:t>
            </w:r>
          </w:p>
        </w:tc>
      </w:tr>
      <w:tr w:rsidR="005F7A35" w:rsidRPr="00D51201" w14:paraId="7F38DC37" w14:textId="77777777" w:rsidTr="00351DDE">
        <w:tc>
          <w:tcPr>
            <w:tcW w:w="3119" w:type="dxa"/>
            <w:shd w:val="clear" w:color="auto" w:fill="auto"/>
          </w:tcPr>
          <w:p w14:paraId="3E067E35" w14:textId="77777777" w:rsidR="005F7A35" w:rsidRPr="00D51201" w:rsidRDefault="005F7A35" w:rsidP="00603AB3">
            <w:pPr>
              <w:adjustRightInd w:val="0"/>
              <w:snapToGrid w:val="0"/>
              <w:spacing w:line="360" w:lineRule="auto"/>
              <w:rPr>
                <w:rFonts w:ascii="Book Antiqua" w:hAnsi="Book Antiqua"/>
                <w:i/>
                <w:iCs/>
              </w:rPr>
            </w:pPr>
            <w:r w:rsidRPr="00D51201">
              <w:rPr>
                <w:rFonts w:ascii="Book Antiqua" w:hAnsi="Book Antiqua"/>
              </w:rPr>
              <w:t>pT1</w:t>
            </w:r>
          </w:p>
        </w:tc>
        <w:tc>
          <w:tcPr>
            <w:tcW w:w="1860" w:type="dxa"/>
            <w:shd w:val="clear" w:color="auto" w:fill="auto"/>
          </w:tcPr>
          <w:p w14:paraId="1A2480D6" w14:textId="77777777" w:rsidR="005F7A35" w:rsidRPr="00D51201" w:rsidRDefault="005F7A35" w:rsidP="00603AB3">
            <w:pPr>
              <w:adjustRightInd w:val="0"/>
              <w:snapToGrid w:val="0"/>
              <w:spacing w:line="360" w:lineRule="auto"/>
              <w:rPr>
                <w:rFonts w:ascii="Book Antiqua" w:hAnsi="Book Antiqua"/>
                <w:i/>
                <w:iCs/>
              </w:rPr>
            </w:pPr>
            <w:r w:rsidRPr="00D51201">
              <w:rPr>
                <w:rFonts w:ascii="Book Antiqua" w:hAnsi="Book Antiqua"/>
              </w:rPr>
              <w:t>13 (16)</w:t>
            </w:r>
          </w:p>
        </w:tc>
        <w:tc>
          <w:tcPr>
            <w:tcW w:w="1826" w:type="dxa"/>
            <w:shd w:val="clear" w:color="auto" w:fill="auto"/>
          </w:tcPr>
          <w:p w14:paraId="056F5375" w14:textId="77777777" w:rsidR="005F7A35" w:rsidRPr="00D51201" w:rsidRDefault="005F7A35" w:rsidP="00603AB3">
            <w:pPr>
              <w:adjustRightInd w:val="0"/>
              <w:snapToGrid w:val="0"/>
              <w:spacing w:line="360" w:lineRule="auto"/>
              <w:rPr>
                <w:rFonts w:ascii="Book Antiqua" w:hAnsi="Book Antiqua"/>
                <w:i/>
                <w:iCs/>
              </w:rPr>
            </w:pPr>
            <w:r w:rsidRPr="00D51201">
              <w:rPr>
                <w:rFonts w:ascii="Book Antiqua" w:hAnsi="Book Antiqua"/>
              </w:rPr>
              <w:t>3 (18)</w:t>
            </w:r>
          </w:p>
        </w:tc>
        <w:tc>
          <w:tcPr>
            <w:tcW w:w="1836" w:type="dxa"/>
            <w:shd w:val="clear" w:color="auto" w:fill="auto"/>
          </w:tcPr>
          <w:p w14:paraId="1AE16E72" w14:textId="77777777" w:rsidR="005F7A35" w:rsidRPr="00D51201" w:rsidRDefault="005F7A35" w:rsidP="00603AB3">
            <w:pPr>
              <w:adjustRightInd w:val="0"/>
              <w:snapToGrid w:val="0"/>
              <w:spacing w:line="360" w:lineRule="auto"/>
              <w:rPr>
                <w:rFonts w:ascii="Book Antiqua" w:hAnsi="Book Antiqua"/>
                <w:i/>
                <w:iCs/>
              </w:rPr>
            </w:pPr>
            <w:r w:rsidRPr="00D51201">
              <w:rPr>
                <w:rFonts w:ascii="Book Antiqua" w:hAnsi="Book Antiqua"/>
              </w:rPr>
              <w:t>10 (16)</w:t>
            </w:r>
          </w:p>
        </w:tc>
        <w:tc>
          <w:tcPr>
            <w:tcW w:w="1054" w:type="dxa"/>
            <w:vMerge w:val="restart"/>
            <w:shd w:val="clear" w:color="auto" w:fill="auto"/>
          </w:tcPr>
          <w:p w14:paraId="5556D511" w14:textId="77777777" w:rsidR="005F7A35" w:rsidRPr="00D51201" w:rsidRDefault="005F7A35" w:rsidP="00603AB3">
            <w:pPr>
              <w:adjustRightInd w:val="0"/>
              <w:snapToGrid w:val="0"/>
              <w:spacing w:line="360" w:lineRule="auto"/>
              <w:rPr>
                <w:rFonts w:ascii="Book Antiqua" w:hAnsi="Book Antiqua"/>
                <w:i/>
                <w:iCs/>
              </w:rPr>
            </w:pPr>
            <w:r w:rsidRPr="00D51201">
              <w:rPr>
                <w:rFonts w:ascii="Book Antiqua" w:hAnsi="Book Antiqua"/>
              </w:rPr>
              <w:t>0.951</w:t>
            </w:r>
          </w:p>
        </w:tc>
      </w:tr>
      <w:tr w:rsidR="005F7A35" w:rsidRPr="00D51201" w14:paraId="65B6FAB7" w14:textId="77777777" w:rsidTr="00351DDE">
        <w:tc>
          <w:tcPr>
            <w:tcW w:w="3119" w:type="dxa"/>
            <w:shd w:val="clear" w:color="auto" w:fill="auto"/>
          </w:tcPr>
          <w:p w14:paraId="43653187" w14:textId="77777777" w:rsidR="005F7A35" w:rsidRPr="00D51201" w:rsidRDefault="005F7A35" w:rsidP="00603AB3">
            <w:pPr>
              <w:adjustRightInd w:val="0"/>
              <w:snapToGrid w:val="0"/>
              <w:spacing w:line="360" w:lineRule="auto"/>
              <w:rPr>
                <w:rFonts w:ascii="Book Antiqua" w:hAnsi="Book Antiqua"/>
                <w:i/>
                <w:iCs/>
              </w:rPr>
            </w:pPr>
            <w:r w:rsidRPr="00D51201">
              <w:rPr>
                <w:rFonts w:ascii="Book Antiqua" w:hAnsi="Book Antiqua"/>
              </w:rPr>
              <w:t>pT2</w:t>
            </w:r>
          </w:p>
        </w:tc>
        <w:tc>
          <w:tcPr>
            <w:tcW w:w="1860" w:type="dxa"/>
            <w:shd w:val="clear" w:color="auto" w:fill="auto"/>
          </w:tcPr>
          <w:p w14:paraId="1C29D226" w14:textId="77777777" w:rsidR="005F7A35" w:rsidRPr="00D51201" w:rsidRDefault="005F7A35" w:rsidP="00603AB3">
            <w:pPr>
              <w:adjustRightInd w:val="0"/>
              <w:snapToGrid w:val="0"/>
              <w:spacing w:line="360" w:lineRule="auto"/>
              <w:rPr>
                <w:rFonts w:ascii="Book Antiqua" w:hAnsi="Book Antiqua"/>
                <w:i/>
                <w:iCs/>
              </w:rPr>
            </w:pPr>
            <w:r w:rsidRPr="00D51201">
              <w:rPr>
                <w:rFonts w:ascii="Book Antiqua" w:hAnsi="Book Antiqua"/>
              </w:rPr>
              <w:t>46 (57)</w:t>
            </w:r>
          </w:p>
        </w:tc>
        <w:tc>
          <w:tcPr>
            <w:tcW w:w="1826" w:type="dxa"/>
            <w:shd w:val="clear" w:color="auto" w:fill="auto"/>
          </w:tcPr>
          <w:p w14:paraId="0B6FC7EF" w14:textId="77777777" w:rsidR="005F7A35" w:rsidRPr="00D51201" w:rsidRDefault="005F7A35" w:rsidP="00603AB3">
            <w:pPr>
              <w:adjustRightInd w:val="0"/>
              <w:snapToGrid w:val="0"/>
              <w:spacing w:line="360" w:lineRule="auto"/>
              <w:rPr>
                <w:rFonts w:ascii="Book Antiqua" w:hAnsi="Book Antiqua"/>
                <w:i/>
                <w:iCs/>
              </w:rPr>
            </w:pPr>
            <w:r w:rsidRPr="00D51201">
              <w:rPr>
                <w:rFonts w:ascii="Book Antiqua" w:hAnsi="Book Antiqua"/>
              </w:rPr>
              <w:t>9 (53)</w:t>
            </w:r>
          </w:p>
        </w:tc>
        <w:tc>
          <w:tcPr>
            <w:tcW w:w="1836" w:type="dxa"/>
            <w:shd w:val="clear" w:color="auto" w:fill="auto"/>
          </w:tcPr>
          <w:p w14:paraId="5A55E447" w14:textId="77777777" w:rsidR="005F7A35" w:rsidRPr="00D51201" w:rsidRDefault="005F7A35" w:rsidP="00603AB3">
            <w:pPr>
              <w:adjustRightInd w:val="0"/>
              <w:snapToGrid w:val="0"/>
              <w:spacing w:line="360" w:lineRule="auto"/>
              <w:rPr>
                <w:rFonts w:ascii="Book Antiqua" w:hAnsi="Book Antiqua"/>
                <w:i/>
                <w:iCs/>
              </w:rPr>
            </w:pPr>
            <w:r w:rsidRPr="00D51201">
              <w:rPr>
                <w:rFonts w:ascii="Book Antiqua" w:hAnsi="Book Antiqua"/>
              </w:rPr>
              <w:t>37 (58)</w:t>
            </w:r>
          </w:p>
        </w:tc>
        <w:tc>
          <w:tcPr>
            <w:tcW w:w="1054" w:type="dxa"/>
            <w:vMerge/>
            <w:shd w:val="clear" w:color="auto" w:fill="auto"/>
          </w:tcPr>
          <w:p w14:paraId="2C236A6F" w14:textId="77777777" w:rsidR="005F7A35" w:rsidRPr="00D51201" w:rsidRDefault="005F7A35" w:rsidP="00603AB3">
            <w:pPr>
              <w:adjustRightInd w:val="0"/>
              <w:snapToGrid w:val="0"/>
              <w:spacing w:line="360" w:lineRule="auto"/>
              <w:rPr>
                <w:rFonts w:ascii="Book Antiqua" w:hAnsi="Book Antiqua"/>
                <w:i/>
                <w:iCs/>
              </w:rPr>
            </w:pPr>
          </w:p>
        </w:tc>
      </w:tr>
      <w:tr w:rsidR="005F7A35" w:rsidRPr="00D51201" w14:paraId="0BD84707" w14:textId="77777777" w:rsidTr="00351DDE">
        <w:tc>
          <w:tcPr>
            <w:tcW w:w="3119" w:type="dxa"/>
            <w:shd w:val="clear" w:color="auto" w:fill="auto"/>
          </w:tcPr>
          <w:p w14:paraId="37BD28E1" w14:textId="77777777" w:rsidR="005F7A35" w:rsidRPr="00D51201" w:rsidRDefault="005F7A35" w:rsidP="00603AB3">
            <w:pPr>
              <w:adjustRightInd w:val="0"/>
              <w:snapToGrid w:val="0"/>
              <w:spacing w:line="360" w:lineRule="auto"/>
              <w:rPr>
                <w:rFonts w:ascii="Book Antiqua" w:hAnsi="Book Antiqua"/>
                <w:i/>
                <w:iCs/>
              </w:rPr>
            </w:pPr>
            <w:r w:rsidRPr="00D51201">
              <w:rPr>
                <w:rFonts w:ascii="Book Antiqua" w:hAnsi="Book Antiqua"/>
              </w:rPr>
              <w:lastRenderedPageBreak/>
              <w:t>pT3</w:t>
            </w:r>
          </w:p>
        </w:tc>
        <w:tc>
          <w:tcPr>
            <w:tcW w:w="1860" w:type="dxa"/>
            <w:shd w:val="clear" w:color="auto" w:fill="auto"/>
          </w:tcPr>
          <w:p w14:paraId="6ED616E1" w14:textId="77777777" w:rsidR="005F7A35" w:rsidRPr="00D51201" w:rsidRDefault="005F7A35" w:rsidP="00603AB3">
            <w:pPr>
              <w:adjustRightInd w:val="0"/>
              <w:snapToGrid w:val="0"/>
              <w:spacing w:line="360" w:lineRule="auto"/>
              <w:rPr>
                <w:rFonts w:ascii="Book Antiqua" w:hAnsi="Book Antiqua"/>
                <w:i/>
                <w:iCs/>
              </w:rPr>
            </w:pPr>
            <w:r w:rsidRPr="00D51201">
              <w:rPr>
                <w:rFonts w:ascii="Book Antiqua" w:hAnsi="Book Antiqua"/>
              </w:rPr>
              <w:t>21 (26)</w:t>
            </w:r>
          </w:p>
        </w:tc>
        <w:tc>
          <w:tcPr>
            <w:tcW w:w="1826" w:type="dxa"/>
            <w:shd w:val="clear" w:color="auto" w:fill="auto"/>
          </w:tcPr>
          <w:p w14:paraId="26389918" w14:textId="77777777" w:rsidR="005F7A35" w:rsidRPr="00D51201" w:rsidRDefault="005F7A35" w:rsidP="00603AB3">
            <w:pPr>
              <w:adjustRightInd w:val="0"/>
              <w:snapToGrid w:val="0"/>
              <w:spacing w:line="360" w:lineRule="auto"/>
              <w:rPr>
                <w:rFonts w:ascii="Book Antiqua" w:hAnsi="Book Antiqua"/>
                <w:i/>
                <w:iCs/>
              </w:rPr>
            </w:pPr>
            <w:r w:rsidRPr="00D51201">
              <w:rPr>
                <w:rFonts w:ascii="Book Antiqua" w:hAnsi="Book Antiqua"/>
              </w:rPr>
              <w:t>5 (29)</w:t>
            </w:r>
          </w:p>
        </w:tc>
        <w:tc>
          <w:tcPr>
            <w:tcW w:w="1836" w:type="dxa"/>
            <w:shd w:val="clear" w:color="auto" w:fill="auto"/>
          </w:tcPr>
          <w:p w14:paraId="64560229" w14:textId="77777777" w:rsidR="005F7A35" w:rsidRPr="00D51201" w:rsidRDefault="005F7A35" w:rsidP="00603AB3">
            <w:pPr>
              <w:adjustRightInd w:val="0"/>
              <w:snapToGrid w:val="0"/>
              <w:spacing w:line="360" w:lineRule="auto"/>
              <w:rPr>
                <w:rFonts w:ascii="Book Antiqua" w:hAnsi="Book Antiqua"/>
                <w:i/>
                <w:iCs/>
              </w:rPr>
            </w:pPr>
            <w:r w:rsidRPr="00D51201">
              <w:rPr>
                <w:rFonts w:ascii="Book Antiqua" w:hAnsi="Book Antiqua"/>
              </w:rPr>
              <w:t>16 (25)</w:t>
            </w:r>
          </w:p>
        </w:tc>
        <w:tc>
          <w:tcPr>
            <w:tcW w:w="1054" w:type="dxa"/>
            <w:vMerge/>
            <w:shd w:val="clear" w:color="auto" w:fill="auto"/>
          </w:tcPr>
          <w:p w14:paraId="529DD3EF" w14:textId="77777777" w:rsidR="005F7A35" w:rsidRPr="00D51201" w:rsidRDefault="005F7A35" w:rsidP="00603AB3">
            <w:pPr>
              <w:adjustRightInd w:val="0"/>
              <w:snapToGrid w:val="0"/>
              <w:spacing w:line="360" w:lineRule="auto"/>
              <w:rPr>
                <w:rFonts w:ascii="Book Antiqua" w:hAnsi="Book Antiqua"/>
                <w:i/>
                <w:iCs/>
              </w:rPr>
            </w:pPr>
          </w:p>
        </w:tc>
      </w:tr>
      <w:tr w:rsidR="005F7A35" w:rsidRPr="00D51201" w14:paraId="62D3F23D" w14:textId="77777777" w:rsidTr="00351DDE">
        <w:tc>
          <w:tcPr>
            <w:tcW w:w="3119" w:type="dxa"/>
            <w:shd w:val="clear" w:color="auto" w:fill="auto"/>
          </w:tcPr>
          <w:p w14:paraId="03298ACC"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pT4</w:t>
            </w:r>
          </w:p>
        </w:tc>
        <w:tc>
          <w:tcPr>
            <w:tcW w:w="1860" w:type="dxa"/>
            <w:shd w:val="clear" w:color="auto" w:fill="auto"/>
          </w:tcPr>
          <w:p w14:paraId="6BBE70E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 (1)</w:t>
            </w:r>
          </w:p>
        </w:tc>
        <w:tc>
          <w:tcPr>
            <w:tcW w:w="1826" w:type="dxa"/>
            <w:shd w:val="clear" w:color="auto" w:fill="auto"/>
          </w:tcPr>
          <w:p w14:paraId="03FD2722"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w:t>
            </w:r>
          </w:p>
        </w:tc>
        <w:tc>
          <w:tcPr>
            <w:tcW w:w="1836" w:type="dxa"/>
            <w:shd w:val="clear" w:color="auto" w:fill="auto"/>
          </w:tcPr>
          <w:p w14:paraId="21D3012B"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 (1)</w:t>
            </w:r>
          </w:p>
        </w:tc>
        <w:tc>
          <w:tcPr>
            <w:tcW w:w="1054" w:type="dxa"/>
            <w:vMerge/>
            <w:shd w:val="clear" w:color="auto" w:fill="auto"/>
          </w:tcPr>
          <w:p w14:paraId="36E0A2D7"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550F100E" w14:textId="77777777" w:rsidTr="00351DDE">
        <w:tc>
          <w:tcPr>
            <w:tcW w:w="3119" w:type="dxa"/>
            <w:shd w:val="clear" w:color="auto" w:fill="auto"/>
          </w:tcPr>
          <w:p w14:paraId="7800E9B8"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pN0</w:t>
            </w:r>
          </w:p>
        </w:tc>
        <w:tc>
          <w:tcPr>
            <w:tcW w:w="1860" w:type="dxa"/>
            <w:shd w:val="clear" w:color="auto" w:fill="auto"/>
          </w:tcPr>
          <w:p w14:paraId="561336B2"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14 (79)</w:t>
            </w:r>
          </w:p>
        </w:tc>
        <w:tc>
          <w:tcPr>
            <w:tcW w:w="1826" w:type="dxa"/>
            <w:shd w:val="clear" w:color="auto" w:fill="auto"/>
          </w:tcPr>
          <w:p w14:paraId="3A26386F"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w:t>
            </w:r>
          </w:p>
        </w:tc>
        <w:tc>
          <w:tcPr>
            <w:tcW w:w="1836" w:type="dxa"/>
            <w:shd w:val="clear" w:color="auto" w:fill="auto"/>
          </w:tcPr>
          <w:p w14:paraId="674FD822"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14 (22)</w:t>
            </w:r>
          </w:p>
        </w:tc>
        <w:tc>
          <w:tcPr>
            <w:tcW w:w="1054" w:type="dxa"/>
            <w:vMerge w:val="restart"/>
            <w:shd w:val="clear" w:color="auto" w:fill="auto"/>
          </w:tcPr>
          <w:p w14:paraId="7D237A12"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0.005</w:t>
            </w:r>
          </w:p>
        </w:tc>
      </w:tr>
      <w:tr w:rsidR="005F7A35" w:rsidRPr="00D51201" w14:paraId="389C8826" w14:textId="77777777" w:rsidTr="00351DDE">
        <w:tc>
          <w:tcPr>
            <w:tcW w:w="3119" w:type="dxa"/>
            <w:shd w:val="clear" w:color="auto" w:fill="auto"/>
          </w:tcPr>
          <w:p w14:paraId="3DE7CB51"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pN1</w:t>
            </w:r>
          </w:p>
        </w:tc>
        <w:tc>
          <w:tcPr>
            <w:tcW w:w="1860" w:type="dxa"/>
            <w:shd w:val="clear" w:color="auto" w:fill="auto"/>
          </w:tcPr>
          <w:p w14:paraId="006FC14A"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24 (30)</w:t>
            </w:r>
          </w:p>
        </w:tc>
        <w:tc>
          <w:tcPr>
            <w:tcW w:w="1826" w:type="dxa"/>
            <w:shd w:val="clear" w:color="auto" w:fill="auto"/>
          </w:tcPr>
          <w:p w14:paraId="5A56E5B5"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3 (18)</w:t>
            </w:r>
          </w:p>
        </w:tc>
        <w:tc>
          <w:tcPr>
            <w:tcW w:w="1836" w:type="dxa"/>
            <w:shd w:val="clear" w:color="auto" w:fill="auto"/>
          </w:tcPr>
          <w:p w14:paraId="52B748F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21 (33)</w:t>
            </w:r>
          </w:p>
        </w:tc>
        <w:tc>
          <w:tcPr>
            <w:tcW w:w="1054" w:type="dxa"/>
            <w:vMerge/>
            <w:shd w:val="clear" w:color="auto" w:fill="auto"/>
          </w:tcPr>
          <w:p w14:paraId="5C7611FA"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1D5D933F" w14:textId="77777777" w:rsidTr="00351DDE">
        <w:tc>
          <w:tcPr>
            <w:tcW w:w="3119" w:type="dxa"/>
            <w:shd w:val="clear" w:color="auto" w:fill="auto"/>
          </w:tcPr>
          <w:p w14:paraId="681FFBF5"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pN2</w:t>
            </w:r>
          </w:p>
        </w:tc>
        <w:tc>
          <w:tcPr>
            <w:tcW w:w="1860" w:type="dxa"/>
            <w:shd w:val="clear" w:color="auto" w:fill="auto"/>
          </w:tcPr>
          <w:p w14:paraId="2E11E442"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43 (53)</w:t>
            </w:r>
          </w:p>
        </w:tc>
        <w:tc>
          <w:tcPr>
            <w:tcW w:w="1826" w:type="dxa"/>
            <w:shd w:val="clear" w:color="auto" w:fill="auto"/>
          </w:tcPr>
          <w:p w14:paraId="7F6E944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14 (82)</w:t>
            </w:r>
          </w:p>
        </w:tc>
        <w:tc>
          <w:tcPr>
            <w:tcW w:w="1836" w:type="dxa"/>
            <w:shd w:val="clear" w:color="auto" w:fill="auto"/>
          </w:tcPr>
          <w:p w14:paraId="503BAC54"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29 (45)</w:t>
            </w:r>
          </w:p>
        </w:tc>
        <w:tc>
          <w:tcPr>
            <w:tcW w:w="1054" w:type="dxa"/>
            <w:vMerge/>
            <w:shd w:val="clear" w:color="auto" w:fill="auto"/>
          </w:tcPr>
          <w:p w14:paraId="1C4EFD71"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21CFA857" w14:textId="77777777" w:rsidTr="00351DDE">
        <w:tc>
          <w:tcPr>
            <w:tcW w:w="3119" w:type="dxa"/>
            <w:shd w:val="clear" w:color="auto" w:fill="auto"/>
          </w:tcPr>
          <w:p w14:paraId="29E69E65"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Resection margin</w:t>
            </w:r>
            <w:r w:rsidR="0025262E" w:rsidRPr="00D51201">
              <w:rPr>
                <w:rFonts w:ascii="Book Antiqua" w:hAnsi="Book Antiqua"/>
              </w:rPr>
              <w:t>,</w:t>
            </w:r>
            <w:r w:rsidRPr="00D51201">
              <w:rPr>
                <w:rFonts w:ascii="Book Antiqua" w:hAnsi="Book Antiqua"/>
              </w:rPr>
              <w:t xml:space="preserve"> </w:t>
            </w:r>
            <w:r w:rsidRPr="00D51201">
              <w:rPr>
                <w:rFonts w:ascii="Book Antiqua" w:hAnsi="Book Antiqua"/>
                <w:i/>
              </w:rPr>
              <w:t>n</w:t>
            </w:r>
            <w:r w:rsidRPr="00D51201">
              <w:rPr>
                <w:rFonts w:ascii="Book Antiqua" w:hAnsi="Book Antiqua"/>
              </w:rPr>
              <w:t xml:space="preserve"> (%)</w:t>
            </w:r>
          </w:p>
        </w:tc>
        <w:tc>
          <w:tcPr>
            <w:tcW w:w="1860" w:type="dxa"/>
            <w:shd w:val="clear" w:color="auto" w:fill="auto"/>
          </w:tcPr>
          <w:p w14:paraId="0F575F9D" w14:textId="77777777" w:rsidR="005F7A35" w:rsidRPr="00D51201" w:rsidRDefault="005F7A35" w:rsidP="00603AB3">
            <w:pPr>
              <w:adjustRightInd w:val="0"/>
              <w:snapToGrid w:val="0"/>
              <w:spacing w:line="360" w:lineRule="auto"/>
              <w:rPr>
                <w:rFonts w:ascii="Book Antiqua" w:hAnsi="Book Antiqua"/>
              </w:rPr>
            </w:pPr>
          </w:p>
        </w:tc>
        <w:tc>
          <w:tcPr>
            <w:tcW w:w="1826" w:type="dxa"/>
            <w:shd w:val="clear" w:color="auto" w:fill="auto"/>
          </w:tcPr>
          <w:p w14:paraId="25FBB220" w14:textId="77777777" w:rsidR="005F7A35" w:rsidRPr="00D51201" w:rsidRDefault="005F7A35" w:rsidP="00603AB3">
            <w:pPr>
              <w:adjustRightInd w:val="0"/>
              <w:snapToGrid w:val="0"/>
              <w:spacing w:line="360" w:lineRule="auto"/>
              <w:rPr>
                <w:rFonts w:ascii="Book Antiqua" w:hAnsi="Book Antiqua"/>
              </w:rPr>
            </w:pPr>
          </w:p>
        </w:tc>
        <w:tc>
          <w:tcPr>
            <w:tcW w:w="1836" w:type="dxa"/>
            <w:shd w:val="clear" w:color="auto" w:fill="auto"/>
          </w:tcPr>
          <w:p w14:paraId="43ED2FEB" w14:textId="77777777" w:rsidR="005F7A35" w:rsidRPr="00D51201" w:rsidRDefault="005F7A35" w:rsidP="00603AB3">
            <w:pPr>
              <w:adjustRightInd w:val="0"/>
              <w:snapToGrid w:val="0"/>
              <w:spacing w:line="360" w:lineRule="auto"/>
              <w:rPr>
                <w:rFonts w:ascii="Book Antiqua" w:hAnsi="Book Antiqua"/>
              </w:rPr>
            </w:pPr>
          </w:p>
        </w:tc>
        <w:tc>
          <w:tcPr>
            <w:tcW w:w="1054" w:type="dxa"/>
            <w:shd w:val="clear" w:color="auto" w:fill="auto"/>
          </w:tcPr>
          <w:p w14:paraId="7D543058"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4835A745" w14:textId="77777777" w:rsidTr="00351DDE">
        <w:tc>
          <w:tcPr>
            <w:tcW w:w="3119" w:type="dxa"/>
            <w:shd w:val="clear" w:color="auto" w:fill="auto"/>
          </w:tcPr>
          <w:p w14:paraId="3679DB9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 xml:space="preserve">Negative </w:t>
            </w:r>
          </w:p>
        </w:tc>
        <w:tc>
          <w:tcPr>
            <w:tcW w:w="1860" w:type="dxa"/>
            <w:shd w:val="clear" w:color="auto" w:fill="auto"/>
          </w:tcPr>
          <w:p w14:paraId="7BE8E18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39 (48)</w:t>
            </w:r>
          </w:p>
        </w:tc>
        <w:tc>
          <w:tcPr>
            <w:tcW w:w="1826" w:type="dxa"/>
            <w:shd w:val="clear" w:color="auto" w:fill="auto"/>
          </w:tcPr>
          <w:p w14:paraId="301FE29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6 (35)</w:t>
            </w:r>
          </w:p>
        </w:tc>
        <w:tc>
          <w:tcPr>
            <w:tcW w:w="1836" w:type="dxa"/>
            <w:shd w:val="clear" w:color="auto" w:fill="auto"/>
          </w:tcPr>
          <w:p w14:paraId="524379EA"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33 (52)</w:t>
            </w:r>
          </w:p>
        </w:tc>
        <w:tc>
          <w:tcPr>
            <w:tcW w:w="1054" w:type="dxa"/>
            <w:vMerge w:val="restart"/>
            <w:shd w:val="clear" w:color="auto" w:fill="auto"/>
          </w:tcPr>
          <w:p w14:paraId="01A8EA6A"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0.282</w:t>
            </w:r>
          </w:p>
        </w:tc>
      </w:tr>
      <w:tr w:rsidR="005F7A35" w:rsidRPr="00D51201" w14:paraId="152176E6" w14:textId="77777777" w:rsidTr="00351DDE">
        <w:tc>
          <w:tcPr>
            <w:tcW w:w="3119" w:type="dxa"/>
            <w:shd w:val="clear" w:color="auto" w:fill="auto"/>
          </w:tcPr>
          <w:p w14:paraId="4D5ED5D6"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 xml:space="preserve">Positive </w:t>
            </w:r>
          </w:p>
        </w:tc>
        <w:tc>
          <w:tcPr>
            <w:tcW w:w="1860" w:type="dxa"/>
            <w:shd w:val="clear" w:color="auto" w:fill="auto"/>
          </w:tcPr>
          <w:p w14:paraId="4A3E5AE4"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42 (52)</w:t>
            </w:r>
          </w:p>
        </w:tc>
        <w:tc>
          <w:tcPr>
            <w:tcW w:w="1826" w:type="dxa"/>
            <w:shd w:val="clear" w:color="auto" w:fill="auto"/>
          </w:tcPr>
          <w:p w14:paraId="5531C91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11 (65)</w:t>
            </w:r>
          </w:p>
        </w:tc>
        <w:tc>
          <w:tcPr>
            <w:tcW w:w="1836" w:type="dxa"/>
            <w:shd w:val="clear" w:color="auto" w:fill="auto"/>
          </w:tcPr>
          <w:p w14:paraId="71FCAFFA"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31 (48)</w:t>
            </w:r>
          </w:p>
        </w:tc>
        <w:tc>
          <w:tcPr>
            <w:tcW w:w="1054" w:type="dxa"/>
            <w:vMerge/>
            <w:shd w:val="clear" w:color="auto" w:fill="auto"/>
          </w:tcPr>
          <w:p w14:paraId="05F7F93E"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28BE4B47" w14:textId="77777777" w:rsidTr="00351DDE">
        <w:tc>
          <w:tcPr>
            <w:tcW w:w="3119" w:type="dxa"/>
            <w:shd w:val="clear" w:color="auto" w:fill="auto"/>
          </w:tcPr>
          <w:p w14:paraId="3FDB11F2"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Perineural invasion</w:t>
            </w:r>
          </w:p>
        </w:tc>
        <w:tc>
          <w:tcPr>
            <w:tcW w:w="1860" w:type="dxa"/>
            <w:shd w:val="clear" w:color="auto" w:fill="auto"/>
          </w:tcPr>
          <w:p w14:paraId="524C5A3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66 (83)</w:t>
            </w:r>
          </w:p>
        </w:tc>
        <w:tc>
          <w:tcPr>
            <w:tcW w:w="1826" w:type="dxa"/>
            <w:shd w:val="clear" w:color="auto" w:fill="auto"/>
          </w:tcPr>
          <w:p w14:paraId="562CC525"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15 (88)</w:t>
            </w:r>
          </w:p>
        </w:tc>
        <w:tc>
          <w:tcPr>
            <w:tcW w:w="1836" w:type="dxa"/>
            <w:shd w:val="clear" w:color="auto" w:fill="auto"/>
          </w:tcPr>
          <w:p w14:paraId="0E93F0E4"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51 (80)</w:t>
            </w:r>
          </w:p>
        </w:tc>
        <w:tc>
          <w:tcPr>
            <w:tcW w:w="1054" w:type="dxa"/>
            <w:shd w:val="clear" w:color="auto" w:fill="auto"/>
          </w:tcPr>
          <w:p w14:paraId="5C8D0323"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0.722</w:t>
            </w:r>
          </w:p>
        </w:tc>
      </w:tr>
      <w:tr w:rsidR="005F7A35" w:rsidRPr="00D51201" w14:paraId="6DCCC642" w14:textId="77777777" w:rsidTr="00351DDE">
        <w:tc>
          <w:tcPr>
            <w:tcW w:w="3119" w:type="dxa"/>
            <w:shd w:val="clear" w:color="auto" w:fill="auto"/>
          </w:tcPr>
          <w:p w14:paraId="275ABC69" w14:textId="77777777" w:rsidR="005F7A35" w:rsidRPr="00D51201" w:rsidRDefault="00477861" w:rsidP="00603AB3">
            <w:pPr>
              <w:adjustRightInd w:val="0"/>
              <w:snapToGrid w:val="0"/>
              <w:spacing w:line="360" w:lineRule="auto"/>
              <w:rPr>
                <w:rFonts w:ascii="Book Antiqua" w:hAnsi="Book Antiqua"/>
              </w:rPr>
            </w:pPr>
            <w:r w:rsidRPr="00D51201">
              <w:rPr>
                <w:rFonts w:ascii="Book Antiqua" w:hAnsi="Book Antiqua"/>
              </w:rPr>
              <w:t>Perivascular</w:t>
            </w:r>
            <w:r w:rsidR="005F7A35" w:rsidRPr="00D51201">
              <w:rPr>
                <w:rFonts w:ascii="Book Antiqua" w:hAnsi="Book Antiqua"/>
              </w:rPr>
              <w:t xml:space="preserve"> invasion</w:t>
            </w:r>
          </w:p>
        </w:tc>
        <w:tc>
          <w:tcPr>
            <w:tcW w:w="1860" w:type="dxa"/>
            <w:shd w:val="clear" w:color="auto" w:fill="auto"/>
          </w:tcPr>
          <w:p w14:paraId="5EFAC4E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59 (73)</w:t>
            </w:r>
          </w:p>
        </w:tc>
        <w:tc>
          <w:tcPr>
            <w:tcW w:w="1826" w:type="dxa"/>
            <w:shd w:val="clear" w:color="auto" w:fill="auto"/>
          </w:tcPr>
          <w:p w14:paraId="55610465"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13 (77)</w:t>
            </w:r>
          </w:p>
        </w:tc>
        <w:tc>
          <w:tcPr>
            <w:tcW w:w="1836" w:type="dxa"/>
            <w:shd w:val="clear" w:color="auto" w:fill="auto"/>
          </w:tcPr>
          <w:p w14:paraId="05F28A2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46 (72)</w:t>
            </w:r>
          </w:p>
        </w:tc>
        <w:tc>
          <w:tcPr>
            <w:tcW w:w="1054" w:type="dxa"/>
            <w:shd w:val="clear" w:color="auto" w:fill="auto"/>
          </w:tcPr>
          <w:p w14:paraId="44AAF6D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1.000</w:t>
            </w:r>
          </w:p>
        </w:tc>
      </w:tr>
      <w:tr w:rsidR="005F7A35" w:rsidRPr="00D51201" w14:paraId="47A7CB55" w14:textId="77777777" w:rsidTr="00351DDE">
        <w:tc>
          <w:tcPr>
            <w:tcW w:w="3119" w:type="dxa"/>
            <w:shd w:val="clear" w:color="auto" w:fill="auto"/>
          </w:tcPr>
          <w:p w14:paraId="63DED39A"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Chemotherapy</w:t>
            </w:r>
            <w:r w:rsidR="0025262E" w:rsidRPr="00D51201">
              <w:rPr>
                <w:rFonts w:ascii="Book Antiqua" w:hAnsi="Book Antiqua"/>
              </w:rPr>
              <w:t>,</w:t>
            </w:r>
            <w:r w:rsidRPr="00D51201">
              <w:rPr>
                <w:rFonts w:ascii="Book Antiqua" w:hAnsi="Book Antiqua"/>
              </w:rPr>
              <w:t xml:space="preserve"> </w:t>
            </w:r>
            <w:r w:rsidRPr="00D51201">
              <w:rPr>
                <w:rFonts w:ascii="Book Antiqua" w:hAnsi="Book Antiqua"/>
                <w:i/>
              </w:rPr>
              <w:t>n</w:t>
            </w:r>
            <w:r w:rsidRPr="00D51201">
              <w:rPr>
                <w:rFonts w:ascii="Book Antiqua" w:hAnsi="Book Antiqua"/>
              </w:rPr>
              <w:t xml:space="preserve"> (%)</w:t>
            </w:r>
          </w:p>
        </w:tc>
        <w:tc>
          <w:tcPr>
            <w:tcW w:w="1860" w:type="dxa"/>
            <w:shd w:val="clear" w:color="auto" w:fill="auto"/>
          </w:tcPr>
          <w:p w14:paraId="76689E13"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55 (74)</w:t>
            </w:r>
          </w:p>
        </w:tc>
        <w:tc>
          <w:tcPr>
            <w:tcW w:w="1826" w:type="dxa"/>
            <w:shd w:val="clear" w:color="auto" w:fill="auto"/>
          </w:tcPr>
          <w:p w14:paraId="268524A8"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12 (71)</w:t>
            </w:r>
          </w:p>
        </w:tc>
        <w:tc>
          <w:tcPr>
            <w:tcW w:w="1836" w:type="dxa"/>
            <w:shd w:val="clear" w:color="auto" w:fill="auto"/>
          </w:tcPr>
          <w:p w14:paraId="5CDC0E48"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43 (67)</w:t>
            </w:r>
          </w:p>
        </w:tc>
        <w:tc>
          <w:tcPr>
            <w:tcW w:w="1054" w:type="dxa"/>
            <w:shd w:val="clear" w:color="auto" w:fill="auto"/>
          </w:tcPr>
          <w:p w14:paraId="011CC46A"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0.746</w:t>
            </w:r>
          </w:p>
        </w:tc>
      </w:tr>
      <w:tr w:rsidR="005F7A35" w:rsidRPr="00D51201" w14:paraId="5CD4BC17" w14:textId="77777777" w:rsidTr="00351DDE">
        <w:tc>
          <w:tcPr>
            <w:tcW w:w="3119" w:type="dxa"/>
            <w:shd w:val="clear" w:color="auto" w:fill="auto"/>
          </w:tcPr>
          <w:p w14:paraId="0B3057E5"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 xml:space="preserve">Neoadjuvant therapy </w:t>
            </w:r>
          </w:p>
        </w:tc>
        <w:tc>
          <w:tcPr>
            <w:tcW w:w="1860" w:type="dxa"/>
            <w:shd w:val="clear" w:color="auto" w:fill="auto"/>
          </w:tcPr>
          <w:p w14:paraId="58A8AD3A"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13 (16)</w:t>
            </w:r>
          </w:p>
        </w:tc>
        <w:tc>
          <w:tcPr>
            <w:tcW w:w="1826" w:type="dxa"/>
            <w:shd w:val="clear" w:color="auto" w:fill="auto"/>
          </w:tcPr>
          <w:p w14:paraId="5A0A7D62"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 (12)</w:t>
            </w:r>
          </w:p>
        </w:tc>
        <w:tc>
          <w:tcPr>
            <w:tcW w:w="1836" w:type="dxa"/>
            <w:shd w:val="clear" w:color="auto" w:fill="auto"/>
          </w:tcPr>
          <w:p w14:paraId="5F790758"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11 (17)</w:t>
            </w:r>
          </w:p>
        </w:tc>
        <w:tc>
          <w:tcPr>
            <w:tcW w:w="1054" w:type="dxa"/>
            <w:shd w:val="clear" w:color="auto" w:fill="auto"/>
          </w:tcPr>
          <w:p w14:paraId="411BA6A4"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0.726</w:t>
            </w:r>
          </w:p>
        </w:tc>
      </w:tr>
      <w:tr w:rsidR="005F7A35" w:rsidRPr="00D51201" w14:paraId="0B320717" w14:textId="77777777" w:rsidTr="00351DDE">
        <w:tc>
          <w:tcPr>
            <w:tcW w:w="3119" w:type="dxa"/>
            <w:shd w:val="clear" w:color="auto" w:fill="auto"/>
          </w:tcPr>
          <w:p w14:paraId="6840A86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 xml:space="preserve">Adjuvant chemotherapy </w:t>
            </w:r>
          </w:p>
        </w:tc>
        <w:tc>
          <w:tcPr>
            <w:tcW w:w="1860" w:type="dxa"/>
            <w:shd w:val="clear" w:color="auto" w:fill="auto"/>
          </w:tcPr>
          <w:p w14:paraId="13886BE8"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49 (66)</w:t>
            </w:r>
          </w:p>
        </w:tc>
        <w:tc>
          <w:tcPr>
            <w:tcW w:w="1826" w:type="dxa"/>
            <w:shd w:val="clear" w:color="auto" w:fill="auto"/>
          </w:tcPr>
          <w:p w14:paraId="73A04E83"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12 (71)</w:t>
            </w:r>
          </w:p>
        </w:tc>
        <w:tc>
          <w:tcPr>
            <w:tcW w:w="1836" w:type="dxa"/>
            <w:shd w:val="clear" w:color="auto" w:fill="auto"/>
          </w:tcPr>
          <w:p w14:paraId="67F0F05F"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37 (58)</w:t>
            </w:r>
          </w:p>
        </w:tc>
        <w:tc>
          <w:tcPr>
            <w:tcW w:w="1054" w:type="dxa"/>
            <w:shd w:val="clear" w:color="auto" w:fill="auto"/>
          </w:tcPr>
          <w:p w14:paraId="2142653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0.553</w:t>
            </w:r>
          </w:p>
        </w:tc>
      </w:tr>
      <w:tr w:rsidR="005F7A35" w:rsidRPr="00D51201" w14:paraId="6C50051B" w14:textId="77777777" w:rsidTr="00351DDE">
        <w:tc>
          <w:tcPr>
            <w:tcW w:w="3119" w:type="dxa"/>
            <w:shd w:val="clear" w:color="auto" w:fill="auto"/>
          </w:tcPr>
          <w:p w14:paraId="1946A67E"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Post-operative complications</w:t>
            </w:r>
            <w:r w:rsidR="0025262E" w:rsidRPr="00D51201">
              <w:rPr>
                <w:rFonts w:ascii="Book Antiqua" w:hAnsi="Book Antiqua"/>
              </w:rPr>
              <w:t>,</w:t>
            </w:r>
            <w:r w:rsidRPr="00D51201">
              <w:rPr>
                <w:rFonts w:ascii="Book Antiqua" w:hAnsi="Book Antiqua"/>
              </w:rPr>
              <w:t xml:space="preserve"> </w:t>
            </w:r>
            <w:r w:rsidRPr="00D51201">
              <w:rPr>
                <w:rFonts w:ascii="Book Antiqua" w:hAnsi="Book Antiqua"/>
                <w:i/>
              </w:rPr>
              <w:t>n</w:t>
            </w:r>
            <w:r w:rsidRPr="00D51201">
              <w:rPr>
                <w:rFonts w:ascii="Book Antiqua" w:hAnsi="Book Antiqua"/>
              </w:rPr>
              <w:t xml:space="preserve"> (%)</w:t>
            </w:r>
          </w:p>
        </w:tc>
        <w:tc>
          <w:tcPr>
            <w:tcW w:w="1860" w:type="dxa"/>
            <w:shd w:val="clear" w:color="auto" w:fill="auto"/>
          </w:tcPr>
          <w:p w14:paraId="466DFEE6" w14:textId="77777777" w:rsidR="005F7A35" w:rsidRPr="00D51201" w:rsidRDefault="005F7A35" w:rsidP="00603AB3">
            <w:pPr>
              <w:adjustRightInd w:val="0"/>
              <w:snapToGrid w:val="0"/>
              <w:spacing w:line="360" w:lineRule="auto"/>
              <w:rPr>
                <w:rFonts w:ascii="Book Antiqua" w:hAnsi="Book Antiqua"/>
              </w:rPr>
            </w:pPr>
          </w:p>
        </w:tc>
        <w:tc>
          <w:tcPr>
            <w:tcW w:w="1826" w:type="dxa"/>
            <w:shd w:val="clear" w:color="auto" w:fill="auto"/>
          </w:tcPr>
          <w:p w14:paraId="04D89034" w14:textId="77777777" w:rsidR="005F7A35" w:rsidRPr="00D51201" w:rsidRDefault="005F7A35" w:rsidP="00603AB3">
            <w:pPr>
              <w:adjustRightInd w:val="0"/>
              <w:snapToGrid w:val="0"/>
              <w:spacing w:line="360" w:lineRule="auto"/>
              <w:rPr>
                <w:rFonts w:ascii="Book Antiqua" w:hAnsi="Book Antiqua"/>
              </w:rPr>
            </w:pPr>
          </w:p>
        </w:tc>
        <w:tc>
          <w:tcPr>
            <w:tcW w:w="1836" w:type="dxa"/>
            <w:shd w:val="clear" w:color="auto" w:fill="auto"/>
          </w:tcPr>
          <w:p w14:paraId="0320DBC8" w14:textId="77777777" w:rsidR="005F7A35" w:rsidRPr="00D51201" w:rsidRDefault="005F7A35" w:rsidP="00603AB3">
            <w:pPr>
              <w:adjustRightInd w:val="0"/>
              <w:snapToGrid w:val="0"/>
              <w:spacing w:line="360" w:lineRule="auto"/>
              <w:rPr>
                <w:rFonts w:ascii="Book Antiqua" w:hAnsi="Book Antiqua"/>
              </w:rPr>
            </w:pPr>
          </w:p>
        </w:tc>
        <w:tc>
          <w:tcPr>
            <w:tcW w:w="1054" w:type="dxa"/>
            <w:shd w:val="clear" w:color="auto" w:fill="auto"/>
          </w:tcPr>
          <w:p w14:paraId="1E9C46AC" w14:textId="77777777" w:rsidR="005F7A35" w:rsidRPr="00D51201" w:rsidRDefault="005F7A35" w:rsidP="00603AB3">
            <w:pPr>
              <w:adjustRightInd w:val="0"/>
              <w:snapToGrid w:val="0"/>
              <w:spacing w:line="360" w:lineRule="auto"/>
              <w:rPr>
                <w:rFonts w:ascii="Book Antiqua" w:hAnsi="Book Antiqua"/>
              </w:rPr>
            </w:pPr>
          </w:p>
        </w:tc>
      </w:tr>
      <w:tr w:rsidR="005F7A35" w:rsidRPr="00D51201" w14:paraId="1D52765F" w14:textId="77777777" w:rsidTr="00351DDE">
        <w:tc>
          <w:tcPr>
            <w:tcW w:w="3119" w:type="dxa"/>
            <w:shd w:val="clear" w:color="auto" w:fill="auto"/>
          </w:tcPr>
          <w:p w14:paraId="54E0DEBC"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 xml:space="preserve">Clavien Dindo category </w:t>
            </w:r>
            <w:r w:rsidRPr="00D51201">
              <w:rPr>
                <w:rFonts w:ascii="Book Antiqua" w:hAnsi="Book Antiqua" w:cstheme="minorHAnsi"/>
              </w:rPr>
              <w:t>≥</w:t>
            </w:r>
            <w:r w:rsidR="00157899" w:rsidRPr="00D51201">
              <w:rPr>
                <w:rFonts w:ascii="Book Antiqua" w:hAnsi="Book Antiqua" w:cstheme="minorHAnsi"/>
              </w:rPr>
              <w:t xml:space="preserve"> </w:t>
            </w:r>
            <w:r w:rsidRPr="00D51201">
              <w:rPr>
                <w:rFonts w:ascii="Book Antiqua" w:hAnsi="Book Antiqua"/>
              </w:rPr>
              <w:t>3</w:t>
            </w:r>
          </w:p>
        </w:tc>
        <w:tc>
          <w:tcPr>
            <w:tcW w:w="1860" w:type="dxa"/>
            <w:shd w:val="clear" w:color="auto" w:fill="auto"/>
          </w:tcPr>
          <w:p w14:paraId="51CDAAF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10 (12)</w:t>
            </w:r>
          </w:p>
        </w:tc>
        <w:tc>
          <w:tcPr>
            <w:tcW w:w="1826" w:type="dxa"/>
            <w:shd w:val="clear" w:color="auto" w:fill="auto"/>
          </w:tcPr>
          <w:p w14:paraId="5A238E74"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 (11.8)</w:t>
            </w:r>
          </w:p>
        </w:tc>
        <w:tc>
          <w:tcPr>
            <w:tcW w:w="1836" w:type="dxa"/>
            <w:shd w:val="clear" w:color="auto" w:fill="auto"/>
          </w:tcPr>
          <w:p w14:paraId="211CED1B"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8 (12.5)</w:t>
            </w:r>
          </w:p>
        </w:tc>
        <w:tc>
          <w:tcPr>
            <w:tcW w:w="1054" w:type="dxa"/>
            <w:shd w:val="clear" w:color="auto" w:fill="auto"/>
          </w:tcPr>
          <w:p w14:paraId="6DC0ED09"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0.549</w:t>
            </w:r>
          </w:p>
        </w:tc>
      </w:tr>
      <w:tr w:rsidR="005F7A35" w:rsidRPr="00D51201" w14:paraId="39FB3139" w14:textId="77777777" w:rsidTr="00351DDE">
        <w:tc>
          <w:tcPr>
            <w:tcW w:w="3119" w:type="dxa"/>
            <w:shd w:val="clear" w:color="auto" w:fill="auto"/>
          </w:tcPr>
          <w:p w14:paraId="7F93D6FA"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Chyle leak</w:t>
            </w:r>
          </w:p>
        </w:tc>
        <w:tc>
          <w:tcPr>
            <w:tcW w:w="1860" w:type="dxa"/>
            <w:shd w:val="clear" w:color="auto" w:fill="auto"/>
          </w:tcPr>
          <w:p w14:paraId="65AB251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 (1)</w:t>
            </w:r>
          </w:p>
        </w:tc>
        <w:tc>
          <w:tcPr>
            <w:tcW w:w="1826" w:type="dxa"/>
            <w:shd w:val="clear" w:color="auto" w:fill="auto"/>
          </w:tcPr>
          <w:p w14:paraId="71B9B48C"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w:t>
            </w:r>
          </w:p>
        </w:tc>
        <w:tc>
          <w:tcPr>
            <w:tcW w:w="1836" w:type="dxa"/>
            <w:shd w:val="clear" w:color="auto" w:fill="auto"/>
          </w:tcPr>
          <w:p w14:paraId="7C50419D"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 (1.56)</w:t>
            </w:r>
          </w:p>
        </w:tc>
        <w:tc>
          <w:tcPr>
            <w:tcW w:w="1054" w:type="dxa"/>
            <w:shd w:val="clear" w:color="auto" w:fill="auto"/>
          </w:tcPr>
          <w:p w14:paraId="2DF20D76"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0.835</w:t>
            </w:r>
          </w:p>
        </w:tc>
      </w:tr>
      <w:tr w:rsidR="005F7A35" w:rsidRPr="00D51201" w14:paraId="173FB125" w14:textId="77777777" w:rsidTr="00351DDE">
        <w:tc>
          <w:tcPr>
            <w:tcW w:w="3119" w:type="dxa"/>
            <w:shd w:val="clear" w:color="auto" w:fill="auto"/>
          </w:tcPr>
          <w:p w14:paraId="749C2AE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Perioperative haemorrhage</w:t>
            </w:r>
          </w:p>
        </w:tc>
        <w:tc>
          <w:tcPr>
            <w:tcW w:w="1860" w:type="dxa"/>
            <w:shd w:val="clear" w:color="auto" w:fill="auto"/>
          </w:tcPr>
          <w:p w14:paraId="2625C50B"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 (2)</w:t>
            </w:r>
          </w:p>
        </w:tc>
        <w:tc>
          <w:tcPr>
            <w:tcW w:w="1826" w:type="dxa"/>
            <w:shd w:val="clear" w:color="auto" w:fill="auto"/>
          </w:tcPr>
          <w:p w14:paraId="1204FF9B"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w:t>
            </w:r>
          </w:p>
        </w:tc>
        <w:tc>
          <w:tcPr>
            <w:tcW w:w="1836" w:type="dxa"/>
            <w:shd w:val="clear" w:color="auto" w:fill="auto"/>
          </w:tcPr>
          <w:p w14:paraId="64CE9128"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2 (3.13)</w:t>
            </w:r>
          </w:p>
        </w:tc>
        <w:tc>
          <w:tcPr>
            <w:tcW w:w="1054" w:type="dxa"/>
            <w:shd w:val="clear" w:color="auto" w:fill="auto"/>
          </w:tcPr>
          <w:p w14:paraId="63A3A00B"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0.712</w:t>
            </w:r>
          </w:p>
        </w:tc>
      </w:tr>
      <w:tr w:rsidR="005F7A35" w:rsidRPr="00D51201" w14:paraId="097104E1" w14:textId="77777777" w:rsidTr="00351DDE">
        <w:tc>
          <w:tcPr>
            <w:tcW w:w="3119" w:type="dxa"/>
            <w:shd w:val="clear" w:color="auto" w:fill="auto"/>
          </w:tcPr>
          <w:p w14:paraId="017BA88B"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Comprehensive complication index</w:t>
            </w:r>
          </w:p>
        </w:tc>
        <w:tc>
          <w:tcPr>
            <w:tcW w:w="1860" w:type="dxa"/>
            <w:shd w:val="clear" w:color="auto" w:fill="auto"/>
          </w:tcPr>
          <w:p w14:paraId="7FFD96A3"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 (0-20.9)</w:t>
            </w:r>
          </w:p>
        </w:tc>
        <w:tc>
          <w:tcPr>
            <w:tcW w:w="1826" w:type="dxa"/>
            <w:shd w:val="clear" w:color="auto" w:fill="auto"/>
          </w:tcPr>
          <w:p w14:paraId="3E88E99F" w14:textId="6551A7FE"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w:t>
            </w:r>
            <w:r w:rsidR="00561229" w:rsidRPr="00D51201">
              <w:rPr>
                <w:rFonts w:ascii="Book Antiqua" w:hAnsi="Book Antiqua"/>
              </w:rPr>
              <w:t xml:space="preserve"> </w:t>
            </w:r>
            <w:r w:rsidRPr="00D51201">
              <w:rPr>
                <w:rFonts w:ascii="Book Antiqua" w:hAnsi="Book Antiqua"/>
              </w:rPr>
              <w:t>(0-20.9)</w:t>
            </w:r>
          </w:p>
        </w:tc>
        <w:tc>
          <w:tcPr>
            <w:tcW w:w="1836" w:type="dxa"/>
            <w:shd w:val="clear" w:color="auto" w:fill="auto"/>
          </w:tcPr>
          <w:p w14:paraId="25774843"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 (0-20.9)</w:t>
            </w:r>
          </w:p>
        </w:tc>
        <w:tc>
          <w:tcPr>
            <w:tcW w:w="1054" w:type="dxa"/>
            <w:shd w:val="clear" w:color="auto" w:fill="auto"/>
          </w:tcPr>
          <w:p w14:paraId="6C1C0176"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0.083</w:t>
            </w:r>
          </w:p>
        </w:tc>
      </w:tr>
      <w:tr w:rsidR="005F7A35" w:rsidRPr="00D51201" w14:paraId="2FA40A15" w14:textId="77777777" w:rsidTr="00351DDE">
        <w:tc>
          <w:tcPr>
            <w:tcW w:w="3119" w:type="dxa"/>
            <w:shd w:val="clear" w:color="auto" w:fill="auto"/>
          </w:tcPr>
          <w:p w14:paraId="4FD4ECB3"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Hospital length of stay</w:t>
            </w:r>
            <w:r w:rsidR="00820C4D" w:rsidRPr="00D51201">
              <w:rPr>
                <w:rFonts w:ascii="Book Antiqua" w:hAnsi="Book Antiqua"/>
              </w:rPr>
              <w:t xml:space="preserve"> (median and range in days)</w:t>
            </w:r>
          </w:p>
        </w:tc>
        <w:tc>
          <w:tcPr>
            <w:tcW w:w="1860" w:type="dxa"/>
            <w:shd w:val="clear" w:color="auto" w:fill="auto"/>
          </w:tcPr>
          <w:p w14:paraId="36897B6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9 (1-76)</w:t>
            </w:r>
          </w:p>
        </w:tc>
        <w:tc>
          <w:tcPr>
            <w:tcW w:w="1826" w:type="dxa"/>
            <w:shd w:val="clear" w:color="auto" w:fill="auto"/>
          </w:tcPr>
          <w:p w14:paraId="534EDE60"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8 (5-30)</w:t>
            </w:r>
          </w:p>
        </w:tc>
        <w:tc>
          <w:tcPr>
            <w:tcW w:w="1836" w:type="dxa"/>
            <w:shd w:val="clear" w:color="auto" w:fill="auto"/>
          </w:tcPr>
          <w:p w14:paraId="13B5F42D"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10 (1-76)</w:t>
            </w:r>
          </w:p>
        </w:tc>
        <w:tc>
          <w:tcPr>
            <w:tcW w:w="1054" w:type="dxa"/>
            <w:shd w:val="clear" w:color="auto" w:fill="auto"/>
          </w:tcPr>
          <w:p w14:paraId="46651A05"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0.138</w:t>
            </w:r>
          </w:p>
        </w:tc>
      </w:tr>
    </w:tbl>
    <w:p w14:paraId="4323A06B" w14:textId="77777777" w:rsidR="005F7A35" w:rsidRPr="00D51201" w:rsidRDefault="00783D65" w:rsidP="00603AB3">
      <w:pPr>
        <w:adjustRightInd w:val="0"/>
        <w:snapToGrid w:val="0"/>
        <w:spacing w:line="360" w:lineRule="auto"/>
        <w:rPr>
          <w:rFonts w:ascii="Book Antiqua" w:hAnsi="Book Antiqua"/>
        </w:rPr>
      </w:pPr>
      <w:r w:rsidRPr="00D51201">
        <w:rPr>
          <w:rFonts w:ascii="Book Antiqua" w:hAnsi="Book Antiqua"/>
        </w:rPr>
        <w:t xml:space="preserve">BMI: Body mass index; </w:t>
      </w:r>
      <w:r w:rsidRPr="00D51201">
        <w:rPr>
          <w:rFonts w:ascii="Book Antiqua" w:eastAsia="Book Antiqua" w:hAnsi="Book Antiqua" w:cs="Book Antiqua"/>
          <w:bCs/>
          <w:color w:val="000000"/>
        </w:rPr>
        <w:t>PALN: Para-aortic lymph nodes.</w:t>
      </w:r>
    </w:p>
    <w:p w14:paraId="48CE0C13" w14:textId="77777777" w:rsidR="005F7A35" w:rsidRPr="00D51201" w:rsidRDefault="005F7A35" w:rsidP="00603AB3">
      <w:pPr>
        <w:adjustRightInd w:val="0"/>
        <w:snapToGrid w:val="0"/>
        <w:spacing w:line="360" w:lineRule="auto"/>
        <w:rPr>
          <w:rFonts w:ascii="Book Antiqua" w:hAnsi="Book Antiqua"/>
          <w:b/>
        </w:rPr>
      </w:pPr>
      <w:r w:rsidRPr="00D51201">
        <w:rPr>
          <w:rFonts w:ascii="Book Antiqua" w:hAnsi="Book Antiqua"/>
          <w:b/>
        </w:rPr>
        <w:br w:type="page"/>
      </w:r>
      <w:r w:rsidRPr="00D51201">
        <w:rPr>
          <w:rFonts w:ascii="Book Antiqua" w:hAnsi="Book Antiqua"/>
          <w:b/>
        </w:rPr>
        <w:lastRenderedPageBreak/>
        <w:t>T</w:t>
      </w:r>
      <w:r w:rsidR="00157899" w:rsidRPr="00D51201">
        <w:rPr>
          <w:rFonts w:ascii="Book Antiqua" w:hAnsi="Book Antiqua"/>
          <w:b/>
        </w:rPr>
        <w:t>able 2</w:t>
      </w:r>
      <w:r w:rsidRPr="00D51201">
        <w:rPr>
          <w:rFonts w:ascii="Book Antiqua" w:hAnsi="Book Antiqua"/>
          <w:b/>
        </w:rPr>
        <w:t xml:space="preserve"> Risk analysis for overall survival</w:t>
      </w:r>
    </w:p>
    <w:tbl>
      <w:tblPr>
        <w:tblStyle w:val="LightGrid1"/>
        <w:tblW w:w="0" w:type="auto"/>
        <w:tblInd w:w="-176" w:type="dxa"/>
        <w:tblBorders>
          <w:top w:val="single" w:sz="4" w:space="0" w:color="auto"/>
          <w:left w:val="none" w:sz="0"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2552"/>
        <w:gridCol w:w="1134"/>
        <w:gridCol w:w="2317"/>
        <w:gridCol w:w="1085"/>
        <w:gridCol w:w="2613"/>
      </w:tblGrid>
      <w:tr w:rsidR="00A141A0" w:rsidRPr="00D51201" w14:paraId="71E4E868" w14:textId="77777777" w:rsidTr="00685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4" w:space="0" w:color="auto"/>
              <w:left w:val="none" w:sz="0" w:space="0" w:color="auto"/>
              <w:bottom w:val="single" w:sz="4" w:space="0" w:color="auto"/>
              <w:right w:val="none" w:sz="0" w:space="0" w:color="auto"/>
            </w:tcBorders>
            <w:shd w:val="clear" w:color="auto" w:fill="auto"/>
          </w:tcPr>
          <w:p w14:paraId="23B221A0" w14:textId="77777777" w:rsidR="00A141A0" w:rsidRPr="00D51201" w:rsidRDefault="00A141A0" w:rsidP="00603AB3">
            <w:pPr>
              <w:snapToGrid w:val="0"/>
              <w:spacing w:line="360" w:lineRule="auto"/>
              <w:rPr>
                <w:rFonts w:ascii="Book Antiqua" w:hAnsi="Book Antiqua"/>
              </w:rPr>
            </w:pPr>
          </w:p>
        </w:tc>
        <w:tc>
          <w:tcPr>
            <w:tcW w:w="3451" w:type="dxa"/>
            <w:gridSpan w:val="2"/>
            <w:tcBorders>
              <w:top w:val="single" w:sz="4" w:space="0" w:color="auto"/>
              <w:left w:val="none" w:sz="0" w:space="0" w:color="auto"/>
              <w:bottom w:val="single" w:sz="4" w:space="0" w:color="auto"/>
              <w:right w:val="none" w:sz="0" w:space="0" w:color="auto"/>
            </w:tcBorders>
            <w:shd w:val="clear" w:color="auto" w:fill="auto"/>
            <w:hideMark/>
          </w:tcPr>
          <w:p w14:paraId="03C0C01C" w14:textId="77777777" w:rsidR="00A141A0" w:rsidRPr="00D51201" w:rsidRDefault="00A141A0" w:rsidP="00603AB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D51201">
              <w:rPr>
                <w:rFonts w:ascii="Book Antiqua" w:hAnsi="Book Antiqua"/>
              </w:rPr>
              <w:t>Univariable</w:t>
            </w:r>
          </w:p>
        </w:tc>
        <w:tc>
          <w:tcPr>
            <w:tcW w:w="3698" w:type="dxa"/>
            <w:gridSpan w:val="2"/>
            <w:tcBorders>
              <w:top w:val="single" w:sz="4" w:space="0" w:color="auto"/>
              <w:left w:val="none" w:sz="0" w:space="0" w:color="auto"/>
              <w:bottom w:val="single" w:sz="4" w:space="0" w:color="auto"/>
              <w:right w:val="nil"/>
            </w:tcBorders>
            <w:shd w:val="clear" w:color="auto" w:fill="auto"/>
            <w:hideMark/>
          </w:tcPr>
          <w:p w14:paraId="1496A281" w14:textId="77777777" w:rsidR="00A141A0" w:rsidRPr="00D51201" w:rsidRDefault="00A141A0" w:rsidP="00603AB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D51201">
              <w:rPr>
                <w:rFonts w:ascii="Book Antiqua" w:hAnsi="Book Antiqua"/>
              </w:rPr>
              <w:t>Multivariable</w:t>
            </w:r>
          </w:p>
        </w:tc>
      </w:tr>
      <w:tr w:rsidR="00A141A0" w:rsidRPr="00D51201" w14:paraId="29C4C6D3"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none" w:sz="0" w:space="0" w:color="auto"/>
              <w:bottom w:val="single" w:sz="4" w:space="0" w:color="auto"/>
              <w:right w:val="none" w:sz="0" w:space="0" w:color="auto"/>
            </w:tcBorders>
            <w:shd w:val="clear" w:color="auto" w:fill="auto"/>
          </w:tcPr>
          <w:p w14:paraId="75B4CACD" w14:textId="77777777" w:rsidR="00A141A0" w:rsidRPr="00D51201" w:rsidRDefault="00A141A0" w:rsidP="00603AB3">
            <w:pPr>
              <w:snapToGrid w:val="0"/>
              <w:spacing w:line="360" w:lineRule="auto"/>
              <w:rPr>
                <w:rFonts w:ascii="Book Antiqua" w:hAnsi="Book Antiqua"/>
              </w:rPr>
            </w:pPr>
          </w:p>
        </w:tc>
        <w:tc>
          <w:tcPr>
            <w:tcW w:w="1134" w:type="dxa"/>
            <w:tcBorders>
              <w:top w:val="single" w:sz="4" w:space="0" w:color="auto"/>
              <w:left w:val="none" w:sz="0" w:space="0" w:color="auto"/>
              <w:bottom w:val="single" w:sz="4" w:space="0" w:color="auto"/>
              <w:right w:val="none" w:sz="0" w:space="0" w:color="auto"/>
            </w:tcBorders>
            <w:shd w:val="clear" w:color="auto" w:fill="auto"/>
            <w:hideMark/>
          </w:tcPr>
          <w:p w14:paraId="33D4FF67" w14:textId="77777777" w:rsidR="00A141A0" w:rsidRPr="00D51201" w:rsidRDefault="00A141A0" w:rsidP="00603AB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D51201">
              <w:rPr>
                <w:rFonts w:ascii="Book Antiqua" w:hAnsi="Book Antiqua"/>
                <w:b/>
                <w:i/>
              </w:rPr>
              <w:t>P</w:t>
            </w:r>
            <w:r w:rsidRPr="00D51201">
              <w:rPr>
                <w:rFonts w:ascii="Book Antiqua" w:hAnsi="Book Antiqua"/>
                <w:b/>
              </w:rPr>
              <w:t xml:space="preserve"> value</w:t>
            </w:r>
          </w:p>
        </w:tc>
        <w:tc>
          <w:tcPr>
            <w:tcW w:w="2317" w:type="dxa"/>
            <w:tcBorders>
              <w:top w:val="single" w:sz="4" w:space="0" w:color="auto"/>
              <w:left w:val="none" w:sz="0" w:space="0" w:color="auto"/>
              <w:bottom w:val="single" w:sz="4" w:space="0" w:color="auto"/>
              <w:right w:val="none" w:sz="0" w:space="0" w:color="auto"/>
            </w:tcBorders>
            <w:shd w:val="clear" w:color="auto" w:fill="auto"/>
            <w:hideMark/>
          </w:tcPr>
          <w:p w14:paraId="0D56DFAC" w14:textId="77777777" w:rsidR="00A141A0" w:rsidRPr="00D51201" w:rsidRDefault="00A141A0" w:rsidP="00603AB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D51201">
              <w:rPr>
                <w:rFonts w:ascii="Book Antiqua" w:hAnsi="Book Antiqua"/>
                <w:b/>
              </w:rPr>
              <w:t>HR (CI)</w:t>
            </w:r>
          </w:p>
        </w:tc>
        <w:tc>
          <w:tcPr>
            <w:tcW w:w="1085" w:type="dxa"/>
            <w:tcBorders>
              <w:top w:val="single" w:sz="4" w:space="0" w:color="auto"/>
              <w:left w:val="none" w:sz="0" w:space="0" w:color="auto"/>
              <w:bottom w:val="single" w:sz="4" w:space="0" w:color="auto"/>
              <w:right w:val="none" w:sz="0" w:space="0" w:color="auto"/>
            </w:tcBorders>
            <w:shd w:val="clear" w:color="auto" w:fill="auto"/>
            <w:hideMark/>
          </w:tcPr>
          <w:p w14:paraId="58CF8760" w14:textId="77777777" w:rsidR="00A141A0" w:rsidRPr="00D51201" w:rsidRDefault="00191B59" w:rsidP="00603AB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D51201">
              <w:rPr>
                <w:rFonts w:ascii="Book Antiqua" w:hAnsi="Book Antiqua"/>
                <w:b/>
                <w:i/>
              </w:rPr>
              <w:t>P</w:t>
            </w:r>
            <w:r w:rsidR="00A141A0" w:rsidRPr="00D51201">
              <w:rPr>
                <w:rFonts w:ascii="Book Antiqua" w:hAnsi="Book Antiqua"/>
                <w:b/>
              </w:rPr>
              <w:t xml:space="preserve"> value</w:t>
            </w:r>
          </w:p>
        </w:tc>
        <w:tc>
          <w:tcPr>
            <w:tcW w:w="2613" w:type="dxa"/>
            <w:tcBorders>
              <w:top w:val="single" w:sz="4" w:space="0" w:color="auto"/>
              <w:left w:val="none" w:sz="0" w:space="0" w:color="auto"/>
              <w:bottom w:val="single" w:sz="4" w:space="0" w:color="auto"/>
              <w:right w:val="nil"/>
            </w:tcBorders>
            <w:shd w:val="clear" w:color="auto" w:fill="auto"/>
            <w:hideMark/>
          </w:tcPr>
          <w:p w14:paraId="2C894910" w14:textId="77777777" w:rsidR="00A141A0" w:rsidRPr="00D51201" w:rsidRDefault="00A141A0" w:rsidP="00603AB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D51201">
              <w:rPr>
                <w:rFonts w:ascii="Book Antiqua" w:hAnsi="Book Antiqua"/>
                <w:b/>
              </w:rPr>
              <w:t>HR (CI)</w:t>
            </w:r>
          </w:p>
        </w:tc>
      </w:tr>
      <w:tr w:rsidR="005F7A35" w:rsidRPr="00D51201" w14:paraId="56875170"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none" w:sz="0" w:space="0" w:color="auto"/>
              <w:bottom w:val="none" w:sz="0" w:space="0" w:color="auto"/>
              <w:right w:val="none" w:sz="0" w:space="0" w:color="auto"/>
            </w:tcBorders>
            <w:shd w:val="clear" w:color="auto" w:fill="auto"/>
            <w:hideMark/>
          </w:tcPr>
          <w:p w14:paraId="7D0C6896"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Age</w:t>
            </w:r>
          </w:p>
        </w:tc>
        <w:tc>
          <w:tcPr>
            <w:tcW w:w="1134" w:type="dxa"/>
            <w:tcBorders>
              <w:top w:val="single" w:sz="4" w:space="0" w:color="auto"/>
              <w:left w:val="none" w:sz="0" w:space="0" w:color="auto"/>
              <w:bottom w:val="none" w:sz="0" w:space="0" w:color="auto"/>
              <w:right w:val="none" w:sz="0" w:space="0" w:color="auto"/>
            </w:tcBorders>
            <w:shd w:val="clear" w:color="auto" w:fill="auto"/>
            <w:hideMark/>
          </w:tcPr>
          <w:p w14:paraId="60153DD3"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0.668</w:t>
            </w:r>
          </w:p>
        </w:tc>
        <w:tc>
          <w:tcPr>
            <w:tcW w:w="2317" w:type="dxa"/>
            <w:tcBorders>
              <w:top w:val="single" w:sz="4" w:space="0" w:color="auto"/>
              <w:left w:val="none" w:sz="0" w:space="0" w:color="auto"/>
              <w:bottom w:val="none" w:sz="0" w:space="0" w:color="auto"/>
              <w:right w:val="none" w:sz="0" w:space="0" w:color="auto"/>
            </w:tcBorders>
            <w:shd w:val="clear" w:color="auto" w:fill="auto"/>
            <w:hideMark/>
          </w:tcPr>
          <w:p w14:paraId="29F1A0E5"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0.994 (0.966-1.022)</w:t>
            </w:r>
          </w:p>
        </w:tc>
        <w:tc>
          <w:tcPr>
            <w:tcW w:w="1085" w:type="dxa"/>
            <w:tcBorders>
              <w:top w:val="single" w:sz="4" w:space="0" w:color="auto"/>
              <w:left w:val="none" w:sz="0" w:space="0" w:color="auto"/>
              <w:bottom w:val="none" w:sz="0" w:space="0" w:color="auto"/>
              <w:right w:val="none" w:sz="0" w:space="0" w:color="auto"/>
            </w:tcBorders>
            <w:shd w:val="clear" w:color="auto" w:fill="auto"/>
          </w:tcPr>
          <w:p w14:paraId="35B6317B"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2613" w:type="dxa"/>
            <w:tcBorders>
              <w:top w:val="single" w:sz="4" w:space="0" w:color="auto"/>
              <w:left w:val="none" w:sz="0" w:space="0" w:color="auto"/>
              <w:bottom w:val="none" w:sz="0" w:space="0" w:color="auto"/>
              <w:right w:val="nil"/>
            </w:tcBorders>
            <w:shd w:val="clear" w:color="auto" w:fill="auto"/>
          </w:tcPr>
          <w:p w14:paraId="29950FAE"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5F7A35" w:rsidRPr="00D51201" w14:paraId="1F089B79"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204C1D9E"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Sex</w:t>
            </w:r>
          </w:p>
        </w:tc>
        <w:tc>
          <w:tcPr>
            <w:tcW w:w="1134" w:type="dxa"/>
            <w:tcBorders>
              <w:top w:val="none" w:sz="0" w:space="0" w:color="auto"/>
              <w:left w:val="none" w:sz="0" w:space="0" w:color="auto"/>
              <w:bottom w:val="none" w:sz="0" w:space="0" w:color="auto"/>
              <w:right w:val="none" w:sz="0" w:space="0" w:color="auto"/>
            </w:tcBorders>
            <w:shd w:val="clear" w:color="auto" w:fill="auto"/>
            <w:hideMark/>
          </w:tcPr>
          <w:p w14:paraId="2318E767"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0.359</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0D722C51"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0.756 (0.416-1.374)</w:t>
            </w:r>
          </w:p>
        </w:tc>
        <w:tc>
          <w:tcPr>
            <w:tcW w:w="1085" w:type="dxa"/>
            <w:tcBorders>
              <w:top w:val="none" w:sz="0" w:space="0" w:color="auto"/>
              <w:left w:val="none" w:sz="0" w:space="0" w:color="auto"/>
              <w:bottom w:val="none" w:sz="0" w:space="0" w:color="auto"/>
              <w:right w:val="none" w:sz="0" w:space="0" w:color="auto"/>
            </w:tcBorders>
            <w:shd w:val="clear" w:color="auto" w:fill="auto"/>
          </w:tcPr>
          <w:p w14:paraId="701AE75B"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il"/>
            </w:tcBorders>
            <w:shd w:val="clear" w:color="auto" w:fill="auto"/>
          </w:tcPr>
          <w:p w14:paraId="532A7648"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F7A35" w:rsidRPr="00D51201" w14:paraId="52511EAA"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28413957"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Preoperative CA19-9</w:t>
            </w:r>
          </w:p>
        </w:tc>
        <w:tc>
          <w:tcPr>
            <w:tcW w:w="1134" w:type="dxa"/>
            <w:tcBorders>
              <w:top w:val="none" w:sz="0" w:space="0" w:color="auto"/>
              <w:left w:val="none" w:sz="0" w:space="0" w:color="auto"/>
              <w:bottom w:val="none" w:sz="0" w:space="0" w:color="auto"/>
              <w:right w:val="none" w:sz="0" w:space="0" w:color="auto"/>
            </w:tcBorders>
            <w:shd w:val="clear" w:color="auto" w:fill="auto"/>
            <w:hideMark/>
          </w:tcPr>
          <w:p w14:paraId="694183E9"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0.626</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116E8286"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1.000 (1.000-1.000)</w:t>
            </w:r>
          </w:p>
        </w:tc>
        <w:tc>
          <w:tcPr>
            <w:tcW w:w="1085" w:type="dxa"/>
            <w:tcBorders>
              <w:top w:val="none" w:sz="0" w:space="0" w:color="auto"/>
              <w:left w:val="none" w:sz="0" w:space="0" w:color="auto"/>
              <w:bottom w:val="none" w:sz="0" w:space="0" w:color="auto"/>
              <w:right w:val="none" w:sz="0" w:space="0" w:color="auto"/>
            </w:tcBorders>
            <w:shd w:val="clear" w:color="auto" w:fill="auto"/>
          </w:tcPr>
          <w:p w14:paraId="57921257"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il"/>
            </w:tcBorders>
            <w:shd w:val="clear" w:color="auto" w:fill="auto"/>
          </w:tcPr>
          <w:p w14:paraId="19D66E45"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5F7A35" w:rsidRPr="00D51201" w14:paraId="58F9C3E9"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0D12322F"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 xml:space="preserve">Pre-operative </w:t>
            </w:r>
            <w:r w:rsidR="00191B59" w:rsidRPr="00D51201">
              <w:rPr>
                <w:rFonts w:ascii="Book Antiqua" w:hAnsi="Book Antiqua"/>
                <w:b w:val="0"/>
              </w:rPr>
              <w:t>s</w:t>
            </w:r>
            <w:r w:rsidRPr="00D51201">
              <w:rPr>
                <w:rFonts w:ascii="Book Antiqua" w:hAnsi="Book Antiqua"/>
                <w:b w:val="0"/>
              </w:rPr>
              <w:t>tage</w:t>
            </w:r>
          </w:p>
        </w:tc>
        <w:tc>
          <w:tcPr>
            <w:tcW w:w="1134" w:type="dxa"/>
            <w:tcBorders>
              <w:top w:val="none" w:sz="0" w:space="0" w:color="auto"/>
              <w:left w:val="none" w:sz="0" w:space="0" w:color="auto"/>
              <w:bottom w:val="none" w:sz="0" w:space="0" w:color="auto"/>
              <w:right w:val="none" w:sz="0" w:space="0" w:color="auto"/>
            </w:tcBorders>
            <w:shd w:val="clear" w:color="auto" w:fill="auto"/>
            <w:hideMark/>
          </w:tcPr>
          <w:p w14:paraId="0E1BE10F"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0.949</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5E95C7D3"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0.986 (0.641-1.517)</w:t>
            </w:r>
          </w:p>
        </w:tc>
        <w:tc>
          <w:tcPr>
            <w:tcW w:w="1085" w:type="dxa"/>
            <w:tcBorders>
              <w:top w:val="none" w:sz="0" w:space="0" w:color="auto"/>
              <w:left w:val="none" w:sz="0" w:space="0" w:color="auto"/>
              <w:bottom w:val="none" w:sz="0" w:space="0" w:color="auto"/>
              <w:right w:val="none" w:sz="0" w:space="0" w:color="auto"/>
            </w:tcBorders>
            <w:shd w:val="clear" w:color="auto" w:fill="auto"/>
          </w:tcPr>
          <w:p w14:paraId="331FDF84"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il"/>
            </w:tcBorders>
            <w:shd w:val="clear" w:color="auto" w:fill="auto"/>
          </w:tcPr>
          <w:p w14:paraId="68CE9A13"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F7A35" w:rsidRPr="00D51201" w14:paraId="1A920854"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00DDA8E6"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Resection type</w:t>
            </w:r>
          </w:p>
        </w:tc>
        <w:tc>
          <w:tcPr>
            <w:tcW w:w="1134" w:type="dxa"/>
            <w:tcBorders>
              <w:top w:val="none" w:sz="0" w:space="0" w:color="auto"/>
              <w:left w:val="none" w:sz="0" w:space="0" w:color="auto"/>
              <w:bottom w:val="none" w:sz="0" w:space="0" w:color="auto"/>
              <w:right w:val="none" w:sz="0" w:space="0" w:color="auto"/>
            </w:tcBorders>
            <w:shd w:val="clear" w:color="auto" w:fill="auto"/>
            <w:hideMark/>
          </w:tcPr>
          <w:p w14:paraId="52A53E92"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0.517</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285E37AA"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1.141 (0.765-1.702)</w:t>
            </w:r>
          </w:p>
        </w:tc>
        <w:tc>
          <w:tcPr>
            <w:tcW w:w="1085" w:type="dxa"/>
            <w:tcBorders>
              <w:top w:val="none" w:sz="0" w:space="0" w:color="auto"/>
              <w:left w:val="none" w:sz="0" w:space="0" w:color="auto"/>
              <w:bottom w:val="none" w:sz="0" w:space="0" w:color="auto"/>
              <w:right w:val="none" w:sz="0" w:space="0" w:color="auto"/>
            </w:tcBorders>
            <w:shd w:val="clear" w:color="auto" w:fill="auto"/>
          </w:tcPr>
          <w:p w14:paraId="418A44C8"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il"/>
            </w:tcBorders>
            <w:shd w:val="clear" w:color="auto" w:fill="auto"/>
          </w:tcPr>
          <w:p w14:paraId="707D8631"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5F7A35" w:rsidRPr="00D51201" w14:paraId="5263D959"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6F56422C"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Venous resection</w:t>
            </w:r>
          </w:p>
        </w:tc>
        <w:tc>
          <w:tcPr>
            <w:tcW w:w="1134" w:type="dxa"/>
            <w:tcBorders>
              <w:top w:val="none" w:sz="0" w:space="0" w:color="auto"/>
              <w:left w:val="none" w:sz="0" w:space="0" w:color="auto"/>
              <w:bottom w:val="none" w:sz="0" w:space="0" w:color="auto"/>
              <w:right w:val="none" w:sz="0" w:space="0" w:color="auto"/>
            </w:tcBorders>
            <w:shd w:val="clear" w:color="auto" w:fill="auto"/>
            <w:hideMark/>
          </w:tcPr>
          <w:p w14:paraId="5B359302"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0.659</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3155ABD6"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1.146 (0.625-2.104)</w:t>
            </w:r>
          </w:p>
        </w:tc>
        <w:tc>
          <w:tcPr>
            <w:tcW w:w="1085" w:type="dxa"/>
            <w:tcBorders>
              <w:top w:val="none" w:sz="0" w:space="0" w:color="auto"/>
              <w:left w:val="none" w:sz="0" w:space="0" w:color="auto"/>
              <w:bottom w:val="none" w:sz="0" w:space="0" w:color="auto"/>
              <w:right w:val="none" w:sz="0" w:space="0" w:color="auto"/>
            </w:tcBorders>
            <w:shd w:val="clear" w:color="auto" w:fill="auto"/>
          </w:tcPr>
          <w:p w14:paraId="3EAE111A"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il"/>
            </w:tcBorders>
            <w:shd w:val="clear" w:color="auto" w:fill="auto"/>
          </w:tcPr>
          <w:p w14:paraId="36D2DC8D"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F7A35" w:rsidRPr="00D51201" w14:paraId="32CC3C8B"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5B961A26"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Arterial resection</w:t>
            </w:r>
          </w:p>
        </w:tc>
        <w:tc>
          <w:tcPr>
            <w:tcW w:w="1134" w:type="dxa"/>
            <w:tcBorders>
              <w:top w:val="none" w:sz="0" w:space="0" w:color="auto"/>
              <w:left w:val="none" w:sz="0" w:space="0" w:color="auto"/>
              <w:bottom w:val="none" w:sz="0" w:space="0" w:color="auto"/>
              <w:right w:val="none" w:sz="0" w:space="0" w:color="auto"/>
            </w:tcBorders>
            <w:shd w:val="clear" w:color="auto" w:fill="auto"/>
            <w:hideMark/>
          </w:tcPr>
          <w:p w14:paraId="28761672"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0.327</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5547E9CE"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2.045 (0.489-8.559)</w:t>
            </w:r>
          </w:p>
        </w:tc>
        <w:tc>
          <w:tcPr>
            <w:tcW w:w="1085" w:type="dxa"/>
            <w:tcBorders>
              <w:top w:val="none" w:sz="0" w:space="0" w:color="auto"/>
              <w:left w:val="none" w:sz="0" w:space="0" w:color="auto"/>
              <w:bottom w:val="none" w:sz="0" w:space="0" w:color="auto"/>
              <w:right w:val="none" w:sz="0" w:space="0" w:color="auto"/>
            </w:tcBorders>
            <w:shd w:val="clear" w:color="auto" w:fill="auto"/>
          </w:tcPr>
          <w:p w14:paraId="42E16E3C"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il"/>
            </w:tcBorders>
            <w:shd w:val="clear" w:color="auto" w:fill="auto"/>
          </w:tcPr>
          <w:p w14:paraId="5D4ECAF0"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5F7A35" w:rsidRPr="00D51201" w14:paraId="3128078C"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603B74CA"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pT</w:t>
            </w:r>
          </w:p>
        </w:tc>
        <w:tc>
          <w:tcPr>
            <w:tcW w:w="1134" w:type="dxa"/>
            <w:tcBorders>
              <w:top w:val="none" w:sz="0" w:space="0" w:color="auto"/>
              <w:left w:val="none" w:sz="0" w:space="0" w:color="auto"/>
              <w:bottom w:val="none" w:sz="0" w:space="0" w:color="auto"/>
              <w:right w:val="none" w:sz="0" w:space="0" w:color="auto"/>
            </w:tcBorders>
            <w:shd w:val="clear" w:color="auto" w:fill="auto"/>
            <w:hideMark/>
          </w:tcPr>
          <w:p w14:paraId="63FC507B"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0.001</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61A87C7D"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2.148 (1.368-3.371)</w:t>
            </w:r>
          </w:p>
        </w:tc>
        <w:tc>
          <w:tcPr>
            <w:tcW w:w="1085" w:type="dxa"/>
            <w:tcBorders>
              <w:top w:val="none" w:sz="0" w:space="0" w:color="auto"/>
              <w:left w:val="none" w:sz="0" w:space="0" w:color="auto"/>
              <w:bottom w:val="none" w:sz="0" w:space="0" w:color="auto"/>
              <w:right w:val="none" w:sz="0" w:space="0" w:color="auto"/>
            </w:tcBorders>
            <w:shd w:val="clear" w:color="auto" w:fill="auto"/>
            <w:hideMark/>
          </w:tcPr>
          <w:p w14:paraId="17BCA047"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0.008</w:t>
            </w:r>
          </w:p>
        </w:tc>
        <w:tc>
          <w:tcPr>
            <w:tcW w:w="2613" w:type="dxa"/>
            <w:tcBorders>
              <w:top w:val="none" w:sz="0" w:space="0" w:color="auto"/>
              <w:left w:val="none" w:sz="0" w:space="0" w:color="auto"/>
              <w:bottom w:val="none" w:sz="0" w:space="0" w:color="auto"/>
              <w:right w:val="nil"/>
            </w:tcBorders>
            <w:shd w:val="clear" w:color="auto" w:fill="auto"/>
          </w:tcPr>
          <w:p w14:paraId="3A5D879B"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F7A35" w:rsidRPr="00D51201" w14:paraId="1642824E" w14:textId="77777777" w:rsidTr="006855E1">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67B64F36"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pT1</w:t>
            </w:r>
          </w:p>
        </w:tc>
        <w:tc>
          <w:tcPr>
            <w:tcW w:w="1134" w:type="dxa"/>
            <w:tcBorders>
              <w:top w:val="none" w:sz="0" w:space="0" w:color="auto"/>
              <w:left w:val="none" w:sz="0" w:space="0" w:color="auto"/>
              <w:bottom w:val="none" w:sz="0" w:space="0" w:color="auto"/>
              <w:right w:val="none" w:sz="0" w:space="0" w:color="auto"/>
            </w:tcBorders>
            <w:shd w:val="clear" w:color="auto" w:fill="auto"/>
          </w:tcPr>
          <w:p w14:paraId="5809C426"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2317" w:type="dxa"/>
            <w:tcBorders>
              <w:top w:val="none" w:sz="0" w:space="0" w:color="auto"/>
              <w:left w:val="none" w:sz="0" w:space="0" w:color="auto"/>
              <w:bottom w:val="none" w:sz="0" w:space="0" w:color="auto"/>
              <w:right w:val="none" w:sz="0" w:space="0" w:color="auto"/>
            </w:tcBorders>
            <w:shd w:val="clear" w:color="auto" w:fill="auto"/>
          </w:tcPr>
          <w:p w14:paraId="09B6D779"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1085" w:type="dxa"/>
            <w:tcBorders>
              <w:top w:val="none" w:sz="0" w:space="0" w:color="auto"/>
              <w:left w:val="none" w:sz="0" w:space="0" w:color="auto"/>
              <w:bottom w:val="none" w:sz="0" w:space="0" w:color="auto"/>
              <w:right w:val="none" w:sz="0" w:space="0" w:color="auto"/>
            </w:tcBorders>
            <w:shd w:val="clear" w:color="auto" w:fill="auto"/>
          </w:tcPr>
          <w:p w14:paraId="4675057D"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0.842</w:t>
            </w:r>
          </w:p>
        </w:tc>
        <w:tc>
          <w:tcPr>
            <w:tcW w:w="2613" w:type="dxa"/>
            <w:tcBorders>
              <w:top w:val="none" w:sz="0" w:space="0" w:color="auto"/>
              <w:left w:val="none" w:sz="0" w:space="0" w:color="auto"/>
              <w:bottom w:val="none" w:sz="0" w:space="0" w:color="auto"/>
              <w:right w:val="nil"/>
            </w:tcBorders>
            <w:shd w:val="clear" w:color="auto" w:fill="auto"/>
          </w:tcPr>
          <w:p w14:paraId="12605FA9"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1.114 (0.385-3.226)</w:t>
            </w:r>
          </w:p>
        </w:tc>
      </w:tr>
      <w:tr w:rsidR="006855E1" w:rsidRPr="00D51201" w14:paraId="2E02DF6D" w14:textId="77777777" w:rsidTr="006855E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108DAEC0" w14:textId="77777777" w:rsidR="006855E1" w:rsidRPr="00D51201" w:rsidRDefault="006855E1" w:rsidP="00603AB3">
            <w:pPr>
              <w:adjustRightInd w:val="0"/>
              <w:snapToGrid w:val="0"/>
              <w:spacing w:line="360" w:lineRule="auto"/>
              <w:rPr>
                <w:rFonts w:ascii="Book Antiqua" w:hAnsi="Book Antiqua"/>
              </w:rPr>
            </w:pPr>
            <w:r w:rsidRPr="00D51201">
              <w:rPr>
                <w:rFonts w:ascii="Book Antiqua" w:hAnsi="Book Antiqua"/>
                <w:b w:val="0"/>
              </w:rPr>
              <w:t>pT2</w:t>
            </w:r>
          </w:p>
        </w:tc>
        <w:tc>
          <w:tcPr>
            <w:tcW w:w="1134" w:type="dxa"/>
            <w:tcBorders>
              <w:top w:val="none" w:sz="0" w:space="0" w:color="auto"/>
              <w:left w:val="none" w:sz="0" w:space="0" w:color="auto"/>
              <w:bottom w:val="none" w:sz="0" w:space="0" w:color="auto"/>
              <w:right w:val="none" w:sz="0" w:space="0" w:color="auto"/>
            </w:tcBorders>
            <w:shd w:val="clear" w:color="auto" w:fill="auto"/>
          </w:tcPr>
          <w:p w14:paraId="2675A902" w14:textId="77777777" w:rsidR="006855E1" w:rsidRPr="00D51201" w:rsidRDefault="006855E1"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17" w:type="dxa"/>
            <w:tcBorders>
              <w:top w:val="none" w:sz="0" w:space="0" w:color="auto"/>
              <w:left w:val="none" w:sz="0" w:space="0" w:color="auto"/>
              <w:bottom w:val="none" w:sz="0" w:space="0" w:color="auto"/>
              <w:right w:val="none" w:sz="0" w:space="0" w:color="auto"/>
            </w:tcBorders>
            <w:shd w:val="clear" w:color="auto" w:fill="auto"/>
          </w:tcPr>
          <w:p w14:paraId="0AE1807B" w14:textId="77777777" w:rsidR="006855E1" w:rsidRPr="00D51201" w:rsidRDefault="006855E1"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85" w:type="dxa"/>
            <w:tcBorders>
              <w:top w:val="none" w:sz="0" w:space="0" w:color="auto"/>
              <w:left w:val="none" w:sz="0" w:space="0" w:color="auto"/>
              <w:bottom w:val="none" w:sz="0" w:space="0" w:color="auto"/>
              <w:right w:val="none" w:sz="0" w:space="0" w:color="auto"/>
            </w:tcBorders>
            <w:shd w:val="clear" w:color="auto" w:fill="auto"/>
          </w:tcPr>
          <w:p w14:paraId="080A9E7E" w14:textId="77777777" w:rsidR="006855E1" w:rsidRPr="00D51201" w:rsidRDefault="006855E1"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0.115</w:t>
            </w:r>
          </w:p>
        </w:tc>
        <w:tc>
          <w:tcPr>
            <w:tcW w:w="2613" w:type="dxa"/>
            <w:tcBorders>
              <w:top w:val="none" w:sz="0" w:space="0" w:color="auto"/>
              <w:left w:val="none" w:sz="0" w:space="0" w:color="auto"/>
              <w:bottom w:val="none" w:sz="0" w:space="0" w:color="auto"/>
              <w:right w:val="nil"/>
            </w:tcBorders>
            <w:shd w:val="clear" w:color="auto" w:fill="auto"/>
          </w:tcPr>
          <w:p w14:paraId="1A6EF6E8" w14:textId="77777777" w:rsidR="006855E1" w:rsidRPr="00D51201" w:rsidRDefault="006855E1"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2.459 (0.803-7.536)</w:t>
            </w:r>
          </w:p>
        </w:tc>
      </w:tr>
      <w:tr w:rsidR="006855E1" w:rsidRPr="00D51201" w14:paraId="23065C31" w14:textId="77777777" w:rsidTr="006855E1">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3F421477" w14:textId="77777777" w:rsidR="006855E1" w:rsidRPr="00D51201" w:rsidRDefault="006855E1" w:rsidP="00603AB3">
            <w:pPr>
              <w:adjustRightInd w:val="0"/>
              <w:snapToGrid w:val="0"/>
              <w:spacing w:line="360" w:lineRule="auto"/>
              <w:rPr>
                <w:rFonts w:ascii="Book Antiqua" w:hAnsi="Book Antiqua"/>
              </w:rPr>
            </w:pPr>
            <w:r w:rsidRPr="00D51201">
              <w:rPr>
                <w:rFonts w:ascii="Book Antiqua" w:hAnsi="Book Antiqua"/>
                <w:b w:val="0"/>
              </w:rPr>
              <w:t>pT3</w:t>
            </w:r>
          </w:p>
        </w:tc>
        <w:tc>
          <w:tcPr>
            <w:tcW w:w="1134" w:type="dxa"/>
            <w:tcBorders>
              <w:top w:val="none" w:sz="0" w:space="0" w:color="auto"/>
              <w:left w:val="none" w:sz="0" w:space="0" w:color="auto"/>
              <w:bottom w:val="none" w:sz="0" w:space="0" w:color="auto"/>
              <w:right w:val="none" w:sz="0" w:space="0" w:color="auto"/>
            </w:tcBorders>
            <w:shd w:val="clear" w:color="auto" w:fill="auto"/>
          </w:tcPr>
          <w:p w14:paraId="6517F816" w14:textId="77777777" w:rsidR="006855E1" w:rsidRPr="00D51201" w:rsidRDefault="006855E1"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2317" w:type="dxa"/>
            <w:tcBorders>
              <w:top w:val="none" w:sz="0" w:space="0" w:color="auto"/>
              <w:left w:val="none" w:sz="0" w:space="0" w:color="auto"/>
              <w:bottom w:val="none" w:sz="0" w:space="0" w:color="auto"/>
              <w:right w:val="none" w:sz="0" w:space="0" w:color="auto"/>
            </w:tcBorders>
            <w:shd w:val="clear" w:color="auto" w:fill="auto"/>
          </w:tcPr>
          <w:p w14:paraId="6395628B" w14:textId="77777777" w:rsidR="006855E1" w:rsidRPr="00D51201" w:rsidRDefault="006855E1"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1085" w:type="dxa"/>
            <w:tcBorders>
              <w:top w:val="none" w:sz="0" w:space="0" w:color="auto"/>
              <w:left w:val="none" w:sz="0" w:space="0" w:color="auto"/>
              <w:bottom w:val="none" w:sz="0" w:space="0" w:color="auto"/>
              <w:right w:val="none" w:sz="0" w:space="0" w:color="auto"/>
            </w:tcBorders>
            <w:shd w:val="clear" w:color="auto" w:fill="auto"/>
          </w:tcPr>
          <w:p w14:paraId="74F266AE" w14:textId="77777777" w:rsidR="006855E1" w:rsidRPr="00D51201" w:rsidRDefault="006855E1"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0.008</w:t>
            </w:r>
          </w:p>
        </w:tc>
        <w:tc>
          <w:tcPr>
            <w:tcW w:w="2613" w:type="dxa"/>
            <w:tcBorders>
              <w:top w:val="none" w:sz="0" w:space="0" w:color="auto"/>
              <w:left w:val="none" w:sz="0" w:space="0" w:color="auto"/>
              <w:bottom w:val="none" w:sz="0" w:space="0" w:color="auto"/>
              <w:right w:val="nil"/>
            </w:tcBorders>
            <w:shd w:val="clear" w:color="auto" w:fill="auto"/>
          </w:tcPr>
          <w:p w14:paraId="125A088A" w14:textId="77777777" w:rsidR="006855E1" w:rsidRPr="00D51201" w:rsidRDefault="006855E1"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31.275 (2.491-392.605)</w:t>
            </w:r>
          </w:p>
        </w:tc>
      </w:tr>
      <w:tr w:rsidR="005F7A35" w:rsidRPr="00D51201" w14:paraId="7D651EC8"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460B9745"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pN</w:t>
            </w:r>
          </w:p>
        </w:tc>
        <w:tc>
          <w:tcPr>
            <w:tcW w:w="1134" w:type="dxa"/>
            <w:tcBorders>
              <w:top w:val="none" w:sz="0" w:space="0" w:color="auto"/>
              <w:left w:val="none" w:sz="0" w:space="0" w:color="auto"/>
              <w:bottom w:val="none" w:sz="0" w:space="0" w:color="auto"/>
              <w:right w:val="none" w:sz="0" w:space="0" w:color="auto"/>
            </w:tcBorders>
            <w:shd w:val="clear" w:color="auto" w:fill="auto"/>
            <w:hideMark/>
          </w:tcPr>
          <w:p w14:paraId="45B7193E"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0.002</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1C503DF0"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2.195 (1.337-3.604)</w:t>
            </w:r>
          </w:p>
        </w:tc>
        <w:tc>
          <w:tcPr>
            <w:tcW w:w="1085" w:type="dxa"/>
            <w:tcBorders>
              <w:top w:val="none" w:sz="0" w:space="0" w:color="auto"/>
              <w:left w:val="none" w:sz="0" w:space="0" w:color="auto"/>
              <w:bottom w:val="none" w:sz="0" w:space="0" w:color="auto"/>
              <w:right w:val="none" w:sz="0" w:space="0" w:color="auto"/>
            </w:tcBorders>
            <w:shd w:val="clear" w:color="auto" w:fill="auto"/>
            <w:hideMark/>
          </w:tcPr>
          <w:p w14:paraId="4D64CE91"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0.004</w:t>
            </w:r>
          </w:p>
        </w:tc>
        <w:tc>
          <w:tcPr>
            <w:tcW w:w="2613" w:type="dxa"/>
            <w:tcBorders>
              <w:top w:val="none" w:sz="0" w:space="0" w:color="auto"/>
              <w:left w:val="none" w:sz="0" w:space="0" w:color="auto"/>
              <w:bottom w:val="none" w:sz="0" w:space="0" w:color="auto"/>
              <w:right w:val="nil"/>
            </w:tcBorders>
            <w:shd w:val="clear" w:color="auto" w:fill="auto"/>
          </w:tcPr>
          <w:p w14:paraId="2F557B3A"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F7A35" w:rsidRPr="00D51201" w14:paraId="60784816" w14:textId="77777777" w:rsidTr="006855E1">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2B5AE022"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pN1</w:t>
            </w:r>
          </w:p>
        </w:tc>
        <w:tc>
          <w:tcPr>
            <w:tcW w:w="1134" w:type="dxa"/>
            <w:tcBorders>
              <w:top w:val="none" w:sz="0" w:space="0" w:color="auto"/>
              <w:left w:val="none" w:sz="0" w:space="0" w:color="auto"/>
              <w:bottom w:val="none" w:sz="0" w:space="0" w:color="auto"/>
              <w:right w:val="none" w:sz="0" w:space="0" w:color="auto"/>
            </w:tcBorders>
            <w:shd w:val="clear" w:color="auto" w:fill="auto"/>
          </w:tcPr>
          <w:p w14:paraId="58554D65"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2317" w:type="dxa"/>
            <w:tcBorders>
              <w:top w:val="none" w:sz="0" w:space="0" w:color="auto"/>
              <w:left w:val="none" w:sz="0" w:space="0" w:color="auto"/>
              <w:bottom w:val="none" w:sz="0" w:space="0" w:color="auto"/>
              <w:right w:val="none" w:sz="0" w:space="0" w:color="auto"/>
            </w:tcBorders>
            <w:shd w:val="clear" w:color="auto" w:fill="auto"/>
          </w:tcPr>
          <w:p w14:paraId="5B86FBC0"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1085" w:type="dxa"/>
            <w:tcBorders>
              <w:top w:val="none" w:sz="0" w:space="0" w:color="auto"/>
              <w:left w:val="none" w:sz="0" w:space="0" w:color="auto"/>
              <w:bottom w:val="none" w:sz="0" w:space="0" w:color="auto"/>
              <w:right w:val="none" w:sz="0" w:space="0" w:color="auto"/>
            </w:tcBorders>
            <w:shd w:val="clear" w:color="auto" w:fill="auto"/>
          </w:tcPr>
          <w:p w14:paraId="6474C958"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0.329</w:t>
            </w:r>
          </w:p>
        </w:tc>
        <w:tc>
          <w:tcPr>
            <w:tcW w:w="2613" w:type="dxa"/>
            <w:tcBorders>
              <w:top w:val="none" w:sz="0" w:space="0" w:color="auto"/>
              <w:left w:val="none" w:sz="0" w:space="0" w:color="auto"/>
              <w:bottom w:val="none" w:sz="0" w:space="0" w:color="auto"/>
              <w:right w:val="nil"/>
            </w:tcBorders>
            <w:shd w:val="clear" w:color="auto" w:fill="auto"/>
          </w:tcPr>
          <w:p w14:paraId="6F5D1194"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2.332 (0.427-12.740)</w:t>
            </w:r>
          </w:p>
        </w:tc>
      </w:tr>
      <w:tr w:rsidR="006855E1" w:rsidRPr="00D51201" w14:paraId="038704B5" w14:textId="77777777" w:rsidTr="006855E1">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01724E6F" w14:textId="77777777" w:rsidR="006855E1" w:rsidRPr="00D51201" w:rsidRDefault="006855E1" w:rsidP="00603AB3">
            <w:pPr>
              <w:adjustRightInd w:val="0"/>
              <w:snapToGrid w:val="0"/>
              <w:spacing w:line="360" w:lineRule="auto"/>
              <w:rPr>
                <w:rFonts w:ascii="Book Antiqua" w:hAnsi="Book Antiqua"/>
              </w:rPr>
            </w:pPr>
            <w:r w:rsidRPr="00D51201">
              <w:rPr>
                <w:rFonts w:ascii="Book Antiqua" w:hAnsi="Book Antiqua"/>
                <w:b w:val="0"/>
              </w:rPr>
              <w:t>pN2</w:t>
            </w:r>
          </w:p>
        </w:tc>
        <w:tc>
          <w:tcPr>
            <w:tcW w:w="1134" w:type="dxa"/>
            <w:tcBorders>
              <w:top w:val="none" w:sz="0" w:space="0" w:color="auto"/>
              <w:left w:val="none" w:sz="0" w:space="0" w:color="auto"/>
              <w:bottom w:val="none" w:sz="0" w:space="0" w:color="auto"/>
              <w:right w:val="none" w:sz="0" w:space="0" w:color="auto"/>
            </w:tcBorders>
            <w:shd w:val="clear" w:color="auto" w:fill="auto"/>
          </w:tcPr>
          <w:p w14:paraId="1937B505" w14:textId="77777777" w:rsidR="006855E1" w:rsidRPr="00D51201" w:rsidRDefault="006855E1"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17" w:type="dxa"/>
            <w:tcBorders>
              <w:top w:val="none" w:sz="0" w:space="0" w:color="auto"/>
              <w:left w:val="none" w:sz="0" w:space="0" w:color="auto"/>
              <w:bottom w:val="none" w:sz="0" w:space="0" w:color="auto"/>
              <w:right w:val="none" w:sz="0" w:space="0" w:color="auto"/>
            </w:tcBorders>
            <w:shd w:val="clear" w:color="auto" w:fill="auto"/>
          </w:tcPr>
          <w:p w14:paraId="0928393E" w14:textId="77777777" w:rsidR="006855E1" w:rsidRPr="00D51201" w:rsidRDefault="006855E1"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85" w:type="dxa"/>
            <w:tcBorders>
              <w:top w:val="none" w:sz="0" w:space="0" w:color="auto"/>
              <w:left w:val="none" w:sz="0" w:space="0" w:color="auto"/>
              <w:bottom w:val="none" w:sz="0" w:space="0" w:color="auto"/>
              <w:right w:val="none" w:sz="0" w:space="0" w:color="auto"/>
            </w:tcBorders>
            <w:shd w:val="clear" w:color="auto" w:fill="auto"/>
          </w:tcPr>
          <w:p w14:paraId="6728B5E2" w14:textId="77777777" w:rsidR="006855E1" w:rsidRPr="00D51201" w:rsidRDefault="006855E1"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0.016</w:t>
            </w:r>
          </w:p>
        </w:tc>
        <w:tc>
          <w:tcPr>
            <w:tcW w:w="2613" w:type="dxa"/>
            <w:tcBorders>
              <w:top w:val="none" w:sz="0" w:space="0" w:color="auto"/>
              <w:left w:val="none" w:sz="0" w:space="0" w:color="auto"/>
              <w:bottom w:val="none" w:sz="0" w:space="0" w:color="auto"/>
              <w:right w:val="nil"/>
            </w:tcBorders>
            <w:shd w:val="clear" w:color="auto" w:fill="auto"/>
          </w:tcPr>
          <w:p w14:paraId="1FD683B2" w14:textId="77777777" w:rsidR="006855E1" w:rsidRPr="00D51201" w:rsidRDefault="006855E1"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7.564 (1.459-39.224)</w:t>
            </w:r>
          </w:p>
        </w:tc>
      </w:tr>
      <w:tr w:rsidR="005F7A35" w:rsidRPr="00D51201" w14:paraId="4EC6E71F"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6DCC3A57"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PALN positivity</w:t>
            </w:r>
          </w:p>
        </w:tc>
        <w:tc>
          <w:tcPr>
            <w:tcW w:w="1134" w:type="dxa"/>
            <w:tcBorders>
              <w:top w:val="none" w:sz="0" w:space="0" w:color="auto"/>
              <w:left w:val="none" w:sz="0" w:space="0" w:color="auto"/>
              <w:bottom w:val="none" w:sz="0" w:space="0" w:color="auto"/>
              <w:right w:val="none" w:sz="0" w:space="0" w:color="auto"/>
            </w:tcBorders>
            <w:shd w:val="clear" w:color="auto" w:fill="auto"/>
            <w:hideMark/>
          </w:tcPr>
          <w:p w14:paraId="4EE70A59"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0.041</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1084E428"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1.970 (1.028-3.776)</w:t>
            </w:r>
          </w:p>
        </w:tc>
        <w:tc>
          <w:tcPr>
            <w:tcW w:w="1085" w:type="dxa"/>
            <w:tcBorders>
              <w:top w:val="none" w:sz="0" w:space="0" w:color="auto"/>
              <w:left w:val="none" w:sz="0" w:space="0" w:color="auto"/>
              <w:bottom w:val="none" w:sz="0" w:space="0" w:color="auto"/>
              <w:right w:val="none" w:sz="0" w:space="0" w:color="auto"/>
            </w:tcBorders>
            <w:shd w:val="clear" w:color="auto" w:fill="auto"/>
          </w:tcPr>
          <w:p w14:paraId="5531949E"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il"/>
            </w:tcBorders>
            <w:shd w:val="clear" w:color="auto" w:fill="auto"/>
          </w:tcPr>
          <w:p w14:paraId="6A1F532D"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5F7A35" w:rsidRPr="00D51201" w14:paraId="2EB6C643"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3F9D812E"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Margin status</w:t>
            </w:r>
          </w:p>
        </w:tc>
        <w:tc>
          <w:tcPr>
            <w:tcW w:w="1134" w:type="dxa"/>
            <w:tcBorders>
              <w:top w:val="none" w:sz="0" w:space="0" w:color="auto"/>
              <w:left w:val="none" w:sz="0" w:space="0" w:color="auto"/>
              <w:bottom w:val="none" w:sz="0" w:space="0" w:color="auto"/>
              <w:right w:val="none" w:sz="0" w:space="0" w:color="auto"/>
            </w:tcBorders>
            <w:shd w:val="clear" w:color="auto" w:fill="auto"/>
            <w:hideMark/>
          </w:tcPr>
          <w:p w14:paraId="1871914A"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0.007</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57DF739C"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2.331 (1.261-4.308)</w:t>
            </w:r>
          </w:p>
        </w:tc>
        <w:tc>
          <w:tcPr>
            <w:tcW w:w="1085" w:type="dxa"/>
            <w:tcBorders>
              <w:top w:val="none" w:sz="0" w:space="0" w:color="auto"/>
              <w:left w:val="none" w:sz="0" w:space="0" w:color="auto"/>
              <w:bottom w:val="none" w:sz="0" w:space="0" w:color="auto"/>
              <w:right w:val="none" w:sz="0" w:space="0" w:color="auto"/>
            </w:tcBorders>
            <w:shd w:val="clear" w:color="auto" w:fill="auto"/>
            <w:hideMark/>
          </w:tcPr>
          <w:p w14:paraId="32631C90"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0.049</w:t>
            </w:r>
          </w:p>
        </w:tc>
        <w:tc>
          <w:tcPr>
            <w:tcW w:w="2613" w:type="dxa"/>
            <w:tcBorders>
              <w:top w:val="none" w:sz="0" w:space="0" w:color="auto"/>
              <w:left w:val="none" w:sz="0" w:space="0" w:color="auto"/>
              <w:bottom w:val="none" w:sz="0" w:space="0" w:color="auto"/>
              <w:right w:val="nil"/>
            </w:tcBorders>
            <w:shd w:val="clear" w:color="auto" w:fill="auto"/>
            <w:hideMark/>
          </w:tcPr>
          <w:p w14:paraId="1F4B8194"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1.986 (1.003-3.932)</w:t>
            </w:r>
          </w:p>
        </w:tc>
      </w:tr>
      <w:tr w:rsidR="005F7A35" w:rsidRPr="00D51201" w14:paraId="66204CD3"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34E0B45C" w14:textId="77777777" w:rsidR="005F7A35" w:rsidRPr="00D51201" w:rsidRDefault="005F7A35" w:rsidP="00603AB3">
            <w:pPr>
              <w:adjustRightInd w:val="0"/>
              <w:snapToGrid w:val="0"/>
              <w:spacing w:line="360" w:lineRule="auto"/>
              <w:ind w:right="-108"/>
              <w:rPr>
                <w:rFonts w:ascii="Book Antiqua" w:hAnsi="Book Antiqua"/>
                <w:b w:val="0"/>
              </w:rPr>
            </w:pPr>
            <w:r w:rsidRPr="00D51201">
              <w:rPr>
                <w:rFonts w:ascii="Book Antiqua" w:hAnsi="Book Antiqua"/>
                <w:b w:val="0"/>
              </w:rPr>
              <w:t>P</w:t>
            </w:r>
            <w:r w:rsidR="00477861" w:rsidRPr="00D51201">
              <w:rPr>
                <w:rFonts w:ascii="Book Antiqua" w:hAnsi="Book Antiqua"/>
                <w:b w:val="0"/>
              </w:rPr>
              <w:t>erineural invasion</w:t>
            </w:r>
          </w:p>
        </w:tc>
        <w:tc>
          <w:tcPr>
            <w:tcW w:w="1134" w:type="dxa"/>
            <w:tcBorders>
              <w:top w:val="none" w:sz="0" w:space="0" w:color="auto"/>
              <w:left w:val="none" w:sz="0" w:space="0" w:color="auto"/>
              <w:bottom w:val="none" w:sz="0" w:space="0" w:color="auto"/>
              <w:right w:val="none" w:sz="0" w:space="0" w:color="auto"/>
            </w:tcBorders>
            <w:shd w:val="clear" w:color="auto" w:fill="auto"/>
            <w:hideMark/>
          </w:tcPr>
          <w:p w14:paraId="2B73F3DB"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0.212</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1A5EE882"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1.691 (0.741-3.861)</w:t>
            </w:r>
          </w:p>
        </w:tc>
        <w:tc>
          <w:tcPr>
            <w:tcW w:w="1085" w:type="dxa"/>
            <w:tcBorders>
              <w:top w:val="none" w:sz="0" w:space="0" w:color="auto"/>
              <w:left w:val="none" w:sz="0" w:space="0" w:color="auto"/>
              <w:bottom w:val="none" w:sz="0" w:space="0" w:color="auto"/>
              <w:right w:val="none" w:sz="0" w:space="0" w:color="auto"/>
            </w:tcBorders>
            <w:shd w:val="clear" w:color="auto" w:fill="auto"/>
          </w:tcPr>
          <w:p w14:paraId="460A95CC"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il"/>
            </w:tcBorders>
            <w:shd w:val="clear" w:color="auto" w:fill="auto"/>
          </w:tcPr>
          <w:p w14:paraId="1F219365"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5F7A35" w:rsidRPr="00D51201" w14:paraId="12C33CBD"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00303145"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w:t>
            </w:r>
            <w:r w:rsidR="00477861" w:rsidRPr="00D51201">
              <w:rPr>
                <w:rFonts w:ascii="Book Antiqua" w:hAnsi="Book Antiqua"/>
                <w:b w:val="0"/>
              </w:rPr>
              <w:t>erivascular invasion</w:t>
            </w:r>
          </w:p>
        </w:tc>
        <w:tc>
          <w:tcPr>
            <w:tcW w:w="1134" w:type="dxa"/>
            <w:tcBorders>
              <w:top w:val="none" w:sz="0" w:space="0" w:color="auto"/>
              <w:left w:val="none" w:sz="0" w:space="0" w:color="auto"/>
              <w:bottom w:val="none" w:sz="0" w:space="0" w:color="auto"/>
              <w:right w:val="none" w:sz="0" w:space="0" w:color="auto"/>
            </w:tcBorders>
            <w:shd w:val="clear" w:color="auto" w:fill="auto"/>
            <w:hideMark/>
          </w:tcPr>
          <w:p w14:paraId="53DEC5C9"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0.464</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24567FD2"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1.278 (0.663-2.461)</w:t>
            </w:r>
          </w:p>
        </w:tc>
        <w:tc>
          <w:tcPr>
            <w:tcW w:w="1085" w:type="dxa"/>
            <w:tcBorders>
              <w:top w:val="none" w:sz="0" w:space="0" w:color="auto"/>
              <w:left w:val="none" w:sz="0" w:space="0" w:color="auto"/>
              <w:bottom w:val="none" w:sz="0" w:space="0" w:color="auto"/>
              <w:right w:val="none" w:sz="0" w:space="0" w:color="auto"/>
            </w:tcBorders>
            <w:shd w:val="clear" w:color="auto" w:fill="auto"/>
          </w:tcPr>
          <w:p w14:paraId="25726E50"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il"/>
            </w:tcBorders>
            <w:shd w:val="clear" w:color="auto" w:fill="auto"/>
          </w:tcPr>
          <w:p w14:paraId="31FEB06E"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F7A35" w:rsidRPr="00D51201" w14:paraId="1C4D9694"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single" w:sz="4" w:space="0" w:color="auto"/>
              <w:right w:val="none" w:sz="0" w:space="0" w:color="auto"/>
            </w:tcBorders>
            <w:shd w:val="clear" w:color="auto" w:fill="auto"/>
            <w:hideMark/>
          </w:tcPr>
          <w:p w14:paraId="66FDCACA"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Chemotherapy</w:t>
            </w:r>
          </w:p>
        </w:tc>
        <w:tc>
          <w:tcPr>
            <w:tcW w:w="1134" w:type="dxa"/>
            <w:tcBorders>
              <w:top w:val="none" w:sz="0" w:space="0" w:color="auto"/>
              <w:left w:val="none" w:sz="0" w:space="0" w:color="auto"/>
              <w:bottom w:val="single" w:sz="4" w:space="0" w:color="auto"/>
              <w:right w:val="none" w:sz="0" w:space="0" w:color="auto"/>
            </w:tcBorders>
            <w:shd w:val="clear" w:color="auto" w:fill="auto"/>
            <w:hideMark/>
          </w:tcPr>
          <w:p w14:paraId="3159A710"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0.033</w:t>
            </w:r>
          </w:p>
        </w:tc>
        <w:tc>
          <w:tcPr>
            <w:tcW w:w="2317" w:type="dxa"/>
            <w:tcBorders>
              <w:top w:val="none" w:sz="0" w:space="0" w:color="auto"/>
              <w:left w:val="none" w:sz="0" w:space="0" w:color="auto"/>
              <w:bottom w:val="single" w:sz="4" w:space="0" w:color="auto"/>
              <w:right w:val="none" w:sz="0" w:space="0" w:color="auto"/>
            </w:tcBorders>
            <w:shd w:val="clear" w:color="auto" w:fill="auto"/>
            <w:hideMark/>
          </w:tcPr>
          <w:p w14:paraId="576AD811"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0.487 (0.251-0.944)</w:t>
            </w:r>
          </w:p>
        </w:tc>
        <w:tc>
          <w:tcPr>
            <w:tcW w:w="1085" w:type="dxa"/>
            <w:tcBorders>
              <w:top w:val="none" w:sz="0" w:space="0" w:color="auto"/>
              <w:left w:val="none" w:sz="0" w:space="0" w:color="auto"/>
              <w:bottom w:val="single" w:sz="4" w:space="0" w:color="auto"/>
              <w:right w:val="none" w:sz="0" w:space="0" w:color="auto"/>
            </w:tcBorders>
            <w:shd w:val="clear" w:color="auto" w:fill="auto"/>
            <w:hideMark/>
          </w:tcPr>
          <w:p w14:paraId="38EFFA6A"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0.002</w:t>
            </w:r>
          </w:p>
        </w:tc>
        <w:tc>
          <w:tcPr>
            <w:tcW w:w="2613" w:type="dxa"/>
            <w:tcBorders>
              <w:top w:val="none" w:sz="0" w:space="0" w:color="auto"/>
              <w:left w:val="none" w:sz="0" w:space="0" w:color="auto"/>
              <w:bottom w:val="single" w:sz="4" w:space="0" w:color="auto"/>
              <w:right w:val="nil"/>
            </w:tcBorders>
            <w:shd w:val="clear" w:color="auto" w:fill="auto"/>
            <w:hideMark/>
          </w:tcPr>
          <w:p w14:paraId="6966801C"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0.283 (0.129-0.622)</w:t>
            </w:r>
          </w:p>
        </w:tc>
      </w:tr>
    </w:tbl>
    <w:p w14:paraId="67966E86" w14:textId="77777777" w:rsidR="005F7A35" w:rsidRPr="00D51201" w:rsidRDefault="005F7A35" w:rsidP="00603AB3">
      <w:pPr>
        <w:adjustRightInd w:val="0"/>
        <w:snapToGrid w:val="0"/>
        <w:spacing w:line="360" w:lineRule="auto"/>
        <w:rPr>
          <w:rFonts w:ascii="Book Antiqua" w:hAnsi="Book Antiqua"/>
        </w:rPr>
      </w:pPr>
      <w:r w:rsidRPr="00D51201">
        <w:rPr>
          <w:rFonts w:ascii="Book Antiqua" w:hAnsi="Book Antiqua"/>
        </w:rPr>
        <w:t xml:space="preserve">All parameters with </w:t>
      </w:r>
      <w:r w:rsidR="00A141A0" w:rsidRPr="00D51201">
        <w:rPr>
          <w:rFonts w:ascii="Book Antiqua" w:hAnsi="Book Antiqua"/>
          <w:i/>
        </w:rPr>
        <w:t>P</w:t>
      </w:r>
      <w:r w:rsidR="00A141A0" w:rsidRPr="00D51201">
        <w:rPr>
          <w:rFonts w:ascii="Book Antiqua" w:hAnsi="Book Antiqua"/>
        </w:rPr>
        <w:t xml:space="preserve"> </w:t>
      </w:r>
      <w:r w:rsidRPr="00D51201">
        <w:rPr>
          <w:rFonts w:ascii="Book Antiqua" w:hAnsi="Book Antiqua"/>
        </w:rPr>
        <w:t>&lt;</w:t>
      </w:r>
      <w:r w:rsidR="00A141A0" w:rsidRPr="00D51201">
        <w:rPr>
          <w:rFonts w:ascii="Book Antiqua" w:hAnsi="Book Antiqua"/>
        </w:rPr>
        <w:t xml:space="preserve"> </w:t>
      </w:r>
      <w:r w:rsidRPr="00D51201">
        <w:rPr>
          <w:rFonts w:ascii="Book Antiqua" w:hAnsi="Book Antiqua"/>
        </w:rPr>
        <w:t xml:space="preserve">0.200 on univariable entered into multivariable model. </w:t>
      </w:r>
      <w:r w:rsidR="00A141A0" w:rsidRPr="00D51201">
        <w:rPr>
          <w:rFonts w:ascii="Book Antiqua" w:hAnsi="Book Antiqua"/>
        </w:rPr>
        <w:t>HR: Hazard ratios; CI: Confidence intervals</w:t>
      </w:r>
      <w:r w:rsidR="00BC55F9" w:rsidRPr="00D51201">
        <w:rPr>
          <w:rFonts w:ascii="Book Antiqua" w:hAnsi="Book Antiqua"/>
        </w:rPr>
        <w:t xml:space="preserve">; </w:t>
      </w:r>
      <w:r w:rsidR="00BC55F9" w:rsidRPr="00D51201">
        <w:rPr>
          <w:rFonts w:ascii="Book Antiqua" w:eastAsia="Book Antiqua" w:hAnsi="Book Antiqua" w:cs="Book Antiqua"/>
          <w:bCs/>
          <w:color w:val="000000"/>
        </w:rPr>
        <w:t>PALN: Para-aortic lymph nodes.</w:t>
      </w:r>
    </w:p>
    <w:p w14:paraId="111B04D1" w14:textId="77777777" w:rsidR="005F7A35" w:rsidRPr="00D51201" w:rsidRDefault="005F7A35" w:rsidP="00603AB3">
      <w:pPr>
        <w:adjustRightInd w:val="0"/>
        <w:snapToGrid w:val="0"/>
        <w:spacing w:line="360" w:lineRule="auto"/>
        <w:rPr>
          <w:rFonts w:ascii="Book Antiqua" w:hAnsi="Book Antiqua"/>
          <w:b/>
        </w:rPr>
      </w:pPr>
      <w:r w:rsidRPr="00D51201">
        <w:rPr>
          <w:rFonts w:ascii="Book Antiqua" w:hAnsi="Book Antiqua"/>
        </w:rPr>
        <w:br w:type="page"/>
      </w:r>
      <w:r w:rsidR="00A141A0" w:rsidRPr="00D51201">
        <w:rPr>
          <w:rFonts w:ascii="Book Antiqua" w:hAnsi="Book Antiqua"/>
          <w:b/>
        </w:rPr>
        <w:lastRenderedPageBreak/>
        <w:t>Table 3</w:t>
      </w:r>
      <w:r w:rsidRPr="00D51201">
        <w:rPr>
          <w:rFonts w:ascii="Book Antiqua" w:hAnsi="Book Antiqua"/>
          <w:b/>
        </w:rPr>
        <w:t xml:space="preserve"> Risk analysis for disease-free survival</w:t>
      </w:r>
    </w:p>
    <w:tbl>
      <w:tblPr>
        <w:tblStyle w:val="LightGrid1"/>
        <w:tblW w:w="9946" w:type="dxa"/>
        <w:tblInd w:w="-17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379"/>
        <w:gridCol w:w="2317"/>
        <w:gridCol w:w="1085"/>
        <w:gridCol w:w="2613"/>
      </w:tblGrid>
      <w:tr w:rsidR="00A141A0" w:rsidRPr="00D51201" w14:paraId="5D24FA51" w14:textId="77777777" w:rsidTr="00685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single" w:sz="4" w:space="0" w:color="auto"/>
              <w:left w:val="none" w:sz="0" w:space="0" w:color="auto"/>
              <w:bottom w:val="single" w:sz="4" w:space="0" w:color="auto"/>
              <w:right w:val="none" w:sz="0" w:space="0" w:color="auto"/>
            </w:tcBorders>
            <w:shd w:val="clear" w:color="auto" w:fill="auto"/>
          </w:tcPr>
          <w:p w14:paraId="54947C3F" w14:textId="77777777" w:rsidR="00A141A0" w:rsidRPr="00D51201" w:rsidRDefault="00A141A0" w:rsidP="00735017">
            <w:pPr>
              <w:spacing w:line="360" w:lineRule="auto"/>
              <w:rPr>
                <w:rFonts w:ascii="Book Antiqua" w:hAnsi="Book Antiqua"/>
              </w:rPr>
            </w:pPr>
          </w:p>
        </w:tc>
        <w:tc>
          <w:tcPr>
            <w:tcW w:w="3696" w:type="dxa"/>
            <w:gridSpan w:val="2"/>
            <w:tcBorders>
              <w:top w:val="single" w:sz="4" w:space="0" w:color="auto"/>
              <w:left w:val="none" w:sz="0" w:space="0" w:color="auto"/>
              <w:bottom w:val="single" w:sz="4" w:space="0" w:color="auto"/>
              <w:right w:val="none" w:sz="0" w:space="0" w:color="auto"/>
            </w:tcBorders>
            <w:shd w:val="clear" w:color="auto" w:fill="auto"/>
            <w:hideMark/>
          </w:tcPr>
          <w:p w14:paraId="5F6F712D" w14:textId="77777777" w:rsidR="00A141A0" w:rsidRPr="00D51201" w:rsidRDefault="00A141A0" w:rsidP="00B30BEA">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D51201">
              <w:rPr>
                <w:rFonts w:ascii="Book Antiqua" w:hAnsi="Book Antiqua"/>
              </w:rPr>
              <w:t>Univariable</w:t>
            </w:r>
          </w:p>
        </w:tc>
        <w:tc>
          <w:tcPr>
            <w:tcW w:w="3698" w:type="dxa"/>
            <w:gridSpan w:val="2"/>
            <w:tcBorders>
              <w:top w:val="single" w:sz="4" w:space="0" w:color="auto"/>
              <w:left w:val="none" w:sz="0" w:space="0" w:color="auto"/>
              <w:bottom w:val="single" w:sz="4" w:space="0" w:color="auto"/>
              <w:right w:val="none" w:sz="0" w:space="0" w:color="auto"/>
            </w:tcBorders>
            <w:shd w:val="clear" w:color="auto" w:fill="auto"/>
            <w:hideMark/>
          </w:tcPr>
          <w:p w14:paraId="5155A197" w14:textId="77777777" w:rsidR="00A141A0" w:rsidRPr="00D51201" w:rsidRDefault="00A141A0" w:rsidP="00B30BEA">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D51201">
              <w:rPr>
                <w:rFonts w:ascii="Book Antiqua" w:hAnsi="Book Antiqua"/>
              </w:rPr>
              <w:t>Multivariable</w:t>
            </w:r>
          </w:p>
        </w:tc>
      </w:tr>
      <w:tr w:rsidR="00A141A0" w:rsidRPr="00D51201" w14:paraId="2905DDDA"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auto"/>
              <w:left w:val="none" w:sz="0" w:space="0" w:color="auto"/>
              <w:bottom w:val="single" w:sz="4" w:space="0" w:color="auto"/>
              <w:right w:val="none" w:sz="0" w:space="0" w:color="auto"/>
            </w:tcBorders>
            <w:shd w:val="clear" w:color="auto" w:fill="auto"/>
          </w:tcPr>
          <w:p w14:paraId="6EA3D4CF" w14:textId="77777777" w:rsidR="00A141A0" w:rsidRPr="00D51201" w:rsidRDefault="00A141A0" w:rsidP="00735017">
            <w:pPr>
              <w:spacing w:line="360" w:lineRule="auto"/>
              <w:rPr>
                <w:rFonts w:ascii="Book Antiqua" w:hAnsi="Book Antiqua"/>
              </w:rPr>
            </w:pPr>
          </w:p>
        </w:tc>
        <w:tc>
          <w:tcPr>
            <w:tcW w:w="1379" w:type="dxa"/>
            <w:tcBorders>
              <w:top w:val="single" w:sz="4" w:space="0" w:color="auto"/>
              <w:left w:val="none" w:sz="0" w:space="0" w:color="auto"/>
              <w:bottom w:val="single" w:sz="4" w:space="0" w:color="auto"/>
              <w:right w:val="none" w:sz="0" w:space="0" w:color="auto"/>
            </w:tcBorders>
            <w:shd w:val="clear" w:color="auto" w:fill="auto"/>
            <w:hideMark/>
          </w:tcPr>
          <w:p w14:paraId="1E27EBCF" w14:textId="77777777" w:rsidR="00A141A0" w:rsidRPr="00D51201" w:rsidRDefault="00A141A0" w:rsidP="00B30B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D51201">
              <w:rPr>
                <w:rFonts w:ascii="Book Antiqua" w:hAnsi="Book Antiqua"/>
                <w:b/>
                <w:i/>
              </w:rPr>
              <w:t>P</w:t>
            </w:r>
            <w:r w:rsidRPr="00D51201">
              <w:rPr>
                <w:rFonts w:ascii="Book Antiqua" w:hAnsi="Book Antiqua"/>
                <w:b/>
              </w:rPr>
              <w:t xml:space="preserve"> value</w:t>
            </w:r>
          </w:p>
        </w:tc>
        <w:tc>
          <w:tcPr>
            <w:tcW w:w="2317" w:type="dxa"/>
            <w:tcBorders>
              <w:top w:val="single" w:sz="4" w:space="0" w:color="auto"/>
              <w:left w:val="none" w:sz="0" w:space="0" w:color="auto"/>
              <w:bottom w:val="single" w:sz="4" w:space="0" w:color="auto"/>
              <w:right w:val="none" w:sz="0" w:space="0" w:color="auto"/>
            </w:tcBorders>
            <w:shd w:val="clear" w:color="auto" w:fill="auto"/>
            <w:hideMark/>
          </w:tcPr>
          <w:p w14:paraId="7C8E192C" w14:textId="77777777" w:rsidR="00A141A0" w:rsidRPr="00D51201" w:rsidRDefault="00A141A0" w:rsidP="00B30B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D51201">
              <w:rPr>
                <w:rFonts w:ascii="Book Antiqua" w:hAnsi="Book Antiqua"/>
                <w:b/>
              </w:rPr>
              <w:t>HR (CI)</w:t>
            </w:r>
          </w:p>
        </w:tc>
        <w:tc>
          <w:tcPr>
            <w:tcW w:w="1085" w:type="dxa"/>
            <w:tcBorders>
              <w:top w:val="single" w:sz="4" w:space="0" w:color="auto"/>
              <w:left w:val="none" w:sz="0" w:space="0" w:color="auto"/>
              <w:bottom w:val="single" w:sz="4" w:space="0" w:color="auto"/>
              <w:right w:val="none" w:sz="0" w:space="0" w:color="auto"/>
            </w:tcBorders>
            <w:shd w:val="clear" w:color="auto" w:fill="auto"/>
            <w:hideMark/>
          </w:tcPr>
          <w:p w14:paraId="726896EE" w14:textId="77777777" w:rsidR="00A141A0" w:rsidRPr="00D51201" w:rsidRDefault="00A141A0" w:rsidP="00B30B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D51201">
              <w:rPr>
                <w:rFonts w:ascii="Book Antiqua" w:hAnsi="Book Antiqua"/>
                <w:b/>
                <w:i/>
              </w:rPr>
              <w:t>P</w:t>
            </w:r>
            <w:r w:rsidRPr="00D51201">
              <w:rPr>
                <w:rFonts w:ascii="Book Antiqua" w:hAnsi="Book Antiqua"/>
                <w:b/>
              </w:rPr>
              <w:t xml:space="preserve"> value</w:t>
            </w:r>
          </w:p>
        </w:tc>
        <w:tc>
          <w:tcPr>
            <w:tcW w:w="2613" w:type="dxa"/>
            <w:tcBorders>
              <w:top w:val="single" w:sz="4" w:space="0" w:color="auto"/>
              <w:left w:val="none" w:sz="0" w:space="0" w:color="auto"/>
              <w:bottom w:val="single" w:sz="4" w:space="0" w:color="auto"/>
              <w:right w:val="none" w:sz="0" w:space="0" w:color="auto"/>
            </w:tcBorders>
            <w:shd w:val="clear" w:color="auto" w:fill="auto"/>
            <w:hideMark/>
          </w:tcPr>
          <w:p w14:paraId="317322AC" w14:textId="77777777" w:rsidR="00A141A0" w:rsidRPr="00D51201" w:rsidRDefault="00A141A0" w:rsidP="00B30B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D51201">
              <w:rPr>
                <w:rFonts w:ascii="Book Antiqua" w:hAnsi="Book Antiqua"/>
                <w:b/>
              </w:rPr>
              <w:t>HR (CI)</w:t>
            </w:r>
          </w:p>
        </w:tc>
      </w:tr>
      <w:tr w:rsidR="005F7A35" w:rsidRPr="00D51201" w14:paraId="071DAFD0"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none" w:sz="0" w:space="0" w:color="auto"/>
              <w:bottom w:val="none" w:sz="0" w:space="0" w:color="auto"/>
              <w:right w:val="none" w:sz="0" w:space="0" w:color="auto"/>
            </w:tcBorders>
            <w:shd w:val="clear" w:color="auto" w:fill="auto"/>
            <w:hideMark/>
          </w:tcPr>
          <w:p w14:paraId="611CC4F7"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Age</w:t>
            </w:r>
          </w:p>
        </w:tc>
        <w:tc>
          <w:tcPr>
            <w:tcW w:w="1379" w:type="dxa"/>
            <w:tcBorders>
              <w:top w:val="single" w:sz="4" w:space="0" w:color="auto"/>
              <w:left w:val="none" w:sz="0" w:space="0" w:color="auto"/>
              <w:bottom w:val="none" w:sz="0" w:space="0" w:color="auto"/>
              <w:right w:val="none" w:sz="0" w:space="0" w:color="auto"/>
            </w:tcBorders>
            <w:shd w:val="clear" w:color="auto" w:fill="auto"/>
            <w:hideMark/>
          </w:tcPr>
          <w:p w14:paraId="27BD3097"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0.129</w:t>
            </w:r>
          </w:p>
        </w:tc>
        <w:tc>
          <w:tcPr>
            <w:tcW w:w="2317" w:type="dxa"/>
            <w:tcBorders>
              <w:top w:val="single" w:sz="4" w:space="0" w:color="auto"/>
              <w:left w:val="none" w:sz="0" w:space="0" w:color="auto"/>
              <w:bottom w:val="none" w:sz="0" w:space="0" w:color="auto"/>
              <w:right w:val="none" w:sz="0" w:space="0" w:color="auto"/>
            </w:tcBorders>
            <w:shd w:val="clear" w:color="auto" w:fill="auto"/>
            <w:hideMark/>
          </w:tcPr>
          <w:p w14:paraId="1FFDEA2C"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0.979 (0.952-1.006)</w:t>
            </w:r>
          </w:p>
        </w:tc>
        <w:tc>
          <w:tcPr>
            <w:tcW w:w="1085" w:type="dxa"/>
            <w:tcBorders>
              <w:top w:val="single" w:sz="4" w:space="0" w:color="auto"/>
              <w:left w:val="none" w:sz="0" w:space="0" w:color="auto"/>
              <w:bottom w:val="none" w:sz="0" w:space="0" w:color="auto"/>
              <w:right w:val="none" w:sz="0" w:space="0" w:color="auto"/>
            </w:tcBorders>
            <w:shd w:val="clear" w:color="auto" w:fill="auto"/>
            <w:hideMark/>
          </w:tcPr>
          <w:p w14:paraId="6B0D613D"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0.023</w:t>
            </w:r>
          </w:p>
        </w:tc>
        <w:tc>
          <w:tcPr>
            <w:tcW w:w="2613" w:type="dxa"/>
            <w:tcBorders>
              <w:top w:val="single" w:sz="4" w:space="0" w:color="auto"/>
              <w:left w:val="none" w:sz="0" w:space="0" w:color="auto"/>
              <w:bottom w:val="none" w:sz="0" w:space="0" w:color="auto"/>
              <w:right w:val="none" w:sz="0" w:space="0" w:color="auto"/>
            </w:tcBorders>
            <w:shd w:val="clear" w:color="auto" w:fill="auto"/>
            <w:hideMark/>
          </w:tcPr>
          <w:p w14:paraId="7B585765"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0.964 (0.933-0.995)</w:t>
            </w:r>
          </w:p>
        </w:tc>
      </w:tr>
      <w:tr w:rsidR="005F7A35" w:rsidRPr="00D51201" w14:paraId="1126C97B"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18EE6441"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Sex</w:t>
            </w:r>
          </w:p>
        </w:tc>
        <w:tc>
          <w:tcPr>
            <w:tcW w:w="1379" w:type="dxa"/>
            <w:tcBorders>
              <w:top w:val="none" w:sz="0" w:space="0" w:color="auto"/>
              <w:left w:val="none" w:sz="0" w:space="0" w:color="auto"/>
              <w:bottom w:val="none" w:sz="0" w:space="0" w:color="auto"/>
              <w:right w:val="none" w:sz="0" w:space="0" w:color="auto"/>
            </w:tcBorders>
            <w:shd w:val="clear" w:color="auto" w:fill="auto"/>
            <w:hideMark/>
          </w:tcPr>
          <w:p w14:paraId="0C88D31B"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0.881</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78175CD7"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0.955 (0.526-1.736)</w:t>
            </w:r>
          </w:p>
        </w:tc>
        <w:tc>
          <w:tcPr>
            <w:tcW w:w="1085" w:type="dxa"/>
            <w:tcBorders>
              <w:top w:val="none" w:sz="0" w:space="0" w:color="auto"/>
              <w:left w:val="none" w:sz="0" w:space="0" w:color="auto"/>
              <w:bottom w:val="none" w:sz="0" w:space="0" w:color="auto"/>
              <w:right w:val="none" w:sz="0" w:space="0" w:color="auto"/>
            </w:tcBorders>
            <w:shd w:val="clear" w:color="auto" w:fill="auto"/>
          </w:tcPr>
          <w:p w14:paraId="3351A07D"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one" w:sz="0" w:space="0" w:color="auto"/>
            </w:tcBorders>
            <w:shd w:val="clear" w:color="auto" w:fill="auto"/>
          </w:tcPr>
          <w:p w14:paraId="5D86A2F7"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F7A35" w:rsidRPr="00D51201" w14:paraId="6CFAFA6B"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180C2ECE"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Preoperative CA19-9</w:t>
            </w:r>
          </w:p>
        </w:tc>
        <w:tc>
          <w:tcPr>
            <w:tcW w:w="1379" w:type="dxa"/>
            <w:tcBorders>
              <w:top w:val="none" w:sz="0" w:space="0" w:color="auto"/>
              <w:left w:val="none" w:sz="0" w:space="0" w:color="auto"/>
              <w:bottom w:val="none" w:sz="0" w:space="0" w:color="auto"/>
              <w:right w:val="none" w:sz="0" w:space="0" w:color="auto"/>
            </w:tcBorders>
            <w:shd w:val="clear" w:color="auto" w:fill="auto"/>
            <w:hideMark/>
          </w:tcPr>
          <w:p w14:paraId="266C5461"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0.773</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24EDC1EA"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1.000 (1.000-1.000)</w:t>
            </w:r>
          </w:p>
        </w:tc>
        <w:tc>
          <w:tcPr>
            <w:tcW w:w="1085" w:type="dxa"/>
            <w:tcBorders>
              <w:top w:val="none" w:sz="0" w:space="0" w:color="auto"/>
              <w:left w:val="none" w:sz="0" w:space="0" w:color="auto"/>
              <w:bottom w:val="none" w:sz="0" w:space="0" w:color="auto"/>
              <w:right w:val="none" w:sz="0" w:space="0" w:color="auto"/>
            </w:tcBorders>
            <w:shd w:val="clear" w:color="auto" w:fill="auto"/>
          </w:tcPr>
          <w:p w14:paraId="5034FC15"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one" w:sz="0" w:space="0" w:color="auto"/>
            </w:tcBorders>
            <w:shd w:val="clear" w:color="auto" w:fill="auto"/>
          </w:tcPr>
          <w:p w14:paraId="1BB795D0"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5F7A35" w:rsidRPr="00D51201" w14:paraId="38690536"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7365BB00"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 xml:space="preserve">Preoperative </w:t>
            </w:r>
            <w:r w:rsidR="00A141A0" w:rsidRPr="00D51201">
              <w:rPr>
                <w:rFonts w:ascii="Book Antiqua" w:hAnsi="Book Antiqua"/>
                <w:b w:val="0"/>
              </w:rPr>
              <w:t>s</w:t>
            </w:r>
            <w:r w:rsidRPr="00D51201">
              <w:rPr>
                <w:rFonts w:ascii="Book Antiqua" w:hAnsi="Book Antiqua"/>
                <w:b w:val="0"/>
              </w:rPr>
              <w:t>tage</w:t>
            </w:r>
          </w:p>
        </w:tc>
        <w:tc>
          <w:tcPr>
            <w:tcW w:w="1379" w:type="dxa"/>
            <w:tcBorders>
              <w:top w:val="none" w:sz="0" w:space="0" w:color="auto"/>
              <w:left w:val="none" w:sz="0" w:space="0" w:color="auto"/>
              <w:bottom w:val="none" w:sz="0" w:space="0" w:color="auto"/>
              <w:right w:val="none" w:sz="0" w:space="0" w:color="auto"/>
            </w:tcBorders>
            <w:shd w:val="clear" w:color="auto" w:fill="auto"/>
            <w:hideMark/>
          </w:tcPr>
          <w:p w14:paraId="20C3F101"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0.943</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18016C89"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1.016 (0.656-1.573)</w:t>
            </w:r>
          </w:p>
        </w:tc>
        <w:tc>
          <w:tcPr>
            <w:tcW w:w="1085" w:type="dxa"/>
            <w:tcBorders>
              <w:top w:val="none" w:sz="0" w:space="0" w:color="auto"/>
              <w:left w:val="none" w:sz="0" w:space="0" w:color="auto"/>
              <w:bottom w:val="none" w:sz="0" w:space="0" w:color="auto"/>
              <w:right w:val="none" w:sz="0" w:space="0" w:color="auto"/>
            </w:tcBorders>
            <w:shd w:val="clear" w:color="auto" w:fill="auto"/>
          </w:tcPr>
          <w:p w14:paraId="09AD8DF4"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one" w:sz="0" w:space="0" w:color="auto"/>
            </w:tcBorders>
            <w:shd w:val="clear" w:color="auto" w:fill="auto"/>
          </w:tcPr>
          <w:p w14:paraId="622B765F"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F7A35" w:rsidRPr="00D51201" w14:paraId="4C9AE7C9"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2FF9B545"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Resection type</w:t>
            </w:r>
          </w:p>
        </w:tc>
        <w:tc>
          <w:tcPr>
            <w:tcW w:w="1379" w:type="dxa"/>
            <w:tcBorders>
              <w:top w:val="none" w:sz="0" w:space="0" w:color="auto"/>
              <w:left w:val="none" w:sz="0" w:space="0" w:color="auto"/>
              <w:bottom w:val="none" w:sz="0" w:space="0" w:color="auto"/>
              <w:right w:val="none" w:sz="0" w:space="0" w:color="auto"/>
            </w:tcBorders>
            <w:shd w:val="clear" w:color="auto" w:fill="auto"/>
            <w:hideMark/>
          </w:tcPr>
          <w:p w14:paraId="19ABEAF1"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0.215</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7360CEFA"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1.272 (0.869-1.862)</w:t>
            </w:r>
          </w:p>
        </w:tc>
        <w:tc>
          <w:tcPr>
            <w:tcW w:w="1085" w:type="dxa"/>
            <w:tcBorders>
              <w:top w:val="none" w:sz="0" w:space="0" w:color="auto"/>
              <w:left w:val="none" w:sz="0" w:space="0" w:color="auto"/>
              <w:bottom w:val="none" w:sz="0" w:space="0" w:color="auto"/>
              <w:right w:val="none" w:sz="0" w:space="0" w:color="auto"/>
            </w:tcBorders>
            <w:shd w:val="clear" w:color="auto" w:fill="auto"/>
          </w:tcPr>
          <w:p w14:paraId="63F14C32"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one" w:sz="0" w:space="0" w:color="auto"/>
            </w:tcBorders>
            <w:shd w:val="clear" w:color="auto" w:fill="auto"/>
          </w:tcPr>
          <w:p w14:paraId="3B051246"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5F7A35" w:rsidRPr="00D51201" w14:paraId="56E1657F"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6DBAFA7C"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Venous resection</w:t>
            </w:r>
          </w:p>
        </w:tc>
        <w:tc>
          <w:tcPr>
            <w:tcW w:w="1379" w:type="dxa"/>
            <w:tcBorders>
              <w:top w:val="none" w:sz="0" w:space="0" w:color="auto"/>
              <w:left w:val="none" w:sz="0" w:space="0" w:color="auto"/>
              <w:bottom w:val="none" w:sz="0" w:space="0" w:color="auto"/>
              <w:right w:val="none" w:sz="0" w:space="0" w:color="auto"/>
            </w:tcBorders>
            <w:shd w:val="clear" w:color="auto" w:fill="auto"/>
            <w:hideMark/>
          </w:tcPr>
          <w:p w14:paraId="3928598A"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0.739</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5BFFCB96"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0.899 (0.481-1.681)</w:t>
            </w:r>
          </w:p>
        </w:tc>
        <w:tc>
          <w:tcPr>
            <w:tcW w:w="1085" w:type="dxa"/>
            <w:tcBorders>
              <w:top w:val="none" w:sz="0" w:space="0" w:color="auto"/>
              <w:left w:val="none" w:sz="0" w:space="0" w:color="auto"/>
              <w:bottom w:val="none" w:sz="0" w:space="0" w:color="auto"/>
              <w:right w:val="none" w:sz="0" w:space="0" w:color="auto"/>
            </w:tcBorders>
            <w:shd w:val="clear" w:color="auto" w:fill="auto"/>
          </w:tcPr>
          <w:p w14:paraId="7F322C21"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one" w:sz="0" w:space="0" w:color="auto"/>
            </w:tcBorders>
            <w:shd w:val="clear" w:color="auto" w:fill="auto"/>
          </w:tcPr>
          <w:p w14:paraId="42D3EABE"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F7A35" w:rsidRPr="00D51201" w14:paraId="2B97841E"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1FFF9740"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Arterial resection</w:t>
            </w:r>
          </w:p>
        </w:tc>
        <w:tc>
          <w:tcPr>
            <w:tcW w:w="1379" w:type="dxa"/>
            <w:tcBorders>
              <w:top w:val="none" w:sz="0" w:space="0" w:color="auto"/>
              <w:left w:val="none" w:sz="0" w:space="0" w:color="auto"/>
              <w:bottom w:val="none" w:sz="0" w:space="0" w:color="auto"/>
              <w:right w:val="none" w:sz="0" w:space="0" w:color="auto"/>
            </w:tcBorders>
            <w:shd w:val="clear" w:color="auto" w:fill="auto"/>
            <w:hideMark/>
          </w:tcPr>
          <w:p w14:paraId="2B5A2B1F"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0.567</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3D3518EE"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0.048 (0.000-1578.950)</w:t>
            </w:r>
          </w:p>
        </w:tc>
        <w:tc>
          <w:tcPr>
            <w:tcW w:w="1085" w:type="dxa"/>
            <w:tcBorders>
              <w:top w:val="none" w:sz="0" w:space="0" w:color="auto"/>
              <w:left w:val="none" w:sz="0" w:space="0" w:color="auto"/>
              <w:bottom w:val="none" w:sz="0" w:space="0" w:color="auto"/>
              <w:right w:val="none" w:sz="0" w:space="0" w:color="auto"/>
            </w:tcBorders>
            <w:shd w:val="clear" w:color="auto" w:fill="auto"/>
          </w:tcPr>
          <w:p w14:paraId="390A460B"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one" w:sz="0" w:space="0" w:color="auto"/>
            </w:tcBorders>
            <w:shd w:val="clear" w:color="auto" w:fill="auto"/>
          </w:tcPr>
          <w:p w14:paraId="5A2DD6D5"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p>
        </w:tc>
      </w:tr>
      <w:tr w:rsidR="005F7A35" w:rsidRPr="00D51201" w14:paraId="1C99AAC6"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6EB44B76"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pT</w:t>
            </w:r>
          </w:p>
        </w:tc>
        <w:tc>
          <w:tcPr>
            <w:tcW w:w="1379" w:type="dxa"/>
            <w:tcBorders>
              <w:top w:val="none" w:sz="0" w:space="0" w:color="auto"/>
              <w:left w:val="none" w:sz="0" w:space="0" w:color="auto"/>
              <w:bottom w:val="none" w:sz="0" w:space="0" w:color="auto"/>
              <w:right w:val="none" w:sz="0" w:space="0" w:color="auto"/>
            </w:tcBorders>
            <w:shd w:val="clear" w:color="auto" w:fill="auto"/>
            <w:hideMark/>
          </w:tcPr>
          <w:p w14:paraId="15BFE289"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rPr>
            </w:pPr>
            <w:r w:rsidRPr="00D51201">
              <w:rPr>
                <w:rFonts w:ascii="Book Antiqua" w:hAnsi="Book Antiqua"/>
                <w:bCs/>
              </w:rPr>
              <w:t>0.002</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7D624E33"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rPr>
            </w:pPr>
            <w:r w:rsidRPr="00D51201">
              <w:rPr>
                <w:rFonts w:ascii="Book Antiqua" w:hAnsi="Book Antiqua"/>
                <w:bCs/>
              </w:rPr>
              <w:t>2.102 (1.308-3.378)</w:t>
            </w:r>
          </w:p>
        </w:tc>
        <w:tc>
          <w:tcPr>
            <w:tcW w:w="1085" w:type="dxa"/>
            <w:tcBorders>
              <w:top w:val="none" w:sz="0" w:space="0" w:color="auto"/>
              <w:left w:val="none" w:sz="0" w:space="0" w:color="auto"/>
              <w:bottom w:val="none" w:sz="0" w:space="0" w:color="auto"/>
              <w:right w:val="none" w:sz="0" w:space="0" w:color="auto"/>
            </w:tcBorders>
            <w:shd w:val="clear" w:color="auto" w:fill="auto"/>
            <w:hideMark/>
          </w:tcPr>
          <w:p w14:paraId="3F5EEFB7"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rPr>
            </w:pPr>
            <w:r w:rsidRPr="00D51201">
              <w:rPr>
                <w:rFonts w:ascii="Book Antiqua" w:hAnsi="Book Antiqua"/>
                <w:bCs/>
              </w:rPr>
              <w:t>0.004</w:t>
            </w:r>
          </w:p>
        </w:tc>
        <w:tc>
          <w:tcPr>
            <w:tcW w:w="2613" w:type="dxa"/>
            <w:tcBorders>
              <w:top w:val="none" w:sz="0" w:space="0" w:color="auto"/>
              <w:left w:val="none" w:sz="0" w:space="0" w:color="auto"/>
              <w:bottom w:val="none" w:sz="0" w:space="0" w:color="auto"/>
              <w:right w:val="none" w:sz="0" w:space="0" w:color="auto"/>
            </w:tcBorders>
            <w:shd w:val="clear" w:color="auto" w:fill="auto"/>
          </w:tcPr>
          <w:p w14:paraId="381F1C9E"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rPr>
            </w:pPr>
          </w:p>
        </w:tc>
      </w:tr>
      <w:tr w:rsidR="005F7A35" w:rsidRPr="00D51201" w14:paraId="4271C00C" w14:textId="77777777" w:rsidTr="006855E1">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4E392B72"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pT1</w:t>
            </w:r>
          </w:p>
        </w:tc>
        <w:tc>
          <w:tcPr>
            <w:tcW w:w="1379" w:type="dxa"/>
            <w:tcBorders>
              <w:top w:val="none" w:sz="0" w:space="0" w:color="auto"/>
              <w:left w:val="none" w:sz="0" w:space="0" w:color="auto"/>
              <w:bottom w:val="none" w:sz="0" w:space="0" w:color="auto"/>
              <w:right w:val="none" w:sz="0" w:space="0" w:color="auto"/>
            </w:tcBorders>
            <w:shd w:val="clear" w:color="auto" w:fill="auto"/>
          </w:tcPr>
          <w:p w14:paraId="02449321"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bCs/>
              </w:rPr>
            </w:pPr>
          </w:p>
        </w:tc>
        <w:tc>
          <w:tcPr>
            <w:tcW w:w="2317" w:type="dxa"/>
            <w:tcBorders>
              <w:top w:val="none" w:sz="0" w:space="0" w:color="auto"/>
              <w:left w:val="none" w:sz="0" w:space="0" w:color="auto"/>
              <w:bottom w:val="none" w:sz="0" w:space="0" w:color="auto"/>
              <w:right w:val="none" w:sz="0" w:space="0" w:color="auto"/>
            </w:tcBorders>
            <w:shd w:val="clear" w:color="auto" w:fill="auto"/>
          </w:tcPr>
          <w:p w14:paraId="1BCCFCE2"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bCs/>
              </w:rPr>
            </w:pPr>
          </w:p>
        </w:tc>
        <w:tc>
          <w:tcPr>
            <w:tcW w:w="1085" w:type="dxa"/>
            <w:tcBorders>
              <w:top w:val="none" w:sz="0" w:space="0" w:color="auto"/>
              <w:left w:val="none" w:sz="0" w:space="0" w:color="auto"/>
              <w:bottom w:val="none" w:sz="0" w:space="0" w:color="auto"/>
              <w:right w:val="none" w:sz="0" w:space="0" w:color="auto"/>
            </w:tcBorders>
            <w:shd w:val="clear" w:color="auto" w:fill="auto"/>
          </w:tcPr>
          <w:p w14:paraId="220E1DCE"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bCs/>
              </w:rPr>
            </w:pPr>
            <w:r w:rsidRPr="00D51201">
              <w:rPr>
                <w:rFonts w:ascii="Book Antiqua" w:hAnsi="Book Antiqua"/>
                <w:bCs/>
              </w:rPr>
              <w:t>0.265</w:t>
            </w:r>
          </w:p>
        </w:tc>
        <w:tc>
          <w:tcPr>
            <w:tcW w:w="2613" w:type="dxa"/>
            <w:tcBorders>
              <w:top w:val="none" w:sz="0" w:space="0" w:color="auto"/>
              <w:left w:val="none" w:sz="0" w:space="0" w:color="auto"/>
              <w:bottom w:val="none" w:sz="0" w:space="0" w:color="auto"/>
              <w:right w:val="none" w:sz="0" w:space="0" w:color="auto"/>
            </w:tcBorders>
            <w:shd w:val="clear" w:color="auto" w:fill="auto"/>
          </w:tcPr>
          <w:p w14:paraId="129A3F0E"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bCs/>
              </w:rPr>
            </w:pPr>
            <w:r w:rsidRPr="00D51201">
              <w:rPr>
                <w:rFonts w:ascii="Book Antiqua" w:hAnsi="Book Antiqua"/>
                <w:bCs/>
              </w:rPr>
              <w:t>1.726 (0.661-4.509)</w:t>
            </w:r>
          </w:p>
        </w:tc>
      </w:tr>
      <w:tr w:rsidR="006855E1" w:rsidRPr="00D51201" w14:paraId="44EF1B80" w14:textId="77777777" w:rsidTr="006855E1">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20E15C89" w14:textId="77777777" w:rsidR="006855E1" w:rsidRPr="00D51201" w:rsidRDefault="006855E1" w:rsidP="00603AB3">
            <w:pPr>
              <w:adjustRightInd w:val="0"/>
              <w:snapToGrid w:val="0"/>
              <w:spacing w:line="360" w:lineRule="auto"/>
              <w:rPr>
                <w:rFonts w:ascii="Book Antiqua" w:hAnsi="Book Antiqua"/>
              </w:rPr>
            </w:pPr>
            <w:r w:rsidRPr="00D51201">
              <w:rPr>
                <w:rFonts w:ascii="Book Antiqua" w:hAnsi="Book Antiqua"/>
                <w:b w:val="0"/>
              </w:rPr>
              <w:t>pT2</w:t>
            </w:r>
          </w:p>
        </w:tc>
        <w:tc>
          <w:tcPr>
            <w:tcW w:w="1379" w:type="dxa"/>
            <w:tcBorders>
              <w:top w:val="none" w:sz="0" w:space="0" w:color="auto"/>
              <w:left w:val="none" w:sz="0" w:space="0" w:color="auto"/>
              <w:bottom w:val="none" w:sz="0" w:space="0" w:color="auto"/>
              <w:right w:val="none" w:sz="0" w:space="0" w:color="auto"/>
            </w:tcBorders>
            <w:shd w:val="clear" w:color="auto" w:fill="auto"/>
          </w:tcPr>
          <w:p w14:paraId="00A7B4E3" w14:textId="77777777" w:rsidR="006855E1" w:rsidRPr="00D51201" w:rsidRDefault="006855E1"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rPr>
            </w:pPr>
          </w:p>
        </w:tc>
        <w:tc>
          <w:tcPr>
            <w:tcW w:w="2317" w:type="dxa"/>
            <w:tcBorders>
              <w:top w:val="none" w:sz="0" w:space="0" w:color="auto"/>
              <w:left w:val="none" w:sz="0" w:space="0" w:color="auto"/>
              <w:bottom w:val="none" w:sz="0" w:space="0" w:color="auto"/>
              <w:right w:val="none" w:sz="0" w:space="0" w:color="auto"/>
            </w:tcBorders>
            <w:shd w:val="clear" w:color="auto" w:fill="auto"/>
          </w:tcPr>
          <w:p w14:paraId="3CD31606" w14:textId="77777777" w:rsidR="006855E1" w:rsidRPr="00D51201" w:rsidRDefault="006855E1"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rPr>
            </w:pPr>
          </w:p>
        </w:tc>
        <w:tc>
          <w:tcPr>
            <w:tcW w:w="1085" w:type="dxa"/>
            <w:tcBorders>
              <w:top w:val="none" w:sz="0" w:space="0" w:color="auto"/>
              <w:left w:val="none" w:sz="0" w:space="0" w:color="auto"/>
              <w:bottom w:val="none" w:sz="0" w:space="0" w:color="auto"/>
              <w:right w:val="none" w:sz="0" w:space="0" w:color="auto"/>
            </w:tcBorders>
            <w:shd w:val="clear" w:color="auto" w:fill="auto"/>
          </w:tcPr>
          <w:p w14:paraId="0900A872" w14:textId="77777777" w:rsidR="006855E1" w:rsidRPr="00D51201" w:rsidRDefault="006855E1"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rPr>
            </w:pPr>
            <w:r w:rsidRPr="00D51201">
              <w:rPr>
                <w:rFonts w:ascii="Book Antiqua" w:hAnsi="Book Antiqua"/>
                <w:bCs/>
              </w:rPr>
              <w:t>0.015</w:t>
            </w:r>
          </w:p>
        </w:tc>
        <w:tc>
          <w:tcPr>
            <w:tcW w:w="2613" w:type="dxa"/>
            <w:tcBorders>
              <w:top w:val="none" w:sz="0" w:space="0" w:color="auto"/>
              <w:left w:val="none" w:sz="0" w:space="0" w:color="auto"/>
              <w:bottom w:val="none" w:sz="0" w:space="0" w:color="auto"/>
              <w:right w:val="none" w:sz="0" w:space="0" w:color="auto"/>
            </w:tcBorders>
            <w:shd w:val="clear" w:color="auto" w:fill="auto"/>
          </w:tcPr>
          <w:p w14:paraId="794AC832" w14:textId="77777777" w:rsidR="006855E1" w:rsidRPr="00D51201" w:rsidRDefault="006855E1"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rPr>
            </w:pPr>
            <w:r w:rsidRPr="00D51201">
              <w:rPr>
                <w:rFonts w:ascii="Book Antiqua" w:hAnsi="Book Antiqua"/>
                <w:bCs/>
              </w:rPr>
              <w:t>3.689 (1.287-10.576)</w:t>
            </w:r>
          </w:p>
        </w:tc>
      </w:tr>
      <w:tr w:rsidR="006855E1" w:rsidRPr="00D51201" w14:paraId="673BD6D7" w14:textId="77777777" w:rsidTr="006855E1">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23FEE8B9" w14:textId="77777777" w:rsidR="006855E1" w:rsidRPr="00D51201" w:rsidRDefault="006855E1" w:rsidP="00603AB3">
            <w:pPr>
              <w:adjustRightInd w:val="0"/>
              <w:snapToGrid w:val="0"/>
              <w:spacing w:line="360" w:lineRule="auto"/>
              <w:rPr>
                <w:rFonts w:ascii="Book Antiqua" w:hAnsi="Book Antiqua"/>
              </w:rPr>
            </w:pPr>
            <w:r w:rsidRPr="00D51201">
              <w:rPr>
                <w:rFonts w:ascii="Book Antiqua" w:hAnsi="Book Antiqua"/>
                <w:b w:val="0"/>
              </w:rPr>
              <w:t>pT3</w:t>
            </w:r>
          </w:p>
        </w:tc>
        <w:tc>
          <w:tcPr>
            <w:tcW w:w="1379" w:type="dxa"/>
            <w:tcBorders>
              <w:top w:val="none" w:sz="0" w:space="0" w:color="auto"/>
              <w:left w:val="none" w:sz="0" w:space="0" w:color="auto"/>
              <w:bottom w:val="none" w:sz="0" w:space="0" w:color="auto"/>
              <w:right w:val="none" w:sz="0" w:space="0" w:color="auto"/>
            </w:tcBorders>
            <w:shd w:val="clear" w:color="auto" w:fill="auto"/>
          </w:tcPr>
          <w:p w14:paraId="0532D847" w14:textId="77777777" w:rsidR="006855E1" w:rsidRPr="00D51201" w:rsidRDefault="006855E1"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bCs/>
              </w:rPr>
            </w:pPr>
          </w:p>
        </w:tc>
        <w:tc>
          <w:tcPr>
            <w:tcW w:w="2317" w:type="dxa"/>
            <w:tcBorders>
              <w:top w:val="none" w:sz="0" w:space="0" w:color="auto"/>
              <w:left w:val="none" w:sz="0" w:space="0" w:color="auto"/>
              <w:bottom w:val="none" w:sz="0" w:space="0" w:color="auto"/>
              <w:right w:val="none" w:sz="0" w:space="0" w:color="auto"/>
            </w:tcBorders>
            <w:shd w:val="clear" w:color="auto" w:fill="auto"/>
          </w:tcPr>
          <w:p w14:paraId="0A9FD1D2" w14:textId="77777777" w:rsidR="006855E1" w:rsidRPr="00D51201" w:rsidRDefault="006855E1"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bCs/>
              </w:rPr>
            </w:pPr>
          </w:p>
        </w:tc>
        <w:tc>
          <w:tcPr>
            <w:tcW w:w="1085" w:type="dxa"/>
            <w:tcBorders>
              <w:top w:val="none" w:sz="0" w:space="0" w:color="auto"/>
              <w:left w:val="none" w:sz="0" w:space="0" w:color="auto"/>
              <w:bottom w:val="none" w:sz="0" w:space="0" w:color="auto"/>
              <w:right w:val="none" w:sz="0" w:space="0" w:color="auto"/>
            </w:tcBorders>
            <w:shd w:val="clear" w:color="auto" w:fill="auto"/>
          </w:tcPr>
          <w:p w14:paraId="30411758" w14:textId="77777777" w:rsidR="006855E1" w:rsidRPr="00D51201" w:rsidRDefault="006855E1"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bCs/>
              </w:rPr>
            </w:pPr>
            <w:r w:rsidRPr="00D51201">
              <w:rPr>
                <w:rFonts w:ascii="Book Antiqua" w:hAnsi="Book Antiqua"/>
                <w:bCs/>
              </w:rPr>
              <w:t>0.002</w:t>
            </w:r>
          </w:p>
        </w:tc>
        <w:tc>
          <w:tcPr>
            <w:tcW w:w="2613" w:type="dxa"/>
            <w:tcBorders>
              <w:top w:val="none" w:sz="0" w:space="0" w:color="auto"/>
              <w:left w:val="none" w:sz="0" w:space="0" w:color="auto"/>
              <w:bottom w:val="none" w:sz="0" w:space="0" w:color="auto"/>
              <w:right w:val="none" w:sz="0" w:space="0" w:color="auto"/>
            </w:tcBorders>
            <w:shd w:val="clear" w:color="auto" w:fill="auto"/>
          </w:tcPr>
          <w:p w14:paraId="4C294B55" w14:textId="77777777" w:rsidR="006855E1" w:rsidRPr="00D51201" w:rsidRDefault="006855E1"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bCs/>
              </w:rPr>
            </w:pPr>
            <w:r w:rsidRPr="00D51201">
              <w:rPr>
                <w:rFonts w:ascii="Book Antiqua" w:hAnsi="Book Antiqua"/>
                <w:bCs/>
              </w:rPr>
              <w:t>49.543 (4.018-610.815)</w:t>
            </w:r>
          </w:p>
        </w:tc>
      </w:tr>
      <w:tr w:rsidR="005F7A35" w:rsidRPr="00D51201" w14:paraId="3D1FA988"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7DADE392"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pN</w:t>
            </w:r>
          </w:p>
        </w:tc>
        <w:tc>
          <w:tcPr>
            <w:tcW w:w="1379" w:type="dxa"/>
            <w:tcBorders>
              <w:top w:val="none" w:sz="0" w:space="0" w:color="auto"/>
              <w:left w:val="none" w:sz="0" w:space="0" w:color="auto"/>
              <w:bottom w:val="none" w:sz="0" w:space="0" w:color="auto"/>
              <w:right w:val="none" w:sz="0" w:space="0" w:color="auto"/>
            </w:tcBorders>
            <w:shd w:val="clear" w:color="auto" w:fill="auto"/>
            <w:hideMark/>
          </w:tcPr>
          <w:p w14:paraId="130066B5"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0.121</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1170DB3D"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1.387 (0.917-2.097)</w:t>
            </w:r>
          </w:p>
        </w:tc>
        <w:tc>
          <w:tcPr>
            <w:tcW w:w="1085" w:type="dxa"/>
            <w:tcBorders>
              <w:top w:val="none" w:sz="0" w:space="0" w:color="auto"/>
              <w:left w:val="none" w:sz="0" w:space="0" w:color="auto"/>
              <w:bottom w:val="none" w:sz="0" w:space="0" w:color="auto"/>
              <w:right w:val="none" w:sz="0" w:space="0" w:color="auto"/>
            </w:tcBorders>
            <w:shd w:val="clear" w:color="auto" w:fill="auto"/>
          </w:tcPr>
          <w:p w14:paraId="31977074"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one" w:sz="0" w:space="0" w:color="auto"/>
            </w:tcBorders>
            <w:shd w:val="clear" w:color="auto" w:fill="auto"/>
          </w:tcPr>
          <w:p w14:paraId="19C1DBF3"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F7A35" w:rsidRPr="00D51201" w14:paraId="7E816CE2"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02B79F5A"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PALN positivity</w:t>
            </w:r>
          </w:p>
        </w:tc>
        <w:tc>
          <w:tcPr>
            <w:tcW w:w="1379" w:type="dxa"/>
            <w:tcBorders>
              <w:top w:val="none" w:sz="0" w:space="0" w:color="auto"/>
              <w:left w:val="none" w:sz="0" w:space="0" w:color="auto"/>
              <w:bottom w:val="none" w:sz="0" w:space="0" w:color="auto"/>
              <w:right w:val="none" w:sz="0" w:space="0" w:color="auto"/>
            </w:tcBorders>
            <w:shd w:val="clear" w:color="auto" w:fill="auto"/>
            <w:hideMark/>
          </w:tcPr>
          <w:p w14:paraId="5968E41C"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0.101</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2803EAA8"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1.748 (0.896-3.410)</w:t>
            </w:r>
          </w:p>
        </w:tc>
        <w:tc>
          <w:tcPr>
            <w:tcW w:w="1085" w:type="dxa"/>
            <w:tcBorders>
              <w:top w:val="none" w:sz="0" w:space="0" w:color="auto"/>
              <w:left w:val="none" w:sz="0" w:space="0" w:color="auto"/>
              <w:bottom w:val="none" w:sz="0" w:space="0" w:color="auto"/>
              <w:right w:val="none" w:sz="0" w:space="0" w:color="auto"/>
            </w:tcBorders>
            <w:shd w:val="clear" w:color="auto" w:fill="auto"/>
            <w:hideMark/>
          </w:tcPr>
          <w:p w14:paraId="394DE967"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0.045</w:t>
            </w:r>
          </w:p>
        </w:tc>
        <w:tc>
          <w:tcPr>
            <w:tcW w:w="2613" w:type="dxa"/>
            <w:tcBorders>
              <w:top w:val="none" w:sz="0" w:space="0" w:color="auto"/>
              <w:left w:val="none" w:sz="0" w:space="0" w:color="auto"/>
              <w:bottom w:val="none" w:sz="0" w:space="0" w:color="auto"/>
              <w:right w:val="none" w:sz="0" w:space="0" w:color="auto"/>
            </w:tcBorders>
            <w:shd w:val="clear" w:color="auto" w:fill="auto"/>
            <w:hideMark/>
          </w:tcPr>
          <w:p w14:paraId="7CFFDAFF"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2.287 (1.018-5.136)</w:t>
            </w:r>
          </w:p>
        </w:tc>
      </w:tr>
      <w:tr w:rsidR="005F7A35" w:rsidRPr="00D51201" w14:paraId="3CBF9802"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463B0ADE"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Margin status</w:t>
            </w:r>
          </w:p>
        </w:tc>
        <w:tc>
          <w:tcPr>
            <w:tcW w:w="1379" w:type="dxa"/>
            <w:tcBorders>
              <w:top w:val="none" w:sz="0" w:space="0" w:color="auto"/>
              <w:left w:val="none" w:sz="0" w:space="0" w:color="auto"/>
              <w:bottom w:val="none" w:sz="0" w:space="0" w:color="auto"/>
              <w:right w:val="none" w:sz="0" w:space="0" w:color="auto"/>
            </w:tcBorders>
            <w:shd w:val="clear" w:color="auto" w:fill="auto"/>
            <w:hideMark/>
          </w:tcPr>
          <w:p w14:paraId="621CCEB9"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0.032</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06337484"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1.927 (1.057-3.514)</w:t>
            </w:r>
          </w:p>
        </w:tc>
        <w:tc>
          <w:tcPr>
            <w:tcW w:w="1085" w:type="dxa"/>
            <w:tcBorders>
              <w:top w:val="none" w:sz="0" w:space="0" w:color="auto"/>
              <w:left w:val="none" w:sz="0" w:space="0" w:color="auto"/>
              <w:bottom w:val="none" w:sz="0" w:space="0" w:color="auto"/>
              <w:right w:val="none" w:sz="0" w:space="0" w:color="auto"/>
            </w:tcBorders>
            <w:shd w:val="clear" w:color="auto" w:fill="auto"/>
            <w:hideMark/>
          </w:tcPr>
          <w:p w14:paraId="7F098F3E"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0.007</w:t>
            </w:r>
          </w:p>
        </w:tc>
        <w:tc>
          <w:tcPr>
            <w:tcW w:w="2613" w:type="dxa"/>
            <w:tcBorders>
              <w:top w:val="none" w:sz="0" w:space="0" w:color="auto"/>
              <w:left w:val="none" w:sz="0" w:space="0" w:color="auto"/>
              <w:bottom w:val="none" w:sz="0" w:space="0" w:color="auto"/>
              <w:right w:val="none" w:sz="0" w:space="0" w:color="auto"/>
            </w:tcBorders>
            <w:shd w:val="clear" w:color="auto" w:fill="auto"/>
            <w:hideMark/>
          </w:tcPr>
          <w:p w14:paraId="2CC92C92"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2.48 (1.275-4.822)</w:t>
            </w:r>
          </w:p>
        </w:tc>
      </w:tr>
      <w:tr w:rsidR="005F7A35" w:rsidRPr="00D51201" w14:paraId="18A27496"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1D375CB2"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w:t>
            </w:r>
            <w:r w:rsidR="00477861" w:rsidRPr="00D51201">
              <w:rPr>
                <w:rFonts w:ascii="Book Antiqua" w:hAnsi="Book Antiqua"/>
                <w:b w:val="0"/>
              </w:rPr>
              <w:t>erineural invasion</w:t>
            </w:r>
          </w:p>
        </w:tc>
        <w:tc>
          <w:tcPr>
            <w:tcW w:w="1379" w:type="dxa"/>
            <w:tcBorders>
              <w:top w:val="none" w:sz="0" w:space="0" w:color="auto"/>
              <w:left w:val="none" w:sz="0" w:space="0" w:color="auto"/>
              <w:bottom w:val="none" w:sz="0" w:space="0" w:color="auto"/>
              <w:right w:val="none" w:sz="0" w:space="0" w:color="auto"/>
            </w:tcBorders>
            <w:shd w:val="clear" w:color="auto" w:fill="auto"/>
            <w:hideMark/>
          </w:tcPr>
          <w:p w14:paraId="6FEBD594"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0.103</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456D8274"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2.084 (0.862-5.036)</w:t>
            </w:r>
          </w:p>
        </w:tc>
        <w:tc>
          <w:tcPr>
            <w:tcW w:w="1085" w:type="dxa"/>
            <w:tcBorders>
              <w:top w:val="none" w:sz="0" w:space="0" w:color="auto"/>
              <w:left w:val="none" w:sz="0" w:space="0" w:color="auto"/>
              <w:bottom w:val="none" w:sz="0" w:space="0" w:color="auto"/>
              <w:right w:val="none" w:sz="0" w:space="0" w:color="auto"/>
            </w:tcBorders>
            <w:shd w:val="clear" w:color="auto" w:fill="auto"/>
            <w:hideMark/>
          </w:tcPr>
          <w:p w14:paraId="1532875E"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0.041</w:t>
            </w:r>
          </w:p>
        </w:tc>
        <w:tc>
          <w:tcPr>
            <w:tcW w:w="2613" w:type="dxa"/>
            <w:tcBorders>
              <w:top w:val="none" w:sz="0" w:space="0" w:color="auto"/>
              <w:left w:val="none" w:sz="0" w:space="0" w:color="auto"/>
              <w:bottom w:val="none" w:sz="0" w:space="0" w:color="auto"/>
              <w:right w:val="none" w:sz="0" w:space="0" w:color="auto"/>
            </w:tcBorders>
            <w:shd w:val="clear" w:color="auto" w:fill="auto"/>
            <w:hideMark/>
          </w:tcPr>
          <w:p w14:paraId="4E7FD1DA"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2.938 (1.045-8.255)</w:t>
            </w:r>
          </w:p>
        </w:tc>
      </w:tr>
      <w:tr w:rsidR="005F7A35" w:rsidRPr="00D51201" w14:paraId="573878AC" w14:textId="77777777" w:rsidTr="00685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2B5F508C"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P</w:t>
            </w:r>
            <w:r w:rsidR="00477861" w:rsidRPr="00D51201">
              <w:rPr>
                <w:rFonts w:ascii="Book Antiqua" w:hAnsi="Book Antiqua"/>
                <w:b w:val="0"/>
              </w:rPr>
              <w:t>erivascular invasion</w:t>
            </w:r>
          </w:p>
        </w:tc>
        <w:tc>
          <w:tcPr>
            <w:tcW w:w="1379" w:type="dxa"/>
            <w:tcBorders>
              <w:top w:val="none" w:sz="0" w:space="0" w:color="auto"/>
              <w:left w:val="none" w:sz="0" w:space="0" w:color="auto"/>
              <w:bottom w:val="none" w:sz="0" w:space="0" w:color="auto"/>
              <w:right w:val="none" w:sz="0" w:space="0" w:color="auto"/>
            </w:tcBorders>
            <w:shd w:val="clear" w:color="auto" w:fill="auto"/>
            <w:hideMark/>
          </w:tcPr>
          <w:p w14:paraId="02A1CB3A"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0.152</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13FE24AC"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51201">
              <w:rPr>
                <w:rFonts w:ascii="Book Antiqua" w:hAnsi="Book Antiqua"/>
              </w:rPr>
              <w:t>1.657 (0.830-3.308)</w:t>
            </w:r>
          </w:p>
        </w:tc>
        <w:tc>
          <w:tcPr>
            <w:tcW w:w="1085" w:type="dxa"/>
            <w:tcBorders>
              <w:top w:val="none" w:sz="0" w:space="0" w:color="auto"/>
              <w:left w:val="none" w:sz="0" w:space="0" w:color="auto"/>
              <w:bottom w:val="none" w:sz="0" w:space="0" w:color="auto"/>
              <w:right w:val="none" w:sz="0" w:space="0" w:color="auto"/>
            </w:tcBorders>
            <w:shd w:val="clear" w:color="auto" w:fill="auto"/>
          </w:tcPr>
          <w:p w14:paraId="17D1A199"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613" w:type="dxa"/>
            <w:tcBorders>
              <w:top w:val="none" w:sz="0" w:space="0" w:color="auto"/>
              <w:left w:val="none" w:sz="0" w:space="0" w:color="auto"/>
              <w:bottom w:val="none" w:sz="0" w:space="0" w:color="auto"/>
              <w:right w:val="none" w:sz="0" w:space="0" w:color="auto"/>
            </w:tcBorders>
            <w:shd w:val="clear" w:color="auto" w:fill="auto"/>
          </w:tcPr>
          <w:p w14:paraId="60311D28" w14:textId="77777777" w:rsidR="005F7A35" w:rsidRPr="00D51201" w:rsidRDefault="005F7A35" w:rsidP="00603AB3">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5F7A35" w:rsidRPr="00D51201" w14:paraId="50022A8F" w14:textId="77777777" w:rsidTr="00685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hideMark/>
          </w:tcPr>
          <w:p w14:paraId="2C7A42F7" w14:textId="77777777" w:rsidR="005F7A35" w:rsidRPr="00D51201" w:rsidRDefault="005F7A35" w:rsidP="00603AB3">
            <w:pPr>
              <w:adjustRightInd w:val="0"/>
              <w:snapToGrid w:val="0"/>
              <w:spacing w:line="360" w:lineRule="auto"/>
              <w:rPr>
                <w:rFonts w:ascii="Book Antiqua" w:hAnsi="Book Antiqua"/>
                <w:b w:val="0"/>
              </w:rPr>
            </w:pPr>
            <w:r w:rsidRPr="00D51201">
              <w:rPr>
                <w:rFonts w:ascii="Book Antiqua" w:hAnsi="Book Antiqua"/>
                <w:b w:val="0"/>
              </w:rPr>
              <w:t>Chemotherapy</w:t>
            </w:r>
          </w:p>
        </w:tc>
        <w:tc>
          <w:tcPr>
            <w:tcW w:w="1379" w:type="dxa"/>
            <w:tcBorders>
              <w:top w:val="none" w:sz="0" w:space="0" w:color="auto"/>
              <w:left w:val="none" w:sz="0" w:space="0" w:color="auto"/>
              <w:bottom w:val="none" w:sz="0" w:space="0" w:color="auto"/>
              <w:right w:val="none" w:sz="0" w:space="0" w:color="auto"/>
            </w:tcBorders>
            <w:shd w:val="clear" w:color="auto" w:fill="auto"/>
            <w:hideMark/>
          </w:tcPr>
          <w:p w14:paraId="6967C775"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0.047</w:t>
            </w:r>
          </w:p>
        </w:tc>
        <w:tc>
          <w:tcPr>
            <w:tcW w:w="2317" w:type="dxa"/>
            <w:tcBorders>
              <w:top w:val="none" w:sz="0" w:space="0" w:color="auto"/>
              <w:left w:val="none" w:sz="0" w:space="0" w:color="auto"/>
              <w:bottom w:val="none" w:sz="0" w:space="0" w:color="auto"/>
              <w:right w:val="none" w:sz="0" w:space="0" w:color="auto"/>
            </w:tcBorders>
            <w:shd w:val="clear" w:color="auto" w:fill="auto"/>
            <w:hideMark/>
          </w:tcPr>
          <w:p w14:paraId="4D5BC984"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0.509 (0.261-0.992)</w:t>
            </w:r>
          </w:p>
        </w:tc>
        <w:tc>
          <w:tcPr>
            <w:tcW w:w="1085" w:type="dxa"/>
            <w:tcBorders>
              <w:top w:val="none" w:sz="0" w:space="0" w:color="auto"/>
              <w:left w:val="none" w:sz="0" w:space="0" w:color="auto"/>
              <w:bottom w:val="none" w:sz="0" w:space="0" w:color="auto"/>
              <w:right w:val="none" w:sz="0" w:space="0" w:color="auto"/>
            </w:tcBorders>
            <w:shd w:val="clear" w:color="auto" w:fill="auto"/>
            <w:hideMark/>
          </w:tcPr>
          <w:p w14:paraId="554EAA03"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0.001</w:t>
            </w:r>
          </w:p>
        </w:tc>
        <w:tc>
          <w:tcPr>
            <w:tcW w:w="2613" w:type="dxa"/>
            <w:tcBorders>
              <w:top w:val="none" w:sz="0" w:space="0" w:color="auto"/>
              <w:left w:val="none" w:sz="0" w:space="0" w:color="auto"/>
              <w:bottom w:val="none" w:sz="0" w:space="0" w:color="auto"/>
              <w:right w:val="none" w:sz="0" w:space="0" w:color="auto"/>
            </w:tcBorders>
            <w:shd w:val="clear" w:color="auto" w:fill="auto"/>
            <w:hideMark/>
          </w:tcPr>
          <w:p w14:paraId="45DD25DB" w14:textId="77777777" w:rsidR="005F7A35" w:rsidRPr="00D51201" w:rsidRDefault="005F7A35" w:rsidP="00603AB3">
            <w:pPr>
              <w:adjustRightInd w:val="0"/>
              <w:snapToGrid w:val="0"/>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D51201">
              <w:rPr>
                <w:rFonts w:ascii="Book Antiqua" w:hAnsi="Book Antiqua"/>
              </w:rPr>
              <w:t>0.242 (0.105-0.559)</w:t>
            </w:r>
          </w:p>
        </w:tc>
      </w:tr>
    </w:tbl>
    <w:p w14:paraId="7E278E48" w14:textId="358AEE28" w:rsidR="0096764D" w:rsidRPr="00D51201" w:rsidRDefault="005F7A35" w:rsidP="00603AB3">
      <w:pPr>
        <w:adjustRightInd w:val="0"/>
        <w:snapToGrid w:val="0"/>
        <w:spacing w:line="360" w:lineRule="auto"/>
        <w:rPr>
          <w:rFonts w:ascii="Book Antiqua" w:eastAsia="Book Antiqua" w:hAnsi="Book Antiqua" w:cs="Book Antiqua"/>
          <w:bCs/>
          <w:color w:val="000000"/>
        </w:rPr>
      </w:pPr>
      <w:r w:rsidRPr="00D51201">
        <w:rPr>
          <w:rFonts w:ascii="Book Antiqua" w:hAnsi="Book Antiqua"/>
        </w:rPr>
        <w:t xml:space="preserve">All parameters with </w:t>
      </w:r>
      <w:r w:rsidR="00A141A0" w:rsidRPr="00D51201">
        <w:rPr>
          <w:rFonts w:ascii="Book Antiqua" w:hAnsi="Book Antiqua"/>
          <w:i/>
        </w:rPr>
        <w:t>P</w:t>
      </w:r>
      <w:r w:rsidR="00A141A0" w:rsidRPr="00D51201">
        <w:rPr>
          <w:rFonts w:ascii="Book Antiqua" w:hAnsi="Book Antiqua"/>
        </w:rPr>
        <w:t xml:space="preserve"> </w:t>
      </w:r>
      <w:r w:rsidRPr="00D51201">
        <w:rPr>
          <w:rFonts w:ascii="Book Antiqua" w:hAnsi="Book Antiqua"/>
        </w:rPr>
        <w:t>&lt;</w:t>
      </w:r>
      <w:r w:rsidR="00A141A0" w:rsidRPr="00D51201">
        <w:rPr>
          <w:rFonts w:ascii="Book Antiqua" w:hAnsi="Book Antiqua"/>
        </w:rPr>
        <w:t xml:space="preserve"> </w:t>
      </w:r>
      <w:r w:rsidRPr="00D51201">
        <w:rPr>
          <w:rFonts w:ascii="Book Antiqua" w:hAnsi="Book Antiqua"/>
        </w:rPr>
        <w:t>0.200 on univariable entered into multivariable model.</w:t>
      </w:r>
      <w:r w:rsidR="00A141A0" w:rsidRPr="00D51201">
        <w:rPr>
          <w:rFonts w:ascii="Book Antiqua" w:hAnsi="Book Antiqua"/>
        </w:rPr>
        <w:t xml:space="preserve"> HR: Hazard ratios; CI: Confidence intervals</w:t>
      </w:r>
      <w:r w:rsidR="00BC55F9" w:rsidRPr="00D51201">
        <w:rPr>
          <w:rFonts w:ascii="Book Antiqua" w:hAnsi="Book Antiqua"/>
        </w:rPr>
        <w:t xml:space="preserve">; </w:t>
      </w:r>
      <w:r w:rsidR="007D2D30" w:rsidRPr="00D51201">
        <w:rPr>
          <w:rFonts w:ascii="Book Antiqua" w:eastAsia="Book Antiqua" w:hAnsi="Book Antiqua" w:cs="Book Antiqua"/>
          <w:bCs/>
          <w:color w:val="000000"/>
        </w:rPr>
        <w:t>PALN: Para-aortic lymph nodes</w:t>
      </w:r>
      <w:r w:rsidR="00F4625A" w:rsidRPr="00D51201">
        <w:rPr>
          <w:rFonts w:ascii="Book Antiqua" w:eastAsia="Book Antiqua" w:hAnsi="Book Antiqua" w:cs="Book Antiqua"/>
          <w:bCs/>
          <w:color w:val="000000"/>
        </w:rPr>
        <w:t>.</w:t>
      </w:r>
    </w:p>
    <w:p w14:paraId="2DDF4E72" w14:textId="77777777" w:rsidR="0096764D" w:rsidRPr="00D51201" w:rsidRDefault="0096764D">
      <w:pPr>
        <w:rPr>
          <w:rFonts w:ascii="Book Antiqua" w:eastAsia="Book Antiqua" w:hAnsi="Book Antiqua" w:cs="Book Antiqua"/>
          <w:bCs/>
          <w:color w:val="000000"/>
        </w:rPr>
      </w:pPr>
      <w:r w:rsidRPr="00D51201">
        <w:rPr>
          <w:rFonts w:ascii="Book Antiqua" w:eastAsia="Book Antiqua" w:hAnsi="Book Antiqua" w:cs="Book Antiqua"/>
          <w:bCs/>
          <w:color w:val="000000"/>
        </w:rPr>
        <w:br w:type="page"/>
      </w:r>
    </w:p>
    <w:p w14:paraId="5618C6EB" w14:textId="77777777" w:rsidR="0096764D" w:rsidRPr="00D51201" w:rsidRDefault="0096764D" w:rsidP="0096764D">
      <w:pPr>
        <w:jc w:val="center"/>
        <w:rPr>
          <w:rFonts w:ascii="Book Antiqua" w:hAnsi="Book Antiqua"/>
        </w:rPr>
      </w:pPr>
      <w:bookmarkStart w:id="0" w:name="_Hlk85997773"/>
      <w:bookmarkStart w:id="1" w:name="_Hlk93326163"/>
    </w:p>
    <w:p w14:paraId="0F940C40" w14:textId="77777777" w:rsidR="0096764D" w:rsidRPr="00D51201" w:rsidRDefault="0096764D" w:rsidP="0096764D">
      <w:pPr>
        <w:jc w:val="center"/>
        <w:rPr>
          <w:rFonts w:ascii="Book Antiqua" w:hAnsi="Book Antiqua"/>
        </w:rPr>
      </w:pPr>
    </w:p>
    <w:p w14:paraId="3DA6B5C9" w14:textId="77777777" w:rsidR="0096764D" w:rsidRPr="00D51201" w:rsidRDefault="0096764D" w:rsidP="0096764D">
      <w:pPr>
        <w:jc w:val="center"/>
        <w:rPr>
          <w:rFonts w:ascii="Book Antiqua" w:hAnsi="Book Antiqua"/>
        </w:rPr>
      </w:pPr>
    </w:p>
    <w:p w14:paraId="3F98C53F" w14:textId="77777777" w:rsidR="0096764D" w:rsidRPr="00D51201" w:rsidRDefault="0096764D" w:rsidP="0096764D">
      <w:pPr>
        <w:jc w:val="center"/>
        <w:rPr>
          <w:rFonts w:ascii="Book Antiqua" w:hAnsi="Book Antiqua"/>
        </w:rPr>
      </w:pPr>
    </w:p>
    <w:p w14:paraId="62D3EAEF" w14:textId="77777777" w:rsidR="0096764D" w:rsidRPr="00D51201" w:rsidRDefault="0096764D" w:rsidP="0096764D">
      <w:pPr>
        <w:jc w:val="center"/>
        <w:rPr>
          <w:rFonts w:ascii="Book Antiqua" w:hAnsi="Book Antiqua"/>
        </w:rPr>
      </w:pPr>
    </w:p>
    <w:p w14:paraId="76E8C5FC" w14:textId="77777777" w:rsidR="0096764D" w:rsidRPr="00D51201" w:rsidRDefault="0096764D" w:rsidP="0096764D">
      <w:pPr>
        <w:jc w:val="center"/>
        <w:rPr>
          <w:rFonts w:ascii="Book Antiqua" w:hAnsi="Book Antiqua"/>
        </w:rPr>
      </w:pPr>
      <w:r w:rsidRPr="00D51201">
        <w:rPr>
          <w:rFonts w:ascii="Book Antiqua" w:hAnsi="Book Antiqua"/>
          <w:noProof/>
        </w:rPr>
        <w:drawing>
          <wp:inline distT="0" distB="0" distL="0" distR="0" wp14:anchorId="1F803587" wp14:editId="149245A0">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B005BB7" w14:textId="77777777" w:rsidR="0096764D" w:rsidRPr="00D51201" w:rsidRDefault="0096764D" w:rsidP="0096764D">
      <w:pPr>
        <w:jc w:val="center"/>
        <w:rPr>
          <w:rFonts w:ascii="Book Antiqua" w:hAnsi="Book Antiqua"/>
        </w:rPr>
      </w:pPr>
    </w:p>
    <w:p w14:paraId="37CB6F65" w14:textId="77777777" w:rsidR="0096764D" w:rsidRPr="00D51201" w:rsidRDefault="0096764D" w:rsidP="0096764D">
      <w:pPr>
        <w:autoSpaceDE w:val="0"/>
        <w:autoSpaceDN w:val="0"/>
        <w:adjustRightInd w:val="0"/>
        <w:jc w:val="center"/>
        <w:rPr>
          <w:rFonts w:ascii="Book Antiqua" w:eastAsia="Garamond-Bold" w:hAnsi="Book Antiqua" w:cs="Garamond-Bold"/>
          <w:b/>
          <w:bCs/>
          <w:color w:val="000000"/>
          <w:sz w:val="28"/>
          <w:szCs w:val="28"/>
        </w:rPr>
      </w:pPr>
      <w:r w:rsidRPr="00D51201">
        <w:rPr>
          <w:rFonts w:ascii="Book Antiqua" w:eastAsia="TimesNewRomanPSMT" w:hAnsi="Book Antiqua" w:cs="TimesNewRomanPSMT"/>
          <w:color w:val="000000"/>
          <w:sz w:val="28"/>
          <w:szCs w:val="28"/>
        </w:rPr>
        <w:t xml:space="preserve">Published by </w:t>
      </w:r>
      <w:r w:rsidRPr="00D51201">
        <w:rPr>
          <w:rFonts w:ascii="Book Antiqua" w:eastAsia="Garamond-Bold" w:hAnsi="Book Antiqua" w:cs="Garamond-Bold"/>
          <w:b/>
          <w:bCs/>
          <w:color w:val="000000"/>
          <w:sz w:val="28"/>
          <w:szCs w:val="28"/>
        </w:rPr>
        <w:t>Baishideng Publishing Group Inc</w:t>
      </w:r>
    </w:p>
    <w:p w14:paraId="127D4F75" w14:textId="77777777" w:rsidR="0096764D" w:rsidRPr="00D51201" w:rsidRDefault="0096764D" w:rsidP="0096764D">
      <w:pPr>
        <w:autoSpaceDE w:val="0"/>
        <w:autoSpaceDN w:val="0"/>
        <w:adjustRightInd w:val="0"/>
        <w:jc w:val="center"/>
        <w:rPr>
          <w:rFonts w:ascii="Book Antiqua" w:eastAsia="TimesNewRomanPSMT" w:hAnsi="Book Antiqua" w:cs="Garamond"/>
          <w:color w:val="000000"/>
          <w:sz w:val="28"/>
          <w:szCs w:val="28"/>
        </w:rPr>
      </w:pPr>
      <w:r w:rsidRPr="00D51201">
        <w:rPr>
          <w:rFonts w:ascii="Book Antiqua" w:eastAsia="TimesNewRomanPSMT" w:hAnsi="Book Antiqua" w:cs="Garamond"/>
          <w:color w:val="000000"/>
          <w:sz w:val="28"/>
          <w:szCs w:val="28"/>
        </w:rPr>
        <w:t>7041 Koll Center Parkway, Suite 160, Pleasanton, CA 94566, USA</w:t>
      </w:r>
    </w:p>
    <w:p w14:paraId="6C5E0634" w14:textId="77777777" w:rsidR="0096764D" w:rsidRPr="00D51201" w:rsidRDefault="0096764D" w:rsidP="0096764D">
      <w:pPr>
        <w:autoSpaceDE w:val="0"/>
        <w:autoSpaceDN w:val="0"/>
        <w:adjustRightInd w:val="0"/>
        <w:jc w:val="center"/>
        <w:rPr>
          <w:rFonts w:ascii="Book Antiqua" w:eastAsia="TimesNewRomanPSMT" w:hAnsi="Book Antiqua" w:cs="Garamond"/>
          <w:color w:val="000000"/>
          <w:sz w:val="28"/>
          <w:szCs w:val="28"/>
        </w:rPr>
      </w:pPr>
      <w:r w:rsidRPr="00D51201">
        <w:rPr>
          <w:rFonts w:ascii="Book Antiqua" w:eastAsia="Garamond-Bold" w:hAnsi="Book Antiqua" w:cs="Garamond-Bold"/>
          <w:b/>
          <w:bCs/>
          <w:color w:val="000000"/>
          <w:sz w:val="28"/>
          <w:szCs w:val="28"/>
        </w:rPr>
        <w:t xml:space="preserve">Telephone: </w:t>
      </w:r>
      <w:r w:rsidRPr="00D51201">
        <w:rPr>
          <w:rFonts w:ascii="Book Antiqua" w:eastAsia="TimesNewRomanPSMT" w:hAnsi="Book Antiqua" w:cs="Garamond"/>
          <w:color w:val="000000"/>
          <w:sz w:val="28"/>
          <w:szCs w:val="28"/>
        </w:rPr>
        <w:t>+1-925-3991568</w:t>
      </w:r>
    </w:p>
    <w:p w14:paraId="6E20FCC3" w14:textId="77777777" w:rsidR="0096764D" w:rsidRPr="00D51201" w:rsidRDefault="0096764D" w:rsidP="0096764D">
      <w:pPr>
        <w:autoSpaceDE w:val="0"/>
        <w:autoSpaceDN w:val="0"/>
        <w:adjustRightInd w:val="0"/>
        <w:jc w:val="center"/>
        <w:rPr>
          <w:rFonts w:ascii="Book Antiqua" w:eastAsia="TimesNewRomanPSMT" w:hAnsi="Book Antiqua" w:cs="Garamond"/>
          <w:color w:val="D56400"/>
          <w:sz w:val="28"/>
          <w:szCs w:val="28"/>
        </w:rPr>
      </w:pPr>
      <w:r w:rsidRPr="00D51201">
        <w:rPr>
          <w:rFonts w:ascii="Book Antiqua" w:eastAsia="Garamond-Bold" w:hAnsi="Book Antiqua" w:cs="Garamond-Bold"/>
          <w:b/>
          <w:bCs/>
          <w:color w:val="000000"/>
          <w:sz w:val="28"/>
          <w:szCs w:val="28"/>
        </w:rPr>
        <w:t xml:space="preserve">E-mail: </w:t>
      </w:r>
      <w:r w:rsidRPr="00D51201">
        <w:rPr>
          <w:rFonts w:ascii="Book Antiqua" w:eastAsia="TimesNewRomanPSMT" w:hAnsi="Book Antiqua" w:cs="Garamond"/>
          <w:color w:val="D56400"/>
          <w:sz w:val="28"/>
          <w:szCs w:val="28"/>
        </w:rPr>
        <w:t>bpgoffice@wjgnet.com</w:t>
      </w:r>
    </w:p>
    <w:p w14:paraId="028DB90F" w14:textId="77777777" w:rsidR="0096764D" w:rsidRPr="00D51201" w:rsidRDefault="0096764D" w:rsidP="0096764D">
      <w:pPr>
        <w:autoSpaceDE w:val="0"/>
        <w:autoSpaceDN w:val="0"/>
        <w:adjustRightInd w:val="0"/>
        <w:jc w:val="center"/>
        <w:rPr>
          <w:rFonts w:ascii="Book Antiqua" w:eastAsia="TimesNewRomanPSMT" w:hAnsi="Book Antiqua" w:cs="Garamond"/>
          <w:color w:val="D56400"/>
          <w:sz w:val="28"/>
          <w:szCs w:val="28"/>
        </w:rPr>
      </w:pPr>
      <w:r w:rsidRPr="00D51201">
        <w:rPr>
          <w:rFonts w:ascii="Book Antiqua" w:eastAsia="Garamond-Bold" w:hAnsi="Book Antiqua" w:cs="Garamond-Bold"/>
          <w:b/>
          <w:bCs/>
          <w:color w:val="000000"/>
          <w:sz w:val="28"/>
          <w:szCs w:val="28"/>
        </w:rPr>
        <w:t xml:space="preserve">Help Desk: </w:t>
      </w:r>
      <w:r w:rsidRPr="00D51201">
        <w:rPr>
          <w:rFonts w:ascii="Book Antiqua" w:eastAsia="TimesNewRomanPSMT" w:hAnsi="Book Antiqua" w:cs="Garamond"/>
          <w:color w:val="D56400"/>
          <w:sz w:val="28"/>
          <w:szCs w:val="28"/>
        </w:rPr>
        <w:t>https://www.f6publishing.com/helpdesk</w:t>
      </w:r>
    </w:p>
    <w:p w14:paraId="12011D70" w14:textId="77777777" w:rsidR="0096764D" w:rsidRPr="00D51201" w:rsidRDefault="0096764D" w:rsidP="0096764D">
      <w:pPr>
        <w:jc w:val="center"/>
        <w:rPr>
          <w:rFonts w:ascii="Book Antiqua" w:hAnsi="Book Antiqua"/>
        </w:rPr>
      </w:pPr>
      <w:r w:rsidRPr="00D51201">
        <w:rPr>
          <w:rFonts w:ascii="Book Antiqua" w:eastAsia="TimesNewRomanPSMT" w:hAnsi="Book Antiqua" w:cs="Garamond"/>
          <w:color w:val="D56400"/>
          <w:sz w:val="28"/>
          <w:szCs w:val="28"/>
        </w:rPr>
        <w:t>https://www.wjgnet.com</w:t>
      </w:r>
    </w:p>
    <w:p w14:paraId="4FD312E0" w14:textId="77777777" w:rsidR="0096764D" w:rsidRPr="00D51201" w:rsidRDefault="0096764D" w:rsidP="0096764D">
      <w:pPr>
        <w:jc w:val="center"/>
        <w:rPr>
          <w:rFonts w:ascii="Book Antiqua" w:hAnsi="Book Antiqua"/>
        </w:rPr>
      </w:pPr>
    </w:p>
    <w:p w14:paraId="6F880D43" w14:textId="77777777" w:rsidR="0096764D" w:rsidRPr="00D51201" w:rsidRDefault="0096764D" w:rsidP="0096764D">
      <w:pPr>
        <w:jc w:val="center"/>
        <w:rPr>
          <w:rFonts w:ascii="Book Antiqua" w:hAnsi="Book Antiqua"/>
        </w:rPr>
      </w:pPr>
    </w:p>
    <w:p w14:paraId="5171C723" w14:textId="77777777" w:rsidR="0096764D" w:rsidRPr="00D51201" w:rsidRDefault="0096764D" w:rsidP="0096764D">
      <w:pPr>
        <w:jc w:val="center"/>
        <w:rPr>
          <w:rFonts w:ascii="Book Antiqua" w:hAnsi="Book Antiqua"/>
        </w:rPr>
      </w:pPr>
    </w:p>
    <w:p w14:paraId="14F1770A" w14:textId="77777777" w:rsidR="0096764D" w:rsidRPr="00D51201" w:rsidRDefault="0096764D" w:rsidP="0096764D">
      <w:pPr>
        <w:jc w:val="center"/>
        <w:rPr>
          <w:rFonts w:ascii="Book Antiqua" w:hAnsi="Book Antiqua"/>
        </w:rPr>
      </w:pPr>
      <w:r w:rsidRPr="00D51201">
        <w:rPr>
          <w:rFonts w:ascii="Book Antiqua" w:hAnsi="Book Antiqua"/>
          <w:noProof/>
        </w:rPr>
        <w:drawing>
          <wp:inline distT="0" distB="0" distL="0" distR="0" wp14:anchorId="4A85CCD6" wp14:editId="0A10130D">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E706EA3" w14:textId="77777777" w:rsidR="0096764D" w:rsidRPr="00D51201" w:rsidRDefault="0096764D" w:rsidP="0096764D">
      <w:pPr>
        <w:jc w:val="center"/>
        <w:rPr>
          <w:rFonts w:ascii="Book Antiqua" w:hAnsi="Book Antiqua"/>
        </w:rPr>
      </w:pPr>
    </w:p>
    <w:p w14:paraId="0A5118F1" w14:textId="77777777" w:rsidR="0096764D" w:rsidRPr="00D51201" w:rsidRDefault="0096764D" w:rsidP="0096764D">
      <w:pPr>
        <w:jc w:val="center"/>
        <w:rPr>
          <w:rFonts w:ascii="Book Antiqua" w:hAnsi="Book Antiqua"/>
        </w:rPr>
      </w:pPr>
    </w:p>
    <w:p w14:paraId="64369217" w14:textId="77777777" w:rsidR="0096764D" w:rsidRPr="00D51201" w:rsidRDefault="0096764D" w:rsidP="0096764D">
      <w:pPr>
        <w:jc w:val="center"/>
        <w:rPr>
          <w:rFonts w:ascii="Book Antiqua" w:hAnsi="Book Antiqua"/>
        </w:rPr>
      </w:pPr>
    </w:p>
    <w:p w14:paraId="1C8F7392" w14:textId="77777777" w:rsidR="0096764D" w:rsidRPr="00D51201" w:rsidRDefault="0096764D" w:rsidP="0096764D">
      <w:pPr>
        <w:jc w:val="center"/>
        <w:rPr>
          <w:rFonts w:ascii="Book Antiqua" w:hAnsi="Book Antiqua"/>
        </w:rPr>
      </w:pPr>
    </w:p>
    <w:p w14:paraId="46515B24" w14:textId="77777777" w:rsidR="0096764D" w:rsidRPr="00D51201" w:rsidRDefault="0096764D" w:rsidP="0096764D">
      <w:pPr>
        <w:jc w:val="center"/>
        <w:rPr>
          <w:rFonts w:ascii="Book Antiqua" w:hAnsi="Book Antiqua"/>
        </w:rPr>
      </w:pPr>
    </w:p>
    <w:p w14:paraId="3A224946" w14:textId="77777777" w:rsidR="0096764D" w:rsidRPr="00D51201" w:rsidRDefault="0096764D" w:rsidP="0096764D">
      <w:pPr>
        <w:jc w:val="center"/>
        <w:rPr>
          <w:rFonts w:ascii="Book Antiqua" w:hAnsi="Book Antiqua"/>
        </w:rPr>
      </w:pPr>
    </w:p>
    <w:p w14:paraId="5061CA0F" w14:textId="77777777" w:rsidR="0096764D" w:rsidRPr="00D51201" w:rsidRDefault="0096764D" w:rsidP="0096764D">
      <w:pPr>
        <w:jc w:val="center"/>
        <w:rPr>
          <w:rFonts w:ascii="Book Antiqua" w:hAnsi="Book Antiqua"/>
        </w:rPr>
      </w:pPr>
    </w:p>
    <w:p w14:paraId="5291942A" w14:textId="77777777" w:rsidR="0096764D" w:rsidRPr="00D51201" w:rsidRDefault="0096764D" w:rsidP="0096764D">
      <w:pPr>
        <w:jc w:val="center"/>
        <w:rPr>
          <w:rFonts w:ascii="Book Antiqua" w:hAnsi="Book Antiqua"/>
        </w:rPr>
      </w:pPr>
    </w:p>
    <w:p w14:paraId="35EDEC9F" w14:textId="77777777" w:rsidR="0096764D" w:rsidRPr="00D51201" w:rsidRDefault="0096764D" w:rsidP="0096764D">
      <w:pPr>
        <w:jc w:val="center"/>
        <w:rPr>
          <w:rFonts w:ascii="Book Antiqua" w:hAnsi="Book Antiqua"/>
        </w:rPr>
      </w:pPr>
    </w:p>
    <w:p w14:paraId="039B4FAE" w14:textId="77777777" w:rsidR="0096764D" w:rsidRPr="00D51201" w:rsidRDefault="0096764D" w:rsidP="0096764D">
      <w:pPr>
        <w:jc w:val="right"/>
        <w:rPr>
          <w:rFonts w:ascii="Book Antiqua" w:hAnsi="Book Antiqua"/>
          <w:color w:val="000000" w:themeColor="text1"/>
        </w:rPr>
      </w:pPr>
    </w:p>
    <w:p w14:paraId="784C775C" w14:textId="77777777" w:rsidR="0096764D" w:rsidRDefault="0096764D" w:rsidP="0096764D">
      <w:pPr>
        <w:jc w:val="center"/>
        <w:rPr>
          <w:rFonts w:ascii="Book Antiqua" w:hAnsi="Book Antiqua"/>
          <w:color w:val="000000" w:themeColor="text1"/>
        </w:rPr>
      </w:pPr>
      <w:bookmarkStart w:id="2" w:name="_Hlk86002093"/>
      <w:r w:rsidRPr="00D51201">
        <w:rPr>
          <w:rFonts w:ascii="Book Antiqua" w:eastAsia="BookAntiqua-Bold" w:hAnsi="Book Antiqua" w:cs="BookAntiqua-Bold"/>
          <w:b/>
          <w:bCs/>
          <w:color w:val="000000" w:themeColor="text1"/>
        </w:rPr>
        <w:t>© 2022 Baishideng Publishing Group Inc. All rights reserved.</w:t>
      </w:r>
      <w:r w:rsidRPr="00D51201">
        <w:rPr>
          <w:rFonts w:ascii="Book Antiqua" w:hAnsi="Book Antiqua"/>
          <w:color w:val="000000" w:themeColor="text1"/>
        </w:rPr>
        <w:fldChar w:fldCharType="begin"/>
      </w:r>
      <w:r w:rsidRPr="00D51201">
        <w:rPr>
          <w:rFonts w:ascii="Book Antiqua" w:hAnsi="Book Antiqua"/>
          <w:color w:val="000000" w:themeColor="text1"/>
        </w:rPr>
        <w:instrText xml:space="preserve"> ADDIN EN.REFLIST </w:instrText>
      </w:r>
      <w:r w:rsidRPr="00D51201">
        <w:rPr>
          <w:rFonts w:ascii="Book Antiqua" w:hAnsi="Book Antiqua"/>
          <w:color w:val="000000" w:themeColor="text1"/>
        </w:rPr>
        <w:fldChar w:fldCharType="end"/>
      </w:r>
      <w:bookmarkEnd w:id="0"/>
      <w:bookmarkEnd w:id="2"/>
    </w:p>
    <w:bookmarkEnd w:id="1"/>
    <w:p w14:paraId="6858E660" w14:textId="77777777" w:rsidR="005F7A35" w:rsidRPr="005F7A35" w:rsidRDefault="005F7A35" w:rsidP="00603AB3">
      <w:pPr>
        <w:adjustRightInd w:val="0"/>
        <w:snapToGrid w:val="0"/>
        <w:spacing w:line="360" w:lineRule="auto"/>
        <w:rPr>
          <w:rFonts w:ascii="Book Antiqua" w:hAnsi="Book Antiqua"/>
        </w:rPr>
      </w:pPr>
    </w:p>
    <w:sectPr w:rsidR="005F7A35" w:rsidRPr="005F7A35" w:rsidSect="003F3E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F416B" w14:textId="77777777" w:rsidR="00AF27DF" w:rsidRDefault="00AF27DF" w:rsidP="00D36ACB">
      <w:r>
        <w:separator/>
      </w:r>
    </w:p>
  </w:endnote>
  <w:endnote w:type="continuationSeparator" w:id="0">
    <w:p w14:paraId="37D8105F" w14:textId="77777777" w:rsidR="00AF27DF" w:rsidRDefault="00AF27DF" w:rsidP="00D36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4D3E" w14:textId="77777777" w:rsidR="00820C4D" w:rsidRDefault="00820C4D" w:rsidP="00C848E7">
    <w:pPr>
      <w:pStyle w:val="a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529244"/>
      <w:docPartObj>
        <w:docPartGallery w:val="Page Numbers (Bottom of Page)"/>
        <w:docPartUnique/>
      </w:docPartObj>
    </w:sdtPr>
    <w:sdtEndPr/>
    <w:sdtContent>
      <w:sdt>
        <w:sdtPr>
          <w:id w:val="-1705238520"/>
          <w:docPartObj>
            <w:docPartGallery w:val="Page Numbers (Top of Page)"/>
            <w:docPartUnique/>
          </w:docPartObj>
        </w:sdtPr>
        <w:sdtEndPr/>
        <w:sdtContent>
          <w:p w14:paraId="5F1AA283" w14:textId="77777777" w:rsidR="00820C4D" w:rsidRDefault="00820C4D" w:rsidP="00C848E7">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B023C">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B023C">
              <w:rPr>
                <w:b/>
                <w:bCs/>
                <w:noProof/>
              </w:rPr>
              <w:t>32</w:t>
            </w:r>
            <w:r>
              <w:rPr>
                <w:b/>
                <w:bCs/>
                <w:sz w:val="24"/>
                <w:szCs w:val="24"/>
              </w:rPr>
              <w:fldChar w:fldCharType="end"/>
            </w:r>
          </w:p>
        </w:sdtContent>
      </w:sdt>
    </w:sdtContent>
  </w:sdt>
  <w:p w14:paraId="1BD9543C" w14:textId="77777777" w:rsidR="00820C4D" w:rsidRDefault="00820C4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08011" w14:textId="77777777" w:rsidR="00AF27DF" w:rsidRDefault="00AF27DF" w:rsidP="00D36ACB">
      <w:r>
        <w:separator/>
      </w:r>
    </w:p>
  </w:footnote>
  <w:footnote w:type="continuationSeparator" w:id="0">
    <w:p w14:paraId="23215FC7" w14:textId="77777777" w:rsidR="00AF27DF" w:rsidRDefault="00AF27DF" w:rsidP="00D36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0731D" w14:textId="77777777" w:rsidR="00820C4D" w:rsidRDefault="00820C4D" w:rsidP="00C848E7">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50pt;height:851pt;visibility:visible;mso-wrap-style:square" o:bullet="t">
        <v:imagedata r:id="rId1" o:title="图片3" croptop="34189f" cropbottom="29503f" cropleft="48163f" cropright="13741f"/>
      </v:shape>
    </w:pict>
  </w:numPicBullet>
  <w:abstractNum w:abstractNumId="0" w15:restartNumberingAfterBreak="0">
    <w:nsid w:val="07532FC8"/>
    <w:multiLevelType w:val="hybridMultilevel"/>
    <w:tmpl w:val="216CAF7E"/>
    <w:lvl w:ilvl="0" w:tplc="10920F10">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91D268A"/>
    <w:multiLevelType w:val="hybridMultilevel"/>
    <w:tmpl w:val="56C6715C"/>
    <w:lvl w:ilvl="0" w:tplc="D75C5FD8">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6836006">
    <w:abstractNumId w:val="0"/>
  </w:num>
  <w:num w:numId="2" w16cid:durableId="1002657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F55"/>
    <w:rsid w:val="000216AF"/>
    <w:rsid w:val="0005708A"/>
    <w:rsid w:val="00066DAB"/>
    <w:rsid w:val="000C3310"/>
    <w:rsid w:val="000F474A"/>
    <w:rsid w:val="000F5458"/>
    <w:rsid w:val="001010A5"/>
    <w:rsid w:val="001307F9"/>
    <w:rsid w:val="00130A59"/>
    <w:rsid w:val="00143253"/>
    <w:rsid w:val="00157899"/>
    <w:rsid w:val="00191B59"/>
    <w:rsid w:val="00196F8A"/>
    <w:rsid w:val="001A002D"/>
    <w:rsid w:val="001C49DD"/>
    <w:rsid w:val="001D4F96"/>
    <w:rsid w:val="001F1D79"/>
    <w:rsid w:val="002020CC"/>
    <w:rsid w:val="00206174"/>
    <w:rsid w:val="00247935"/>
    <w:rsid w:val="0025262E"/>
    <w:rsid w:val="00252EC4"/>
    <w:rsid w:val="002874B6"/>
    <w:rsid w:val="00302095"/>
    <w:rsid w:val="0031702F"/>
    <w:rsid w:val="003310C3"/>
    <w:rsid w:val="00351DDE"/>
    <w:rsid w:val="00363103"/>
    <w:rsid w:val="003D262A"/>
    <w:rsid w:val="003D5A3B"/>
    <w:rsid w:val="003E7371"/>
    <w:rsid w:val="003F3E8D"/>
    <w:rsid w:val="00414CD4"/>
    <w:rsid w:val="00477861"/>
    <w:rsid w:val="004938DD"/>
    <w:rsid w:val="004B46C6"/>
    <w:rsid w:val="004E6E5A"/>
    <w:rsid w:val="00512D2F"/>
    <w:rsid w:val="005415DE"/>
    <w:rsid w:val="0054586F"/>
    <w:rsid w:val="00557E56"/>
    <w:rsid w:val="00561229"/>
    <w:rsid w:val="00584326"/>
    <w:rsid w:val="005A10E9"/>
    <w:rsid w:val="005F7A35"/>
    <w:rsid w:val="00603AB3"/>
    <w:rsid w:val="00606EED"/>
    <w:rsid w:val="00614142"/>
    <w:rsid w:val="00630846"/>
    <w:rsid w:val="006855E1"/>
    <w:rsid w:val="0069398B"/>
    <w:rsid w:val="006A53A2"/>
    <w:rsid w:val="00700A5C"/>
    <w:rsid w:val="00717104"/>
    <w:rsid w:val="00725D4D"/>
    <w:rsid w:val="0072647B"/>
    <w:rsid w:val="00735017"/>
    <w:rsid w:val="007433C4"/>
    <w:rsid w:val="00754D7C"/>
    <w:rsid w:val="00783D65"/>
    <w:rsid w:val="007972DA"/>
    <w:rsid w:val="007A6088"/>
    <w:rsid w:val="007B29F8"/>
    <w:rsid w:val="007D2D30"/>
    <w:rsid w:val="007E1BCE"/>
    <w:rsid w:val="00802D95"/>
    <w:rsid w:val="0081292B"/>
    <w:rsid w:val="00820C4D"/>
    <w:rsid w:val="00892144"/>
    <w:rsid w:val="008B023C"/>
    <w:rsid w:val="008D6E16"/>
    <w:rsid w:val="0093315B"/>
    <w:rsid w:val="009557FB"/>
    <w:rsid w:val="0096764D"/>
    <w:rsid w:val="00967E5E"/>
    <w:rsid w:val="009732C3"/>
    <w:rsid w:val="00974909"/>
    <w:rsid w:val="009A18A4"/>
    <w:rsid w:val="009D1A89"/>
    <w:rsid w:val="009D738C"/>
    <w:rsid w:val="009E2AD6"/>
    <w:rsid w:val="00A141A0"/>
    <w:rsid w:val="00A56D7E"/>
    <w:rsid w:val="00A77B3E"/>
    <w:rsid w:val="00AC540B"/>
    <w:rsid w:val="00AE7348"/>
    <w:rsid w:val="00AF27DF"/>
    <w:rsid w:val="00B00AB2"/>
    <w:rsid w:val="00B0664F"/>
    <w:rsid w:val="00B16A3A"/>
    <w:rsid w:val="00B21819"/>
    <w:rsid w:val="00B244F4"/>
    <w:rsid w:val="00B30BEA"/>
    <w:rsid w:val="00B93114"/>
    <w:rsid w:val="00BC55F9"/>
    <w:rsid w:val="00BE576F"/>
    <w:rsid w:val="00C37432"/>
    <w:rsid w:val="00C41A44"/>
    <w:rsid w:val="00C6461C"/>
    <w:rsid w:val="00C848E7"/>
    <w:rsid w:val="00C92FEF"/>
    <w:rsid w:val="00CA2A55"/>
    <w:rsid w:val="00CB5277"/>
    <w:rsid w:val="00CE3098"/>
    <w:rsid w:val="00CF3F6A"/>
    <w:rsid w:val="00CF5C18"/>
    <w:rsid w:val="00D04362"/>
    <w:rsid w:val="00D0748C"/>
    <w:rsid w:val="00D1496B"/>
    <w:rsid w:val="00D36ACB"/>
    <w:rsid w:val="00D42112"/>
    <w:rsid w:val="00D42F54"/>
    <w:rsid w:val="00D450DE"/>
    <w:rsid w:val="00D51201"/>
    <w:rsid w:val="00DD153F"/>
    <w:rsid w:val="00DD19D9"/>
    <w:rsid w:val="00DE446B"/>
    <w:rsid w:val="00E52FD1"/>
    <w:rsid w:val="00EA1383"/>
    <w:rsid w:val="00EF7AC3"/>
    <w:rsid w:val="00F07D46"/>
    <w:rsid w:val="00F11096"/>
    <w:rsid w:val="00F42D2C"/>
    <w:rsid w:val="00F4625A"/>
    <w:rsid w:val="00F552DF"/>
    <w:rsid w:val="00FA4314"/>
    <w:rsid w:val="00FC65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A434BF"/>
  <w15:docId w15:val="{5B16D4DB-5C42-47DD-ACEE-886AE31D2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F3E8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7A35"/>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a1"/>
    <w:uiPriority w:val="62"/>
    <w:rsid w:val="005F7A35"/>
    <w:rPr>
      <w:rFonts w:asciiTheme="minorHAnsi" w:hAnsiTheme="minorHAnsi" w:cstheme="minorBidi"/>
      <w:sz w:val="22"/>
      <w:szCs w:val="22"/>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4">
    <w:name w:val="header"/>
    <w:basedOn w:val="a"/>
    <w:link w:val="a5"/>
    <w:unhideWhenUsed/>
    <w:rsid w:val="00D36AC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D36ACB"/>
    <w:rPr>
      <w:sz w:val="18"/>
      <w:szCs w:val="18"/>
    </w:rPr>
  </w:style>
  <w:style w:type="paragraph" w:styleId="a6">
    <w:name w:val="footer"/>
    <w:basedOn w:val="a"/>
    <w:link w:val="a7"/>
    <w:uiPriority w:val="99"/>
    <w:unhideWhenUsed/>
    <w:rsid w:val="00D36ACB"/>
    <w:pPr>
      <w:tabs>
        <w:tab w:val="center" w:pos="4153"/>
        <w:tab w:val="right" w:pos="8306"/>
      </w:tabs>
      <w:snapToGrid w:val="0"/>
    </w:pPr>
    <w:rPr>
      <w:sz w:val="18"/>
      <w:szCs w:val="18"/>
    </w:rPr>
  </w:style>
  <w:style w:type="character" w:customStyle="1" w:styleId="a7">
    <w:name w:val="页脚 字符"/>
    <w:basedOn w:val="a0"/>
    <w:link w:val="a6"/>
    <w:uiPriority w:val="99"/>
    <w:rsid w:val="00D36ACB"/>
    <w:rPr>
      <w:sz w:val="18"/>
      <w:szCs w:val="18"/>
    </w:rPr>
  </w:style>
  <w:style w:type="character" w:styleId="a8">
    <w:name w:val="Hyperlink"/>
    <w:basedOn w:val="a0"/>
    <w:unhideWhenUsed/>
    <w:rsid w:val="00206174"/>
    <w:rPr>
      <w:color w:val="0000FF" w:themeColor="hyperlink"/>
      <w:u w:val="single"/>
    </w:rPr>
  </w:style>
  <w:style w:type="character" w:styleId="a9">
    <w:name w:val="annotation reference"/>
    <w:basedOn w:val="a0"/>
    <w:semiHidden/>
    <w:unhideWhenUsed/>
    <w:rsid w:val="00012F55"/>
    <w:rPr>
      <w:sz w:val="21"/>
      <w:szCs w:val="21"/>
    </w:rPr>
  </w:style>
  <w:style w:type="paragraph" w:styleId="aa">
    <w:name w:val="annotation text"/>
    <w:basedOn w:val="a"/>
    <w:link w:val="ab"/>
    <w:uiPriority w:val="99"/>
    <w:unhideWhenUsed/>
    <w:rsid w:val="00012F55"/>
  </w:style>
  <w:style w:type="character" w:customStyle="1" w:styleId="ab">
    <w:name w:val="批注文字 字符"/>
    <w:basedOn w:val="a0"/>
    <w:link w:val="aa"/>
    <w:uiPriority w:val="99"/>
    <w:rsid w:val="00012F55"/>
    <w:rPr>
      <w:sz w:val="24"/>
      <w:szCs w:val="24"/>
    </w:rPr>
  </w:style>
  <w:style w:type="paragraph" w:styleId="ac">
    <w:name w:val="annotation subject"/>
    <w:basedOn w:val="aa"/>
    <w:next w:val="aa"/>
    <w:link w:val="ad"/>
    <w:semiHidden/>
    <w:unhideWhenUsed/>
    <w:rsid w:val="00012F55"/>
    <w:rPr>
      <w:b/>
      <w:bCs/>
    </w:rPr>
  </w:style>
  <w:style w:type="character" w:customStyle="1" w:styleId="ad">
    <w:name w:val="批注主题 字符"/>
    <w:basedOn w:val="ab"/>
    <w:link w:val="ac"/>
    <w:semiHidden/>
    <w:rsid w:val="00012F55"/>
    <w:rPr>
      <w:b/>
      <w:bCs/>
      <w:sz w:val="24"/>
      <w:szCs w:val="24"/>
    </w:rPr>
  </w:style>
  <w:style w:type="paragraph" w:styleId="ae">
    <w:name w:val="Balloon Text"/>
    <w:basedOn w:val="a"/>
    <w:link w:val="af"/>
    <w:semiHidden/>
    <w:unhideWhenUsed/>
    <w:rsid w:val="00012F55"/>
    <w:rPr>
      <w:sz w:val="18"/>
      <w:szCs w:val="18"/>
    </w:rPr>
  </w:style>
  <w:style w:type="character" w:customStyle="1" w:styleId="af">
    <w:name w:val="批注框文本 字符"/>
    <w:basedOn w:val="a0"/>
    <w:link w:val="ae"/>
    <w:semiHidden/>
    <w:rsid w:val="00012F55"/>
    <w:rPr>
      <w:sz w:val="18"/>
      <w:szCs w:val="18"/>
    </w:rPr>
  </w:style>
  <w:style w:type="character" w:styleId="af0">
    <w:name w:val="FollowedHyperlink"/>
    <w:basedOn w:val="a0"/>
    <w:semiHidden/>
    <w:unhideWhenUsed/>
    <w:rsid w:val="00CB5277"/>
    <w:rPr>
      <w:color w:val="800080" w:themeColor="followedHyperlink"/>
      <w:u w:val="single"/>
    </w:rPr>
  </w:style>
  <w:style w:type="paragraph" w:styleId="af1">
    <w:name w:val="Revision"/>
    <w:hidden/>
    <w:uiPriority w:val="99"/>
    <w:semiHidden/>
    <w:rsid w:val="00247935"/>
    <w:rPr>
      <w:sz w:val="24"/>
      <w:szCs w:val="24"/>
    </w:rPr>
  </w:style>
  <w:style w:type="character" w:styleId="af2">
    <w:name w:val="Unresolved Mention"/>
    <w:basedOn w:val="a0"/>
    <w:uiPriority w:val="99"/>
    <w:semiHidden/>
    <w:unhideWhenUsed/>
    <w:rsid w:val="00967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ice.org.uk/guidance/ng85/resources/pancreatic-cancer-in-adults-diagnosis-and-management-pdf-1837696373701"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nccn.org/guidelines/guidelines-detail?category=1&amp;id=1455"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34</Pages>
  <Words>7281</Words>
  <Characters>41508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Lian-Sheng Ma</dc:creator>
  <cp:lastModifiedBy>Wu ruirui</cp:lastModifiedBy>
  <cp:revision>9</cp:revision>
  <dcterms:created xsi:type="dcterms:W3CDTF">2022-04-21T07:25:00Z</dcterms:created>
  <dcterms:modified xsi:type="dcterms:W3CDTF">2022-05-25T02:36:00Z</dcterms:modified>
</cp:coreProperties>
</file>