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9FF9"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C1706FF"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74437</w:t>
      </w:r>
    </w:p>
    <w:p w14:paraId="7A744212"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91799C9" w14:textId="77777777" w:rsidR="008538B9" w:rsidRDefault="008538B9">
      <w:pPr>
        <w:adjustRightInd w:val="0"/>
        <w:snapToGrid w:val="0"/>
        <w:spacing w:line="360" w:lineRule="auto"/>
        <w:jc w:val="both"/>
        <w:rPr>
          <w:rFonts w:ascii="Book Antiqua" w:hAnsi="Book Antiqua"/>
        </w:rPr>
      </w:pPr>
    </w:p>
    <w:p w14:paraId="79738790"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Development of plasma cell dyscrasias in a patient with chronic myeloid leukemia: A case report</w:t>
      </w:r>
    </w:p>
    <w:p w14:paraId="60248D75" w14:textId="77777777" w:rsidR="008538B9" w:rsidRDefault="008538B9">
      <w:pPr>
        <w:adjustRightInd w:val="0"/>
        <w:snapToGrid w:val="0"/>
        <w:spacing w:line="360" w:lineRule="auto"/>
        <w:jc w:val="both"/>
        <w:rPr>
          <w:rFonts w:ascii="Book Antiqua" w:hAnsi="Book Antiqua"/>
        </w:rPr>
      </w:pPr>
    </w:p>
    <w:p w14:paraId="75539BF0"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Z</w:t>
      </w:r>
      <w:r>
        <w:rPr>
          <w:rFonts w:ascii="Book Antiqua" w:hAnsi="Book Antiqua" w:cs="Book Antiqua"/>
          <w:color w:val="000000"/>
          <w:lang w:eastAsia="zh-CN"/>
        </w:rPr>
        <w:t>han</w:t>
      </w:r>
      <w:r>
        <w:rPr>
          <w:rFonts w:ascii="Book Antiqua" w:eastAsia="Book Antiqua" w:hAnsi="Book Antiqua" w:cs="Book Antiqua"/>
          <w:color w:val="000000"/>
        </w:rPr>
        <w:t xml:space="preserve">g N </w:t>
      </w:r>
      <w:r>
        <w:rPr>
          <w:rFonts w:ascii="Book Antiqua" w:eastAsia="Book Antiqua" w:hAnsi="Book Antiqua" w:cs="Book Antiqua"/>
          <w:i/>
          <w:iCs/>
          <w:color w:val="000000"/>
        </w:rPr>
        <w:t>et al</w:t>
      </w:r>
      <w:r>
        <w:rPr>
          <w:rFonts w:ascii="Book Antiqua" w:eastAsia="Book Antiqua" w:hAnsi="Book Antiqua" w:cs="Book Antiqua"/>
          <w:color w:val="000000"/>
        </w:rPr>
        <w:t>. Development of plasma cell dyscrasias in chronic myeloid leukemia</w:t>
      </w:r>
    </w:p>
    <w:p w14:paraId="23924F9C" w14:textId="77777777" w:rsidR="008538B9" w:rsidRDefault="008538B9">
      <w:pPr>
        <w:adjustRightInd w:val="0"/>
        <w:snapToGrid w:val="0"/>
        <w:spacing w:line="360" w:lineRule="auto"/>
        <w:jc w:val="both"/>
        <w:rPr>
          <w:rFonts w:ascii="Book Antiqua" w:hAnsi="Book Antiqua"/>
        </w:rPr>
      </w:pPr>
    </w:p>
    <w:p w14:paraId="3F04CC3E"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Na Zhang, Ting-De Jiang, Shu-Hua Yi</w:t>
      </w:r>
    </w:p>
    <w:p w14:paraId="361C45AF" w14:textId="77777777" w:rsidR="008538B9" w:rsidRDefault="008538B9">
      <w:pPr>
        <w:adjustRightInd w:val="0"/>
        <w:snapToGrid w:val="0"/>
        <w:spacing w:line="360" w:lineRule="auto"/>
        <w:jc w:val="both"/>
        <w:rPr>
          <w:rFonts w:ascii="Book Antiqua" w:hAnsi="Book Antiqua"/>
        </w:rPr>
      </w:pPr>
    </w:p>
    <w:p w14:paraId="75AA1846"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Na Zhang, Ting-De Jiang, </w:t>
      </w:r>
      <w:r>
        <w:rPr>
          <w:rFonts w:ascii="Book Antiqua" w:eastAsia="Book Antiqua" w:hAnsi="Book Antiqua" w:cs="Book Antiqua"/>
          <w:color w:val="000000"/>
        </w:rPr>
        <w:t>Department of Hematology, People’s Hospital of Deyang, Deyang 618000, Sichuan Province, China</w:t>
      </w:r>
    </w:p>
    <w:p w14:paraId="19721D22" w14:textId="77777777" w:rsidR="008538B9" w:rsidRDefault="008538B9">
      <w:pPr>
        <w:adjustRightInd w:val="0"/>
        <w:snapToGrid w:val="0"/>
        <w:spacing w:line="360" w:lineRule="auto"/>
        <w:jc w:val="both"/>
        <w:rPr>
          <w:rFonts w:ascii="Book Antiqua" w:hAnsi="Book Antiqua"/>
        </w:rPr>
      </w:pPr>
    </w:p>
    <w:p w14:paraId="49D463D0"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Shu-Hua Yi, </w:t>
      </w:r>
      <w:r>
        <w:rPr>
          <w:rFonts w:ascii="Book Antiqua" w:eastAsia="Book Antiqua" w:hAnsi="Book Antiqua" w:cs="Book Antiqua"/>
          <w:color w:val="000000"/>
        </w:rPr>
        <w:t>Hematology Hospital of the Institute of Hematology, Chinese Academy of Medical Sciences, Tianjin 300020, China</w:t>
      </w:r>
    </w:p>
    <w:p w14:paraId="740600D2" w14:textId="77777777" w:rsidR="008538B9" w:rsidRDefault="008538B9">
      <w:pPr>
        <w:adjustRightInd w:val="0"/>
        <w:snapToGrid w:val="0"/>
        <w:spacing w:line="360" w:lineRule="auto"/>
        <w:jc w:val="both"/>
        <w:rPr>
          <w:rFonts w:ascii="Book Antiqua" w:hAnsi="Book Antiqua"/>
        </w:rPr>
      </w:pPr>
    </w:p>
    <w:p w14:paraId="255A6576"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N, Jiang TD and Yi SH designed and wrote this manuscript; Zhang N revised the manuscript; all authors reviewed and approved the final version to be published.</w:t>
      </w:r>
    </w:p>
    <w:p w14:paraId="17F32C5F" w14:textId="77777777" w:rsidR="008538B9" w:rsidRDefault="008538B9">
      <w:pPr>
        <w:adjustRightInd w:val="0"/>
        <w:snapToGrid w:val="0"/>
        <w:spacing w:line="360" w:lineRule="auto"/>
        <w:jc w:val="both"/>
        <w:rPr>
          <w:rFonts w:ascii="Book Antiqua" w:hAnsi="Book Antiqua"/>
        </w:rPr>
      </w:pPr>
    </w:p>
    <w:p w14:paraId="66F9FD72"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Shu-Hua Yi, MD, Attending Doctor, </w:t>
      </w:r>
      <w:r>
        <w:rPr>
          <w:rFonts w:ascii="Book Antiqua" w:eastAsia="Book Antiqua" w:hAnsi="Book Antiqua" w:cs="Book Antiqua"/>
          <w:color w:val="000000"/>
        </w:rPr>
        <w:t>Hematology Hospital of the Institute of Hematology, Chinese Academy of Medical Sciences, No. 288 Nanjing Road, Tianjin 300020, China. 3378465425@qq.com</w:t>
      </w:r>
    </w:p>
    <w:p w14:paraId="1F7CDC74" w14:textId="77777777" w:rsidR="008538B9" w:rsidRDefault="008538B9">
      <w:pPr>
        <w:adjustRightInd w:val="0"/>
        <w:snapToGrid w:val="0"/>
        <w:spacing w:line="360" w:lineRule="auto"/>
        <w:jc w:val="both"/>
        <w:rPr>
          <w:rFonts w:ascii="Book Antiqua" w:hAnsi="Book Antiqua"/>
        </w:rPr>
      </w:pPr>
    </w:p>
    <w:p w14:paraId="1422000C"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23, 2021</w:t>
      </w:r>
    </w:p>
    <w:p w14:paraId="77687EC8"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21, 2022</w:t>
      </w:r>
    </w:p>
    <w:p w14:paraId="7ED4C839"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17, 2022</w:t>
      </w:r>
    </w:p>
    <w:p w14:paraId="44121F6E" w14:textId="77777777" w:rsidR="008538B9" w:rsidRDefault="008B7291">
      <w:pPr>
        <w:adjustRightInd w:val="0"/>
        <w:snapToGrid w:val="0"/>
        <w:spacing w:line="360" w:lineRule="auto"/>
        <w:rPr>
          <w:rFonts w:ascii="Book Antiqua" w:eastAsia="Book Antiqua" w:hAnsi="Book Antiqua" w:cs="Book Antiqua"/>
          <w:b/>
          <w:color w:val="000000"/>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May 16, 2022</w:t>
      </w:r>
    </w:p>
    <w:p w14:paraId="064C8805" w14:textId="77777777" w:rsidR="008538B9" w:rsidRDefault="008538B9">
      <w:pPr>
        <w:adjustRightInd w:val="0"/>
        <w:snapToGrid w:val="0"/>
        <w:spacing w:line="360" w:lineRule="auto"/>
        <w:jc w:val="both"/>
        <w:rPr>
          <w:rFonts w:ascii="Book Antiqua" w:eastAsia="Book Antiqua" w:hAnsi="Book Antiqua" w:cs="Book Antiqua"/>
          <w:b/>
          <w:color w:val="000000"/>
        </w:rPr>
      </w:pPr>
    </w:p>
    <w:p w14:paraId="410ADF1D"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14:paraId="591E3752"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773D322E"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Chronic myeloid leukemia (CML) is a clonal hematopoietic stem cell disorder. Plasma cell dyscrasias are a rare heterogeneous group of hematological disorders. The co-occurrence of CML and plasma cell dyscrasias in the same patient is an extremely rare incident and has been reported in several cases in the literature.</w:t>
      </w:r>
    </w:p>
    <w:p w14:paraId="01BB1669" w14:textId="77777777" w:rsidR="008538B9" w:rsidRDefault="008538B9">
      <w:pPr>
        <w:adjustRightInd w:val="0"/>
        <w:snapToGrid w:val="0"/>
        <w:spacing w:line="360" w:lineRule="auto"/>
        <w:jc w:val="both"/>
        <w:rPr>
          <w:rFonts w:ascii="Book Antiqua" w:hAnsi="Book Antiqua"/>
        </w:rPr>
      </w:pPr>
    </w:p>
    <w:p w14:paraId="01576BD3"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CASE SUMMARY</w:t>
      </w:r>
    </w:p>
    <w:p w14:paraId="11D0418B"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In the present report, we described a rare case of the co-occurrence of CML and plasma cell dyscrasias in a 48-year-old man, and we discussed the reason why monoclonal gammopathy of undetermined significance progressed to smoldering multiple myeloma and eventually to multiple myeloma while being treated with dasatinib for CML. The tyrosine kinase inhibitor treatment and cytogenetic change may contribute to this phenomenon, and clonal hematopoiesis of indeterminate potential may lead to both CML and multiple myeloma cells in a patient. Future studies are warranted to further explain the hidden reasons.</w:t>
      </w:r>
    </w:p>
    <w:p w14:paraId="7D6F2B55" w14:textId="77777777" w:rsidR="008538B9" w:rsidRDefault="008538B9">
      <w:pPr>
        <w:adjustRightInd w:val="0"/>
        <w:snapToGrid w:val="0"/>
        <w:spacing w:line="360" w:lineRule="auto"/>
        <w:jc w:val="both"/>
        <w:rPr>
          <w:rFonts w:ascii="Book Antiqua" w:hAnsi="Book Antiqua"/>
        </w:rPr>
      </w:pPr>
    </w:p>
    <w:p w14:paraId="2CDE51A6"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67EF1D67"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This case highlights that gene translocation may contribute to initiation and sustainability of clonal proliferation. Moreover, the treatment with tyrosine kinase inhibitor and cytogenetic change may contribute to progression from monoclonal gammopathy of undetermined significance to smoldering multiple myeloma and eventually to multiple myeloma.</w:t>
      </w:r>
    </w:p>
    <w:p w14:paraId="5B47D8ED" w14:textId="77777777" w:rsidR="008538B9" w:rsidRDefault="008538B9">
      <w:pPr>
        <w:adjustRightInd w:val="0"/>
        <w:snapToGrid w:val="0"/>
        <w:spacing w:line="360" w:lineRule="auto"/>
        <w:jc w:val="both"/>
        <w:rPr>
          <w:rFonts w:ascii="Book Antiqua" w:hAnsi="Book Antiqua"/>
        </w:rPr>
      </w:pPr>
    </w:p>
    <w:p w14:paraId="6E59D423"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Chronic myeloid leukemia; Plasma cell dyscrasias; Multiple myeloma; Tyrosine kinase inhibitor; Translocation; Case report</w:t>
      </w:r>
    </w:p>
    <w:p w14:paraId="072C2CF8" w14:textId="77777777" w:rsidR="008538B9" w:rsidRDefault="008538B9">
      <w:pPr>
        <w:adjustRightInd w:val="0"/>
        <w:snapToGrid w:val="0"/>
        <w:spacing w:line="360" w:lineRule="auto"/>
        <w:jc w:val="both"/>
        <w:rPr>
          <w:rFonts w:ascii="Book Antiqua" w:hAnsi="Book Antiqua"/>
        </w:rPr>
      </w:pPr>
    </w:p>
    <w:p w14:paraId="49B88D2A" w14:textId="77777777" w:rsidR="007C19B1" w:rsidRPr="00E61B50" w:rsidRDefault="007C19B1" w:rsidP="007C19B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480C59C0" w14:textId="77777777" w:rsidR="007C19B1" w:rsidRPr="00E61B50" w:rsidRDefault="007C19B1" w:rsidP="007C19B1">
      <w:pPr>
        <w:spacing w:line="360" w:lineRule="auto"/>
        <w:jc w:val="both"/>
        <w:rPr>
          <w:lang w:eastAsia="zh-CN"/>
        </w:rPr>
      </w:pPr>
    </w:p>
    <w:p w14:paraId="26073F50" w14:textId="7F149BC7" w:rsidR="007C19B1" w:rsidRDefault="007C19B1" w:rsidP="007C19B1">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8B7291">
        <w:rPr>
          <w:rFonts w:ascii="Book Antiqua" w:eastAsia="Book Antiqua" w:hAnsi="Book Antiqua" w:cs="Book Antiqua"/>
          <w:color w:val="000000"/>
        </w:rPr>
        <w:t xml:space="preserve">Zhang N, Jiang TD, Yi SH. Development of plasma cell dyscrasias in a patient with chronic myeloid leukemia: A case report. </w:t>
      </w:r>
      <w:r w:rsidR="008B7291">
        <w:rPr>
          <w:rFonts w:ascii="Book Antiqua" w:eastAsia="Book Antiqua" w:hAnsi="Book Antiqua" w:cs="Book Antiqua"/>
          <w:i/>
          <w:iCs/>
          <w:color w:val="000000"/>
        </w:rPr>
        <w:t>World J Clin Cases</w:t>
      </w:r>
      <w:r w:rsidR="008B7291">
        <w:rPr>
          <w:rFonts w:ascii="Book Antiqua" w:eastAsia="Book Antiqua" w:hAnsi="Book Antiqua" w:cs="Book Antiqua"/>
          <w:color w:val="000000"/>
        </w:rPr>
        <w:t xml:space="preserve"> 2022; </w:t>
      </w:r>
      <w:r w:rsidR="008B7291">
        <w:rPr>
          <w:rFonts w:ascii="Book Antiqua" w:eastAsia="Book Antiqua" w:hAnsi="Book Antiqua" w:cs="Book Antiqua" w:hint="eastAsia"/>
          <w:color w:val="000000"/>
        </w:rPr>
        <w:t xml:space="preserve">10(14): </w:t>
      </w:r>
      <w:r>
        <w:rPr>
          <w:rFonts w:ascii="Book Antiqua" w:eastAsia="Book Antiqua" w:hAnsi="Book Antiqua" w:cs="Book Antiqua"/>
          <w:color w:val="000000"/>
        </w:rPr>
        <w:t>4698</w:t>
      </w:r>
      <w:r w:rsidR="008B7291">
        <w:rPr>
          <w:rFonts w:ascii="Book Antiqua" w:eastAsia="Book Antiqua" w:hAnsi="Book Antiqua" w:cs="Book Antiqua" w:hint="eastAsia"/>
          <w:color w:val="000000"/>
        </w:rPr>
        <w:t>-</w:t>
      </w:r>
      <w:r>
        <w:rPr>
          <w:rFonts w:ascii="Book Antiqua" w:eastAsia="Book Antiqua" w:hAnsi="Book Antiqua" w:cs="Book Antiqua"/>
          <w:color w:val="000000"/>
        </w:rPr>
        <w:t>4703</w:t>
      </w:r>
    </w:p>
    <w:p w14:paraId="62606399" w14:textId="38274887" w:rsidR="007C19B1" w:rsidRDefault="008B7291" w:rsidP="007C19B1">
      <w:pPr>
        <w:adjustRightInd w:val="0"/>
        <w:snapToGrid w:val="0"/>
        <w:spacing w:line="360" w:lineRule="auto"/>
        <w:jc w:val="both"/>
        <w:rPr>
          <w:rFonts w:ascii="Book Antiqua" w:eastAsia="Book Antiqua" w:hAnsi="Book Antiqua" w:cs="Book Antiqua"/>
          <w:color w:val="000000"/>
        </w:rPr>
      </w:pPr>
      <w:r w:rsidRPr="007C19B1">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7" w:history="1">
        <w:r w:rsidR="007C19B1" w:rsidRPr="0040421B">
          <w:rPr>
            <w:rStyle w:val="a9"/>
            <w:rFonts w:ascii="Book Antiqua" w:eastAsia="Book Antiqua" w:hAnsi="Book Antiqua" w:cs="Book Antiqua" w:hint="eastAsia"/>
          </w:rPr>
          <w:t>https://www.wjgnet.com/2307-8960/full/v10/i14/</w:t>
        </w:r>
        <w:r w:rsidR="007C19B1" w:rsidRPr="0040421B">
          <w:rPr>
            <w:rStyle w:val="a9"/>
            <w:rFonts w:ascii="Book Antiqua" w:eastAsia="Book Antiqua" w:hAnsi="Book Antiqua" w:cs="Book Antiqua"/>
          </w:rPr>
          <w:t>4698</w:t>
        </w:r>
        <w:r w:rsidR="007C19B1" w:rsidRPr="0040421B">
          <w:rPr>
            <w:rStyle w:val="a9"/>
            <w:rFonts w:ascii="Book Antiqua" w:eastAsia="Book Antiqua" w:hAnsi="Book Antiqua" w:cs="Book Antiqua" w:hint="eastAsia"/>
          </w:rPr>
          <w:t>.htm</w:t>
        </w:r>
      </w:hyperlink>
    </w:p>
    <w:p w14:paraId="44C5C916" w14:textId="7620C632" w:rsidR="008538B9" w:rsidRDefault="008B7291" w:rsidP="007C19B1">
      <w:pPr>
        <w:adjustRightInd w:val="0"/>
        <w:snapToGrid w:val="0"/>
        <w:spacing w:line="360" w:lineRule="auto"/>
        <w:jc w:val="both"/>
        <w:rPr>
          <w:rFonts w:ascii="Book Antiqua" w:eastAsia="Book Antiqua" w:hAnsi="Book Antiqua" w:cs="Book Antiqua"/>
          <w:color w:val="000000"/>
        </w:rPr>
      </w:pPr>
      <w:r w:rsidRPr="007C19B1">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https://dx.doi.org/10.12998/wjcc.v10.i14.</w:t>
      </w:r>
      <w:r w:rsidR="007C19B1">
        <w:rPr>
          <w:rFonts w:ascii="Book Antiqua" w:eastAsia="Book Antiqua" w:hAnsi="Book Antiqua" w:cs="Book Antiqua"/>
          <w:color w:val="000000"/>
        </w:rPr>
        <w:t>4698</w:t>
      </w:r>
    </w:p>
    <w:p w14:paraId="72C02429" w14:textId="77777777" w:rsidR="008538B9" w:rsidRDefault="008538B9">
      <w:pPr>
        <w:adjustRightInd w:val="0"/>
        <w:snapToGrid w:val="0"/>
        <w:spacing w:line="360" w:lineRule="auto"/>
        <w:jc w:val="both"/>
        <w:rPr>
          <w:rFonts w:ascii="Book Antiqua" w:hAnsi="Book Antiqua"/>
        </w:rPr>
      </w:pPr>
    </w:p>
    <w:p w14:paraId="50382A8F"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Here we describe a patient with chronic myeloid leukemia complicated with plasma cell dyscrasias receiving dasatinib. He developed monoclonal gammopathy of undetermined significance that progressed to smoldering multiple myeloma and eventually to multiple myeloma. This case highlights that gene translocation may contribute to initiating and sustaining clonal proliferation. Tyrosine kinase inhibitors and cytogenetic change may lead to the progression.</w:t>
      </w:r>
    </w:p>
    <w:p w14:paraId="15C59EEC" w14:textId="77777777" w:rsidR="008538B9" w:rsidRDefault="008538B9">
      <w:pPr>
        <w:adjustRightInd w:val="0"/>
        <w:snapToGrid w:val="0"/>
        <w:spacing w:line="360" w:lineRule="auto"/>
        <w:jc w:val="both"/>
        <w:rPr>
          <w:rFonts w:ascii="Book Antiqua" w:hAnsi="Book Antiqua"/>
        </w:rPr>
      </w:pPr>
    </w:p>
    <w:p w14:paraId="596E7795"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DEE83A4"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Chronic myeloid leukemia (CML) is a clonal hematopoietic stem cell disorder, which is defined by the presence of Philadelphia chromosome in a patient with a myeloproliferative neoplasm. Plasma cell dyscrasias (PCD) are a rare heterogeneous group of hematological disorders, which include monoclonal gammopathy of undetermined significance (MGUS), multiple myeloma (MM), systemic amyloid light chain amyloidosis, and polyneuropathy, organomegaly, endocrinopathy, M-protein, skin changes syndrome, </w:t>
      </w:r>
      <w:r>
        <w:rPr>
          <w:rFonts w:ascii="Book Antiqua" w:eastAsia="Book Antiqua" w:hAnsi="Book Antiqua" w:cs="Book Antiqua"/>
          <w:i/>
          <w:iCs/>
          <w:color w:val="000000"/>
        </w:rPr>
        <w:t>etc</w:t>
      </w:r>
      <w:r>
        <w:rPr>
          <w:rFonts w:ascii="Book Antiqua" w:eastAsia="Book Antiqua" w:hAnsi="Book Antiqua" w:cs="Book Antiqua"/>
          <w:color w:val="000000"/>
          <w:vertAlign w:val="superscript"/>
        </w:rPr>
        <w:t>[1,2]</w:t>
      </w:r>
      <w:r>
        <w:rPr>
          <w:rFonts w:ascii="Book Antiqua" w:eastAsia="Book Antiqua" w:hAnsi="Book Antiqua" w:cs="Book Antiqua"/>
          <w:color w:val="000000"/>
        </w:rPr>
        <w:t>. MGUS is an asymptomatic, premalignant disorder characterized by monoclonal plasma cell proliferation in the bone marrow and absence of end-organ damage such as osteolytic bone lesions, anemia, or renal failure</w:t>
      </w:r>
      <w:r>
        <w:rPr>
          <w:rFonts w:ascii="Book Antiqua" w:eastAsia="Book Antiqua" w:hAnsi="Book Antiqua" w:cs="Book Antiqua"/>
          <w:color w:val="000000"/>
          <w:vertAlign w:val="superscript"/>
        </w:rPr>
        <w:t>[3]</w:t>
      </w:r>
      <w:r>
        <w:rPr>
          <w:rFonts w:ascii="Book Antiqua" w:eastAsia="Book Antiqua" w:hAnsi="Book Antiqua" w:cs="Book Antiqua"/>
          <w:color w:val="000000"/>
        </w:rPr>
        <w:t>. It shows the risk of progression to MM and associated plasma cell neoplasms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MM arises from the malignant transformation of post-germinal center plasma cells. The origin of the cells is distinctly different in CML and PCD. There were several cases of coexistence of CML and MM. However, there was few distinctive report about the evolution from MGUS to smoldering multiple myeloma (SMM) and to MM in patients with CML complicated with PCD. In this case report, we described a patient who developed MGUS that progressed </w:t>
      </w:r>
      <w:r>
        <w:rPr>
          <w:rFonts w:ascii="Book Antiqua" w:eastAsia="Book Antiqua" w:hAnsi="Book Antiqua" w:cs="Book Antiqua"/>
          <w:color w:val="000000"/>
        </w:rPr>
        <w:lastRenderedPageBreak/>
        <w:t>to SMM and eventually to MM while being treated with dasatinib for CML. The tyrosine kinase inhibitor (TKI) treatment and cytogenetic change may contribute to this phenomenon.</w:t>
      </w:r>
    </w:p>
    <w:p w14:paraId="423D15BA" w14:textId="77777777" w:rsidR="008538B9" w:rsidRDefault="008538B9">
      <w:pPr>
        <w:adjustRightInd w:val="0"/>
        <w:snapToGrid w:val="0"/>
        <w:spacing w:line="360" w:lineRule="auto"/>
        <w:jc w:val="both"/>
        <w:rPr>
          <w:rFonts w:ascii="Book Antiqua" w:hAnsi="Book Antiqua"/>
        </w:rPr>
      </w:pPr>
    </w:p>
    <w:p w14:paraId="3C7750D2"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864505F"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4B6C1C4F"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A 48-year-old man who was admitted to our hospital was diagnosed with leukocytosis with white blood cell count of 25.2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hemoglobin level of 149 g/L, platelet count of 330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eosinophils level of 0.99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basophil level of 1.38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without any complaints during the health examination.</w:t>
      </w:r>
    </w:p>
    <w:p w14:paraId="0D86EDB3" w14:textId="77777777" w:rsidR="008538B9" w:rsidRDefault="008538B9">
      <w:pPr>
        <w:adjustRightInd w:val="0"/>
        <w:snapToGrid w:val="0"/>
        <w:spacing w:line="360" w:lineRule="auto"/>
        <w:jc w:val="both"/>
        <w:rPr>
          <w:rFonts w:ascii="Book Antiqua" w:hAnsi="Book Antiqua"/>
        </w:rPr>
      </w:pPr>
    </w:p>
    <w:p w14:paraId="0C59AE31"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14:paraId="677C502F"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No special physical signs and symptoms were reported before. He did not appear to have a history of exposure to toxic agents or irradiation.</w:t>
      </w:r>
    </w:p>
    <w:p w14:paraId="271D18BB" w14:textId="77777777" w:rsidR="008538B9" w:rsidRDefault="008538B9">
      <w:pPr>
        <w:adjustRightInd w:val="0"/>
        <w:snapToGrid w:val="0"/>
        <w:spacing w:line="360" w:lineRule="auto"/>
        <w:jc w:val="both"/>
        <w:rPr>
          <w:rFonts w:ascii="Book Antiqua" w:hAnsi="Book Antiqua"/>
        </w:rPr>
      </w:pPr>
    </w:p>
    <w:p w14:paraId="224A88DD"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14:paraId="20715257"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 did not have previous medical history.</w:t>
      </w:r>
    </w:p>
    <w:p w14:paraId="36709518" w14:textId="77777777" w:rsidR="008538B9" w:rsidRDefault="008538B9">
      <w:pPr>
        <w:adjustRightInd w:val="0"/>
        <w:snapToGrid w:val="0"/>
        <w:spacing w:line="360" w:lineRule="auto"/>
        <w:jc w:val="both"/>
        <w:rPr>
          <w:rFonts w:ascii="Book Antiqua" w:hAnsi="Book Antiqua"/>
        </w:rPr>
      </w:pPr>
    </w:p>
    <w:p w14:paraId="18148A1F"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14:paraId="670376EA"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No other special physical signs.</w:t>
      </w:r>
    </w:p>
    <w:p w14:paraId="0AF5DCEE" w14:textId="77777777" w:rsidR="008538B9" w:rsidRDefault="008538B9">
      <w:pPr>
        <w:adjustRightInd w:val="0"/>
        <w:snapToGrid w:val="0"/>
        <w:spacing w:line="360" w:lineRule="auto"/>
        <w:jc w:val="both"/>
        <w:rPr>
          <w:rFonts w:ascii="Book Antiqua" w:hAnsi="Book Antiqua"/>
        </w:rPr>
      </w:pPr>
    </w:p>
    <w:p w14:paraId="15295BD9"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6EB54EF3" w14:textId="77777777" w:rsidR="008538B9" w:rsidRDefault="008B7291">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At first, his serum creatinine was 110.18 μmol/L. His lactate dehydrogenase was 364.04 U/L. His total protein and albumin were normal. His 24-h urine for total protein was 1.82 g/24 h. His serum immunofixation electrophoresis was weakly positive. Quantitative reverse transcription PCR using international scale for BCR/ABLP210 (blood) was 48.02%. The bone marrow plasma cells percentage was 1%. The diagnosis of CML was confirmed by quantitative PCR analysis 4 mo after he received dasatinib. </w:t>
      </w:r>
    </w:p>
    <w:p w14:paraId="3CA2A62E" w14:textId="77777777" w:rsidR="008538B9" w:rsidRDefault="008B7291">
      <w:pPr>
        <w:adjustRightInd w:val="0"/>
        <w:snapToGrid w:val="0"/>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In December 2020, fluorescence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(FISH) for t(9;22) (q34;q11) was negative and BCR/ABL transcript has decreased from 48.02% to 0.25%. Then the percentage of bone marrow mature plasma cells was 4%. Serum free light chain ratio (κ/λ) was 85.62. </w:t>
      </w:r>
    </w:p>
    <w:p w14:paraId="46CE0DC0" w14:textId="77777777" w:rsidR="008538B9" w:rsidRDefault="008B7291">
      <w:pPr>
        <w:adjustRightInd w:val="0"/>
        <w:snapToGrid w:val="0"/>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 xml:space="preserve">In March 2021, his BCR/ABL transcript was 0.06% and rFLC (κ-FLC:λFLC) was 93.56%. Serum immunofixation electrophoresis and serum protein electrophoresis were negative. M1-protein in urine protein electrophoresis was 89.99%. Urine immunofixation electrophoresis revealed the presence of monoclonal light chain κ. The percentage of plasma cells in bone marrow was about 11.5% (Figure 1). Whole-body low-dose computed tomography scan documented no osteolytic lesions. </w:t>
      </w:r>
    </w:p>
    <w:p w14:paraId="69F24CD3" w14:textId="77777777" w:rsidR="008538B9" w:rsidRDefault="008B7291">
      <w:pPr>
        <w:adjustRightInd w:val="0"/>
        <w:snapToGrid w:val="0"/>
        <w:spacing w:line="360" w:lineRule="auto"/>
        <w:ind w:firstLine="270"/>
        <w:jc w:val="both"/>
        <w:rPr>
          <w:rFonts w:ascii="Book Antiqua" w:hAnsi="Book Antiqua"/>
        </w:rPr>
      </w:pPr>
      <w:r>
        <w:rPr>
          <w:rFonts w:ascii="Book Antiqua" w:eastAsia="Book Antiqua" w:hAnsi="Book Antiqua" w:cs="Book Antiqua"/>
          <w:color w:val="000000"/>
        </w:rPr>
        <w:t>In April 2021, his BCR/ABL transcript was 0. At this time, serum immunofixation electrophoresis showed monoclonal light chain κ, but serum protein electrophoresis was still negative, and rFLC (κ-FLC:λ-FLC) was 144.43. The 24-h urine for total protein rose to 3.84 g/24 h. M1-protein in urine protein electrophoresis was 88.47%. Cytogenetic karyotyping results revealed normal male chromosome complement.</w:t>
      </w:r>
    </w:p>
    <w:p w14:paraId="0F7A1ED6" w14:textId="77777777" w:rsidR="008538B9" w:rsidRDefault="008538B9">
      <w:pPr>
        <w:adjustRightInd w:val="0"/>
        <w:snapToGrid w:val="0"/>
        <w:spacing w:line="360" w:lineRule="auto"/>
        <w:jc w:val="both"/>
        <w:rPr>
          <w:rFonts w:ascii="Book Antiqua" w:hAnsi="Book Antiqua"/>
        </w:rPr>
      </w:pPr>
    </w:p>
    <w:p w14:paraId="5AFDA599"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i/>
          <w:color w:val="000000"/>
        </w:rPr>
        <w:t>Imaging examinations</w:t>
      </w:r>
    </w:p>
    <w:p w14:paraId="4FC6BEB7"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FISH analysis for the immunoglobulin heavy chain locus on chromosome 14q32 was positive (Figure 2A and B). FISH analysis for RB-1/LAMP1 showed deletion of chromosome 13q14 (Figure 2C and D). Another FISH analysis was normal for immunoglobulin heavy chain partner gene arrangement, CKS1B/CDKN2C and P53/CEP17.</w:t>
      </w:r>
    </w:p>
    <w:p w14:paraId="168F4E0C" w14:textId="77777777" w:rsidR="008538B9" w:rsidRDefault="008538B9">
      <w:pPr>
        <w:adjustRightInd w:val="0"/>
        <w:snapToGrid w:val="0"/>
        <w:spacing w:line="360" w:lineRule="auto"/>
        <w:jc w:val="both"/>
        <w:rPr>
          <w:rFonts w:ascii="Book Antiqua" w:hAnsi="Book Antiqua"/>
        </w:rPr>
      </w:pPr>
    </w:p>
    <w:p w14:paraId="12B1D47D"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B3186BE"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The final diagnosis for the present case was the coexistence of CML and MM.</w:t>
      </w:r>
    </w:p>
    <w:p w14:paraId="460AFDDE" w14:textId="77777777" w:rsidR="008538B9" w:rsidRDefault="008538B9">
      <w:pPr>
        <w:adjustRightInd w:val="0"/>
        <w:snapToGrid w:val="0"/>
        <w:spacing w:line="360" w:lineRule="auto"/>
        <w:jc w:val="both"/>
        <w:rPr>
          <w:rFonts w:ascii="Book Antiqua" w:hAnsi="Book Antiqua"/>
        </w:rPr>
      </w:pPr>
    </w:p>
    <w:p w14:paraId="2EB9F522"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2EFDD7C5"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Now he is receiving bortezomib, lenalidomide, and dexamethasone chemotherapy with simultaneously continued oral dasatinib. After 4 to 6 cycles of bortezomib, lenalidomide, </w:t>
      </w:r>
      <w:r>
        <w:rPr>
          <w:rFonts w:ascii="Book Antiqua" w:eastAsia="Book Antiqua" w:hAnsi="Book Antiqua" w:cs="Book Antiqua"/>
          <w:color w:val="000000"/>
        </w:rPr>
        <w:lastRenderedPageBreak/>
        <w:t>and dexamethasone treatment when he achieves complete response, he will receive an allogeneic hematopoietic stem cell transplantation.</w:t>
      </w:r>
    </w:p>
    <w:p w14:paraId="5B4B5FCE" w14:textId="77777777" w:rsidR="008538B9" w:rsidRDefault="008538B9">
      <w:pPr>
        <w:adjustRightInd w:val="0"/>
        <w:snapToGrid w:val="0"/>
        <w:spacing w:line="360" w:lineRule="auto"/>
        <w:jc w:val="both"/>
        <w:rPr>
          <w:rFonts w:ascii="Book Antiqua" w:hAnsi="Book Antiqua"/>
        </w:rPr>
      </w:pPr>
    </w:p>
    <w:p w14:paraId="75A7475C"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D699959"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He has finished six cycles of chemotherapy with bortezomib, lenalidomide, and dexamethasone, and he has already completed a pretransplant match. In 1 mo, he will receive an allogeneic transplant.</w:t>
      </w:r>
    </w:p>
    <w:p w14:paraId="472CA7CD" w14:textId="77777777" w:rsidR="008538B9" w:rsidRDefault="008538B9">
      <w:pPr>
        <w:adjustRightInd w:val="0"/>
        <w:snapToGrid w:val="0"/>
        <w:spacing w:line="360" w:lineRule="auto"/>
        <w:jc w:val="both"/>
        <w:rPr>
          <w:rFonts w:ascii="Book Antiqua" w:hAnsi="Book Antiqua"/>
        </w:rPr>
      </w:pPr>
    </w:p>
    <w:p w14:paraId="172E2D5B"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618EB347"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CML is a clonal myeloproliferative neoplasm derived from an abnormal multipotent hemopoietic stem cell that has acquired the BCR-ABL1 fusion gene, usually through t(9;22) (q34;q11), also known as the Philadelphia chromosome. The derivation of this clonal population from a multipotent hematopoietic stem cell was supported by cytogenetic studies</w:t>
      </w:r>
      <w:r>
        <w:rPr>
          <w:rFonts w:ascii="Book Antiqua" w:eastAsia="Book Antiqua" w:hAnsi="Book Antiqua" w:cs="Book Antiqua"/>
          <w:color w:val="000000"/>
          <w:vertAlign w:val="superscript"/>
        </w:rPr>
        <w:t>[5]</w:t>
      </w:r>
      <w:r>
        <w:rPr>
          <w:rFonts w:ascii="Book Antiqua" w:eastAsia="Book Antiqua" w:hAnsi="Book Antiqua" w:cs="Book Antiqua"/>
          <w:color w:val="000000"/>
        </w:rPr>
        <w:t>. In rare cases, BCR-ABL1 has been described in essential thrombocytosis, myelodysplastic syndrome, MM, and malignant lymphoma.</w:t>
      </w:r>
    </w:p>
    <w:p w14:paraId="3A80A5FA" w14:textId="77777777" w:rsidR="008538B9" w:rsidRDefault="008B7291">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MGUS is a clinically asymptomatic premalignant clonal plasma cell. Smoldering myeloma describes a stage of disease that has no symptoms and no related organ or tissue impairment.</w:t>
      </w:r>
    </w:p>
    <w:p w14:paraId="746C32F8" w14:textId="77777777" w:rsidR="008538B9" w:rsidRDefault="008B7291">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this case, the patient was diagnosed with CML initially, and 4 mo later was confirmed with a diagnosis of MGUS, which ultimately progressed to MM. The hypothesis is that CML and MGUS can occur simultaneously because of elevated serum light chain at the time of diagnosis of CML. Regrettably, no further examination was carried out at that time to verify the simultaneous occurrence of CML and MGUS.</w:t>
      </w:r>
    </w:p>
    <w:p w14:paraId="75EC5B69" w14:textId="77777777" w:rsidR="008538B9" w:rsidRDefault="008B7291">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cause of coexistence of CML and PCD in 1 patient remains unclear. The paramount etiology may be what precursors commonly referred to as “clonal hematopoiesis of indeterminate potential” leads to both CML and MM cells in a patient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Clonal hematopoiesis is often detected by next-generation sequencing, chromosomal analysis, FISH analysis, PCR, and other techniques. Dysplasia and blasts were not discovered in bone marrow in the early stage of the disease, which could not verify the pathogenesis. </w:t>
      </w:r>
      <w:r>
        <w:rPr>
          <w:rFonts w:ascii="Book Antiqua" w:eastAsia="Book Antiqua" w:hAnsi="Book Antiqua" w:cs="Book Antiqua"/>
          <w:color w:val="000000"/>
        </w:rPr>
        <w:lastRenderedPageBreak/>
        <w:t>Meanwhile a new study also showed that all patients with myeloma go through the stage of MGUS, but it is often unrecognized for some reason or it is subclinical</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077BCD26" w14:textId="77777777" w:rsidR="008538B9" w:rsidRDefault="008B7291">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Another hypothesis is secondary malignancies related to TKI treatment of CML. Gunnarsson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studied 868 patients diagnosed with CML in Sweden in 2002, and results indicated that CML patients had a high risk of developing a second malignancy in the TKI era. The common malignancies include the following: gastrointestinal cancer, nose and throat cancer, prostate cancer, and breast cancer but not hematological cancer. However, whether the cause leading to a secondary malignancy is associated with TKI treatment or CML disease itself is uncertain. After all, multiple studies displayed that secondary cancers in CML were often found in early stage after the diagnosis of CML. The higher immunosuppressive effects and the DNA repair mechanisms of TKI may be involved in the phenomenon. For CML disease itself, BCR/ABL also participates in regulating cell apoptosis, proliferation, and intercellular interactions and promotes genomic instability, </w:t>
      </w:r>
      <w:r>
        <w:rPr>
          <w:rFonts w:ascii="Book Antiqua" w:eastAsia="Book Antiqua" w:hAnsi="Book Antiqua" w:cs="Book Antiqua"/>
          <w:i/>
          <w:iCs/>
          <w:color w:val="000000"/>
        </w:rPr>
        <w:t>etc</w:t>
      </w:r>
      <w:r>
        <w:rPr>
          <w:rFonts w:ascii="Book Antiqua" w:eastAsia="Book Antiqua" w:hAnsi="Book Antiqua" w:cs="Book Antiqua"/>
          <w:color w:val="000000"/>
        </w:rPr>
        <w:t>. Therefore, both the TKI treatment and CML disease itself may play an important role in the coexistence of CML and PCD in our case</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3379E3FA" w14:textId="77777777" w:rsidR="008538B9" w:rsidRDefault="008B7291">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Studies show that the rate of progression from MGUS to MM is 1% per year but approximately 10% per year for SMM</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We want to know more about how this patient progressed from MGUS to SMM and then to MM under the circumstances of CML. Gene translocation may contribute to initiating and sustaining clonal proliferation. The common translocation at 14q32 and deletion of 13 in normal cells promote the genomic instability that results in the occurrence of MGUS/SMM. Finally, mutations in </w:t>
      </w:r>
      <w:r>
        <w:rPr>
          <w:rFonts w:ascii="Book Antiqua" w:eastAsia="Book Antiqua" w:hAnsi="Book Antiqua" w:cs="Book Antiqua"/>
          <w:i/>
          <w:iCs/>
          <w:color w:val="000000"/>
        </w:rPr>
        <w:t>RAS</w:t>
      </w:r>
      <w:r>
        <w:rPr>
          <w:rFonts w:ascii="Book Antiqua" w:eastAsia="Book Antiqua" w:hAnsi="Book Antiqua" w:cs="Book Antiqua"/>
          <w:color w:val="000000"/>
        </w:rPr>
        <w:t xml:space="preserve"> genes, p16 methylation, abnormalities involving myc family of oncogenes, secondary translocations, p53 mutations, and angiogenesis play an important role in promoting the development of MGUS/SMM into MM. In addition to that, a higher serum free light chain ratio has been shown recently to be an important risk factor for the progression</w:t>
      </w:r>
      <w:r>
        <w:rPr>
          <w:rFonts w:ascii="Book Antiqua" w:eastAsia="Book Antiqua" w:hAnsi="Book Antiqua" w:cs="Book Antiqua"/>
          <w:color w:val="000000"/>
          <w:vertAlign w:val="superscript"/>
        </w:rPr>
        <w:t>[3]</w:t>
      </w:r>
      <w:r>
        <w:rPr>
          <w:rFonts w:ascii="Book Antiqua" w:eastAsia="Book Antiqua" w:hAnsi="Book Antiqua" w:cs="Book Antiqua"/>
          <w:color w:val="000000"/>
        </w:rPr>
        <w:t>. In this case, translocations at 14q32 and deletion of 13 in the patient was probably associated with the progression to MM.</w:t>
      </w:r>
    </w:p>
    <w:p w14:paraId="662BB7FF" w14:textId="77777777" w:rsidR="008538B9" w:rsidRDefault="008538B9">
      <w:pPr>
        <w:adjustRightInd w:val="0"/>
        <w:snapToGrid w:val="0"/>
        <w:spacing w:line="360" w:lineRule="auto"/>
        <w:jc w:val="both"/>
        <w:rPr>
          <w:rFonts w:ascii="Book Antiqua" w:hAnsi="Book Antiqua"/>
        </w:rPr>
      </w:pPr>
    </w:p>
    <w:p w14:paraId="363EAB19"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1D36A26B"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Reports of the co-occurrence of CML and PCD in the same patient are rare. In the present report, we described a patient with CML. He received chemotherapy and oral dasatinib as therapy. During the follow-up, he developed MGUS and progressed to SMM and eventually to MM. Finally, the patient was diagnosed with CML and MM. TKI and cytogenetic change are thought to potentially contribute to his disease progression. Further studies should be made to better understand the etiology of the coexistence of CML and PCD. </w:t>
      </w:r>
    </w:p>
    <w:p w14:paraId="5401AF86" w14:textId="77777777" w:rsidR="008538B9" w:rsidRDefault="008538B9">
      <w:pPr>
        <w:adjustRightInd w:val="0"/>
        <w:snapToGrid w:val="0"/>
        <w:spacing w:line="360" w:lineRule="auto"/>
        <w:jc w:val="both"/>
        <w:rPr>
          <w:rFonts w:ascii="Book Antiqua" w:hAnsi="Book Antiqua"/>
        </w:rPr>
      </w:pPr>
    </w:p>
    <w:p w14:paraId="5FB77A8C"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1CE54905"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Gavriatopoulou M</w:t>
      </w:r>
      <w:r>
        <w:rPr>
          <w:rFonts w:ascii="Book Antiqua" w:eastAsia="Book Antiqua" w:hAnsi="Book Antiqua" w:cs="Book Antiqua"/>
          <w:color w:val="000000"/>
        </w:rPr>
        <w:t xml:space="preserve">, Fotiou D, Ntanasis-Stathopoulos I, Kastritis E, Terpos E, Dimopoulos MA. How I treat elderly patients with plasma cell dyscrasias.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4248-4268 [PMID: 30568029 DOI: 10.18632/aging.101707]</w:t>
      </w:r>
    </w:p>
    <w:p w14:paraId="232EF778"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Gavriatopoulou M</w:t>
      </w:r>
      <w:r>
        <w:rPr>
          <w:rFonts w:ascii="Book Antiqua" w:eastAsia="Book Antiqua" w:hAnsi="Book Antiqua" w:cs="Book Antiqua"/>
          <w:color w:val="000000"/>
        </w:rPr>
        <w:t xml:space="preserve">, Musto P, Caers J, Merlini G, Kastritis E, van de Donk N, Gay F, Hegenbart U, Hajek R, Zweegman S, Bruno B, Straka C, Dimopoulos MA, Einsele H, Boccadoro M, Sonneveld P, Engelhardt M, Terpos E. European myeloma network recommendations on diagnosis and management of patients with rare plasma cell dyscrasias.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1883-1898 [PMID: 30038381 DOI: 10.1038/s41375-018-0209-7]</w:t>
      </w:r>
    </w:p>
    <w:p w14:paraId="5BD88857"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hAnsi="Book Antiqua"/>
          <w:b/>
          <w:bCs/>
        </w:rPr>
        <w:t>Rajkumar SV</w:t>
      </w:r>
      <w:r>
        <w:rPr>
          <w:rFonts w:ascii="Book Antiqua" w:hAnsi="Book Antiqua"/>
        </w:rPr>
        <w:t xml:space="preserve">. MGUS and smoldering multiple myeloma: update on pathogenesis, natural history, and management. </w:t>
      </w:r>
      <w:r>
        <w:rPr>
          <w:rFonts w:ascii="Book Antiqua" w:hAnsi="Book Antiqua"/>
          <w:i/>
          <w:iCs/>
        </w:rPr>
        <w:t>Hematology Am Soc Hematol Educ Program</w:t>
      </w:r>
      <w:r>
        <w:rPr>
          <w:rFonts w:ascii="Book Antiqua" w:hAnsi="Book Antiqua"/>
        </w:rPr>
        <w:t xml:space="preserve"> 2005: 340-345 [PMID: 16304401 DOI: 10.1182/asheducation-2005.1.340]</w:t>
      </w:r>
    </w:p>
    <w:p w14:paraId="1CF351F7"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Ouyang W</w:t>
      </w:r>
      <w:r>
        <w:rPr>
          <w:rFonts w:ascii="Book Antiqua" w:eastAsia="Book Antiqua" w:hAnsi="Book Antiqua" w:cs="Book Antiqua"/>
          <w:color w:val="000000"/>
        </w:rPr>
        <w:t xml:space="preserve">, Zhao X, Lu S, Wang Z. Prevalence of monoclonal gammopathy of uncertain significance in chronic myeloid leukemia: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e13103 [PMID: 30383696 DOI: 10.1097/MD.0000000000013103]</w:t>
      </w:r>
    </w:p>
    <w:p w14:paraId="3D9C3AD6"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hAnsi="Book Antiqua"/>
          <w:b/>
          <w:bCs/>
        </w:rPr>
        <w:t>Whang J</w:t>
      </w:r>
      <w:r>
        <w:rPr>
          <w:rFonts w:ascii="Book Antiqua" w:hAnsi="Book Antiqua"/>
        </w:rPr>
        <w:t xml:space="preserve">, Frei E 3rd, Tjio JH, Carbone PP, Brecher G. The distribution of the Philadelphia chromosome in patients with chronic myelogenous leukemia. </w:t>
      </w:r>
      <w:r>
        <w:rPr>
          <w:rFonts w:ascii="Book Antiqua" w:hAnsi="Book Antiqua"/>
          <w:i/>
          <w:iCs/>
        </w:rPr>
        <w:t>Blood</w:t>
      </w:r>
      <w:r>
        <w:rPr>
          <w:rFonts w:ascii="Book Antiqua" w:hAnsi="Book Antiqua"/>
        </w:rPr>
        <w:t xml:space="preserve"> 1963; </w:t>
      </w:r>
      <w:r>
        <w:rPr>
          <w:rFonts w:ascii="Book Antiqua" w:hAnsi="Book Antiqua"/>
          <w:b/>
          <w:bCs/>
        </w:rPr>
        <w:t>22</w:t>
      </w:r>
      <w:r>
        <w:rPr>
          <w:rFonts w:ascii="Book Antiqua" w:hAnsi="Book Antiqua"/>
        </w:rPr>
        <w:t>: 664-673 [PMID: 14084628]</w:t>
      </w:r>
    </w:p>
    <w:p w14:paraId="2D89EFDF"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Miki K</w:t>
      </w:r>
      <w:r>
        <w:rPr>
          <w:rFonts w:ascii="Book Antiqua" w:eastAsia="Book Antiqua" w:hAnsi="Book Antiqua" w:cs="Book Antiqua"/>
          <w:color w:val="000000"/>
        </w:rPr>
        <w:t xml:space="preserve">, Obara N, Makishima K, Sakamoto T, Kusakabe M, Kato T, Kurita N, Nishikii H, Yokoyama Y, Sakata-Yanagimoto M, Hasegawa Y, Chiba S. An Unprecedented Case </w:t>
      </w:r>
      <w:r>
        <w:rPr>
          <w:rFonts w:ascii="Book Antiqua" w:eastAsia="Book Antiqua" w:hAnsi="Book Antiqua" w:cs="Book Antiqua"/>
          <w:color w:val="000000"/>
        </w:rPr>
        <w:lastRenderedPageBreak/>
        <w:t xml:space="preserve">of p190 </w:t>
      </w:r>
      <w:r>
        <w:rPr>
          <w:rFonts w:ascii="Book Antiqua" w:eastAsia="Book Antiqua" w:hAnsi="Book Antiqua" w:cs="Book Antiqua"/>
          <w:i/>
          <w:iCs/>
          <w:color w:val="000000"/>
        </w:rPr>
        <w:t>BCR-ABL</w:t>
      </w:r>
      <w:r>
        <w:rPr>
          <w:rFonts w:ascii="Book Antiqua" w:eastAsia="Book Antiqua" w:hAnsi="Book Antiqua" w:cs="Book Antiqua"/>
          <w:color w:val="000000"/>
        </w:rPr>
        <w:t xml:space="preserve"> Chronic Myeloid Leukemia Diagnosed during Treatment for Multiple Myeloma: A Case Report and Review of the Literature. </w:t>
      </w:r>
      <w:r>
        <w:rPr>
          <w:rFonts w:ascii="Book Antiqua" w:eastAsia="Book Antiqua" w:hAnsi="Book Antiqua" w:cs="Book Antiqua"/>
          <w:i/>
          <w:iCs/>
          <w:color w:val="000000"/>
        </w:rPr>
        <w:t>Case Rep Hematol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7863943 [PMID: 30405922 DOI: 10.1155/2018/7863943]</w:t>
      </w:r>
    </w:p>
    <w:p w14:paraId="1FC40678"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Boyle EM</w:t>
      </w:r>
      <w:r>
        <w:rPr>
          <w:rFonts w:ascii="Book Antiqua" w:eastAsia="Book Antiqua" w:hAnsi="Book Antiqua" w:cs="Book Antiqua"/>
          <w:color w:val="000000"/>
        </w:rPr>
        <w:t xml:space="preserve">, Davies FE, Leleu X, Morgan GJ. Understanding the multiple biological aspects leading to myeloma.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2014; </w:t>
      </w:r>
      <w:r>
        <w:rPr>
          <w:rFonts w:ascii="Book Antiqua" w:eastAsia="Book Antiqua" w:hAnsi="Book Antiqua" w:cs="Book Antiqua"/>
          <w:b/>
          <w:bCs/>
          <w:color w:val="000000"/>
        </w:rPr>
        <w:t>99</w:t>
      </w:r>
      <w:r>
        <w:rPr>
          <w:rFonts w:ascii="Book Antiqua" w:eastAsia="Book Antiqua" w:hAnsi="Book Antiqua" w:cs="Book Antiqua"/>
          <w:color w:val="000000"/>
        </w:rPr>
        <w:t>: 605-612 [PMID: 24688108 DOI: 10.3324/haematol.2013.097907]</w:t>
      </w:r>
    </w:p>
    <w:p w14:paraId="3E38F5DF"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Gunnarsson N</w:t>
      </w:r>
      <w:r>
        <w:rPr>
          <w:rFonts w:ascii="Book Antiqua" w:eastAsia="Book Antiqua" w:hAnsi="Book Antiqua" w:cs="Book Antiqua"/>
          <w:color w:val="000000"/>
        </w:rPr>
        <w:t xml:space="preserve">, Stenke L, Höglund M, Sandin F, Björkholm M, Dreimane A, Lambe M, Markevärn B, Olsson-Strömberg U, Richter J, Wadenvik H, Wallvik J, Själander A. Second malignancies following treatment of chronic myeloid leukaemia in the tyrosine kinase inhibitor era.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169</w:t>
      </w:r>
      <w:r>
        <w:rPr>
          <w:rFonts w:ascii="Book Antiqua" w:eastAsia="Book Antiqua" w:hAnsi="Book Antiqua" w:cs="Book Antiqua"/>
          <w:color w:val="000000"/>
        </w:rPr>
        <w:t>: 683-688 [PMID: 25817799 DOI: 10.1111/bjh.13346]</w:t>
      </w:r>
    </w:p>
    <w:p w14:paraId="2A3D4268"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Kumar V</w:t>
      </w:r>
      <w:r>
        <w:rPr>
          <w:rFonts w:ascii="Book Antiqua" w:eastAsia="Book Antiqua" w:hAnsi="Book Antiqua" w:cs="Book Antiqua"/>
          <w:color w:val="000000"/>
        </w:rPr>
        <w:t xml:space="preserve">, Garg M, Chaudhary N, Chandra AB. An observational study on risk of secondary cancers in chronic myeloid leukemia patients in the TKI era in the United States. </w:t>
      </w:r>
      <w:r>
        <w:rPr>
          <w:rFonts w:ascii="Book Antiqua" w:eastAsia="Book Antiqua" w:hAnsi="Book Antiqua" w:cs="Book Antiqua"/>
          <w:i/>
          <w:iCs/>
          <w:color w:val="000000"/>
        </w:rPr>
        <w:t>PeerJ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e4342 [PMID: 29456888 DOI: 10.7717/peerj.4342]</w:t>
      </w:r>
    </w:p>
    <w:p w14:paraId="0B2953D2"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Ide M</w:t>
      </w:r>
      <w:r>
        <w:rPr>
          <w:rFonts w:ascii="Book Antiqua" w:eastAsia="Book Antiqua" w:hAnsi="Book Antiqua" w:cs="Book Antiqua"/>
          <w:color w:val="000000"/>
        </w:rPr>
        <w:t xml:space="preserve">, Kuwahara N, Matsuishi E, Kimura S, Gondo H. Uncommon case of chronic myeloid leukemia with multiple myeloma. </w:t>
      </w:r>
      <w:r>
        <w:rPr>
          <w:rFonts w:ascii="Book Antiqua" w:eastAsia="Book Antiqua" w:hAnsi="Book Antiqua" w:cs="Book Antiqua"/>
          <w:i/>
          <w:iCs/>
          <w:color w:val="000000"/>
        </w:rPr>
        <w:t>Int J Hematol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699-704 [PMID: 20352382 DOI: 10.1007/s12185-010-0546-4]</w:t>
      </w:r>
    </w:p>
    <w:p w14:paraId="4B815011" w14:textId="77777777" w:rsidR="008538B9" w:rsidRDefault="008538B9">
      <w:pPr>
        <w:adjustRightInd w:val="0"/>
        <w:snapToGrid w:val="0"/>
        <w:spacing w:line="360" w:lineRule="auto"/>
        <w:jc w:val="both"/>
        <w:rPr>
          <w:rFonts w:ascii="Book Antiqua" w:eastAsia="Book Antiqua" w:hAnsi="Book Antiqua" w:cs="Book Antiqua"/>
          <w:b/>
          <w:color w:val="000000"/>
        </w:rPr>
      </w:pPr>
    </w:p>
    <w:p w14:paraId="3AE97F88"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14:paraId="2ACE58B4"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492DB221" w14:textId="77777777" w:rsidR="008538B9" w:rsidRDefault="008538B9">
      <w:pPr>
        <w:adjustRightInd w:val="0"/>
        <w:snapToGrid w:val="0"/>
        <w:spacing w:line="360" w:lineRule="auto"/>
        <w:jc w:val="both"/>
        <w:rPr>
          <w:rFonts w:ascii="Book Antiqua" w:hAnsi="Book Antiqua"/>
        </w:rPr>
      </w:pPr>
    </w:p>
    <w:p w14:paraId="7917736D"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no c</w:t>
      </w:r>
      <w:r>
        <w:rPr>
          <w:rStyle w:val="dxDefaultCursordxflCaptionOffice2010BlueManuscriptSubmissionCaptionStyle"/>
          <w:rFonts w:ascii="Book Antiqua" w:eastAsia="Book Antiqua" w:hAnsi="Book Antiqua" w:cs="Book Antiqua"/>
          <w:color w:val="000000"/>
        </w:rPr>
        <w:t>onflict of interest.</w:t>
      </w:r>
    </w:p>
    <w:p w14:paraId="13B41BD4" w14:textId="77777777" w:rsidR="008538B9" w:rsidRDefault="008538B9">
      <w:pPr>
        <w:adjustRightInd w:val="0"/>
        <w:snapToGrid w:val="0"/>
        <w:spacing w:line="360" w:lineRule="auto"/>
        <w:jc w:val="both"/>
        <w:rPr>
          <w:rFonts w:ascii="Book Antiqua" w:hAnsi="Book Antiqua"/>
        </w:rPr>
      </w:pPr>
    </w:p>
    <w:p w14:paraId="7F9C57F9"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BE7E1FF" w14:textId="77777777" w:rsidR="008538B9" w:rsidRDefault="008538B9">
      <w:pPr>
        <w:adjustRightInd w:val="0"/>
        <w:snapToGrid w:val="0"/>
        <w:spacing w:line="360" w:lineRule="auto"/>
        <w:jc w:val="both"/>
        <w:rPr>
          <w:rFonts w:ascii="Book Antiqua" w:hAnsi="Book Antiqua"/>
        </w:rPr>
      </w:pPr>
    </w:p>
    <w:p w14:paraId="79D5B4E5"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w:t>
      </w:r>
      <w:r>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1689BD6A" w14:textId="77777777" w:rsidR="008538B9" w:rsidRDefault="008538B9">
      <w:pPr>
        <w:adjustRightInd w:val="0"/>
        <w:snapToGrid w:val="0"/>
        <w:spacing w:line="360" w:lineRule="auto"/>
        <w:jc w:val="both"/>
        <w:rPr>
          <w:rFonts w:ascii="Book Antiqua" w:hAnsi="Book Antiqua"/>
        </w:rPr>
      </w:pPr>
    </w:p>
    <w:p w14:paraId="3D3447AD"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9AE8C38"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846080D" w14:textId="77777777" w:rsidR="008538B9" w:rsidRDefault="008538B9">
      <w:pPr>
        <w:adjustRightInd w:val="0"/>
        <w:snapToGrid w:val="0"/>
        <w:spacing w:line="360" w:lineRule="auto"/>
        <w:jc w:val="both"/>
        <w:rPr>
          <w:rFonts w:ascii="Book Antiqua" w:hAnsi="Book Antiqua"/>
        </w:rPr>
      </w:pPr>
    </w:p>
    <w:p w14:paraId="11AFAE0C"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23, 2021</w:t>
      </w:r>
    </w:p>
    <w:p w14:paraId="1BB4B53D"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7E99A572"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17, 2022</w:t>
      </w:r>
    </w:p>
    <w:p w14:paraId="676D00C5" w14:textId="77777777" w:rsidR="008538B9" w:rsidRDefault="008538B9">
      <w:pPr>
        <w:adjustRightInd w:val="0"/>
        <w:snapToGrid w:val="0"/>
        <w:spacing w:line="360" w:lineRule="auto"/>
        <w:jc w:val="both"/>
        <w:rPr>
          <w:rFonts w:ascii="Book Antiqua" w:hAnsi="Book Antiqua"/>
        </w:rPr>
      </w:pPr>
    </w:p>
    <w:p w14:paraId="5BC3773B" w14:textId="77777777" w:rsidR="008538B9" w:rsidRDefault="008538B9">
      <w:pPr>
        <w:adjustRightInd w:val="0"/>
        <w:snapToGrid w:val="0"/>
        <w:spacing w:line="360" w:lineRule="auto"/>
        <w:jc w:val="both"/>
        <w:rPr>
          <w:rFonts w:ascii="Book Antiqua" w:hAnsi="Book Antiqua"/>
        </w:rPr>
      </w:pPr>
    </w:p>
    <w:p w14:paraId="74C20153"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51B9C6C3"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F0AF92F"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30671D1"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9492E6C"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3786DAB9"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4B81BDDA"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4B5D3B72"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52BE69CB" w14:textId="77777777" w:rsidR="008538B9" w:rsidRDefault="008538B9">
      <w:pPr>
        <w:adjustRightInd w:val="0"/>
        <w:snapToGrid w:val="0"/>
        <w:spacing w:line="360" w:lineRule="auto"/>
        <w:jc w:val="both"/>
        <w:rPr>
          <w:rFonts w:ascii="Book Antiqua" w:hAnsi="Book Antiqua"/>
        </w:rPr>
      </w:pPr>
    </w:p>
    <w:p w14:paraId="6DED615E" w14:textId="77777777" w:rsidR="008538B9" w:rsidRDefault="008B7291">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Ikeda HO, Japan; Imanse SM,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color w:val="000000"/>
        </w:rPr>
        <w:t>Wang JL</w:t>
      </w:r>
    </w:p>
    <w:p w14:paraId="46BD3E12" w14:textId="77777777" w:rsidR="008538B9" w:rsidRDefault="008538B9">
      <w:pPr>
        <w:adjustRightInd w:val="0"/>
        <w:snapToGrid w:val="0"/>
        <w:spacing w:line="360" w:lineRule="auto"/>
        <w:jc w:val="both"/>
        <w:rPr>
          <w:rFonts w:ascii="Book Antiqua" w:eastAsia="Book Antiqua" w:hAnsi="Book Antiqua" w:cs="Book Antiqua"/>
          <w:b/>
          <w:color w:val="000000"/>
        </w:rPr>
      </w:pPr>
    </w:p>
    <w:p w14:paraId="65031A2B" w14:textId="77777777" w:rsidR="008538B9" w:rsidRDefault="008B7291">
      <w:pPr>
        <w:rPr>
          <w:rFonts w:ascii="Book Antiqua" w:eastAsia="Book Antiqua" w:hAnsi="Book Antiqua" w:cs="Book Antiqua"/>
          <w:b/>
          <w:color w:val="000000"/>
        </w:rPr>
      </w:pPr>
      <w:r>
        <w:rPr>
          <w:rFonts w:ascii="Book Antiqua" w:eastAsia="Book Antiqua" w:hAnsi="Book Antiqua" w:cs="Book Antiqua"/>
          <w:b/>
          <w:color w:val="000000"/>
        </w:rPr>
        <w:br w:type="page"/>
      </w:r>
    </w:p>
    <w:p w14:paraId="430FD776" w14:textId="77777777" w:rsidR="008538B9" w:rsidRDefault="008B7291">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1C99CAA" w14:textId="0E5A1470" w:rsidR="008538B9" w:rsidRDefault="008B7291">
      <w:pPr>
        <w:adjustRightInd w:val="0"/>
        <w:snapToGrid w:val="0"/>
        <w:spacing w:line="360" w:lineRule="auto"/>
        <w:jc w:val="both"/>
        <w:rPr>
          <w:rFonts w:ascii="Book Antiqua" w:eastAsia="Book Antiqua" w:hAnsi="Book Antiqua" w:cs="Book Antiqua"/>
          <w:b/>
          <w:bCs/>
          <w:color w:val="000000"/>
        </w:rPr>
      </w:pPr>
      <w:r>
        <w:t xml:space="preserve"> </w:t>
      </w:r>
      <w:r w:rsidR="006C0C98">
        <w:rPr>
          <w:noProof/>
        </w:rPr>
        <w:drawing>
          <wp:inline distT="0" distB="0" distL="0" distR="0" wp14:anchorId="306D0A92" wp14:editId="7D2BA4B1">
            <wp:extent cx="3800475" cy="3005455"/>
            <wp:effectExtent l="0" t="0" r="952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3005455"/>
                    </a:xfrm>
                    <a:prstGeom prst="rect">
                      <a:avLst/>
                    </a:prstGeom>
                    <a:noFill/>
                    <a:ln>
                      <a:noFill/>
                    </a:ln>
                  </pic:spPr>
                </pic:pic>
              </a:graphicData>
            </a:graphic>
          </wp:inline>
        </w:drawing>
      </w:r>
    </w:p>
    <w:p w14:paraId="3E8BF495" w14:textId="77777777" w:rsidR="008538B9" w:rsidRDefault="008B7291">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Wright Giemsa stain. </w:t>
      </w:r>
      <w:r>
        <w:rPr>
          <w:rFonts w:ascii="Book Antiqua" w:eastAsia="Book Antiqua" w:hAnsi="Book Antiqua" w:cs="Book Antiqua"/>
          <w:color w:val="000000"/>
        </w:rPr>
        <w:t>Bone marrow aspirate in the patient with multiple myeloma illustrated a preponderance of mostly mature-appearing plasma cells constituting 11.5% of the cells.</w:t>
      </w:r>
    </w:p>
    <w:p w14:paraId="1A32D544" w14:textId="77777777" w:rsidR="008538B9" w:rsidRDefault="008538B9">
      <w:pPr>
        <w:adjustRightInd w:val="0"/>
        <w:snapToGrid w:val="0"/>
        <w:spacing w:line="360" w:lineRule="auto"/>
        <w:jc w:val="both"/>
        <w:rPr>
          <w:rFonts w:ascii="Book Antiqua" w:hAnsi="Book Antiqua"/>
          <w:b/>
          <w:bCs/>
          <w:lang w:eastAsia="zh-CN"/>
        </w:rPr>
      </w:pPr>
    </w:p>
    <w:p w14:paraId="2B2C6314" w14:textId="091A55F7" w:rsidR="008538B9" w:rsidRDefault="008B7291">
      <w:pPr>
        <w:adjustRightInd w:val="0"/>
        <w:snapToGrid w:val="0"/>
        <w:spacing w:line="360" w:lineRule="auto"/>
        <w:jc w:val="both"/>
        <w:rPr>
          <w:rFonts w:ascii="Book Antiqua" w:hAnsi="Book Antiqua"/>
          <w:b/>
          <w:bCs/>
          <w:lang w:eastAsia="zh-CN"/>
        </w:rPr>
      </w:pPr>
      <w:r>
        <w:lastRenderedPageBreak/>
        <w:t xml:space="preserve"> </w:t>
      </w:r>
      <w:r w:rsidR="006C0C98">
        <w:rPr>
          <w:noProof/>
        </w:rPr>
        <w:drawing>
          <wp:inline distT="0" distB="0" distL="0" distR="0" wp14:anchorId="3BD1BDBF" wp14:editId="4555D6B2">
            <wp:extent cx="4484370" cy="37687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4370" cy="3768725"/>
                    </a:xfrm>
                    <a:prstGeom prst="rect">
                      <a:avLst/>
                    </a:prstGeom>
                    <a:noFill/>
                    <a:ln>
                      <a:noFill/>
                    </a:ln>
                  </pic:spPr>
                </pic:pic>
              </a:graphicData>
            </a:graphic>
          </wp:inline>
        </w:drawing>
      </w:r>
      <w:r>
        <w:rPr>
          <w:rFonts w:ascii="Book Antiqua" w:hAnsi="Book Antiqua"/>
          <w:b/>
          <w:bCs/>
          <w:lang w:eastAsia="zh-CN"/>
        </w:rPr>
        <w:t xml:space="preserve"> </w:t>
      </w:r>
    </w:p>
    <w:p w14:paraId="60E1B3C8" w14:textId="77777777" w:rsidR="008538B9" w:rsidRDefault="008B7291">
      <w:pPr>
        <w:adjustRightInd w:val="0"/>
        <w:snapToGrid w:val="0"/>
        <w:spacing w:line="360" w:lineRule="auto"/>
        <w:jc w:val="both"/>
        <w:rPr>
          <w:rFonts w:ascii="Book Antiqua" w:hAnsi="Book Antiqua"/>
        </w:rPr>
      </w:pPr>
      <w:r>
        <w:rPr>
          <w:rFonts w:ascii="Book Antiqua" w:hAnsi="Book Antiqua"/>
          <w:b/>
          <w:bCs/>
          <w:lang w:eastAsia="zh-CN"/>
        </w:rPr>
        <w:t xml:space="preserve">Figure 2 </w:t>
      </w:r>
      <w:r>
        <w:rPr>
          <w:rFonts w:ascii="Book Antiqua" w:eastAsia="Book Antiqua" w:hAnsi="Book Antiqua" w:cs="Book Antiqua"/>
          <w:b/>
          <w:bCs/>
          <w:color w:val="000000"/>
        </w:rPr>
        <w:t xml:space="preserve">Interphase fluorescence </w:t>
      </w:r>
      <w:r>
        <w:rPr>
          <w:rFonts w:ascii="Book Antiqua" w:eastAsia="Book Antiqua" w:hAnsi="Book Antiqua" w:cs="Book Antiqua"/>
          <w:b/>
          <w:bCs/>
          <w:i/>
          <w:iCs/>
          <w:color w:val="000000"/>
        </w:rPr>
        <w:t>in situ</w:t>
      </w:r>
      <w:r>
        <w:rPr>
          <w:rFonts w:ascii="Book Antiqua" w:eastAsia="Book Antiqua" w:hAnsi="Book Antiqua" w:cs="Book Antiqua"/>
          <w:b/>
          <w:bCs/>
          <w:color w:val="000000"/>
        </w:rPr>
        <w:t xml:space="preserve"> hybridization analysis. </w:t>
      </w:r>
      <w:r>
        <w:rPr>
          <w:rFonts w:ascii="Book Antiqua" w:eastAsia="Book Antiqua" w:hAnsi="Book Antiqua" w:cs="Book Antiqua"/>
          <w:color w:val="000000"/>
        </w:rPr>
        <w:t xml:space="preserve">A: Interphase fluorescence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analysis for the immunoglobulin heavy chain locus on chromosome 14q32. Normal reference; B: 14q32 deletion with only one red signal; C: Interphase fluorescence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analysis. Normal reference; D: Monosomy of chromosome 13 with only one red and one green signal.</w:t>
      </w:r>
    </w:p>
    <w:p w14:paraId="4DBADE5D" w14:textId="47F28751" w:rsidR="007C19B1" w:rsidRDefault="007C19B1">
      <w:pPr>
        <w:rPr>
          <w:rFonts w:ascii="Book Antiqua" w:hAnsi="Book Antiqua"/>
        </w:rPr>
      </w:pPr>
      <w:r>
        <w:rPr>
          <w:rFonts w:ascii="Book Antiqua" w:hAnsi="Book Antiqua"/>
        </w:rPr>
        <w:br w:type="page"/>
      </w:r>
    </w:p>
    <w:p w14:paraId="6CB04BCC" w14:textId="77777777" w:rsidR="007C19B1" w:rsidRPr="00CC78C2" w:rsidRDefault="007C19B1" w:rsidP="007C19B1">
      <w:pPr>
        <w:ind w:leftChars="100" w:left="240"/>
        <w:jc w:val="center"/>
        <w:rPr>
          <w:rFonts w:ascii="Book Antiqua" w:hAnsi="Book Antiqua"/>
          <w:lang w:val="pt-BR" w:eastAsia="zh-CN"/>
        </w:rPr>
      </w:pPr>
      <w:bookmarkStart w:id="6" w:name="_Hlk88512952"/>
    </w:p>
    <w:p w14:paraId="4258B178" w14:textId="77777777" w:rsidR="007C19B1" w:rsidRPr="00CC78C2" w:rsidRDefault="007C19B1" w:rsidP="007C19B1">
      <w:pPr>
        <w:ind w:leftChars="100" w:left="240"/>
        <w:jc w:val="center"/>
        <w:rPr>
          <w:rFonts w:ascii="Book Antiqua" w:hAnsi="Book Antiqua"/>
          <w:lang w:val="pt-BR" w:eastAsia="zh-CN"/>
        </w:rPr>
      </w:pPr>
    </w:p>
    <w:p w14:paraId="5F9D12D9" w14:textId="77777777" w:rsidR="007C19B1" w:rsidRPr="00CC78C2" w:rsidRDefault="007C19B1" w:rsidP="007C19B1">
      <w:pPr>
        <w:ind w:leftChars="100" w:left="240"/>
        <w:jc w:val="center"/>
        <w:rPr>
          <w:rFonts w:ascii="Book Antiqua" w:hAnsi="Book Antiqua"/>
          <w:lang w:val="pt-BR" w:eastAsia="zh-CN"/>
        </w:rPr>
      </w:pPr>
    </w:p>
    <w:p w14:paraId="27E8E8E6" w14:textId="77777777" w:rsidR="007C19B1" w:rsidRPr="00CC78C2" w:rsidRDefault="007C19B1" w:rsidP="007C19B1">
      <w:pPr>
        <w:ind w:leftChars="100" w:left="240"/>
        <w:jc w:val="center"/>
        <w:rPr>
          <w:rFonts w:ascii="Book Antiqua" w:hAnsi="Book Antiqua"/>
          <w:lang w:val="pt-BR" w:eastAsia="zh-CN"/>
        </w:rPr>
      </w:pPr>
    </w:p>
    <w:p w14:paraId="2D3B7FC5" w14:textId="77777777" w:rsidR="007C19B1" w:rsidRDefault="007C19B1" w:rsidP="007C19B1">
      <w:pPr>
        <w:ind w:leftChars="100" w:left="240"/>
        <w:jc w:val="center"/>
        <w:rPr>
          <w:rFonts w:ascii="Book Antiqua" w:hAnsi="Book Antiqua"/>
          <w:lang w:eastAsia="zh-CN"/>
        </w:rPr>
      </w:pPr>
      <w:r>
        <w:rPr>
          <w:rFonts w:ascii="Book Antiqua" w:hAnsi="Book Antiqua"/>
          <w:noProof/>
          <w:lang w:eastAsia="zh-CN"/>
        </w:rPr>
        <w:drawing>
          <wp:inline distT="0" distB="0" distL="0" distR="0" wp14:anchorId="6CD9824A" wp14:editId="6F684B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A17597" w14:textId="77777777" w:rsidR="007C19B1" w:rsidRDefault="007C19B1" w:rsidP="007C19B1">
      <w:pPr>
        <w:ind w:leftChars="100" w:left="240"/>
        <w:jc w:val="center"/>
        <w:rPr>
          <w:rFonts w:ascii="Book Antiqua" w:hAnsi="Book Antiqua"/>
          <w:lang w:eastAsia="zh-CN"/>
        </w:rPr>
      </w:pPr>
    </w:p>
    <w:p w14:paraId="73291791" w14:textId="77777777" w:rsidR="007C19B1" w:rsidRPr="00763D22" w:rsidRDefault="007C19B1" w:rsidP="007C19B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A79FD3B" w14:textId="77777777" w:rsidR="007C19B1" w:rsidRPr="00763D22" w:rsidRDefault="007C19B1" w:rsidP="007C19B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4F4751D" w14:textId="77777777" w:rsidR="007C19B1" w:rsidRPr="00763D22" w:rsidRDefault="007C19B1" w:rsidP="007C19B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13D8140" w14:textId="77777777" w:rsidR="007C19B1" w:rsidRPr="00763D22" w:rsidRDefault="007C19B1" w:rsidP="007C19B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F943211" w14:textId="77777777" w:rsidR="007C19B1" w:rsidRPr="00763D22" w:rsidRDefault="007C19B1" w:rsidP="007C19B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518A66" w14:textId="77777777" w:rsidR="007C19B1" w:rsidRPr="00763D22" w:rsidRDefault="007C19B1" w:rsidP="007C19B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A3724D3" w14:textId="77777777" w:rsidR="007C19B1" w:rsidRDefault="007C19B1" w:rsidP="007C19B1">
      <w:pPr>
        <w:ind w:leftChars="100" w:left="240"/>
        <w:jc w:val="center"/>
        <w:rPr>
          <w:rFonts w:ascii="Book Antiqua" w:hAnsi="Book Antiqua"/>
          <w:lang w:eastAsia="zh-CN"/>
        </w:rPr>
      </w:pPr>
    </w:p>
    <w:p w14:paraId="708C8E36" w14:textId="77777777" w:rsidR="007C19B1" w:rsidRDefault="007C19B1" w:rsidP="007C19B1">
      <w:pPr>
        <w:ind w:leftChars="100" w:left="240"/>
        <w:jc w:val="center"/>
        <w:rPr>
          <w:rFonts w:ascii="Book Antiqua" w:hAnsi="Book Antiqua"/>
          <w:lang w:eastAsia="zh-CN"/>
        </w:rPr>
      </w:pPr>
    </w:p>
    <w:p w14:paraId="5B38AC78" w14:textId="77777777" w:rsidR="007C19B1" w:rsidRDefault="007C19B1" w:rsidP="007C19B1">
      <w:pPr>
        <w:ind w:leftChars="100" w:left="240"/>
        <w:jc w:val="center"/>
        <w:rPr>
          <w:rFonts w:ascii="Book Antiqua" w:hAnsi="Book Antiqua"/>
          <w:lang w:eastAsia="zh-CN"/>
        </w:rPr>
      </w:pPr>
    </w:p>
    <w:p w14:paraId="283D655E" w14:textId="77777777" w:rsidR="007C19B1" w:rsidRDefault="007C19B1" w:rsidP="007C19B1">
      <w:pPr>
        <w:ind w:leftChars="100" w:left="240"/>
        <w:jc w:val="center"/>
        <w:rPr>
          <w:rFonts w:ascii="Book Antiqua" w:hAnsi="Book Antiqua"/>
          <w:lang w:eastAsia="zh-CN"/>
        </w:rPr>
      </w:pPr>
      <w:r>
        <w:rPr>
          <w:rFonts w:ascii="Book Antiqua" w:hAnsi="Book Antiqua"/>
          <w:noProof/>
          <w:lang w:eastAsia="zh-CN"/>
        </w:rPr>
        <w:drawing>
          <wp:inline distT="0" distB="0" distL="0" distR="0" wp14:anchorId="0F1874E2" wp14:editId="3848C7D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667E98" w14:textId="77777777" w:rsidR="007C19B1" w:rsidRDefault="007C19B1" w:rsidP="007C19B1">
      <w:pPr>
        <w:ind w:leftChars="100" w:left="240"/>
        <w:jc w:val="center"/>
        <w:rPr>
          <w:rFonts w:ascii="Book Antiqua" w:hAnsi="Book Antiqua"/>
          <w:lang w:eastAsia="zh-CN"/>
        </w:rPr>
      </w:pPr>
    </w:p>
    <w:p w14:paraId="351376F2" w14:textId="77777777" w:rsidR="007C19B1" w:rsidRDefault="007C19B1" w:rsidP="007C19B1">
      <w:pPr>
        <w:ind w:leftChars="100" w:left="240"/>
        <w:jc w:val="center"/>
        <w:rPr>
          <w:rFonts w:ascii="Book Antiqua" w:hAnsi="Book Antiqua"/>
          <w:lang w:eastAsia="zh-CN"/>
        </w:rPr>
      </w:pPr>
    </w:p>
    <w:p w14:paraId="46C6E0B4" w14:textId="77777777" w:rsidR="007C19B1" w:rsidRDefault="007C19B1" w:rsidP="007C19B1">
      <w:pPr>
        <w:ind w:leftChars="100" w:left="240"/>
        <w:jc w:val="center"/>
        <w:rPr>
          <w:rFonts w:ascii="Book Antiqua" w:hAnsi="Book Antiqua"/>
          <w:lang w:eastAsia="zh-CN"/>
        </w:rPr>
      </w:pPr>
    </w:p>
    <w:p w14:paraId="56A73B78" w14:textId="77777777" w:rsidR="007C19B1" w:rsidRDefault="007C19B1" w:rsidP="007C19B1">
      <w:pPr>
        <w:ind w:leftChars="100" w:left="240"/>
        <w:jc w:val="center"/>
        <w:rPr>
          <w:rFonts w:ascii="Book Antiqua" w:hAnsi="Book Antiqua"/>
          <w:lang w:eastAsia="zh-CN"/>
        </w:rPr>
      </w:pPr>
    </w:p>
    <w:p w14:paraId="68A161E1" w14:textId="77777777" w:rsidR="007C19B1" w:rsidRDefault="007C19B1" w:rsidP="007C19B1">
      <w:pPr>
        <w:ind w:leftChars="100" w:left="240"/>
        <w:jc w:val="center"/>
        <w:rPr>
          <w:rFonts w:ascii="Book Antiqua" w:hAnsi="Book Antiqua"/>
          <w:lang w:eastAsia="zh-CN"/>
        </w:rPr>
      </w:pPr>
    </w:p>
    <w:p w14:paraId="1234D52D" w14:textId="77777777" w:rsidR="007C19B1" w:rsidRDefault="007C19B1" w:rsidP="007C19B1">
      <w:pPr>
        <w:ind w:leftChars="100" w:left="240"/>
        <w:jc w:val="center"/>
        <w:rPr>
          <w:rFonts w:ascii="Book Antiqua" w:hAnsi="Book Antiqua"/>
          <w:lang w:eastAsia="zh-CN"/>
        </w:rPr>
      </w:pPr>
    </w:p>
    <w:p w14:paraId="0FE2CA0F" w14:textId="77777777" w:rsidR="007C19B1" w:rsidRDefault="007C19B1" w:rsidP="007C19B1">
      <w:pPr>
        <w:ind w:leftChars="100" w:left="240"/>
        <w:jc w:val="center"/>
        <w:rPr>
          <w:rFonts w:ascii="Book Antiqua" w:hAnsi="Book Antiqua"/>
          <w:lang w:eastAsia="zh-CN"/>
        </w:rPr>
      </w:pPr>
    </w:p>
    <w:p w14:paraId="0A6E6975" w14:textId="77777777" w:rsidR="007C19B1" w:rsidRDefault="007C19B1" w:rsidP="007C19B1">
      <w:pPr>
        <w:ind w:leftChars="100" w:left="240"/>
        <w:jc w:val="center"/>
        <w:rPr>
          <w:rFonts w:ascii="Book Antiqua" w:hAnsi="Book Antiqua"/>
          <w:lang w:eastAsia="zh-CN"/>
        </w:rPr>
      </w:pPr>
    </w:p>
    <w:p w14:paraId="48D07656" w14:textId="77777777" w:rsidR="007C19B1" w:rsidRDefault="007C19B1" w:rsidP="007C19B1">
      <w:pPr>
        <w:ind w:leftChars="100" w:left="240"/>
        <w:jc w:val="center"/>
        <w:rPr>
          <w:rFonts w:ascii="Book Antiqua" w:hAnsi="Book Antiqua"/>
          <w:lang w:eastAsia="zh-CN"/>
        </w:rPr>
      </w:pPr>
    </w:p>
    <w:p w14:paraId="00588A00" w14:textId="77777777" w:rsidR="007C19B1" w:rsidRPr="00763D22" w:rsidRDefault="007C19B1" w:rsidP="007C19B1">
      <w:pPr>
        <w:ind w:leftChars="100" w:left="240"/>
        <w:jc w:val="right"/>
        <w:rPr>
          <w:rFonts w:ascii="Book Antiqua" w:hAnsi="Book Antiqua"/>
          <w:color w:val="000000" w:themeColor="text1"/>
          <w:lang w:eastAsia="zh-CN"/>
        </w:rPr>
      </w:pPr>
    </w:p>
    <w:p w14:paraId="5FB2E3C9" w14:textId="77777777" w:rsidR="007C19B1" w:rsidRPr="00763D22" w:rsidRDefault="007C19B1" w:rsidP="007C19B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3E3E0771" w14:textId="77777777" w:rsidR="008538B9" w:rsidRDefault="008538B9">
      <w:pPr>
        <w:adjustRightInd w:val="0"/>
        <w:snapToGrid w:val="0"/>
        <w:spacing w:line="360" w:lineRule="auto"/>
        <w:jc w:val="both"/>
        <w:rPr>
          <w:rFonts w:ascii="Book Antiqua" w:hAnsi="Book Antiqua"/>
        </w:rPr>
      </w:pPr>
    </w:p>
    <w:sectPr w:rsidR="008538B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5FCA" w14:textId="77777777" w:rsidR="00BC4FF3" w:rsidRDefault="00BC4FF3">
      <w:r>
        <w:separator/>
      </w:r>
    </w:p>
  </w:endnote>
  <w:endnote w:type="continuationSeparator" w:id="0">
    <w:p w14:paraId="17CD706F" w14:textId="77777777" w:rsidR="00BC4FF3" w:rsidRDefault="00BC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59295651"/>
      <w:docPartObj>
        <w:docPartGallery w:val="AutoText"/>
      </w:docPartObj>
    </w:sdtPr>
    <w:sdtEndPr/>
    <w:sdtContent>
      <w:sdt>
        <w:sdtPr>
          <w:rPr>
            <w:rFonts w:ascii="Book Antiqua" w:hAnsi="Book Antiqua"/>
            <w:sz w:val="24"/>
            <w:szCs w:val="24"/>
          </w:rPr>
          <w:id w:val="-1769616900"/>
          <w:docPartObj>
            <w:docPartGallery w:val="AutoText"/>
          </w:docPartObj>
        </w:sdtPr>
        <w:sdtEndPr/>
        <w:sdtContent>
          <w:p w14:paraId="55A7636E" w14:textId="77777777" w:rsidR="008538B9" w:rsidRDefault="008B7291">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19E586B" w14:textId="77777777" w:rsidR="008538B9" w:rsidRDefault="00853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FE12" w14:textId="77777777" w:rsidR="00BC4FF3" w:rsidRDefault="00BC4FF3">
      <w:r>
        <w:separator/>
      </w:r>
    </w:p>
  </w:footnote>
  <w:footnote w:type="continuationSeparator" w:id="0">
    <w:p w14:paraId="66F67A6F" w14:textId="77777777" w:rsidR="00BC4FF3" w:rsidRDefault="00BC4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76CA"/>
    <w:rsid w:val="000B2965"/>
    <w:rsid w:val="000E5269"/>
    <w:rsid w:val="00156E66"/>
    <w:rsid w:val="00157D45"/>
    <w:rsid w:val="00164490"/>
    <w:rsid w:val="001B648B"/>
    <w:rsid w:val="001E5FCA"/>
    <w:rsid w:val="001F108F"/>
    <w:rsid w:val="002B4820"/>
    <w:rsid w:val="002B68E0"/>
    <w:rsid w:val="002D0109"/>
    <w:rsid w:val="00306241"/>
    <w:rsid w:val="003F3CAD"/>
    <w:rsid w:val="003F7ADB"/>
    <w:rsid w:val="00416013"/>
    <w:rsid w:val="0048488E"/>
    <w:rsid w:val="004D0317"/>
    <w:rsid w:val="004E3810"/>
    <w:rsid w:val="004E3B3B"/>
    <w:rsid w:val="004F2559"/>
    <w:rsid w:val="00553791"/>
    <w:rsid w:val="00562A38"/>
    <w:rsid w:val="005C2557"/>
    <w:rsid w:val="005D20D7"/>
    <w:rsid w:val="00603258"/>
    <w:rsid w:val="00644617"/>
    <w:rsid w:val="00655ED6"/>
    <w:rsid w:val="006B7697"/>
    <w:rsid w:val="006C0C98"/>
    <w:rsid w:val="006D5FA4"/>
    <w:rsid w:val="007054B4"/>
    <w:rsid w:val="007C19B1"/>
    <w:rsid w:val="007D3F42"/>
    <w:rsid w:val="008538B9"/>
    <w:rsid w:val="00874751"/>
    <w:rsid w:val="00880980"/>
    <w:rsid w:val="008A37F2"/>
    <w:rsid w:val="008B7291"/>
    <w:rsid w:val="00917C9C"/>
    <w:rsid w:val="00926B14"/>
    <w:rsid w:val="00946121"/>
    <w:rsid w:val="009807AC"/>
    <w:rsid w:val="00995413"/>
    <w:rsid w:val="009A0C9C"/>
    <w:rsid w:val="009F2F62"/>
    <w:rsid w:val="00A10EE3"/>
    <w:rsid w:val="00A24E81"/>
    <w:rsid w:val="00A77B3E"/>
    <w:rsid w:val="00A87936"/>
    <w:rsid w:val="00B00024"/>
    <w:rsid w:val="00B037A8"/>
    <w:rsid w:val="00B41893"/>
    <w:rsid w:val="00B448B3"/>
    <w:rsid w:val="00BC4FF3"/>
    <w:rsid w:val="00BD37D1"/>
    <w:rsid w:val="00BD6E68"/>
    <w:rsid w:val="00BF2FB0"/>
    <w:rsid w:val="00C6579D"/>
    <w:rsid w:val="00CA2A55"/>
    <w:rsid w:val="00D8189C"/>
    <w:rsid w:val="00E37F3D"/>
    <w:rsid w:val="00E775A9"/>
    <w:rsid w:val="00E87CD3"/>
    <w:rsid w:val="00EB1DB9"/>
    <w:rsid w:val="00ED63D2"/>
    <w:rsid w:val="00F26B94"/>
    <w:rsid w:val="00F92EAD"/>
    <w:rsid w:val="00FB1F29"/>
    <w:rsid w:val="0FBA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9FA42"/>
  <w15:docId w15:val="{F3EDF4E0-3A2E-4153-99EA-0DD7DF2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character" w:customStyle="1" w:styleId="dxDefaultCursordxflCaptionOffice2010BlueManuscriptSubmissionCaptionStyle">
    <w:name w:val="dxDefaultCursor dxflCaption_Office2010Blue ManuscriptSubmissionCaptionStyle"/>
    <w:basedOn w:val="a0"/>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styleId="a9">
    <w:name w:val="Hyperlink"/>
    <w:basedOn w:val="a0"/>
    <w:unhideWhenUsed/>
    <w:rsid w:val="007C19B1"/>
    <w:rPr>
      <w:color w:val="0000FF" w:themeColor="hyperlink"/>
      <w:u w:val="single"/>
    </w:rPr>
  </w:style>
  <w:style w:type="character" w:styleId="aa">
    <w:name w:val="Unresolved Mention"/>
    <w:basedOn w:val="a0"/>
    <w:uiPriority w:val="99"/>
    <w:semiHidden/>
    <w:unhideWhenUsed/>
    <w:rsid w:val="007C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7-8960/full/v10/i14/4698.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2610</Words>
  <Characters>14877</Characters>
  <Application>Microsoft Office Word</Application>
  <DocSecurity>0</DocSecurity>
  <Lines>123</Lines>
  <Paragraphs>34</Paragraphs>
  <ScaleCrop>false</ScaleCrop>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5</cp:revision>
  <dcterms:created xsi:type="dcterms:W3CDTF">2022-03-16T08:36:00Z</dcterms:created>
  <dcterms:modified xsi:type="dcterms:W3CDTF">2022-05-12T04:38:00Z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49A4765769A94D4088B51F6993B74161</vt:lpwstr>
  </property>
</Properties>
</file>