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74587</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bookmarkStart w:id="0" w:name="OLE_LINK3363"/>
      <w:bookmarkStart w:id="1" w:name="OLE_LINK3042"/>
      <w:bookmarkStart w:id="2" w:name="OLE_LINK3341"/>
      <w:bookmarkStart w:id="3" w:name="OLE_LINK3043"/>
      <w:r>
        <w:rPr>
          <w:rFonts w:ascii="Book Antiqua" w:hAnsi="Book Antiqua" w:eastAsia="Book Antiqua" w:cs="Book Antiqua"/>
          <w:b/>
          <w:color w:val="000000"/>
        </w:rPr>
        <w:t>Effectiveness and safety of chemotherapy for patients with malignant gastrointestinal obstruction: A Japanese population-based cohort study</w:t>
      </w:r>
    </w:p>
    <w:bookmarkEnd w:id="0"/>
    <w:bookmarkEnd w:id="1"/>
    <w:bookmarkEnd w:id="2"/>
    <w:bookmarkEnd w:id="3"/>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Fujisawa G </w:t>
      </w:r>
      <w:r>
        <w:rPr>
          <w:rFonts w:ascii="Book Antiqua" w:hAnsi="Book Antiqua" w:eastAsia="Book Antiqua" w:cs="Book Antiqua"/>
          <w:i/>
          <w:iCs/>
          <w:color w:val="000000"/>
        </w:rPr>
        <w:t>et al</w:t>
      </w:r>
      <w:r>
        <w:rPr>
          <w:rFonts w:ascii="Book Antiqua" w:hAnsi="Book Antiqua" w:eastAsia="Book Antiqua" w:cs="Book Antiqua"/>
          <w:color w:val="000000"/>
        </w:rPr>
        <w:t xml:space="preserve">. </w:t>
      </w:r>
      <w:bookmarkStart w:id="4" w:name="OLE_LINK3044"/>
      <w:bookmarkStart w:id="5" w:name="OLE_LINK3045"/>
      <w:bookmarkStart w:id="6" w:name="OLE_LINK3342"/>
      <w:bookmarkStart w:id="7" w:name="OLE_LINK3364"/>
      <w:r>
        <w:rPr>
          <w:rFonts w:ascii="Book Antiqua" w:hAnsi="Book Antiqua" w:eastAsia="Book Antiqua" w:cs="Book Antiqua"/>
          <w:color w:val="000000"/>
        </w:rPr>
        <w:t>Chemotherapy for malignant gastrointestinal obstruction</w:t>
      </w:r>
      <w:bookmarkEnd w:id="4"/>
      <w:bookmarkEnd w:id="5"/>
      <w:bookmarkEnd w:id="6"/>
      <w:bookmarkEnd w:id="7"/>
      <w:r>
        <w:rPr>
          <w:rFonts w:ascii="Book Antiqua" w:hAnsi="Book Antiqua" w:eastAsia="Book Antiqua" w:cs="Book Antiqua"/>
          <w:color w:val="000000"/>
        </w:rPr>
        <w:t xml:space="preserve"> patients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color w:val="000000"/>
        </w:rPr>
        <w:t xml:space="preserve">Gota </w:t>
      </w:r>
      <w:bookmarkStart w:id="8" w:name="OLE_LINK3785"/>
      <w:bookmarkStart w:id="9" w:name="OLE_LINK3786"/>
      <w:r>
        <w:rPr>
          <w:rFonts w:ascii="Book Antiqua" w:hAnsi="Book Antiqua" w:eastAsia="Book Antiqua" w:cs="Book Antiqua"/>
          <w:color w:val="000000"/>
        </w:rPr>
        <w:t>Fujisawa</w:t>
      </w:r>
      <w:bookmarkEnd w:id="8"/>
      <w:bookmarkEnd w:id="9"/>
      <w:r>
        <w:rPr>
          <w:rFonts w:ascii="Book Antiqua" w:hAnsi="Book Antiqua" w:eastAsia="Book Antiqua" w:cs="Book Antiqua"/>
          <w:color w:val="000000"/>
        </w:rPr>
        <w:t>, Ryota Niikura, Takuya Kawahara, Tetsuro Honda, Kenkei Hasatani, Naohiro Yoshida, Tsutomu Nishida, Tetsuya Sumiyoshi, Shu Kiyotoki, Takashi Ikeya, Masahiro Arai, Yoku Hayakawa, Takashi Kawai, Mitsuhiro Fujishiro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Gota Fujisawa, Yoku Hayakawa, Mitsuhiro Fujishiro, </w:t>
      </w:r>
      <w:r>
        <w:rPr>
          <w:rFonts w:ascii="Book Antiqua" w:hAnsi="Book Antiqua" w:eastAsia="Book Antiqua" w:cs="Book Antiqua"/>
          <w:color w:val="000000"/>
        </w:rPr>
        <w:t>Department of Gastroenterology, Graduate school of Medicine, The University of Tokyo, Tokyo 1138655,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Ryota Niikura, </w:t>
      </w:r>
      <w:r>
        <w:rPr>
          <w:rFonts w:ascii="Book Antiqua" w:hAnsi="Book Antiqua" w:eastAsia="Book Antiqua" w:cs="Book Antiqua"/>
          <w:b/>
          <w:bCs/>
        </w:rPr>
        <w:t>Takashi Kawai</w:t>
      </w:r>
      <w:r>
        <w:rPr>
          <w:rFonts w:ascii="Book Antiqua" w:hAnsi="Book Antiqua" w:eastAsia="Book Antiqua" w:cs="Book Antiqua"/>
        </w:rPr>
        <w:t xml:space="preserve">, </w:t>
      </w:r>
      <w:r>
        <w:rPr>
          <w:rFonts w:ascii="Book Antiqua" w:hAnsi="Book Antiqua" w:eastAsia="Book Antiqua" w:cs="Book Antiqua"/>
          <w:color w:val="000000"/>
        </w:rPr>
        <w:t>Gastroenterological Endoscopy, Tokyo Medical University, Tokyo 1600023,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Takuya Kawahara, </w:t>
      </w:r>
      <w:r>
        <w:rPr>
          <w:rFonts w:ascii="Book Antiqua" w:hAnsi="Book Antiqua" w:eastAsia="Book Antiqua" w:cs="Book Antiqua"/>
          <w:color w:val="000000"/>
        </w:rPr>
        <w:t>Clinical Research Support Center, The University of Tokyo Hospital, Tokyo 1138655,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Tetsuro Honda, </w:t>
      </w:r>
      <w:r>
        <w:rPr>
          <w:rFonts w:ascii="Book Antiqua" w:hAnsi="Book Antiqua" w:eastAsia="Book Antiqua" w:cs="Book Antiqua"/>
          <w:color w:val="000000"/>
        </w:rPr>
        <w:t>Department of Gastroenterology, Nagasaki Harbor Medical Center, Nagasaki 8508555,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Kenkei Hasatani, </w:t>
      </w:r>
      <w:r>
        <w:rPr>
          <w:rFonts w:ascii="Book Antiqua" w:hAnsi="Book Antiqua" w:eastAsia="Book Antiqua" w:cs="Book Antiqua"/>
          <w:color w:val="000000"/>
        </w:rPr>
        <w:t>Department of Gastroenterology, Fukui Prefectural Hospital, Fukui 9108526,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Naohiro Yoshida, </w:t>
      </w:r>
      <w:r>
        <w:rPr>
          <w:rFonts w:ascii="Book Antiqua" w:hAnsi="Book Antiqua" w:eastAsia="Book Antiqua" w:cs="Book Antiqua"/>
          <w:color w:val="000000"/>
        </w:rPr>
        <w:t>Department of Gastroenterology, Ishikawa Prefectural Central Hospital, Ishikawa 9208530,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Tsutomu Nishida, </w:t>
      </w:r>
      <w:bookmarkStart w:id="10" w:name="OLE_LINK3787"/>
      <w:bookmarkStart w:id="11" w:name="OLE_LINK3788"/>
      <w:r>
        <w:rPr>
          <w:rFonts w:ascii="Book Antiqua" w:hAnsi="Book Antiqua" w:eastAsia="Book Antiqua" w:cs="Book Antiqua"/>
          <w:color w:val="000000"/>
        </w:rPr>
        <w:t>Department of</w:t>
      </w:r>
      <w:bookmarkEnd w:id="10"/>
      <w:bookmarkEnd w:id="11"/>
      <w:r>
        <w:rPr>
          <w:rFonts w:ascii="Book Antiqua" w:hAnsi="Book Antiqua" w:eastAsia="Book Antiqua" w:cs="Book Antiqua"/>
          <w:color w:val="000000"/>
        </w:rPr>
        <w:t xml:space="preserve"> Gastroenterology, Toyonaka Municipal Hospital, Osaka 5608565,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Tetsuya Sumiyoshi, </w:t>
      </w:r>
      <w:r>
        <w:rPr>
          <w:rFonts w:ascii="Book Antiqua" w:hAnsi="Book Antiqua" w:eastAsia="Book Antiqua" w:cs="Book Antiqua"/>
          <w:color w:val="000000"/>
        </w:rPr>
        <w:t>Department of Gastroenterology, Tonan Hospital, Hokkaido 0600004,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Shu Kiyotoki, </w:t>
      </w:r>
      <w:r>
        <w:rPr>
          <w:rFonts w:ascii="Book Antiqua" w:hAnsi="Book Antiqua" w:eastAsia="Book Antiqua" w:cs="Book Antiqua"/>
          <w:color w:val="000000"/>
        </w:rPr>
        <w:t>Department of Gastroenterology, Shuto General Hospital, Yamaguchi 7420032,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Takashi Ikeya, </w:t>
      </w:r>
      <w:r>
        <w:rPr>
          <w:rFonts w:ascii="Book Antiqua" w:hAnsi="Book Antiqua" w:eastAsia="Book Antiqua" w:cs="Book Antiqua"/>
          <w:color w:val="000000"/>
        </w:rPr>
        <w:t>Department of Gastroenterology, St. Luke's International Hospital, Tokyo 1048560,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Masahiro Arai, </w:t>
      </w:r>
      <w:r>
        <w:rPr>
          <w:rFonts w:ascii="Book Antiqua" w:hAnsi="Book Antiqua" w:eastAsia="Book Antiqua" w:cs="Book Antiqua"/>
          <w:color w:val="000000"/>
        </w:rPr>
        <w:t>Department of Gastroenterology, Nerima Hikarigaoka Hospital, Tokyo 1790072,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bookmarkStart w:id="12" w:name="OLE_LINK3343"/>
      <w:bookmarkStart w:id="13" w:name="OLE_LINK3344"/>
      <w:r>
        <w:rPr>
          <w:rFonts w:ascii="Book Antiqua" w:hAnsi="Book Antiqua" w:eastAsia="Book Antiqua" w:cs="Book Antiqua"/>
          <w:color w:val="000000"/>
        </w:rPr>
        <w:t xml:space="preserve">All authors contributed to the acquisition of data for this study; Fujisawa G analyzed the data and wrote the draft manuscript; Niikura R designed the research study; Kawahara T contributed data analysis; Honda T, Hasatani K, Yoshida N, Nishida T, Sumiyoshi T, Kiyotoki S, Ikeya T, Arai M, Hayakawa Y, Kawai T, and Fujishiro M performed the research; </w:t>
      </w:r>
      <w:r>
        <w:rPr>
          <w:rFonts w:ascii="Book Antiqua" w:hAnsi="Book Antiqua" w:eastAsia="Book Antiqua" w:cs="Book Antiqua"/>
          <w:color w:val="000000"/>
          <w:lang w:eastAsia="zh-CN"/>
        </w:rPr>
        <w:t>A</w:t>
      </w:r>
      <w:r>
        <w:rPr>
          <w:rFonts w:ascii="Book Antiqua" w:hAnsi="Book Antiqua" w:eastAsia="Book Antiqua" w:cs="Book Antiqua"/>
          <w:color w:val="000000"/>
        </w:rPr>
        <w:t>ll authors have read and approved the final manuscript.</w:t>
      </w:r>
    </w:p>
    <w:bookmarkEnd w:id="12"/>
    <w:bookmarkEnd w:id="13"/>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bookmarkStart w:id="14" w:name="OLE_LINK3345"/>
      <w:bookmarkStart w:id="15" w:name="OLE_LINK3346"/>
      <w:r>
        <w:rPr>
          <w:rFonts w:ascii="Book Antiqua" w:hAnsi="Book Antiqua" w:eastAsia="Book Antiqua" w:cs="Book Antiqua"/>
          <w:color w:val="000000"/>
        </w:rPr>
        <w:t xml:space="preserve">the Tokyo Medical University Cancer Research Foundation, No. 2021; and </w:t>
      </w:r>
      <w:bookmarkStart w:id="16" w:name="OLE_LINK3373"/>
      <w:bookmarkStart w:id="17" w:name="OLE_LINK3372"/>
      <w:r>
        <w:rPr>
          <w:rFonts w:ascii="Book Antiqua" w:hAnsi="Book Antiqua" w:eastAsia="Book Antiqua" w:cs="Book Antiqua"/>
          <w:color w:val="000000"/>
        </w:rPr>
        <w:t>KAKENHI Grants-in-Aid for Scientific Research</w:t>
      </w:r>
      <w:bookmarkEnd w:id="16"/>
      <w:bookmarkEnd w:id="17"/>
      <w:r>
        <w:rPr>
          <w:rFonts w:ascii="Book Antiqua" w:hAnsi="Book Antiqua" w:eastAsia="Book Antiqua" w:cs="Book Antiqua"/>
          <w:color w:val="000000"/>
        </w:rPr>
        <w:t xml:space="preserve">, No. </w:t>
      </w:r>
      <w:bookmarkStart w:id="18" w:name="OLE_LINK3374"/>
      <w:bookmarkStart w:id="19" w:name="OLE_LINK3375"/>
      <w:r>
        <w:rPr>
          <w:rFonts w:ascii="Book Antiqua" w:hAnsi="Book Antiqua" w:eastAsia="Book Antiqua" w:cs="Book Antiqua"/>
          <w:color w:val="000000"/>
        </w:rPr>
        <w:t>20K08375</w:t>
      </w:r>
      <w:bookmarkEnd w:id="18"/>
      <w:bookmarkEnd w:id="19"/>
      <w:r>
        <w:rPr>
          <w:rFonts w:ascii="Book Antiqua" w:hAnsi="Book Antiqua" w:eastAsia="Book Antiqua" w:cs="Book Antiqua"/>
          <w:color w:val="000000"/>
        </w:rPr>
        <w:t>.</w:t>
      </w:r>
      <w:bookmarkEnd w:id="14"/>
      <w:bookmarkEnd w:id="15"/>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Ryota Niikura, MD, PhD, Adjunct Associate Professor, Doctor, </w:t>
      </w:r>
      <w:r>
        <w:rPr>
          <w:rFonts w:ascii="Book Antiqua" w:hAnsi="Book Antiqua" w:eastAsia="Book Antiqua" w:cs="Book Antiqua"/>
          <w:color w:val="000000"/>
        </w:rPr>
        <w:t>Gastroenterological Endoscopy, Tokyo Medical University, 6-7-1 Nishishinjuku, Shinjuku-ku, Tokyo 1600023, Japan. rniikura@triton.ocn.ne.jp</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30,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March 9,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April 22,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June 6, 2022</w:t>
      </w:r>
    </w:p>
    <w:p>
      <w:pPr>
        <w:spacing w:line="360" w:lineRule="auto"/>
        <w:jc w:val="both"/>
        <w:rPr>
          <w:rFonts w:ascii="Book Antiqua" w:hAnsi="Book Antiqua"/>
        </w:rPr>
        <w:sectPr>
          <w:headerReference r:id="rId3" w:type="default"/>
          <w:footerReference r:id="rId4"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bookmarkStart w:id="20" w:name="OLE_LINK3804"/>
      <w:bookmarkStart w:id="21" w:name="OLE_LINK3805"/>
      <w:r>
        <w:rPr>
          <w:rFonts w:ascii="Book Antiqua" w:hAnsi="Book Antiqua" w:eastAsia="Book Antiqua" w:cs="Book Antiqua"/>
          <w:color w:val="000000"/>
        </w:rPr>
        <w:t>The impacts of chemotherapy on patients with malignant gastrointestinal obstructions remain unclear, and multicenter evidence is lacking.</w:t>
      </w:r>
    </w:p>
    <w:bookmarkEnd w:id="20"/>
    <w:bookmarkEnd w:id="21"/>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evaluate the effectiveness and safety of chemotherapy in patients with unresectable malignant gastrointestinal obstructions.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bookmarkStart w:id="22" w:name="OLE_LINK3809"/>
      <w:bookmarkStart w:id="23" w:name="OLE_LINK3808"/>
      <w:r>
        <w:rPr>
          <w:rFonts w:ascii="Book Antiqua" w:hAnsi="Book Antiqua" w:eastAsia="Book Antiqua" w:cs="Book Antiqua"/>
          <w:color w:val="000000"/>
        </w:rPr>
        <w:t xml:space="preserve">We conducted a multicenter retrospective cohort study that compared the chemotherapy group who received any chemotherapeutics after interventions, including palliative surgery or self-expandable metal stent placement, for </w:t>
      </w:r>
      <w:r>
        <w:rPr>
          <w:rFonts w:ascii="Book Antiqua" w:hAnsi="Book Antiqua" w:eastAsia="Book Antiqua" w:cs="Book Antiqua"/>
          <w:color w:val="000000"/>
          <w:shd w:val="clear" w:color="auto" w:fill="FFFFFF"/>
        </w:rPr>
        <w:t>unresectable malignant gastrointestinal obstruction</w:t>
      </w:r>
      <w:r>
        <w:rPr>
          <w:rFonts w:ascii="Book Antiqua" w:hAnsi="Book Antiqua" w:eastAsia="Book Antiqua" w:cs="Book Antiqua"/>
          <w:color w:val="000000"/>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the best supportive care (BSC) group between 2014 and 2019 in nine hospitals. The primary outcome was overall survival, and the secondary outcomes were patency duration and adverse events, including gastrointestinal perforation and gastrointestinal bleeding.</w:t>
      </w:r>
    </w:p>
    <w:bookmarkEnd w:id="22"/>
    <w:bookmarkEnd w:id="23"/>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bookmarkStart w:id="24" w:name="OLE_LINK3810"/>
      <w:bookmarkStart w:id="25" w:name="OLE_LINK3811"/>
      <w:r>
        <w:rPr>
          <w:rFonts w:ascii="Book Antiqua" w:hAnsi="Book Antiqua" w:eastAsia="Book Antiqua" w:cs="Book Antiqua"/>
          <w:color w:val="000000"/>
        </w:rPr>
        <w:t xml:space="preserve">In total, 470 patients in the chemotherapy group and 652 patients in the BSC group were analyzed. During the follow-up period of 54.1 mo, the median overall survival durations were 19.3 mo in the chemotherapy group and 5.4 mo in the BSC group (log-rank test,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The median patency durations were 9.7 mo [95% confidence interval (CI): 7.7-11.5 mo] in the chemotherapy group and 2.5 mo (95%CI: 2.0-2.9 mo) in the BSC group (log-rank test,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The perforation rate was 1.3% (6/470) in the chemotherapy group and 0.9% (6/652) in the BSC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0.567). The gastrointestinal bleeding rate was 1.5% (7/470) in the chemotherapy group and 0.5% (3/652) in the BSC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0.105).</w:t>
      </w:r>
    </w:p>
    <w:bookmarkEnd w:id="24"/>
    <w:bookmarkEnd w:id="25"/>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bookmarkStart w:id="26" w:name="OLE_LINK3812"/>
      <w:bookmarkStart w:id="27" w:name="OLE_LINK3813"/>
      <w:r>
        <w:rPr>
          <w:rFonts w:ascii="Book Antiqua" w:hAnsi="Book Antiqua" w:eastAsia="Book Antiqua" w:cs="Book Antiqua"/>
          <w:color w:val="000000"/>
        </w:rPr>
        <w:t>Chemotherapy after interventions for unresectable malignant gastrointestinal obstruction was associated with increased overall survival and patency duration.</w:t>
      </w:r>
    </w:p>
    <w:bookmarkEnd w:id="26"/>
    <w:bookmarkEnd w:id="27"/>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bookmarkStart w:id="28" w:name="OLE_LINK3347"/>
      <w:bookmarkStart w:id="29" w:name="OLE_LINK3348"/>
      <w:bookmarkStart w:id="30" w:name="OLE_LINK3365"/>
      <w:r>
        <w:rPr>
          <w:rFonts w:ascii="Book Antiqua" w:hAnsi="Book Antiqua" w:eastAsia="Book Antiqua" w:cs="Book Antiqua"/>
          <w:color w:val="000000"/>
        </w:rPr>
        <w:t>Gastrointestinal cancer; Chemotherapy; Malignant gastrointestinal obstruction; Self-expandable metal stent; Palliative surgery</w:t>
      </w:r>
      <w:bookmarkEnd w:id="28"/>
      <w:bookmarkEnd w:id="29"/>
      <w:bookmarkEnd w:id="30"/>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bookmarkStart w:id="31" w:name="OLE_LINK3367"/>
      <w:bookmarkStart w:id="32" w:name="OLE_LINK3366"/>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Fujisawa G, Niikura R, Kawahara T, Honda T, Hasatani K, Yoshida N, Nishida T, Sumiyoshi T, Kiyotoki S, Ikeya T, Arai M, Hayakawa Y, Kawai T, Fujishiro M. Effectiveness and safety of chemotherapy for patients with malignant gastrointestinal obstruction: A Japanese population-based cohort study.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10(16): </w:t>
      </w:r>
      <w:r>
        <w:rPr>
          <w:rFonts w:hint="default" w:ascii="Book Antiqua" w:hAnsi="Book Antiqua" w:eastAsia="Book Antiqua" w:cs="Book Antiqua"/>
          <w:i w:val="0"/>
          <w:iCs w:val="0"/>
          <w:color w:val="000000"/>
          <w:kern w:val="0"/>
          <w:sz w:val="24"/>
          <w:szCs w:val="24"/>
          <w:u w:val="none"/>
          <w:lang w:val="en-US" w:eastAsia="zh-CN" w:bidi="ar"/>
        </w:rPr>
        <w:t>5253-5265</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https://www.wjgnet.com/2307-8960/full/v10/i16/</w:t>
      </w:r>
      <w:r>
        <w:rPr>
          <w:rFonts w:hint="default" w:ascii="Book Antiqua" w:hAnsi="Book Antiqua" w:eastAsia="Book Antiqua" w:cs="Book Antiqua"/>
          <w:i w:val="0"/>
          <w:iCs w:val="0"/>
          <w:color w:val="000000"/>
          <w:kern w:val="0"/>
          <w:sz w:val="24"/>
          <w:szCs w:val="24"/>
          <w:u w:val="none"/>
          <w:lang w:val="en-US" w:eastAsia="zh-CN" w:bidi="ar"/>
        </w:rPr>
        <w:t>5253</w:t>
      </w:r>
      <w:r>
        <w:rPr>
          <w:rFonts w:ascii="Book Antiqua" w:hAnsi="Book Antiqua" w:eastAsia="Book Antiqua" w:cs="Book Antiqua"/>
          <w:color w:val="000000"/>
        </w:rPr>
        <w:t xml:space="preserve">.htm </w:t>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https://dx.doi.org/10.12998/wjcc.v10.i16.</w:t>
      </w:r>
      <w:r>
        <w:rPr>
          <w:rFonts w:hint="default" w:ascii="Book Antiqua" w:hAnsi="Book Antiqua" w:eastAsia="Book Antiqua" w:cs="Book Antiqua"/>
          <w:i w:val="0"/>
          <w:iCs w:val="0"/>
          <w:color w:val="000000"/>
          <w:kern w:val="0"/>
          <w:sz w:val="24"/>
          <w:szCs w:val="24"/>
          <w:u w:val="none"/>
          <w:lang w:val="en-US" w:eastAsia="zh-CN" w:bidi="ar"/>
        </w:rPr>
        <w:t>5253</w:t>
      </w:r>
    </w:p>
    <w:p>
      <w:pPr>
        <w:spacing w:line="360" w:lineRule="auto"/>
        <w:jc w:val="both"/>
        <w:rPr>
          <w:rFonts w:ascii="Book Antiqua" w:hAnsi="Book Antiqua"/>
        </w:rPr>
      </w:pPr>
    </w:p>
    <w:bookmarkEnd w:id="31"/>
    <w:bookmarkEnd w:id="32"/>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bookmarkStart w:id="33" w:name="OLE_LINK3368"/>
      <w:bookmarkStart w:id="34" w:name="OLE_LINK3369"/>
      <w:bookmarkStart w:id="35" w:name="OLE_LINK3350"/>
      <w:bookmarkStart w:id="36" w:name="OLE_LINK3349"/>
      <w:r>
        <w:rPr>
          <w:rFonts w:ascii="Book Antiqua" w:hAnsi="Book Antiqua" w:eastAsia="Book Antiqua" w:cs="Book Antiqua"/>
          <w:color w:val="000000"/>
        </w:rPr>
        <w:t xml:space="preserve">The impacts of chemotherapy on patients with malignant gastrointestinal obstructions remain unclear, and multicenter evidence is lacking. Does chemotherapy improve the duration of gastrointestinal patency (and thus overall survival) in such patients? This multicenter observational study revealed that the median patency duration in the chemotherapy group was longer than that in the best supportive care group (9.7 </w:t>
      </w:r>
      <w:r>
        <w:rPr>
          <w:rFonts w:ascii="Book Antiqua" w:hAnsi="Book Antiqua" w:eastAsia="Book Antiqua" w:cs="Book Antiqua"/>
          <w:i/>
          <w:iCs/>
          <w:color w:val="000000"/>
        </w:rPr>
        <w:t>vs</w:t>
      </w:r>
      <w:r>
        <w:rPr>
          <w:rFonts w:ascii="Book Antiqua" w:hAnsi="Book Antiqua" w:eastAsia="Book Antiqua" w:cs="Book Antiqua"/>
          <w:color w:val="000000"/>
        </w:rPr>
        <w:t xml:space="preserve"> 2.5 mo). Similarly, the median overall survival was longer in the chemotherapy than the best supportive care group (19.3 </w:t>
      </w:r>
      <w:r>
        <w:rPr>
          <w:rFonts w:ascii="Book Antiqua" w:hAnsi="Book Antiqua" w:eastAsia="Book Antiqua" w:cs="Book Antiqua"/>
          <w:i/>
          <w:iCs/>
          <w:color w:val="000000"/>
        </w:rPr>
        <w:t>vs</w:t>
      </w:r>
      <w:r>
        <w:rPr>
          <w:rFonts w:ascii="Book Antiqua" w:hAnsi="Book Antiqua" w:eastAsia="Book Antiqua" w:cs="Book Antiqua"/>
          <w:color w:val="000000"/>
        </w:rPr>
        <w:t xml:space="preserve"> 5.4 mo, log-rank test,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w:t>
      </w:r>
      <w:bookmarkEnd w:id="33"/>
      <w:bookmarkEnd w:id="34"/>
    </w:p>
    <w:bookmarkEnd w:id="35"/>
    <w:bookmarkEnd w:id="36"/>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Malignant gastrointestinal obstruction is an important issue in advanced cancer and occurs in approximately 30% of patients with gastrointestinal cancer</w:t>
      </w:r>
      <w:r>
        <w:rPr>
          <w:rFonts w:ascii="Book Antiqua" w:hAnsi="Book Antiqua" w:eastAsia="Book Antiqua" w:cs="Book Antiqua"/>
          <w:color w:val="000000"/>
          <w:vertAlign w:val="superscript"/>
        </w:rPr>
        <w:t>[1]</w:t>
      </w:r>
      <w:r>
        <w:rPr>
          <w:rFonts w:ascii="Book Antiqua" w:hAnsi="Book Antiqua" w:eastAsia="Book Antiqua" w:cs="Book Antiqua"/>
          <w:color w:val="000000"/>
        </w:rPr>
        <w:t>. Gastrointestinal obstruction causes oral intake impairment, nausea, vomiting, and abdominal pain and also poses a risk of gastrointestinal perforation. Primary therapy involves fasting, intravenous hydration, and nasogastric tube or ileus tube placement for bowel rest and decompression</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In secondary therapy, complete surgical resection is performed for resectable malignant gastrointestinal obstruction; palliative surgery, including bypass and stoma surgery or </w:t>
      </w:r>
      <w:bookmarkStart w:id="37" w:name="OLE_LINK3795"/>
      <w:bookmarkStart w:id="38" w:name="OLE_LINK3794"/>
      <w:bookmarkStart w:id="39" w:name="OLE_LINK3855"/>
      <w:r>
        <w:rPr>
          <w:rFonts w:ascii="Book Antiqua" w:hAnsi="Book Antiqua" w:eastAsia="Book Antiqua" w:cs="Book Antiqua"/>
          <w:color w:val="000000"/>
        </w:rPr>
        <w:t>self-expandable metal stent</w:t>
      </w:r>
      <w:bookmarkEnd w:id="37"/>
      <w:bookmarkEnd w:id="38"/>
      <w:bookmarkEnd w:id="39"/>
      <w:r>
        <w:rPr>
          <w:rFonts w:ascii="Book Antiqua" w:hAnsi="Book Antiqua" w:eastAsia="Book Antiqua" w:cs="Book Antiqua"/>
          <w:color w:val="000000"/>
        </w:rPr>
        <w:t xml:space="preserve"> (SEMS) placement, is performed at one or more points of unresectable malignant gastrointestinal obstruction (Figure 1).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Chemotherapy after palliative surgery or SEMS placement is a particularly challenging clinical issue. Although it can improve overall survival</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little is known regarding the difference in overall survival between patients undergoing chemotherapy treatment and those receiving </w:t>
      </w:r>
      <w:bookmarkStart w:id="40" w:name="OLE_LINK3796"/>
      <w:bookmarkStart w:id="41" w:name="OLE_LINK3797"/>
      <w:r>
        <w:rPr>
          <w:rFonts w:ascii="Book Antiqua" w:hAnsi="Book Antiqua" w:eastAsia="Book Antiqua" w:cs="Book Antiqua"/>
          <w:color w:val="000000"/>
        </w:rPr>
        <w:t>best supportive care</w:t>
      </w:r>
      <w:bookmarkEnd w:id="40"/>
      <w:bookmarkEnd w:id="41"/>
      <w:r>
        <w:rPr>
          <w:rFonts w:ascii="Book Antiqua" w:hAnsi="Book Antiqua" w:eastAsia="Book Antiqua" w:cs="Book Antiqua"/>
          <w:color w:val="000000"/>
        </w:rPr>
        <w:t xml:space="preserve"> (BSC). In addition, the risk of gastrointestinal perforation is a concern for treatment involving chemotherapy combined with SEMS</w:t>
      </w:r>
      <w:r>
        <w:rPr>
          <w:rFonts w:ascii="Book Antiqua" w:hAnsi="Book Antiqua" w:eastAsia="Book Antiqua" w:cs="Book Antiqua"/>
          <w:color w:val="000000"/>
          <w:vertAlign w:val="superscript"/>
        </w:rPr>
        <w:t>[7,8]</w:t>
      </w:r>
      <w:r>
        <w:rPr>
          <w:rFonts w:ascii="Book Antiqua" w:hAnsi="Book Antiqua" w:eastAsia="Book Antiqua" w:cs="Book Antiqua"/>
          <w:color w:val="000000"/>
        </w:rPr>
        <w:t>. However, previous studies on the safety of chemotherapy in this situation were limited by small sample sizes.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We performed a large multicenter cohort study to evaluate the effectiveness and safety of chemotherapy after palliative surgery or SEMS placement compared with BSC in patients with unresectable malignant gastrointestinal obstructions. In addition, we aimed to identify the optimal population for chemotherapy after palliative surgery or SEMS placement.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ind w:hanging="2"/>
        <w:jc w:val="both"/>
        <w:rPr>
          <w:rFonts w:ascii="Book Antiqua" w:hAnsi="Book Antiqua"/>
          <w:b/>
          <w:bCs/>
        </w:rPr>
      </w:pPr>
      <w:r>
        <w:rPr>
          <w:rFonts w:ascii="Book Antiqua" w:hAnsi="Book Antiqua" w:eastAsia="Book Antiqua" w:cs="Book Antiqua"/>
          <w:b/>
          <w:bCs/>
          <w:i/>
          <w:iCs/>
          <w:color w:val="000000"/>
        </w:rPr>
        <w:t>Study design, setting, and participants</w:t>
      </w:r>
    </w:p>
    <w:p>
      <w:pPr>
        <w:spacing w:line="360" w:lineRule="auto"/>
        <w:jc w:val="both"/>
        <w:rPr>
          <w:rFonts w:ascii="Book Antiqua" w:hAnsi="Book Antiqua"/>
        </w:rPr>
      </w:pPr>
      <w:r>
        <w:rPr>
          <w:rFonts w:ascii="Book Antiqua" w:hAnsi="Book Antiqua" w:eastAsia="Book Antiqua" w:cs="Book Antiqua"/>
          <w:color w:val="000000"/>
        </w:rPr>
        <w:t xml:space="preserve">We performed a retrospective cohort study using the </w:t>
      </w:r>
      <w:bookmarkStart w:id="42" w:name="OLE_LINK3798"/>
      <w:bookmarkStart w:id="43" w:name="OLE_LINK3799"/>
      <w:r>
        <w:rPr>
          <w:rFonts w:ascii="Book Antiqua" w:hAnsi="Book Antiqua" w:eastAsia="Book Antiqua" w:cs="Book Antiqua"/>
          <w:color w:val="000000"/>
        </w:rPr>
        <w:t>diagnostic procedure combination</w:t>
      </w:r>
      <w:bookmarkEnd w:id="42"/>
      <w:bookmarkEnd w:id="43"/>
      <w:r>
        <w:rPr>
          <w:rFonts w:ascii="Book Antiqua" w:hAnsi="Book Antiqua" w:eastAsia="Book Antiqua" w:cs="Book Antiqua"/>
          <w:color w:val="000000"/>
        </w:rPr>
        <w:t xml:space="preserve"> (DPC) databases of nine hospitals between January 2014 and March 2019. The combined database comprised the records of all inpatients and outpatients at the University of Tokyo Hospital, Shuto General Hospital, Fukui Prefectural Hospital, Nerima Hikarigaoka Hospital, St. Luke’s International Hospital, Toyonaka Municipal Hospital, Ishikawa Prefectural Central Hospital, and Nagasaki Minato Medical Center and of inpatients at Tonan Hospital. The database included diagnoses, comorbidities, and adverse events using the International Classification of Diseases, 10th revision and Japanese original disease codes. It also included the cancer stage according to the Union for International Cancer Control classification system</w:t>
      </w:r>
      <w:r>
        <w:rPr>
          <w:rFonts w:ascii="Book Antiqua" w:hAnsi="Book Antiqua" w:eastAsia="Book Antiqua" w:cs="Book Antiqua"/>
          <w:color w:val="000000"/>
          <w:vertAlign w:val="superscript"/>
        </w:rPr>
        <w:t>[9]</w:t>
      </w:r>
      <w:r>
        <w:rPr>
          <w:rFonts w:ascii="Book Antiqua" w:hAnsi="Book Antiqua" w:eastAsia="Book Antiqua" w:cs="Book Antiqua"/>
          <w:color w:val="000000"/>
        </w:rPr>
        <w:t>, Japanese original medication and procedure codes, and Barthel index (BI)</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From the database, we identified patients who had undergone palliative surgery or SEMS placement for gastrointestinal obstruction, including esophageal bypass surgery, gastrojejunostomy, duodenojejunostomy, intestinal bypass surgery, stoma surgery, esophageal stenting, gastroduodenal stenting, or colonic stenting, who did not undergo gastrointestinal tract resection thereafter. We excluded patients without malignant disease, those with a history of gastrointestinal perforation or fistula, and patients with multifocal gastrointestinal obstructions. The codes used for patient selection are listed in Supplementary Table 1.</w:t>
      </w:r>
    </w:p>
    <w:p>
      <w:pPr>
        <w:spacing w:line="360" w:lineRule="auto"/>
        <w:ind w:firstLine="240"/>
        <w:jc w:val="both"/>
        <w:rPr>
          <w:rFonts w:ascii="Book Antiqua" w:hAnsi="Book Antiqua"/>
          <w:lang w:eastAsia="zh-CN"/>
        </w:rPr>
      </w:pPr>
      <w:r>
        <w:rPr>
          <w:rFonts w:ascii="Book Antiqua" w:hAnsi="Book Antiqua" w:eastAsia="Book Antiqua" w:cs="Book Antiqua"/>
          <w:color w:val="000000"/>
        </w:rPr>
        <w:t>We selected the chemotherapy group (patients who received any chemotherapy drugs after the intervention) with the BSC group (patients who did not receive chemotherapy drugs after the intervention) (Figure 1). The follow-up period was from the date of the intervention to death or the final visit. The end of follow-up was March 2019, and loss to follow-up was defined as the date of the final visit. The study was approved by the Institutional Review Board of the University of Tokyo Hospital (No. 2019161NI).</w:t>
      </w:r>
    </w:p>
    <w:p>
      <w:pPr>
        <w:spacing w:line="360" w:lineRule="auto"/>
        <w:jc w:val="both"/>
        <w:rPr>
          <w:rFonts w:ascii="Book Antiqua" w:hAnsi="Book Antiqua"/>
        </w:rPr>
      </w:pPr>
    </w:p>
    <w:p>
      <w:pPr>
        <w:spacing w:line="360" w:lineRule="auto"/>
        <w:ind w:hanging="2"/>
        <w:jc w:val="both"/>
        <w:rPr>
          <w:rFonts w:ascii="Book Antiqua" w:hAnsi="Book Antiqua"/>
          <w:b/>
          <w:bCs/>
        </w:rPr>
      </w:pPr>
      <w:r>
        <w:rPr>
          <w:rFonts w:ascii="Book Antiqua" w:hAnsi="Book Antiqua" w:eastAsia="Book Antiqua" w:cs="Book Antiqua"/>
          <w:b/>
          <w:bCs/>
          <w:i/>
          <w:iCs/>
          <w:color w:val="000000"/>
        </w:rPr>
        <w:t>Outcomes and variables</w:t>
      </w:r>
    </w:p>
    <w:p>
      <w:pPr>
        <w:spacing w:line="360" w:lineRule="auto"/>
        <w:jc w:val="both"/>
        <w:rPr>
          <w:rFonts w:ascii="Book Antiqua" w:hAnsi="Book Antiqua"/>
        </w:rPr>
      </w:pPr>
      <w:r>
        <w:rPr>
          <w:rFonts w:ascii="Book Antiqua" w:hAnsi="Book Antiqua" w:eastAsia="Book Antiqua" w:cs="Book Antiqua"/>
          <w:color w:val="000000"/>
        </w:rPr>
        <w:t>The primary outcome was overall survival. The secondary outcomes were patency duration and adverse events, including perforation and gastrointestinal bleeding. Patency duration was defined as the time between the first food intake after the intervention and reintervention, stopping food intake, or death. Perforation was defined as surgery for suture, drainage, or intra-abdominal lavage. Gastrointestinal bleeding was defined as any gastrointestinal bleeding requiring endoscopic hemostasis. The procedure codes for outcomes are listed in Supplementary Table 2.</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We evaluated the following clinical factors: Age, sex, comorbidities, BI, medication use, cancer type, cancer stage, obstruction site, chemotherapy before the intervention, and intervention type. Age was categorized into &lt; 75 years and ≥ 75 years. Comorbidities were evaluated by the </w:t>
      </w:r>
      <w:bookmarkStart w:id="44" w:name="OLE_LINK3801"/>
      <w:bookmarkStart w:id="45" w:name="OLE_LINK3800"/>
      <w:r>
        <w:rPr>
          <w:rFonts w:ascii="Book Antiqua" w:hAnsi="Book Antiqua" w:eastAsia="Book Antiqua" w:cs="Book Antiqua"/>
          <w:color w:val="000000"/>
        </w:rPr>
        <w:t>Charlson comorbidity index</w:t>
      </w:r>
      <w:bookmarkEnd w:id="44"/>
      <w:bookmarkEnd w:id="45"/>
      <w:r>
        <w:rPr>
          <w:rFonts w:ascii="Book Antiqua" w:hAnsi="Book Antiqua" w:eastAsia="Book Antiqua" w:cs="Book Antiqua"/>
          <w:color w:val="000000"/>
        </w:rPr>
        <w:t xml:space="preserve"> (CCI)</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and categorized as &lt; 3 and ≥ 3. BI was categorized as ≥ 60, &lt; 60, and missing. We evaluated the use of aspirin, thienopyridine, warfarin, direct oral anticoagulants (including dabigatran, rivaroxaban, apixaban, and edoxaban), other antiplatelet drugs (including dilazep hydrochloride hydrate, dipyridamole, trapidil, cilostazol, limaprost alfadex, ethyl icosapentate, beraprost sodium, sarpogrelate hydrochloride, and ozagrel sodium), nonsteroidal anti-inflammatory drugs, and steroids. The cancer type was categorized into esophageal cancer, gastric cancer, pancreatic cancer, colorectal cancer, and other cancers. The cancer stage was categorized into stage I–III, stage IV or recurrence, and missing. The obstruction site was categorized as esophageal obstruction, gastroduodenal obstruction, or lower gastrointestinal obstruction. The intervention type was categorized as palliative surgery or SEMS placement. The International Classification of Diseases, 10th revision codes of primary cancers and comorbidities are listed in Supplementary Table 3, and the medication codes are shown in Supplementary Table 4.</w:t>
      </w:r>
    </w:p>
    <w:p>
      <w:pPr>
        <w:spacing w:line="360" w:lineRule="auto"/>
        <w:jc w:val="both"/>
        <w:rPr>
          <w:rFonts w:ascii="Book Antiqua" w:hAnsi="Book Antiqua"/>
        </w:rPr>
      </w:pPr>
    </w:p>
    <w:p>
      <w:pPr>
        <w:spacing w:line="360" w:lineRule="auto"/>
        <w:ind w:hanging="2"/>
        <w:jc w:val="both"/>
        <w:rPr>
          <w:rFonts w:ascii="Book Antiqua" w:hAnsi="Book Antiqua"/>
          <w:b/>
          <w:bCs/>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Overall survival and patency durations were estimated by the Kaplan–Meier method and were compared by log-rank test. Data were censored at the date of the final visit. Univariate Cox proportional hazards models were used to estimate crude </w:t>
      </w:r>
      <w:bookmarkStart w:id="46" w:name="OLE_LINK3889"/>
      <w:bookmarkStart w:id="47" w:name="OLE_LINK3888"/>
      <w:r>
        <w:rPr>
          <w:rFonts w:ascii="Book Antiqua" w:hAnsi="Book Antiqua" w:eastAsia="Book Antiqua" w:cs="Book Antiqua"/>
          <w:color w:val="000000"/>
        </w:rPr>
        <w:t>hazard ratios and 95% confidence intervals (CIs)</w:t>
      </w:r>
      <w:bookmarkEnd w:id="46"/>
      <w:bookmarkEnd w:id="47"/>
      <w:r>
        <w:rPr>
          <w:rFonts w:ascii="Book Antiqua" w:hAnsi="Book Antiqua" w:eastAsia="Book Antiqua" w:cs="Book Antiqua"/>
          <w:color w:val="000000"/>
        </w:rPr>
        <w:t>. The multivariate Cox proportional hazards models were used to estimate adjusted hazard ratios (aHRs) using age, sex, cancer type, cancer stage, CCI, BI, and intervention type.</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Categorical data were compared by the chi-squared test or Fisher’s exact test and continuous data by the Wilcoxon rank-sum test. A </w:t>
      </w:r>
      <w:r>
        <w:rPr>
          <w:rFonts w:ascii="Book Antiqua" w:hAnsi="Book Antiqua" w:eastAsia="Book Antiqua" w:cs="Book Antiqua"/>
          <w:i/>
          <w:iCs/>
          <w:color w:val="000000"/>
        </w:rPr>
        <w:t>P-</w:t>
      </w:r>
      <w:r>
        <w:rPr>
          <w:rFonts w:ascii="Book Antiqua" w:hAnsi="Book Antiqua" w:eastAsia="Book Antiqua" w:cs="Book Antiqua"/>
          <w:color w:val="000000"/>
        </w:rPr>
        <w:t>value &lt; 0.05 was considered indicative of statistical significance. Statistical analysis was performed using SAS software v. 9.4 (SAS Institute, Cary, NC, U</w:t>
      </w:r>
      <w:r>
        <w:rPr>
          <w:rFonts w:ascii="Book Antiqua" w:hAnsi="Book Antiqua" w:eastAsia="Book Antiqua" w:cs="Book Antiqua"/>
          <w:color w:val="000000"/>
          <w:lang w:eastAsia="zh-CN"/>
        </w:rPr>
        <w:t>nited States</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ind w:hanging="2"/>
        <w:jc w:val="both"/>
        <w:rPr>
          <w:rFonts w:ascii="Book Antiqua" w:hAnsi="Book Antiqua"/>
          <w:b/>
          <w:bCs/>
        </w:rPr>
      </w:pPr>
      <w:r>
        <w:rPr>
          <w:rFonts w:ascii="Book Antiqua" w:hAnsi="Book Antiqua" w:eastAsia="Book Antiqua" w:cs="Book Antiqua"/>
          <w:b/>
          <w:bCs/>
          <w:i/>
          <w:iCs/>
          <w:color w:val="000000"/>
        </w:rPr>
        <w:t>Patient characteristics</w:t>
      </w:r>
    </w:p>
    <w:p>
      <w:pPr>
        <w:spacing w:line="360" w:lineRule="auto"/>
        <w:jc w:val="both"/>
        <w:rPr>
          <w:rFonts w:ascii="Book Antiqua" w:hAnsi="Book Antiqua"/>
        </w:rPr>
      </w:pPr>
      <w:r>
        <w:rPr>
          <w:rFonts w:ascii="Book Antiqua" w:hAnsi="Book Antiqua" w:eastAsia="Book Antiqua" w:cs="Book Antiqua"/>
          <w:color w:val="000000"/>
        </w:rPr>
        <w:t>Fourteen hundred forty patients who had undergone palliative surgery or SEMS placement for unresectable gastrointestinal obstruction were extracted from the DPC database. After excluding patients without malignant disease (</w:t>
      </w:r>
      <w:r>
        <w:rPr>
          <w:rFonts w:ascii="Book Antiqua" w:hAnsi="Book Antiqua" w:eastAsia="Book Antiqua" w:cs="Book Antiqua"/>
          <w:i/>
          <w:iCs/>
          <w:color w:val="000000"/>
        </w:rPr>
        <w:t>n</w:t>
      </w:r>
      <w:r>
        <w:rPr>
          <w:rFonts w:ascii="Book Antiqua" w:hAnsi="Book Antiqua" w:eastAsia="Book Antiqua" w:cs="Book Antiqua"/>
          <w:color w:val="000000"/>
        </w:rPr>
        <w:t xml:space="preserve"> = 234), those with a history of gastrointestinal perforation or fistula (</w:t>
      </w:r>
      <w:r>
        <w:rPr>
          <w:rFonts w:ascii="Book Antiqua" w:hAnsi="Book Antiqua" w:eastAsia="Book Antiqua" w:cs="Book Antiqua"/>
          <w:i/>
          <w:iCs/>
          <w:color w:val="000000"/>
        </w:rPr>
        <w:t>n</w:t>
      </w:r>
      <w:r>
        <w:rPr>
          <w:rFonts w:ascii="Book Antiqua" w:hAnsi="Book Antiqua" w:eastAsia="Book Antiqua" w:cs="Book Antiqua"/>
          <w:color w:val="000000"/>
        </w:rPr>
        <w:t xml:space="preserve"> = 74), and patients with multifocal gastrointestinal obstructions (</w:t>
      </w:r>
      <w:r>
        <w:rPr>
          <w:rFonts w:ascii="Book Antiqua" w:hAnsi="Book Antiqua" w:eastAsia="Book Antiqua" w:cs="Book Antiqua"/>
          <w:i/>
          <w:iCs/>
          <w:color w:val="000000"/>
        </w:rPr>
        <w:t>n</w:t>
      </w:r>
      <w:r>
        <w:rPr>
          <w:rFonts w:ascii="Book Antiqua" w:hAnsi="Book Antiqua" w:eastAsia="Book Antiqua" w:cs="Book Antiqua"/>
          <w:color w:val="000000"/>
        </w:rPr>
        <w:t xml:space="preserve"> = 10), the remaining 1122 patients were analyzed. In total, 470 patients who received chemotherapy drugs after the intervention (chemotherapy group) and 652 patients who did not receive chemotherapy drugs after the intervention (BSC group) were analyzed (Figure 2). The patients’ baseline characteristics are listed in Table 1. The age, CCI, BI, medication, cancer type, and cancer stage distributions were significantly different between the groups. The chemotherapy group had higher rates of &lt; 75 aged patients, CCI ≥ 3, BI ≥ 60, and stage IV or recurrence.</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color w:val="000000"/>
        </w:rPr>
        <w:t>Overall survival and patency duration</w:t>
      </w:r>
    </w:p>
    <w:p>
      <w:pPr>
        <w:spacing w:line="360" w:lineRule="auto"/>
        <w:jc w:val="both"/>
        <w:rPr>
          <w:rFonts w:ascii="Book Antiqua" w:hAnsi="Book Antiqua"/>
        </w:rPr>
      </w:pPr>
      <w:r>
        <w:rPr>
          <w:rFonts w:ascii="Book Antiqua" w:hAnsi="Book Antiqua" w:eastAsia="Book Antiqua" w:cs="Book Antiqua"/>
          <w:color w:val="000000"/>
        </w:rPr>
        <w:t xml:space="preserve">During the follow-up period of 54.1 mo, the median overall survival durations were 19.3 mo (95%CI: 16.2-25.9 mo) in the chemotherapy group and 5.4 mo (95%CI: 3.6-7.6 mo) in the BSC group (log-rank test,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Figure 2). The median patency durations were 9.7 mo (95%CI: 7.7-11.5 mo) in the chemotherapy group and 2.5 mo (95%CI: 2.0-2.9 mo) in the BSC group (log-rank test,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Figure 3).</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i/>
          <w:iCs/>
          <w:color w:val="000000"/>
        </w:rPr>
        <w:t>Factors affecting overall survival and patency duration</w:t>
      </w:r>
    </w:p>
    <w:p>
      <w:pPr>
        <w:spacing w:line="360" w:lineRule="auto"/>
        <w:jc w:val="both"/>
        <w:rPr>
          <w:rFonts w:ascii="Book Antiqua" w:hAnsi="Book Antiqua"/>
        </w:rPr>
      </w:pPr>
      <w:r>
        <w:rPr>
          <w:rFonts w:ascii="Book Antiqua" w:hAnsi="Book Antiqua" w:eastAsia="Book Antiqua" w:cs="Book Antiqua"/>
          <w:color w:val="000000"/>
        </w:rPr>
        <w:t>The factors affecting overall survival are shown in Table 2. Multivariate analysis showed that the factors affecting overall survival were chemotherapy after the intervention (aHR, 0.36), CCI ≥ 3 (aHR, 1.56), BI &lt; 60 (aHR, 2.04), gastric cancer compared with esophageal cancer (aHR, 0.64), colorectal cancer compared with esophageal cancer (aHR, 0.47), stage IV or recurrence compared with stage I–III (aHR, 1.79), chemotherapy before the intervention (aHR, 1.66), and SEMS placement compared with palliative surgery (aHR, 1.63).</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factors affecting patency are shown in Table 3. Multivariate analysis showed that the factors affecting patency duration were chemotherapy after the intervention (aHR, 0.49), CCI ≥ 3 (aHR, 1.41), BI &lt; 60 (aHR, 1.55), colorectal cancer </w:t>
      </w:r>
      <w:r>
        <w:rPr>
          <w:rFonts w:ascii="Book Antiqua" w:hAnsi="Book Antiqua" w:eastAsia="Book Antiqua" w:cs="Book Antiqua"/>
          <w:i/>
          <w:iCs/>
          <w:color w:val="000000"/>
        </w:rPr>
        <w:t>vs</w:t>
      </w:r>
      <w:r>
        <w:rPr>
          <w:rFonts w:ascii="Book Antiqua" w:hAnsi="Book Antiqua" w:eastAsia="Book Antiqua" w:cs="Book Antiqua"/>
          <w:color w:val="000000"/>
        </w:rPr>
        <w:t xml:space="preserve"> esophageal cancer (aHR, 0.67), stage IV or recurrence compared with stage I–III (aHR, 1.65), chemotherapy before the intervention (aHR, 1.64), and SEMS placement compared with palliative surgery (aHR, 2.48).</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results of a subgroup analysis of adjusted HRs for overall survival and patency duration were consistent with those of the overall analysis (Table 4).</w:t>
      </w:r>
    </w:p>
    <w:p>
      <w:pPr>
        <w:spacing w:line="360" w:lineRule="auto"/>
        <w:jc w:val="both"/>
        <w:rPr>
          <w:rFonts w:ascii="Book Antiqua" w:hAnsi="Book Antiqua"/>
        </w:rPr>
      </w:pPr>
    </w:p>
    <w:p>
      <w:pPr>
        <w:spacing w:line="360" w:lineRule="auto"/>
        <w:ind w:hanging="2"/>
        <w:jc w:val="both"/>
        <w:rPr>
          <w:rFonts w:ascii="Book Antiqua" w:hAnsi="Book Antiqua"/>
          <w:b/>
          <w:bCs/>
        </w:rPr>
      </w:pPr>
      <w:r>
        <w:rPr>
          <w:rFonts w:ascii="Book Antiqua" w:hAnsi="Book Antiqua" w:eastAsia="Book Antiqua" w:cs="Book Antiqua"/>
          <w:b/>
          <w:bCs/>
          <w:i/>
          <w:iCs/>
          <w:color w:val="000000"/>
        </w:rPr>
        <w:t>Adverse events</w:t>
      </w:r>
    </w:p>
    <w:p>
      <w:pPr>
        <w:spacing w:line="360" w:lineRule="auto"/>
        <w:jc w:val="both"/>
        <w:rPr>
          <w:rFonts w:ascii="Book Antiqua" w:hAnsi="Book Antiqua"/>
        </w:rPr>
      </w:pPr>
      <w:r>
        <w:rPr>
          <w:rFonts w:ascii="Book Antiqua" w:hAnsi="Book Antiqua" w:eastAsia="Book Antiqua" w:cs="Book Antiqua"/>
          <w:color w:val="000000"/>
        </w:rPr>
        <w:t>The rates of adverse events are listed in Table 5. The perforation rate was 1.3% (6/470) in the chemotherapy group (3 gastric cancers, one colorectal cancer, 1 breast cancer, and 1 unclassifiable cancer) and 0.9% (6/652) in the BSC group (3 colorectal cancers, 2 gastric cancers, and 1 esophageal cancer) (</w:t>
      </w:r>
      <w:r>
        <w:rPr>
          <w:rFonts w:ascii="Book Antiqua" w:hAnsi="Book Antiqua" w:eastAsia="Book Antiqua" w:cs="Book Antiqua"/>
          <w:i/>
          <w:iCs/>
          <w:color w:val="000000"/>
        </w:rPr>
        <w:t>P</w:t>
      </w:r>
      <w:r>
        <w:rPr>
          <w:rFonts w:ascii="Book Antiqua" w:hAnsi="Book Antiqua" w:eastAsia="Book Antiqua" w:cs="Book Antiqua"/>
          <w:color w:val="000000"/>
        </w:rPr>
        <w:t xml:space="preserve"> = 0.567). In 4 of the 6 perforation cases in the chemotherapy group, perforation occurred a mean of 137 d after chemotherapy initiation.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gastrointestinal bleeding rate was 1.5% (7/470) in the chemotherapy group (4 gastric cancers, 1 esophageal cancer, 1 pancreatic cancer, and o1colorectal cancer) and 0.5% (3/652) in the BSC group (1 esophageal cancer and 2 pancreatic cancers) (</w:t>
      </w:r>
      <w:r>
        <w:rPr>
          <w:rFonts w:ascii="Book Antiqua" w:hAnsi="Book Antiqua" w:eastAsia="Book Antiqua" w:cs="Book Antiqua"/>
          <w:i/>
          <w:iCs/>
          <w:color w:val="000000"/>
        </w:rPr>
        <w:t>P</w:t>
      </w:r>
      <w:r>
        <w:rPr>
          <w:rFonts w:ascii="Book Antiqua" w:hAnsi="Book Antiqua" w:eastAsia="Book Antiqua" w:cs="Book Antiqua"/>
          <w:color w:val="000000"/>
        </w:rPr>
        <w:t xml:space="preserve"> = 0.105). In 4 of 7 bleeding cases in the chemotherapy group, gastrointestinal bleeding occurred a mean of 294 d after chemotherapy initiation.</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Chemotherapy after palliative surgery or SEMS placement for unresectable malignant gastrointestinal obstruction was associated with improved overall survival and patency duration and not associated with increased perforation or gastrointestinal bleeding compared with BSC. In addition, its effectiveness for overall survival and patency duration was consistent among cancer types and obstruction sites.</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The chemotherapy group showed longer overall survival and patency durations. We suggest three reasons for these findings. First, chemotherapy drugs may prolong overall survival and patency duration even in patients with malignant gastrointestinal obstruction. We performed a multivariate analysis to reduce the influence of confounders; chemotherapy after the intervention was an independent factor for overall survival and patency duration. Previous studies reported similar results. </w:t>
      </w:r>
      <w:bookmarkStart w:id="48" w:name="OLE_LINK3803"/>
      <w:bookmarkStart w:id="49" w:name="OLE_LINK3802"/>
      <w:r>
        <w:rPr>
          <w:rFonts w:ascii="Book Antiqua" w:hAnsi="Book Antiqua" w:eastAsia="Book Antiqua" w:cs="Book Antiqua"/>
          <w:color w:val="000000"/>
        </w:rPr>
        <w:t>Nomoto</w:t>
      </w:r>
      <w:bookmarkEnd w:id="48"/>
      <w:bookmarkEnd w:id="49"/>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reported that chemotherapy after bypass surgery for esophageal cancer improved the prognosis. Cho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showed that chemotherapy after SEMS placement for gastric cancer was a significant prognostic factor for patency duration. Ahn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reported that chemotherapy after palliative surgery or SEMS placement for colorectal cancer significantly improved survival. Second, bias in terms of patient characteristics may have influenced the results. The chemotherapy group included younger patients, those of higher BI, and more nonsteroidal anti-inflammatory drugs users. This suggests that the chemotherapy group may have previously been treated for other diseases. In turn, this may have increased palliative surgery performance and improved the patency and survival durations. Third, chemotherapy was not associated with increased perforation, which is a fatal complication. The risk of gastrointestinal perforation after SEMS placement is a matter of great concern, particularly when chemotherapy is combined with SEMS. The 2019 clinical guidelines of the Japanese Society for Cancer of the Colon and Rectum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does not recommend SEMS placement for patients with colonic obstruction who are indicated for systemic chemotherapy. However, available data on the safety of chemotherapy after palliative surgery or SEMS placement are limited. In this study, the rate of perforation was &lt; 2% in the chemotherapy and BSC groups; however, the definition of perforation was major perforation that required surgery.</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We performed a subgroup analysis to identify the optimal population for chemotherapy because this study included heterogenous patients with various cancers and obstruction sites, which could influence the effectiveness of chemotherapy. The effectiveness of chemotherapy after the intervention for overall survival and patency duration was consistent among the cancer types and obstruction sites. Especially in cases of pancreatic cancer and gastroduodenal obstruction, chemotherapy might be more beneficial. The effectiveness of chemotherapy after the intervention was similar among the cancer types and obstruction sites. Especially in cases of pancreatic cancer and gastroduodenal obstruction, chemotherapy may be more beneficial. These findings will help guide future research on treatment approaches and precision medicine. Currently, overall survival and recurrence risk are predicted based on limited data such as pathological findings. However, recent biological research has suggested potential biomarkers, including circulating tumor DNA and micro-RNA, as well as microbiome profiling, to predict overall survival and recurrence. In the near future, these precision medicine methods are expected to contribute to cancer therapies including molecular targeted anti-cancer drugs, monoclonal antibody therapy, and antibiotic therapies.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To our knowledge, this is the first study of the effectiveness and safety of chemotherapy after palliative surgery or SEMS placement for various types of unresectable malignant gastrointestinal obstruction. In addition, our finding showed that chemotherapy was associated with prolongs gastrointestinal patency. However, this study has several limitations. First, it was a retrospective study. Although we used multivariate Cox proportional hazard models to reduce the effects of confounding factors, some bias may remain because the decision to undergo chemotherapy depends on so many factors including unmeasured confounders. It is difficult to evaluate the effect of chemotherapy more accurately in our setting. Second, our study included patients with different types of cancer, and there were different numbers of patients among the cancer groups. Third, the DPC database lacked information on potential prognostic factors such as radiotherapy history and pathological findings.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chemotherapy after palliative surgery or SEMS placement for unresectable malignant gastrointestinal obstruction was associated with increased overall survival and patency duration independent of the cancer type and obstruction site, and it was not associated with an increased rate of gastrointestinal perforation.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Malignant gastrointestinal obstruction is an important issue in advanced cancer and occurs in approximately 30% of patients with gastrointestinal cancer. Gastrointestinal obstruction causes oral intake impairment, nausea, vomiting, and abdominal pain and increases the risk of gastrointestinal perforation. Primary therapy involves fasting and decompression, and subsequently complete surgical resection is performed for resectable malignant gastrointestinal obstruction; palliative surgery includes bypass and stoma surgery or self-expandable metal stent (SEMS) placement.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impacts of chemotherapy on patients with malignant gastrointestinal obstructions remain unclear, and multicenter evidence is lacking.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 xml:space="preserve">We performed a large multicenter cohort study to evaluate the effectiveness and safety of chemotherapy after palliative surgery or SEMS placement compared with </w:t>
      </w:r>
      <w:bookmarkStart w:id="50" w:name="OLE_LINK3819"/>
      <w:bookmarkStart w:id="51" w:name="OLE_LINK3818"/>
      <w:r>
        <w:rPr>
          <w:rFonts w:ascii="Book Antiqua" w:hAnsi="Book Antiqua" w:eastAsia="Book Antiqua" w:cs="Book Antiqua"/>
          <w:color w:val="000000"/>
        </w:rPr>
        <w:t>best supportive care</w:t>
      </w:r>
      <w:bookmarkEnd w:id="50"/>
      <w:bookmarkEnd w:id="51"/>
      <w:r>
        <w:rPr>
          <w:rFonts w:ascii="Book Antiqua" w:hAnsi="Book Antiqua" w:eastAsia="Book Antiqua" w:cs="Book Antiqua"/>
          <w:color w:val="000000"/>
        </w:rPr>
        <w:t xml:space="preserve"> (BSC) in patients with unresectable malignant gastrointestinal obstructions. In addition, we aimed to identify the optimal population for chemotherapy after palliative surgery or SEMS placement.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We conducted a multicenter retrospective cohort study that compared the chemotherapy group who received any chemotherapeutics after interventions, including palliative surgery or self-expandable metal stent placement, for </w:t>
      </w:r>
      <w:r>
        <w:rPr>
          <w:rFonts w:ascii="Book Antiqua" w:hAnsi="Book Antiqua" w:eastAsia="Book Antiqua" w:cs="Book Antiqua"/>
          <w:color w:val="000000"/>
          <w:shd w:val="clear" w:color="auto" w:fill="FFFFFF"/>
        </w:rPr>
        <w:t>unresectable malignant gastrointestinal obstruction</w:t>
      </w:r>
      <w:r>
        <w:rPr>
          <w:rFonts w:ascii="Book Antiqua" w:hAnsi="Book Antiqua" w:eastAsia="Book Antiqua" w:cs="Book Antiqua"/>
          <w:color w:val="000000"/>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BSC group between 2014 and 2019 in nine hospitals. The primary outcome was overall survival, and the secondary outcomes were patency duration and adverse events, including gastrointestinal perforation and gastrointestinal bleeding.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In total, 470 patients in the chemotherapy group and 652 patients in the BSC group were analyzed. During the follow-up period of 54.1 mo, the median overall survival durations were 19.3 mo in the chemotherapy group and 5.4 mo in the BSC group (log-rank test,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The median patency durations were 9.7 mo [95% confidence interval (CI): 7.7-11.5 mo] in the chemotherapy group and 2.5 mo (95%CI: 2.0-2.9 mo) in the BSC group (log-rank test,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The perforation rate was 1.3% (6/470) in the chemotherapy group and 0.9% (6/652) in the BSC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0.567). The gastrointestinal bleeding rate was 1.5% (7/470) in the chemotherapy group and 0.5% (3/652) in the BSC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0.105).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Chemotherapy after interventions for unresectable malignant gastrointestinal obstruction was associated with increased overall survival and patency duration.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Our results showed that chemotherapy may be more beneficial in cases of pancreatic cancer and gastroduodenal obstruction. These findings will help guide future research on treatment approaches and precision medicine. In the near future, these precision medicine methods are expected to contribute to cancer therapies including molecular targeted anti-cancer drugs, monoclonal antibody therapy, and antibiotic therapies.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52" w:name="OLE_LINK3850"/>
      <w:bookmarkStart w:id="53" w:name="OLE_LINK3851"/>
      <w:bookmarkStart w:id="54" w:name="OLE_LINK3854"/>
      <w:r>
        <w:rPr>
          <w:rFonts w:ascii="Book Antiqua" w:hAnsi="Book Antiqua" w:eastAsia="Book Antiqua" w:cs="Book Antiqua"/>
          <w:color w:val="000000"/>
        </w:rPr>
        <w:t xml:space="preserve">1 </w:t>
      </w:r>
      <w:r>
        <w:rPr>
          <w:rFonts w:ascii="Book Antiqua" w:hAnsi="Book Antiqua" w:eastAsia="Book Antiqua" w:cs="Book Antiqua"/>
          <w:b/>
          <w:bCs/>
          <w:color w:val="000000"/>
        </w:rPr>
        <w:t>Cousins SE</w:t>
      </w:r>
      <w:r>
        <w:rPr>
          <w:rFonts w:ascii="Book Antiqua" w:hAnsi="Book Antiqua" w:eastAsia="Book Antiqua" w:cs="Book Antiqua"/>
          <w:color w:val="000000"/>
        </w:rPr>
        <w:t xml:space="preserve">, Tempest E, Feuer DJ. </w:t>
      </w:r>
      <w:bookmarkStart w:id="55" w:name="OLE_LINK3853"/>
      <w:bookmarkStart w:id="56" w:name="OLE_LINK3852"/>
      <w:r>
        <w:rPr>
          <w:rFonts w:ascii="Book Antiqua" w:hAnsi="Book Antiqua" w:eastAsia="Book Antiqua" w:cs="Book Antiqua"/>
          <w:color w:val="000000"/>
        </w:rPr>
        <w:t>Surgery for the resolution of symptoms in malignant bowel obstruction in advanced gynaecological and gastrointestinal cancer</w:t>
      </w:r>
      <w:bookmarkEnd w:id="55"/>
      <w:bookmarkEnd w:id="56"/>
      <w:r>
        <w:rPr>
          <w:rFonts w:ascii="Book Antiqua" w:hAnsi="Book Antiqua" w:eastAsia="Book Antiqua" w:cs="Book Antiqua"/>
          <w:color w:val="000000"/>
        </w:rPr>
        <w:t xml:space="preserve">.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2016: CD002764 [PMID: 26727399 DOI: 10.1002/14651858.CD002764.pub2]</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Hashiguchi Y</w:t>
      </w:r>
      <w:r>
        <w:rPr>
          <w:rFonts w:ascii="Book Antiqua" w:hAnsi="Book Antiqua" w:eastAsia="Book Antiqua" w:cs="Book Antiqua"/>
          <w:color w:val="000000"/>
        </w:rPr>
        <w:t xml:space="preserve">, Muro K, Saito Y, Ito Y, Ajioka Y, Hamaguchi T, Hasegawa K, Hotta K, Ishida H, Ishiguro M, Ishihara S, Kanemitsu Y, Kinugasa Y, Murofushi K, Nakajima TE, Oka S, Tanaka T, Taniguchi H, Tsuji A, Uehara K, Ueno H, Yamanaka T, Yamazaki K, Yoshida M, Yoshino T, Itabashi M, Sakamaki K, Sano K, Shimada Y, Tanaka S, Uetake H, Yamaguchi S, Yamaguchi N, Kobayashi H, Matsuda K, Kotake K, Sugihara K; Japanese Society for Cancer of the Colon and Rectum. Japanese Society for Cancer of the Colon and Rectum (JSCCR) guidelines 2019 for the treatment of colorectal cancer. </w:t>
      </w:r>
      <w:r>
        <w:rPr>
          <w:rFonts w:ascii="Book Antiqua" w:hAnsi="Book Antiqua" w:eastAsia="Book Antiqua" w:cs="Book Antiqua"/>
          <w:i/>
          <w:iCs/>
          <w:color w:val="000000"/>
        </w:rPr>
        <w:t>Int J Clin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25</w:t>
      </w:r>
      <w:r>
        <w:rPr>
          <w:rFonts w:ascii="Book Antiqua" w:hAnsi="Book Antiqua" w:eastAsia="Book Antiqua" w:cs="Book Antiqua"/>
          <w:color w:val="000000"/>
        </w:rPr>
        <w:t>: 1-42 [PMID: 31203527 DOI: 10.1007/s10147-019-01485-z]</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van Hooft JE</w:t>
      </w:r>
      <w:r>
        <w:rPr>
          <w:rFonts w:ascii="Book Antiqua" w:hAnsi="Book Antiqua" w:eastAsia="Book Antiqua" w:cs="Book Antiqua"/>
          <w:color w:val="000000"/>
        </w:rPr>
        <w:t xml:space="preserve">, Veld JV, Arnold D, Beets-Tan RGH, Everett S, Götz M, van Halsema EE, Hill J, Manes G, Meisner S, Rodrigues-Pinto E, Sabbagh C, Vandervoort J, Tanis PJ, Vanbiervliet G, Arezzo A. Self-expandable metal stents for obstructing colonic and extracolonic cancer: European Society of Gastrointestinal Endoscopy (ESGE) Guideline - Update 2020.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389-407 [PMID: 32259849 DOI: 10.1055/a-1140-3017]</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Cho YK</w:t>
      </w:r>
      <w:r>
        <w:rPr>
          <w:rFonts w:ascii="Book Antiqua" w:hAnsi="Book Antiqua" w:eastAsia="Book Antiqua" w:cs="Book Antiqua"/>
          <w:color w:val="000000"/>
        </w:rPr>
        <w:t xml:space="preserve">, Kim SW, Hur WH, Nam KW, Chang JH, Park JM, Lee IS, Choi MG, Chung IS. Clinical outcomes of self-expandable metal stent and prognostic factors for stent patency in gastric outlet obstruction caused by gastric cancer.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2010; </w:t>
      </w:r>
      <w:r>
        <w:rPr>
          <w:rFonts w:ascii="Book Antiqua" w:hAnsi="Book Antiqua" w:eastAsia="Book Antiqua" w:cs="Book Antiqua"/>
          <w:b/>
          <w:bCs/>
          <w:color w:val="000000"/>
        </w:rPr>
        <w:t>55</w:t>
      </w:r>
      <w:r>
        <w:rPr>
          <w:rFonts w:ascii="Book Antiqua" w:hAnsi="Book Antiqua" w:eastAsia="Book Antiqua" w:cs="Book Antiqua"/>
          <w:color w:val="000000"/>
        </w:rPr>
        <w:t>: 668-674 [PMID: 19333756 DOI: 10.1007/s10620-009-0787-3]</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Ahn HJ</w:t>
      </w:r>
      <w:r>
        <w:rPr>
          <w:rFonts w:ascii="Book Antiqua" w:hAnsi="Book Antiqua" w:eastAsia="Book Antiqua" w:cs="Book Antiqua"/>
          <w:color w:val="000000"/>
        </w:rPr>
        <w:t xml:space="preserve">, Kim SW, Lee SW, Lee SW, Lim CH, Kim JS, Cho YK, Park JM, Lee IS, Choi MG. Long-term outcomes of palliation for unresectable colorectal cancer obstruction in patients with good performance status: endoscopic stent </w:t>
      </w:r>
      <w:r>
        <w:rPr>
          <w:rFonts w:ascii="Book Antiqua" w:hAnsi="Book Antiqua" w:eastAsia="Book Antiqua" w:cs="Book Antiqua"/>
          <w:i/>
          <w:iCs/>
          <w:color w:val="000000"/>
        </w:rPr>
        <w:t>vs</w:t>
      </w:r>
      <w:r>
        <w:rPr>
          <w:rFonts w:ascii="Book Antiqua" w:hAnsi="Book Antiqua" w:eastAsia="Book Antiqua" w:cs="Book Antiqua"/>
          <w:color w:val="000000"/>
        </w:rPr>
        <w:t xml:space="preserve"> surgery.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2016; </w:t>
      </w:r>
      <w:r>
        <w:rPr>
          <w:rFonts w:ascii="Book Antiqua" w:hAnsi="Book Antiqua" w:eastAsia="Book Antiqua" w:cs="Book Antiqua"/>
          <w:b/>
          <w:bCs/>
          <w:color w:val="000000"/>
        </w:rPr>
        <w:t>30</w:t>
      </w:r>
      <w:r>
        <w:rPr>
          <w:rFonts w:ascii="Book Antiqua" w:hAnsi="Book Antiqua" w:eastAsia="Book Antiqua" w:cs="Book Antiqua"/>
          <w:color w:val="000000"/>
        </w:rPr>
        <w:t>: 4765-4775 [PMID: 26895922 DOI: 10.1007/s00464-016-4804-2]</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Nomoto D</w:t>
      </w:r>
      <w:r>
        <w:rPr>
          <w:rFonts w:ascii="Book Antiqua" w:hAnsi="Book Antiqua" w:eastAsia="Book Antiqua" w:cs="Book Antiqua"/>
          <w:color w:val="000000"/>
        </w:rPr>
        <w:t xml:space="preserve">, Baba Y, Akiyama T, Okadome K, Uchihara T, Harada K, Eto K, Hiyoshi Y, Nagai Y, Ishimoto T, Iwatsuki M, Iwagami S, Miyamoto Y, Yoshida N, Watanabe M, Baba H. Outcomes of esophageal bypass surgery and self-expanding metallic stent insertion in esophageal cancer: reevaluation of bypass surgery as an alternative treatment. </w:t>
      </w:r>
      <w:r>
        <w:rPr>
          <w:rFonts w:ascii="Book Antiqua" w:hAnsi="Book Antiqua" w:eastAsia="Book Antiqua" w:cs="Book Antiqua"/>
          <w:i/>
          <w:iCs/>
          <w:color w:val="000000"/>
        </w:rPr>
        <w:t>Langenbecks Arch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405</w:t>
      </w:r>
      <w:r>
        <w:rPr>
          <w:rFonts w:ascii="Book Antiqua" w:hAnsi="Book Antiqua" w:eastAsia="Book Antiqua" w:cs="Book Antiqua"/>
          <w:color w:val="000000"/>
        </w:rPr>
        <w:t>: 1111-1118 [PMID: 32860110 DOI: 10.1007/s00423-020-01969-x]</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Datye A</w:t>
      </w:r>
      <w:r>
        <w:rPr>
          <w:rFonts w:ascii="Book Antiqua" w:hAnsi="Book Antiqua" w:eastAsia="Book Antiqua" w:cs="Book Antiqua"/>
          <w:color w:val="000000"/>
        </w:rPr>
        <w:t xml:space="preserve">, Hersh J. Colonic perforation after stent placement for malignant colorectal obstruction--causes and contributing factors. </w:t>
      </w:r>
      <w:r>
        <w:rPr>
          <w:rFonts w:ascii="Book Antiqua" w:hAnsi="Book Antiqua" w:eastAsia="Book Antiqua" w:cs="Book Antiqua"/>
          <w:i/>
          <w:iCs/>
          <w:color w:val="000000"/>
        </w:rPr>
        <w:t>Minim Invasive Ther Allied Technol</w:t>
      </w:r>
      <w:r>
        <w:rPr>
          <w:rFonts w:ascii="Book Antiqua" w:hAnsi="Book Antiqua" w:eastAsia="Book Antiqua" w:cs="Book Antiqua"/>
          <w:color w:val="000000"/>
        </w:rPr>
        <w:t xml:space="preserve"> 2011; </w:t>
      </w:r>
      <w:r>
        <w:rPr>
          <w:rFonts w:ascii="Book Antiqua" w:hAnsi="Book Antiqua" w:eastAsia="Book Antiqua" w:cs="Book Antiqua"/>
          <w:b/>
          <w:bCs/>
          <w:color w:val="000000"/>
        </w:rPr>
        <w:t>20</w:t>
      </w:r>
      <w:r>
        <w:rPr>
          <w:rFonts w:ascii="Book Antiqua" w:hAnsi="Book Antiqua" w:eastAsia="Book Antiqua" w:cs="Book Antiqua"/>
          <w:color w:val="000000"/>
        </w:rPr>
        <w:t>: 133-140 [PMID: 20929424 DOI: 10.3109/13645706.2010.518787]</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Imbulgoda A</w:t>
      </w:r>
      <w:r>
        <w:rPr>
          <w:rFonts w:ascii="Book Antiqua" w:hAnsi="Book Antiqua" w:eastAsia="Book Antiqua" w:cs="Book Antiqua"/>
          <w:color w:val="000000"/>
        </w:rPr>
        <w:t xml:space="preserve">, MacLean A, Heine J, Drolet S, Vickers MM. Colonic perforation with intraluminal stents and bevacizumab in advanced colorectal cancer: retrospective case series and literature review. </w:t>
      </w:r>
      <w:r>
        <w:rPr>
          <w:rFonts w:ascii="Book Antiqua" w:hAnsi="Book Antiqua" w:eastAsia="Book Antiqua" w:cs="Book Antiqua"/>
          <w:i/>
          <w:iCs/>
          <w:color w:val="000000"/>
        </w:rPr>
        <w:t>Can J Surg</w:t>
      </w:r>
      <w:r>
        <w:rPr>
          <w:rFonts w:ascii="Book Antiqua" w:hAnsi="Book Antiqua" w:eastAsia="Book Antiqua" w:cs="Book Antiqua"/>
          <w:color w:val="000000"/>
        </w:rPr>
        <w:t xml:space="preserve"> 2015; </w:t>
      </w:r>
      <w:r>
        <w:rPr>
          <w:rFonts w:ascii="Book Antiqua" w:hAnsi="Book Antiqua" w:eastAsia="Book Antiqua" w:cs="Book Antiqua"/>
          <w:b/>
          <w:bCs/>
          <w:color w:val="000000"/>
        </w:rPr>
        <w:t>58</w:t>
      </w:r>
      <w:r>
        <w:rPr>
          <w:rFonts w:ascii="Book Antiqua" w:hAnsi="Book Antiqua" w:eastAsia="Book Antiqua" w:cs="Book Antiqua"/>
          <w:color w:val="000000"/>
        </w:rPr>
        <w:t>: 167-171 [PMID: 25799132 DOI: 10.1503/cjs.013014]</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Brierley JD</w:t>
      </w:r>
      <w:r>
        <w:rPr>
          <w:rFonts w:ascii="Book Antiqua" w:hAnsi="Book Antiqua" w:eastAsia="Book Antiqua" w:cs="Book Antiqua"/>
          <w:color w:val="000000"/>
        </w:rPr>
        <w:t>, Gospodarowicz MK, Wittekind C. TNM classification of malignant tumours. 8</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ed. Wiley-Blackwell, 2017</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Mahoney FI</w:t>
      </w:r>
      <w:r>
        <w:rPr>
          <w:rFonts w:ascii="Book Antiqua" w:hAnsi="Book Antiqua" w:eastAsia="Book Antiqua" w:cs="Book Antiqua"/>
          <w:color w:val="000000"/>
        </w:rPr>
        <w:t xml:space="preserve">, Barthel DW. Functional Evaluation: The Barthel Index. </w:t>
      </w:r>
      <w:r>
        <w:rPr>
          <w:rFonts w:ascii="Book Antiqua" w:hAnsi="Book Antiqua" w:eastAsia="Book Antiqua" w:cs="Book Antiqua"/>
          <w:i/>
          <w:iCs/>
          <w:color w:val="000000"/>
        </w:rPr>
        <w:t>Md State Med J</w:t>
      </w:r>
      <w:r>
        <w:rPr>
          <w:rFonts w:ascii="Book Antiqua" w:hAnsi="Book Antiqua" w:eastAsia="Book Antiqua" w:cs="Book Antiqua"/>
          <w:color w:val="000000"/>
        </w:rPr>
        <w:t xml:space="preserve"> 1965; </w:t>
      </w:r>
      <w:r>
        <w:rPr>
          <w:rFonts w:ascii="Book Antiqua" w:hAnsi="Book Antiqua" w:eastAsia="Book Antiqua" w:cs="Book Antiqua"/>
          <w:b/>
          <w:bCs/>
          <w:color w:val="000000"/>
        </w:rPr>
        <w:t>14</w:t>
      </w:r>
      <w:r>
        <w:rPr>
          <w:rFonts w:ascii="Book Antiqua" w:hAnsi="Book Antiqua" w:eastAsia="Book Antiqua" w:cs="Book Antiqua"/>
          <w:color w:val="000000"/>
        </w:rPr>
        <w:t>: 61-65 [PMID: 14258950]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Charlson ME</w:t>
      </w:r>
      <w:r>
        <w:rPr>
          <w:rFonts w:ascii="Book Antiqua" w:hAnsi="Book Antiqua" w:eastAsia="Book Antiqua" w:cs="Book Antiqua"/>
          <w:color w:val="000000"/>
        </w:rPr>
        <w:t xml:space="preserve">, Pompei P, Ales KL, MacKenzie CR. A new method of classifying prognostic comorbidity in longitudinal studies: development and validation. </w:t>
      </w:r>
      <w:r>
        <w:rPr>
          <w:rFonts w:ascii="Book Antiqua" w:hAnsi="Book Antiqua" w:eastAsia="Book Antiqua" w:cs="Book Antiqua"/>
          <w:i/>
          <w:iCs/>
          <w:color w:val="000000"/>
        </w:rPr>
        <w:t>J Chronic Dis</w:t>
      </w:r>
      <w:r>
        <w:rPr>
          <w:rFonts w:ascii="Book Antiqua" w:hAnsi="Book Antiqua" w:eastAsia="Book Antiqua" w:cs="Book Antiqua"/>
          <w:color w:val="000000"/>
        </w:rPr>
        <w:t xml:space="preserve"> 1987; </w:t>
      </w:r>
      <w:r>
        <w:rPr>
          <w:rFonts w:ascii="Book Antiqua" w:hAnsi="Book Antiqua" w:eastAsia="Book Antiqua" w:cs="Book Antiqua"/>
          <w:b/>
          <w:bCs/>
          <w:color w:val="000000"/>
        </w:rPr>
        <w:t>40</w:t>
      </w:r>
      <w:r>
        <w:rPr>
          <w:rFonts w:ascii="Book Antiqua" w:hAnsi="Book Antiqua" w:eastAsia="Book Antiqua" w:cs="Book Antiqua"/>
          <w:color w:val="000000"/>
        </w:rPr>
        <w:t>: 373-383 [PMID: 3558716 DOI: 10.1016/0021-9681(87)90171-8]</w:t>
      </w:r>
    </w:p>
    <w:p>
      <w:pPr>
        <w:spacing w:line="360" w:lineRule="auto"/>
        <w:jc w:val="both"/>
        <w:rPr>
          <w:rFonts w:ascii="Book Antiqua" w:hAnsi="Book Antiqua"/>
          <w:lang w:eastAsia="zh-CN"/>
        </w:rPr>
      </w:pPr>
    </w:p>
    <w:bookmarkEnd w:id="52"/>
    <w:bookmarkEnd w:id="53"/>
    <w:bookmarkEnd w:id="54"/>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Institutional review board statement: </w:t>
      </w:r>
      <w:bookmarkStart w:id="57" w:name="OLE_LINK3351"/>
      <w:bookmarkStart w:id="58" w:name="OLE_LINK3352"/>
      <w:r>
        <w:rPr>
          <w:rFonts w:ascii="Book Antiqua" w:hAnsi="Book Antiqua" w:eastAsia="Book Antiqua" w:cs="Book Antiqua"/>
          <w:color w:val="000000"/>
        </w:rPr>
        <w:t>This study was approved by the Institutional Review Board of the University of Tokyo Hospital (No. 2019161NI) and conducted ethically in accordance with the World Medical Association Declaration of Helsinki.</w:t>
      </w:r>
    </w:p>
    <w:bookmarkEnd w:id="57"/>
    <w:bookmarkEnd w:id="58"/>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b/>
        </w:rPr>
        <w:t>Informed consent statement</w:t>
      </w:r>
      <w:r>
        <w:rPr>
          <w:rFonts w:ascii="Book Antiqua" w:hAnsi="Book Antiqua"/>
          <w:b/>
          <w:iCs/>
          <w:color w:val="000000"/>
        </w:rPr>
        <w:t>:</w:t>
      </w:r>
      <w:r>
        <w:rPr>
          <w:rFonts w:ascii="Book Antiqua" w:hAnsi="Book Antiqua" w:eastAsia="Book Antiqua" w:cs="Book Antiqua"/>
          <w:color w:val="000000"/>
        </w:rPr>
        <w:t xml:space="preserve"> </w:t>
      </w:r>
      <w:bookmarkStart w:id="59" w:name="OLE_LINK3353"/>
      <w:bookmarkStart w:id="60" w:name="OLE_LINK3354"/>
      <w:r>
        <w:rPr>
          <w:rFonts w:ascii="Book Antiqua" w:hAnsi="Book Antiqua" w:eastAsia="Book Antiqua" w:cs="Book Antiqua"/>
          <w:color w:val="000000"/>
        </w:rPr>
        <w:t>Informed consent was obtained in the form of opt-out on the website.</w:t>
      </w:r>
    </w:p>
    <w:bookmarkEnd w:id="59"/>
    <w:bookmarkEnd w:id="60"/>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bookmarkStart w:id="61" w:name="OLE_LINK3356"/>
      <w:bookmarkStart w:id="62" w:name="OLE_LINK3355"/>
      <w:r>
        <w:rPr>
          <w:rFonts w:ascii="Book Antiqua" w:hAnsi="Book Antiqua" w:eastAsia="Book Antiqua" w:cs="Book Antiqua"/>
          <w:color w:val="000000"/>
        </w:rPr>
        <w:t>The authors declare that they have no conflicts of interest.</w:t>
      </w:r>
    </w:p>
    <w:bookmarkEnd w:id="61"/>
    <w:bookmarkEnd w:id="62"/>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30,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7,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April 22,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Japan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Bogach J, Canada; Serban ED, Romania; Tsagkaris C, Switzerland</w:t>
      </w:r>
      <w:r>
        <w:rPr>
          <w:rFonts w:ascii="Book Antiqua" w:hAnsi="Book Antiqua" w:eastAsia="Book Antiqua" w:cs="Book Antiqua"/>
          <w:b/>
          <w:color w:val="000000"/>
        </w:rPr>
        <w:t xml:space="preserve"> S-Editor: </w:t>
      </w:r>
      <w:r>
        <w:rPr>
          <w:rFonts w:ascii="Book Antiqua" w:hAnsi="Book Antiqua" w:eastAsia="Book Antiqua" w:cs="Book Antiqua"/>
          <w:color w:val="000000"/>
        </w:rPr>
        <w:t>Y</w:t>
      </w:r>
      <w:r>
        <w:rPr>
          <w:rFonts w:ascii="Book Antiqua" w:hAnsi="Book Antiqua" w:eastAsia="Book Antiqua" w:cs="Book Antiqua"/>
          <w:color w:val="000000"/>
          <w:lang w:eastAsia="zh-CN"/>
        </w:rPr>
        <w:t>an JP</w:t>
      </w:r>
      <w:r>
        <w:rPr>
          <w:rFonts w:ascii="Book Antiqua" w:hAnsi="Book Antiqua" w:eastAsia="Book Antiqua" w:cs="Book Antiqua"/>
          <w:b/>
          <w:color w:val="000000"/>
        </w:rPr>
        <w:t xml:space="preserve"> L-Editor:</w:t>
      </w:r>
      <w:r>
        <w:rPr>
          <w:rFonts w:ascii="Book Antiqua" w:hAnsi="Book Antiqua" w:eastAsia="Book Antiqua" w:cs="Book Antiqua"/>
          <w:bCs/>
          <w:color w:val="000000"/>
        </w:rPr>
        <w:t xml:space="preserve"> Filipodia</w:t>
      </w:r>
      <w:r>
        <w:rPr>
          <w:rFonts w:ascii="Book Antiqua" w:hAnsi="Book Antiqua" w:eastAsia="Book Antiqua" w:cs="Book Antiqua"/>
          <w:b/>
          <w:color w:val="000000"/>
        </w:rPr>
        <w:t xml:space="preserve"> P-Editor: </w:t>
      </w:r>
      <w:r>
        <w:rPr>
          <w:rFonts w:ascii="Book Antiqua" w:hAnsi="Book Antiqua" w:eastAsia="Book Antiqua" w:cs="Book Antiqua"/>
          <w:color w:val="000000"/>
        </w:rPr>
        <w:t>Y</w:t>
      </w:r>
      <w:r>
        <w:rPr>
          <w:rFonts w:ascii="Book Antiqua" w:hAnsi="Book Antiqua" w:eastAsia="Book Antiqua" w:cs="Book Antiqua"/>
          <w:color w:val="000000"/>
          <w:lang w:eastAsia="zh-CN"/>
        </w:rPr>
        <w:t>an JP</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4355465" cy="5068570"/>
            <wp:effectExtent l="0" t="0" r="3175" b="6350"/>
            <wp:docPr id="5" name="图片 5" descr="WJCC-10-525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JCC-10-5253-g001"/>
                    <pic:cNvPicPr>
                      <a:picLocks noChangeAspect="1"/>
                    </pic:cNvPicPr>
                  </pic:nvPicPr>
                  <pic:blipFill>
                    <a:blip r:embed="rId6"/>
                    <a:stretch>
                      <a:fillRect/>
                    </a:stretch>
                  </pic:blipFill>
                  <pic:spPr>
                    <a:xfrm>
                      <a:off x="0" y="0"/>
                      <a:ext cx="4355465" cy="5068570"/>
                    </a:xfrm>
                    <a:prstGeom prst="rect">
                      <a:avLst/>
                    </a:prstGeom>
                  </pic:spPr>
                </pic:pic>
              </a:graphicData>
            </a:graphic>
          </wp:inline>
        </w:drawing>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bookmarkStart w:id="63" w:name="OLE_LINK3357"/>
      <w:bookmarkStart w:id="64" w:name="OLE_LINK3358"/>
      <w:r>
        <w:rPr>
          <w:rFonts w:ascii="Book Antiqua" w:hAnsi="Book Antiqua" w:eastAsia="Book Antiqua" w:cs="Book Antiqua"/>
          <w:b/>
          <w:bCs/>
          <w:color w:val="000000"/>
        </w:rPr>
        <w:t xml:space="preserve">Figure 1 Our management of malignant gastrointestinal obstruction. </w:t>
      </w:r>
      <w:bookmarkStart w:id="65" w:name="OLE_LINK3857"/>
      <w:bookmarkStart w:id="66" w:name="OLE_LINK3856"/>
      <w:r>
        <w:rPr>
          <w:rFonts w:ascii="Book Antiqua" w:hAnsi="Book Antiqua" w:eastAsia="Book Antiqua" w:cs="Book Antiqua"/>
          <w:color w:val="000000"/>
        </w:rPr>
        <w:t>SEMS:</w:t>
      </w:r>
      <w:r>
        <w:rPr>
          <w:rFonts w:ascii="Book Antiqua" w:hAnsi="Book Antiqua" w:eastAsia="Book Antiqua" w:cs="Book Antiqua"/>
          <w:b/>
          <w:bCs/>
          <w:color w:val="000000"/>
        </w:rPr>
        <w:t xml:space="preserve"> </w:t>
      </w:r>
      <w:r>
        <w:rPr>
          <w:rFonts w:ascii="Book Antiqua" w:hAnsi="Book Antiqua" w:eastAsia="Book Antiqua" w:cs="Book Antiqua"/>
          <w:color w:val="000000"/>
        </w:rPr>
        <w:t>Self-expandable metal stent.</w:t>
      </w:r>
    </w:p>
    <w:bookmarkEnd w:id="63"/>
    <w:bookmarkEnd w:id="64"/>
    <w:bookmarkEnd w:id="65"/>
    <w:bookmarkEnd w:id="66"/>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hint="eastAsia" w:ascii="Book Antiqua" w:hAnsi="Book Antiqua" w:eastAsiaTheme="minorEastAsia"/>
          <w:lang w:eastAsia="zh-CN"/>
        </w:rPr>
        <w:drawing>
          <wp:inline distT="0" distB="0" distL="114300" distR="114300">
            <wp:extent cx="4559935" cy="2819400"/>
            <wp:effectExtent l="0" t="0" r="12065" b="0"/>
            <wp:docPr id="4" name="图片 4" descr="WJCC-10-5253-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5253-g002"/>
                    <pic:cNvPicPr>
                      <a:picLocks noChangeAspect="1"/>
                    </pic:cNvPicPr>
                  </pic:nvPicPr>
                  <pic:blipFill>
                    <a:blip r:embed="rId7"/>
                    <a:stretch>
                      <a:fillRect/>
                    </a:stretch>
                  </pic:blipFill>
                  <pic:spPr>
                    <a:xfrm>
                      <a:off x="0" y="0"/>
                      <a:ext cx="4559935" cy="2819400"/>
                    </a:xfrm>
                    <a:prstGeom prst="rect">
                      <a:avLst/>
                    </a:prstGeom>
                  </pic:spPr>
                </pic:pic>
              </a:graphicData>
            </a:graphic>
          </wp:inline>
        </w:drawing>
      </w:r>
      <w:bookmarkStart w:id="120" w:name="_GoBack"/>
      <w:bookmarkEnd w:id="120"/>
    </w:p>
    <w:p>
      <w:pPr>
        <w:spacing w:line="360" w:lineRule="auto"/>
        <w:jc w:val="both"/>
        <w:rPr>
          <w:rFonts w:ascii="Book Antiqua" w:hAnsi="Book Antiqua" w:eastAsia="Book Antiqua" w:cs="Book Antiqua"/>
          <w:color w:val="000000"/>
        </w:rPr>
      </w:pPr>
      <w:bookmarkStart w:id="67" w:name="OLE_LINK3360"/>
      <w:bookmarkStart w:id="68" w:name="OLE_LINK3359"/>
      <w:r>
        <w:rPr>
          <w:rFonts w:ascii="Book Antiqua" w:hAnsi="Book Antiqua" w:eastAsia="Book Antiqua" w:cs="Book Antiqua"/>
          <w:b/>
          <w:bCs/>
          <w:color w:val="000000"/>
        </w:rPr>
        <w:t>Figure 2 Flow chart of patient selection.</w:t>
      </w:r>
      <w:r>
        <w:rPr>
          <w:rFonts w:ascii="Book Antiqua" w:hAnsi="Book Antiqua" w:eastAsia="Book Antiqua" w:cs="Book Antiqua"/>
          <w:color w:val="000000"/>
        </w:rPr>
        <w:t xml:space="preserve"> SEMS:</w:t>
      </w:r>
      <w:r>
        <w:rPr>
          <w:rFonts w:ascii="Book Antiqua" w:hAnsi="Book Antiqua" w:eastAsia="Book Antiqua" w:cs="Book Antiqua"/>
          <w:b/>
          <w:bCs/>
          <w:color w:val="000000"/>
        </w:rPr>
        <w:t xml:space="preserve"> </w:t>
      </w:r>
      <w:r>
        <w:rPr>
          <w:rFonts w:ascii="Book Antiqua" w:hAnsi="Book Antiqua" w:eastAsia="Book Antiqua" w:cs="Book Antiqua"/>
          <w:color w:val="000000"/>
        </w:rPr>
        <w:t>Self-expandable metal stent.</w:t>
      </w:r>
    </w:p>
    <w:bookmarkEnd w:id="67"/>
    <w:bookmarkEnd w:id="68"/>
    <w:p>
      <w:pPr>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p>
    <w:p>
      <w:pPr>
        <w:spacing w:line="360" w:lineRule="auto"/>
        <w:jc w:val="both"/>
        <w:rPr>
          <w:rFonts w:ascii="Book Antiqua" w:hAnsi="Book Antiqua"/>
          <w:b/>
          <w:bCs/>
        </w:rPr>
      </w:pPr>
      <w:r>
        <w:rPr>
          <w:rFonts w:hint="eastAsia" w:ascii="Book Antiqua" w:hAnsi="Book Antiqua" w:eastAsiaTheme="minorEastAsia"/>
          <w:lang w:eastAsia="zh-CN"/>
        </w:rPr>
        <w:drawing>
          <wp:inline distT="0" distB="0" distL="114300" distR="114300">
            <wp:extent cx="5675630" cy="1917065"/>
            <wp:effectExtent l="0" t="0" r="8890" b="3175"/>
            <wp:docPr id="3" name="图片 3" descr="WJCC-10-5253-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5253-g003"/>
                    <pic:cNvPicPr>
                      <a:picLocks noChangeAspect="1"/>
                    </pic:cNvPicPr>
                  </pic:nvPicPr>
                  <pic:blipFill>
                    <a:blip r:embed="rId8"/>
                    <a:stretch>
                      <a:fillRect/>
                    </a:stretch>
                  </pic:blipFill>
                  <pic:spPr>
                    <a:xfrm>
                      <a:off x="0" y="0"/>
                      <a:ext cx="5675630" cy="1917065"/>
                    </a:xfrm>
                    <a:prstGeom prst="rect">
                      <a:avLst/>
                    </a:prstGeom>
                  </pic:spPr>
                </pic:pic>
              </a:graphicData>
            </a:graphic>
          </wp:inline>
        </w:drawing>
      </w:r>
    </w:p>
    <w:p>
      <w:pPr>
        <w:spacing w:line="360" w:lineRule="auto"/>
        <w:jc w:val="both"/>
        <w:rPr>
          <w:rFonts w:ascii="Book Antiqua" w:hAnsi="Book Antiqua" w:eastAsia="Book Antiqua" w:cs="Book Antiqua"/>
          <w:color w:val="000000"/>
        </w:rPr>
      </w:pPr>
      <w:bookmarkStart w:id="69" w:name="OLE_LINK3362"/>
      <w:bookmarkStart w:id="70" w:name="OLE_LINK3361"/>
      <w:r>
        <w:rPr>
          <w:rFonts w:ascii="Book Antiqua" w:hAnsi="Book Antiqua" w:eastAsia="Book Antiqua" w:cs="Book Antiqua"/>
          <w:b/>
          <w:bCs/>
          <w:color w:val="000000"/>
        </w:rPr>
        <w:t xml:space="preserve">Figure 3 Kaplan–Meier estimates of overall survival and </w:t>
      </w:r>
      <w:bookmarkStart w:id="71" w:name="OLE_LINK3820"/>
      <w:bookmarkStart w:id="72" w:name="OLE_LINK3821"/>
      <w:r>
        <w:rPr>
          <w:rFonts w:ascii="Book Antiqua" w:hAnsi="Book Antiqua" w:eastAsia="Book Antiqua" w:cs="Book Antiqua"/>
          <w:b/>
          <w:bCs/>
          <w:color w:val="000000"/>
        </w:rPr>
        <w:t>patency duration</w:t>
      </w:r>
      <w:bookmarkEnd w:id="71"/>
      <w:bookmarkEnd w:id="72"/>
      <w:r>
        <w:rPr>
          <w:rFonts w:ascii="Book Antiqua" w:hAnsi="Book Antiqua" w:eastAsia="Book Antiqua" w:cs="Book Antiqua"/>
          <w:b/>
          <w:bCs/>
          <w:color w:val="000000"/>
        </w:rPr>
        <w:t xml:space="preserve"> of the chemotherapy group and the </w:t>
      </w:r>
      <w:bookmarkStart w:id="73" w:name="OLE_LINK3859"/>
      <w:bookmarkStart w:id="74" w:name="OLE_LINK3858"/>
      <w:r>
        <w:rPr>
          <w:rFonts w:ascii="Book Antiqua" w:hAnsi="Book Antiqua" w:eastAsia="Book Antiqua" w:cs="Book Antiqua"/>
          <w:b/>
          <w:bCs/>
          <w:color w:val="000000"/>
        </w:rPr>
        <w:t>best supportive care</w:t>
      </w:r>
      <w:bookmarkEnd w:id="73"/>
      <w:bookmarkEnd w:id="74"/>
      <w:r>
        <w:rPr>
          <w:rFonts w:ascii="Book Antiqua" w:hAnsi="Book Antiqua" w:eastAsia="Book Antiqua" w:cs="Book Antiqua"/>
          <w:b/>
          <w:bCs/>
          <w:color w:val="000000"/>
        </w:rPr>
        <w:t xml:space="preserve"> group. </w:t>
      </w:r>
      <w:r>
        <w:rPr>
          <w:rFonts w:ascii="Book Antiqua" w:hAnsi="Book Antiqua" w:eastAsia="Book Antiqua" w:cs="Book Antiqua"/>
          <w:color w:val="000000"/>
        </w:rPr>
        <w:t>A: Overall survival; B: Patency duration</w:t>
      </w:r>
      <w:r>
        <w:rPr>
          <w:rFonts w:ascii="Book Antiqua" w:hAnsi="Book Antiqua"/>
        </w:rPr>
        <w:t xml:space="preserve">. </w:t>
      </w:r>
      <w:bookmarkStart w:id="75" w:name="OLE_LINK3871"/>
      <w:bookmarkStart w:id="76" w:name="OLE_LINK3872"/>
      <w:r>
        <w:rPr>
          <w:rFonts w:ascii="Book Antiqua" w:hAnsi="Book Antiqua"/>
        </w:rPr>
        <w:t xml:space="preserve">BSC: </w:t>
      </w:r>
      <w:r>
        <w:rPr>
          <w:rFonts w:ascii="Book Antiqua" w:hAnsi="Book Antiqua" w:eastAsia="Book Antiqua" w:cs="Book Antiqua"/>
          <w:color w:val="000000"/>
        </w:rPr>
        <w:t>Best supportive care.</w:t>
      </w:r>
    </w:p>
    <w:bookmarkEnd w:id="69"/>
    <w:bookmarkEnd w:id="70"/>
    <w:bookmarkEnd w:id="75"/>
    <w:bookmarkEnd w:id="76"/>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color w:val="000000"/>
        </w:rPr>
      </w:pPr>
      <w:bookmarkStart w:id="77" w:name="OLE_LINK3861"/>
      <w:bookmarkStart w:id="78" w:name="OLE_LINK3860"/>
      <w:r>
        <w:rPr>
          <w:rFonts w:ascii="Book Antiqua" w:hAnsi="Book Antiqua"/>
          <w:b/>
          <w:color w:val="000000"/>
        </w:rPr>
        <w:t xml:space="preserve">Table 1 </w:t>
      </w:r>
      <w:r>
        <w:rPr>
          <w:rFonts w:ascii="Book Antiqua" w:hAnsi="Book Antiqua"/>
          <w:b/>
          <w:bCs/>
          <w:color w:val="000000"/>
        </w:rPr>
        <w:t>Patient characteristics</w:t>
      </w:r>
    </w:p>
    <w:tbl>
      <w:tblPr>
        <w:tblStyle w:val="17"/>
        <w:tblW w:w="9502" w:type="dxa"/>
        <w:tblInd w:w="0" w:type="dxa"/>
        <w:tblLayout w:type="autofit"/>
        <w:tblCellMar>
          <w:top w:w="0" w:type="dxa"/>
          <w:left w:w="0" w:type="dxa"/>
          <w:bottom w:w="0" w:type="dxa"/>
          <w:right w:w="0" w:type="dxa"/>
        </w:tblCellMar>
      </w:tblPr>
      <w:tblGrid>
        <w:gridCol w:w="4607"/>
        <w:gridCol w:w="2082"/>
        <w:gridCol w:w="1740"/>
        <w:gridCol w:w="1073"/>
      </w:tblGrid>
      <w:tr>
        <w:tblPrEx>
          <w:tblCellMar>
            <w:top w:w="0" w:type="dxa"/>
            <w:left w:w="0" w:type="dxa"/>
            <w:bottom w:w="0" w:type="dxa"/>
            <w:right w:w="0" w:type="dxa"/>
          </w:tblCellMar>
        </w:tblPrEx>
        <w:trPr>
          <w:trHeight w:val="873" w:hRule="atLeast"/>
        </w:trPr>
        <w:tc>
          <w:tcPr>
            <w:tcW w:w="4607" w:type="dxa"/>
            <w:tcBorders>
              <w:top w:val="single" w:color="auto" w:sz="4" w:space="0"/>
              <w:left w:val="nil"/>
              <w:bottom w:val="single" w:color="auto" w:sz="4" w:space="0"/>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color w:val="000000"/>
              </w:rPr>
            </w:pPr>
            <w:r>
              <w:rPr>
                <w:rFonts w:ascii="Book Antiqua" w:hAnsi="Book Antiqua"/>
                <w:b/>
                <w:bCs/>
                <w:color w:val="000000"/>
              </w:rPr>
              <w:t>Variable</w:t>
            </w:r>
          </w:p>
        </w:tc>
        <w:tc>
          <w:tcPr>
            <w:tcW w:w="2082" w:type="dxa"/>
            <w:tcBorders>
              <w:top w:val="single" w:color="auto" w:sz="4" w:space="0"/>
              <w:left w:val="nil"/>
              <w:bottom w:val="single" w:color="auto" w:sz="4" w:space="0"/>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color w:val="000000"/>
              </w:rPr>
            </w:pPr>
            <w:r>
              <w:rPr>
                <w:rFonts w:ascii="Book Antiqua" w:hAnsi="Book Antiqua"/>
                <w:b/>
                <w:bCs/>
                <w:color w:val="000000"/>
              </w:rPr>
              <w:t>Chemotherapy</w:t>
            </w:r>
            <w:r>
              <w:rPr>
                <w:rFonts w:hint="eastAsia" w:ascii="Book Antiqua" w:hAnsi="Book Antiqua"/>
                <w:b/>
                <w:bCs/>
                <w:color w:val="000000"/>
              </w:rPr>
              <w:t xml:space="preserve"> </w:t>
            </w:r>
            <w:r>
              <w:rPr>
                <w:rFonts w:ascii="Book Antiqua" w:hAnsi="Book Antiqua"/>
                <w:b/>
                <w:bCs/>
                <w:color w:val="000000"/>
              </w:rPr>
              <w:t>(</w:t>
            </w:r>
            <w:r>
              <w:rPr>
                <w:rFonts w:ascii="Book Antiqua" w:hAnsi="Book Antiqua"/>
                <w:b/>
                <w:bCs/>
                <w:i/>
                <w:iCs/>
                <w:color w:val="000000"/>
              </w:rPr>
              <w:t>n</w:t>
            </w:r>
            <w:r>
              <w:rPr>
                <w:rFonts w:ascii="Book Antiqua" w:hAnsi="Book Antiqua"/>
                <w:b/>
                <w:bCs/>
                <w:color w:val="000000"/>
              </w:rPr>
              <w:t xml:space="preserve"> = 470), </w:t>
            </w:r>
            <w:bookmarkStart w:id="79" w:name="OLE_LINK3868"/>
            <w:bookmarkStart w:id="80" w:name="OLE_LINK3867"/>
            <w:r>
              <w:rPr>
                <w:rFonts w:ascii="Book Antiqua" w:hAnsi="Book Antiqua"/>
                <w:b/>
                <w:bCs/>
                <w:i/>
                <w:iCs/>
                <w:color w:val="000000"/>
              </w:rPr>
              <w:t>n</w:t>
            </w:r>
            <w:r>
              <w:rPr>
                <w:rFonts w:ascii="Book Antiqua" w:hAnsi="Book Antiqua"/>
                <w:b/>
                <w:bCs/>
                <w:color w:val="000000"/>
              </w:rPr>
              <w:t xml:space="preserve"> (%)</w:t>
            </w:r>
            <w:bookmarkEnd w:id="79"/>
            <w:bookmarkEnd w:id="80"/>
          </w:p>
        </w:tc>
        <w:tc>
          <w:tcPr>
            <w:tcW w:w="1740" w:type="dxa"/>
            <w:tcBorders>
              <w:top w:val="single" w:color="auto" w:sz="4" w:space="0"/>
              <w:left w:val="nil"/>
              <w:bottom w:val="single" w:color="auto" w:sz="4" w:space="0"/>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color w:val="000000"/>
              </w:rPr>
            </w:pPr>
            <w:r>
              <w:rPr>
                <w:rFonts w:ascii="Book Antiqua" w:hAnsi="Book Antiqua"/>
                <w:b/>
                <w:bCs/>
                <w:color w:val="000000"/>
              </w:rPr>
              <w:t>BSC</w:t>
            </w:r>
            <w:r>
              <w:rPr>
                <w:rFonts w:hint="eastAsia" w:ascii="Book Antiqua" w:hAnsi="Book Antiqua"/>
                <w:b/>
                <w:bCs/>
                <w:color w:val="000000"/>
              </w:rPr>
              <w:t xml:space="preserve"> </w:t>
            </w:r>
            <w:r>
              <w:rPr>
                <w:rFonts w:ascii="Book Antiqua" w:hAnsi="Book Antiqua"/>
                <w:b/>
                <w:bCs/>
                <w:color w:val="000000"/>
              </w:rPr>
              <w:t>(</w:t>
            </w:r>
            <w:r>
              <w:rPr>
                <w:rFonts w:ascii="Book Antiqua" w:hAnsi="Book Antiqua"/>
                <w:b/>
                <w:bCs/>
                <w:i/>
                <w:iCs/>
                <w:color w:val="000000"/>
              </w:rPr>
              <w:t>n</w:t>
            </w:r>
            <w:r>
              <w:rPr>
                <w:rFonts w:ascii="Book Antiqua" w:hAnsi="Book Antiqua"/>
                <w:b/>
                <w:bCs/>
                <w:color w:val="000000"/>
              </w:rPr>
              <w:t xml:space="preserve"> = 652),</w:t>
            </w:r>
            <w:r>
              <w:rPr>
                <w:rFonts w:ascii="Book Antiqua" w:hAnsi="Book Antiqua"/>
                <w:b/>
                <w:bCs/>
                <w:i/>
                <w:iCs/>
                <w:color w:val="000000"/>
              </w:rPr>
              <w:t xml:space="preserve"> n</w:t>
            </w:r>
            <w:r>
              <w:rPr>
                <w:rFonts w:ascii="Book Antiqua" w:hAnsi="Book Antiqua"/>
                <w:b/>
                <w:bCs/>
                <w:color w:val="000000"/>
              </w:rPr>
              <w:t xml:space="preserve"> (%)</w:t>
            </w:r>
          </w:p>
        </w:tc>
        <w:tc>
          <w:tcPr>
            <w:tcW w:w="1073" w:type="dxa"/>
            <w:tcBorders>
              <w:top w:val="single" w:color="auto" w:sz="4" w:space="0"/>
              <w:left w:val="nil"/>
              <w:bottom w:val="single" w:color="auto" w:sz="4" w:space="0"/>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color w:val="000000"/>
              </w:rPr>
            </w:pPr>
            <w:r>
              <w:rPr>
                <w:rFonts w:ascii="Book Antiqua" w:hAnsi="Book Antiqua"/>
                <w:b/>
                <w:bCs/>
                <w:i/>
                <w:iCs/>
                <w:color w:val="000000"/>
              </w:rPr>
              <w:t>P</w:t>
            </w:r>
            <w:r>
              <w:rPr>
                <w:rFonts w:ascii="Book Antiqua" w:hAnsi="Book Antiqua"/>
                <w:b/>
                <w:bCs/>
                <w:color w:val="000000"/>
              </w:rPr>
              <w:t xml:space="preserve"> value</w:t>
            </w:r>
          </w:p>
        </w:tc>
      </w:tr>
      <w:tr>
        <w:tblPrEx>
          <w:tblCellMar>
            <w:top w:w="0" w:type="dxa"/>
            <w:left w:w="0" w:type="dxa"/>
            <w:bottom w:w="0" w:type="dxa"/>
            <w:right w:w="0" w:type="dxa"/>
          </w:tblCellMar>
        </w:tblPrEx>
        <w:trPr>
          <w:trHeight w:val="442" w:hRule="atLeast"/>
        </w:trPr>
        <w:tc>
          <w:tcPr>
            <w:tcW w:w="4607" w:type="dxa"/>
            <w:tcBorders>
              <w:top w:val="single" w:color="auto" w:sz="4" w:space="0"/>
              <w:left w:val="nil"/>
              <w:bottom w:val="nil"/>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color w:val="000000"/>
              </w:rPr>
            </w:pPr>
            <w:r>
              <w:rPr>
                <w:rFonts w:ascii="Book Antiqua" w:hAnsi="Book Antiqua"/>
                <w:color w:val="000000"/>
              </w:rPr>
              <w:t>Age</w:t>
            </w:r>
          </w:p>
        </w:tc>
        <w:tc>
          <w:tcPr>
            <w:tcW w:w="2082" w:type="dxa"/>
            <w:tcBorders>
              <w:top w:val="single" w:color="auto" w:sz="4" w:space="0"/>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c>
          <w:tcPr>
            <w:tcW w:w="1740" w:type="dxa"/>
            <w:tcBorders>
              <w:top w:val="single" w:color="auto" w:sz="4" w:space="0"/>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c>
          <w:tcPr>
            <w:tcW w:w="1073" w:type="dxa"/>
            <w:tcBorders>
              <w:top w:val="single" w:color="auto" w:sz="4" w:space="0"/>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30"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color w:val="000000"/>
              </w:rPr>
              <w:t>Young (age &lt; 75 yr)</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375 (79.8)</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335 (51.4)</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&lt; 0.001</w:t>
            </w: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color w:val="000000"/>
              </w:rPr>
              <w:t>Elder (age ≥ 75 yr)</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95 (20.2)</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317 (48.6)</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color w:val="000000"/>
              </w:rPr>
            </w:pPr>
            <w:r>
              <w:rPr>
                <w:rFonts w:ascii="Book Antiqua" w:hAnsi="Book Antiqua"/>
                <w:color w:val="000000"/>
              </w:rPr>
              <w:t>Sex</w:t>
            </w:r>
          </w:p>
        </w:tc>
        <w:tc>
          <w:tcPr>
            <w:tcW w:w="2082"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color w:val="000000"/>
              </w:rPr>
            </w:pPr>
          </w:p>
        </w:tc>
        <w:tc>
          <w:tcPr>
            <w:tcW w:w="1740"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color w:val="000000"/>
              </w:rPr>
            </w:pPr>
          </w:p>
        </w:tc>
        <w:tc>
          <w:tcPr>
            <w:tcW w:w="1073"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color w:val="000000"/>
              </w:rPr>
              <w:t>Male</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284 (60.4)</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363 (55.7)</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0.112</w:t>
            </w:r>
          </w:p>
        </w:tc>
      </w:tr>
      <w:tr>
        <w:tblPrEx>
          <w:tblCellMar>
            <w:top w:w="0" w:type="dxa"/>
            <w:left w:w="0" w:type="dxa"/>
            <w:bottom w:w="0" w:type="dxa"/>
            <w:right w:w="0" w:type="dxa"/>
          </w:tblCellMar>
        </w:tblPrEx>
        <w:trPr>
          <w:trHeight w:val="430"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color w:val="000000"/>
              </w:rPr>
              <w:t>Female</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186 (39.6)</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289 (44.3)</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color w:val="000000"/>
              </w:rPr>
            </w:pPr>
            <w:r>
              <w:rPr>
                <w:rFonts w:ascii="Book Antiqua" w:hAnsi="Book Antiqua"/>
                <w:color w:val="000000"/>
              </w:rPr>
              <w:t>Charlson co-morbidity index score</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color w:val="000000"/>
              </w:rPr>
              <w:t>&lt; 3</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175 (37.2)</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343 (52.6)</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&lt; 0.001</w:t>
            </w:r>
          </w:p>
        </w:tc>
      </w:tr>
      <w:tr>
        <w:tblPrEx>
          <w:tblCellMar>
            <w:top w:w="0" w:type="dxa"/>
            <w:left w:w="0" w:type="dxa"/>
            <w:bottom w:w="0" w:type="dxa"/>
            <w:right w:w="0" w:type="dxa"/>
          </w:tblCellMar>
        </w:tblPrEx>
        <w:trPr>
          <w:trHeight w:val="430"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color w:val="000000"/>
              </w:rPr>
              <w:t>≥ 3</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295 (62.8)</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309 (47.4)</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color w:val="000000"/>
              </w:rPr>
            </w:pPr>
            <w:r>
              <w:rPr>
                <w:rFonts w:ascii="Book Antiqua" w:hAnsi="Book Antiqua"/>
                <w:color w:val="000000"/>
              </w:rPr>
              <w:t>Barthel index</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color w:val="000000"/>
              </w:rPr>
              <w:t>≥ 60</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422 (89.8)</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436 (66.9)</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&lt; 0.001</w:t>
            </w: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color w:val="000000"/>
              </w:rPr>
              <w:t>&lt; 60</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27 (5.7)</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153 (23.5)</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30"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color w:val="000000"/>
              </w:rPr>
              <w:t>Missing</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21 (4.5)</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63 (9.7)</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color w:val="000000"/>
              </w:rPr>
            </w:pPr>
            <w:r>
              <w:rPr>
                <w:rFonts w:ascii="Book Antiqua" w:hAnsi="Book Antiqua"/>
                <w:color w:val="000000"/>
              </w:rPr>
              <w:t>Medication</w:t>
            </w:r>
          </w:p>
        </w:tc>
        <w:tc>
          <w:tcPr>
            <w:tcW w:w="2082"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color w:val="000000"/>
              </w:rPr>
            </w:pPr>
          </w:p>
        </w:tc>
        <w:tc>
          <w:tcPr>
            <w:tcW w:w="1740"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color w:val="000000"/>
              </w:rPr>
            </w:pPr>
          </w:p>
        </w:tc>
        <w:tc>
          <w:tcPr>
            <w:tcW w:w="1073"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color w:val="000000"/>
              </w:rPr>
              <w:t>Aspirin</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18 (3.8)</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33 (5.1)</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0.329</w:t>
            </w: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color w:val="000000"/>
              </w:rPr>
              <w:t>Thienopyridine</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7 (1.5)</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24 (3.7)</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0.027</w:t>
            </w:r>
          </w:p>
        </w:tc>
      </w:tr>
      <w:tr>
        <w:tblPrEx>
          <w:tblCellMar>
            <w:top w:w="0" w:type="dxa"/>
            <w:left w:w="0" w:type="dxa"/>
            <w:bottom w:w="0" w:type="dxa"/>
            <w:right w:w="0" w:type="dxa"/>
          </w:tblCellMar>
        </w:tblPrEx>
        <w:trPr>
          <w:trHeight w:val="430"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color w:val="000000"/>
              </w:rPr>
              <w:t>Warfarin</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8 (1.7)</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20 (3.1)</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0.148</w:t>
            </w: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color w:val="000000"/>
              </w:rPr>
              <w:t>DOACs</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34 (7.2)</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29 (4.4)</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0.045</w:t>
            </w: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color w:val="000000"/>
              </w:rPr>
              <w:t>Other antiplatelet drugs</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7 (1.5)</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33 (5.1)</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0.001</w:t>
            </w:r>
          </w:p>
        </w:tc>
      </w:tr>
      <w:tr>
        <w:tblPrEx>
          <w:tblCellMar>
            <w:top w:w="0" w:type="dxa"/>
            <w:left w:w="0" w:type="dxa"/>
            <w:bottom w:w="0" w:type="dxa"/>
            <w:right w:w="0" w:type="dxa"/>
          </w:tblCellMar>
        </w:tblPrEx>
        <w:trPr>
          <w:trHeight w:val="430"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color w:val="000000"/>
              </w:rPr>
              <w:t>NSAIDs</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293 (62.3)</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314 (48.2)</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&lt; 0.001</w:t>
            </w: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color w:val="000000"/>
              </w:rPr>
              <w:t>Steroids</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201 (42.8)</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154 (23.6)</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color w:val="000000"/>
              </w:rPr>
              <w:t>&lt; 0.001</w:t>
            </w: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color w:val="000000"/>
              </w:rPr>
            </w:pPr>
            <w:r>
              <w:rPr>
                <w:rFonts w:ascii="Book Antiqua" w:hAnsi="Book Antiqua" w:eastAsia="Meiryo"/>
                <w:color w:val="000000"/>
              </w:rPr>
              <w:t>Cancer type</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eastAsia="Meiryo"/>
                <w:color w:val="000000"/>
              </w:rPr>
              <w:t>Esophageal cancer</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24 (5.1)</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83 (12.7)</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&lt; 0.001</w:t>
            </w:r>
          </w:p>
        </w:tc>
      </w:tr>
      <w:tr>
        <w:tblPrEx>
          <w:tblCellMar>
            <w:top w:w="0" w:type="dxa"/>
            <w:left w:w="0" w:type="dxa"/>
            <w:bottom w:w="0" w:type="dxa"/>
            <w:right w:w="0" w:type="dxa"/>
          </w:tblCellMar>
        </w:tblPrEx>
        <w:trPr>
          <w:trHeight w:val="430"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eastAsia="Meiryo"/>
                <w:color w:val="000000"/>
              </w:rPr>
              <w:t>Gastric cancer</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151 (32.1)</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113 (17.3)</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eastAsia="Meiryo"/>
                <w:color w:val="000000"/>
              </w:rPr>
              <w:t>Pancreatic cancer</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69 (14.7)</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106 (16.3)</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color w:val="000000"/>
                <w:kern w:val="2"/>
              </w:rPr>
              <w:t>Colorectal cancer</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146 (31.1)</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212 (32.5)</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30"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eastAsia="Meiryo"/>
                <w:color w:val="000000"/>
              </w:rPr>
              <w:t>Other cancers</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80 (17.0)</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138 (21.2)</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color w:val="000000"/>
              </w:rPr>
            </w:pPr>
            <w:r>
              <w:rPr>
                <w:rFonts w:ascii="Book Antiqua" w:hAnsi="Book Antiqua" w:eastAsia="Meiryo"/>
                <w:color w:val="000000"/>
              </w:rPr>
              <w:t>Cancer stage</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eastAsia="Meiryo"/>
                <w:color w:val="000000"/>
              </w:rPr>
              <w:t>Stage I-III</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81 (17.2)</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157 (24.1)</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0.022</w:t>
            </w: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eastAsia="Meiryo"/>
                <w:color w:val="000000"/>
              </w:rPr>
              <w:t>Stage IV or recurrence</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297 (63.2)</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379 (58.1)</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30"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eastAsia="Meiryo"/>
                <w:color w:val="000000"/>
              </w:rPr>
              <w:t>Missing</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92 (19.6)</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116 (17.8)</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color w:val="000000"/>
              </w:rPr>
            </w:pPr>
            <w:r>
              <w:rPr>
                <w:rFonts w:ascii="Book Antiqua" w:hAnsi="Book Antiqua" w:eastAsia="Meiryo"/>
                <w:color w:val="000000"/>
              </w:rPr>
              <w:t>Obstruction site</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eastAsia="Meiryo"/>
                <w:color w:val="000000"/>
              </w:rPr>
              <w:t>Esophageal obstruction</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38 (8.1)</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105 (16.1)</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&lt; 0.001</w:t>
            </w: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eastAsia="Meiryo"/>
                <w:color w:val="000000"/>
              </w:rPr>
              <w:t>Gastroduodenal obstruction</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189 (40.2)</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233 (35.7)</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30"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eastAsia="Meiryo"/>
                <w:color w:val="000000"/>
              </w:rPr>
              <w:t>Lower gastrointestinal obstruction</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243 (51.7)</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314 (48.2)</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873"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eastAsia="Meiryo"/>
                <w:color w:val="000000"/>
              </w:rPr>
              <w:t>Chemotherapy before the intervention</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274 (58.3)</w:t>
            </w: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413 (63.3)</w:t>
            </w: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0.087</w:t>
            </w:r>
          </w:p>
        </w:tc>
      </w:tr>
      <w:tr>
        <w:tblPrEx>
          <w:tblCellMar>
            <w:top w:w="0" w:type="dxa"/>
            <w:left w:w="0" w:type="dxa"/>
            <w:bottom w:w="0" w:type="dxa"/>
            <w:right w:w="0" w:type="dxa"/>
          </w:tblCellMar>
        </w:tblPrEx>
        <w:trPr>
          <w:trHeight w:val="442" w:hRule="atLeast"/>
        </w:trPr>
        <w:tc>
          <w:tcPr>
            <w:tcW w:w="4607" w:type="dxa"/>
            <w:tcBorders>
              <w:top w:val="nil"/>
              <w:left w:val="nil"/>
              <w:bottom w:val="nil"/>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color w:val="000000"/>
              </w:rPr>
            </w:pPr>
            <w:r>
              <w:rPr>
                <w:rFonts w:ascii="Book Antiqua" w:hAnsi="Book Antiqua" w:eastAsia="Meiryo"/>
                <w:color w:val="000000"/>
              </w:rPr>
              <w:t>Intervention type</w:t>
            </w:r>
          </w:p>
        </w:tc>
        <w:tc>
          <w:tcPr>
            <w:tcW w:w="2082"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c>
          <w:tcPr>
            <w:tcW w:w="1740"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c>
          <w:tcPr>
            <w:tcW w:w="1073" w:type="dxa"/>
            <w:tcBorders>
              <w:top w:val="nil"/>
              <w:left w:val="nil"/>
              <w:bottom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p>
        </w:tc>
      </w:tr>
      <w:tr>
        <w:tblPrEx>
          <w:tblCellMar>
            <w:top w:w="0" w:type="dxa"/>
            <w:left w:w="0" w:type="dxa"/>
            <w:bottom w:w="0" w:type="dxa"/>
            <w:right w:w="0" w:type="dxa"/>
          </w:tblCellMar>
        </w:tblPrEx>
        <w:trPr>
          <w:trHeight w:val="442" w:hRule="atLeast"/>
        </w:trPr>
        <w:tc>
          <w:tcPr>
            <w:tcW w:w="4607" w:type="dxa"/>
            <w:tcBorders>
              <w:top w:val="nil"/>
              <w:left w:val="nil"/>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rPr>
            </w:pPr>
            <w:r>
              <w:rPr>
                <w:rFonts w:ascii="Book Antiqua" w:hAnsi="Book Antiqua" w:eastAsia="Meiryo"/>
                <w:color w:val="000000"/>
              </w:rPr>
              <w:t>Palliative surgery</w:t>
            </w:r>
          </w:p>
        </w:tc>
        <w:tc>
          <w:tcPr>
            <w:tcW w:w="2082" w:type="dxa"/>
            <w:tcBorders>
              <w:top w:val="nil"/>
              <w:left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294 (62.6)</w:t>
            </w:r>
          </w:p>
        </w:tc>
        <w:tc>
          <w:tcPr>
            <w:tcW w:w="1740" w:type="dxa"/>
            <w:tcBorders>
              <w:top w:val="nil"/>
              <w:left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283 (43.4)</w:t>
            </w:r>
          </w:p>
        </w:tc>
        <w:tc>
          <w:tcPr>
            <w:tcW w:w="1073" w:type="dxa"/>
            <w:tcBorders>
              <w:top w:val="nil"/>
              <w:left w:val="nil"/>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rPr>
            </w:pPr>
            <w:r>
              <w:rPr>
                <w:rFonts w:ascii="Book Antiqua" w:hAnsi="Book Antiqua" w:eastAsia="Meiryo"/>
                <w:color w:val="000000"/>
                <w:kern w:val="24"/>
              </w:rPr>
              <w:t>&lt; 0.001</w:t>
            </w:r>
          </w:p>
        </w:tc>
      </w:tr>
      <w:tr>
        <w:tblPrEx>
          <w:tblCellMar>
            <w:top w:w="0" w:type="dxa"/>
            <w:left w:w="0" w:type="dxa"/>
            <w:bottom w:w="0" w:type="dxa"/>
            <w:right w:w="0" w:type="dxa"/>
          </w:tblCellMar>
        </w:tblPrEx>
        <w:trPr>
          <w:trHeight w:val="442" w:hRule="atLeast"/>
        </w:trPr>
        <w:tc>
          <w:tcPr>
            <w:tcW w:w="4607" w:type="dxa"/>
            <w:tcBorders>
              <w:top w:val="nil"/>
              <w:left w:val="nil"/>
              <w:bottom w:val="single" w:color="auto" w:sz="4" w:space="0"/>
              <w:right w:val="nil"/>
            </w:tcBorders>
            <w:shd w:val="clear" w:color="auto" w:fill="auto"/>
            <w:tcMar>
              <w:top w:w="15" w:type="dxa"/>
              <w:left w:w="53" w:type="dxa"/>
              <w:bottom w:w="0" w:type="dxa"/>
              <w:right w:w="53" w:type="dxa"/>
            </w:tcMar>
            <w:vAlign w:val="center"/>
          </w:tcPr>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Meiryo"/>
                <w:color w:val="000000" w:themeColor="text1"/>
                <w14:textFill>
                  <w14:solidFill>
                    <w14:schemeClr w14:val="tx1"/>
                  </w14:solidFill>
                </w14:textFill>
              </w:rPr>
              <w:t>SEMS placement</w:t>
            </w:r>
          </w:p>
        </w:tc>
        <w:tc>
          <w:tcPr>
            <w:tcW w:w="2082" w:type="dxa"/>
            <w:tcBorders>
              <w:top w:val="nil"/>
              <w:left w:val="nil"/>
              <w:bottom w:val="single" w:color="auto" w:sz="4" w:space="0"/>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Meiryo"/>
                <w:color w:val="000000" w:themeColor="text1"/>
                <w:kern w:val="24"/>
                <w14:textFill>
                  <w14:solidFill>
                    <w14:schemeClr w14:val="tx1"/>
                  </w14:solidFill>
                </w14:textFill>
              </w:rPr>
              <w:t>176 (37.4)</w:t>
            </w:r>
          </w:p>
        </w:tc>
        <w:tc>
          <w:tcPr>
            <w:tcW w:w="1740" w:type="dxa"/>
            <w:tcBorders>
              <w:top w:val="nil"/>
              <w:left w:val="nil"/>
              <w:bottom w:val="single" w:color="auto" w:sz="4" w:space="0"/>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Meiryo"/>
                <w:color w:val="000000" w:themeColor="text1"/>
                <w:kern w:val="24"/>
                <w14:textFill>
                  <w14:solidFill>
                    <w14:schemeClr w14:val="tx1"/>
                  </w14:solidFill>
                </w14:textFill>
              </w:rPr>
              <w:t>369 (56.6)</w:t>
            </w:r>
          </w:p>
        </w:tc>
        <w:tc>
          <w:tcPr>
            <w:tcW w:w="1073" w:type="dxa"/>
            <w:tcBorders>
              <w:top w:val="nil"/>
              <w:left w:val="nil"/>
              <w:bottom w:val="single" w:color="auto" w:sz="4" w:space="0"/>
              <w:right w:val="nil"/>
            </w:tcBorders>
            <w:shd w:val="clear" w:color="auto" w:fill="auto"/>
            <w:tcMar>
              <w:top w:w="15" w:type="dxa"/>
              <w:left w:w="15" w:type="dxa"/>
              <w:bottom w:w="0" w:type="dxa"/>
              <w:right w:w="15" w:type="dxa"/>
            </w:tcMar>
            <w:vAlign w:val="center"/>
          </w:tcPr>
          <w:p>
            <w:pPr>
              <w:spacing w:line="360" w:lineRule="auto"/>
              <w:jc w:val="both"/>
              <w:rPr>
                <w:rFonts w:ascii="Book Antiqua" w:hAnsi="Book Antiqua"/>
                <w:color w:val="000000" w:themeColor="text1"/>
                <w14:textFill>
                  <w14:solidFill>
                    <w14:schemeClr w14:val="tx1"/>
                  </w14:solidFill>
                </w14:textFill>
              </w:rPr>
            </w:pPr>
          </w:p>
        </w:tc>
      </w:tr>
    </w:tbl>
    <w:p>
      <w:pPr>
        <w:spacing w:line="360" w:lineRule="auto"/>
        <w:jc w:val="both"/>
        <w:rPr>
          <w:rFonts w:ascii="Book Antiqua" w:hAnsi="Book Antiqua" w:eastAsia="Book Antiqua" w:cs="Book Antiqua"/>
          <w:color w:val="000000"/>
        </w:rPr>
      </w:pPr>
      <w:r>
        <w:rPr>
          <w:rFonts w:ascii="Book Antiqua" w:hAnsi="Book Antiqua"/>
        </w:rPr>
        <w:t xml:space="preserve">BSC: </w:t>
      </w:r>
      <w:r>
        <w:rPr>
          <w:rFonts w:ascii="Book Antiqua" w:hAnsi="Book Antiqua" w:eastAsia="Book Antiqua" w:cs="Book Antiqua"/>
          <w:color w:val="000000"/>
        </w:rPr>
        <w:t>Best supportive care;</w:t>
      </w:r>
      <w:r>
        <w:rPr>
          <w:rFonts w:ascii="Book Antiqua" w:hAnsi="Book Antiqua"/>
          <w:color w:val="000000" w:themeColor="text1"/>
          <w14:textFill>
            <w14:solidFill>
              <w14:schemeClr w14:val="tx1"/>
            </w14:solidFill>
          </w14:textFill>
        </w:rPr>
        <w:t xml:space="preserve"> DOACs: Direct oral anticoagulants; NSAIDs: Non-steroidal anti-inflammatory drugs; SEMS: </w:t>
      </w:r>
      <w:r>
        <w:rPr>
          <w:rFonts w:ascii="Book Antiqua" w:hAnsi="Book Antiqua"/>
          <w:color w:val="000000" w:themeColor="text1"/>
          <w:shd w:val="clear" w:color="auto" w:fill="FFFFFF"/>
          <w14:textFill>
            <w14:solidFill>
              <w14:schemeClr w14:val="tx1"/>
            </w14:solidFill>
          </w14:textFill>
        </w:rPr>
        <w:t>Self-expandable metal stent</w:t>
      </w:r>
      <w:r>
        <w:rPr>
          <w:rFonts w:ascii="Book Antiqua" w:hAnsi="Book Antiqua" w:eastAsia="Book Antiqua" w:cs="Book Antiqua"/>
          <w:color w:val="000000"/>
        </w:rPr>
        <w:t>.</w:t>
      </w:r>
    </w:p>
    <w:p>
      <w:pPr>
        <w:spacing w:line="360" w:lineRule="auto"/>
        <w:jc w:val="both"/>
        <w:rPr>
          <w:rFonts w:ascii="Book Antiqua" w:hAnsi="Book Antiqua"/>
          <w:bCs/>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rPr>
      </w:pPr>
      <w:r>
        <w:rPr>
          <w:rFonts w:ascii="Book Antiqua" w:hAnsi="Book Antiqua"/>
          <w:b/>
          <w:color w:val="000000"/>
        </w:rPr>
        <w:t xml:space="preserve">Table 2 </w:t>
      </w:r>
      <w:r>
        <w:rPr>
          <w:rFonts w:ascii="Book Antiqua" w:hAnsi="Book Antiqua"/>
          <w:b/>
          <w:bCs/>
          <w:color w:val="000000"/>
        </w:rPr>
        <w:t xml:space="preserve">Factors affecting for overall survival </w:t>
      </w:r>
    </w:p>
    <w:tbl>
      <w:tblPr>
        <w:tblStyle w:val="17"/>
        <w:tblW w:w="9229" w:type="dxa"/>
        <w:tblInd w:w="0" w:type="dxa"/>
        <w:tblLayout w:type="fixed"/>
        <w:tblCellMar>
          <w:top w:w="0" w:type="dxa"/>
          <w:left w:w="0" w:type="dxa"/>
          <w:bottom w:w="0" w:type="dxa"/>
          <w:right w:w="0" w:type="dxa"/>
        </w:tblCellMar>
      </w:tblPr>
      <w:tblGrid>
        <w:gridCol w:w="3559"/>
        <w:gridCol w:w="1940"/>
        <w:gridCol w:w="895"/>
        <w:gridCol w:w="1701"/>
        <w:gridCol w:w="1134"/>
      </w:tblGrid>
      <w:tr>
        <w:trPr>
          <w:trHeight w:val="397" w:hRule="exact"/>
        </w:trPr>
        <w:tc>
          <w:tcPr>
            <w:tcW w:w="3559" w:type="dxa"/>
            <w:vMerge w:val="restart"/>
            <w:tcBorders>
              <w:top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Times New Roman Uni"/>
                <w:b/>
                <w:bCs/>
                <w:color w:val="000000" w:themeColor="text1"/>
                <w:kern w:val="24"/>
                <w14:textFill>
                  <w14:solidFill>
                    <w14:schemeClr w14:val="tx1"/>
                  </w14:solidFill>
                </w14:textFill>
              </w:rPr>
            </w:pPr>
            <w:r>
              <w:rPr>
                <w:rFonts w:ascii="Book Antiqua" w:hAnsi="Book Antiqua" w:eastAsia="Times New Roman Uni"/>
                <w:b/>
                <w:bCs/>
                <w:color w:val="000000" w:themeColor="text1"/>
                <w:kern w:val="24"/>
                <w14:textFill>
                  <w14:solidFill>
                    <w14:schemeClr w14:val="tx1"/>
                  </w14:solidFill>
                </w14:textFill>
              </w:rPr>
              <w:t>Factor</w:t>
            </w:r>
          </w:p>
        </w:tc>
        <w:tc>
          <w:tcPr>
            <w:tcW w:w="2835" w:type="dxa"/>
            <w:gridSpan w:val="2"/>
            <w:tcBorders>
              <w:top w:val="single" w:color="auto" w:sz="4" w:space="0"/>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b/>
                <w:bCs/>
                <w:color w:val="000000" w:themeColor="text1"/>
                <w:kern w:val="24"/>
                <w14:textFill>
                  <w14:solidFill>
                    <w14:schemeClr w14:val="tx1"/>
                  </w14:solidFill>
                </w14:textFill>
              </w:rPr>
            </w:pPr>
            <w:r>
              <w:rPr>
                <w:rFonts w:ascii="Book Antiqua" w:hAnsi="Book Antiqua" w:eastAsia="MS PGothic"/>
                <w:b/>
                <w:bCs/>
                <w:color w:val="000000" w:themeColor="text1"/>
                <w:kern w:val="24"/>
                <w14:textFill>
                  <w14:solidFill>
                    <w14:schemeClr w14:val="tx1"/>
                  </w14:solidFill>
                </w14:textFill>
              </w:rPr>
              <w:t>Univariate analysis</w:t>
            </w:r>
          </w:p>
        </w:tc>
        <w:tc>
          <w:tcPr>
            <w:tcW w:w="2835" w:type="dxa"/>
            <w:gridSpan w:val="2"/>
            <w:tcBorders>
              <w:top w:val="single" w:color="auto" w:sz="4" w:space="0"/>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b/>
                <w:bCs/>
                <w:color w:val="000000" w:themeColor="text1"/>
                <w:kern w:val="24"/>
                <w14:textFill>
                  <w14:solidFill>
                    <w14:schemeClr w14:val="tx1"/>
                  </w14:solidFill>
                </w14:textFill>
              </w:rPr>
            </w:pPr>
            <w:r>
              <w:rPr>
                <w:rFonts w:ascii="Book Antiqua" w:hAnsi="Book Antiqua" w:eastAsia="MS PGothic"/>
                <w:b/>
                <w:bCs/>
                <w:color w:val="000000" w:themeColor="text1"/>
                <w:kern w:val="24"/>
                <w14:textFill>
                  <w14:solidFill>
                    <w14:schemeClr w14:val="tx1"/>
                  </w14:solidFill>
                </w14:textFill>
              </w:rPr>
              <w:t>Multivariate analysis</w:t>
            </w:r>
          </w:p>
        </w:tc>
      </w:tr>
      <w:tr>
        <w:tblPrEx>
          <w:tblCellMar>
            <w:top w:w="0" w:type="dxa"/>
            <w:left w:w="0" w:type="dxa"/>
            <w:bottom w:w="0" w:type="dxa"/>
            <w:right w:w="0" w:type="dxa"/>
          </w:tblCellMar>
        </w:tblPrEx>
        <w:trPr>
          <w:trHeight w:val="286" w:hRule="atLeast"/>
        </w:trPr>
        <w:tc>
          <w:tcPr>
            <w:tcW w:w="3559" w:type="dxa"/>
            <w:vMerge w:val="continue"/>
            <w:tcBorders>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p>
        </w:tc>
        <w:tc>
          <w:tcPr>
            <w:tcW w:w="1940" w:type="dxa"/>
            <w:tcBorders>
              <w:top w:val="single" w:color="auto" w:sz="4" w:space="0"/>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b/>
                <w:bCs/>
                <w:color w:val="000000" w:themeColor="text1"/>
                <w:kern w:val="24"/>
                <w14:textFill>
                  <w14:solidFill>
                    <w14:schemeClr w14:val="tx1"/>
                  </w14:solidFill>
                </w14:textFill>
              </w:rPr>
            </w:pPr>
            <w:r>
              <w:rPr>
                <w:rFonts w:ascii="Book Antiqua" w:hAnsi="Book Antiqua" w:eastAsia="MS PGothic"/>
                <w:b/>
                <w:bCs/>
                <w:color w:val="000000" w:themeColor="text1"/>
                <w:kern w:val="24"/>
                <w14:textFill>
                  <w14:solidFill>
                    <w14:schemeClr w14:val="tx1"/>
                  </w14:solidFill>
                </w14:textFill>
              </w:rPr>
              <w:t>Crude HR</w:t>
            </w:r>
            <w:r>
              <w:rPr>
                <w:rFonts w:hint="eastAsia" w:ascii="Book Antiqua" w:hAnsi="Book Antiqua" w:eastAsia="MS PGothic"/>
                <w:b/>
                <w:bCs/>
                <w:color w:val="000000" w:themeColor="text1"/>
                <w:kern w:val="24"/>
                <w14:textFill>
                  <w14:solidFill>
                    <w14:schemeClr w14:val="tx1"/>
                  </w14:solidFill>
                </w14:textFill>
              </w:rPr>
              <w:t xml:space="preserve"> </w:t>
            </w:r>
            <w:r>
              <w:rPr>
                <w:rFonts w:ascii="Book Antiqua" w:hAnsi="Book Antiqua" w:eastAsia="MS PGothic"/>
                <w:b/>
                <w:bCs/>
                <w:color w:val="000000" w:themeColor="text1"/>
                <w:kern w:val="24"/>
                <w14:textFill>
                  <w14:solidFill>
                    <w14:schemeClr w14:val="tx1"/>
                  </w14:solidFill>
                </w14:textFill>
              </w:rPr>
              <w:t>(95%CI)</w:t>
            </w:r>
          </w:p>
        </w:tc>
        <w:tc>
          <w:tcPr>
            <w:tcW w:w="895" w:type="dxa"/>
            <w:tcBorders>
              <w:top w:val="single" w:color="auto" w:sz="4" w:space="0"/>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b/>
                <w:bCs/>
                <w:i/>
                <w:iCs/>
                <w:color w:val="000000" w:themeColor="text1"/>
                <w:kern w:val="24"/>
                <w14:textFill>
                  <w14:solidFill>
                    <w14:schemeClr w14:val="tx1"/>
                  </w14:solidFill>
                </w14:textFill>
              </w:rPr>
              <w:t>P</w:t>
            </w:r>
            <w:r>
              <w:rPr>
                <w:rFonts w:ascii="Book Antiqua" w:hAnsi="Book Antiqua" w:eastAsia="MS PGothic"/>
                <w:b/>
                <w:bCs/>
                <w:color w:val="000000" w:themeColor="text1"/>
                <w:kern w:val="24"/>
                <w14:textFill>
                  <w14:solidFill>
                    <w14:schemeClr w14:val="tx1"/>
                  </w14:solidFill>
                </w14:textFill>
              </w:rPr>
              <w:t xml:space="preserve"> value</w:t>
            </w:r>
          </w:p>
        </w:tc>
        <w:tc>
          <w:tcPr>
            <w:tcW w:w="1701" w:type="dxa"/>
            <w:tcBorders>
              <w:top w:val="single" w:color="auto" w:sz="4" w:space="0"/>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b/>
                <w:bCs/>
                <w:color w:val="000000" w:themeColor="text1"/>
                <w:kern w:val="24"/>
                <w14:textFill>
                  <w14:solidFill>
                    <w14:schemeClr w14:val="tx1"/>
                  </w14:solidFill>
                </w14:textFill>
              </w:rPr>
            </w:pPr>
            <w:r>
              <w:rPr>
                <w:rFonts w:ascii="Book Antiqua" w:hAnsi="Book Antiqua" w:eastAsia="MS PGothic"/>
                <w:b/>
                <w:bCs/>
                <w:color w:val="000000" w:themeColor="text1"/>
                <w:kern w:val="24"/>
                <w14:textFill>
                  <w14:solidFill>
                    <w14:schemeClr w14:val="tx1"/>
                  </w14:solidFill>
                </w14:textFill>
              </w:rPr>
              <w:t>Adjusted HR</w:t>
            </w:r>
            <w:r>
              <w:rPr>
                <w:rFonts w:hint="eastAsia" w:ascii="Book Antiqua" w:hAnsi="Book Antiqua" w:eastAsia="MS PGothic"/>
                <w:b/>
                <w:bCs/>
                <w:color w:val="000000" w:themeColor="text1"/>
                <w:kern w:val="24"/>
                <w14:textFill>
                  <w14:solidFill>
                    <w14:schemeClr w14:val="tx1"/>
                  </w14:solidFill>
                </w14:textFill>
              </w:rPr>
              <w:t xml:space="preserve"> </w:t>
            </w:r>
            <w:r>
              <w:rPr>
                <w:rFonts w:ascii="Book Antiqua" w:hAnsi="Book Antiqua" w:eastAsia="MS PGothic"/>
                <w:b/>
                <w:bCs/>
                <w:color w:val="000000" w:themeColor="text1"/>
                <w:kern w:val="24"/>
                <w14:textFill>
                  <w14:solidFill>
                    <w14:schemeClr w14:val="tx1"/>
                  </w14:solidFill>
                </w14:textFill>
              </w:rPr>
              <w:t>(95%CI)</w:t>
            </w:r>
          </w:p>
        </w:tc>
        <w:tc>
          <w:tcPr>
            <w:tcW w:w="1134" w:type="dxa"/>
            <w:tcBorders>
              <w:top w:val="single" w:color="auto" w:sz="4" w:space="0"/>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b/>
                <w:bCs/>
                <w:i/>
                <w:iCs/>
                <w:color w:val="000000" w:themeColor="text1"/>
                <w:kern w:val="24"/>
                <w14:textFill>
                  <w14:solidFill>
                    <w14:schemeClr w14:val="tx1"/>
                  </w14:solidFill>
                </w14:textFill>
              </w:rPr>
              <w:t>P</w:t>
            </w:r>
            <w:r>
              <w:rPr>
                <w:rFonts w:ascii="Book Antiqua" w:hAnsi="Book Antiqua" w:eastAsia="MS PGothic"/>
                <w:b/>
                <w:bCs/>
                <w:color w:val="000000" w:themeColor="text1"/>
                <w:kern w:val="24"/>
                <w14:textFill>
                  <w14:solidFill>
                    <w14:schemeClr w14:val="tx1"/>
                  </w14:solidFill>
                </w14:textFill>
              </w:rPr>
              <w:t xml:space="preserve"> value</w:t>
            </w:r>
          </w:p>
        </w:tc>
      </w:tr>
      <w:tr>
        <w:tblPrEx>
          <w:tblCellMar>
            <w:top w:w="0" w:type="dxa"/>
            <w:left w:w="0" w:type="dxa"/>
            <w:bottom w:w="0" w:type="dxa"/>
            <w:right w:w="0" w:type="dxa"/>
          </w:tblCellMar>
        </w:tblPrEx>
        <w:trPr>
          <w:trHeight w:val="286" w:hRule="atLeast"/>
        </w:trPr>
        <w:tc>
          <w:tcPr>
            <w:tcW w:w="3559" w:type="dxa"/>
            <w:tcBorders>
              <w:top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BSC</w:t>
            </w:r>
          </w:p>
        </w:tc>
        <w:tc>
          <w:tcPr>
            <w:tcW w:w="1940" w:type="dxa"/>
            <w:tcBorders>
              <w:top w:val="single" w:color="auto" w:sz="4" w:space="0"/>
            </w:tcBorders>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895" w:type="dxa"/>
            <w:tcBorders>
              <w:top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tcBorders>
              <w:top w:val="single" w:color="auto" w:sz="4" w:space="0"/>
            </w:tcBorders>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134" w:type="dxa"/>
            <w:tcBorders>
              <w:top w:val="single" w:color="auto" w:sz="4" w:space="0"/>
            </w:tcBorders>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Chemotherapy after the intervention</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0.38 (0.31-0.48)</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0.36 (0.28-0.46)</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Age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color w:val="000000"/>
              </w:rPr>
              <w:t>Young (age &lt; 75 yr)</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color w:val="000000"/>
              </w:rPr>
              <w:t>Elder (age ≥ 75 yr)</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1.39 (1.10-1.75)</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0.005</w:t>
            </w: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1.17 (0.92-1.49)</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0.208</w:t>
            </w: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color w:val="000000"/>
              </w:rPr>
            </w:pPr>
            <w:r>
              <w:rPr>
                <w:rFonts w:ascii="Book Antiqua" w:hAnsi="Book Antiqua"/>
                <w:color w:val="000000"/>
              </w:rPr>
              <w:t>Sex</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Male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Female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1.05 (0.84-1.30)</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0.673</w:t>
            </w: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1.03 (0.83-1.29)</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0.782</w:t>
            </w: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color w:val="000000"/>
              </w:rPr>
              <w:t>Charlson co-morbidity index</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&lt; 3</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color w:val="000000"/>
              </w:rPr>
              <w:t xml:space="preserve">≥ </w:t>
            </w:r>
            <w:r>
              <w:rPr>
                <w:rFonts w:ascii="Book Antiqua" w:hAnsi="Book Antiqua" w:eastAsia="MS PGothic"/>
                <w:color w:val="000000" w:themeColor="text1"/>
                <w:kern w:val="24"/>
                <w14:textFill>
                  <w14:solidFill>
                    <w14:schemeClr w14:val="tx1"/>
                  </w14:solidFill>
                </w14:textFill>
              </w:rPr>
              <w:t>3</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1.59 (1.27-2.00)</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1.56 (1.24-1.97)</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color w:val="000000"/>
              </w:rPr>
            </w:pPr>
            <w:r>
              <w:rPr>
                <w:rFonts w:ascii="Book Antiqua" w:hAnsi="Book Antiqua"/>
                <w:color w:val="000000" w:themeColor="text1"/>
                <w14:textFill>
                  <w14:solidFill>
                    <w14:schemeClr w14:val="tx1"/>
                  </w14:solidFill>
                </w14:textFill>
              </w:rPr>
              <w:t>Barthel index</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color w:val="000000"/>
              </w:rPr>
              <w:t xml:space="preserve">≥ </w:t>
            </w:r>
            <w:r>
              <w:rPr>
                <w:rFonts w:ascii="Book Antiqua" w:hAnsi="Book Antiqua" w:eastAsia="MS PGothic"/>
                <w:color w:val="000000" w:themeColor="text1"/>
                <w:kern w:val="24"/>
                <w14:textFill>
                  <w14:solidFill>
                    <w14:schemeClr w14:val="tx1"/>
                  </w14:solidFill>
                </w14:textFill>
              </w:rPr>
              <w:t>60</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60</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2.16 (1.64-2.84)</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2.04 (1.53-2.73)</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color w:val="000000"/>
              </w:rPr>
              <w:t>Medication</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b/>
                <w:bCs/>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Aspirin non-use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Aspirin use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1.01 (0.62-1.64)</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0.980</w:t>
            </w: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0.81 (0.49-1.33)</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0.399</w:t>
            </w: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color w:val="000000" w:themeColor="text1"/>
                <w:kern w:val="24"/>
                <w14:textFill>
                  <w14:solidFill>
                    <w14:schemeClr w14:val="tx1"/>
                  </w14:solidFill>
                </w14:textFill>
              </w:rPr>
            </w:pPr>
            <w:bookmarkStart w:id="81" w:name="OLE_LINK3878"/>
            <w:bookmarkStart w:id="82" w:name="OLE_LINK3877"/>
            <w:r>
              <w:rPr>
                <w:rFonts w:ascii="Book Antiqua" w:hAnsi="Book Antiqua" w:eastAsia="MS PGothic"/>
                <w:color w:val="000000" w:themeColor="text1"/>
                <w:kern w:val="24"/>
                <w14:textFill>
                  <w14:solidFill>
                    <w14:schemeClr w14:val="tx1"/>
                  </w14:solidFill>
                </w14:textFill>
              </w:rPr>
              <w:t>Thienopyridine</w:t>
            </w:r>
            <w:bookmarkEnd w:id="81"/>
            <w:bookmarkEnd w:id="82"/>
            <w:r>
              <w:rPr>
                <w:rFonts w:ascii="Book Antiqua" w:hAnsi="Book Antiqua" w:eastAsia="MS PGothic"/>
                <w:color w:val="000000" w:themeColor="text1"/>
                <w:kern w:val="24"/>
                <w14:textFill>
                  <w14:solidFill>
                    <w14:schemeClr w14:val="tx1"/>
                  </w14:solidFill>
                </w14:textFill>
              </w:rPr>
              <w:t xml:space="preserve"> non-use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Thienopyridine</w:t>
            </w:r>
            <w:r>
              <w:rPr>
                <w:rFonts w:ascii="Book Antiqua" w:hAnsi="Book Antiqua" w:eastAsia="MS PGothic"/>
              </w:rPr>
              <w:t xml:space="preserve"> use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1.32 (0.70-2.47)</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0.391</w:t>
            </w: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1.07 (0.56-2.03)</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0.843</w:t>
            </w: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color w:val="000000" w:themeColor="text1"/>
                <w:kern w:val="24"/>
                <w14:textFill>
                  <w14:solidFill>
                    <w14:schemeClr w14:val="tx1"/>
                  </w14:solidFill>
                </w14:textFill>
              </w:rPr>
            </w:pPr>
            <w:bookmarkStart w:id="83" w:name="OLE_LINK3880"/>
            <w:bookmarkStart w:id="84" w:name="OLE_LINK3879"/>
            <w:r>
              <w:rPr>
                <w:rFonts w:ascii="Book Antiqua" w:hAnsi="Book Antiqua" w:eastAsia="MS PGothic"/>
                <w:color w:val="000000" w:themeColor="text1"/>
                <w:kern w:val="24"/>
                <w14:textFill>
                  <w14:solidFill>
                    <w14:schemeClr w14:val="tx1"/>
                  </w14:solidFill>
                </w14:textFill>
              </w:rPr>
              <w:t>Warfarin</w:t>
            </w:r>
            <w:bookmarkEnd w:id="83"/>
            <w:bookmarkEnd w:id="84"/>
            <w:r>
              <w:rPr>
                <w:rFonts w:ascii="Book Antiqua" w:hAnsi="Book Antiqua" w:eastAsia="MS PGothic"/>
                <w:color w:val="000000" w:themeColor="text1"/>
                <w:kern w:val="24"/>
                <w14:textFill>
                  <w14:solidFill>
                    <w14:schemeClr w14:val="tx1"/>
                  </w14:solidFill>
                </w14:textFill>
              </w:rPr>
              <w:t xml:space="preserve"> non-use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Warfarin use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0.93 (0.42-2.09)</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0.863</w:t>
            </w: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0.90 (0.40-2.02)</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0.791</w:t>
            </w: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DOACs non-use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28"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DOACs use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1.31 (0.87-1.95)</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0.193</w:t>
            </w: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1.27 (0.85-1.91)</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0.250</w:t>
            </w:r>
          </w:p>
        </w:tc>
      </w:tr>
      <w:tr>
        <w:tblPrEx>
          <w:tblCellMar>
            <w:top w:w="0" w:type="dxa"/>
            <w:left w:w="0" w:type="dxa"/>
            <w:bottom w:w="0" w:type="dxa"/>
            <w:right w:w="0" w:type="dxa"/>
          </w:tblCellMar>
        </w:tblPrEx>
        <w:trPr>
          <w:trHeight w:val="228"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color w:val="000000" w:themeColor="text1"/>
                <w:kern w:val="24"/>
                <w14:textFill>
                  <w14:solidFill>
                    <w14:schemeClr w14:val="tx1"/>
                  </w14:solidFill>
                </w14:textFill>
              </w:rPr>
            </w:pPr>
            <w:bookmarkStart w:id="85" w:name="OLE_LINK3882"/>
            <w:bookmarkStart w:id="86" w:name="OLE_LINK3883"/>
            <w:bookmarkStart w:id="87" w:name="OLE_LINK3881"/>
            <w:r>
              <w:rPr>
                <w:rFonts w:ascii="Book Antiqua" w:hAnsi="Book Antiqua" w:eastAsia="MS PGothic"/>
                <w:color w:val="000000" w:themeColor="text1"/>
                <w:kern w:val="24"/>
                <w14:textFill>
                  <w14:solidFill>
                    <w14:schemeClr w14:val="tx1"/>
                  </w14:solidFill>
                </w14:textFill>
              </w:rPr>
              <w:t>Other antiplatelet drugs</w:t>
            </w:r>
            <w:bookmarkEnd w:id="85"/>
            <w:bookmarkEnd w:id="86"/>
            <w:bookmarkEnd w:id="87"/>
            <w:r>
              <w:rPr>
                <w:rFonts w:ascii="Book Antiqua" w:hAnsi="Book Antiqua" w:eastAsia="MS PGothic"/>
                <w:color w:val="000000" w:themeColor="text1"/>
                <w:kern w:val="24"/>
                <w14:textFill>
                  <w14:solidFill>
                    <w14:schemeClr w14:val="tx1"/>
                  </w14:solidFill>
                </w14:textFill>
              </w:rPr>
              <w:t xml:space="preserve"> non-use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Other antiplatelet drugs use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1.06 (0.60-1.89)</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0.837</w:t>
            </w: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1.04 (0.58-1.86)</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0.904</w:t>
            </w: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color w:val="000000" w:themeColor="text1"/>
                <w:kern w:val="24"/>
                <w14:textFill>
                  <w14:solidFill>
                    <w14:schemeClr w14:val="tx1"/>
                  </w14:solidFill>
                </w14:textFill>
              </w:rPr>
            </w:pPr>
            <w:bookmarkStart w:id="88" w:name="OLE_LINK3884"/>
            <w:bookmarkStart w:id="89" w:name="OLE_LINK3885"/>
            <w:r>
              <w:rPr>
                <w:rFonts w:ascii="Book Antiqua" w:hAnsi="Book Antiqua" w:eastAsia="MS PGothic"/>
                <w:color w:val="000000" w:themeColor="text1"/>
                <w:kern w:val="24"/>
                <w14:textFill>
                  <w14:solidFill>
                    <w14:schemeClr w14:val="tx1"/>
                  </w14:solidFill>
                </w14:textFill>
              </w:rPr>
              <w:t>NSAIDs</w:t>
            </w:r>
            <w:bookmarkEnd w:id="88"/>
            <w:bookmarkEnd w:id="89"/>
            <w:r>
              <w:rPr>
                <w:rFonts w:ascii="Book Antiqua" w:hAnsi="Book Antiqua" w:eastAsia="MS PGothic"/>
                <w:color w:val="000000" w:themeColor="text1"/>
                <w:kern w:val="24"/>
                <w14:textFill>
                  <w14:solidFill>
                    <w14:schemeClr w14:val="tx1"/>
                  </w14:solidFill>
                </w14:textFill>
              </w:rPr>
              <w:t xml:space="preserve"> non-use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NSAIDs use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0.99 (0.80-1.23)</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0.948</w:t>
            </w: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1.05 (0.83-1.33)</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0.674</w:t>
            </w: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color w:val="000000" w:themeColor="text1"/>
                <w:kern w:val="24"/>
                <w14:textFill>
                  <w14:solidFill>
                    <w14:schemeClr w14:val="tx1"/>
                  </w14:solidFill>
                </w14:textFill>
              </w:rPr>
            </w:pPr>
            <w:bookmarkStart w:id="90" w:name="OLE_LINK3886"/>
            <w:bookmarkStart w:id="91" w:name="OLE_LINK3887"/>
            <w:r>
              <w:rPr>
                <w:rFonts w:ascii="Book Antiqua" w:hAnsi="Book Antiqua" w:eastAsia="MS PGothic"/>
                <w:color w:val="000000" w:themeColor="text1"/>
                <w:kern w:val="24"/>
                <w14:textFill>
                  <w14:solidFill>
                    <w14:schemeClr w14:val="tx1"/>
                  </w14:solidFill>
                </w14:textFill>
              </w:rPr>
              <w:t>Steroid</w:t>
            </w:r>
            <w:bookmarkEnd w:id="90"/>
            <w:bookmarkEnd w:id="91"/>
            <w:r>
              <w:rPr>
                <w:rFonts w:ascii="Book Antiqua" w:hAnsi="Book Antiqua" w:eastAsia="MS PGothic"/>
                <w:color w:val="000000" w:themeColor="text1"/>
                <w:kern w:val="24"/>
                <w14:textFill>
                  <w14:solidFill>
                    <w14:schemeClr w14:val="tx1"/>
                  </w14:solidFill>
                </w14:textFill>
              </w:rPr>
              <w:t xml:space="preserve"> non-use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Steroid use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1.26 (1.02-1.57)</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0.035</w:t>
            </w: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1.15 (0.92-1.45)</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0.210</w:t>
            </w: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eiryo"/>
                <w:color w:val="000000"/>
              </w:rPr>
              <w:t>Cancer type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eiryo"/>
                <w:color w:val="000000"/>
              </w:rPr>
            </w:pPr>
            <w:r>
              <w:rPr>
                <w:rFonts w:ascii="Book Antiqua" w:hAnsi="Book Antiqua" w:eastAsia="MS PGothic"/>
                <w:color w:val="000000" w:themeColor="text1"/>
                <w:kern w:val="24"/>
                <w14:textFill>
                  <w14:solidFill>
                    <w14:schemeClr w14:val="tx1"/>
                  </w14:solidFill>
                </w14:textFill>
              </w:rPr>
              <w:t>Esophageal cancer</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Gastric cancer</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0.68 (0.47-0.99)</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0.045</w:t>
            </w: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0.64 (0.43-0.96)</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0.030</w:t>
            </w: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Pancreatic cancer</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1.00 (0.67-1.48)</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0.991</w:t>
            </w: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0.92 (0.61-1.39)</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0.697</w:t>
            </w: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Colorectal cancer</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0.40 (0.27-0.59)</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0.47 (0.30-0.73)</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Other cancers</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0.77 (0.53-1.13)</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0.186</w:t>
            </w: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0.78 (0.51-1.18)</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0.242</w:t>
            </w: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eiryo"/>
                <w:color w:val="000000"/>
              </w:rPr>
              <w:t>Cancer stage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eiryo"/>
                <w:b/>
                <w:bCs/>
                <w:color w:val="000000"/>
              </w:rPr>
            </w:pPr>
            <w:r>
              <w:rPr>
                <w:rFonts w:ascii="Book Antiqua" w:hAnsi="Book Antiqua" w:eastAsia="MS PGothic"/>
                <w:color w:val="000000" w:themeColor="text1"/>
                <w:kern w:val="24"/>
                <w14:textFill>
                  <w14:solidFill>
                    <w14:schemeClr w14:val="tx1"/>
                  </w14:solidFill>
                </w14:textFill>
              </w:rPr>
              <w:t>Stage I-III</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Stage IV or recurrence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1.96 (1.43-2.70)</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1.79 (1.28-2.50)</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eiryo"/>
                <w:color w:val="000000"/>
              </w:rPr>
              <w:t>Obstruction site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eiryo"/>
                <w:color w:val="000000"/>
              </w:rPr>
            </w:pPr>
            <w:r>
              <w:rPr>
                <w:rFonts w:ascii="Book Antiqua" w:hAnsi="Book Antiqua" w:eastAsia="MS PGothic"/>
                <w:color w:val="000000" w:themeColor="text1"/>
                <w:kern w:val="24"/>
                <w14:textFill>
                  <w14:solidFill>
                    <w14:schemeClr w14:val="tx1"/>
                  </w14:solidFill>
                </w14:textFill>
              </w:rPr>
              <w:t>Esophageal obstruction</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Gastroduodenal obstruction</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0.84 (0.61-1.15)</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0.274</w:t>
            </w: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1.03 (0.58-1.82)</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0.918</w:t>
            </w: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 xml:space="preserve">Lower gastrointestinal obstruction </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0.48 (0.35-0.66)</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0.78 (0.42-1.44)</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0.426</w:t>
            </w: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Non-chemotherapy before the intervention</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Chemotherapy before the intervention</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2.08 (1.68-2.57)</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1.66 (1.31-2.09)</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eiryo"/>
                <w:color w:val="000000"/>
              </w:rPr>
              <w:t>Intervention type</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eiryo"/>
                <w:b/>
                <w:bCs/>
                <w:color w:val="000000"/>
              </w:rPr>
            </w:pPr>
            <w:r>
              <w:rPr>
                <w:rFonts w:ascii="Book Antiqua" w:hAnsi="Book Antiqua" w:eastAsia="MS PGothic"/>
                <w:color w:val="000000" w:themeColor="text1"/>
                <w:kern w:val="24"/>
                <w14:textFill>
                  <w14:solidFill>
                    <w14:schemeClr w14:val="tx1"/>
                  </w14:solidFill>
                </w14:textFill>
              </w:rPr>
              <w:t>Palliative surgery</w:t>
            </w:r>
          </w:p>
        </w:tc>
        <w:tc>
          <w:tcPr>
            <w:tcW w:w="194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895"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701"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134"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6" w:hRule="atLeast"/>
        </w:trPr>
        <w:tc>
          <w:tcPr>
            <w:tcW w:w="3559" w:type="dxa"/>
            <w:tcBorders>
              <w:bottom w:val="single" w:color="auto" w:sz="4" w:space="0"/>
            </w:tcBorders>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 xml:space="preserve">SEMS placement </w:t>
            </w:r>
          </w:p>
        </w:tc>
        <w:tc>
          <w:tcPr>
            <w:tcW w:w="1940" w:type="dxa"/>
            <w:tcBorders>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2.03 (1.63-2.51)</w:t>
            </w:r>
          </w:p>
        </w:tc>
        <w:tc>
          <w:tcPr>
            <w:tcW w:w="895" w:type="dxa"/>
            <w:tcBorders>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c>
          <w:tcPr>
            <w:tcW w:w="1701" w:type="dxa"/>
            <w:tcBorders>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1.63 (1.27-2.09)</w:t>
            </w:r>
          </w:p>
        </w:tc>
        <w:tc>
          <w:tcPr>
            <w:tcW w:w="1134" w:type="dxa"/>
            <w:tcBorders>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r>
    </w:tbl>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bookmarkStart w:id="92" w:name="OLE_LINK3908"/>
      <w:bookmarkStart w:id="93" w:name="OLE_LINK3909"/>
      <w:r>
        <w:rPr>
          <w:rFonts w:ascii="Book Antiqua" w:hAnsi="Book Antiqua"/>
          <w:color w:val="000000" w:themeColor="text1"/>
          <w:shd w:val="clear" w:color="auto" w:fill="FFFFFF"/>
          <w14:textFill>
            <w14:solidFill>
              <w14:schemeClr w14:val="tx1"/>
            </w14:solidFill>
          </w14:textFill>
        </w:rPr>
        <w:t xml:space="preserve">CI: </w:t>
      </w:r>
      <w:r>
        <w:rPr>
          <w:rFonts w:ascii="Book Antiqua" w:hAnsi="Book Antiqua" w:eastAsia="Book Antiqua" w:cs="Book Antiqua"/>
          <w:color w:val="000000"/>
        </w:rPr>
        <w:t xml:space="preserve">Confidence interval; </w:t>
      </w:r>
      <w:r>
        <w:rPr>
          <w:rFonts w:ascii="Book Antiqua" w:hAnsi="Book Antiqua"/>
          <w:color w:val="000000" w:themeColor="text1"/>
          <w14:textFill>
            <w14:solidFill>
              <w14:schemeClr w14:val="tx1"/>
            </w14:solidFill>
          </w14:textFill>
        </w:rPr>
        <w:t xml:space="preserve">DOACs: Direct oral anticoagulants; </w:t>
      </w:r>
      <w:r>
        <w:rPr>
          <w:rFonts w:ascii="Book Antiqua" w:hAnsi="Book Antiqua"/>
          <w:color w:val="000000" w:themeColor="text1"/>
          <w:shd w:val="clear" w:color="auto" w:fill="FFFFFF"/>
          <w14:textFill>
            <w14:solidFill>
              <w14:schemeClr w14:val="tx1"/>
            </w14:solidFill>
          </w14:textFill>
        </w:rPr>
        <w:t xml:space="preserve">HR: </w:t>
      </w:r>
      <w:r>
        <w:rPr>
          <w:rFonts w:ascii="Book Antiqua" w:hAnsi="Book Antiqua" w:eastAsia="Book Antiqua" w:cs="Book Antiqua"/>
          <w:color w:val="000000"/>
        </w:rPr>
        <w:t>Hazard ratio</w:t>
      </w:r>
      <w:r>
        <w:rPr>
          <w:rFonts w:ascii="Book Antiqua" w:hAnsi="Book Antiqua"/>
          <w:color w:val="000000" w:themeColor="text1"/>
          <w:shd w:val="clear" w:color="auto" w:fill="FFFFFF"/>
          <w14:textFill>
            <w14:solidFill>
              <w14:schemeClr w14:val="tx1"/>
            </w14:solidFill>
          </w14:textFill>
        </w:rPr>
        <w:t xml:space="preserve">; </w:t>
      </w:r>
      <w:r>
        <w:rPr>
          <w:rFonts w:ascii="Book Antiqua" w:hAnsi="Book Antiqua"/>
          <w:color w:val="000000" w:themeColor="text1"/>
          <w14:textFill>
            <w14:solidFill>
              <w14:schemeClr w14:val="tx1"/>
            </w14:solidFill>
          </w14:textFill>
        </w:rPr>
        <w:t xml:space="preserve">NSAIDs: Non-steroidal anti-inflammatory drugs; SEMS: </w:t>
      </w:r>
      <w:r>
        <w:rPr>
          <w:rFonts w:ascii="Book Antiqua" w:hAnsi="Book Antiqua"/>
          <w:color w:val="000000" w:themeColor="text1"/>
          <w:shd w:val="clear" w:color="auto" w:fill="FFFFFF"/>
          <w14:textFill>
            <w14:solidFill>
              <w14:schemeClr w14:val="tx1"/>
            </w14:solidFill>
          </w14:textFill>
        </w:rPr>
        <w:t xml:space="preserve">Self-expandable metal stent. </w:t>
      </w:r>
      <w:bookmarkEnd w:id="92"/>
      <w:bookmarkEnd w:id="93"/>
    </w:p>
    <w:p>
      <w:pPr>
        <w:spacing w:line="360" w:lineRule="auto"/>
        <w:jc w:val="both"/>
        <w:rPr>
          <w:rFonts w:ascii="Book Antiqua" w:hAnsi="Book Antiqua"/>
          <w:color w:val="000000"/>
        </w:rPr>
      </w:pPr>
      <w:r>
        <w:rPr>
          <w:rFonts w:ascii="Book Antiqua" w:hAnsi="Book Antiqua"/>
          <w:b/>
          <w:color w:val="000000"/>
        </w:rPr>
        <w:t xml:space="preserve">Table 3 </w:t>
      </w:r>
      <w:r>
        <w:rPr>
          <w:rFonts w:ascii="Book Antiqua" w:hAnsi="Book Antiqua"/>
          <w:b/>
          <w:bCs/>
          <w:color w:val="000000"/>
        </w:rPr>
        <w:t>Factors affecting for patency</w:t>
      </w:r>
    </w:p>
    <w:tbl>
      <w:tblPr>
        <w:tblStyle w:val="17"/>
        <w:tblW w:w="9445" w:type="dxa"/>
        <w:tblInd w:w="0" w:type="dxa"/>
        <w:tblLayout w:type="fixed"/>
        <w:tblCellMar>
          <w:top w:w="0" w:type="dxa"/>
          <w:left w:w="0" w:type="dxa"/>
          <w:bottom w:w="0" w:type="dxa"/>
          <w:right w:w="0" w:type="dxa"/>
        </w:tblCellMar>
      </w:tblPr>
      <w:tblGrid>
        <w:gridCol w:w="3753"/>
        <w:gridCol w:w="1943"/>
        <w:gridCol w:w="1046"/>
        <w:gridCol w:w="1793"/>
        <w:gridCol w:w="910"/>
      </w:tblGrid>
      <w:tr>
        <w:tblPrEx>
          <w:tblCellMar>
            <w:top w:w="0" w:type="dxa"/>
            <w:left w:w="0" w:type="dxa"/>
            <w:bottom w:w="0" w:type="dxa"/>
            <w:right w:w="0" w:type="dxa"/>
          </w:tblCellMar>
        </w:tblPrEx>
        <w:trPr>
          <w:trHeight w:val="398" w:hRule="exact"/>
        </w:trPr>
        <w:tc>
          <w:tcPr>
            <w:tcW w:w="3753" w:type="dxa"/>
            <w:vMerge w:val="restart"/>
            <w:tcBorders>
              <w:top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Times New Roman Uni"/>
                <w:b/>
                <w:bCs/>
                <w:color w:val="000000" w:themeColor="text1"/>
                <w:kern w:val="24"/>
                <w14:textFill>
                  <w14:solidFill>
                    <w14:schemeClr w14:val="tx1"/>
                  </w14:solidFill>
                </w14:textFill>
              </w:rPr>
            </w:pPr>
            <w:r>
              <w:rPr>
                <w:rFonts w:ascii="Book Antiqua" w:hAnsi="Book Antiqua" w:eastAsia="Times New Roman Uni"/>
                <w:b/>
                <w:bCs/>
                <w:color w:val="000000" w:themeColor="text1"/>
                <w:kern w:val="24"/>
                <w14:textFill>
                  <w14:solidFill>
                    <w14:schemeClr w14:val="tx1"/>
                  </w14:solidFill>
                </w14:textFill>
              </w:rPr>
              <w:t>Factor</w:t>
            </w:r>
          </w:p>
        </w:tc>
        <w:tc>
          <w:tcPr>
            <w:tcW w:w="2989" w:type="dxa"/>
            <w:gridSpan w:val="2"/>
            <w:tcBorders>
              <w:top w:val="single" w:color="auto" w:sz="4" w:space="0"/>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b/>
                <w:bCs/>
                <w:color w:val="000000" w:themeColor="text1"/>
                <w:kern w:val="24"/>
                <w14:textFill>
                  <w14:solidFill>
                    <w14:schemeClr w14:val="tx1"/>
                  </w14:solidFill>
                </w14:textFill>
              </w:rPr>
            </w:pPr>
            <w:r>
              <w:rPr>
                <w:rFonts w:ascii="Book Antiqua" w:hAnsi="Book Antiqua" w:eastAsia="MS PGothic"/>
                <w:b/>
                <w:bCs/>
                <w:color w:val="000000" w:themeColor="text1"/>
                <w:kern w:val="24"/>
                <w14:textFill>
                  <w14:solidFill>
                    <w14:schemeClr w14:val="tx1"/>
                  </w14:solidFill>
                </w14:textFill>
              </w:rPr>
              <w:t>Univariate analysis</w:t>
            </w:r>
          </w:p>
        </w:tc>
        <w:tc>
          <w:tcPr>
            <w:tcW w:w="2703" w:type="dxa"/>
            <w:gridSpan w:val="2"/>
            <w:tcBorders>
              <w:top w:val="single" w:color="auto" w:sz="4" w:space="0"/>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b/>
                <w:bCs/>
                <w:color w:val="000000" w:themeColor="text1"/>
                <w:kern w:val="24"/>
                <w14:textFill>
                  <w14:solidFill>
                    <w14:schemeClr w14:val="tx1"/>
                  </w14:solidFill>
                </w14:textFill>
              </w:rPr>
            </w:pPr>
            <w:r>
              <w:rPr>
                <w:rFonts w:ascii="Book Antiqua" w:hAnsi="Book Antiqua" w:eastAsia="MS PGothic"/>
                <w:b/>
                <w:bCs/>
                <w:color w:val="000000" w:themeColor="text1"/>
                <w:kern w:val="24"/>
                <w14:textFill>
                  <w14:solidFill>
                    <w14:schemeClr w14:val="tx1"/>
                  </w14:solidFill>
                </w14:textFill>
              </w:rPr>
              <w:t>Multivariate analysis</w:t>
            </w:r>
          </w:p>
        </w:tc>
      </w:tr>
      <w:tr>
        <w:tblPrEx>
          <w:tblCellMar>
            <w:top w:w="0" w:type="dxa"/>
            <w:left w:w="0" w:type="dxa"/>
            <w:bottom w:w="0" w:type="dxa"/>
            <w:right w:w="0" w:type="dxa"/>
          </w:tblCellMar>
        </w:tblPrEx>
        <w:trPr>
          <w:trHeight w:val="404" w:hRule="atLeast"/>
        </w:trPr>
        <w:tc>
          <w:tcPr>
            <w:tcW w:w="3753" w:type="dxa"/>
            <w:vMerge w:val="continue"/>
            <w:tcBorders>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p>
        </w:tc>
        <w:tc>
          <w:tcPr>
            <w:tcW w:w="1943" w:type="dxa"/>
            <w:tcBorders>
              <w:top w:val="single" w:color="auto" w:sz="4" w:space="0"/>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b/>
                <w:bCs/>
                <w:color w:val="000000" w:themeColor="text1"/>
                <w:kern w:val="24"/>
                <w14:textFill>
                  <w14:solidFill>
                    <w14:schemeClr w14:val="tx1"/>
                  </w14:solidFill>
                </w14:textFill>
              </w:rPr>
            </w:pPr>
            <w:r>
              <w:rPr>
                <w:rFonts w:ascii="Book Antiqua" w:hAnsi="Book Antiqua" w:eastAsia="MS PGothic"/>
                <w:b/>
                <w:bCs/>
                <w:color w:val="000000" w:themeColor="text1"/>
                <w:kern w:val="24"/>
                <w14:textFill>
                  <w14:solidFill>
                    <w14:schemeClr w14:val="tx1"/>
                  </w14:solidFill>
                </w14:textFill>
              </w:rPr>
              <w:t>Crude HR</w:t>
            </w:r>
            <w:r>
              <w:rPr>
                <w:rFonts w:hint="eastAsia" w:ascii="Book Antiqua" w:hAnsi="Book Antiqua" w:eastAsia="MS PGothic"/>
                <w:b/>
                <w:bCs/>
                <w:color w:val="000000" w:themeColor="text1"/>
                <w:kern w:val="24"/>
                <w14:textFill>
                  <w14:solidFill>
                    <w14:schemeClr w14:val="tx1"/>
                  </w14:solidFill>
                </w14:textFill>
              </w:rPr>
              <w:t xml:space="preserve"> </w:t>
            </w:r>
            <w:r>
              <w:rPr>
                <w:rFonts w:ascii="Book Antiqua" w:hAnsi="Book Antiqua" w:eastAsia="MS PGothic"/>
                <w:b/>
                <w:bCs/>
                <w:color w:val="000000" w:themeColor="text1"/>
                <w:kern w:val="24"/>
                <w14:textFill>
                  <w14:solidFill>
                    <w14:schemeClr w14:val="tx1"/>
                  </w14:solidFill>
                </w14:textFill>
              </w:rPr>
              <w:t>(95%CI)</w:t>
            </w:r>
          </w:p>
        </w:tc>
        <w:tc>
          <w:tcPr>
            <w:tcW w:w="1046" w:type="dxa"/>
            <w:tcBorders>
              <w:top w:val="single" w:color="auto" w:sz="4" w:space="0"/>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b/>
                <w:bCs/>
                <w:i/>
                <w:iCs/>
                <w:color w:val="000000" w:themeColor="text1"/>
                <w:kern w:val="24"/>
                <w14:textFill>
                  <w14:solidFill>
                    <w14:schemeClr w14:val="tx1"/>
                  </w14:solidFill>
                </w14:textFill>
              </w:rPr>
              <w:t>P</w:t>
            </w:r>
            <w:r>
              <w:rPr>
                <w:rFonts w:ascii="Book Antiqua" w:hAnsi="Book Antiqua" w:eastAsia="MS PGothic"/>
                <w:b/>
                <w:bCs/>
                <w:color w:val="000000" w:themeColor="text1"/>
                <w:kern w:val="24"/>
                <w14:textFill>
                  <w14:solidFill>
                    <w14:schemeClr w14:val="tx1"/>
                  </w14:solidFill>
                </w14:textFill>
              </w:rPr>
              <w:t xml:space="preserve"> value</w:t>
            </w:r>
          </w:p>
        </w:tc>
        <w:tc>
          <w:tcPr>
            <w:tcW w:w="1793" w:type="dxa"/>
            <w:tcBorders>
              <w:top w:val="single" w:color="auto" w:sz="4" w:space="0"/>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b/>
                <w:bCs/>
                <w:color w:val="000000" w:themeColor="text1"/>
                <w:kern w:val="24"/>
                <w14:textFill>
                  <w14:solidFill>
                    <w14:schemeClr w14:val="tx1"/>
                  </w14:solidFill>
                </w14:textFill>
              </w:rPr>
            </w:pPr>
            <w:r>
              <w:rPr>
                <w:rFonts w:ascii="Book Antiqua" w:hAnsi="Book Antiqua" w:eastAsia="MS PGothic"/>
                <w:b/>
                <w:bCs/>
                <w:color w:val="000000" w:themeColor="text1"/>
                <w:kern w:val="24"/>
                <w14:textFill>
                  <w14:solidFill>
                    <w14:schemeClr w14:val="tx1"/>
                  </w14:solidFill>
                </w14:textFill>
              </w:rPr>
              <w:t>Adjusted HR</w:t>
            </w:r>
            <w:r>
              <w:rPr>
                <w:rFonts w:hint="eastAsia" w:ascii="Book Antiqua" w:hAnsi="Book Antiqua" w:eastAsia="MS PGothic"/>
                <w:b/>
                <w:bCs/>
                <w:color w:val="000000" w:themeColor="text1"/>
                <w:kern w:val="24"/>
                <w14:textFill>
                  <w14:solidFill>
                    <w14:schemeClr w14:val="tx1"/>
                  </w14:solidFill>
                </w14:textFill>
              </w:rPr>
              <w:t xml:space="preserve"> </w:t>
            </w:r>
            <w:r>
              <w:rPr>
                <w:rFonts w:ascii="Book Antiqua" w:hAnsi="Book Antiqua" w:eastAsia="MS PGothic"/>
                <w:b/>
                <w:bCs/>
                <w:color w:val="000000" w:themeColor="text1"/>
                <w:kern w:val="24"/>
                <w14:textFill>
                  <w14:solidFill>
                    <w14:schemeClr w14:val="tx1"/>
                  </w14:solidFill>
                </w14:textFill>
              </w:rPr>
              <w:t>(95%CI)</w:t>
            </w:r>
          </w:p>
        </w:tc>
        <w:tc>
          <w:tcPr>
            <w:tcW w:w="910" w:type="dxa"/>
            <w:tcBorders>
              <w:top w:val="single" w:color="auto" w:sz="4" w:space="0"/>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b/>
                <w:bCs/>
                <w:i/>
                <w:iCs/>
                <w:color w:val="000000" w:themeColor="text1"/>
                <w:kern w:val="24"/>
                <w14:textFill>
                  <w14:solidFill>
                    <w14:schemeClr w14:val="tx1"/>
                  </w14:solidFill>
                </w14:textFill>
              </w:rPr>
              <w:t>P</w:t>
            </w:r>
            <w:r>
              <w:rPr>
                <w:rFonts w:ascii="Book Antiqua" w:hAnsi="Book Antiqua" w:eastAsia="MS PGothic"/>
                <w:b/>
                <w:bCs/>
                <w:color w:val="000000" w:themeColor="text1"/>
                <w:kern w:val="24"/>
                <w14:textFill>
                  <w14:solidFill>
                    <w14:schemeClr w14:val="tx1"/>
                  </w14:solidFill>
                </w14:textFill>
              </w:rPr>
              <w:t xml:space="preserve"> value</w:t>
            </w:r>
          </w:p>
        </w:tc>
      </w:tr>
      <w:tr>
        <w:tblPrEx>
          <w:tblCellMar>
            <w:top w:w="0" w:type="dxa"/>
            <w:left w:w="0" w:type="dxa"/>
            <w:bottom w:w="0" w:type="dxa"/>
            <w:right w:w="0" w:type="dxa"/>
          </w:tblCellMar>
        </w:tblPrEx>
        <w:trPr>
          <w:trHeight w:val="284" w:hRule="atLeast"/>
        </w:trPr>
        <w:tc>
          <w:tcPr>
            <w:tcW w:w="3753" w:type="dxa"/>
            <w:tcBorders>
              <w:top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BSC</w:t>
            </w:r>
          </w:p>
        </w:tc>
        <w:tc>
          <w:tcPr>
            <w:tcW w:w="1943" w:type="dxa"/>
            <w:tcBorders>
              <w:top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046" w:type="dxa"/>
            <w:tcBorders>
              <w:top w:val="single" w:color="auto" w:sz="4" w:space="0"/>
            </w:tcBorders>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tcBorders>
              <w:top w:val="single" w:color="auto" w:sz="4" w:space="0"/>
            </w:tcBorders>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910" w:type="dxa"/>
            <w:tcBorders>
              <w:top w:val="single" w:color="auto" w:sz="4" w:space="0"/>
            </w:tcBorders>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Chemotherapy after the intervention</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0.50 (0.42-0.59)</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0.49 (0.41-0.59)</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Age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color w:val="000000"/>
              </w:rPr>
              <w:t>Young (&lt; 75 yr)</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color w:val="000000"/>
              </w:rPr>
              <w:t>Elder (≥ 75 yr)</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1.10 (0.92-1.33)</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0.302</w:t>
            </w: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0.96 (0.79-1.17)</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0.701</w:t>
            </w: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color w:val="000000"/>
              </w:rPr>
            </w:pPr>
            <w:r>
              <w:rPr>
                <w:rFonts w:ascii="Book Antiqua" w:hAnsi="Book Antiqua"/>
                <w:color w:val="000000"/>
              </w:rPr>
              <w:t>Sex</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color w:val="000000"/>
              </w:rPr>
            </w:pPr>
            <w:r>
              <w:rPr>
                <w:rFonts w:ascii="Book Antiqua" w:hAnsi="Book Antiqua"/>
                <w:color w:val="000000"/>
              </w:rPr>
              <w:t>Male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 xml:space="preserve">Female </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1.01 (0.85-1.20)</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0.879</w:t>
            </w: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1.00 (0.84-1.19)</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0.991</w:t>
            </w: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color w:val="000000"/>
              </w:rPr>
              <w:t>Charlson co-morbidity index</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&lt; 3</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color w:val="000000"/>
              </w:rPr>
              <w:t xml:space="preserve">≥ </w:t>
            </w:r>
            <w:r>
              <w:rPr>
                <w:rFonts w:ascii="Book Antiqua" w:hAnsi="Book Antiqua" w:eastAsia="MS PGothic"/>
                <w:color w:val="000000" w:themeColor="text1"/>
                <w:kern w:val="24"/>
                <w14:textFill>
                  <w14:solidFill>
                    <w14:schemeClr w14:val="tx1"/>
                  </w14:solidFill>
                </w14:textFill>
              </w:rPr>
              <w:t xml:space="preserve">3 </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1.44 (1.21-1.72)</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1.41 (1.18-1.69)</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color w:val="000000"/>
              </w:rPr>
            </w:pPr>
            <w:r>
              <w:rPr>
                <w:rFonts w:ascii="Book Antiqua" w:hAnsi="Book Antiqua"/>
                <w:color w:val="000000" w:themeColor="text1"/>
                <w14:textFill>
                  <w14:solidFill>
                    <w14:schemeClr w14:val="tx1"/>
                  </w14:solidFill>
                </w14:textFill>
              </w:rPr>
              <w:t>Barthel index</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color w:val="000000"/>
              </w:rPr>
            </w:pPr>
            <w:r>
              <w:rPr>
                <w:rFonts w:ascii="Book Antiqua" w:hAnsi="Book Antiqua"/>
                <w:color w:val="000000"/>
              </w:rPr>
              <w:t xml:space="preserve">≥ </w:t>
            </w:r>
            <w:r>
              <w:rPr>
                <w:rFonts w:ascii="Book Antiqua" w:hAnsi="Book Antiqua" w:eastAsia="MS PGothic"/>
                <w:color w:val="000000" w:themeColor="text1"/>
                <w:kern w:val="24"/>
                <w14:textFill>
                  <w14:solidFill>
                    <w14:schemeClr w14:val="tx1"/>
                  </w14:solidFill>
                </w14:textFill>
              </w:rPr>
              <w:t>60</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60</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1.57 (1.24-1.97)</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1.55 (1.22-1.97)</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color w:val="000000"/>
              </w:rPr>
              <w:t>Medication</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b/>
                <w:bCs/>
                <w:color w:val="000000"/>
              </w:rPr>
            </w:pPr>
            <w:bookmarkStart w:id="94" w:name="OLE_LINK3895"/>
            <w:bookmarkStart w:id="95" w:name="OLE_LINK3894"/>
            <w:r>
              <w:rPr>
                <w:rFonts w:ascii="Book Antiqua" w:hAnsi="Book Antiqua" w:eastAsia="MS PGothic"/>
                <w:color w:val="000000" w:themeColor="text1"/>
                <w:kern w:val="24"/>
                <w14:textFill>
                  <w14:solidFill>
                    <w14:schemeClr w14:val="tx1"/>
                  </w14:solidFill>
                </w14:textFill>
              </w:rPr>
              <w:t>Aspirin</w:t>
            </w:r>
            <w:bookmarkEnd w:id="94"/>
            <w:bookmarkEnd w:id="95"/>
            <w:r>
              <w:rPr>
                <w:rFonts w:ascii="Book Antiqua" w:hAnsi="Book Antiqua" w:eastAsia="MS PGothic"/>
                <w:color w:val="000000" w:themeColor="text1"/>
                <w:kern w:val="24"/>
                <w14:textFill>
                  <w14:solidFill>
                    <w14:schemeClr w14:val="tx1"/>
                  </w14:solidFill>
                </w14:textFill>
              </w:rPr>
              <w:t xml:space="preserve"> non-use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Aspirin use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1.00 (0.67-1.49)</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0.992</w:t>
            </w: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0.82 (0.55-1.24)</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0.350</w:t>
            </w: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color w:val="000000" w:themeColor="text1"/>
                <w:kern w:val="24"/>
                <w14:textFill>
                  <w14:solidFill>
                    <w14:schemeClr w14:val="tx1"/>
                  </w14:solidFill>
                </w14:textFill>
              </w:rPr>
            </w:pPr>
            <w:bookmarkStart w:id="96" w:name="OLE_LINK3896"/>
            <w:bookmarkStart w:id="97" w:name="OLE_LINK3897"/>
            <w:r>
              <w:rPr>
                <w:rFonts w:ascii="Book Antiqua" w:hAnsi="Book Antiqua" w:eastAsia="MS PGothic"/>
                <w:color w:val="000000" w:themeColor="text1"/>
                <w:kern w:val="24"/>
                <w14:textFill>
                  <w14:solidFill>
                    <w14:schemeClr w14:val="tx1"/>
                  </w14:solidFill>
                </w14:textFill>
              </w:rPr>
              <w:t>Thienopyridine</w:t>
            </w:r>
            <w:bookmarkEnd w:id="96"/>
            <w:bookmarkEnd w:id="97"/>
            <w:r>
              <w:rPr>
                <w:rFonts w:ascii="Book Antiqua" w:hAnsi="Book Antiqua" w:eastAsia="MS PGothic"/>
                <w:color w:val="000000" w:themeColor="text1"/>
                <w:kern w:val="24"/>
                <w14:textFill>
                  <w14:solidFill>
                    <w14:schemeClr w14:val="tx1"/>
                  </w14:solidFill>
                </w14:textFill>
              </w:rPr>
              <w:t xml:space="preserve"> non-use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Thienopyridine</w:t>
            </w:r>
            <w:r>
              <w:rPr>
                <w:rFonts w:ascii="Book Antiqua" w:hAnsi="Book Antiqua" w:eastAsia="MS PGothic"/>
              </w:rPr>
              <w:t xml:space="preserve"> use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0.89 (0.50-1.58)</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0.700</w:t>
            </w: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0.77 (0.43-1.37)</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0.367</w:t>
            </w: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bookmarkStart w:id="98" w:name="OLE_LINK3899"/>
            <w:bookmarkStart w:id="99" w:name="OLE_LINK3898"/>
            <w:r>
              <w:rPr>
                <w:rFonts w:ascii="Book Antiqua" w:hAnsi="Book Antiqua" w:eastAsia="MS PGothic"/>
                <w:color w:val="000000" w:themeColor="text1"/>
                <w:kern w:val="24"/>
                <w14:textFill>
                  <w14:solidFill>
                    <w14:schemeClr w14:val="tx1"/>
                  </w14:solidFill>
                </w14:textFill>
              </w:rPr>
              <w:t>Warfarin</w:t>
            </w:r>
            <w:bookmarkEnd w:id="98"/>
            <w:bookmarkEnd w:id="99"/>
            <w:r>
              <w:rPr>
                <w:rFonts w:ascii="Book Antiqua" w:hAnsi="Book Antiqua" w:eastAsia="MS PGothic"/>
                <w:color w:val="000000" w:themeColor="text1"/>
                <w:kern w:val="24"/>
                <w14:textFill>
                  <w14:solidFill>
                    <w14:schemeClr w14:val="tx1"/>
                  </w14:solidFill>
                </w14:textFill>
              </w:rPr>
              <w:t xml:space="preserve"> non-use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Warfarin</w:t>
            </w:r>
            <w:r>
              <w:rPr>
                <w:rFonts w:ascii="Book Antiqua" w:hAnsi="Book Antiqua" w:eastAsia="MS PGothic"/>
              </w:rPr>
              <w:t xml:space="preserve"> use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0.97 (0.52-1.82)</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0.935</w:t>
            </w: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0.89 (0.47-1.67)</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0.707</w:t>
            </w: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bookmarkStart w:id="100" w:name="OLE_LINK3901"/>
            <w:bookmarkStart w:id="101" w:name="OLE_LINK3900"/>
            <w:r>
              <w:rPr>
                <w:rFonts w:ascii="Book Antiqua" w:hAnsi="Book Antiqua" w:eastAsia="MS PGothic"/>
                <w:color w:val="000000" w:themeColor="text1"/>
                <w:kern w:val="24"/>
                <w14:textFill>
                  <w14:solidFill>
                    <w14:schemeClr w14:val="tx1"/>
                  </w14:solidFill>
                </w14:textFill>
              </w:rPr>
              <w:t>DOACs</w:t>
            </w:r>
            <w:bookmarkEnd w:id="100"/>
            <w:bookmarkEnd w:id="101"/>
            <w:r>
              <w:rPr>
                <w:rFonts w:ascii="Book Antiqua" w:hAnsi="Book Antiqua" w:eastAsia="MS PGothic"/>
                <w:color w:val="000000" w:themeColor="text1"/>
                <w:kern w:val="24"/>
                <w14:textFill>
                  <w14:solidFill>
                    <w14:schemeClr w14:val="tx1"/>
                  </w14:solidFill>
                </w14:textFill>
              </w:rPr>
              <w:t xml:space="preserve"> non-use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DOACs</w:t>
            </w:r>
            <w:r>
              <w:rPr>
                <w:rFonts w:ascii="Book Antiqua" w:hAnsi="Book Antiqua" w:eastAsia="MS PGothic"/>
              </w:rPr>
              <w:t xml:space="preserve"> use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1.22 (0.88-1.70)</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0.224</w:t>
            </w: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1.28 (0.92-1.79)</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0.137</w:t>
            </w: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bookmarkStart w:id="102" w:name="OLE_LINK3902"/>
            <w:bookmarkStart w:id="103" w:name="OLE_LINK3903"/>
            <w:r>
              <w:rPr>
                <w:rFonts w:ascii="Book Antiqua" w:hAnsi="Book Antiqua" w:eastAsia="MS PGothic"/>
                <w:color w:val="000000" w:themeColor="text1"/>
                <w:kern w:val="24"/>
                <w14:textFill>
                  <w14:solidFill>
                    <w14:schemeClr w14:val="tx1"/>
                  </w14:solidFill>
                </w14:textFill>
              </w:rPr>
              <w:t>Other antiplatelet drugs</w:t>
            </w:r>
            <w:bookmarkEnd w:id="102"/>
            <w:bookmarkEnd w:id="103"/>
            <w:r>
              <w:rPr>
                <w:rFonts w:ascii="Book Antiqua" w:hAnsi="Book Antiqua" w:eastAsia="MS PGothic"/>
                <w:color w:val="000000" w:themeColor="text1"/>
                <w:kern w:val="24"/>
                <w14:textFill>
                  <w14:solidFill>
                    <w14:schemeClr w14:val="tx1"/>
                  </w14:solidFill>
                </w14:textFill>
              </w:rPr>
              <w:t xml:space="preserve"> non-use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Other antiplatelet drugs use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1.05 (0.66-1.66)</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0.833</w:t>
            </w: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1.05 (0.66-1.66)</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0.851</w:t>
            </w: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color w:val="000000" w:themeColor="text1"/>
                <w:kern w:val="24"/>
                <w14:textFill>
                  <w14:solidFill>
                    <w14:schemeClr w14:val="tx1"/>
                  </w14:solidFill>
                </w14:textFill>
              </w:rPr>
            </w:pPr>
            <w:bookmarkStart w:id="104" w:name="OLE_LINK3905"/>
            <w:bookmarkStart w:id="105" w:name="OLE_LINK3904"/>
            <w:r>
              <w:rPr>
                <w:rFonts w:ascii="Book Antiqua" w:hAnsi="Book Antiqua" w:eastAsia="MS PGothic"/>
                <w:color w:val="000000" w:themeColor="text1"/>
                <w:kern w:val="24"/>
                <w14:textFill>
                  <w14:solidFill>
                    <w14:schemeClr w14:val="tx1"/>
                  </w14:solidFill>
                </w14:textFill>
              </w:rPr>
              <w:t>NSAIDs</w:t>
            </w:r>
            <w:bookmarkEnd w:id="104"/>
            <w:bookmarkEnd w:id="105"/>
            <w:r>
              <w:rPr>
                <w:rFonts w:ascii="Book Antiqua" w:hAnsi="Book Antiqua" w:eastAsia="MS PGothic"/>
                <w:color w:val="000000" w:themeColor="text1"/>
                <w:kern w:val="24"/>
                <w14:textFill>
                  <w14:solidFill>
                    <w14:schemeClr w14:val="tx1"/>
                  </w14:solidFill>
                </w14:textFill>
              </w:rPr>
              <w:t xml:space="preserve"> non-use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NSAIDs</w:t>
            </w:r>
            <w:r>
              <w:rPr>
                <w:rFonts w:ascii="Book Antiqua" w:hAnsi="Book Antiqua" w:eastAsia="MS PGothic"/>
              </w:rPr>
              <w:t xml:space="preserve"> use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0.92 (0.78-1.10)</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0.367</w:t>
            </w: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1.05 (0.87-1.26)</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0.603</w:t>
            </w: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color w:val="000000" w:themeColor="text1"/>
                <w:kern w:val="24"/>
                <w14:textFill>
                  <w14:solidFill>
                    <w14:schemeClr w14:val="tx1"/>
                  </w14:solidFill>
                </w14:textFill>
              </w:rPr>
            </w:pPr>
            <w:bookmarkStart w:id="106" w:name="OLE_LINK3906"/>
            <w:bookmarkStart w:id="107" w:name="OLE_LINK3907"/>
            <w:r>
              <w:rPr>
                <w:rFonts w:ascii="Book Antiqua" w:hAnsi="Book Antiqua" w:eastAsia="MS PGothic"/>
                <w:color w:val="000000" w:themeColor="text1"/>
                <w:kern w:val="24"/>
                <w14:textFill>
                  <w14:solidFill>
                    <w14:schemeClr w14:val="tx1"/>
                  </w14:solidFill>
                </w14:textFill>
              </w:rPr>
              <w:t>Steroid</w:t>
            </w:r>
            <w:bookmarkEnd w:id="106"/>
            <w:bookmarkEnd w:id="107"/>
            <w:r>
              <w:rPr>
                <w:rFonts w:ascii="Book Antiqua" w:hAnsi="Book Antiqua" w:eastAsia="MS PGothic"/>
                <w:color w:val="000000" w:themeColor="text1"/>
                <w:kern w:val="24"/>
                <w14:textFill>
                  <w14:solidFill>
                    <w14:schemeClr w14:val="tx1"/>
                  </w14:solidFill>
                </w14:textFill>
              </w:rPr>
              <w:t xml:space="preserve"> non-use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Steroid</w:t>
            </w:r>
            <w:r>
              <w:rPr>
                <w:rFonts w:ascii="Book Antiqua" w:hAnsi="Book Antiqua" w:eastAsia="MS PGothic"/>
              </w:rPr>
              <w:t xml:space="preserve"> use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1.19 (1.00-1.42)</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0.046</w:t>
            </w: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1.05 (0.88-1.26)</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0.603</w:t>
            </w: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eiryo"/>
                <w:color w:val="000000"/>
              </w:rPr>
              <w:t>Cancer type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Esophageal cancer</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Gastric cancer</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0.86 (0.64-1.16)</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0.321</w:t>
            </w: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0.98 (0.71-1.34)</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0.888</w:t>
            </w: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Pancreatic cancer</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1.11 (0.80-1.52)</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0.531</w:t>
            </w: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1.18 (0.85-1.64)</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0.324</w:t>
            </w: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Colorectal cancer</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0.42 (0.30-0.57)</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0.67 (0.47-0.95)</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0.024</w:t>
            </w: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Other cancers</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0.75 (0.55-1.03)</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0.073</w:t>
            </w: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0.97 (0.69-1.36)</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0.858</w:t>
            </w: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eiryo"/>
                <w:color w:val="000000"/>
              </w:rPr>
              <w:t>Cancer stage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eiryo"/>
                <w:b/>
                <w:bCs/>
                <w:color w:val="000000"/>
              </w:rPr>
            </w:pPr>
            <w:r>
              <w:rPr>
                <w:rFonts w:ascii="Book Antiqua" w:hAnsi="Book Antiqua" w:eastAsia="MS PGothic"/>
                <w:color w:val="000000" w:themeColor="text1"/>
                <w:kern w:val="24"/>
                <w14:textFill>
                  <w14:solidFill>
                    <w14:schemeClr w14:val="tx1"/>
                  </w14:solidFill>
                </w14:textFill>
              </w:rPr>
              <w:t>Stage I-III</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Stage IV or recurrence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1.87 (1.46-2.39)</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1.65 (1.28-2.14)</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eiryo"/>
                <w:color w:val="000000"/>
              </w:rPr>
              <w:t>Obstruction site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eiryo"/>
                <w:b/>
                <w:bCs/>
                <w:color w:val="000000"/>
              </w:rPr>
            </w:pPr>
            <w:r>
              <w:rPr>
                <w:rFonts w:ascii="Book Antiqua" w:hAnsi="Book Antiqua" w:eastAsia="MS PGothic"/>
                <w:color w:val="000000" w:themeColor="text1"/>
                <w:kern w:val="24"/>
                <w14:textFill>
                  <w14:solidFill>
                    <w14:schemeClr w14:val="tx1"/>
                  </w14:solidFill>
                </w14:textFill>
              </w:rPr>
              <w:t>Esophageal obstruction</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Gastroduodenal obstruction</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0.88 (0.68-1.13)</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0.325</w:t>
            </w: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1.22 (0.80-1.88)</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0.356</w:t>
            </w: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 xml:space="preserve">Lower gastrointestinal obstruction </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0.51 (0.39-0.66)</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1.30 (0.81-2.08)</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0.269</w:t>
            </w: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Non-chemotherapy before the intervention</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Chemotherapy before the intervention</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2.11 (1.78-2.50)</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1.64 (1.36-1.98)</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eiryo"/>
                <w:color w:val="000000"/>
              </w:rPr>
              <w:t>Intervention type</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b/>
                <w:bCs/>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Palliative surgery</w:t>
            </w:r>
          </w:p>
        </w:tc>
        <w:tc>
          <w:tcPr>
            <w:tcW w:w="1943" w:type="dxa"/>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1046"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c>
          <w:tcPr>
            <w:tcW w:w="1793"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r>
              <w:rPr>
                <w:rFonts w:ascii="Book Antiqua" w:hAnsi="Book Antiqua" w:eastAsia="MS PGothic"/>
                <w:color w:val="000000" w:themeColor="text1"/>
                <w:kern w:val="24"/>
                <w14:textFill>
                  <w14:solidFill>
                    <w14:schemeClr w14:val="tx1"/>
                  </w14:solidFill>
                </w14:textFill>
              </w:rPr>
              <w:t>1</w:t>
            </w:r>
          </w:p>
        </w:tc>
        <w:tc>
          <w:tcPr>
            <w:tcW w:w="910" w:type="dxa"/>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kern w:val="24"/>
                <w14:textFill>
                  <w14:solidFill>
                    <w14:schemeClr w14:val="tx1"/>
                  </w14:solidFill>
                </w14:textFill>
              </w:rPr>
            </w:pPr>
          </w:p>
        </w:tc>
      </w:tr>
      <w:tr>
        <w:tblPrEx>
          <w:tblCellMar>
            <w:top w:w="0" w:type="dxa"/>
            <w:left w:w="0" w:type="dxa"/>
            <w:bottom w:w="0" w:type="dxa"/>
            <w:right w:w="0" w:type="dxa"/>
          </w:tblCellMar>
        </w:tblPrEx>
        <w:trPr>
          <w:trHeight w:val="284" w:hRule="atLeast"/>
        </w:trPr>
        <w:tc>
          <w:tcPr>
            <w:tcW w:w="3753" w:type="dxa"/>
            <w:tcBorders>
              <w:bottom w:val="single" w:color="auto" w:sz="4" w:space="0"/>
            </w:tcBorders>
            <w:shd w:val="clear" w:color="auto" w:fill="auto"/>
            <w:tcMar>
              <w:top w:w="15" w:type="dxa"/>
              <w:left w:w="15" w:type="dxa"/>
              <w:bottom w:w="0" w:type="dxa"/>
              <w:right w:w="15" w:type="dxa"/>
            </w:tcMar>
            <w:vAlign w:val="center"/>
          </w:tcPr>
          <w:p>
            <w:pPr>
              <w:spacing w:line="360" w:lineRule="auto"/>
              <w:ind w:firstLine="240" w:firstLineChars="100"/>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SEMS placement</w:t>
            </w:r>
          </w:p>
        </w:tc>
        <w:tc>
          <w:tcPr>
            <w:tcW w:w="1943" w:type="dxa"/>
            <w:tcBorders>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bottom"/>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2.84 (2.38-3.39)</w:t>
            </w:r>
          </w:p>
        </w:tc>
        <w:tc>
          <w:tcPr>
            <w:tcW w:w="1046" w:type="dxa"/>
            <w:tcBorders>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c>
          <w:tcPr>
            <w:tcW w:w="1793" w:type="dxa"/>
            <w:tcBorders>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2.48 (2.03-3.03)</w:t>
            </w:r>
          </w:p>
        </w:tc>
        <w:tc>
          <w:tcPr>
            <w:tcW w:w="910" w:type="dxa"/>
            <w:tcBorders>
              <w:bottom w:val="single" w:color="auto" w:sz="4" w:space="0"/>
            </w:tcBorders>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MS PGothic"/>
                <w:color w:val="000000" w:themeColor="text1"/>
                <w:kern w:val="24"/>
                <w14:textFill>
                  <w14:solidFill>
                    <w14:schemeClr w14:val="tx1"/>
                  </w14:solidFill>
                </w14:textFill>
              </w:rPr>
              <w:t>&lt; 0.001</w:t>
            </w:r>
          </w:p>
        </w:tc>
      </w:tr>
    </w:tbl>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shd w:val="clear" w:color="auto" w:fill="FFFFFF"/>
          <w14:textFill>
            <w14:solidFill>
              <w14:schemeClr w14:val="tx1"/>
            </w14:solidFill>
          </w14:textFill>
        </w:rPr>
        <w:t xml:space="preserve">CI: </w:t>
      </w:r>
      <w:r>
        <w:rPr>
          <w:rFonts w:ascii="Book Antiqua" w:hAnsi="Book Antiqua" w:eastAsia="Book Antiqua" w:cs="Book Antiqua"/>
          <w:color w:val="000000"/>
        </w:rPr>
        <w:t>Confidence interval;</w:t>
      </w:r>
      <w:r>
        <w:rPr>
          <w:rFonts w:ascii="Book Antiqua" w:hAnsi="Book Antiqua"/>
          <w:color w:val="000000" w:themeColor="text1"/>
          <w14:textFill>
            <w14:solidFill>
              <w14:schemeClr w14:val="tx1"/>
            </w14:solidFill>
          </w14:textFill>
        </w:rPr>
        <w:t xml:space="preserve"> DOACs: Direct oral anticoagulants; </w:t>
      </w:r>
      <w:r>
        <w:rPr>
          <w:rFonts w:ascii="Book Antiqua" w:hAnsi="Book Antiqua"/>
          <w:color w:val="000000" w:themeColor="text1"/>
          <w:shd w:val="clear" w:color="auto" w:fill="FFFFFF"/>
          <w14:textFill>
            <w14:solidFill>
              <w14:schemeClr w14:val="tx1"/>
            </w14:solidFill>
          </w14:textFill>
        </w:rPr>
        <w:t xml:space="preserve">HR: </w:t>
      </w:r>
      <w:r>
        <w:rPr>
          <w:rFonts w:ascii="Book Antiqua" w:hAnsi="Book Antiqua" w:eastAsia="Book Antiqua" w:cs="Book Antiqua"/>
          <w:color w:val="000000"/>
        </w:rPr>
        <w:t>Hazard ratio</w:t>
      </w:r>
      <w:r>
        <w:rPr>
          <w:rFonts w:ascii="Book Antiqua" w:hAnsi="Book Antiqua"/>
          <w:color w:val="000000" w:themeColor="text1"/>
          <w:shd w:val="clear" w:color="auto" w:fill="FFFFFF"/>
          <w14:textFill>
            <w14:solidFill>
              <w14:schemeClr w14:val="tx1"/>
            </w14:solidFill>
          </w14:textFill>
        </w:rPr>
        <w:t>;</w:t>
      </w:r>
      <w:r>
        <w:rPr>
          <w:rFonts w:ascii="Book Antiqua" w:hAnsi="Book Antiqua" w:eastAsia="Book Antiqua" w:cs="Book Antiqua"/>
          <w:color w:val="000000"/>
        </w:rPr>
        <w:t xml:space="preserve"> </w:t>
      </w:r>
      <w:r>
        <w:rPr>
          <w:rFonts w:ascii="Book Antiqua" w:hAnsi="Book Antiqua"/>
          <w:color w:val="000000" w:themeColor="text1"/>
          <w14:textFill>
            <w14:solidFill>
              <w14:schemeClr w14:val="tx1"/>
            </w14:solidFill>
          </w14:textFill>
        </w:rPr>
        <w:t xml:space="preserve">NSAIDs: Non-steroidal anti-inflammatory drugs; </w:t>
      </w:r>
      <w:bookmarkStart w:id="108" w:name="OLE_LINK3914"/>
      <w:bookmarkStart w:id="109" w:name="OLE_LINK3915"/>
      <w:r>
        <w:rPr>
          <w:rFonts w:ascii="Book Antiqua" w:hAnsi="Book Antiqua"/>
          <w:color w:val="000000" w:themeColor="text1"/>
          <w14:textFill>
            <w14:solidFill>
              <w14:schemeClr w14:val="tx1"/>
            </w14:solidFill>
          </w14:textFill>
        </w:rPr>
        <w:t xml:space="preserve">SEMS: </w:t>
      </w:r>
      <w:r>
        <w:rPr>
          <w:rFonts w:ascii="Book Antiqua" w:hAnsi="Book Antiqua"/>
          <w:color w:val="000000" w:themeColor="text1"/>
          <w:shd w:val="clear" w:color="auto" w:fill="FFFFFF"/>
          <w14:textFill>
            <w14:solidFill>
              <w14:schemeClr w14:val="tx1"/>
            </w14:solidFill>
          </w14:textFill>
        </w:rPr>
        <w:t xml:space="preserve">Self-expandable metal stent. </w:t>
      </w:r>
      <w:bookmarkEnd w:id="108"/>
      <w:bookmarkEnd w:id="109"/>
    </w:p>
    <w:p>
      <w:pPr>
        <w:spacing w:line="360" w:lineRule="auto"/>
        <w:jc w:val="both"/>
        <w:rPr>
          <w:rFonts w:ascii="Book Antiqua" w:hAnsi="Book Antiqua"/>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rPr>
      </w:pPr>
      <w:bookmarkStart w:id="110" w:name="OLE_LINK1"/>
      <w:bookmarkStart w:id="111" w:name="OLE_LINK2"/>
      <w:r>
        <w:rPr>
          <w:rFonts w:ascii="Book Antiqua" w:hAnsi="Book Antiqua"/>
          <w:b/>
          <w:color w:val="000000"/>
        </w:rPr>
        <w:t xml:space="preserve">Table 4 </w:t>
      </w:r>
      <w:r>
        <w:rPr>
          <w:rFonts w:ascii="Book Antiqua" w:hAnsi="Book Antiqua"/>
          <w:b/>
          <w:bCs/>
          <w:color w:val="000000"/>
        </w:rPr>
        <w:t>Subgroup analysis of the effect of chemotherapy after the intervention on overall survival and patency duration</w:t>
      </w:r>
    </w:p>
    <w:tbl>
      <w:tblPr>
        <w:tblStyle w:val="18"/>
        <w:tblW w:w="94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15"/>
        <w:gridCol w:w="1922"/>
        <w:gridCol w:w="1085"/>
        <w:gridCol w:w="1872"/>
        <w:gridCol w:w="1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Merge w:val="restart"/>
            <w:tcBorders>
              <w:top w:val="single" w:color="auto" w:sz="4" w:space="0"/>
            </w:tcBorders>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b/>
                <w:bCs/>
                <w:color w:val="000000"/>
                <w:lang w:eastAsia="ja-JP"/>
              </w:rPr>
              <w:t>Subgroups</w:t>
            </w:r>
          </w:p>
        </w:tc>
        <w:tc>
          <w:tcPr>
            <w:tcW w:w="3007" w:type="dxa"/>
            <w:gridSpan w:val="2"/>
            <w:tcBorders>
              <w:top w:val="single" w:color="auto" w:sz="4" w:space="0"/>
              <w:bottom w:val="single" w:color="auto" w:sz="4" w:space="0"/>
            </w:tcBorders>
            <w:vAlign w:val="center"/>
          </w:tcPr>
          <w:p>
            <w:pPr>
              <w:spacing w:line="360" w:lineRule="auto"/>
              <w:jc w:val="both"/>
              <w:rPr>
                <w:rFonts w:ascii="Book Antiqua" w:hAnsi="Book Antiqua" w:eastAsia="MS Mincho" w:cs="Times New Roman"/>
                <w:b/>
                <w:color w:val="000000"/>
                <w:lang w:val="en" w:eastAsia="ja-JP"/>
              </w:rPr>
            </w:pPr>
            <w:r>
              <w:rPr>
                <w:rFonts w:ascii="Book Antiqua" w:hAnsi="Book Antiqua" w:eastAsia="MS Mincho" w:cs="Times New Roman"/>
                <w:b/>
                <w:color w:val="000000"/>
                <w:lang w:val="en" w:eastAsia="ja-JP"/>
              </w:rPr>
              <w:t>Overall survival</w:t>
            </w:r>
          </w:p>
        </w:tc>
        <w:tc>
          <w:tcPr>
            <w:tcW w:w="2909" w:type="dxa"/>
            <w:gridSpan w:val="2"/>
            <w:tcBorders>
              <w:top w:val="single" w:color="auto" w:sz="4" w:space="0"/>
              <w:bottom w:val="single" w:color="auto" w:sz="4" w:space="0"/>
            </w:tcBorders>
            <w:vAlign w:val="center"/>
          </w:tcPr>
          <w:p>
            <w:pPr>
              <w:spacing w:line="360" w:lineRule="auto"/>
              <w:jc w:val="both"/>
              <w:rPr>
                <w:rFonts w:ascii="Book Antiqua" w:hAnsi="Book Antiqua" w:eastAsia="MS Mincho" w:cs="Times New Roman"/>
                <w:b/>
                <w:color w:val="000000"/>
                <w:lang w:val="en" w:eastAsia="ja-JP"/>
              </w:rPr>
            </w:pPr>
            <w:r>
              <w:rPr>
                <w:rFonts w:ascii="Book Antiqua" w:hAnsi="Book Antiqua" w:eastAsia="MS Mincho" w:cs="Times New Roman"/>
                <w:b/>
                <w:color w:val="000000"/>
                <w:lang w:val="en" w:eastAsia="ja-JP"/>
              </w:rPr>
              <w:t>Patency duration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Merge w:val="continue"/>
            <w:vAlign w:val="center"/>
          </w:tcPr>
          <w:p>
            <w:pPr>
              <w:spacing w:line="360" w:lineRule="auto"/>
              <w:jc w:val="both"/>
              <w:rPr>
                <w:rFonts w:ascii="Book Antiqua" w:hAnsi="Book Antiqua" w:eastAsia="MS Mincho" w:cs="Times New Roman"/>
                <w:b/>
                <w:bCs/>
                <w:color w:val="000000"/>
                <w:lang w:eastAsia="ja-JP"/>
              </w:rPr>
            </w:pPr>
          </w:p>
        </w:tc>
        <w:tc>
          <w:tcPr>
            <w:tcW w:w="1922" w:type="dxa"/>
            <w:tcBorders>
              <w:top w:val="single" w:color="auto" w:sz="4" w:space="0"/>
              <w:bottom w:val="single" w:color="auto" w:sz="4" w:space="0"/>
            </w:tcBorders>
            <w:vAlign w:val="center"/>
          </w:tcPr>
          <w:p>
            <w:pPr>
              <w:spacing w:line="360" w:lineRule="auto"/>
              <w:jc w:val="both"/>
              <w:textAlignment w:val="bottom"/>
              <w:rPr>
                <w:rFonts w:ascii="Book Antiqua" w:hAnsi="Book Antiqua" w:eastAsia="MS PGothic" w:cs="Times New Roman"/>
                <w:b/>
                <w:bCs/>
                <w:color w:val="000000" w:themeColor="text1"/>
                <w:kern w:val="24"/>
                <w:lang w:eastAsia="ja-JP"/>
                <w14:textFill>
                  <w14:solidFill>
                    <w14:schemeClr w14:val="tx1"/>
                  </w14:solidFill>
                </w14:textFill>
              </w:rPr>
            </w:pPr>
            <w:r>
              <w:rPr>
                <w:rFonts w:ascii="Book Antiqua" w:hAnsi="Book Antiqua" w:eastAsia="MS PGothic" w:cs="Times New Roman"/>
                <w:b/>
                <w:bCs/>
                <w:color w:val="000000" w:themeColor="text1"/>
                <w:kern w:val="24"/>
                <w:lang w:eastAsia="ja-JP"/>
                <w14:textFill>
                  <w14:solidFill>
                    <w14:schemeClr w14:val="tx1"/>
                  </w14:solidFill>
                </w14:textFill>
              </w:rPr>
              <w:t>Adjusted HR</w:t>
            </w:r>
            <w:r>
              <w:rPr>
                <w:rFonts w:hint="eastAsia" w:ascii="Book Antiqua" w:hAnsi="Book Antiqua" w:eastAsia="MS PGothic" w:cs="Times New Roman"/>
                <w:b/>
                <w:bCs/>
                <w:color w:val="000000" w:themeColor="text1"/>
                <w:kern w:val="24"/>
                <w:lang w:eastAsia="ja-JP"/>
                <w14:textFill>
                  <w14:solidFill>
                    <w14:schemeClr w14:val="tx1"/>
                  </w14:solidFill>
                </w14:textFill>
              </w:rPr>
              <w:t xml:space="preserve"> </w:t>
            </w:r>
            <w:r>
              <w:rPr>
                <w:rFonts w:ascii="Book Antiqua" w:hAnsi="Book Antiqua" w:eastAsia="MS Mincho" w:cs="Times New Roman"/>
                <w:b/>
                <w:color w:val="000000"/>
                <w:lang w:val="en" w:eastAsia="ja-JP"/>
              </w:rPr>
              <w:t>(95%CI)</w:t>
            </w:r>
          </w:p>
        </w:tc>
        <w:tc>
          <w:tcPr>
            <w:tcW w:w="1085" w:type="dxa"/>
            <w:tcBorders>
              <w:top w:val="single" w:color="auto" w:sz="4" w:space="0"/>
              <w:bottom w:val="single" w:color="auto" w:sz="4" w:space="0"/>
            </w:tcBorders>
            <w:vAlign w:val="center"/>
          </w:tcPr>
          <w:p>
            <w:pPr>
              <w:spacing w:line="360" w:lineRule="auto"/>
              <w:jc w:val="both"/>
              <w:rPr>
                <w:rFonts w:ascii="Book Antiqua" w:hAnsi="Book Antiqua" w:eastAsia="MS Mincho" w:cs="Times New Roman"/>
                <w:b/>
                <w:color w:val="000000"/>
                <w:lang w:eastAsia="ja-JP"/>
              </w:rPr>
            </w:pPr>
            <w:r>
              <w:rPr>
                <w:rFonts w:ascii="Book Antiqua" w:hAnsi="Book Antiqua" w:eastAsia="MS Mincho" w:cs="Times New Roman"/>
                <w:b/>
                <w:i/>
                <w:iCs/>
                <w:color w:val="000000"/>
                <w:lang w:val="en" w:eastAsia="ja-JP"/>
              </w:rPr>
              <w:t>P</w:t>
            </w:r>
            <w:r>
              <w:rPr>
                <w:rFonts w:ascii="Book Antiqua" w:hAnsi="Book Antiqua" w:eastAsia="MS Mincho" w:cs="Times New Roman"/>
                <w:b/>
                <w:color w:val="000000"/>
                <w:lang w:val="en" w:eastAsia="ja-JP"/>
              </w:rPr>
              <w:t xml:space="preserve"> value</w:t>
            </w:r>
          </w:p>
        </w:tc>
        <w:tc>
          <w:tcPr>
            <w:tcW w:w="1872" w:type="dxa"/>
            <w:tcBorders>
              <w:top w:val="single" w:color="auto" w:sz="4" w:space="0"/>
              <w:bottom w:val="single" w:color="auto" w:sz="4" w:space="0"/>
            </w:tcBorders>
            <w:vAlign w:val="center"/>
          </w:tcPr>
          <w:p>
            <w:pPr>
              <w:spacing w:line="360" w:lineRule="auto"/>
              <w:jc w:val="both"/>
              <w:textAlignment w:val="bottom"/>
              <w:rPr>
                <w:rFonts w:ascii="Book Antiqua" w:hAnsi="Book Antiqua" w:eastAsia="MS PGothic" w:cs="Times New Roman"/>
                <w:b/>
                <w:bCs/>
                <w:color w:val="000000" w:themeColor="text1"/>
                <w:kern w:val="24"/>
                <w:lang w:eastAsia="ja-JP"/>
                <w14:textFill>
                  <w14:solidFill>
                    <w14:schemeClr w14:val="tx1"/>
                  </w14:solidFill>
                </w14:textFill>
              </w:rPr>
            </w:pPr>
            <w:r>
              <w:rPr>
                <w:rFonts w:ascii="Book Antiqua" w:hAnsi="Book Antiqua" w:eastAsia="MS PGothic" w:cs="Times New Roman"/>
                <w:b/>
                <w:bCs/>
                <w:color w:val="000000" w:themeColor="text1"/>
                <w:kern w:val="24"/>
                <w:lang w:eastAsia="ja-JP"/>
                <w14:textFill>
                  <w14:solidFill>
                    <w14:schemeClr w14:val="tx1"/>
                  </w14:solidFill>
                </w14:textFill>
              </w:rPr>
              <w:t>Adjusted HR</w:t>
            </w:r>
            <w:r>
              <w:rPr>
                <w:rFonts w:hint="eastAsia" w:ascii="Book Antiqua" w:hAnsi="Book Antiqua" w:eastAsia="MS PGothic" w:cs="Times New Roman"/>
                <w:b/>
                <w:bCs/>
                <w:color w:val="000000" w:themeColor="text1"/>
                <w:kern w:val="24"/>
                <w:lang w:eastAsia="ja-JP"/>
                <w14:textFill>
                  <w14:solidFill>
                    <w14:schemeClr w14:val="tx1"/>
                  </w14:solidFill>
                </w14:textFill>
              </w:rPr>
              <w:t xml:space="preserve"> </w:t>
            </w:r>
            <w:r>
              <w:rPr>
                <w:rFonts w:ascii="Book Antiqua" w:hAnsi="Book Antiqua" w:eastAsia="MS Mincho" w:cs="Times New Roman"/>
                <w:b/>
                <w:color w:val="000000"/>
                <w:lang w:val="en" w:eastAsia="ja-JP"/>
              </w:rPr>
              <w:t>(95%CI)</w:t>
            </w:r>
          </w:p>
        </w:tc>
        <w:tc>
          <w:tcPr>
            <w:tcW w:w="1037" w:type="dxa"/>
            <w:tcBorders>
              <w:top w:val="single" w:color="auto" w:sz="4" w:space="0"/>
              <w:bottom w:val="single" w:color="auto" w:sz="4" w:space="0"/>
            </w:tcBorders>
            <w:vAlign w:val="center"/>
          </w:tcPr>
          <w:p>
            <w:pPr>
              <w:spacing w:line="360" w:lineRule="auto"/>
              <w:jc w:val="both"/>
              <w:rPr>
                <w:rFonts w:ascii="Book Antiqua" w:hAnsi="Book Antiqua" w:eastAsia="MS Mincho" w:cs="Times New Roman"/>
                <w:b/>
                <w:color w:val="000000"/>
                <w:lang w:val="en" w:eastAsia="ja-JP"/>
              </w:rPr>
            </w:pPr>
            <w:r>
              <w:rPr>
                <w:rFonts w:ascii="Book Antiqua" w:hAnsi="Book Antiqua" w:eastAsia="MS Mincho" w:cs="Times New Roman"/>
                <w:b/>
                <w:i/>
                <w:iCs/>
                <w:color w:val="000000"/>
                <w:lang w:val="en" w:eastAsia="ja-JP"/>
              </w:rPr>
              <w:t>P</w:t>
            </w:r>
            <w:r>
              <w:rPr>
                <w:rFonts w:ascii="Book Antiqua" w:hAnsi="Book Antiqua" w:eastAsia="MS Mincho" w:cs="Times New Roman"/>
                <w:b/>
                <w:color w:val="000000"/>
                <w:lang w:val="en" w:eastAsia="ja-JP"/>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jc w:val="both"/>
              <w:rPr>
                <w:rFonts w:ascii="Book Antiqua" w:hAnsi="Book Antiqua" w:eastAsia="MS Mincho" w:cs="Times New Roman"/>
                <w:bCs/>
                <w:color w:val="000000"/>
                <w:lang w:eastAsia="ja-JP"/>
              </w:rPr>
            </w:pPr>
            <w:r>
              <w:rPr>
                <w:rFonts w:ascii="Book Antiqua" w:hAnsi="Book Antiqua" w:eastAsia="MS Mincho" w:cs="Times New Roman"/>
                <w:bCs/>
                <w:color w:val="000000"/>
                <w:lang w:val="en" w:eastAsia="ja-JP"/>
              </w:rPr>
              <w:t>All patients</w:t>
            </w:r>
          </w:p>
        </w:tc>
        <w:tc>
          <w:tcPr>
            <w:tcW w:w="1922" w:type="dxa"/>
            <w:tcBorders>
              <w:top w:val="single" w:color="auto" w:sz="4" w:space="0"/>
            </w:tcBorders>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0.36 (0.28-0.46)</w:t>
            </w:r>
          </w:p>
        </w:tc>
        <w:tc>
          <w:tcPr>
            <w:tcW w:w="1085" w:type="dxa"/>
            <w:tcBorders>
              <w:top w:val="single" w:color="auto" w:sz="4" w:space="0"/>
            </w:tcBorders>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&lt; 0.001</w:t>
            </w:r>
          </w:p>
        </w:tc>
        <w:tc>
          <w:tcPr>
            <w:tcW w:w="1872" w:type="dxa"/>
            <w:tcBorders>
              <w:top w:val="single" w:color="auto" w:sz="4" w:space="0"/>
            </w:tcBorders>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0.49 (0.41-0.59)</w:t>
            </w:r>
          </w:p>
        </w:tc>
        <w:tc>
          <w:tcPr>
            <w:tcW w:w="1037" w:type="dxa"/>
            <w:tcBorders>
              <w:top w:val="single" w:color="auto" w:sz="4" w:space="0"/>
            </w:tcBorders>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jc w:val="both"/>
              <w:rPr>
                <w:rFonts w:ascii="Book Antiqua" w:hAnsi="Book Antiqua" w:eastAsia="MS Mincho" w:cs="Times New Roman"/>
                <w:bCs/>
                <w:color w:val="000000"/>
                <w:lang w:eastAsia="ja-JP"/>
              </w:rPr>
            </w:pPr>
            <w:r>
              <w:rPr>
                <w:rFonts w:ascii="Book Antiqua" w:hAnsi="Book Antiqua" w:eastAsia="MS Mincho" w:cs="Times New Roman"/>
                <w:bCs/>
                <w:color w:val="000000"/>
                <w:lang w:val="en" w:eastAsia="ja-JP"/>
              </w:rPr>
              <w:t>Age</w:t>
            </w:r>
          </w:p>
        </w:tc>
        <w:tc>
          <w:tcPr>
            <w:tcW w:w="1922" w:type="dxa"/>
            <w:vAlign w:val="center"/>
          </w:tcPr>
          <w:p>
            <w:pPr>
              <w:spacing w:line="360" w:lineRule="auto"/>
              <w:jc w:val="both"/>
              <w:rPr>
                <w:rFonts w:ascii="Book Antiqua" w:hAnsi="Book Antiqua" w:eastAsia="MS Mincho" w:cs="Times New Roman"/>
                <w:color w:val="000000"/>
                <w:lang w:eastAsia="ja-JP"/>
              </w:rPr>
            </w:pPr>
          </w:p>
        </w:tc>
        <w:tc>
          <w:tcPr>
            <w:tcW w:w="1085" w:type="dxa"/>
            <w:vAlign w:val="center"/>
          </w:tcPr>
          <w:p>
            <w:pPr>
              <w:spacing w:line="360" w:lineRule="auto"/>
              <w:jc w:val="both"/>
              <w:rPr>
                <w:rFonts w:ascii="Book Antiqua" w:hAnsi="Book Antiqua" w:eastAsia="MS Mincho" w:cs="Times New Roman"/>
                <w:color w:val="000000"/>
                <w:lang w:eastAsia="ja-JP"/>
              </w:rPr>
            </w:pPr>
          </w:p>
        </w:tc>
        <w:tc>
          <w:tcPr>
            <w:tcW w:w="1872" w:type="dxa"/>
            <w:vAlign w:val="center"/>
          </w:tcPr>
          <w:p>
            <w:pPr>
              <w:spacing w:line="360" w:lineRule="auto"/>
              <w:jc w:val="both"/>
              <w:rPr>
                <w:rFonts w:ascii="Book Antiqua" w:hAnsi="Book Antiqua" w:eastAsia="MS Mincho" w:cs="Times New Roman"/>
                <w:color w:val="000000"/>
                <w:lang w:eastAsia="ja-JP"/>
              </w:rPr>
            </w:pPr>
          </w:p>
        </w:tc>
        <w:tc>
          <w:tcPr>
            <w:tcW w:w="1037" w:type="dxa"/>
            <w:vAlign w:val="center"/>
          </w:tcPr>
          <w:p>
            <w:pPr>
              <w:spacing w:line="360" w:lineRule="auto"/>
              <w:jc w:val="both"/>
              <w:rPr>
                <w:rFonts w:ascii="Book Antiqua" w:hAnsi="Book Antiqua" w:eastAsia="MS Mincho" w:cs="Times New Roman"/>
                <w:color w:val="000000"/>
                <w:lang w:eastAsia="ja-JP"/>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ind w:firstLine="240" w:firstLineChars="100"/>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Young (&lt; 75 yr)</w:t>
            </w:r>
          </w:p>
        </w:tc>
        <w:tc>
          <w:tcPr>
            <w:tcW w:w="192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0.36 (0.27-0.48)</w:t>
            </w:r>
          </w:p>
        </w:tc>
        <w:tc>
          <w:tcPr>
            <w:tcW w:w="1085"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&lt; 0.001</w:t>
            </w:r>
          </w:p>
        </w:tc>
        <w:tc>
          <w:tcPr>
            <w:tcW w:w="187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0.48 (0.39-0.60)</w:t>
            </w:r>
          </w:p>
        </w:tc>
        <w:tc>
          <w:tcPr>
            <w:tcW w:w="1037"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ind w:firstLine="240" w:firstLineChars="100"/>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Elder (≥ 75 yr)</w:t>
            </w:r>
          </w:p>
        </w:tc>
        <w:tc>
          <w:tcPr>
            <w:tcW w:w="192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0.38 (0.24-0.61)</w:t>
            </w:r>
          </w:p>
        </w:tc>
        <w:tc>
          <w:tcPr>
            <w:tcW w:w="1085"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&lt; 0.001</w:t>
            </w:r>
          </w:p>
        </w:tc>
        <w:tc>
          <w:tcPr>
            <w:tcW w:w="187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0.52 (0.35-0.76)</w:t>
            </w:r>
          </w:p>
        </w:tc>
        <w:tc>
          <w:tcPr>
            <w:tcW w:w="1037"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jc w:val="both"/>
              <w:rPr>
                <w:rFonts w:ascii="Book Antiqua" w:hAnsi="Book Antiqua" w:eastAsia="MS Mincho" w:cs="Times New Roman"/>
                <w:bCs/>
                <w:color w:val="000000"/>
                <w:lang w:eastAsia="ja-JP"/>
              </w:rPr>
            </w:pPr>
            <w:r>
              <w:rPr>
                <w:rFonts w:ascii="Book Antiqua" w:hAnsi="Book Antiqua" w:eastAsia="MS Mincho" w:cs="Times New Roman"/>
                <w:bCs/>
                <w:color w:val="000000"/>
                <w:lang w:eastAsia="ja-JP"/>
              </w:rPr>
              <w:t xml:space="preserve">Charlson co-morbidity index </w:t>
            </w:r>
          </w:p>
        </w:tc>
        <w:tc>
          <w:tcPr>
            <w:tcW w:w="1922" w:type="dxa"/>
            <w:vAlign w:val="center"/>
          </w:tcPr>
          <w:p>
            <w:pPr>
              <w:spacing w:line="360" w:lineRule="auto"/>
              <w:jc w:val="both"/>
              <w:rPr>
                <w:rFonts w:ascii="Book Antiqua" w:hAnsi="Book Antiqua" w:eastAsia="MS Mincho" w:cs="Times New Roman"/>
                <w:color w:val="000000"/>
                <w:lang w:eastAsia="ja-JP"/>
              </w:rPr>
            </w:pPr>
          </w:p>
        </w:tc>
        <w:tc>
          <w:tcPr>
            <w:tcW w:w="1085" w:type="dxa"/>
            <w:vAlign w:val="center"/>
          </w:tcPr>
          <w:p>
            <w:pPr>
              <w:spacing w:line="360" w:lineRule="auto"/>
              <w:jc w:val="both"/>
              <w:rPr>
                <w:rFonts w:ascii="Book Antiqua" w:hAnsi="Book Antiqua" w:eastAsia="MS Mincho" w:cs="Times New Roman"/>
                <w:color w:val="000000"/>
                <w:lang w:eastAsia="ja-JP"/>
              </w:rPr>
            </w:pPr>
          </w:p>
        </w:tc>
        <w:tc>
          <w:tcPr>
            <w:tcW w:w="1872" w:type="dxa"/>
            <w:vAlign w:val="center"/>
          </w:tcPr>
          <w:p>
            <w:pPr>
              <w:spacing w:line="360" w:lineRule="auto"/>
              <w:jc w:val="both"/>
              <w:rPr>
                <w:rFonts w:ascii="Book Antiqua" w:hAnsi="Book Antiqua" w:eastAsia="MS Mincho" w:cs="Times New Roman"/>
                <w:color w:val="000000"/>
                <w:lang w:eastAsia="ja-JP"/>
              </w:rPr>
            </w:pPr>
          </w:p>
        </w:tc>
        <w:tc>
          <w:tcPr>
            <w:tcW w:w="1037" w:type="dxa"/>
            <w:vAlign w:val="center"/>
          </w:tcPr>
          <w:p>
            <w:pPr>
              <w:spacing w:line="360" w:lineRule="auto"/>
              <w:jc w:val="both"/>
              <w:rPr>
                <w:rFonts w:ascii="Book Antiqua" w:hAnsi="Book Antiqua" w:eastAsia="MS Mincho" w:cs="Times New Roman"/>
                <w:color w:val="000000"/>
                <w:lang w:eastAsia="ja-JP"/>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ind w:firstLine="240" w:firstLineChars="100"/>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&lt; 3</w:t>
            </w:r>
          </w:p>
        </w:tc>
        <w:tc>
          <w:tcPr>
            <w:tcW w:w="192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0.43 (0.27-0.68)</w:t>
            </w:r>
          </w:p>
        </w:tc>
        <w:tc>
          <w:tcPr>
            <w:tcW w:w="1085"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&lt; 0.001</w:t>
            </w:r>
          </w:p>
        </w:tc>
        <w:tc>
          <w:tcPr>
            <w:tcW w:w="187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0.47 (0.33-0.67)</w:t>
            </w:r>
          </w:p>
        </w:tc>
        <w:tc>
          <w:tcPr>
            <w:tcW w:w="1037"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ind w:firstLine="240" w:firstLineChars="100"/>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 3</w:t>
            </w:r>
          </w:p>
        </w:tc>
        <w:tc>
          <w:tcPr>
            <w:tcW w:w="192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0.31 (0.23-0.41)</w:t>
            </w:r>
          </w:p>
        </w:tc>
        <w:tc>
          <w:tcPr>
            <w:tcW w:w="1085"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&lt; 0.001</w:t>
            </w:r>
          </w:p>
        </w:tc>
        <w:tc>
          <w:tcPr>
            <w:tcW w:w="187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0.47 (0.37-0.59)</w:t>
            </w:r>
          </w:p>
        </w:tc>
        <w:tc>
          <w:tcPr>
            <w:tcW w:w="1037"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jc w:val="both"/>
              <w:rPr>
                <w:rFonts w:ascii="Book Antiqua" w:hAnsi="Book Antiqua" w:eastAsia="MS Mincho" w:cs="Times New Roman"/>
                <w:b/>
                <w:color w:val="000000"/>
                <w:lang w:eastAsia="ja-JP"/>
              </w:rPr>
            </w:pPr>
            <w:r>
              <w:rPr>
                <w:rFonts w:ascii="Book Antiqua" w:hAnsi="Book Antiqua" w:eastAsia="MS Mincho" w:cs="Times New Roman"/>
                <w:bCs/>
                <w:color w:val="000000"/>
                <w:lang w:val="en" w:eastAsia="ja-JP"/>
              </w:rPr>
              <w:t>Barthel index</w:t>
            </w:r>
          </w:p>
        </w:tc>
        <w:tc>
          <w:tcPr>
            <w:tcW w:w="1922" w:type="dxa"/>
            <w:vAlign w:val="center"/>
          </w:tcPr>
          <w:p>
            <w:pPr>
              <w:spacing w:line="360" w:lineRule="auto"/>
              <w:jc w:val="both"/>
              <w:rPr>
                <w:rFonts w:ascii="Book Antiqua" w:hAnsi="Book Antiqua" w:eastAsia="MS Mincho" w:cs="Times New Roman"/>
                <w:color w:val="000000"/>
                <w:lang w:eastAsia="ja-JP"/>
              </w:rPr>
            </w:pPr>
          </w:p>
        </w:tc>
        <w:tc>
          <w:tcPr>
            <w:tcW w:w="1085" w:type="dxa"/>
            <w:vAlign w:val="center"/>
          </w:tcPr>
          <w:p>
            <w:pPr>
              <w:spacing w:line="360" w:lineRule="auto"/>
              <w:jc w:val="both"/>
              <w:rPr>
                <w:rFonts w:ascii="Book Antiqua" w:hAnsi="Book Antiqua" w:eastAsia="MS Mincho" w:cs="Times New Roman"/>
                <w:color w:val="000000"/>
                <w:lang w:eastAsia="ja-JP"/>
              </w:rPr>
            </w:pPr>
          </w:p>
        </w:tc>
        <w:tc>
          <w:tcPr>
            <w:tcW w:w="1872" w:type="dxa"/>
            <w:vAlign w:val="center"/>
          </w:tcPr>
          <w:p>
            <w:pPr>
              <w:spacing w:line="360" w:lineRule="auto"/>
              <w:jc w:val="both"/>
              <w:rPr>
                <w:rFonts w:ascii="Book Antiqua" w:hAnsi="Book Antiqua" w:eastAsia="MS Mincho" w:cs="Times New Roman"/>
                <w:color w:val="000000"/>
                <w:lang w:eastAsia="ja-JP"/>
              </w:rPr>
            </w:pPr>
          </w:p>
        </w:tc>
        <w:tc>
          <w:tcPr>
            <w:tcW w:w="1037" w:type="dxa"/>
            <w:vAlign w:val="center"/>
          </w:tcPr>
          <w:p>
            <w:pPr>
              <w:spacing w:line="360" w:lineRule="auto"/>
              <w:jc w:val="both"/>
              <w:rPr>
                <w:rFonts w:ascii="Book Antiqua" w:hAnsi="Book Antiqua" w:eastAsia="MS Mincho" w:cs="Times New Roman"/>
                <w:color w:val="000000"/>
                <w:lang w:eastAsia="ja-JP"/>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ind w:firstLine="240" w:firstLineChars="100"/>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 60</w:t>
            </w:r>
          </w:p>
        </w:tc>
        <w:tc>
          <w:tcPr>
            <w:tcW w:w="192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0.38 (0.29-0.50)</w:t>
            </w:r>
          </w:p>
        </w:tc>
        <w:tc>
          <w:tcPr>
            <w:tcW w:w="1085"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&lt; 0.001</w:t>
            </w:r>
          </w:p>
        </w:tc>
        <w:tc>
          <w:tcPr>
            <w:tcW w:w="187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0.52 (0.42-0.64)</w:t>
            </w:r>
          </w:p>
        </w:tc>
        <w:tc>
          <w:tcPr>
            <w:tcW w:w="1037"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ind w:firstLine="240" w:firstLineChars="100"/>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&lt; 60</w:t>
            </w:r>
          </w:p>
        </w:tc>
        <w:tc>
          <w:tcPr>
            <w:tcW w:w="192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0.24 (0.11-0.54)</w:t>
            </w:r>
          </w:p>
        </w:tc>
        <w:tc>
          <w:tcPr>
            <w:tcW w:w="1085"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&lt; 0.001</w:t>
            </w:r>
          </w:p>
        </w:tc>
        <w:tc>
          <w:tcPr>
            <w:tcW w:w="187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0.26 (0.13-0.51)</w:t>
            </w:r>
          </w:p>
        </w:tc>
        <w:tc>
          <w:tcPr>
            <w:tcW w:w="1037"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jc w:val="both"/>
              <w:rPr>
                <w:rFonts w:ascii="Book Antiqua" w:hAnsi="Book Antiqua" w:eastAsia="MS Mincho" w:cs="Times New Roman"/>
                <w:bCs/>
                <w:color w:val="000000"/>
                <w:lang w:eastAsia="ja-JP"/>
              </w:rPr>
            </w:pPr>
            <w:r>
              <w:rPr>
                <w:rFonts w:ascii="Book Antiqua" w:hAnsi="Book Antiqua" w:eastAsia="MS Mincho" w:cs="Times New Roman"/>
                <w:bCs/>
                <w:color w:val="000000"/>
                <w:lang w:val="en" w:eastAsia="ja-JP"/>
              </w:rPr>
              <w:t>Cancer type</w:t>
            </w:r>
          </w:p>
        </w:tc>
        <w:tc>
          <w:tcPr>
            <w:tcW w:w="1922" w:type="dxa"/>
            <w:vAlign w:val="center"/>
          </w:tcPr>
          <w:p>
            <w:pPr>
              <w:spacing w:line="360" w:lineRule="auto"/>
              <w:jc w:val="both"/>
              <w:rPr>
                <w:rFonts w:ascii="Book Antiqua" w:hAnsi="Book Antiqua" w:eastAsia="MS Mincho" w:cs="Times New Roman"/>
                <w:color w:val="000000"/>
                <w:lang w:eastAsia="ja-JP"/>
              </w:rPr>
            </w:pPr>
          </w:p>
        </w:tc>
        <w:tc>
          <w:tcPr>
            <w:tcW w:w="1085" w:type="dxa"/>
            <w:vAlign w:val="center"/>
          </w:tcPr>
          <w:p>
            <w:pPr>
              <w:spacing w:line="360" w:lineRule="auto"/>
              <w:jc w:val="both"/>
              <w:rPr>
                <w:rFonts w:ascii="Book Antiqua" w:hAnsi="Book Antiqua" w:eastAsia="MS Mincho" w:cs="Times New Roman"/>
                <w:color w:val="000000"/>
                <w:lang w:eastAsia="ja-JP"/>
              </w:rPr>
            </w:pPr>
          </w:p>
        </w:tc>
        <w:tc>
          <w:tcPr>
            <w:tcW w:w="1872" w:type="dxa"/>
            <w:vAlign w:val="center"/>
          </w:tcPr>
          <w:p>
            <w:pPr>
              <w:spacing w:line="360" w:lineRule="auto"/>
              <w:jc w:val="both"/>
              <w:rPr>
                <w:rFonts w:ascii="Book Antiqua" w:hAnsi="Book Antiqua" w:eastAsia="MS Mincho" w:cs="Times New Roman"/>
                <w:color w:val="000000"/>
                <w:lang w:eastAsia="ja-JP"/>
              </w:rPr>
            </w:pPr>
          </w:p>
        </w:tc>
        <w:tc>
          <w:tcPr>
            <w:tcW w:w="1037" w:type="dxa"/>
            <w:vAlign w:val="center"/>
          </w:tcPr>
          <w:p>
            <w:pPr>
              <w:spacing w:line="360" w:lineRule="auto"/>
              <w:jc w:val="both"/>
              <w:rPr>
                <w:rFonts w:ascii="Book Antiqua" w:hAnsi="Book Antiqua" w:eastAsia="MS Mincho" w:cs="Times New Roman"/>
                <w:color w:val="000000"/>
                <w:lang w:eastAsia="ja-JP"/>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ind w:firstLine="240" w:firstLineChars="100"/>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Esophageal cancer</w:t>
            </w:r>
          </w:p>
        </w:tc>
        <w:tc>
          <w:tcPr>
            <w:tcW w:w="192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0.45 (0.21-1.00)</w:t>
            </w:r>
          </w:p>
        </w:tc>
        <w:tc>
          <w:tcPr>
            <w:tcW w:w="1085"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0.049</w:t>
            </w:r>
          </w:p>
        </w:tc>
        <w:tc>
          <w:tcPr>
            <w:tcW w:w="187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0.80 (0.43-1.49)</w:t>
            </w:r>
          </w:p>
        </w:tc>
        <w:tc>
          <w:tcPr>
            <w:tcW w:w="1037"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0.479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ind w:firstLine="240" w:firstLineChars="100"/>
              <w:jc w:val="both"/>
              <w:rPr>
                <w:rFonts w:ascii="Book Antiqua" w:hAnsi="Book Antiqua" w:eastAsia="MS Mincho" w:cs="Times New Roman"/>
                <w:color w:val="000000"/>
                <w:lang w:eastAsia="ja-JP"/>
              </w:rPr>
            </w:pPr>
            <w:r>
              <w:rPr>
                <w:rFonts w:ascii="Book Antiqua" w:hAnsi="Book Antiqua" w:eastAsia="MS Mincho" w:cs="Times New Roman"/>
                <w:color w:val="000000"/>
                <w:lang w:val="en" w:eastAsia="ja-JP"/>
              </w:rPr>
              <w:t>Gastric cancer</w:t>
            </w:r>
          </w:p>
        </w:tc>
        <w:tc>
          <w:tcPr>
            <w:tcW w:w="192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0.38 (0.24-0.62)</w:t>
            </w:r>
          </w:p>
        </w:tc>
        <w:tc>
          <w:tcPr>
            <w:tcW w:w="1085"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&lt; 0.001</w:t>
            </w:r>
          </w:p>
        </w:tc>
        <w:tc>
          <w:tcPr>
            <w:tcW w:w="187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0.62 (0.43-0.90)</w:t>
            </w:r>
          </w:p>
        </w:tc>
        <w:tc>
          <w:tcPr>
            <w:tcW w:w="1037"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ind w:firstLine="240" w:firstLineChars="100"/>
              <w:jc w:val="both"/>
              <w:rPr>
                <w:rFonts w:ascii="Book Antiqua" w:hAnsi="Book Antiqua" w:eastAsia="MS Mincho" w:cs="Times New Roman"/>
                <w:color w:val="000000"/>
                <w:lang w:eastAsia="ja-JP"/>
              </w:rPr>
            </w:pPr>
            <w:r>
              <w:rPr>
                <w:rFonts w:ascii="Book Antiqua" w:hAnsi="Book Antiqua" w:eastAsia="MS Mincho" w:cs="Times New Roman"/>
                <w:color w:val="000000"/>
                <w:lang w:val="en" w:eastAsia="ja-JP"/>
              </w:rPr>
              <w:t>Pancreatic cancer</w:t>
            </w:r>
          </w:p>
        </w:tc>
        <w:tc>
          <w:tcPr>
            <w:tcW w:w="192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0.14 (0.07-0.29)</w:t>
            </w:r>
          </w:p>
        </w:tc>
        <w:tc>
          <w:tcPr>
            <w:tcW w:w="1085"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&lt; 0.001</w:t>
            </w:r>
          </w:p>
        </w:tc>
        <w:tc>
          <w:tcPr>
            <w:tcW w:w="187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0.28 (0.17-0.45)</w:t>
            </w:r>
          </w:p>
        </w:tc>
        <w:tc>
          <w:tcPr>
            <w:tcW w:w="1037"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ind w:firstLine="240" w:firstLineChars="100"/>
              <w:jc w:val="both"/>
              <w:rPr>
                <w:rFonts w:ascii="Book Antiqua" w:hAnsi="Book Antiqua" w:eastAsia="MS Mincho" w:cs="Times New Roman"/>
                <w:color w:val="000000"/>
                <w:lang w:eastAsia="ja-JP"/>
              </w:rPr>
            </w:pPr>
            <w:r>
              <w:rPr>
                <w:rFonts w:ascii="Book Antiqua" w:hAnsi="Book Antiqua" w:eastAsia="MS Mincho" w:cs="Times New Roman"/>
                <w:color w:val="000000"/>
                <w:lang w:val="en" w:eastAsia="ja-JP"/>
              </w:rPr>
              <w:t>Colorectal cancer</w:t>
            </w:r>
          </w:p>
        </w:tc>
        <w:tc>
          <w:tcPr>
            <w:tcW w:w="192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0.45 (0.25-0.78)</w:t>
            </w:r>
          </w:p>
        </w:tc>
        <w:tc>
          <w:tcPr>
            <w:tcW w:w="1085"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0.005</w:t>
            </w:r>
          </w:p>
        </w:tc>
        <w:tc>
          <w:tcPr>
            <w:tcW w:w="187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0.45 (0.29-0.70)</w:t>
            </w:r>
          </w:p>
        </w:tc>
        <w:tc>
          <w:tcPr>
            <w:tcW w:w="1037"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jc w:val="both"/>
              <w:rPr>
                <w:rFonts w:ascii="Book Antiqua" w:hAnsi="Book Antiqua" w:eastAsia="MS Mincho" w:cs="Times New Roman"/>
                <w:bCs/>
                <w:color w:val="000000"/>
                <w:lang w:eastAsia="ja-JP"/>
              </w:rPr>
            </w:pPr>
            <w:r>
              <w:rPr>
                <w:rFonts w:ascii="Book Antiqua" w:hAnsi="Book Antiqua" w:eastAsia="MS Mincho" w:cs="Times New Roman"/>
                <w:bCs/>
                <w:color w:val="000000"/>
                <w:lang w:val="en" w:eastAsia="ja-JP"/>
              </w:rPr>
              <w:t>Obstruction site</w:t>
            </w:r>
          </w:p>
        </w:tc>
        <w:tc>
          <w:tcPr>
            <w:tcW w:w="1922" w:type="dxa"/>
            <w:vAlign w:val="center"/>
          </w:tcPr>
          <w:p>
            <w:pPr>
              <w:spacing w:line="360" w:lineRule="auto"/>
              <w:jc w:val="both"/>
              <w:rPr>
                <w:rFonts w:ascii="Book Antiqua" w:hAnsi="Book Antiqua" w:eastAsia="MS Mincho" w:cs="Times New Roman"/>
                <w:color w:val="000000"/>
                <w:lang w:eastAsia="ja-JP"/>
              </w:rPr>
            </w:pPr>
          </w:p>
        </w:tc>
        <w:tc>
          <w:tcPr>
            <w:tcW w:w="1085" w:type="dxa"/>
            <w:vAlign w:val="center"/>
          </w:tcPr>
          <w:p>
            <w:pPr>
              <w:spacing w:line="360" w:lineRule="auto"/>
              <w:jc w:val="both"/>
              <w:rPr>
                <w:rFonts w:ascii="Book Antiqua" w:hAnsi="Book Antiqua" w:eastAsia="MS Mincho" w:cs="Times New Roman"/>
                <w:color w:val="000000"/>
                <w:lang w:eastAsia="ja-JP"/>
              </w:rPr>
            </w:pPr>
          </w:p>
        </w:tc>
        <w:tc>
          <w:tcPr>
            <w:tcW w:w="1872" w:type="dxa"/>
            <w:vAlign w:val="center"/>
          </w:tcPr>
          <w:p>
            <w:pPr>
              <w:spacing w:line="360" w:lineRule="auto"/>
              <w:jc w:val="both"/>
              <w:rPr>
                <w:rFonts w:ascii="Book Antiqua" w:hAnsi="Book Antiqua" w:eastAsia="MS Mincho" w:cs="Times New Roman"/>
                <w:color w:val="000000"/>
                <w:lang w:eastAsia="ja-JP"/>
              </w:rPr>
            </w:pPr>
          </w:p>
        </w:tc>
        <w:tc>
          <w:tcPr>
            <w:tcW w:w="1037" w:type="dxa"/>
            <w:vAlign w:val="center"/>
          </w:tcPr>
          <w:p>
            <w:pPr>
              <w:spacing w:line="360" w:lineRule="auto"/>
              <w:jc w:val="both"/>
              <w:rPr>
                <w:rFonts w:ascii="Book Antiqua" w:hAnsi="Book Antiqua" w:eastAsia="MS Mincho" w:cs="Times New Roman"/>
                <w:color w:val="000000"/>
                <w:lang w:eastAsia="ja-JP"/>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ind w:firstLine="240" w:firstLineChars="100"/>
              <w:jc w:val="both"/>
              <w:rPr>
                <w:rFonts w:ascii="Book Antiqua" w:hAnsi="Book Antiqua" w:eastAsia="MS Mincho" w:cs="Times New Roman"/>
                <w:color w:val="000000"/>
                <w:lang w:eastAsia="ja-JP"/>
              </w:rPr>
            </w:pPr>
            <w:r>
              <w:rPr>
                <w:rFonts w:ascii="Book Antiqua" w:hAnsi="Book Antiqua" w:eastAsia="MS Mincho" w:cs="Times New Roman"/>
                <w:color w:val="000000"/>
                <w:lang w:val="en" w:eastAsia="ja-JP"/>
              </w:rPr>
              <w:t>Esophageal obstruction</w:t>
            </w:r>
          </w:p>
        </w:tc>
        <w:tc>
          <w:tcPr>
            <w:tcW w:w="192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0.46 (0.23-0.92)</w:t>
            </w:r>
          </w:p>
        </w:tc>
        <w:tc>
          <w:tcPr>
            <w:tcW w:w="1085"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0.028</w:t>
            </w:r>
          </w:p>
        </w:tc>
        <w:tc>
          <w:tcPr>
            <w:tcW w:w="187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0.80 (0.47-1.37)</w:t>
            </w:r>
          </w:p>
        </w:tc>
        <w:tc>
          <w:tcPr>
            <w:tcW w:w="1037"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0.425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ind w:firstLine="240" w:firstLineChars="100"/>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Gastroduodenal obstruction</w:t>
            </w:r>
          </w:p>
        </w:tc>
        <w:tc>
          <w:tcPr>
            <w:tcW w:w="192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0.26 (0.18-0.39)</w:t>
            </w:r>
          </w:p>
        </w:tc>
        <w:tc>
          <w:tcPr>
            <w:tcW w:w="1085"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&lt; 0.001</w:t>
            </w:r>
          </w:p>
        </w:tc>
        <w:tc>
          <w:tcPr>
            <w:tcW w:w="187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0.37 (0.28-0.50)</w:t>
            </w:r>
          </w:p>
        </w:tc>
        <w:tc>
          <w:tcPr>
            <w:tcW w:w="1037"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ind w:firstLine="240" w:firstLineChars="100"/>
              <w:jc w:val="both"/>
              <w:rPr>
                <w:rFonts w:ascii="Book Antiqua" w:hAnsi="Book Antiqua" w:eastAsia="MS Mincho" w:cs="Times New Roman"/>
                <w:color w:val="000000"/>
                <w:lang w:eastAsia="ja-JP"/>
              </w:rPr>
            </w:pPr>
            <w:r>
              <w:rPr>
                <w:rFonts w:ascii="Book Antiqua" w:hAnsi="Book Antiqua" w:eastAsia="MS Mincho" w:cs="Times New Roman"/>
                <w:color w:val="000000"/>
                <w:lang w:val="en" w:eastAsia="ja-JP"/>
              </w:rPr>
              <w:t>Lower gastrointestinal obstruction</w:t>
            </w:r>
          </w:p>
        </w:tc>
        <w:tc>
          <w:tcPr>
            <w:tcW w:w="192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0.44 (0.30-0.64)</w:t>
            </w:r>
          </w:p>
        </w:tc>
        <w:tc>
          <w:tcPr>
            <w:tcW w:w="1085"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&lt; 0.001</w:t>
            </w:r>
          </w:p>
        </w:tc>
        <w:tc>
          <w:tcPr>
            <w:tcW w:w="187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0.51 (0.38-0.69)</w:t>
            </w:r>
          </w:p>
        </w:tc>
        <w:tc>
          <w:tcPr>
            <w:tcW w:w="1037"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jc w:val="both"/>
              <w:rPr>
                <w:rFonts w:ascii="Book Antiqua" w:hAnsi="Book Antiqua" w:eastAsia="MS Mincho" w:cs="Times New Roman"/>
                <w:bCs/>
                <w:color w:val="000000"/>
                <w:lang w:eastAsia="ja-JP"/>
              </w:rPr>
            </w:pPr>
            <w:r>
              <w:rPr>
                <w:rFonts w:ascii="Book Antiqua" w:hAnsi="Book Antiqua" w:eastAsia="MS Mincho" w:cs="Times New Roman"/>
                <w:bCs/>
                <w:color w:val="000000"/>
                <w:lang w:val="en" w:eastAsia="ja-JP"/>
              </w:rPr>
              <w:t>Intervention type</w:t>
            </w:r>
          </w:p>
        </w:tc>
        <w:tc>
          <w:tcPr>
            <w:tcW w:w="1922" w:type="dxa"/>
            <w:vAlign w:val="center"/>
          </w:tcPr>
          <w:p>
            <w:pPr>
              <w:spacing w:line="360" w:lineRule="auto"/>
              <w:jc w:val="both"/>
              <w:rPr>
                <w:rFonts w:ascii="Book Antiqua" w:hAnsi="Book Antiqua" w:eastAsia="MS Mincho" w:cs="Times New Roman"/>
                <w:color w:val="000000"/>
                <w:lang w:eastAsia="ja-JP"/>
              </w:rPr>
            </w:pPr>
          </w:p>
        </w:tc>
        <w:tc>
          <w:tcPr>
            <w:tcW w:w="1085" w:type="dxa"/>
            <w:vAlign w:val="center"/>
          </w:tcPr>
          <w:p>
            <w:pPr>
              <w:spacing w:line="360" w:lineRule="auto"/>
              <w:jc w:val="both"/>
              <w:rPr>
                <w:rFonts w:ascii="Book Antiqua" w:hAnsi="Book Antiqua" w:eastAsia="MS Mincho" w:cs="Times New Roman"/>
                <w:color w:val="000000"/>
                <w:lang w:eastAsia="ja-JP"/>
              </w:rPr>
            </w:pPr>
          </w:p>
        </w:tc>
        <w:tc>
          <w:tcPr>
            <w:tcW w:w="1872" w:type="dxa"/>
            <w:vAlign w:val="center"/>
          </w:tcPr>
          <w:p>
            <w:pPr>
              <w:spacing w:line="360" w:lineRule="auto"/>
              <w:jc w:val="both"/>
              <w:rPr>
                <w:rFonts w:ascii="Book Antiqua" w:hAnsi="Book Antiqua" w:eastAsia="MS Mincho" w:cs="Times New Roman"/>
                <w:color w:val="000000"/>
                <w:lang w:eastAsia="ja-JP"/>
              </w:rPr>
            </w:pPr>
          </w:p>
        </w:tc>
        <w:tc>
          <w:tcPr>
            <w:tcW w:w="1037" w:type="dxa"/>
            <w:vAlign w:val="center"/>
          </w:tcPr>
          <w:p>
            <w:pPr>
              <w:spacing w:line="360" w:lineRule="auto"/>
              <w:jc w:val="both"/>
              <w:rPr>
                <w:rFonts w:ascii="Book Antiqua" w:hAnsi="Book Antiqua" w:eastAsia="MS Mincho" w:cs="Times New Roman"/>
                <w:color w:val="000000"/>
                <w:lang w:eastAsia="ja-JP"/>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vAlign w:val="center"/>
          </w:tcPr>
          <w:p>
            <w:pPr>
              <w:spacing w:line="360" w:lineRule="auto"/>
              <w:ind w:firstLine="240" w:firstLineChars="100"/>
              <w:jc w:val="both"/>
              <w:rPr>
                <w:rFonts w:ascii="Book Antiqua" w:hAnsi="Book Antiqua" w:eastAsia="MS Mincho" w:cs="Times New Roman"/>
                <w:color w:val="000000"/>
                <w:lang w:eastAsia="ja-JP"/>
              </w:rPr>
            </w:pPr>
            <w:r>
              <w:rPr>
                <w:rFonts w:ascii="Book Antiqua" w:hAnsi="Book Antiqua" w:eastAsia="MS Mincho" w:cs="Times New Roman"/>
                <w:color w:val="000000"/>
                <w:lang w:val="en" w:eastAsia="ja-JP"/>
              </w:rPr>
              <w:t>Palliative surgery</w:t>
            </w:r>
          </w:p>
        </w:tc>
        <w:tc>
          <w:tcPr>
            <w:tcW w:w="192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0.34 (0.24-0.48)</w:t>
            </w:r>
          </w:p>
        </w:tc>
        <w:tc>
          <w:tcPr>
            <w:tcW w:w="1085"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&lt; 0.001</w:t>
            </w:r>
          </w:p>
        </w:tc>
        <w:tc>
          <w:tcPr>
            <w:tcW w:w="1872"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0.39 (0.29-0.52)</w:t>
            </w:r>
          </w:p>
        </w:tc>
        <w:tc>
          <w:tcPr>
            <w:tcW w:w="1037" w:type="dxa"/>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15" w:type="dxa"/>
            <w:tcBorders>
              <w:bottom w:val="single" w:color="auto" w:sz="4" w:space="0"/>
            </w:tcBorders>
            <w:vAlign w:val="center"/>
          </w:tcPr>
          <w:p>
            <w:pPr>
              <w:spacing w:line="360" w:lineRule="auto"/>
              <w:ind w:firstLine="240" w:firstLineChars="100"/>
              <w:jc w:val="both"/>
              <w:rPr>
                <w:rFonts w:ascii="Book Antiqua" w:hAnsi="Book Antiqua" w:eastAsia="MS Mincho" w:cs="Times New Roman"/>
                <w:color w:val="000000"/>
                <w:lang w:eastAsia="ja-JP"/>
              </w:rPr>
            </w:pPr>
            <w:r>
              <w:rPr>
                <w:rFonts w:ascii="Book Antiqua" w:hAnsi="Book Antiqua" w:eastAsia="MS Mincho" w:cs="Times New Roman"/>
                <w:color w:val="000000"/>
                <w:lang w:val="en" w:eastAsia="ja-JP"/>
              </w:rPr>
              <w:t>SEMS placement</w:t>
            </w:r>
          </w:p>
        </w:tc>
        <w:tc>
          <w:tcPr>
            <w:tcW w:w="1922" w:type="dxa"/>
            <w:tcBorders>
              <w:bottom w:val="single" w:color="auto" w:sz="4" w:space="0"/>
            </w:tcBorders>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0.37 (0.26-0.52)</w:t>
            </w:r>
          </w:p>
        </w:tc>
        <w:tc>
          <w:tcPr>
            <w:tcW w:w="1085" w:type="dxa"/>
            <w:tcBorders>
              <w:bottom w:val="single" w:color="auto" w:sz="4" w:space="0"/>
            </w:tcBorders>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color w:val="000000"/>
                <w:lang w:eastAsia="ja-JP"/>
              </w:rPr>
              <w:t>&lt; 0.001</w:t>
            </w:r>
          </w:p>
        </w:tc>
        <w:tc>
          <w:tcPr>
            <w:tcW w:w="1872" w:type="dxa"/>
            <w:tcBorders>
              <w:bottom w:val="single" w:color="auto" w:sz="4" w:space="0"/>
            </w:tcBorders>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0.54 (0.42-0.70)</w:t>
            </w:r>
          </w:p>
        </w:tc>
        <w:tc>
          <w:tcPr>
            <w:tcW w:w="1037" w:type="dxa"/>
            <w:tcBorders>
              <w:bottom w:val="single" w:color="auto" w:sz="4" w:space="0"/>
            </w:tcBorders>
            <w:vAlign w:val="center"/>
          </w:tcPr>
          <w:p>
            <w:pPr>
              <w:spacing w:line="360" w:lineRule="auto"/>
              <w:jc w:val="both"/>
              <w:rPr>
                <w:rFonts w:ascii="Book Antiqua" w:hAnsi="Book Antiqua" w:eastAsia="MS Mincho" w:cs="Times New Roman"/>
                <w:color w:val="000000"/>
                <w:lang w:eastAsia="ja-JP"/>
              </w:rPr>
            </w:pPr>
            <w:r>
              <w:rPr>
                <w:rFonts w:ascii="Book Antiqua" w:hAnsi="Book Antiqua" w:eastAsia="MS Mincho" w:cs="Times New Roman"/>
                <w:lang w:eastAsia="ja-JP"/>
              </w:rPr>
              <w:t>&lt; 0.001</w:t>
            </w:r>
          </w:p>
        </w:tc>
      </w:tr>
      <w:bookmarkEnd w:id="110"/>
      <w:bookmarkEnd w:id="111"/>
    </w:tbl>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color w:val="000000" w:themeColor="text1"/>
          <w:shd w:val="clear" w:color="auto" w:fill="FFFFFF"/>
          <w14:textFill>
            <w14:solidFill>
              <w14:schemeClr w14:val="tx1"/>
            </w14:solidFill>
          </w14:textFill>
        </w:rPr>
        <w:t xml:space="preserve">CI: </w:t>
      </w:r>
      <w:r>
        <w:rPr>
          <w:rFonts w:ascii="Book Antiqua" w:hAnsi="Book Antiqua" w:eastAsia="Book Antiqua" w:cs="Book Antiqua"/>
          <w:color w:val="000000"/>
        </w:rPr>
        <w:t xml:space="preserve">Confidence interval; </w:t>
      </w:r>
      <w:r>
        <w:rPr>
          <w:rFonts w:ascii="Book Antiqua" w:hAnsi="Book Antiqua"/>
          <w:color w:val="000000" w:themeColor="text1"/>
          <w:shd w:val="clear" w:color="auto" w:fill="FFFFFF"/>
          <w14:textFill>
            <w14:solidFill>
              <w14:schemeClr w14:val="tx1"/>
            </w14:solidFill>
          </w14:textFill>
        </w:rPr>
        <w:t xml:space="preserve">HR: </w:t>
      </w:r>
      <w:r>
        <w:rPr>
          <w:rFonts w:ascii="Book Antiqua" w:hAnsi="Book Antiqua" w:eastAsia="Book Antiqua" w:cs="Book Antiqua"/>
          <w:color w:val="000000"/>
        </w:rPr>
        <w:t>Hazard ratio</w:t>
      </w:r>
      <w:r>
        <w:rPr>
          <w:rFonts w:ascii="Book Antiqua" w:hAnsi="Book Antiqua"/>
          <w:color w:val="000000" w:themeColor="text1"/>
          <w:shd w:val="clear" w:color="auto" w:fill="FFFFFF"/>
          <w14:textFill>
            <w14:solidFill>
              <w14:schemeClr w14:val="tx1"/>
            </w14:solidFill>
          </w14:textFill>
        </w:rPr>
        <w:t xml:space="preserve">; </w:t>
      </w:r>
      <w:r>
        <w:rPr>
          <w:rFonts w:ascii="Book Antiqua" w:hAnsi="Book Antiqua"/>
          <w:color w:val="000000" w:themeColor="text1"/>
          <w14:textFill>
            <w14:solidFill>
              <w14:schemeClr w14:val="tx1"/>
            </w14:solidFill>
          </w14:textFill>
        </w:rPr>
        <w:t xml:space="preserve">SEMS: </w:t>
      </w:r>
      <w:r>
        <w:rPr>
          <w:rFonts w:ascii="Book Antiqua" w:hAnsi="Book Antiqua"/>
          <w:color w:val="000000" w:themeColor="text1"/>
          <w:shd w:val="clear" w:color="auto" w:fill="FFFFFF"/>
          <w14:textFill>
            <w14:solidFill>
              <w14:schemeClr w14:val="tx1"/>
            </w14:solidFill>
          </w14:textFill>
        </w:rPr>
        <w:t>Self-expandable metal stent.</w:t>
      </w:r>
    </w:p>
    <w:p>
      <w:pPr>
        <w:spacing w:line="360" w:lineRule="auto"/>
        <w:jc w:val="both"/>
        <w:rPr>
          <w:rFonts w:ascii="Book Antiqua" w:hAnsi="Book Antiqua"/>
          <w:color w:val="000000"/>
        </w:rPr>
      </w:pPr>
      <w:r>
        <w:rPr>
          <w:rFonts w:ascii="Book Antiqua" w:hAnsi="Book Antiqua"/>
          <w:b/>
          <w:color w:val="000000"/>
        </w:rPr>
        <w:t xml:space="preserve">Table 5 </w:t>
      </w:r>
      <w:r>
        <w:rPr>
          <w:rFonts w:ascii="Book Antiqua" w:hAnsi="Book Antiqua"/>
          <w:b/>
          <w:bCs/>
          <w:color w:val="000000"/>
        </w:rPr>
        <w:t>Adverse events</w:t>
      </w:r>
    </w:p>
    <w:tbl>
      <w:tblPr>
        <w:tblStyle w:val="17"/>
        <w:tblW w:w="9158" w:type="dxa"/>
        <w:tblInd w:w="0" w:type="dxa"/>
        <w:tblLayout w:type="autofit"/>
        <w:tblCellMar>
          <w:top w:w="0" w:type="dxa"/>
          <w:left w:w="0" w:type="dxa"/>
          <w:bottom w:w="0" w:type="dxa"/>
          <w:right w:w="0" w:type="dxa"/>
        </w:tblCellMar>
      </w:tblPr>
      <w:tblGrid>
        <w:gridCol w:w="4282"/>
        <w:gridCol w:w="2376"/>
        <w:gridCol w:w="1270"/>
        <w:gridCol w:w="1230"/>
      </w:tblGrid>
      <w:tr>
        <w:tblPrEx>
          <w:tblCellMar>
            <w:top w:w="0" w:type="dxa"/>
            <w:left w:w="0" w:type="dxa"/>
            <w:bottom w:w="0" w:type="dxa"/>
            <w:right w:w="0" w:type="dxa"/>
          </w:tblCellMar>
        </w:tblPrEx>
        <w:trPr>
          <w:trHeight w:val="620" w:hRule="atLeast"/>
        </w:trPr>
        <w:tc>
          <w:tcPr>
            <w:tcW w:w="4282" w:type="dxa"/>
            <w:tcBorders>
              <w:top w:val="single" w:color="000000" w:sz="4" w:space="0"/>
              <w:left w:val="nil"/>
              <w:bottom w:val="single" w:color="000000" w:sz="4" w:space="0"/>
              <w:right w:val="nil"/>
            </w:tcBorders>
            <w:shd w:val="clear" w:color="auto" w:fill="auto"/>
            <w:tcMar>
              <w:top w:w="15" w:type="dxa"/>
              <w:left w:w="53" w:type="dxa"/>
              <w:bottom w:w="0" w:type="dxa"/>
              <w:right w:w="53" w:type="dxa"/>
            </w:tcMar>
            <w:vAlign w:val="center"/>
          </w:tcPr>
          <w:p>
            <w:pPr>
              <w:spacing w:line="360" w:lineRule="auto"/>
              <w:ind w:left="2" w:hanging="4"/>
              <w:jc w:val="both"/>
              <w:rPr>
                <w:rFonts w:ascii="Book Antiqua" w:hAnsi="Book Antiqua" w:eastAsia="MS PGothic"/>
              </w:rPr>
            </w:pPr>
          </w:p>
        </w:tc>
        <w:tc>
          <w:tcPr>
            <w:tcW w:w="2376" w:type="dxa"/>
            <w:tcBorders>
              <w:top w:val="single" w:color="000000" w:sz="4" w:space="0"/>
              <w:left w:val="nil"/>
              <w:bottom w:val="single" w:color="000000" w:sz="4" w:space="0"/>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eastAsia="MS PGothic"/>
              </w:rPr>
            </w:pPr>
            <w:r>
              <w:rPr>
                <w:rFonts w:ascii="Book Antiqua" w:hAnsi="Book Antiqua" w:eastAsia="Meiryo"/>
                <w:b/>
                <w:bCs/>
                <w:color w:val="000000"/>
              </w:rPr>
              <w:t>Chemotherapy</w:t>
            </w:r>
            <w:r>
              <w:rPr>
                <w:rFonts w:hint="eastAsia" w:ascii="Book Antiqua" w:hAnsi="Book Antiqua" w:eastAsia="Meiryo"/>
                <w:b/>
                <w:bCs/>
                <w:color w:val="000000"/>
              </w:rPr>
              <w:t xml:space="preserve"> </w:t>
            </w:r>
            <w:r>
              <w:rPr>
                <w:rFonts w:ascii="Book Antiqua" w:hAnsi="Book Antiqua" w:eastAsia="Meiryo"/>
                <w:b/>
                <w:bCs/>
                <w:color w:val="000000"/>
              </w:rPr>
              <w:t>(</w:t>
            </w:r>
            <w:r>
              <w:rPr>
                <w:rFonts w:ascii="Book Antiqua" w:hAnsi="Book Antiqua" w:eastAsia="Meiryo"/>
                <w:b/>
                <w:bCs/>
                <w:i/>
                <w:iCs/>
                <w:color w:val="000000"/>
              </w:rPr>
              <w:t>n</w:t>
            </w:r>
            <w:r>
              <w:rPr>
                <w:rFonts w:ascii="Book Antiqua" w:hAnsi="Book Antiqua" w:eastAsia="Meiryo"/>
                <w:b/>
                <w:bCs/>
                <w:color w:val="000000"/>
              </w:rPr>
              <w:t xml:space="preserve"> = 470), </w:t>
            </w:r>
            <w:bookmarkStart w:id="112" w:name="OLE_LINK3917"/>
            <w:bookmarkStart w:id="113" w:name="OLE_LINK3916"/>
            <w:r>
              <w:rPr>
                <w:rFonts w:ascii="Book Antiqua" w:hAnsi="Book Antiqua" w:eastAsia="Meiryo"/>
                <w:b/>
                <w:bCs/>
                <w:i/>
                <w:iCs/>
                <w:color w:val="000000"/>
              </w:rPr>
              <w:t>n</w:t>
            </w:r>
            <w:r>
              <w:rPr>
                <w:rFonts w:ascii="Book Antiqua" w:hAnsi="Book Antiqua" w:eastAsia="Meiryo"/>
                <w:b/>
                <w:bCs/>
                <w:color w:val="000000"/>
              </w:rPr>
              <w:t xml:space="preserve"> (%)</w:t>
            </w:r>
            <w:bookmarkEnd w:id="112"/>
            <w:bookmarkEnd w:id="113"/>
          </w:p>
        </w:tc>
        <w:tc>
          <w:tcPr>
            <w:tcW w:w="1270" w:type="dxa"/>
            <w:tcBorders>
              <w:top w:val="single" w:color="000000" w:sz="4" w:space="0"/>
              <w:left w:val="nil"/>
              <w:bottom w:val="single" w:color="000000" w:sz="4" w:space="0"/>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eastAsia="MS PGothic"/>
              </w:rPr>
            </w:pPr>
            <w:r>
              <w:rPr>
                <w:rFonts w:ascii="Book Antiqua" w:hAnsi="Book Antiqua" w:eastAsia="Meiryo"/>
                <w:b/>
                <w:bCs/>
                <w:color w:val="000000"/>
              </w:rPr>
              <w:t>BSC</w:t>
            </w:r>
            <w:r>
              <w:rPr>
                <w:rFonts w:hint="eastAsia" w:ascii="Book Antiqua" w:hAnsi="Book Antiqua" w:eastAsia="Meiryo"/>
                <w:b/>
                <w:bCs/>
                <w:color w:val="000000"/>
              </w:rPr>
              <w:t xml:space="preserve"> </w:t>
            </w:r>
            <w:r>
              <w:rPr>
                <w:rFonts w:ascii="Book Antiqua" w:hAnsi="Book Antiqua" w:eastAsia="Meiryo"/>
                <w:b/>
                <w:bCs/>
                <w:color w:val="000000"/>
              </w:rPr>
              <w:t>(</w:t>
            </w:r>
            <w:r>
              <w:rPr>
                <w:rFonts w:ascii="Book Antiqua" w:hAnsi="Book Antiqua" w:eastAsia="Meiryo"/>
                <w:b/>
                <w:bCs/>
                <w:i/>
                <w:iCs/>
                <w:color w:val="000000"/>
              </w:rPr>
              <w:t>n</w:t>
            </w:r>
            <w:r>
              <w:rPr>
                <w:rFonts w:ascii="Book Antiqua" w:hAnsi="Book Antiqua" w:eastAsia="Meiryo"/>
                <w:b/>
                <w:bCs/>
                <w:color w:val="000000"/>
              </w:rPr>
              <w:t xml:space="preserve"> = 652),</w:t>
            </w:r>
            <w:r>
              <w:rPr>
                <w:rFonts w:ascii="Book Antiqua" w:hAnsi="Book Antiqua" w:eastAsia="Meiryo"/>
                <w:b/>
                <w:bCs/>
                <w:i/>
                <w:iCs/>
                <w:color w:val="000000"/>
              </w:rPr>
              <w:t xml:space="preserve"> n</w:t>
            </w:r>
            <w:r>
              <w:rPr>
                <w:rFonts w:ascii="Book Antiqua" w:hAnsi="Book Antiqua" w:eastAsia="Meiryo"/>
                <w:b/>
                <w:bCs/>
                <w:color w:val="000000"/>
              </w:rPr>
              <w:t xml:space="preserve"> (%)</w:t>
            </w:r>
          </w:p>
        </w:tc>
        <w:tc>
          <w:tcPr>
            <w:tcW w:w="1230" w:type="dxa"/>
            <w:tcBorders>
              <w:top w:val="single" w:color="000000" w:sz="4" w:space="0"/>
              <w:left w:val="nil"/>
              <w:bottom w:val="single" w:color="000000" w:sz="4" w:space="0"/>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eastAsia="MS PGothic"/>
              </w:rPr>
            </w:pPr>
            <w:r>
              <w:rPr>
                <w:rFonts w:ascii="Book Antiqua" w:hAnsi="Book Antiqua"/>
                <w:b/>
                <w:bCs/>
                <w:i/>
                <w:iCs/>
                <w:color w:val="000000"/>
              </w:rPr>
              <w:t>P</w:t>
            </w:r>
            <w:r>
              <w:rPr>
                <w:rFonts w:ascii="Book Antiqua" w:hAnsi="Book Antiqua"/>
                <w:b/>
                <w:bCs/>
                <w:color w:val="000000"/>
              </w:rPr>
              <w:t xml:space="preserve"> value</w:t>
            </w:r>
          </w:p>
        </w:tc>
      </w:tr>
      <w:tr>
        <w:tblPrEx>
          <w:tblCellMar>
            <w:top w:w="0" w:type="dxa"/>
            <w:left w:w="0" w:type="dxa"/>
            <w:bottom w:w="0" w:type="dxa"/>
            <w:right w:w="0" w:type="dxa"/>
          </w:tblCellMar>
        </w:tblPrEx>
        <w:trPr>
          <w:trHeight w:val="620" w:hRule="atLeast"/>
        </w:trPr>
        <w:tc>
          <w:tcPr>
            <w:tcW w:w="4282" w:type="dxa"/>
            <w:tcBorders>
              <w:top w:val="single" w:color="000000" w:sz="4" w:space="0"/>
              <w:left w:val="nil"/>
              <w:right w:val="nil"/>
            </w:tcBorders>
            <w:shd w:val="clear" w:color="auto" w:fill="auto"/>
            <w:tcMar>
              <w:top w:w="15" w:type="dxa"/>
              <w:left w:w="53" w:type="dxa"/>
              <w:bottom w:w="0" w:type="dxa"/>
              <w:right w:w="53" w:type="dxa"/>
            </w:tcMar>
            <w:vAlign w:val="center"/>
          </w:tcPr>
          <w:p>
            <w:pPr>
              <w:spacing w:line="360" w:lineRule="auto"/>
              <w:jc w:val="both"/>
              <w:rPr>
                <w:rFonts w:ascii="Book Antiqua" w:hAnsi="Book Antiqua" w:eastAsia="MS PGothic"/>
              </w:rPr>
            </w:pPr>
            <w:r>
              <w:rPr>
                <w:rFonts w:ascii="Book Antiqua" w:hAnsi="Book Antiqua" w:eastAsia="Meiryo"/>
                <w:color w:val="000000"/>
              </w:rPr>
              <w:t>Perforation</w:t>
            </w:r>
          </w:p>
        </w:tc>
        <w:tc>
          <w:tcPr>
            <w:tcW w:w="2376" w:type="dxa"/>
            <w:tcBorders>
              <w:top w:val="single" w:color="000000" w:sz="4" w:space="0"/>
              <w:left w:val="nil"/>
              <w:right w:val="nil"/>
            </w:tcBorders>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Yu Gothic"/>
                <w:color w:val="000000"/>
                <w:kern w:val="24"/>
              </w:rPr>
              <w:t>6 (1.3)</w:t>
            </w:r>
          </w:p>
        </w:tc>
        <w:tc>
          <w:tcPr>
            <w:tcW w:w="1270" w:type="dxa"/>
            <w:tcBorders>
              <w:top w:val="single" w:color="000000" w:sz="4" w:space="0"/>
              <w:left w:val="nil"/>
              <w:right w:val="nil"/>
            </w:tcBorders>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Yu Gothic"/>
                <w:color w:val="000000"/>
                <w:kern w:val="24"/>
              </w:rPr>
              <w:t>6 (0.9)</w:t>
            </w:r>
          </w:p>
        </w:tc>
        <w:tc>
          <w:tcPr>
            <w:tcW w:w="1230" w:type="dxa"/>
            <w:tcBorders>
              <w:top w:val="single" w:color="000000" w:sz="4" w:space="0"/>
              <w:left w:val="nil"/>
              <w:right w:val="nil"/>
            </w:tcBorders>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Yu Gothic"/>
                <w:color w:val="000000"/>
                <w:kern w:val="24"/>
              </w:rPr>
              <w:t>0.567</w:t>
            </w:r>
          </w:p>
        </w:tc>
      </w:tr>
      <w:tr>
        <w:tblPrEx>
          <w:tblCellMar>
            <w:top w:w="0" w:type="dxa"/>
            <w:left w:w="0" w:type="dxa"/>
            <w:bottom w:w="0" w:type="dxa"/>
            <w:right w:w="0" w:type="dxa"/>
          </w:tblCellMar>
        </w:tblPrEx>
        <w:trPr>
          <w:trHeight w:val="620" w:hRule="atLeast"/>
        </w:trPr>
        <w:tc>
          <w:tcPr>
            <w:tcW w:w="4282" w:type="dxa"/>
            <w:tcBorders>
              <w:top w:val="nil"/>
              <w:left w:val="nil"/>
              <w:bottom w:val="single" w:color="000000" w:sz="4" w:space="0"/>
              <w:right w:val="nil"/>
            </w:tcBorders>
            <w:shd w:val="clear" w:color="auto" w:fill="auto"/>
            <w:tcMar>
              <w:top w:w="15" w:type="dxa"/>
              <w:left w:w="99" w:type="dxa"/>
              <w:bottom w:w="0" w:type="dxa"/>
              <w:right w:w="99" w:type="dxa"/>
            </w:tcMar>
            <w:vAlign w:val="center"/>
          </w:tcPr>
          <w:p>
            <w:pPr>
              <w:spacing w:line="360" w:lineRule="auto"/>
              <w:jc w:val="both"/>
              <w:rPr>
                <w:rFonts w:ascii="Book Antiqua" w:hAnsi="Book Antiqua" w:eastAsia="MS PGothic"/>
              </w:rPr>
            </w:pPr>
            <w:r>
              <w:rPr>
                <w:rFonts w:ascii="Book Antiqua" w:hAnsi="Book Antiqua" w:eastAsia="Meiryo"/>
                <w:color w:val="000000"/>
              </w:rPr>
              <w:t>Gastrointestinal bleeding</w:t>
            </w:r>
          </w:p>
        </w:tc>
        <w:tc>
          <w:tcPr>
            <w:tcW w:w="2376" w:type="dxa"/>
            <w:tcBorders>
              <w:top w:val="nil"/>
              <w:left w:val="nil"/>
              <w:bottom w:val="single" w:color="000000" w:sz="4" w:space="0"/>
              <w:right w:val="nil"/>
            </w:tcBorders>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rPr>
            </w:pPr>
            <w:r>
              <w:rPr>
                <w:rFonts w:ascii="Book Antiqua" w:hAnsi="Book Antiqua" w:eastAsia="Yu Gothic"/>
                <w:color w:val="000000"/>
                <w:kern w:val="24"/>
              </w:rPr>
              <w:t>7 (1.5)</w:t>
            </w:r>
          </w:p>
        </w:tc>
        <w:tc>
          <w:tcPr>
            <w:tcW w:w="1270" w:type="dxa"/>
            <w:tcBorders>
              <w:top w:val="nil"/>
              <w:left w:val="nil"/>
              <w:bottom w:val="single" w:color="000000" w:sz="4" w:space="0"/>
              <w:right w:val="nil"/>
            </w:tcBorders>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14:textFill>
                  <w14:solidFill>
                    <w14:schemeClr w14:val="tx1"/>
                  </w14:solidFill>
                </w14:textFill>
              </w:rPr>
            </w:pPr>
            <w:r>
              <w:rPr>
                <w:rFonts w:ascii="Book Antiqua" w:hAnsi="Book Antiqua" w:eastAsia="Yu Gothic"/>
                <w:color w:val="000000" w:themeColor="text1"/>
                <w:kern w:val="24"/>
                <w14:textFill>
                  <w14:solidFill>
                    <w14:schemeClr w14:val="tx1"/>
                  </w14:solidFill>
                </w14:textFill>
              </w:rPr>
              <w:t>3 (0.5)</w:t>
            </w:r>
          </w:p>
        </w:tc>
        <w:tc>
          <w:tcPr>
            <w:tcW w:w="1230" w:type="dxa"/>
            <w:tcBorders>
              <w:top w:val="nil"/>
              <w:left w:val="nil"/>
              <w:bottom w:val="single" w:color="000000" w:sz="4" w:space="0"/>
              <w:right w:val="nil"/>
            </w:tcBorders>
            <w:shd w:val="clear" w:color="auto" w:fill="auto"/>
            <w:tcMar>
              <w:top w:w="15" w:type="dxa"/>
              <w:left w:w="15" w:type="dxa"/>
              <w:bottom w:w="0" w:type="dxa"/>
              <w:right w:w="15" w:type="dxa"/>
            </w:tcMar>
            <w:vAlign w:val="center"/>
          </w:tcPr>
          <w:p>
            <w:pPr>
              <w:spacing w:line="360" w:lineRule="auto"/>
              <w:jc w:val="both"/>
              <w:textAlignment w:val="center"/>
              <w:rPr>
                <w:rFonts w:ascii="Book Antiqua" w:hAnsi="Book Antiqua" w:eastAsia="MS PGothic"/>
                <w:color w:val="000000" w:themeColor="text1"/>
                <w14:textFill>
                  <w14:solidFill>
                    <w14:schemeClr w14:val="tx1"/>
                  </w14:solidFill>
                </w14:textFill>
              </w:rPr>
            </w:pPr>
            <w:r>
              <w:rPr>
                <w:rFonts w:ascii="Book Antiqua" w:hAnsi="Book Antiqua" w:eastAsia="Yu Gothic"/>
                <w:color w:val="000000" w:themeColor="text1"/>
                <w:kern w:val="24"/>
                <w14:textFill>
                  <w14:solidFill>
                    <w14:schemeClr w14:val="tx1"/>
                  </w14:solidFill>
                </w14:textFill>
              </w:rPr>
              <w:t>0.105</w:t>
            </w:r>
          </w:p>
        </w:tc>
      </w:tr>
      <w:bookmarkEnd w:id="77"/>
      <w:bookmarkEnd w:id="78"/>
    </w:tbl>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MS Gothic">
    <w:panose1 w:val="020B0609070205080204"/>
    <w:charset w:val="80"/>
    <w:family w:val="modern"/>
    <w:pitch w:val="default"/>
    <w:sig w:usb0="E00002FF" w:usb1="6AC7FDFB" w:usb2="08000012" w:usb3="00000000" w:csb0="4002009F" w:csb1="DFD70000"/>
  </w:font>
  <w:font w:name="Georgia">
    <w:panose1 w:val="02040502050405020303"/>
    <w:charset w:val="00"/>
    <w:family w:val="roman"/>
    <w:pitch w:val="default"/>
    <w:sig w:usb0="00000287" w:usb1="00000000" w:usb2="00000000" w:usb3="00000000" w:csb0="2000009F" w:csb1="00000000"/>
  </w:font>
  <w:font w:name="MS PGothic">
    <w:panose1 w:val="020B0600070205080204"/>
    <w:charset w:val="80"/>
    <w:family w:val="swiss"/>
    <w:pitch w:val="default"/>
    <w:sig w:usb0="E00002FF" w:usb1="6AC7FDFB" w:usb2="08000012" w:usb3="00000000" w:csb0="4002009F" w:csb1="DFD70000"/>
  </w:font>
  <w:font w:name="Book Antiqua">
    <w:panose1 w:val="02040602050305030304"/>
    <w:charset w:val="00"/>
    <w:family w:val="roman"/>
    <w:pitch w:val="default"/>
    <w:sig w:usb0="00000287" w:usb1="00000000" w:usb2="00000000" w:usb3="00000000" w:csb0="2000009F" w:csb1="DFD70000"/>
  </w:font>
  <w:font w:name="Meiryo">
    <w:altName w:val="Yu Gothic"/>
    <w:panose1 w:val="00000000000000000000"/>
    <w:charset w:val="80"/>
    <w:family w:val="swiss"/>
    <w:pitch w:val="default"/>
    <w:sig w:usb0="00000000" w:usb1="00000000" w:usb2="08000012" w:usb3="00000000" w:csb0="0002009F" w:csb1="00000000"/>
  </w:font>
  <w:font w:name="Yu Gothic">
    <w:panose1 w:val="020B0400000000000000"/>
    <w:charset w:val="80"/>
    <w:family w:val="auto"/>
    <w:pitch w:val="default"/>
    <w:sig w:usb0="E00002FF" w:usb1="2AC7FDFF" w:usb2="00000016" w:usb3="00000000" w:csb0="2002009F" w:csb1="00000000"/>
  </w:font>
  <w:font w:name="Times New Roman Uni">
    <w:altName w:val="Yu Gothic"/>
    <w:panose1 w:val="00000000000000000000"/>
    <w:charset w:val="80"/>
    <w:family w:val="roman"/>
    <w:pitch w:val="default"/>
    <w:sig w:usb0="00000000" w:usb1="00000000" w:usb2="0000003E" w:usb3="00000000" w:csb0="001F01F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248115733"/>
      <w:docPartObj>
        <w:docPartGallery w:val="autotext"/>
      </w:docPartObj>
    </w:sdtPr>
    <w:sdtEndPr>
      <w:rPr>
        <w:rFonts w:ascii="Book Antiqua" w:hAnsi="Book Antiqua"/>
        <w:sz w:val="24"/>
        <w:szCs w:val="24"/>
      </w:rPr>
    </w:sdtEndPr>
    <w:sdtContent>
      <w:p>
        <w:pPr>
          <w:pStyle w:val="10"/>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31</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bookmarkStart w:id="114" w:name="OLE_LINK3910"/>
    <w:bookmarkEnd w:id="114"/>
    <w:bookmarkStart w:id="115" w:name="OLE_LINK3912"/>
    <w:bookmarkEnd w:id="115"/>
    <w:bookmarkStart w:id="116" w:name="_Hlk100818512"/>
    <w:bookmarkEnd w:id="116"/>
    <w:bookmarkStart w:id="117" w:name="_Hlk100818514"/>
    <w:bookmarkEnd w:id="117"/>
    <w:bookmarkStart w:id="118" w:name="OLE_LINK3911"/>
    <w:bookmarkEnd w:id="118"/>
    <w:bookmarkStart w:id="119" w:name="OLE_LINK3913"/>
    <w:bookmarkEnd w:id="119"/>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A5939"/>
    <w:rsid w:val="000C584B"/>
    <w:rsid w:val="000D1B17"/>
    <w:rsid w:val="000E4FD1"/>
    <w:rsid w:val="000F19A2"/>
    <w:rsid w:val="00142936"/>
    <w:rsid w:val="001B3A26"/>
    <w:rsid w:val="001D515D"/>
    <w:rsid w:val="00245482"/>
    <w:rsid w:val="0026192B"/>
    <w:rsid w:val="002665EF"/>
    <w:rsid w:val="002B4842"/>
    <w:rsid w:val="002C2496"/>
    <w:rsid w:val="003B74CB"/>
    <w:rsid w:val="00473373"/>
    <w:rsid w:val="004F5ABF"/>
    <w:rsid w:val="005354B3"/>
    <w:rsid w:val="005866D4"/>
    <w:rsid w:val="00596415"/>
    <w:rsid w:val="00597009"/>
    <w:rsid w:val="005D5218"/>
    <w:rsid w:val="005D57C0"/>
    <w:rsid w:val="005E4A3F"/>
    <w:rsid w:val="00606F9B"/>
    <w:rsid w:val="00616BDA"/>
    <w:rsid w:val="00626E3D"/>
    <w:rsid w:val="00654417"/>
    <w:rsid w:val="0068302F"/>
    <w:rsid w:val="006E5F13"/>
    <w:rsid w:val="00734BBC"/>
    <w:rsid w:val="0075038D"/>
    <w:rsid w:val="007B4D76"/>
    <w:rsid w:val="00836D27"/>
    <w:rsid w:val="008711AF"/>
    <w:rsid w:val="00890ADD"/>
    <w:rsid w:val="008B6575"/>
    <w:rsid w:val="008C1041"/>
    <w:rsid w:val="008C1E21"/>
    <w:rsid w:val="009065D5"/>
    <w:rsid w:val="009647D3"/>
    <w:rsid w:val="009A5888"/>
    <w:rsid w:val="009F7F79"/>
    <w:rsid w:val="00A4029A"/>
    <w:rsid w:val="00A4179D"/>
    <w:rsid w:val="00A42762"/>
    <w:rsid w:val="00A77B3E"/>
    <w:rsid w:val="00B34CE1"/>
    <w:rsid w:val="00BD4F75"/>
    <w:rsid w:val="00BF753B"/>
    <w:rsid w:val="00C06468"/>
    <w:rsid w:val="00C55F7D"/>
    <w:rsid w:val="00CA2A55"/>
    <w:rsid w:val="00CD0D1F"/>
    <w:rsid w:val="00D07454"/>
    <w:rsid w:val="00D3441F"/>
    <w:rsid w:val="00D37024"/>
    <w:rsid w:val="00D61FE7"/>
    <w:rsid w:val="00EE12FC"/>
    <w:rsid w:val="00F01BDF"/>
    <w:rsid w:val="00F338DE"/>
    <w:rsid w:val="00F46F22"/>
    <w:rsid w:val="00F82EDC"/>
    <w:rsid w:val="4B2C4F6D"/>
    <w:rsid w:val="6F953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qFormat="1" w:uiPriority="99"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27"/>
    <w:qFormat/>
    <w:uiPriority w:val="9"/>
    <w:pPr>
      <w:keepNext/>
      <w:keepLines/>
      <w:widowControl w:val="0"/>
      <w:spacing w:before="480" w:after="120"/>
      <w:jc w:val="both"/>
      <w:outlineLvl w:val="0"/>
    </w:pPr>
    <w:rPr>
      <w:rFonts w:ascii="Century" w:hAnsi="Century" w:eastAsia="MS Mincho" w:cs="Century"/>
      <w:b/>
      <w:sz w:val="48"/>
      <w:szCs w:val="48"/>
      <w:lang w:eastAsia="ja-JP"/>
    </w:rPr>
  </w:style>
  <w:style w:type="paragraph" w:styleId="3">
    <w:name w:val="heading 2"/>
    <w:basedOn w:val="1"/>
    <w:next w:val="1"/>
    <w:link w:val="28"/>
    <w:semiHidden/>
    <w:unhideWhenUsed/>
    <w:qFormat/>
    <w:uiPriority w:val="9"/>
    <w:pPr>
      <w:keepNext/>
      <w:keepLines/>
      <w:widowControl w:val="0"/>
      <w:spacing w:before="360" w:after="80"/>
      <w:jc w:val="both"/>
      <w:outlineLvl w:val="1"/>
    </w:pPr>
    <w:rPr>
      <w:rFonts w:ascii="Century" w:hAnsi="Century" w:eastAsia="MS Mincho" w:cs="Century"/>
      <w:b/>
      <w:sz w:val="36"/>
      <w:szCs w:val="36"/>
      <w:lang w:eastAsia="ja-JP"/>
    </w:rPr>
  </w:style>
  <w:style w:type="paragraph" w:styleId="4">
    <w:name w:val="heading 3"/>
    <w:basedOn w:val="1"/>
    <w:next w:val="1"/>
    <w:link w:val="29"/>
    <w:semiHidden/>
    <w:unhideWhenUsed/>
    <w:qFormat/>
    <w:uiPriority w:val="9"/>
    <w:pPr>
      <w:keepNext/>
      <w:keepLines/>
      <w:widowControl w:val="0"/>
      <w:spacing w:before="280" w:after="80"/>
      <w:jc w:val="both"/>
      <w:outlineLvl w:val="2"/>
    </w:pPr>
    <w:rPr>
      <w:rFonts w:ascii="Century" w:hAnsi="Century" w:eastAsia="MS Mincho" w:cs="Century"/>
      <w:b/>
      <w:sz w:val="28"/>
      <w:szCs w:val="28"/>
      <w:lang w:eastAsia="ja-JP"/>
    </w:rPr>
  </w:style>
  <w:style w:type="paragraph" w:styleId="5">
    <w:name w:val="heading 4"/>
    <w:basedOn w:val="1"/>
    <w:next w:val="1"/>
    <w:link w:val="30"/>
    <w:semiHidden/>
    <w:unhideWhenUsed/>
    <w:qFormat/>
    <w:uiPriority w:val="9"/>
    <w:pPr>
      <w:keepNext/>
      <w:keepLines/>
      <w:widowControl w:val="0"/>
      <w:spacing w:before="240" w:after="40"/>
      <w:jc w:val="both"/>
      <w:outlineLvl w:val="3"/>
    </w:pPr>
    <w:rPr>
      <w:rFonts w:ascii="Century" w:hAnsi="Century" w:eastAsia="MS Mincho" w:cs="Century"/>
      <w:b/>
      <w:lang w:eastAsia="ja-JP"/>
    </w:rPr>
  </w:style>
  <w:style w:type="paragraph" w:styleId="6">
    <w:name w:val="heading 5"/>
    <w:basedOn w:val="1"/>
    <w:next w:val="1"/>
    <w:link w:val="31"/>
    <w:semiHidden/>
    <w:unhideWhenUsed/>
    <w:qFormat/>
    <w:uiPriority w:val="9"/>
    <w:pPr>
      <w:keepNext/>
      <w:keepLines/>
      <w:widowControl w:val="0"/>
      <w:spacing w:before="220" w:after="40"/>
      <w:jc w:val="both"/>
      <w:outlineLvl w:val="4"/>
    </w:pPr>
    <w:rPr>
      <w:rFonts w:ascii="Century" w:hAnsi="Century" w:eastAsia="MS Mincho" w:cs="Century"/>
      <w:b/>
      <w:sz w:val="22"/>
      <w:szCs w:val="22"/>
      <w:lang w:eastAsia="ja-JP"/>
    </w:rPr>
  </w:style>
  <w:style w:type="paragraph" w:styleId="7">
    <w:name w:val="heading 6"/>
    <w:basedOn w:val="1"/>
    <w:next w:val="1"/>
    <w:link w:val="32"/>
    <w:semiHidden/>
    <w:unhideWhenUsed/>
    <w:qFormat/>
    <w:uiPriority w:val="9"/>
    <w:pPr>
      <w:keepNext/>
      <w:keepLines/>
      <w:widowControl w:val="0"/>
      <w:spacing w:before="200" w:after="40"/>
      <w:jc w:val="both"/>
      <w:outlineLvl w:val="5"/>
    </w:pPr>
    <w:rPr>
      <w:rFonts w:ascii="Century" w:hAnsi="Century" w:eastAsia="MS Mincho" w:cs="Century"/>
      <w:b/>
      <w:sz w:val="20"/>
      <w:szCs w:val="20"/>
      <w:lang w:eastAsia="ja-JP"/>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36"/>
    <w:semiHidden/>
    <w:unhideWhenUsed/>
    <w:qFormat/>
    <w:uiPriority w:val="99"/>
    <w:pPr>
      <w:widowControl w:val="0"/>
    </w:pPr>
    <w:rPr>
      <w:rFonts w:ascii="Century" w:hAnsi="Century" w:eastAsia="MS Mincho" w:cs="Century"/>
      <w:sz w:val="21"/>
      <w:szCs w:val="21"/>
      <w:lang w:eastAsia="ja-JP"/>
    </w:rPr>
  </w:style>
  <w:style w:type="paragraph" w:styleId="9">
    <w:name w:val="Balloon Text"/>
    <w:basedOn w:val="1"/>
    <w:link w:val="37"/>
    <w:unhideWhenUsed/>
    <w:qFormat/>
    <w:uiPriority w:val="99"/>
    <w:pPr>
      <w:widowControl w:val="0"/>
      <w:jc w:val="both"/>
    </w:pPr>
    <w:rPr>
      <w:rFonts w:ascii="Calibri" w:hAnsi="Calibri" w:eastAsia="MS Gothic"/>
      <w:sz w:val="18"/>
      <w:szCs w:val="18"/>
      <w:lang w:eastAsia="ja-JP"/>
    </w:rPr>
  </w:style>
  <w:style w:type="paragraph" w:styleId="10">
    <w:name w:val="footer"/>
    <w:basedOn w:val="1"/>
    <w:link w:val="26"/>
    <w:unhideWhenUsed/>
    <w:qFormat/>
    <w:uiPriority w:val="99"/>
    <w:pPr>
      <w:tabs>
        <w:tab w:val="center" w:pos="4153"/>
        <w:tab w:val="right" w:pos="8306"/>
      </w:tabs>
      <w:snapToGrid w:val="0"/>
    </w:pPr>
    <w:rPr>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link w:val="35"/>
    <w:qFormat/>
    <w:uiPriority w:val="11"/>
    <w:pPr>
      <w:keepNext/>
      <w:keepLines/>
      <w:widowControl w:val="0"/>
      <w:spacing w:before="360" w:after="80"/>
      <w:jc w:val="both"/>
    </w:pPr>
    <w:rPr>
      <w:rFonts w:ascii="Georgia" w:hAnsi="Georgia" w:eastAsia="Georgia" w:cs="Georgia"/>
      <w:i/>
      <w:color w:val="666666"/>
      <w:sz w:val="48"/>
      <w:szCs w:val="48"/>
      <w:lang w:eastAsia="ja-JP"/>
    </w:rPr>
  </w:style>
  <w:style w:type="paragraph" w:styleId="13">
    <w:name w:val="HTML Preformatted"/>
    <w:basedOn w:val="1"/>
    <w:link w:val="39"/>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val="en-GB" w:eastAsia="en-GB"/>
    </w:rPr>
  </w:style>
  <w:style w:type="paragraph" w:styleId="14">
    <w:name w:val="Normal (Web)"/>
    <w:basedOn w:val="1"/>
    <w:unhideWhenUsed/>
    <w:qFormat/>
    <w:uiPriority w:val="99"/>
    <w:pPr>
      <w:spacing w:before="100" w:beforeAutospacing="1" w:after="100" w:afterAutospacing="1"/>
    </w:pPr>
    <w:rPr>
      <w:rFonts w:ascii="MS PGothic" w:hAnsi="MS PGothic" w:eastAsia="MS PGothic" w:cs="MS PGothic"/>
      <w:lang w:eastAsia="ja-JP"/>
    </w:rPr>
  </w:style>
  <w:style w:type="paragraph" w:styleId="15">
    <w:name w:val="Title"/>
    <w:basedOn w:val="1"/>
    <w:next w:val="1"/>
    <w:link w:val="34"/>
    <w:qFormat/>
    <w:uiPriority w:val="10"/>
    <w:pPr>
      <w:keepNext/>
      <w:keepLines/>
      <w:widowControl w:val="0"/>
      <w:spacing w:before="480" w:after="120"/>
      <w:jc w:val="both"/>
    </w:pPr>
    <w:rPr>
      <w:rFonts w:ascii="Century" w:hAnsi="Century" w:eastAsia="MS Mincho" w:cs="Century"/>
      <w:b/>
      <w:sz w:val="72"/>
      <w:szCs w:val="72"/>
      <w:lang w:eastAsia="ja-JP"/>
    </w:rPr>
  </w:style>
  <w:style w:type="paragraph" w:styleId="16">
    <w:name w:val="annotation subject"/>
    <w:basedOn w:val="8"/>
    <w:next w:val="8"/>
    <w:link w:val="38"/>
    <w:semiHidden/>
    <w:unhideWhenUsed/>
    <w:qFormat/>
    <w:uiPriority w:val="99"/>
    <w:rPr>
      <w:b/>
      <w:bCs/>
    </w:rPr>
  </w:style>
  <w:style w:type="table" w:styleId="18">
    <w:name w:val="Table Grid"/>
    <w:basedOn w:val="17"/>
    <w:unhideWhenUsed/>
    <w:qFormat/>
    <w:uiPriority w:val="39"/>
    <w:rPr>
      <w:rFonts w:ascii="Century" w:hAnsi="Century" w:eastAsia="MS Mincho" w:cs="Century"/>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semiHidden/>
    <w:unhideWhenUsed/>
    <w:qFormat/>
    <w:uiPriority w:val="99"/>
    <w:rPr>
      <w:color w:val="800080" w:themeColor="followedHyperlink"/>
      <w:u w:val="single"/>
      <w14:textFill>
        <w14:solidFill>
          <w14:schemeClr w14:val="folHlink"/>
        </w14:solidFill>
      </w14:textFill>
    </w:rPr>
  </w:style>
  <w:style w:type="character" w:styleId="21">
    <w:name w:val="Emphasis"/>
    <w:basedOn w:val="19"/>
    <w:qFormat/>
    <w:uiPriority w:val="20"/>
    <w:rPr>
      <w:i/>
      <w:iCs/>
    </w:rPr>
  </w:style>
  <w:style w:type="character" w:styleId="22">
    <w:name w:val="line number"/>
    <w:basedOn w:val="19"/>
    <w:semiHidden/>
    <w:unhideWhenUsed/>
    <w:qFormat/>
    <w:uiPriority w:val="99"/>
  </w:style>
  <w:style w:type="character" w:styleId="23">
    <w:name w:val="Hyperlink"/>
    <w:unhideWhenUsed/>
    <w:qFormat/>
    <w:uiPriority w:val="99"/>
    <w:rPr>
      <w:color w:val="1975D7"/>
      <w:u w:val="none"/>
    </w:rPr>
  </w:style>
  <w:style w:type="character" w:styleId="24">
    <w:name w:val="annotation reference"/>
    <w:semiHidden/>
    <w:unhideWhenUsed/>
    <w:qFormat/>
    <w:uiPriority w:val="99"/>
    <w:rPr>
      <w:sz w:val="18"/>
      <w:szCs w:val="18"/>
    </w:rPr>
  </w:style>
  <w:style w:type="character" w:customStyle="1" w:styleId="25">
    <w:name w:val="页眉 字符"/>
    <w:basedOn w:val="19"/>
    <w:link w:val="11"/>
    <w:qFormat/>
    <w:uiPriority w:val="99"/>
    <w:rPr>
      <w:sz w:val="18"/>
      <w:szCs w:val="18"/>
    </w:rPr>
  </w:style>
  <w:style w:type="character" w:customStyle="1" w:styleId="26">
    <w:name w:val="页脚 字符"/>
    <w:basedOn w:val="19"/>
    <w:link w:val="10"/>
    <w:qFormat/>
    <w:uiPriority w:val="99"/>
    <w:rPr>
      <w:sz w:val="18"/>
      <w:szCs w:val="18"/>
    </w:rPr>
  </w:style>
  <w:style w:type="character" w:customStyle="1" w:styleId="27">
    <w:name w:val="标题 1 字符"/>
    <w:basedOn w:val="19"/>
    <w:link w:val="2"/>
    <w:uiPriority w:val="9"/>
    <w:rPr>
      <w:rFonts w:ascii="Century" w:hAnsi="Century" w:eastAsia="MS Mincho" w:cs="Century"/>
      <w:b/>
      <w:sz w:val="48"/>
      <w:szCs w:val="48"/>
      <w:lang w:eastAsia="ja-JP"/>
    </w:rPr>
  </w:style>
  <w:style w:type="character" w:customStyle="1" w:styleId="28">
    <w:name w:val="标题 2 字符"/>
    <w:basedOn w:val="19"/>
    <w:link w:val="3"/>
    <w:semiHidden/>
    <w:qFormat/>
    <w:uiPriority w:val="9"/>
    <w:rPr>
      <w:rFonts w:ascii="Century" w:hAnsi="Century" w:eastAsia="MS Mincho" w:cs="Century"/>
      <w:b/>
      <w:sz w:val="36"/>
      <w:szCs w:val="36"/>
      <w:lang w:eastAsia="ja-JP"/>
    </w:rPr>
  </w:style>
  <w:style w:type="character" w:customStyle="1" w:styleId="29">
    <w:name w:val="标题 3 字符"/>
    <w:basedOn w:val="19"/>
    <w:link w:val="4"/>
    <w:semiHidden/>
    <w:qFormat/>
    <w:uiPriority w:val="9"/>
    <w:rPr>
      <w:rFonts w:ascii="Century" w:hAnsi="Century" w:eastAsia="MS Mincho" w:cs="Century"/>
      <w:b/>
      <w:sz w:val="28"/>
      <w:szCs w:val="28"/>
      <w:lang w:eastAsia="ja-JP"/>
    </w:rPr>
  </w:style>
  <w:style w:type="character" w:customStyle="1" w:styleId="30">
    <w:name w:val="标题 4 字符"/>
    <w:basedOn w:val="19"/>
    <w:link w:val="5"/>
    <w:semiHidden/>
    <w:qFormat/>
    <w:uiPriority w:val="9"/>
    <w:rPr>
      <w:rFonts w:ascii="Century" w:hAnsi="Century" w:eastAsia="MS Mincho" w:cs="Century"/>
      <w:b/>
      <w:sz w:val="24"/>
      <w:szCs w:val="24"/>
      <w:lang w:eastAsia="ja-JP"/>
    </w:rPr>
  </w:style>
  <w:style w:type="character" w:customStyle="1" w:styleId="31">
    <w:name w:val="标题 5 字符"/>
    <w:basedOn w:val="19"/>
    <w:link w:val="6"/>
    <w:semiHidden/>
    <w:qFormat/>
    <w:uiPriority w:val="9"/>
    <w:rPr>
      <w:rFonts w:ascii="Century" w:hAnsi="Century" w:eastAsia="MS Mincho" w:cs="Century"/>
      <w:b/>
      <w:sz w:val="22"/>
      <w:szCs w:val="22"/>
      <w:lang w:eastAsia="ja-JP"/>
    </w:rPr>
  </w:style>
  <w:style w:type="character" w:customStyle="1" w:styleId="32">
    <w:name w:val="标题 6 字符"/>
    <w:basedOn w:val="19"/>
    <w:link w:val="7"/>
    <w:semiHidden/>
    <w:qFormat/>
    <w:uiPriority w:val="9"/>
    <w:rPr>
      <w:rFonts w:ascii="Century" w:hAnsi="Century" w:eastAsia="MS Mincho" w:cs="Century"/>
      <w:b/>
      <w:lang w:eastAsia="ja-JP"/>
    </w:rPr>
  </w:style>
  <w:style w:type="table" w:customStyle="1" w:styleId="33">
    <w:name w:val="Table Normal1"/>
    <w:qFormat/>
    <w:uiPriority w:val="0"/>
    <w:pPr>
      <w:widowControl w:val="0"/>
      <w:jc w:val="both"/>
    </w:pPr>
    <w:rPr>
      <w:rFonts w:ascii="Century" w:hAnsi="Century" w:eastAsia="MS Mincho" w:cs="Century"/>
      <w:sz w:val="21"/>
      <w:szCs w:val="21"/>
      <w:lang w:eastAsia="ja-JP"/>
    </w:rPr>
    <w:tblPr>
      <w:tblCellMar>
        <w:top w:w="0" w:type="dxa"/>
        <w:left w:w="0" w:type="dxa"/>
        <w:bottom w:w="0" w:type="dxa"/>
        <w:right w:w="0" w:type="dxa"/>
      </w:tblCellMar>
    </w:tblPr>
  </w:style>
  <w:style w:type="character" w:customStyle="1" w:styleId="34">
    <w:name w:val="标题 字符"/>
    <w:basedOn w:val="19"/>
    <w:link w:val="15"/>
    <w:qFormat/>
    <w:uiPriority w:val="10"/>
    <w:rPr>
      <w:rFonts w:ascii="Century" w:hAnsi="Century" w:eastAsia="MS Mincho" w:cs="Century"/>
      <w:b/>
      <w:sz w:val="72"/>
      <w:szCs w:val="72"/>
      <w:lang w:eastAsia="ja-JP"/>
    </w:rPr>
  </w:style>
  <w:style w:type="character" w:customStyle="1" w:styleId="35">
    <w:name w:val="副标题 字符"/>
    <w:basedOn w:val="19"/>
    <w:link w:val="12"/>
    <w:qFormat/>
    <w:uiPriority w:val="11"/>
    <w:rPr>
      <w:rFonts w:ascii="Georgia" w:hAnsi="Georgia" w:eastAsia="Georgia" w:cs="Georgia"/>
      <w:i/>
      <w:color w:val="666666"/>
      <w:sz w:val="48"/>
      <w:szCs w:val="48"/>
      <w:lang w:eastAsia="ja-JP"/>
    </w:rPr>
  </w:style>
  <w:style w:type="character" w:customStyle="1" w:styleId="36">
    <w:name w:val="批注文字 字符"/>
    <w:basedOn w:val="19"/>
    <w:link w:val="8"/>
    <w:semiHidden/>
    <w:qFormat/>
    <w:uiPriority w:val="99"/>
    <w:rPr>
      <w:rFonts w:ascii="Century" w:hAnsi="Century" w:eastAsia="MS Mincho" w:cs="Century"/>
      <w:sz w:val="21"/>
      <w:szCs w:val="21"/>
      <w:lang w:eastAsia="ja-JP"/>
    </w:rPr>
  </w:style>
  <w:style w:type="character" w:customStyle="1" w:styleId="37">
    <w:name w:val="批注框文本 字符"/>
    <w:basedOn w:val="19"/>
    <w:link w:val="9"/>
    <w:qFormat/>
    <w:uiPriority w:val="99"/>
    <w:rPr>
      <w:rFonts w:ascii="Calibri" w:hAnsi="Calibri" w:eastAsia="MS Gothic"/>
      <w:sz w:val="18"/>
      <w:szCs w:val="18"/>
      <w:lang w:eastAsia="ja-JP"/>
    </w:rPr>
  </w:style>
  <w:style w:type="character" w:customStyle="1" w:styleId="38">
    <w:name w:val="批注主题 字符"/>
    <w:basedOn w:val="36"/>
    <w:link w:val="16"/>
    <w:semiHidden/>
    <w:qFormat/>
    <w:uiPriority w:val="99"/>
    <w:rPr>
      <w:rFonts w:ascii="Century" w:hAnsi="Century" w:eastAsia="MS Mincho" w:cs="Century"/>
      <w:b/>
      <w:bCs/>
      <w:sz w:val="21"/>
      <w:szCs w:val="21"/>
      <w:lang w:eastAsia="ja-JP"/>
    </w:rPr>
  </w:style>
  <w:style w:type="character" w:customStyle="1" w:styleId="39">
    <w:name w:val="HTML 预设格式 字符"/>
    <w:basedOn w:val="19"/>
    <w:link w:val="13"/>
    <w:semiHidden/>
    <w:qFormat/>
    <w:uiPriority w:val="99"/>
    <w:rPr>
      <w:rFonts w:ascii="Courier New" w:hAnsi="Courier New" w:eastAsia="Times New Roman" w:cs="Courier New"/>
      <w:lang w:val="en-GB" w:eastAsia="en-GB"/>
    </w:rPr>
  </w:style>
  <w:style w:type="paragraph" w:customStyle="1" w:styleId="40">
    <w:name w:val="EndNote Bibliography Title"/>
    <w:basedOn w:val="1"/>
    <w:link w:val="41"/>
    <w:qFormat/>
    <w:uiPriority w:val="0"/>
    <w:pPr>
      <w:widowControl w:val="0"/>
      <w:jc w:val="center"/>
    </w:pPr>
    <w:rPr>
      <w:rFonts w:ascii="Century" w:hAnsi="Century" w:eastAsia="MS Mincho" w:cs="Century"/>
      <w:sz w:val="20"/>
      <w:szCs w:val="21"/>
      <w:lang w:eastAsia="ja-JP"/>
    </w:rPr>
  </w:style>
  <w:style w:type="character" w:customStyle="1" w:styleId="41">
    <w:name w:val="EndNote Bibliography Title (文字)"/>
    <w:link w:val="40"/>
    <w:qFormat/>
    <w:uiPriority w:val="0"/>
    <w:rPr>
      <w:rFonts w:ascii="Century" w:hAnsi="Century" w:eastAsia="MS Mincho" w:cs="Century"/>
      <w:szCs w:val="21"/>
      <w:lang w:eastAsia="ja-JP"/>
    </w:rPr>
  </w:style>
  <w:style w:type="paragraph" w:customStyle="1" w:styleId="42">
    <w:name w:val="EndNote Bibliography"/>
    <w:basedOn w:val="1"/>
    <w:link w:val="43"/>
    <w:qFormat/>
    <w:uiPriority w:val="0"/>
    <w:pPr>
      <w:widowControl w:val="0"/>
      <w:jc w:val="both"/>
    </w:pPr>
    <w:rPr>
      <w:rFonts w:ascii="Century" w:hAnsi="Century" w:eastAsia="MS Mincho" w:cs="Century"/>
      <w:sz w:val="20"/>
      <w:szCs w:val="21"/>
      <w:lang w:eastAsia="ja-JP"/>
    </w:rPr>
  </w:style>
  <w:style w:type="character" w:customStyle="1" w:styleId="43">
    <w:name w:val="EndNote Bibliography (文字)"/>
    <w:link w:val="42"/>
    <w:qFormat/>
    <w:uiPriority w:val="0"/>
    <w:rPr>
      <w:rFonts w:ascii="Century" w:hAnsi="Century" w:eastAsia="MS Mincho" w:cs="Century"/>
      <w:szCs w:val="21"/>
      <w:lang w:eastAsia="ja-JP"/>
    </w:rPr>
  </w:style>
  <w:style w:type="paragraph" w:customStyle="1" w:styleId="44">
    <w:name w:val="Revision"/>
    <w:hidden/>
    <w:semiHidden/>
    <w:qFormat/>
    <w:uiPriority w:val="99"/>
    <w:rPr>
      <w:rFonts w:ascii="Century" w:hAnsi="Century" w:eastAsia="MS Mincho" w:cs="Century"/>
      <w:sz w:val="21"/>
      <w:szCs w:val="21"/>
      <w:lang w:val="en-US" w:eastAsia="ja-JP" w:bidi="ar-SA"/>
    </w:rPr>
  </w:style>
  <w:style w:type="paragraph" w:styleId="45">
    <w:name w:val="List Paragraph"/>
    <w:basedOn w:val="1"/>
    <w:qFormat/>
    <w:uiPriority w:val="34"/>
    <w:pPr>
      <w:widowControl w:val="0"/>
      <w:ind w:left="840" w:leftChars="400"/>
      <w:jc w:val="both"/>
    </w:pPr>
    <w:rPr>
      <w:rFonts w:ascii="Century" w:hAnsi="Century" w:eastAsia="MS Mincho" w:cs="Century"/>
      <w:sz w:val="21"/>
      <w:szCs w:val="21"/>
      <w:lang w:eastAsia="ja-JP"/>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32</Pages>
  <Words>5227</Words>
  <Characters>31636</Characters>
  <Lines>261</Lines>
  <Paragraphs>73</Paragraphs>
  <TotalTime>0</TotalTime>
  <ScaleCrop>false</ScaleCrop>
  <LinksUpToDate>false</LinksUpToDate>
  <CharactersWithSpaces>36164</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2022-05-01T00:32:00Z</dcterms:created>
  <dc:creator>Jennifer Benavides</dc:creator>
  <cp:lastModifiedBy>晓晨</cp:lastModifiedBy>
  <dcterms:modified xsi:type="dcterms:W3CDTF">2022-06-02T14:34:52Z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617E28D6F4A548A8AF973056BD9936CC</vt:lpwstr>
  </property>
</Properties>
</file>