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74645</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pacing w:line="360" w:lineRule="auto"/>
        <w:jc w:val="both"/>
      </w:pPr>
    </w:p>
    <w:p>
      <w:pPr>
        <w:spacing w:line="360" w:lineRule="auto"/>
        <w:jc w:val="both"/>
      </w:pPr>
      <w:r>
        <w:rPr>
          <w:rFonts w:ascii="Book Antiqua" w:hAnsi="Book Antiqua" w:eastAsia="Book Antiqua" w:cs="Book Antiqua"/>
          <w:b/>
          <w:color w:val="000000"/>
        </w:rPr>
        <w:t>Current updates and future directions in diagnosis and management of gastroenteropancreatic neuroendocrine neoplasms</w:t>
      </w:r>
    </w:p>
    <w:p>
      <w:pPr>
        <w:spacing w:line="360" w:lineRule="auto"/>
        <w:jc w:val="both"/>
      </w:pPr>
    </w:p>
    <w:p>
      <w:pPr>
        <w:spacing w:line="360" w:lineRule="auto"/>
        <w:jc w:val="both"/>
      </w:pPr>
      <w:r>
        <w:rPr>
          <w:rFonts w:ascii="Book Antiqua" w:hAnsi="Book Antiqua" w:eastAsia="Book Antiqua" w:cs="Book Antiqua"/>
          <w:color w:val="000000"/>
        </w:rPr>
        <w:t xml:space="preserve">Canakis </w:t>
      </w:r>
      <w:r>
        <w:rPr>
          <w:rFonts w:hint="eastAsia" w:ascii="Book Antiqua" w:hAnsi="Book Antiqua" w:cs="Book Antiqua"/>
          <w:color w:val="000000"/>
          <w:lang w:eastAsia="zh-CN"/>
        </w:rPr>
        <w:t xml:space="preserve">A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Diagnosis and </w:t>
      </w:r>
      <w:r>
        <w:rPr>
          <w:rFonts w:hint="eastAsia" w:ascii="Book Antiqua" w:hAnsi="Book Antiqua" w:cs="Book Antiqua"/>
          <w:color w:val="000000"/>
          <w:lang w:eastAsia="zh-CN"/>
        </w:rPr>
        <w:t>m</w:t>
      </w:r>
      <w:r>
        <w:rPr>
          <w:rFonts w:ascii="Book Antiqua" w:hAnsi="Book Antiqua" w:eastAsia="Book Antiqua" w:cs="Book Antiqua"/>
          <w:color w:val="000000"/>
        </w:rPr>
        <w:t xml:space="preserve">anagement of </w:t>
      </w:r>
      <w:bookmarkStart w:id="0" w:name="OLE_LINK304"/>
      <w:bookmarkStart w:id="1" w:name="OLE_LINK303"/>
      <w:r>
        <w:rPr>
          <w:rFonts w:ascii="Book Antiqua" w:hAnsi="Book Antiqua" w:eastAsia="Book Antiqua" w:cs="Book Antiqua"/>
          <w:color w:val="000000"/>
          <w:shd w:val="clear" w:color="auto" w:fill="FFFFFF"/>
        </w:rPr>
        <w:t>GEP-NENs</w:t>
      </w:r>
      <w:bookmarkEnd w:id="0"/>
      <w:bookmarkEnd w:id="1"/>
    </w:p>
    <w:p>
      <w:pPr>
        <w:spacing w:line="360" w:lineRule="auto"/>
        <w:jc w:val="both"/>
      </w:pPr>
    </w:p>
    <w:p>
      <w:pPr>
        <w:spacing w:line="360" w:lineRule="auto"/>
        <w:jc w:val="both"/>
      </w:pPr>
      <w:r>
        <w:rPr>
          <w:rFonts w:ascii="Book Antiqua" w:hAnsi="Book Antiqua" w:eastAsia="Book Antiqua" w:cs="Book Antiqua"/>
          <w:color w:val="000000"/>
        </w:rPr>
        <w:t xml:space="preserve">Andrew </w:t>
      </w:r>
      <w:bookmarkStart w:id="2" w:name="OLE_LINK302"/>
      <w:bookmarkStart w:id="3" w:name="OLE_LINK301"/>
      <w:r>
        <w:rPr>
          <w:rFonts w:ascii="Book Antiqua" w:hAnsi="Book Antiqua" w:eastAsia="Book Antiqua" w:cs="Book Antiqua"/>
          <w:color w:val="000000"/>
        </w:rPr>
        <w:t>Canakis</w:t>
      </w:r>
      <w:bookmarkEnd w:id="2"/>
      <w:bookmarkEnd w:id="3"/>
      <w:r>
        <w:rPr>
          <w:rFonts w:ascii="Book Antiqua" w:hAnsi="Book Antiqua" w:eastAsia="Book Antiqua" w:cs="Book Antiqua"/>
          <w:color w:val="000000"/>
        </w:rPr>
        <w:t>, Linda S Lee</w:t>
      </w:r>
    </w:p>
    <w:p>
      <w:pPr>
        <w:spacing w:line="360" w:lineRule="auto"/>
        <w:jc w:val="both"/>
      </w:pPr>
    </w:p>
    <w:p>
      <w:pPr>
        <w:spacing w:line="360" w:lineRule="auto"/>
        <w:jc w:val="both"/>
      </w:pPr>
      <w:r>
        <w:rPr>
          <w:rFonts w:ascii="Book Antiqua" w:hAnsi="Book Antiqua" w:eastAsia="Book Antiqua" w:cs="Book Antiqua"/>
          <w:b/>
          <w:bCs/>
          <w:color w:val="000000"/>
        </w:rPr>
        <w:t xml:space="preserve">Andrew Canakis, </w:t>
      </w:r>
      <w:r>
        <w:rPr>
          <w:rFonts w:ascii="Book Antiqua" w:hAnsi="Book Antiqua" w:eastAsia="Book Antiqua" w:cs="Book Antiqua"/>
          <w:color w:val="000000"/>
        </w:rPr>
        <w:t xml:space="preserve">Division of Gastroenterology </w:t>
      </w:r>
      <w:r>
        <w:rPr>
          <w:rFonts w:hint="eastAsia" w:ascii="Book Antiqua" w:hAnsi="Book Antiqua" w:cs="Book Antiqua"/>
          <w:color w:val="000000"/>
          <w:lang w:eastAsia="zh-CN"/>
        </w:rPr>
        <w:t>and</w:t>
      </w:r>
      <w:r>
        <w:rPr>
          <w:rFonts w:ascii="Book Antiqua" w:hAnsi="Book Antiqua" w:eastAsia="Book Antiqua" w:cs="Book Antiqua"/>
          <w:color w:val="000000"/>
        </w:rPr>
        <w:t xml:space="preserve"> Hepatology, University of Maryland School of Medicine, Baltimore, MD 21201,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Linda S Lee, </w:t>
      </w:r>
      <w:r>
        <w:rPr>
          <w:rFonts w:ascii="Book Antiqua" w:hAnsi="Book Antiqua" w:eastAsia="Book Antiqua" w:cs="Book Antiqua"/>
          <w:color w:val="000000"/>
        </w:rPr>
        <w:t>Division of Gastroenterology Hepatology and Endoscopy, Brigham and Women's Hospital, Harvard Medical School, Boston, MA 02115, United States</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Canakis</w:t>
      </w:r>
      <w:r>
        <w:rPr>
          <w:rFonts w:hint="eastAsia" w:ascii="Book Antiqua" w:hAnsi="Book Antiqua" w:cs="Book Antiqua"/>
          <w:color w:val="000000"/>
          <w:lang w:eastAsia="zh-CN"/>
        </w:rPr>
        <w:t xml:space="preserve"> A</w:t>
      </w:r>
      <w:r>
        <w:rPr>
          <w:rFonts w:ascii="Book Antiqua" w:hAnsi="Book Antiqua" w:eastAsia="Book Antiqua" w:cs="Book Antiqua"/>
          <w:color w:val="000000"/>
        </w:rPr>
        <w:t xml:space="preserve"> drafted the manuscript and approved the final version of the manuscript</w:t>
      </w:r>
      <w:r>
        <w:rPr>
          <w:rFonts w:hint="eastAsia" w:ascii="Book Antiqua" w:hAnsi="Book Antiqua" w:cs="Book Antiqua"/>
          <w:color w:val="000000"/>
          <w:lang w:eastAsia="zh-CN"/>
        </w:rPr>
        <w:t>;</w:t>
      </w:r>
      <w:r>
        <w:rPr>
          <w:rFonts w:hint="eastAsia"/>
          <w:lang w:eastAsia="zh-CN"/>
        </w:rPr>
        <w:t xml:space="preserve"> </w:t>
      </w:r>
      <w:r>
        <w:rPr>
          <w:rFonts w:ascii="Book Antiqua" w:hAnsi="Book Antiqua" w:eastAsia="Book Antiqua" w:cs="Book Antiqua"/>
          <w:color w:val="000000"/>
        </w:rPr>
        <w:t>Lee</w:t>
      </w:r>
      <w:r>
        <w:rPr>
          <w:rFonts w:hint="eastAsia" w:ascii="Book Antiqua" w:hAnsi="Book Antiqua" w:cs="Book Antiqua"/>
          <w:color w:val="000000"/>
          <w:lang w:eastAsia="zh-CN"/>
        </w:rPr>
        <w:t xml:space="preserve"> LS</w:t>
      </w:r>
      <w:r>
        <w:rPr>
          <w:rFonts w:ascii="Book Antiqua" w:hAnsi="Book Antiqua" w:eastAsia="Book Antiqua" w:cs="Book Antiqua"/>
          <w:color w:val="000000"/>
        </w:rPr>
        <w:t xml:space="preserve"> drafted, revised, and approved the final version of the manuscript</w:t>
      </w:r>
      <w:r>
        <w:rPr>
          <w:rFonts w:hint="eastAsia" w:ascii="Book Antiqua" w:hAnsi="Book Antiqua" w:cs="Book Antiqua"/>
          <w:color w:val="000000"/>
          <w:lang w:eastAsia="zh-CN"/>
        </w:rPr>
        <w: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Linda S Lee, MD, Associate Professor, Director, </w:t>
      </w:r>
      <w:r>
        <w:rPr>
          <w:rFonts w:ascii="Book Antiqua" w:hAnsi="Book Antiqua" w:eastAsia="Book Antiqua" w:cs="Book Antiqua"/>
          <w:color w:val="000000"/>
        </w:rPr>
        <w:t>Division of Gastroenterology Hepatology and Endoscopy, Brigham and Women's Hospital, Harvard Medical School, 75 Francis St, Boston, MA 02115, United States. llee@bwh.harvard.edu</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31,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14,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21,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w:t>
      </w:r>
      <w:r>
        <w:rPr>
          <w:rFonts w:hint="eastAsia" w:ascii="Book Antiqua" w:hAnsi="Book Antiqua" w:eastAsia="宋体" w:cs="Book Antiqua"/>
          <w:i w:val="0"/>
          <w:iCs w:val="0"/>
          <w:caps w:val="0"/>
          <w:color w:val="000000"/>
          <w:spacing w:val="0"/>
          <w:sz w:val="24"/>
          <w:szCs w:val="24"/>
          <w:shd w:val="clear" w:fill="FFFFFF"/>
          <w:lang w:val="en-US" w:eastAsia="zh-CN"/>
        </w:rPr>
        <w:t xml:space="preserve"> </w:t>
      </w:r>
      <w:r>
        <w:rPr>
          <w:rFonts w:hint="default" w:ascii="Book Antiqua" w:hAnsi="Book Antiqua" w:eastAsia="Book Antiqua" w:cs="Book Antiqua"/>
          <w:i w:val="0"/>
          <w:iCs w:val="0"/>
          <w:caps w:val="0"/>
          <w:color w:val="000000"/>
          <w:spacing w:val="0"/>
          <w:sz w:val="24"/>
          <w:szCs w:val="24"/>
        </w:rPr>
        <w:t>16, 2022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rPr>
          <w:lang w:eastAsia="zh-CN"/>
        </w:rPr>
      </w:pPr>
      <w:r>
        <w:rPr>
          <w:rFonts w:ascii="Book Antiqua" w:hAnsi="Book Antiqua" w:eastAsia="Book Antiqua" w:cs="Book Antiqua"/>
          <w:color w:val="000000"/>
          <w:shd w:val="clear" w:color="auto" w:fill="FFFFFF"/>
        </w:rPr>
        <w:t>Gastroenteropancreatic neuroendocrine neoplasms</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are a heterogenous group of rare neoplasms that are increasingly being discovered, often incidentally, throughout the gastrointestinal tract with varying degrees of activity and malignant potential. Confusing nomenclature has added to the complexity of managing these lesions. The term carcinoid tumor and embryonic classification have been replaced with gastroenteropancreatic neuroendocrine neoplasm, which includes gastrointestinal neuroendocrine and pancreatic neuroendocrine neoplasms. A comprehensive multidisciplinary approach is important for clinicians to diagnose, stage and manage these lesions. While histological diagnosis is the gold standard, recent advancements in endoscopy, conventional imaging, functional imaging, and serum biomarkers complement histology for tailoring specific treatment options. In light of developing technology, our review sets out to characterize diagnostic and therapeutic advancements for managing gastroenteropancreatic neuroendocrine tumors, including innovations in radiolabeled peptide imaging, circulating biomarkers, and endoscopic treatment approaches adapted to different locations throughout the gastrointestinal system.</w:t>
      </w:r>
    </w:p>
    <w:p>
      <w:pPr>
        <w:spacing w:line="360" w:lineRule="auto"/>
        <w:ind w:firstLine="720"/>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Gastroenteropancreatic </w:t>
      </w:r>
      <w:r>
        <w:rPr>
          <w:rFonts w:hint="eastAsia" w:ascii="Book Antiqua" w:hAnsi="Book Antiqua" w:cs="Book Antiqua"/>
          <w:color w:val="000000"/>
          <w:lang w:eastAsia="zh-CN"/>
        </w:rPr>
        <w:t>n</w:t>
      </w:r>
      <w:r>
        <w:rPr>
          <w:rFonts w:ascii="Book Antiqua" w:hAnsi="Book Antiqua" w:eastAsia="Book Antiqua" w:cs="Book Antiqua"/>
          <w:color w:val="000000"/>
        </w:rPr>
        <w:t xml:space="preserve">euroendocrine </w:t>
      </w:r>
      <w:r>
        <w:rPr>
          <w:rFonts w:hint="eastAsia" w:ascii="Book Antiqua" w:hAnsi="Book Antiqua" w:cs="Book Antiqua"/>
          <w:color w:val="000000"/>
          <w:lang w:eastAsia="zh-CN"/>
        </w:rPr>
        <w:t>n</w:t>
      </w:r>
      <w:r>
        <w:rPr>
          <w:rFonts w:ascii="Book Antiqua" w:hAnsi="Book Antiqua" w:eastAsia="Book Antiqua" w:cs="Book Antiqua"/>
          <w:color w:val="000000"/>
        </w:rPr>
        <w:t xml:space="preserve">eoplasms; </w:t>
      </w:r>
      <w:r>
        <w:rPr>
          <w:rFonts w:hint="eastAsia" w:ascii="Book Antiqua" w:hAnsi="Book Antiqua" w:cs="Book Antiqua"/>
          <w:color w:val="000000"/>
          <w:lang w:eastAsia="zh-CN"/>
        </w:rPr>
        <w:t>N</w:t>
      </w:r>
      <w:r>
        <w:rPr>
          <w:rFonts w:ascii="Book Antiqua" w:hAnsi="Book Antiqua" w:eastAsia="Book Antiqua" w:cs="Book Antiqua"/>
          <w:color w:val="000000"/>
        </w:rPr>
        <w:t>euroendocrine tumors; Neuroendocrine carcinoma; Gastrointestinal; Pancreas; Small intestine</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Canakis A, Lee LS. Current updates and future directions in diagnosis and management of gastroenteropancreatic neuroendocrine neoplasms.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267</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290</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https://www.wjgnet.com/1948-5190/full/v14/i5/</w:t>
      </w:r>
      <w:r>
        <w:rPr>
          <w:rFonts w:hint="eastAsia" w:ascii="Book Antiqua" w:hAnsi="Book Antiqua" w:eastAsia="宋体" w:cs="Book Antiqua"/>
          <w:color w:val="000000"/>
          <w:lang w:val="en-US" w:eastAsia="zh-CN"/>
        </w:rPr>
        <w:t>267</w:t>
      </w:r>
      <w:r>
        <w:rPr>
          <w:rFonts w:hint="eastAsia" w:ascii="Book Antiqua" w:hAnsi="Book Antiqua" w:eastAsia="Book Antiqua" w:cs="Book Antiqua"/>
          <w:color w:val="000000"/>
        </w:rPr>
        <w:t xml:space="preserve">.htm </w:t>
      </w:r>
    </w:p>
    <w:p>
      <w:pPr>
        <w:spacing w:line="360" w:lineRule="auto"/>
        <w:jc w:val="both"/>
        <w:rPr>
          <w:rFonts w:hint="default"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https://dx.doi.org/10.4253/wjge.v14.i5.</w:t>
      </w:r>
      <w:r>
        <w:rPr>
          <w:rFonts w:hint="eastAsia" w:ascii="Book Antiqua" w:hAnsi="Book Antiqua" w:eastAsia="宋体" w:cs="Book Antiqua"/>
          <w:color w:val="000000"/>
          <w:lang w:val="en-US" w:eastAsia="zh-CN"/>
        </w:rPr>
        <w:t>267</w:t>
      </w:r>
    </w:p>
    <w:p>
      <w:pPr>
        <w:spacing w:line="360" w:lineRule="auto"/>
        <w:jc w:val="both"/>
        <w:rPr>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shd w:val="clear" w:color="auto" w:fill="FFFFFF"/>
        </w:rPr>
        <w:t xml:space="preserve">Diagnostic technology for neuroendocrine tumors continues to advance. Radiomics promises to enhance morphologic imaging. </w:t>
      </w:r>
      <w:bookmarkStart w:id="4" w:name="OLE_LINK307"/>
      <w:bookmarkStart w:id="5" w:name="OLE_LINK306"/>
      <w:r>
        <w:rPr>
          <w:rFonts w:ascii="Book Antiqua" w:hAnsi="Book Antiqua" w:eastAsia="Book Antiqua" w:cs="Book Antiqua"/>
          <w:color w:val="000000"/>
          <w:shd w:val="clear" w:color="auto" w:fill="FFFFFF"/>
        </w:rPr>
        <w:t>Gallium-68 DOTA</w:t>
      </w:r>
      <w:bookmarkEnd w:id="4"/>
      <w:bookmarkEnd w:id="5"/>
      <w:r>
        <w:rPr>
          <w:rFonts w:ascii="Book Antiqua" w:hAnsi="Book Antiqua" w:eastAsia="Book Antiqua" w:cs="Book Antiqua"/>
          <w:color w:val="000000"/>
          <w:shd w:val="clear" w:color="auto" w:fill="FFFFFF"/>
        </w:rPr>
        <w:t>-peptide positron emission tomography/computed tomography has replaced Octreoscan as the preferred functional imaging modality. Newer radiolabeled peptides may further improve detection. A novel liquid biopsy biomarker (NETest) has proven more accurate than chromogranin A in monitoring treatment response and predicting disease activity. Therapy has also progressed with treatment adapted based on the predicted behavior of the tumor. Advanced endoscopic resection techniques have revolutionized treatment. Preliminary evidence suggests endoscopic ultrasound guided radiofrequency ablation may prove useful in treating pancreatic lesions. Multimodality therapy continues to evolve for metastatic pancreatic tumors.</w:t>
      </w: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hd w:val="clear" w:color="auto" w:fill="FFFFFF"/>
        </w:rPr>
        <w:t>Gastroenteropancreatic neuroendocrine neoplasms (</w:t>
      </w:r>
      <w:bookmarkStart w:id="6" w:name="OLE_LINK308"/>
      <w:bookmarkStart w:id="7" w:name="OLE_LINK300"/>
      <w:r>
        <w:rPr>
          <w:rFonts w:ascii="Book Antiqua" w:hAnsi="Book Antiqua" w:eastAsia="Book Antiqua" w:cs="Book Antiqua"/>
          <w:color w:val="000000"/>
          <w:shd w:val="clear" w:color="auto" w:fill="FFFFFF"/>
        </w:rPr>
        <w:t>GEP-NENs</w:t>
      </w:r>
      <w:bookmarkEnd w:id="6"/>
      <w:bookmarkEnd w:id="7"/>
      <w:r>
        <w:rPr>
          <w:rFonts w:ascii="Book Antiqua" w:hAnsi="Book Antiqua" w:eastAsia="Book Antiqua" w:cs="Book Antiqua"/>
          <w:color w:val="000000"/>
          <w:shd w:val="clear" w:color="auto" w:fill="FFFFFF"/>
        </w:rPr>
        <w:t xml:space="preserve">) are a heterogenous group of rare neoplasms with a </w:t>
      </w:r>
      <w:r>
        <w:rPr>
          <w:rFonts w:ascii="Book Antiqua" w:hAnsi="Book Antiqua" w:eastAsia="Book Antiqua" w:cs="Book Antiqua"/>
          <w:color w:val="000000"/>
        </w:rPr>
        <w:t>wide clinicopathologic spectrum of disease activity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These neoplasms arise from the secretory cells of the neuroendocrine system and can occur anywhere along the gastrointestinal tract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Nearly 95% occur sporadically, though genetic testing should be considered for patients less than 40 years old, family history of NENs, features concerning for multiple endocrine neoplasia type 1, von Hippel-Lindau disease, tuberous sclerosis or neurofibromatosis type 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Traditional terminology including carcinoid tumor and APUDoma were replaced by neuroendocrine neoplasm in 2010 by the </w:t>
      </w:r>
      <w:bookmarkStart w:id="8" w:name="OLE_LINK421"/>
      <w:bookmarkStart w:id="9" w:name="OLE_LINK422"/>
      <w:r>
        <w:rPr>
          <w:rFonts w:ascii="Book Antiqua" w:hAnsi="Book Antiqua" w:eastAsia="Book Antiqua" w:cs="Book Antiqua"/>
          <w:color w:val="000000"/>
        </w:rPr>
        <w:t>World Health Organization</w:t>
      </w:r>
      <w:bookmarkEnd w:id="8"/>
      <w:bookmarkEnd w:id="9"/>
      <w:r>
        <w:rPr>
          <w:rFonts w:ascii="Book Antiqua" w:hAnsi="Book Antiqua" w:eastAsia="Book Antiqua" w:cs="Book Antiqua"/>
          <w:color w:val="000000"/>
        </w:rPr>
        <w:t xml:space="preserve"> (WHO), which also discouraged using the terms benign and malignant. NENs are grouped as well-differentiated </w:t>
      </w:r>
      <w:bookmarkStart w:id="10" w:name="OLE_LINK419"/>
      <w:bookmarkStart w:id="11" w:name="OLE_LINK420"/>
      <w:r>
        <w:rPr>
          <w:rFonts w:ascii="Book Antiqua" w:hAnsi="Book Antiqua" w:eastAsia="Book Antiqua" w:cs="Book Antiqua"/>
          <w:color w:val="000000"/>
        </w:rPr>
        <w:t>neuroendocrine tumors</w:t>
      </w:r>
      <w:bookmarkEnd w:id="10"/>
      <w:bookmarkEnd w:id="11"/>
      <w:r>
        <w:rPr>
          <w:rFonts w:ascii="Book Antiqua" w:hAnsi="Book Antiqua" w:eastAsia="Book Antiqua" w:cs="Book Antiqua"/>
          <w:color w:val="000000"/>
        </w:rPr>
        <w:t xml:space="preserve"> (NET) or poorly differentiated neuroendocrine carcinomas (NEC)</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4</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NECs are highly aggressive with significantly worse prognosis. Nearly 80</w:t>
      </w:r>
      <w:r>
        <w:rPr>
          <w:rFonts w:hint="eastAsia" w:ascii="Book Antiqua" w:hAnsi="Book Antiqua" w:cs="Book Antiqua"/>
          <w:color w:val="000000"/>
          <w:lang w:eastAsia="zh-CN"/>
        </w:rPr>
        <w:t>%</w:t>
      </w:r>
      <w:r>
        <w:rPr>
          <w:rFonts w:ascii="Book Antiqua" w:hAnsi="Book Antiqua" w:eastAsia="Book Antiqua" w:cs="Book Antiqua"/>
          <w:color w:val="000000"/>
        </w:rPr>
        <w:t>-90% of GEP-NENs are NETs, which are slow growing and graded from G1 (low), G2 (intermediate), to G3 (high)</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With the advent of high-resolution cross-sectional imaging, GEP-NENs are increasingly being discovered</w:t>
      </w:r>
      <w:r>
        <w:rPr>
          <w:rFonts w:hint="eastAsia" w:ascii="Book Antiqua" w:hAnsi="Book Antiqua" w:cs="Book Antiqua"/>
          <w:color w:val="000000"/>
          <w:lang w:eastAsia="zh-CN"/>
        </w:rPr>
        <w:t>-</w:t>
      </w:r>
      <w:r>
        <w:rPr>
          <w:rFonts w:ascii="Book Antiqua" w:hAnsi="Book Antiqua" w:eastAsia="Book Antiqua" w:cs="Book Antiqua"/>
          <w:color w:val="000000"/>
        </w:rPr>
        <w:t>notably without any significant change in rates of metastasis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In a large population-based study of 64971 patients, the age-adjusted incidence rate of NETs increased from 1.09 per 100000 in 1973 to 6.98 per 100000 in 2012, with the greatest increase occurring in localized NETs and G1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These observations suggest that many of these lesions are incidental and/or asymptomatic at the time of discovery. Incidence of gastric and rectal NETs has increased the greatest unlike small bowel NETs, which likely correlates with greater use of endoscopic procedures. Similar trends have been noted in Europe and Asia</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GEP-NENs are divided into gastrointestinal and pancreatic NENs with the most common being rectal (29%) and small intestinal (28%) (Figures 1</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8,9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These tumors exhibit a wide range of behavior with varying degrees of disease activity including growth rate, grade, differentiation and metastatic potential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Generally speaking, small intestinal NENs have high malignant potential while gastric, duodenal, appendiceal, and rectal NETs are less likely to metastasize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 recent cohort of 43751 patients in the United States noted that the majority of GEP-NENs were localized (51.7%) and grade 1 (71.7%)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This study also found that the most lesions (73%) occurred in whites, followed by black (16.2%) and Asian (7.3%) populations with no difference in three or five year survival based on race. </w:t>
      </w:r>
    </w:p>
    <w:p>
      <w:pPr>
        <w:spacing w:line="360" w:lineRule="auto"/>
        <w:ind w:firstLine="240" w:firstLineChars="100"/>
        <w:jc w:val="both"/>
      </w:pPr>
      <w:r>
        <w:rPr>
          <w:rFonts w:ascii="Book Antiqua" w:hAnsi="Book Antiqua" w:eastAsia="Book Antiqua" w:cs="Book Antiqua"/>
          <w:color w:val="000000"/>
        </w:rPr>
        <w:t xml:space="preserve">The majority of GEP-NENs are non-functional while functional NENs secrete hormones and substances that lead to clinical symptoms. Functioning gastrointestinal NENs are not classified separately from nonfunctioning gastrointestinal NENs and manifest with carcinoid syndrome while functioning pancreatic NENs are classified distinctly according to the hormone secreted by the tumor. Nonhormonal products are also produced by both non-functional and functional NENs, which include chromogranin A, pancreastatin and pancreatic polypeptide, and may offer aid in diagnosis and follow-up. </w:t>
      </w:r>
    </w:p>
    <w:p>
      <w:pPr>
        <w:spacing w:line="360" w:lineRule="auto"/>
        <w:ind w:firstLine="720"/>
        <w:jc w:val="both"/>
      </w:pPr>
    </w:p>
    <w:p>
      <w:pPr>
        <w:spacing w:line="360" w:lineRule="auto"/>
        <w:jc w:val="both"/>
        <w:rPr>
          <w:lang w:eastAsia="zh-CN"/>
        </w:rPr>
      </w:pPr>
      <w:r>
        <w:rPr>
          <w:rFonts w:ascii="Book Antiqua" w:hAnsi="Book Antiqua" w:eastAsia="Book Antiqua" w:cs="Book Antiqua"/>
          <w:b/>
          <w:caps/>
          <w:color w:val="000000"/>
          <w:u w:val="single"/>
        </w:rPr>
        <w:t>Diagnosis</w:t>
      </w:r>
    </w:p>
    <w:p>
      <w:pPr>
        <w:spacing w:line="360" w:lineRule="auto"/>
        <w:jc w:val="both"/>
      </w:pPr>
      <w:r>
        <w:rPr>
          <w:rFonts w:ascii="Book Antiqua" w:hAnsi="Book Antiqua" w:eastAsia="Book Antiqua" w:cs="Book Antiqua"/>
          <w:color w:val="000000"/>
        </w:rPr>
        <w:t>Diagnosis relies on morphological imaging, functional imaging, endoscopic procedures, biomarkers, and pathology. All patients should undergo</w:t>
      </w:r>
      <w:bookmarkStart w:id="12" w:name="OLE_LINK410"/>
      <w:r>
        <w:rPr>
          <w:rFonts w:ascii="Book Antiqua" w:hAnsi="Book Antiqua" w:eastAsia="Book Antiqua" w:cs="Book Antiqua"/>
          <w:color w:val="000000"/>
        </w:rPr>
        <w:t xml:space="preserve"> computed tomography</w:t>
      </w:r>
      <w:bookmarkEnd w:id="12"/>
      <w:r>
        <w:rPr>
          <w:rFonts w:ascii="Book Antiqua" w:hAnsi="Book Antiqua" w:eastAsia="Book Antiqua" w:cs="Book Antiqua"/>
          <w:color w:val="000000"/>
        </w:rPr>
        <w:t xml:space="preserve"> </w:t>
      </w:r>
      <w:r>
        <w:rPr>
          <w:rFonts w:hint="eastAsia" w:ascii="Book Antiqua" w:hAnsi="Book Antiqua" w:cs="Book Antiqua"/>
          <w:color w:val="000000"/>
          <w:lang w:eastAsia="zh-CN"/>
        </w:rPr>
        <w:t>(</w:t>
      </w:r>
      <w:r>
        <w:rPr>
          <w:rFonts w:ascii="Book Antiqua" w:hAnsi="Book Antiqua" w:eastAsia="Book Antiqua" w:cs="Book Antiqua"/>
          <w:color w:val="000000"/>
        </w:rPr>
        <w:t>CT</w:t>
      </w:r>
      <w:r>
        <w:rPr>
          <w:rFonts w:hint="eastAsia" w:ascii="Book Antiqua" w:hAnsi="Book Antiqua" w:cs="Book Antiqua"/>
          <w:color w:val="000000"/>
          <w:lang w:eastAsia="zh-CN"/>
        </w:rPr>
        <w:t>)</w:t>
      </w:r>
      <w:r>
        <w:rPr>
          <w:rFonts w:ascii="Book Antiqua" w:hAnsi="Book Antiqua" w:eastAsia="Book Antiqua" w:cs="Book Antiqua"/>
          <w:color w:val="000000"/>
        </w:rPr>
        <w:t xml:space="preserve"> and/or </w:t>
      </w:r>
      <w:bookmarkStart w:id="13" w:name="OLE_LINK402"/>
      <w:bookmarkStart w:id="14" w:name="OLE_LINK403"/>
      <w:r>
        <w:rPr>
          <w:rFonts w:hint="eastAsia" w:ascii="Book Antiqua" w:hAnsi="Book Antiqua" w:cs="Book Antiqua"/>
          <w:color w:val="000000"/>
          <w:lang w:eastAsia="zh-CN"/>
        </w:rPr>
        <w:t>m</w:t>
      </w:r>
      <w:r>
        <w:rPr>
          <w:rFonts w:ascii="Book Antiqua" w:hAnsi="Book Antiqua" w:eastAsia="Book Antiqua" w:cs="Book Antiqua"/>
          <w:color w:val="000000"/>
        </w:rPr>
        <w:t>agnetic resonance imaging</w:t>
      </w:r>
      <w:bookmarkEnd w:id="13"/>
      <w:bookmarkEnd w:id="14"/>
      <w:r>
        <w:rPr>
          <w:rFonts w:ascii="Book Antiqua" w:hAnsi="Book Antiqua" w:eastAsia="Book Antiqua" w:cs="Book Antiqua"/>
          <w:color w:val="000000"/>
        </w:rPr>
        <w:t xml:space="preserve"> (MRI). Functional imaging serves as an adjunct to conventional imaging in advanced NETs and is helpful for identifying primary tumors and staging. Endoscopic procedure with biopsy diagnoses gastric, duodenal and colorectal NENs while </w:t>
      </w:r>
      <w:bookmarkStart w:id="15" w:name="OLE_LINK432"/>
      <w:bookmarkStart w:id="16" w:name="OLE_LINK431"/>
      <w:r>
        <w:rPr>
          <w:rFonts w:ascii="Book Antiqua" w:hAnsi="Book Antiqua" w:eastAsia="Book Antiqua" w:cs="Book Antiqua"/>
          <w:color w:val="000000"/>
        </w:rPr>
        <w:t xml:space="preserve">endoscopic ultrasound </w:t>
      </w:r>
      <w:bookmarkEnd w:id="15"/>
      <w:bookmarkEnd w:id="16"/>
      <w:r>
        <w:rPr>
          <w:rFonts w:ascii="Book Antiqua" w:hAnsi="Book Antiqua" w:eastAsia="Book Antiqua" w:cs="Book Antiqua"/>
          <w:color w:val="000000"/>
        </w:rPr>
        <w:t xml:space="preserve">(EUS) aids in identification of pancreatic NENs. The mainstay of biomarkers is chromogranin A although newer markers have been identified, which may expand the role of biomarkers in post-treatment surveillance and detection of recurrence. </w:t>
      </w:r>
    </w:p>
    <w:p>
      <w:pPr>
        <w:spacing w:line="360" w:lineRule="auto"/>
        <w:jc w:val="both"/>
        <w:rPr>
          <w:rFonts w:ascii="Book Antiqua" w:hAnsi="Book Antiqua" w:cs="Book Antiqua"/>
          <w:i/>
          <w:iCs/>
          <w:color w:val="000000"/>
          <w:u w:val="single"/>
          <w:lang w:eastAsia="zh-CN"/>
        </w:rPr>
      </w:pPr>
    </w:p>
    <w:p>
      <w:pPr>
        <w:spacing w:line="360" w:lineRule="auto"/>
        <w:jc w:val="both"/>
        <w:rPr>
          <w:b/>
        </w:rPr>
      </w:pPr>
      <w:r>
        <w:rPr>
          <w:rFonts w:ascii="Book Antiqua" w:hAnsi="Book Antiqua" w:eastAsia="Book Antiqua" w:cs="Book Antiqua"/>
          <w:b/>
          <w:i/>
          <w:iCs/>
          <w:color w:val="000000"/>
        </w:rPr>
        <w:t>Pathology (staging and grading)</w:t>
      </w:r>
    </w:p>
    <w:p>
      <w:pPr>
        <w:spacing w:line="360" w:lineRule="auto"/>
        <w:jc w:val="both"/>
      </w:pPr>
      <w:r>
        <w:rPr>
          <w:rFonts w:ascii="Book Antiqua" w:hAnsi="Book Antiqua" w:eastAsia="Book Antiqua" w:cs="Book Antiqua"/>
          <w:color w:val="000000"/>
        </w:rPr>
        <w:t>Tumor staging and grading are essential to assess prognosis and disease activity as reflected in the 2019 WHO classification based on tumor differentiation and grading (mitotic rate or Ki-67 index) (Table 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2,4</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degree of differentiation is based on the extent the tumor cells resemble their endocrine cell counterparts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Grading is based on the proliferative rate from either mitotic counts or Ki-67 </w:t>
      </w:r>
      <w:r>
        <w:rPr>
          <w:rFonts w:hint="eastAsia" w:ascii="Book Antiqua" w:hAnsi="Book Antiqua" w:cs="Book Antiqua"/>
          <w:color w:val="000000"/>
          <w:lang w:eastAsia="zh-CN"/>
        </w:rPr>
        <w:t>l</w:t>
      </w:r>
      <w:r>
        <w:rPr>
          <w:rFonts w:ascii="Book Antiqua" w:hAnsi="Book Antiqua" w:eastAsia="Book Antiqua" w:cs="Book Antiqua"/>
          <w:color w:val="000000"/>
        </w:rPr>
        <w:t>abeling index with higher values associated with more aggressive behavior, independent of stage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Mitotic counts rely on the number of mitotic figures in 10 consecutive high-power fields while Ki-67 Labeling index is the percent of positive tumor cells. Small biopsy samples and heterogeneity within the tumor all pose challenges to accurate assessment of tumor grade of the entire lesion. Whether there is incremental benefit from larger core samples obtained during EUS-fine needle biopsy and whether artificial intelligence technology will help partially automate calculating Ki-67 index require further study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Radiomics may supplant or supplement histologic diagnosis by assessing the whole lesion and will be discussed further below. </w:t>
      </w:r>
    </w:p>
    <w:p>
      <w:pPr>
        <w:spacing w:line="360" w:lineRule="auto"/>
        <w:jc w:val="both"/>
        <w:rPr>
          <w:rFonts w:ascii="Book Antiqua" w:hAnsi="Book Antiqua" w:cs="Book Antiqua"/>
          <w:i/>
          <w:iCs/>
          <w:color w:val="000000"/>
          <w:u w:val="single"/>
          <w:lang w:eastAsia="zh-CN"/>
        </w:rPr>
      </w:pPr>
    </w:p>
    <w:p>
      <w:pPr>
        <w:spacing w:line="360" w:lineRule="auto"/>
        <w:jc w:val="both"/>
        <w:rPr>
          <w:b/>
        </w:rPr>
      </w:pPr>
      <w:r>
        <w:rPr>
          <w:rFonts w:ascii="Book Antiqua" w:hAnsi="Book Antiqua" w:eastAsia="Book Antiqua" w:cs="Book Antiqua"/>
          <w:b/>
          <w:i/>
          <w:iCs/>
          <w:color w:val="000000"/>
        </w:rPr>
        <w:t xml:space="preserve">Morphologic </w:t>
      </w:r>
      <w:r>
        <w:rPr>
          <w:rFonts w:hint="eastAsia" w:ascii="Book Antiqua" w:hAnsi="Book Antiqua" w:cs="Book Antiqua"/>
          <w:b/>
          <w:i/>
          <w:iCs/>
          <w:color w:val="000000"/>
          <w:lang w:eastAsia="zh-CN"/>
        </w:rPr>
        <w:t>i</w:t>
      </w:r>
      <w:r>
        <w:rPr>
          <w:rFonts w:ascii="Book Antiqua" w:hAnsi="Book Antiqua" w:eastAsia="Book Antiqua" w:cs="Book Antiqua"/>
          <w:b/>
          <w:i/>
          <w:iCs/>
          <w:color w:val="000000"/>
        </w:rPr>
        <w:t xml:space="preserve">maging </w:t>
      </w:r>
    </w:p>
    <w:p>
      <w:pPr>
        <w:spacing w:line="360" w:lineRule="auto"/>
        <w:jc w:val="both"/>
        <w:rPr>
          <w:lang w:eastAsia="zh-CN"/>
        </w:rPr>
      </w:pPr>
      <w:r>
        <w:rPr>
          <w:rFonts w:ascii="Book Antiqua" w:hAnsi="Book Antiqua" w:eastAsia="Book Antiqua" w:cs="Book Antiqua"/>
          <w:color w:val="000000"/>
        </w:rPr>
        <w:t>NETs typically are highly vascular, hyperenhancing in the early arterial phase with washout during the delay portal venous phase of CT (Figure 3). Differentiating liver metastases from hepatocellular carcinomas may be aided by exploiting the fact that hepatocellular carcinomas have higher attenuation levels with contrast and higher iodine uptake with a threshold value of 0.22 for normalized iodine uptake having 100% sensitivity and 90% specificity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Attenuation assessment of lymph nodes on CT may also help identify malignant nodes with a cutoff value of 7.5 Hounsfield units distinguishing 96% of </w:t>
      </w:r>
      <w:bookmarkStart w:id="17" w:name="OLE_LINK408"/>
      <w:bookmarkStart w:id="18" w:name="OLE_LINK409"/>
      <w:bookmarkStart w:id="19" w:name="OLE_LINK429"/>
      <w:bookmarkStart w:id="20" w:name="OLE_LINK430"/>
      <w:r>
        <w:rPr>
          <w:rFonts w:ascii="Book Antiqua" w:hAnsi="Book Antiqua" w:eastAsia="Book Antiqua" w:cs="Book Antiqua"/>
          <w:color w:val="000000"/>
        </w:rPr>
        <w:t>positron emission tomography</w:t>
      </w:r>
      <w:bookmarkEnd w:id="17"/>
      <w:bookmarkEnd w:id="18"/>
      <w:r>
        <w:rPr>
          <w:rFonts w:ascii="Book Antiqua" w:hAnsi="Book Antiqua" w:eastAsia="Book Antiqua" w:cs="Book Antiqua"/>
          <w:color w:val="000000"/>
        </w:rPr>
        <w:t xml:space="preserve"> </w:t>
      </w:r>
      <w:bookmarkEnd w:id="19"/>
      <w:bookmarkEnd w:id="20"/>
      <w:r>
        <w:rPr>
          <w:rFonts w:ascii="Book Antiqua" w:hAnsi="Book Antiqua" w:eastAsia="Book Antiqua" w:cs="Book Antiqua"/>
          <w:color w:val="000000"/>
        </w:rPr>
        <w:t>(PET) positive and 89% of PET negative lymph nodes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Limitations of CT include lower sensitivity </w:t>
      </w:r>
      <w:r>
        <w:rPr>
          <w:rFonts w:ascii="Book Antiqua" w:hAnsi="Book Antiqua" w:eastAsia="Book Antiqua" w:cs="Book Antiqua"/>
          <w:color w:val="000000"/>
          <w:shd w:val="clear" w:color="auto" w:fill="FFFFFF"/>
        </w:rPr>
        <w:t>with a recent study suggesting only 76% of CT scans identified the primary tumor in patients with metastatic GEP-NETs, and difficulties with identifying small (&lt;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 cm) lesions especially in the small bowel where only 21% of small intestine NETs were identified in one study</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15</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zCs w:val="20"/>
          <w:vertAlign w:val="superscript"/>
        </w:rPr>
        <w:t>17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CT enteroclysis has been used for localization of small bowel tumors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18</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hd w:val="clear" w:color="auto" w:fill="FFFFFF"/>
        </w:rPr>
        <w:t xml:space="preserve"> with luminal distension using neutral contrast aiding in defining small mucosal features with a positive predictive value of 95%</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p>
    <w:p>
      <w:pPr>
        <w:spacing w:line="360" w:lineRule="auto"/>
        <w:ind w:firstLine="240" w:firstLineChars="100"/>
        <w:jc w:val="both"/>
      </w:pPr>
      <w:r>
        <w:rPr>
          <w:rFonts w:ascii="Book Antiqua" w:hAnsi="Book Antiqua" w:eastAsia="Book Antiqua" w:cs="Book Antiqua"/>
          <w:color w:val="000000"/>
          <w:shd w:val="clear" w:color="auto" w:fill="FFFFFF"/>
        </w:rPr>
        <w:t>MRI with contrast enhancement is superior in detecting lesions in the liver and pancreas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With higher tissue resolution, MRI is also better for evaluating bone and liver metastases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19,20</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NENs typically have low T1 and high T2 signal on imaging (Figure 4). Adding diffusion weighted MRI to standard MRI imaging increased metastatic findings in 71% of patients, which changed patient management in 19% of patients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21</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 comparative study showed that while contrast enhanced MRI is superior, adding diffusion weighted to non-contrast MRI imaging may suffice for everyday practice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22</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t>
      </w:r>
    </w:p>
    <w:p>
      <w:pPr>
        <w:spacing w:line="360" w:lineRule="auto"/>
        <w:ind w:firstLine="240" w:firstLineChars="100"/>
        <w:jc w:val="both"/>
        <w:rPr>
          <w:lang w:eastAsia="zh-CN"/>
        </w:rPr>
      </w:pPr>
      <w:r>
        <w:rPr>
          <w:rFonts w:ascii="Book Antiqua" w:hAnsi="Book Antiqua" w:eastAsia="Book Antiqua" w:cs="Book Antiqua"/>
          <w:color w:val="000000"/>
          <w:shd w:val="clear" w:color="auto" w:fill="FFFFFF"/>
        </w:rPr>
        <w:t>Radiomics appears to augment the ability of MRI to differentiate pancreatic NET from adenocarcinoma and solid pseudopapillary neoplasms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23,24</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p>
    <w:p>
      <w:pPr>
        <w:spacing w:line="360" w:lineRule="auto"/>
        <w:ind w:firstLine="240" w:firstLineChars="100"/>
        <w:jc w:val="both"/>
      </w:pPr>
      <w:r>
        <w:rPr>
          <w:rFonts w:ascii="Book Antiqua" w:hAnsi="Book Antiqua" w:eastAsia="Book Antiqua" w:cs="Book Antiqua"/>
          <w:color w:val="000000"/>
          <w:shd w:val="clear" w:color="auto" w:fill="FFFFFF"/>
        </w:rPr>
        <w:t>Grading pancreatic NETs by CT or MRI is challenging and relies on assessing tumor margins, pattern of venous phase contrast washout, and enhancement pattern</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30"/>
          <w:vertAlign w:val="superscript"/>
        </w:rPr>
        <w:t>10,18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Irregular margins on CT have 71% sensitivity and 82% specificity for predicting grade 2/3 tumors while a model incorporating margins and fusion signature had 0.90 AUC for differentiating grade 1 from grade 2/3 tumors. Tumor texture analysis of CT and MRI images suggests entropy may be most useful in differentiating the different grades with 91% sensitivity and 85% specificity for distinguishing grade 1/2 NET from grade 3 NEC on CT and 83% sensitivity and 61% specificity for separating G2/3 from G1 tumors on MRI</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25,26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Whole tumor apparent diffusion coefficient histogram analysis may help predict the aggressiveness of pancreatic NET with kurtosis being the most useful marker</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26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While exciting, further studies are needed to understand the capabilities and role of radiomics in diagnosing, grading, and potentially prognosticating and guiding treatment. </w:t>
      </w:r>
    </w:p>
    <w:p>
      <w:pPr>
        <w:spacing w:line="360" w:lineRule="auto"/>
        <w:jc w:val="both"/>
        <w:rPr>
          <w:rFonts w:ascii="Book Antiqua" w:hAnsi="Book Antiqua" w:cs="Book Antiqua"/>
          <w:i/>
          <w:iCs/>
          <w:color w:val="000000"/>
          <w:u w:val="single"/>
          <w:lang w:eastAsia="zh-CN"/>
        </w:rPr>
      </w:pPr>
    </w:p>
    <w:p>
      <w:pPr>
        <w:spacing w:line="360" w:lineRule="auto"/>
        <w:jc w:val="both"/>
        <w:rPr>
          <w:b/>
        </w:rPr>
      </w:pPr>
      <w:r>
        <w:rPr>
          <w:rFonts w:ascii="Book Antiqua" w:hAnsi="Book Antiqua" w:eastAsia="Book Antiqua" w:cs="Book Antiqua"/>
          <w:b/>
          <w:i/>
          <w:iCs/>
          <w:color w:val="000000"/>
        </w:rPr>
        <w:t xml:space="preserve">Functional </w:t>
      </w:r>
      <w:r>
        <w:rPr>
          <w:rFonts w:hint="eastAsia" w:ascii="Book Antiqua" w:hAnsi="Book Antiqua" w:cs="Book Antiqua"/>
          <w:b/>
          <w:i/>
          <w:iCs/>
          <w:color w:val="000000"/>
          <w:lang w:eastAsia="zh-CN"/>
        </w:rPr>
        <w:t>i</w:t>
      </w:r>
      <w:r>
        <w:rPr>
          <w:rFonts w:ascii="Book Antiqua" w:hAnsi="Book Antiqua" w:eastAsia="Book Antiqua" w:cs="Book Antiqua"/>
          <w:b/>
          <w:i/>
          <w:iCs/>
          <w:color w:val="000000"/>
        </w:rPr>
        <w:t>maging</w:t>
      </w:r>
      <w:r>
        <w:rPr>
          <w:rFonts w:ascii="Book Antiqua" w:hAnsi="Book Antiqua" w:eastAsia="Book Antiqua" w:cs="Book Antiqua"/>
          <w:b/>
          <w:color w:val="000000"/>
        </w:rPr>
        <w:t xml:space="preserve"> </w:t>
      </w:r>
    </w:p>
    <w:p>
      <w:pPr>
        <w:spacing w:line="360" w:lineRule="auto"/>
        <w:jc w:val="both"/>
        <w:rPr>
          <w:lang w:eastAsia="zh-CN"/>
        </w:rPr>
      </w:pPr>
      <w:r>
        <w:rPr>
          <w:rFonts w:ascii="Book Antiqua" w:hAnsi="Book Antiqua" w:eastAsia="Book Antiqua" w:cs="Book Antiqua"/>
          <w:color w:val="000000"/>
        </w:rPr>
        <w:t>Somatostatin receptor imaging provides whole body imaging for NETs based on the wide expression of somatostatin receptors in most well-differentiated NETs. Nearly 70</w:t>
      </w:r>
      <w:r>
        <w:rPr>
          <w:rFonts w:hint="eastAsia" w:ascii="Book Antiqua" w:hAnsi="Book Antiqua" w:cs="Book Antiqua"/>
          <w:color w:val="000000"/>
          <w:lang w:eastAsia="zh-CN"/>
        </w:rPr>
        <w:t>%</w:t>
      </w:r>
      <w:r>
        <w:rPr>
          <w:rFonts w:ascii="Book Antiqua" w:hAnsi="Book Antiqua" w:eastAsia="Book Antiqua" w:cs="Book Antiqua"/>
          <w:color w:val="000000"/>
        </w:rPr>
        <w:t>-90% of gastrointestinal NETs and 50</w:t>
      </w:r>
      <w:r>
        <w:rPr>
          <w:rFonts w:hint="eastAsia" w:ascii="Book Antiqua" w:hAnsi="Book Antiqua" w:cs="Book Antiqua"/>
          <w:color w:val="000000"/>
          <w:lang w:eastAsia="zh-CN"/>
        </w:rPr>
        <w:t>%</w:t>
      </w:r>
      <w:r>
        <w:rPr>
          <w:rFonts w:ascii="Book Antiqua" w:hAnsi="Book Antiqua" w:eastAsia="Book Antiqua" w:cs="Book Antiqua"/>
          <w:color w:val="000000"/>
        </w:rPr>
        <w:t>-70% of pancreatic NETs express somatostatin receptors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27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Quantification of somatostatin receptor expression can diagnose, stage, and assess response to therapy with somatostatin analogues (SSAs) or </w:t>
      </w:r>
      <w:bookmarkStart w:id="21" w:name="OLE_LINK5"/>
      <w:bookmarkStart w:id="22" w:name="OLE_LINK6"/>
      <w:r>
        <w:rPr>
          <w:rFonts w:ascii="Book Antiqua" w:hAnsi="Book Antiqua" w:eastAsia="Book Antiqua" w:cs="Book Antiqua"/>
          <w:color w:val="000000"/>
        </w:rPr>
        <w:t xml:space="preserve">peptide receptor radionuclide therapy </w:t>
      </w:r>
      <w:bookmarkEnd w:id="21"/>
      <w:bookmarkEnd w:id="22"/>
      <w:r>
        <w:rPr>
          <w:rFonts w:ascii="Book Antiqua" w:hAnsi="Book Antiqua" w:eastAsia="Book Antiqua" w:cs="Book Antiqua"/>
          <w:color w:val="000000"/>
        </w:rPr>
        <w:t>(PRRT)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15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Gallium</w:t>
      </w:r>
      <w:r>
        <w:rPr>
          <w:rFonts w:hint="eastAsia" w:ascii="Book Antiqua" w:hAnsi="Book Antiqua" w:cs="Book Antiqua"/>
          <w:color w:val="000000"/>
          <w:lang w:eastAsia="zh-CN"/>
        </w:rPr>
        <w:t xml:space="preserve"> (</w:t>
      </w:r>
      <w:r>
        <w:rPr>
          <w:rFonts w:ascii="Book Antiqua" w:hAnsi="Book Antiqua" w:eastAsia="Book Antiqua" w:cs="Book Antiqua"/>
          <w:color w:val="000000"/>
        </w:rPr>
        <w:t>Ga</w:t>
      </w:r>
      <w:r>
        <w:rPr>
          <w:rFonts w:hint="eastAsia" w:ascii="Book Antiqua" w:hAnsi="Book Antiqua" w:cs="Book Antiqua"/>
          <w:color w:val="000000"/>
          <w:lang w:eastAsia="zh-CN"/>
        </w:rPr>
        <w:t>)-</w:t>
      </w:r>
      <w:r>
        <w:rPr>
          <w:rFonts w:ascii="Book Antiqua" w:hAnsi="Book Antiqua" w:eastAsia="Book Antiqua" w:cs="Book Antiqua"/>
          <w:color w:val="000000"/>
        </w:rPr>
        <w:t xml:space="preserve">68 DOTA-peptides with PET/CT have replaced traditional Octreoscan </w:t>
      </w:r>
      <w:r>
        <w:rPr>
          <w:rFonts w:hint="eastAsia" w:ascii="Book Antiqua" w:hAnsi="Book Antiqua" w:cs="Book Antiqua"/>
          <w:color w:val="000000"/>
          <w:lang w:eastAsia="zh-CN"/>
        </w:rPr>
        <w:t>[</w:t>
      </w:r>
      <w:r>
        <w:rPr>
          <w:rFonts w:ascii="Book Antiqua" w:hAnsi="Book Antiqua" w:eastAsia="Book Antiqua" w:cs="Book Antiqua"/>
          <w:color w:val="000000"/>
        </w:rPr>
        <w:t xml:space="preserve">octreotide single-photon emission computed tomography </w:t>
      </w:r>
      <w:r>
        <w:rPr>
          <w:rFonts w:hint="eastAsia" w:ascii="Book Antiqua" w:hAnsi="Book Antiqua" w:cs="Book Antiqua"/>
          <w:color w:val="000000"/>
          <w:lang w:eastAsia="zh-CN"/>
        </w:rPr>
        <w:t>(</w:t>
      </w:r>
      <w:r>
        <w:rPr>
          <w:rFonts w:ascii="Book Antiqua" w:hAnsi="Book Antiqua" w:eastAsia="Book Antiqua" w:cs="Book Antiqua"/>
          <w:color w:val="000000"/>
        </w:rPr>
        <w:t>SPECT</w:t>
      </w:r>
      <w:r>
        <w:rPr>
          <w:rFonts w:hint="eastAsia" w:ascii="Book Antiqua" w:hAnsi="Book Antiqua" w:cs="Book Antiqua"/>
          <w:color w:val="000000"/>
          <w:lang w:eastAsia="zh-CN"/>
        </w:rPr>
        <w:t>)</w:t>
      </w:r>
      <w:r>
        <w:rPr>
          <w:rFonts w:ascii="Book Antiqua" w:hAnsi="Book Antiqua" w:eastAsia="Book Antiqua" w:cs="Book Antiqua"/>
          <w:color w:val="000000"/>
        </w:rPr>
        <w:t>/CT or 111-Inpentetreotide with SPECT</w:t>
      </w:r>
      <w:r>
        <w:rPr>
          <w:rFonts w:hint="eastAsia" w:ascii="Book Antiqua" w:hAnsi="Book Antiqua" w:cs="Book Antiqua"/>
          <w:color w:val="000000"/>
          <w:lang w:eastAsia="zh-CN"/>
        </w:rPr>
        <w:t>]</w:t>
      </w:r>
      <w:r>
        <w:rPr>
          <w:rFonts w:ascii="Book Antiqua" w:hAnsi="Book Antiqua" w:eastAsia="Book Antiqua" w:cs="Book Antiqua"/>
          <w:color w:val="000000"/>
        </w:rPr>
        <w:t xml:space="preserve"> as the preferred modality due to its higher accuracy and shortened procedure time, which reduces radiation exposure (Figure 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28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The sensitivity and specificity to detect NET is 92% and 95%, respectively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29</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Of note, there are different labeled peptides that can be used (DOTA-TOC, DOTA-NOC, and DOTA-TATE), but they are regarded as equally efficient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30</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One meta-analysis of 1561 patients found that using 68-DOTATATE changed management in one third of patients who previously had an Octreoscan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31</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Another study of 101 patients with well/moderately differentiated NETs showed that 68-DOTATATE imaging altered management in 36 patients, which included avoiding the need for biopsy (</w:t>
      </w:r>
      <w:r>
        <w:rPr>
          <w:rFonts w:ascii="Book Antiqua" w:hAnsi="Book Antiqua" w:eastAsia="Book Antiqua" w:cs="Book Antiqua"/>
          <w:i/>
          <w:iCs/>
          <w:color w:val="000000"/>
        </w:rPr>
        <w:t>n</w:t>
      </w:r>
      <w:r>
        <w:rPr>
          <w:rFonts w:ascii="Book Antiqua" w:hAnsi="Book Antiqua" w:eastAsia="Book Antiqua" w:cs="Book Antiqua"/>
          <w:color w:val="000000"/>
        </w:rPr>
        <w:t xml:space="preserve"> = 4), initiating systemic therapy (</w:t>
      </w:r>
      <w:r>
        <w:rPr>
          <w:rFonts w:ascii="Book Antiqua" w:hAnsi="Book Antiqua" w:eastAsia="Book Antiqua" w:cs="Book Antiqua"/>
          <w:i/>
          <w:iCs/>
          <w:color w:val="000000"/>
        </w:rPr>
        <w:t>n</w:t>
      </w:r>
      <w:r>
        <w:rPr>
          <w:rFonts w:ascii="Book Antiqua" w:hAnsi="Book Antiqua" w:eastAsia="Book Antiqua" w:cs="Book Antiqua"/>
          <w:color w:val="000000"/>
        </w:rPr>
        <w:t xml:space="preserve"> = 14), and altering operative plans in half of patients referred to surgery (</w:t>
      </w:r>
      <w:r>
        <w:rPr>
          <w:rFonts w:ascii="Book Antiqua" w:hAnsi="Book Antiqua" w:eastAsia="Book Antiqua" w:cs="Book Antiqua"/>
          <w:i/>
          <w:iCs/>
          <w:color w:val="000000"/>
        </w:rPr>
        <w:t>n</w:t>
      </w:r>
      <w:r>
        <w:rPr>
          <w:rFonts w:ascii="Book Antiqua" w:hAnsi="Book Antiqua" w:eastAsia="Book Antiqua" w:cs="Book Antiqua"/>
          <w:color w:val="000000"/>
        </w:rPr>
        <w:t xml:space="preserve"> = 14)</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32</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When available, this modality is preferred due to its high sensitivity and ability to influence management strategies in more than 70% of cases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33,34</w:t>
      </w:r>
      <w:r>
        <w:rPr>
          <w:rFonts w:hint="eastAsia" w:ascii="Book Antiqua" w:hAnsi="Book Antiqua" w:cs="Book Antiqua"/>
          <w:color w:val="000000"/>
          <w:vertAlign w:val="superscript"/>
          <w:lang w:eastAsia="zh-CN"/>
        </w:rPr>
        <w:t>]</w:t>
      </w:r>
      <w:r>
        <w:rPr>
          <w:rFonts w:hint="eastAsia" w:ascii="Book Antiqua" w:hAnsi="Book Antiqua" w:cs="Book Antiqua"/>
          <w:color w:val="000000"/>
          <w:lang w:eastAsia="zh-CN"/>
        </w:rPr>
        <w:t>.</w:t>
      </w:r>
    </w:p>
    <w:p>
      <w:pPr>
        <w:spacing w:line="360" w:lineRule="auto"/>
        <w:ind w:firstLine="240" w:firstLineChars="100"/>
        <w:jc w:val="both"/>
      </w:pPr>
      <w:r>
        <w:rPr>
          <w:rFonts w:ascii="Book Antiqua" w:hAnsi="Book Antiqua" w:eastAsia="Book Antiqua" w:cs="Book Antiqua"/>
          <w:color w:val="000000"/>
        </w:rPr>
        <w:t>However, it should be noted that the accuracy of Ga-DOTA-peptides PET-CT imaging declines as NET tumor grading increases due to decrease in somatostatin receptor expression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15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As NETs lose somatostatin receptors, their cells increase glucose utilization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In this context, </w:t>
      </w:r>
      <w:r>
        <w:rPr>
          <w:rFonts w:ascii="Book Antiqua" w:hAnsi="Book Antiqua" w:eastAsia="Book Antiqua" w:cs="Book Antiqua"/>
          <w:color w:val="000000"/>
          <w:vertAlign w:val="superscript"/>
        </w:rPr>
        <w:t>18</w:t>
      </w:r>
      <w:r>
        <w:rPr>
          <w:rFonts w:ascii="Book Antiqua" w:hAnsi="Book Antiqua" w:eastAsia="Book Antiqua" w:cs="Book Antiqua"/>
          <w:color w:val="000000"/>
        </w:rPr>
        <w:t>F-</w:t>
      </w:r>
      <w:r>
        <w:rPr>
          <w:rFonts w:hint="eastAsia" w:ascii="Book Antiqua" w:hAnsi="Book Antiqua" w:cs="Book Antiqua"/>
          <w:color w:val="000000"/>
          <w:lang w:eastAsia="zh-CN"/>
        </w:rPr>
        <w:t>f</w:t>
      </w:r>
      <w:r>
        <w:rPr>
          <w:rFonts w:ascii="Book Antiqua" w:hAnsi="Book Antiqua" w:eastAsia="Book Antiqua" w:cs="Book Antiqua"/>
          <w:color w:val="000000"/>
        </w:rPr>
        <w:t>luorodeoxyglucose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may be the preferred method for identifying high grade lesions. In a large study with 104 biopsy proven NETs where both Ga-DOTATATE and </w:t>
      </w:r>
      <w:r>
        <w:rPr>
          <w:rFonts w:ascii="Book Antiqua" w:hAnsi="Book Antiqua" w:eastAsia="Book Antiqua" w:cs="Book Antiqua"/>
          <w:color w:val="000000"/>
          <w:vertAlign w:val="superscript"/>
        </w:rPr>
        <w:t>18</w:t>
      </w:r>
      <w:r>
        <w:rPr>
          <w:rFonts w:ascii="Book Antiqua" w:hAnsi="Book Antiqua" w:eastAsia="Book Antiqua" w:cs="Book Antiqua"/>
          <w:color w:val="000000"/>
        </w:rPr>
        <w:t>F-</w:t>
      </w:r>
      <w:bookmarkStart w:id="23" w:name="OLE_LINK309"/>
      <w:bookmarkStart w:id="24" w:name="OLE_LINK310"/>
      <w:r>
        <w:rPr>
          <w:rFonts w:ascii="Book Antiqua" w:hAnsi="Book Antiqua" w:eastAsia="Book Antiqua" w:cs="Book Antiqua"/>
          <w:color w:val="000000"/>
        </w:rPr>
        <w:t xml:space="preserve">FDG </w:t>
      </w:r>
      <w:bookmarkEnd w:id="23"/>
      <w:bookmarkEnd w:id="24"/>
      <w:r>
        <w:rPr>
          <w:rFonts w:ascii="Book Antiqua" w:hAnsi="Book Antiqua" w:eastAsia="Book Antiqua" w:cs="Book Antiqua"/>
          <w:color w:val="000000"/>
        </w:rPr>
        <w:t xml:space="preserve">PET/CT were performed,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was most useful in changing management of G3 tumors while not helpful for G1 tumors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36</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Therefore, these authors suggested only limited use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for tumors with Ki-67 ≤</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12%. Ga-DOTATATE and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PET/CT may be complementary imaging modalities. Other studies have suggested this as well with FDG PET-CT being 100% sensitive for identifying poorly differentiated G3 tumors while Ga-DOTATATE had 83% sensitivity for well-differentiated G2/3 tumors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A retrospective study of pathology-proven NENs demonstrated increased sensitivity (94%) for diagnosing NENs when both tracers were used compared to either alone (Ga-DOTATATE 63.8% and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74.7%)</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Ki-67 index also negatively correlated with Ga-DOTATATE while positively correlated with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Another group developed a NETPET grade from 0</w:t>
      </w:r>
      <w:r>
        <w:rPr>
          <w:rFonts w:hint="eastAsia" w:ascii="Book Antiqua" w:hAnsi="Book Antiqua" w:cs="Book Antiqua"/>
          <w:color w:val="000000"/>
          <w:lang w:eastAsia="zh-CN"/>
        </w:rPr>
        <w:t xml:space="preserve"> to </w:t>
      </w:r>
      <w:r>
        <w:rPr>
          <w:rFonts w:ascii="Book Antiqua" w:hAnsi="Book Antiqua" w:eastAsia="Book Antiqua" w:cs="Book Antiqua"/>
          <w:color w:val="000000"/>
        </w:rPr>
        <w:t xml:space="preserve">5: P0 is negative for both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and 68Ga-DOTA-peptide scans, P1 is 68Ga-DOTA scan positive and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negative, P2-4 are positive for both with varying intensity of uptake, P5 is </w:t>
      </w:r>
      <w:r>
        <w:rPr>
          <w:rFonts w:ascii="Book Antiqua" w:hAnsi="Book Antiqua" w:eastAsia="Book Antiqua" w:cs="Book Antiqua"/>
          <w:color w:val="000000"/>
          <w:vertAlign w:val="superscript"/>
        </w:rPr>
        <w:t>18</w:t>
      </w:r>
      <w:r>
        <w:rPr>
          <w:rFonts w:ascii="Book Antiqua" w:hAnsi="Book Antiqua" w:eastAsia="Book Antiqua" w:cs="Book Antiqua"/>
          <w:color w:val="000000"/>
        </w:rPr>
        <w:t>F-FDG positive and 68Ga-DOTA scan negative. This grading system correlated with tumor grade and survival with P5 having lowest median overall survival (11 mo)</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38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NETPET may allow selection of patients for PRRT which relies on the presence of somatostatin receptors to uptake therapeutic radionuclide into the NET cells. Patients with significant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positivity and 68Ga-DOTA negative disease may not respond well to PRRT alone and likely would benefit greater from systemic chemotherapy. </w:t>
      </w:r>
    </w:p>
    <w:p>
      <w:pPr>
        <w:spacing w:line="360" w:lineRule="auto"/>
        <w:ind w:firstLine="240" w:firstLineChars="100"/>
        <w:jc w:val="both"/>
        <w:rPr>
          <w:lang w:eastAsia="zh-CN"/>
        </w:rPr>
      </w:pPr>
      <w:r>
        <w:rPr>
          <w:rFonts w:ascii="Book Antiqua" w:hAnsi="Book Antiqua" w:eastAsia="Book Antiqua" w:cs="Book Antiqua"/>
          <w:color w:val="000000"/>
        </w:rPr>
        <w:t>64Cu-DOTA is a new tracer with longer half-life and potentially superior spatial resolution compared to 68</w:t>
      </w:r>
      <w:bookmarkStart w:id="25" w:name="OLE_LINK449"/>
      <w:bookmarkStart w:id="26" w:name="OLE_LINK450"/>
      <w:r>
        <w:rPr>
          <w:rFonts w:ascii="Book Antiqua" w:hAnsi="Book Antiqua" w:eastAsia="Book Antiqua" w:cs="Book Antiqua"/>
          <w:color w:val="000000"/>
        </w:rPr>
        <w:t>Ga</w:t>
      </w:r>
      <w:bookmarkEnd w:id="25"/>
      <w:bookmarkEnd w:id="26"/>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39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longer half-life (12.7 h </w:t>
      </w:r>
      <w:r>
        <w:rPr>
          <w:rFonts w:ascii="Book Antiqua" w:hAnsi="Book Antiqua" w:eastAsia="Book Antiqua" w:cs="Book Antiqua"/>
          <w:i/>
          <w:iCs/>
          <w:color w:val="000000"/>
        </w:rPr>
        <w:t>vs</w:t>
      </w:r>
      <w:r>
        <w:rPr>
          <w:rFonts w:ascii="Book Antiqua" w:hAnsi="Book Antiqua" w:eastAsia="Book Antiqua" w:cs="Book Antiqua"/>
          <w:color w:val="000000"/>
        </w:rPr>
        <w:t xml:space="preserve"> 1.1 h) would potentially allow 64Cu-DOTA to be used more routinely and readily compared with </w:t>
      </w:r>
      <w:bookmarkStart w:id="27" w:name="OLE_LINK448"/>
      <w:bookmarkStart w:id="28" w:name="OLE_LINK447"/>
      <w:r>
        <w:rPr>
          <w:rFonts w:ascii="Book Antiqua" w:hAnsi="Book Antiqua" w:eastAsia="Book Antiqua" w:cs="Book Antiqua"/>
          <w:color w:val="000000"/>
        </w:rPr>
        <w:t>68Ga-DOTA</w:t>
      </w:r>
      <w:bookmarkEnd w:id="27"/>
      <w:bookmarkEnd w:id="28"/>
      <w:r>
        <w:rPr>
          <w:rFonts w:ascii="Book Antiqua" w:hAnsi="Book Antiqua" w:eastAsia="Book Antiqua" w:cs="Book Antiqua"/>
          <w:color w:val="000000"/>
        </w:rPr>
        <w:t xml:space="preserve">. In 59 patients who underwent both 64Cu-DOTATATE and 68Ga-DOTATOC PET/CT, more patients had more lesions detected using 64Cu-DOTA than with 68Ga-DOTA (13 </w:t>
      </w:r>
      <w:r>
        <w:rPr>
          <w:rFonts w:ascii="Book Antiqua" w:hAnsi="Book Antiqua" w:eastAsia="Book Antiqua" w:cs="Book Antiqua"/>
          <w:i/>
          <w:iCs/>
          <w:color w:val="000000"/>
        </w:rPr>
        <w:t>vs</w:t>
      </w:r>
      <w:r>
        <w:rPr>
          <w:rFonts w:ascii="Book Antiqua" w:hAnsi="Book Antiqua" w:eastAsia="Book Antiqua" w:cs="Book Antiqua"/>
          <w:color w:val="000000"/>
        </w:rPr>
        <w:t xml:space="preserve"> 3, respectively, </w:t>
      </w:r>
      <w:r>
        <w:rPr>
          <w:rFonts w:ascii="Book Antiqua" w:hAnsi="Book Antiqua" w:eastAsia="Book Antiqua" w:cs="Book Antiqua"/>
          <w:i/>
          <w:iCs/>
          <w:color w:val="000000"/>
        </w:rPr>
        <w:t>P</w:t>
      </w:r>
      <w:r>
        <w:rPr>
          <w:rFonts w:ascii="Book Antiqua" w:hAnsi="Book Antiqua" w:eastAsia="Book Antiqua" w:cs="Book Antiqua"/>
          <w:color w:val="000000"/>
        </w:rPr>
        <w:t xml:space="preserve"> = 0.013)</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40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 phase III US study confirmed the safety and high accuracy of 64Cu-DOTA PET/CT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41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p>
    <w:p>
      <w:pPr>
        <w:spacing w:line="360" w:lineRule="auto"/>
        <w:ind w:firstLine="240" w:firstLineChars="100"/>
        <w:jc w:val="both"/>
        <w:rPr>
          <w:lang w:eastAsia="zh-CN"/>
        </w:rPr>
      </w:pPr>
      <w:r>
        <w:rPr>
          <w:rFonts w:ascii="Book Antiqua" w:hAnsi="Book Antiqua" w:eastAsia="Book Antiqua" w:cs="Book Antiqua"/>
          <w:color w:val="000000"/>
          <w:vertAlign w:val="superscript"/>
        </w:rPr>
        <w:t>18</w:t>
      </w:r>
      <w:r>
        <w:rPr>
          <w:rFonts w:ascii="Book Antiqua" w:hAnsi="Book Antiqua" w:eastAsia="Book Antiqua" w:cs="Book Antiqua"/>
          <w:color w:val="000000"/>
        </w:rPr>
        <w:t>F (fluoro-dihydroxyphenylalanine)-DOPA is another radiopharmaceutical that has high sensitivity of 97% and specificity of 90% for small intestinal NETs, and alters management in 50% of small intestinal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42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In a comparative prospective study, </w:t>
      </w:r>
      <w:r>
        <w:rPr>
          <w:rFonts w:ascii="Book Antiqua" w:hAnsi="Book Antiqua" w:eastAsia="Book Antiqua" w:cs="Book Antiqua"/>
          <w:color w:val="000000"/>
          <w:vertAlign w:val="superscript"/>
        </w:rPr>
        <w:t>18</w:t>
      </w:r>
      <w:r>
        <w:rPr>
          <w:rFonts w:ascii="Book Antiqua" w:hAnsi="Book Antiqua" w:eastAsia="Book Antiqua" w:cs="Book Antiqua"/>
          <w:color w:val="000000"/>
        </w:rPr>
        <w:t>F-DOPA outperformed combined CT and somatostatin-receptor scintigraphy imaging in localizing low grade small intestinal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43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However, other studies have suggested 68Ga-DOTA is superior to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F-DOPA for detecting well-differentiated NETs, including small intestinal NETs. </w:t>
      </w:r>
      <w:r>
        <w:rPr>
          <w:rFonts w:ascii="Book Antiqua" w:hAnsi="Book Antiqua" w:eastAsia="Book Antiqua" w:cs="Book Antiqua"/>
          <w:color w:val="000000"/>
          <w:vertAlign w:val="superscript"/>
        </w:rPr>
        <w:t>18</w:t>
      </w:r>
      <w:r>
        <w:rPr>
          <w:rFonts w:ascii="Book Antiqua" w:hAnsi="Book Antiqua" w:eastAsia="Book Antiqua" w:cs="Book Antiqua"/>
          <w:color w:val="000000"/>
        </w:rPr>
        <w:t>F-DOPA is not readily available in Western countries, but may be complementary in the evaluation of small intestinal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39,44</w:t>
      </w:r>
      <w:r>
        <w:rPr>
          <w:rFonts w:hint="eastAsia" w:ascii="Book Antiqua" w:hAnsi="Book Antiqua" w:cs="Book Antiqua"/>
          <w:color w:val="000000"/>
          <w:vertAlign w:val="superscript"/>
          <w:lang w:eastAsia="zh-CN"/>
        </w:rPr>
        <w:t>]</w:t>
      </w:r>
      <w:r>
        <w:rPr>
          <w:rFonts w:hint="eastAsia" w:ascii="Book Antiqua" w:hAnsi="Book Antiqua" w:cs="Book Antiqua"/>
          <w:color w:val="000000"/>
          <w:lang w:eastAsia="zh-CN"/>
        </w:rPr>
        <w:t>.</w:t>
      </w:r>
    </w:p>
    <w:p>
      <w:pPr>
        <w:spacing w:line="360" w:lineRule="auto"/>
        <w:ind w:firstLine="240" w:firstLineChars="100"/>
        <w:jc w:val="both"/>
      </w:pPr>
      <w:r>
        <w:rPr>
          <w:rFonts w:ascii="Book Antiqua" w:hAnsi="Book Antiqua" w:eastAsia="Book Antiqua" w:cs="Book Antiqua"/>
          <w:color w:val="000000"/>
        </w:rPr>
        <w:t>Insulinomas are notoriously difficult to detect using morphological and somatostatin receptor imaging. Because they over-express glucagon-like peptide-1-receptors (GLP-1R), these offer targets for PET-based imaging</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39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68Ga-DOTA-exendin-4 is a PET agent targeting GLP-1R. In a prospective randomized crossover study of 52 patients with suspected insulinoma, patients underwent 68Ga-DOTA-exendin-4 PET/CT, SPECT/CT and MRI with 68Ga-DOTA-exendin-4 imaging being more accurate than MRI for detecting insulinomas (93.9% and 67.6%, respectively)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45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There is little literature on the value of PET-MRI, however, one small study demonstrated comparable image quality between 68Ga</w:t>
      </w:r>
      <w:r>
        <w:rPr>
          <w:rFonts w:hint="eastAsia" w:ascii="Book Antiqua" w:hAnsi="Book Antiqua" w:cs="Book Antiqua"/>
          <w:color w:val="000000"/>
          <w:lang w:eastAsia="zh-CN"/>
        </w:rPr>
        <w:t>-</w:t>
      </w:r>
      <w:r>
        <w:rPr>
          <w:rFonts w:ascii="Book Antiqua" w:hAnsi="Book Antiqua" w:eastAsia="Book Antiqua" w:cs="Book Antiqua"/>
          <w:color w:val="000000"/>
        </w:rPr>
        <w:t>DOTA-TOC PET/CT with PET/MRI while another suggested more lesions were identified with PET/MRI</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46,47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Advantages of PET/MRI include use in patients with renal insufficiency and better detection of liver lesions. </w:t>
      </w:r>
    </w:p>
    <w:p>
      <w:pPr>
        <w:spacing w:line="360" w:lineRule="auto"/>
        <w:jc w:val="both"/>
        <w:rPr>
          <w:rFonts w:ascii="Book Antiqua" w:hAnsi="Book Antiqua" w:cs="Book Antiqua"/>
          <w:i/>
          <w:iCs/>
          <w:color w:val="000000"/>
          <w:u w:val="single"/>
          <w:lang w:eastAsia="zh-CN"/>
        </w:rPr>
      </w:pPr>
    </w:p>
    <w:p>
      <w:pPr>
        <w:spacing w:line="360" w:lineRule="auto"/>
        <w:jc w:val="both"/>
        <w:rPr>
          <w:b/>
          <w:lang w:eastAsia="zh-CN"/>
        </w:rPr>
      </w:pPr>
      <w:r>
        <w:rPr>
          <w:rFonts w:ascii="Book Antiqua" w:hAnsi="Book Antiqua" w:eastAsia="Book Antiqua" w:cs="Book Antiqua"/>
          <w:b/>
          <w:i/>
          <w:iCs/>
          <w:color w:val="000000"/>
        </w:rPr>
        <w:t>Biomarkers</w:t>
      </w:r>
    </w:p>
    <w:p>
      <w:pPr>
        <w:spacing w:line="360" w:lineRule="auto"/>
        <w:jc w:val="both"/>
      </w:pPr>
      <w:r>
        <w:rPr>
          <w:rFonts w:ascii="Book Antiqua" w:hAnsi="Book Antiqua" w:eastAsia="Book Antiqua" w:cs="Book Antiqua"/>
          <w:color w:val="000000"/>
          <w:shd w:val="clear" w:color="auto" w:fill="FFFFFF"/>
        </w:rPr>
        <w:t>Functional NETs secrete hormones that lead to various clinical symptoms and syndromes. These hormone levels should only be checked in patients with clinical symptoms and syndromes suggestive of a functional NET. Hormone levels may be followed in patients with functional pancreatic NETs to monitor response to treatment and recurrence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48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t>
      </w:r>
    </w:p>
    <w:p>
      <w:pPr>
        <w:spacing w:line="360" w:lineRule="auto"/>
        <w:ind w:firstLine="240" w:firstLineChars="100"/>
        <w:jc w:val="both"/>
      </w:pPr>
      <w:r>
        <w:rPr>
          <w:rFonts w:ascii="Book Antiqua" w:hAnsi="Book Antiqua" w:eastAsia="Book Antiqua" w:cs="Book Antiqua"/>
          <w:color w:val="000000"/>
        </w:rPr>
        <w:t xml:space="preserve">Carcinoid syndrome may occur with metastatic NETs, typically from the small intestine. </w:t>
      </w:r>
      <w:r>
        <w:rPr>
          <w:rFonts w:hint="eastAsia" w:ascii="Book Antiqua" w:hAnsi="Book Antiqua" w:cs="Book Antiqua"/>
          <w:color w:val="000000"/>
          <w:lang w:eastAsia="zh-CN"/>
        </w:rPr>
        <w:t>Twenty four hours</w:t>
      </w:r>
      <w:r>
        <w:rPr>
          <w:rFonts w:ascii="Book Antiqua" w:hAnsi="Book Antiqua" w:eastAsia="Book Antiqua" w:cs="Book Antiqua"/>
          <w:color w:val="000000"/>
        </w:rPr>
        <w:t xml:space="preserve"> measurement of urinary 5-</w:t>
      </w:r>
      <w:bookmarkStart w:id="29" w:name="OLE_LINK439"/>
      <w:bookmarkStart w:id="30" w:name="OLE_LINK440"/>
      <w:r>
        <w:rPr>
          <w:rFonts w:hint="eastAsia" w:ascii="Book Antiqua" w:hAnsi="Book Antiqua" w:eastAsia="Book Antiqua" w:cs="Book Antiqua"/>
          <w:color w:val="000000"/>
        </w:rPr>
        <w:t>h</w:t>
      </w:r>
      <w:r>
        <w:rPr>
          <w:rFonts w:ascii="Book Antiqua" w:hAnsi="Book Antiqua" w:eastAsia="Book Antiqua" w:cs="Book Antiqua"/>
          <w:color w:val="000000"/>
        </w:rPr>
        <w:t>ydroxyindoleacetic acid</w:t>
      </w:r>
      <w:bookmarkEnd w:id="29"/>
      <w:bookmarkEnd w:id="30"/>
      <w:r>
        <w:rPr>
          <w:rFonts w:ascii="Book Antiqua" w:hAnsi="Book Antiqua" w:eastAsia="Book Antiqua" w:cs="Book Antiqua"/>
          <w:color w:val="000000"/>
        </w:rPr>
        <w:t xml:space="preserve"> (5-HIAA), an end product of serotonin metabolism, has a specificity and sensitivity of over 90%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49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Patients should avoid tryptophan-rich foods and certain medications for several days before urine collection. Urinary 5-HIAA may also help predict patients at risk for carcinoid heart disease and carcinoid crisis during surgery as well as those who may respond to SSAs and PRRT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50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If urine collection is difficult, plasma testing may be more convenient. Compared to urinary measurements, plasma 5-HIAA has a sensitivity and specificity of 89% and 97%, respectively, in diagnosing carcinoid patients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51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Its widespread use is limited by institutional preferences and lack of validation in clinical studies.</w:t>
      </w:r>
    </w:p>
    <w:p>
      <w:pPr>
        <w:spacing w:line="360" w:lineRule="auto"/>
        <w:ind w:firstLine="240" w:firstLineChars="100"/>
        <w:jc w:val="both"/>
        <w:rPr>
          <w:lang w:eastAsia="zh-CN"/>
        </w:rPr>
      </w:pPr>
      <w:r>
        <w:rPr>
          <w:rFonts w:ascii="Book Antiqua" w:hAnsi="Book Antiqua" w:eastAsia="Book Antiqua" w:cs="Book Antiqua"/>
          <w:color w:val="000000"/>
          <w:shd w:val="clear" w:color="auto" w:fill="FFFFFF"/>
        </w:rPr>
        <w:t>Nonhormonal secretory products are also produced by both functional and nonfunctional NETs and can serve as biomarkers. Chromogranin A, a nonhormonal serum glycoprotein, is the main biochemical marker. However, its use has been deemphasized with the National Comprehensive Cancer Network and North American Neuroendocrine Tumor Society (NANET) not recommending its routine use due to limitations in accuracy, lack of standardization across laboratories (differing assays and isoforms), and unclear added value beyond imaging findings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48,52,53</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It should be measured fasting and at least 2 wk after discontinuation of proton pump inhibitors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54</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Sensitivity is lower in localized disease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55</w:t>
      </w:r>
      <w:r>
        <w:rPr>
          <w:rFonts w:hint="eastAsia" w:ascii="Book Antiqua" w:hAnsi="Book Antiqua" w:cs="Book Antiqua"/>
          <w:color w:val="000000"/>
          <w:szCs w:val="20"/>
          <w:vertAlign w:val="superscript"/>
          <w:lang w:eastAsia="zh-CN"/>
        </w:rPr>
        <w:t>]</w:t>
      </w:r>
      <w:r>
        <w:rPr>
          <w:rFonts w:ascii="Book Antiqua" w:hAnsi="Book Antiqua" w:eastAsia="Book Antiqua" w:cs="Book Antiqua"/>
          <w:color w:val="000000"/>
          <w:shd w:val="clear" w:color="auto" w:fill="FFFFFF"/>
        </w:rPr>
        <w:t>, and chromogranin A levels may drop with use of SSAs due to decreased production of hormones from cells rather than reduction in tumor burden</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56</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p>
    <w:p>
      <w:pPr>
        <w:spacing w:line="360" w:lineRule="auto"/>
        <w:ind w:firstLine="240" w:firstLineChars="100"/>
        <w:jc w:val="both"/>
      </w:pPr>
      <w:r>
        <w:rPr>
          <w:rFonts w:ascii="Book Antiqua" w:hAnsi="Book Antiqua" w:eastAsia="Book Antiqua" w:cs="Book Antiqua"/>
          <w:color w:val="000000"/>
          <w:shd w:val="clear" w:color="auto" w:fill="FFFFFF"/>
        </w:rPr>
        <w:t>Consequently, other biomarkers have been investigated. Genetic mutations in DAXX and ATRX expression (which interact with centromeric and telomeric regions) have recently been associated with well-differentiated NENs and poor survival in pancreatic NETs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57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DNA hypermethylation has been associated with worse prognosis in pancreatic NETs. There is also interest in a new biomarker that measures cell-free DNA which circulates in the plasma following apoptosis, necrosis or active secretion, whereby it may have the potential to differentiate metastatic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localized pancreatic NETs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57,58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t>
      </w:r>
    </w:p>
    <w:p>
      <w:pPr>
        <w:spacing w:line="360" w:lineRule="auto"/>
        <w:ind w:firstLine="240" w:firstLineChars="100"/>
        <w:jc w:val="both"/>
      </w:pPr>
      <w:r>
        <w:rPr>
          <w:rFonts w:ascii="Book Antiqua" w:hAnsi="Book Antiqua" w:eastAsia="Book Antiqua" w:cs="Book Antiqua"/>
          <w:color w:val="000000"/>
          <w:shd w:val="clear" w:color="auto" w:fill="FFFFFF"/>
        </w:rPr>
        <w:t xml:space="preserve">A novel liquid biopsy biomarker (NETest) measures 51 different RNA transcripts relevant to NET using </w:t>
      </w:r>
      <w:r>
        <w:rPr>
          <w:rFonts w:hint="eastAsia" w:ascii="Book Antiqua" w:hAnsi="Book Antiqua" w:cs="Book Antiqua"/>
          <w:color w:val="000000"/>
          <w:shd w:val="clear" w:color="auto" w:fill="FFFFFF"/>
          <w:lang w:eastAsia="zh-CN"/>
        </w:rPr>
        <w:t>q</w:t>
      </w:r>
      <w:r>
        <w:rPr>
          <w:rFonts w:ascii="Book Antiqua" w:hAnsi="Book Antiqua" w:eastAsia="Book Antiqua" w:cs="Book Antiqua"/>
          <w:color w:val="000000"/>
          <w:shd w:val="clear" w:color="auto" w:fill="FFFFFF"/>
        </w:rPr>
        <w:t>uantitative real-time polymerase chain reaction</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59</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Scores range from 0</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-100% with 0-20 normal, 4-80 intermediate and ≥</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80 high activity. NETest has recently been reported with favorable results compared to chromogranin A for monitoring treatment response following both surgery and PRRT</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60,61</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In a cohort of 253 GEP-NENs, NETest out performed chromogranin A in terms of accuracy (99%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53%) and also proved reliable in correlating the grade, stage and progression of GEP-NENs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62</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Another prospective study confirmed high diagnostic accuracy (91%) of NETest, ability to differentiate metastatic from local disease, 91% concordance with CT/MRI/ </w:t>
      </w:r>
      <w:r>
        <w:rPr>
          <w:rFonts w:ascii="Book Antiqua" w:hAnsi="Book Antiqua" w:eastAsia="Book Antiqua" w:cs="Book Antiqua"/>
          <w:color w:val="000000"/>
        </w:rPr>
        <w:t>Ga</w:t>
      </w:r>
      <w:r>
        <w:rPr>
          <w:rFonts w:ascii="Book Antiqua" w:hAnsi="Book Antiqua" w:eastAsia="Book Antiqua" w:cs="Book Antiqua"/>
          <w:color w:val="000000"/>
          <w:shd w:val="clear" w:color="auto" w:fill="FFFFFF"/>
        </w:rPr>
        <w:t xml:space="preserve"> 68-DOTA peptide PET, correlation with curative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palliative surgeries, and higher diagnostic accuracy compared with chromogranin A</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63</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NETest predicted postoperative recurrence at postop day 30 with 94% accuracy while chromogranin A was not helpful</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64</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No patients with R0 resection and normal NETest developed recurrence while all R1/R2 patients had elevated NETest. This would allow early identification of patients with residual disease postoperatively who need to be followed more intensely while those with R0 resection and normal NETest likely can have fewer follow-up imaging studies. These exciting results need further confirmation in larger studies, and the utility of using this blood test rather than imaging to adjust treatment in advanced disease requires study as well. </w:t>
      </w:r>
    </w:p>
    <w:p>
      <w:pPr>
        <w:spacing w:line="360" w:lineRule="auto"/>
        <w:jc w:val="both"/>
        <w:rPr>
          <w:rFonts w:ascii="Book Antiqua" w:hAnsi="Book Antiqua" w:cs="Book Antiqua"/>
          <w:b/>
          <w:i/>
          <w:iCs/>
          <w:color w:val="000000"/>
          <w:lang w:eastAsia="zh-CN"/>
        </w:rPr>
      </w:pPr>
    </w:p>
    <w:p>
      <w:pPr>
        <w:spacing w:line="360" w:lineRule="auto"/>
        <w:jc w:val="both"/>
        <w:rPr>
          <w:b/>
        </w:rPr>
      </w:pPr>
      <w:r>
        <w:rPr>
          <w:rFonts w:ascii="Book Antiqua" w:hAnsi="Book Antiqua" w:eastAsia="Book Antiqua" w:cs="Book Antiqua"/>
          <w:b/>
          <w:i/>
          <w:iCs/>
          <w:color w:val="000000"/>
        </w:rPr>
        <w:t>Endoscopy</w:t>
      </w:r>
    </w:p>
    <w:p>
      <w:pPr>
        <w:spacing w:line="360" w:lineRule="auto"/>
        <w:jc w:val="both"/>
        <w:rPr>
          <w:lang w:eastAsia="zh-CN"/>
        </w:rPr>
      </w:pPr>
      <w:r>
        <w:rPr>
          <w:rFonts w:ascii="Book Antiqua" w:hAnsi="Book Antiqua" w:eastAsia="Book Antiqua" w:cs="Book Antiqua"/>
          <w:color w:val="000000"/>
        </w:rPr>
        <w:t>For gastrointestinal NETs, endoscopy with biopsy should be performed to obtain pathological diagnosis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20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Endoscopic imaging is insufficient for definitive diagnosis as differential diagnosis includes other subepithelial lesions, such as gastrointestinal stromal tumor especially in the stomach and duodenum and cysts and Brunner’s gland hyperplasia also in the duodenum. When imaging modalities fail to localize a small bowel tumor, video-capsule endoscopy (VCE) and device-assisted enteroscopy (DBE) are often needed</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VCE has a diagnostic yield of 45% for detecting tumors in the small intestine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65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 retrospective study conducted over a seven year period found that small bowel tumors were detected in 1.5% of patients undergoing VCE (with a mean number of 4.7 tests used prior to VCE)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66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In a study of 390 patients with metastatic NETs, radiology failed to localize a primary tumor in 2.8% whereas VCE identified NETs in 8/10 patients, which were confirmed histologically. As such, VCE should be used in select patients to identify small intestine NETs. While more invasive, antegrade and retrograde DBE may serve as an adjunctive tool prior to surgery by providing a histologic diagnosis and allowing tattooing areas of interest for surgeons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65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Its diagnostic yield for detecting small intestine NETs ranges from 33%-80%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67,68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Multifocal small intestinal NETs occur in 20</w:t>
      </w:r>
      <w:r>
        <w:rPr>
          <w:rFonts w:hint="eastAsia" w:ascii="Book Antiqua" w:hAnsi="Book Antiqua" w:cs="Book Antiqua"/>
          <w:color w:val="000000"/>
          <w:lang w:eastAsia="zh-CN"/>
        </w:rPr>
        <w:t>%</w:t>
      </w:r>
      <w:r>
        <w:rPr>
          <w:rFonts w:ascii="Book Antiqua" w:hAnsi="Book Antiqua" w:eastAsia="Book Antiqua" w:cs="Book Antiqua"/>
          <w:color w:val="000000"/>
        </w:rPr>
        <w:t>-30% of patients. CT and MRI have low accuracy for detecting these, and while CT or MR enterography, VCE, and DBE improve detection, the gold standard remains digital palpation of the small bowel intraoperatively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69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p>
    <w:p>
      <w:pPr>
        <w:spacing w:line="360" w:lineRule="auto"/>
        <w:ind w:firstLine="240" w:firstLineChars="100"/>
        <w:jc w:val="both"/>
      </w:pPr>
      <w:r>
        <w:rPr>
          <w:rFonts w:ascii="Book Antiqua" w:hAnsi="Book Antiqua" w:eastAsia="Book Antiqua" w:cs="Book Antiqua"/>
          <w:color w:val="000000"/>
        </w:rPr>
        <w:t>EUS is valuable for diagnosing pancreatic NETs and differentiating from pancreatic adenocarcinoma or metastatic disease with 87.2% sensitivity of 87.2% and 98% specificity (Figure 6)</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Mean detection rate of pancreatic NET for EUS is 90% while about 73% for both CT and MRI</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EUS identified pancreatic NET in 26% of cases where CT and other radiology studies including MRI and PET were negative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EUS is particularly helpful for detecting small pancreatic NETs &lt;</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r>
        <w:rPr>
          <w:rFonts w:hint="eastAsia" w:ascii="Book Antiqua" w:hAnsi="Book Antiqua" w:cs="Book Antiqua"/>
          <w:color w:val="000000"/>
          <w:lang w:eastAsia="zh-CN"/>
        </w:rPr>
        <w:t xml:space="preserve"> </w:t>
      </w:r>
      <w:r>
        <w:rPr>
          <w:rFonts w:ascii="Book Antiqua" w:hAnsi="Book Antiqua" w:eastAsia="Book Antiqua" w:cs="Book Antiqua"/>
          <w:color w:val="000000"/>
        </w:rPr>
        <w:t>mm, 68% of which were missed by CT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EUS also provides more accurate size estimate than CT (11.2% </w:t>
      </w:r>
      <w:r>
        <w:rPr>
          <w:rFonts w:ascii="Book Antiqua" w:hAnsi="Book Antiqua" w:eastAsia="Book Antiqua" w:cs="Book Antiqua"/>
          <w:i/>
          <w:color w:val="000000"/>
        </w:rPr>
        <w:t>v</w:t>
      </w:r>
      <w:r>
        <w:rPr>
          <w:rFonts w:hint="eastAsia" w:ascii="Book Antiqua" w:hAnsi="Book Antiqua" w:cs="Book Antiqua"/>
          <w:i/>
          <w:color w:val="000000"/>
          <w:lang w:eastAsia="zh-CN"/>
        </w:rPr>
        <w:t>s</w:t>
      </w:r>
      <w:r>
        <w:rPr>
          <w:rFonts w:ascii="Book Antiqua" w:hAnsi="Book Antiqua" w:eastAsia="Book Antiqua" w:cs="Book Antiqua"/>
          <w:color w:val="000000"/>
        </w:rPr>
        <w:t xml:space="preserve"> 46.5% inaccurate, respectively). Therefore, in patients with suspected pancreatic NET and negative imaging, EUS should be performed. </w:t>
      </w:r>
    </w:p>
    <w:p>
      <w:pPr>
        <w:spacing w:line="360" w:lineRule="auto"/>
        <w:ind w:firstLine="240" w:firstLineChars="100"/>
        <w:jc w:val="both"/>
        <w:rPr>
          <w:lang w:eastAsia="zh-CN"/>
        </w:rPr>
      </w:pPr>
      <w:r>
        <w:rPr>
          <w:rFonts w:ascii="Book Antiqua" w:hAnsi="Book Antiqua" w:eastAsia="Book Antiqua" w:cs="Book Antiqua"/>
          <w:color w:val="000000"/>
        </w:rPr>
        <w:t>A limitation of EUS sampling is inaccurate assessment of grade and Ki67 index compared with surgical specimens. This discordance is accentuated in tumors &gt;</w:t>
      </w:r>
      <w:r>
        <w:rPr>
          <w:rFonts w:hint="eastAsia" w:ascii="Book Antiqua" w:hAnsi="Book Antiqua" w:cs="Book Antiqua"/>
          <w:color w:val="000000"/>
          <w:lang w:eastAsia="zh-CN"/>
        </w:rPr>
        <w:t xml:space="preserve"> </w:t>
      </w:r>
      <w:r>
        <w:rPr>
          <w:rFonts w:ascii="Book Antiqua" w:hAnsi="Book Antiqua" w:eastAsia="Book Antiqua" w:cs="Book Antiqua"/>
          <w:color w:val="000000"/>
        </w:rPr>
        <w:t>2 cm because Ki-67 immunoreactivity can be focal and therefore, potentially missed by EUS sampling</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74</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EUS-FNB may improve assessment of Ki-67 as well as diagnostic yield compared with EUS-FNA</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75,76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Diagnostic yield of EUS-FNA in cystic pancreatic NETs is lower at 73% compared with solid NETs although higher than mucinous cysts. Cystic pancreatic NETs may have thick wall with low carcinoembryonic antigen levels (&lt;</w:t>
      </w:r>
      <w:r>
        <w:rPr>
          <w:rFonts w:hint="eastAsia" w:ascii="Book Antiqua" w:hAnsi="Book Antiqua" w:cs="Book Antiqua"/>
          <w:color w:val="000000"/>
          <w:lang w:eastAsia="zh-CN"/>
        </w:rPr>
        <w:t xml:space="preserve"> </w:t>
      </w:r>
      <w:r>
        <w:rPr>
          <w:rFonts w:ascii="Book Antiqua" w:hAnsi="Book Antiqua" w:eastAsia="Book Antiqua" w:cs="Book Antiqua"/>
          <w:color w:val="000000"/>
        </w:rPr>
        <w:t>5</w:t>
      </w:r>
      <w:r>
        <w:rPr>
          <w:rFonts w:hint="eastAsia" w:ascii="Book Antiqua" w:hAnsi="Book Antiqua" w:cs="Book Antiqua"/>
          <w:color w:val="000000"/>
          <w:lang w:eastAsia="zh-CN"/>
        </w:rPr>
        <w:t xml:space="preserve"> </w:t>
      </w:r>
      <w:r>
        <w:rPr>
          <w:rFonts w:ascii="Book Antiqua" w:hAnsi="Book Antiqua" w:eastAsia="Book Antiqua" w:cs="Book Antiqua"/>
          <w:color w:val="000000"/>
        </w:rPr>
        <w:t>ng/mL)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77</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p>
    <w:p>
      <w:pPr>
        <w:spacing w:line="360" w:lineRule="auto"/>
        <w:ind w:firstLine="240" w:firstLineChars="100"/>
        <w:jc w:val="both"/>
        <w:rPr>
          <w:lang w:eastAsia="zh-CN"/>
        </w:rPr>
      </w:pPr>
      <w:r>
        <w:rPr>
          <w:rFonts w:ascii="Book Antiqua" w:hAnsi="Book Antiqua" w:eastAsia="Book Antiqua" w:cs="Book Antiqua"/>
          <w:color w:val="000000"/>
        </w:rPr>
        <w:t>Adjunctive EUS technologies include elastography and contrast harmonic EUS (CH-EUS). Elastography assesses the relative stiffness of tissue qualitatively and semi-quantitatively with strain elastography and more recently shear wave elastography. It may help differentiate pancreatic ductal adenocarcinoma from pancreatic NET, but was unable to distinguish NET from benign lesions in one study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Another study suggested modest ability to diagnose malignant </w:t>
      </w:r>
      <w:r>
        <w:rPr>
          <w:rFonts w:ascii="Book Antiqua" w:hAnsi="Book Antiqua" w:eastAsia="Book Antiqua" w:cs="Book Antiqua"/>
          <w:i/>
          <w:iCs/>
          <w:color w:val="000000"/>
        </w:rPr>
        <w:t>vs</w:t>
      </w:r>
      <w:r>
        <w:rPr>
          <w:rFonts w:ascii="Book Antiqua" w:hAnsi="Book Antiqua" w:eastAsia="Book Antiqua" w:cs="Book Antiqua"/>
          <w:color w:val="000000"/>
        </w:rPr>
        <w:t xml:space="preserve"> benign pancreatic NETs (67% sensitivity and 71% specificity)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79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Further studies are needed with shear wave elastography, which may lead to improved results. CH-EUS uses intravenous microbubble-based contrast agents to assess microvasculature in lesions. With pancreatic NETs being hypervascular, they appear hyperenhancing on CH-EUS with sensitivity 79% and specificity 99%</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80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CH-EUS may be particularly helpful in assessing tumor grade as microvasculature density inversely correlates with grade. Therefore, higher grade tumors have more heterogeneous enhancement with 90% accuracy for predicting malignancy and &gt;</w:t>
      </w:r>
      <w:r>
        <w:rPr>
          <w:rFonts w:hint="eastAsia" w:ascii="Book Antiqua" w:hAnsi="Book Antiqua" w:cs="Book Antiqua"/>
          <w:color w:val="000000"/>
          <w:lang w:eastAsia="zh-CN"/>
        </w:rPr>
        <w:t xml:space="preserve"> </w:t>
      </w:r>
      <w:r>
        <w:rPr>
          <w:rFonts w:ascii="Book Antiqua" w:hAnsi="Book Antiqua" w:eastAsia="Book Antiqua" w:cs="Book Antiqua"/>
          <w:color w:val="000000"/>
        </w:rPr>
        <w:t>95% negative predictive value for tumor aggressiveness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81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Quantitative CH-EUS may allow accurate differentiation of G1/G2 pancreatic NET from G3 pancreatic NEC</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82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p>
    <w:p>
      <w:pPr>
        <w:spacing w:line="360" w:lineRule="auto"/>
        <w:ind w:firstLine="720"/>
        <w:jc w:val="both"/>
      </w:pPr>
    </w:p>
    <w:p>
      <w:pPr>
        <w:spacing w:line="360" w:lineRule="auto"/>
        <w:jc w:val="both"/>
      </w:pPr>
      <w:r>
        <w:rPr>
          <w:rFonts w:ascii="Book Antiqua" w:hAnsi="Book Antiqua" w:eastAsia="Book Antiqua" w:cs="Book Antiqua"/>
          <w:b/>
          <w:caps/>
          <w:color w:val="000000"/>
          <w:u w:val="single"/>
        </w:rPr>
        <w:t>Management</w:t>
      </w:r>
    </w:p>
    <w:p>
      <w:pPr>
        <w:spacing w:line="360" w:lineRule="auto"/>
        <w:jc w:val="both"/>
      </w:pPr>
      <w:r>
        <w:rPr>
          <w:rFonts w:ascii="Book Antiqua" w:hAnsi="Book Antiqua" w:eastAsia="Book Antiqua" w:cs="Book Antiqua"/>
          <w:color w:val="000000"/>
        </w:rPr>
        <w:t>The next sections will highlight updates and controversial areas needing further research for the various GEP-NETs.</w:t>
      </w:r>
    </w:p>
    <w:p>
      <w:pPr>
        <w:spacing w:line="360" w:lineRule="auto"/>
        <w:jc w:val="both"/>
        <w:rPr>
          <w:rFonts w:ascii="Book Antiqua" w:hAnsi="Book Antiqua" w:cs="Book Antiqua"/>
          <w:color w:val="000000"/>
          <w:u w:val="single"/>
          <w:lang w:eastAsia="zh-CN"/>
        </w:rPr>
      </w:pPr>
    </w:p>
    <w:p>
      <w:pPr>
        <w:spacing w:line="360" w:lineRule="auto"/>
        <w:jc w:val="both"/>
        <w:rPr>
          <w:b/>
          <w:i/>
        </w:rPr>
      </w:pPr>
      <w:r>
        <w:rPr>
          <w:rFonts w:ascii="Book Antiqua" w:hAnsi="Book Antiqua" w:eastAsia="Book Antiqua" w:cs="Book Antiqua"/>
          <w:b/>
          <w:i/>
          <w:color w:val="000000"/>
        </w:rPr>
        <w:t>Stomach</w:t>
      </w:r>
    </w:p>
    <w:p>
      <w:pPr>
        <w:spacing w:line="360" w:lineRule="auto"/>
        <w:jc w:val="both"/>
      </w:pPr>
      <w:r>
        <w:rPr>
          <w:rFonts w:ascii="Book Antiqua" w:hAnsi="Book Antiqua" w:eastAsia="Book Antiqua" w:cs="Book Antiqua"/>
          <w:color w:val="000000"/>
        </w:rPr>
        <w:t xml:space="preserve">Gastric NETs are typically diagnosed incidentally during endoscopy, and </w:t>
      </w:r>
      <w:r>
        <w:rPr>
          <w:rFonts w:ascii="Book Antiqua" w:hAnsi="Book Antiqua" w:eastAsia="Book Antiqua" w:cs="Book Antiqua"/>
          <w:color w:val="000000"/>
          <w:shd w:val="clear" w:color="auto" w:fill="FFFFFF"/>
        </w:rPr>
        <w:t>it is important to understand the subtypes of gastric NETs and their corresponding treatment recommendations (Table 2). Metastases occur in less than 10% of type I gastric NETs ≤</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2 cm (Figure 7), but in nearly 20% greater than 2 cm</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83</w:t>
      </w:r>
      <w:r>
        <w:rPr>
          <w:rFonts w:ascii="Book Antiqua" w:hAnsi="Book Antiqua" w:eastAsia="Book Antiqua" w:cs="Book Antiqua"/>
          <w:color w:val="000000"/>
          <w:szCs w:val="30"/>
          <w:shd w:val="clear" w:color="auto" w:fill="FFFFFF"/>
          <w:vertAlign w:val="superscript"/>
        </w:rPr>
        <w:t>,</w:t>
      </w:r>
      <w:r>
        <w:rPr>
          <w:rFonts w:ascii="Book Antiqua" w:hAnsi="Book Antiqua" w:eastAsia="Book Antiqua" w:cs="Book Antiqua"/>
          <w:color w:val="000000"/>
          <w:szCs w:val="20"/>
          <w:vertAlign w:val="superscript"/>
        </w:rPr>
        <w:t>84</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 long-term study of small (&lt;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 cm) type I gastric NETs followed endoscopically over an average of 7 years found that none developed advanced disease or significant growth of the tumor</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For larger lesions, EUS should be performed to assess depth of invasion and presence of lymph node metastases before performing endoscopic or surgical resection. Regarding endoscopic resection, endoscopic mucosal resection (EMR) or endoscopic submucosal dissection (ESD) can be considered although ESD should be reserved for larger lesions with superficial submucosal invasion</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86</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 retrospective study of 87 Lesions less than 1 cm resected by ESD or EMR found that while complete resection rates trended higher with ESD (94.9%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83.3%,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0.174), it was associated with increased procedural time (26.1</w:t>
      </w:r>
      <w:r>
        <w:rPr>
          <w:rFonts w:hint="eastAsia" w:ascii="Book Antiqua" w:hAnsi="Book Antiqua" w:cs="Book Antiqua"/>
          <w:color w:val="000000"/>
          <w:shd w:val="clear" w:color="auto" w:fill="FFFFFF"/>
          <w:lang w:eastAsia="zh-CN"/>
        </w:rPr>
        <w:t xml:space="preserve"> min</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9.5 </w:t>
      </w:r>
      <w:bookmarkStart w:id="31" w:name="OLE_LINK313"/>
      <w:bookmarkStart w:id="32" w:name="OLE_LINK314"/>
      <w:r>
        <w:rPr>
          <w:rFonts w:hint="eastAsia" w:ascii="Book Antiqua" w:hAnsi="Book Antiqua" w:cs="Book Antiqua"/>
          <w:color w:val="000000"/>
          <w:shd w:val="clear" w:color="auto" w:fill="FFFFFF"/>
          <w:lang w:eastAsia="zh-CN"/>
        </w:rPr>
        <w:t>min</w:t>
      </w:r>
      <w:bookmarkEnd w:id="31"/>
      <w:bookmarkEnd w:id="32"/>
      <w:r>
        <w:rPr>
          <w:rFonts w:ascii="Book Antiqua" w:hAnsi="Book Antiqua" w:eastAsia="Book Antiqua" w:cs="Book Antiqua"/>
          <w:color w:val="000000"/>
          <w:shd w:val="clear" w:color="auto" w:fill="FFFFFF"/>
        </w:rPr>
        <w:t xml:space="preserve">) and a tendency towards higher complications (15%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6%,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0.28)</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For rare type 1 gastric NETs with invasive disease, regional metastases, or grade 3 Lesions, surgery may be considered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Antrectomy is an option in patients with numerous tumors, which may be curative with decreased recurrence compared to endoscopic resection (11%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44%)</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89</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The role of medical therapy with SSAs (lanreotide and octreotide) to suppress gastrin levels as a means to reduce tumor progression remains to be determined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86</w:t>
      </w:r>
      <w:r>
        <w:rPr>
          <w:rFonts w:hint="eastAsia" w:ascii="Book Antiqua" w:hAnsi="Book Antiqua" w:cs="Book Antiqua"/>
          <w:color w:val="000000"/>
          <w:shd w:val="clear" w:color="auto" w:fill="FFFFFF"/>
          <w:vertAlign w:val="superscript"/>
          <w:lang w:eastAsia="zh-CN"/>
        </w:rPr>
        <w:t>]</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w:t>
      </w:r>
    </w:p>
    <w:p>
      <w:pPr>
        <w:spacing w:line="360" w:lineRule="auto"/>
        <w:ind w:firstLine="240" w:firstLineChars="100"/>
        <w:jc w:val="both"/>
      </w:pPr>
      <w:r>
        <w:rPr>
          <w:rFonts w:ascii="Book Antiqua" w:hAnsi="Book Antiqua" w:eastAsia="Book Antiqua" w:cs="Book Antiqua"/>
          <w:color w:val="000000"/>
          <w:shd w:val="clear" w:color="auto" w:fill="FFFFFF"/>
        </w:rPr>
        <w:t>Because type III gastric NETs behave differently from type I and II and are very aggressive tumors, traditionally surgical resection was recommended (Table 3)</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90,91</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However, for small &lt;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 cm well-differentiated lesions without EUS evidence of deep invasion or regional metastases, endoscopic resection may be feasible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92</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 Japanese multi-center study of 144 Lesions (90 G1 and 54 G2) with median size 8 mm compared surgical (81 patients) and endoscopic (63 patients) resection outcomes during long-term follow-up</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93</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Patients undergoing endoscopic resection had smaller lesions confined to the mucosa or submucosa, and 24% of these patients needed subsequent surgical resection. Overall, 5-year survival was similar for both groups, and in the endoscopic resection alone cohort, only one patient developed recurrence with no mortality over median 32-mo follow-up. Another recent study comparing 45 patients undergoing surgical or endoscopic resection found that tumor size greater than 1 cm was associated with lymph node metastases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94</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In a cohort of 50 patients undergoing endoscopic resection (41 EMR and 9 ESD) with a median follow up of 46 mo, mean size was 10 mm with nonsignificant trend towards larger lesions resected with ESD (14.2 mm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9.3 mm) and greater lymphovascular invasion in ESD patients (22.2%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2.4%). However, there was no evidence of tumor recurrence in either group. Of note, all lesions were no deeper than the submucosa layer and well-differentiated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Given the more aggressive biology of type III gastric NETs, ESD may be favored over EMR although further study is needed. The resection approach should be carefully tailored to a patient’s tumor size, depth of invasion, grade and presence of regional metastases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71</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t>
      </w:r>
    </w:p>
    <w:p>
      <w:pPr>
        <w:spacing w:line="360" w:lineRule="auto"/>
        <w:jc w:val="both"/>
      </w:pPr>
    </w:p>
    <w:p>
      <w:pPr>
        <w:spacing w:line="360" w:lineRule="auto"/>
        <w:jc w:val="both"/>
        <w:rPr>
          <w:b/>
          <w:i/>
        </w:rPr>
      </w:pPr>
      <w:r>
        <w:rPr>
          <w:rFonts w:ascii="Book Antiqua" w:hAnsi="Book Antiqua" w:eastAsia="Book Antiqua" w:cs="Book Antiqua"/>
          <w:b/>
          <w:i/>
          <w:color w:val="000000"/>
        </w:rPr>
        <w:t>Duodenum</w:t>
      </w:r>
    </w:p>
    <w:p>
      <w:pPr>
        <w:spacing w:line="360" w:lineRule="auto"/>
        <w:jc w:val="both"/>
        <w:rPr>
          <w:lang w:eastAsia="zh-CN"/>
        </w:rPr>
      </w:pPr>
      <w:r>
        <w:rPr>
          <w:rFonts w:ascii="Book Antiqua" w:hAnsi="Book Antiqua" w:eastAsia="Book Antiqua" w:cs="Book Antiqua"/>
          <w:color w:val="000000"/>
          <w:shd w:val="clear" w:color="auto" w:fill="FFFFFF"/>
        </w:rPr>
        <w:t>Table 3 summarizes evaluation and management of small intestinal (duodenal, ampullary, and jejuno-ileal) NETs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96,97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Nearly 90% of duodenal NETs are non-functional, well-differentiated and incidentally discovered as small, polypoid lesions in the first and second portion of the duodenum (Figure 8)</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88</w:t>
      </w:r>
      <w:r>
        <w:rPr>
          <w:rFonts w:hint="eastAsia" w:ascii="Book Antiqua" w:hAnsi="Book Antiqua" w:cs="Book Antiqua"/>
          <w:color w:val="000000"/>
          <w:shd w:val="clear" w:color="auto" w:fill="FFFFFF"/>
          <w:vertAlign w:val="superscript"/>
          <w:lang w:eastAsia="zh-CN"/>
        </w:rPr>
        <w:t>]</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For small duodenal NETs undergoing EMR, the optimal EMR technique remains unclear (standard, underwater, ligation, ligation without resection) with the main complications being bleeding in up to 20% of patients and perforation. For lesions greater than 2 cm without evidence of metastatic disease, ESD should be reserved for larger lesions because perforation and bleeding appear higher than with EMR or ESD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20,86,98</w:t>
      </w:r>
      <w:r>
        <w:rPr>
          <w:rFonts w:hint="eastAsia" w:ascii="Book Antiqua" w:hAnsi="Book Antiqua" w:cs="Book Antiqua"/>
          <w:color w:val="000000"/>
          <w:shd w:val="clear" w:color="auto" w:fill="FFFFFF"/>
          <w:vertAlign w:val="superscript"/>
          <w:lang w:eastAsia="zh-CN"/>
        </w:rPr>
        <w:t>]</w:t>
      </w:r>
      <w:r>
        <w:rPr>
          <w:rFonts w:hint="eastAsia" w:ascii="Book Antiqua" w:hAnsi="Book Antiqua" w:cs="Book Antiqua"/>
          <w:color w:val="000000"/>
          <w:shd w:val="clear" w:color="auto" w:fill="FFFFFF"/>
          <w:lang w:eastAsia="zh-CN"/>
        </w:rPr>
        <w:t>.</w:t>
      </w:r>
    </w:p>
    <w:p>
      <w:pPr>
        <w:spacing w:line="360" w:lineRule="auto"/>
        <w:ind w:firstLine="240" w:firstLineChars="100"/>
        <w:jc w:val="both"/>
      </w:pPr>
      <w:r>
        <w:rPr>
          <w:rFonts w:ascii="Book Antiqua" w:hAnsi="Book Antiqua" w:eastAsia="Book Antiqua" w:cs="Book Antiqua"/>
          <w:color w:val="000000"/>
        </w:rPr>
        <w:t>The optimal strategy for duodenal NETS between 1</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2 cm remains unclear. A multicenter study of 60 patients found that lesions larger than</w:t>
      </w:r>
      <w:r>
        <w:rPr>
          <w:rFonts w:ascii="Book Antiqua" w:hAnsi="Book Antiqua" w:eastAsia="Book Antiqua" w:cs="Book Antiqua"/>
          <w:color w:val="000000"/>
          <w:shd w:val="clear" w:color="auto" w:fill="FFFFFF"/>
        </w:rPr>
        <w:t xml:space="preserve"> 11 mm had significantly higher rates of lymphovascular invasion and incomplete endoscopic resection with none having complete pathologic resection compared with smaller lesions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99</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Therefore, the authors suggested surgical resection for lesions larger than 11 mm. However, a recent study suggested EMR is efficacious and safe for 1-2 cm lesions without regional or distant metastases with similar overall survival to surgical resection during median 56-mo follow-up</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100</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As expected, patients undergoing EMR were older (72.6 years</w:t>
      </w:r>
      <w:r>
        <w:rPr>
          <w:rFonts w:ascii="Book Antiqua" w:hAnsi="Book Antiqua" w:eastAsia="Book Antiqua" w:cs="Book Antiqua"/>
          <w:i/>
          <w:iCs/>
          <w:color w:val="000000"/>
          <w:shd w:val="clear" w:color="auto" w:fill="FFFFFF"/>
        </w:rPr>
        <w:t xml:space="preserve"> vs</w:t>
      </w:r>
      <w:r>
        <w:rPr>
          <w:rFonts w:ascii="Book Antiqua" w:hAnsi="Book Antiqua" w:eastAsia="Book Antiqua" w:cs="Book Antiqua"/>
          <w:color w:val="000000"/>
          <w:shd w:val="clear" w:color="auto" w:fill="FFFFFF"/>
        </w:rPr>
        <w:t xml:space="preserve"> 59.2 </w:t>
      </w:r>
      <w:bookmarkStart w:id="33" w:name="OLE_LINK14"/>
      <w:bookmarkStart w:id="34" w:name="OLE_LINK13"/>
      <w:r>
        <w:rPr>
          <w:rFonts w:ascii="Book Antiqua" w:hAnsi="Book Antiqua" w:eastAsia="Book Antiqua" w:cs="Book Antiqua"/>
          <w:color w:val="000000"/>
          <w:shd w:val="clear" w:color="auto" w:fill="FFFFFF"/>
        </w:rPr>
        <w:t>years</w:t>
      </w:r>
      <w:bookmarkEnd w:id="33"/>
      <w:bookmarkEnd w:id="34"/>
      <w:r>
        <w:rPr>
          <w:rFonts w:ascii="Book Antiqua" w:hAnsi="Book Antiqua" w:eastAsia="Book Antiqua" w:cs="Book Antiqua"/>
          <w:color w:val="000000"/>
          <w:shd w:val="clear" w:color="auto" w:fill="FFFFFF"/>
        </w:rPr>
        <w:t xml:space="preserve">, respectively) with more node negative disease (89.5%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50%, respectively). The decision to pursue endoscopic or surgical resection should be considered based on local expertise and the individual case. </w:t>
      </w:r>
    </w:p>
    <w:p>
      <w:pPr>
        <w:spacing w:line="360" w:lineRule="auto"/>
        <w:ind w:firstLine="240" w:firstLineChars="100"/>
        <w:jc w:val="both"/>
      </w:pPr>
      <w:r>
        <w:rPr>
          <w:rFonts w:ascii="Book Antiqua" w:hAnsi="Book Antiqua" w:eastAsia="Book Antiqua" w:cs="Book Antiqua"/>
          <w:color w:val="000000"/>
          <w:shd w:val="clear" w:color="auto" w:fill="FFFFFF"/>
        </w:rPr>
        <w:t xml:space="preserve">Ampullary NETs (Table 3) appear different in nature than non-ampullary duodenal NETs, and are often more advanced at presentation (G3 in 17%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2% for duodenal NETs) with higher incidence of lymph node metastasis (34%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10% for duodenal NETs)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101,102</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In a large pathology series of 203 duodenal NETs, most of the 27 NECs occurred in the ampullary region</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103</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While pancreaticoduodenectomy is recommended regardless of size, its morbidity and mortality make endoscopic resection an attractive option. Small ampullary NETs less than 2 cm without muscularis propria invasion or lymph node metastases were completely resected endoscopically in one small study, and 71% had no recurrence during median 56 mo follow-up</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104</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Further studies are needed to understand which patients may be managed with endoscopic ampullectomy. </w:t>
      </w:r>
    </w:p>
    <w:p>
      <w:pPr>
        <w:spacing w:line="360" w:lineRule="auto"/>
        <w:jc w:val="both"/>
        <w:rPr>
          <w:rFonts w:ascii="Book Antiqua" w:hAnsi="Book Antiqua" w:cs="Book Antiqua"/>
          <w:color w:val="000000"/>
          <w:u w:val="single"/>
          <w:shd w:val="clear" w:color="auto" w:fill="FFFFFF"/>
          <w:lang w:eastAsia="zh-CN"/>
        </w:rPr>
      </w:pPr>
    </w:p>
    <w:p>
      <w:pPr>
        <w:spacing w:line="360" w:lineRule="auto"/>
        <w:jc w:val="both"/>
        <w:rPr>
          <w:b/>
          <w:i/>
        </w:rPr>
      </w:pPr>
      <w:r>
        <w:rPr>
          <w:rFonts w:ascii="Book Antiqua" w:hAnsi="Book Antiqua" w:eastAsia="Book Antiqua" w:cs="Book Antiqua"/>
          <w:b/>
          <w:i/>
          <w:color w:val="000000"/>
          <w:shd w:val="clear" w:color="auto" w:fill="FFFFFF"/>
        </w:rPr>
        <w:t>Jejuno-ileal</w:t>
      </w:r>
      <w:r>
        <w:rPr>
          <w:rFonts w:ascii="Book Antiqua" w:hAnsi="Book Antiqua" w:eastAsia="Book Antiqua" w:cs="Book Antiqua"/>
          <w:b/>
          <w:i/>
          <w:color w:val="000000"/>
        </w:rPr>
        <w:t xml:space="preserve"> tumors</w:t>
      </w:r>
    </w:p>
    <w:p>
      <w:pPr>
        <w:spacing w:line="360" w:lineRule="auto"/>
        <w:jc w:val="both"/>
      </w:pPr>
      <w:r>
        <w:rPr>
          <w:rFonts w:ascii="Book Antiqua" w:hAnsi="Book Antiqua" w:eastAsia="Book Antiqua" w:cs="Book Antiqua"/>
          <w:color w:val="000000"/>
          <w:shd w:val="clear" w:color="auto" w:fill="FFFFFF"/>
        </w:rPr>
        <w:t>The true incidence of jejuno-ileal NETs (Table 3) likely remains underappreciated as in autopsy studies, the incidence is much higher (1.2 cases per 100000) than in population studies (0.67 cases per 100000)</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96,105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This implies that many early jejuno-ileal NETs remain undiagnosed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106</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Early diagnosis remains challenging as most patients are asymptomatic or have nonspecific symptoms, and carcinoid syndrome occurs in only 20</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-30% of patients with metastatic disease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106</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Unlike gastric, duodenal and colorectal NETs, incidental diagnosis of jejuno-ileal NETs is unlikely with 89% found in the ileum</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105,107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t>
      </w:r>
    </w:p>
    <w:p>
      <w:pPr>
        <w:spacing w:line="360" w:lineRule="auto"/>
        <w:ind w:firstLine="240" w:firstLineChars="100"/>
        <w:jc w:val="both"/>
      </w:pPr>
      <w:r>
        <w:rPr>
          <w:rFonts w:ascii="Book Antiqua" w:hAnsi="Book Antiqua" w:eastAsia="Book Antiqua" w:cs="Book Antiqua"/>
          <w:color w:val="000000"/>
          <w:shd w:val="clear" w:color="auto" w:fill="FFFFFF"/>
        </w:rPr>
        <w:t>Segmental resection and wide lymphadenectomy is the definitive approach for jejuno-ileal NETs with localized and regional metastatic disease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Intraoperative exploration with small bowel palpation is recommended as up to 70% of pre-operative imaging may understage tumors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109</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This is likely due to limitations of diagnostic imaging including VCE and DBE, which may miss small, multifocal lesions</w:t>
      </w:r>
      <w:r>
        <w:rPr>
          <w:rFonts w:hint="eastAsia" w:ascii="Book Antiqua" w:hAnsi="Book Antiqua" w:cs="Book Antiqua"/>
          <w:color w:val="000000"/>
          <w:shd w:val="clear" w:color="auto" w:fill="FFFFFF"/>
          <w:vertAlign w:val="superscript"/>
          <w:lang w:eastAsia="zh-CN"/>
        </w:rPr>
        <w:t>[52,</w:t>
      </w:r>
      <w:r>
        <w:rPr>
          <w:rFonts w:ascii="Book Antiqua" w:hAnsi="Book Antiqua" w:eastAsia="Book Antiqua" w:cs="Book Antiqua"/>
          <w:color w:val="000000"/>
          <w:szCs w:val="20"/>
          <w:vertAlign w:val="superscript"/>
        </w:rPr>
        <w:t>110</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For patients with distant metastatic disease, surgical resection of the primary tumor may still be considered to alleviate symptoms resulting from the lesion (for example, obstructive symptoms or bleeding), to achieve potential cure if the distant metastases may be completely resected as well, and to improve outcome although data on this is mixed and further study is needed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106</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t>
      </w:r>
    </w:p>
    <w:p>
      <w:pPr>
        <w:spacing w:line="360" w:lineRule="auto"/>
        <w:jc w:val="both"/>
        <w:rPr>
          <w:rFonts w:ascii="Book Antiqua" w:hAnsi="Book Antiqua" w:cs="Book Antiqua"/>
          <w:b/>
          <w:i/>
          <w:color w:val="000000"/>
          <w:lang w:eastAsia="zh-CN"/>
        </w:rPr>
      </w:pPr>
    </w:p>
    <w:p>
      <w:pPr>
        <w:spacing w:line="360" w:lineRule="auto"/>
        <w:jc w:val="both"/>
        <w:rPr>
          <w:b/>
          <w:i/>
        </w:rPr>
      </w:pPr>
      <w:r>
        <w:rPr>
          <w:rFonts w:ascii="Book Antiqua" w:hAnsi="Book Antiqua" w:eastAsia="Book Antiqua" w:cs="Book Antiqua"/>
          <w:b/>
          <w:i/>
          <w:color w:val="000000"/>
        </w:rPr>
        <w:t xml:space="preserve">Appendiceal </w:t>
      </w:r>
      <w:r>
        <w:rPr>
          <w:rFonts w:hint="eastAsia" w:ascii="Book Antiqua" w:hAnsi="Book Antiqua" w:cs="Book Antiqua"/>
          <w:b/>
          <w:i/>
          <w:color w:val="000000"/>
          <w:lang w:eastAsia="zh-CN"/>
        </w:rPr>
        <w:t>t</w:t>
      </w:r>
      <w:r>
        <w:rPr>
          <w:rFonts w:ascii="Book Antiqua" w:hAnsi="Book Antiqua" w:eastAsia="Book Antiqua" w:cs="Book Antiqua"/>
          <w:b/>
          <w:i/>
          <w:color w:val="000000"/>
        </w:rPr>
        <w:t xml:space="preserve">umors </w:t>
      </w:r>
    </w:p>
    <w:p>
      <w:pPr>
        <w:spacing w:line="360" w:lineRule="auto"/>
        <w:jc w:val="both"/>
      </w:pPr>
      <w:r>
        <w:rPr>
          <w:rFonts w:ascii="Book Antiqua" w:hAnsi="Book Antiqua" w:eastAsia="Book Antiqua" w:cs="Book Antiqua"/>
          <w:color w:val="000000"/>
        </w:rPr>
        <w:t>Traditionally appendiceal NETs were the most common appendiceal tumors although recent data suggests mucinous neoplasms may have surpassed them</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111,112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Most present incidentally and are asymptomatic as the majority are located in the distal one-third of the appendix rather than the base. Because risk of metastases correlates with tumor size, recommendations for evaluation and management vary depending on the size (Tables 4</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5). However, a study of 418 patients noted that risk of nodal metastases was affected by age, depth of invasion, extent of surgery as well as tumor size with 0.89 area under the curve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Another study analyzing 435 patients found that tumor size &gt;</w:t>
      </w:r>
      <w:r>
        <w:rPr>
          <w:rFonts w:hint="eastAsia" w:ascii="Book Antiqua" w:hAnsi="Book Antiqua" w:cs="Book Antiqua"/>
          <w:color w:val="000000"/>
          <w:lang w:eastAsia="zh-CN"/>
        </w:rPr>
        <w:t xml:space="preserve"> </w:t>
      </w:r>
      <w:r>
        <w:rPr>
          <w:rFonts w:ascii="Book Antiqua" w:hAnsi="Book Antiqua" w:eastAsia="Book Antiqua" w:cs="Book Antiqua"/>
          <w:color w:val="000000"/>
        </w:rPr>
        <w:t>1.5 cm, G2 grade, lymphovascular infiltration, and mesoappendiceal invasion were associated with nodal metastasis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114</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Therefore, some guidelines suggest right hemicolectomy for 1-2 cm tumors with any of these high-risk features. However, in a study of 916 patients with 1-2 cm NETs, right hemicolectomy was not associated with increased survival despite being associated with larger and higher stage tumors (hazard ratio</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 1.14, </w:t>
      </w:r>
      <w:r>
        <w:rPr>
          <w:rFonts w:ascii="Book Antiqua" w:hAnsi="Book Antiqua" w:eastAsia="Book Antiqua" w:cs="Book Antiqua"/>
          <w:i/>
          <w:iCs/>
          <w:color w:val="000000"/>
        </w:rPr>
        <w:t>P</w:t>
      </w:r>
      <w:r>
        <w:rPr>
          <w:rFonts w:ascii="Book Antiqua" w:hAnsi="Book Antiqua" w:eastAsia="Book Antiqua" w:cs="Book Antiqua"/>
          <w:color w:val="000000"/>
        </w:rPr>
        <w:t xml:space="preserve"> = 0.72)</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most appropriate surgical approach for appendiceal NETs especially between 1-2 cm remains unclear as well as the definitive triggers to send a patient for completion right hemicolectomy. </w:t>
      </w:r>
    </w:p>
    <w:p>
      <w:pPr>
        <w:spacing w:line="360" w:lineRule="auto"/>
        <w:jc w:val="both"/>
        <w:rPr>
          <w:rFonts w:ascii="Book Antiqua" w:hAnsi="Book Antiqua" w:cs="Book Antiqua"/>
          <w:color w:val="000000"/>
          <w:u w:val="single"/>
          <w:lang w:eastAsia="zh-CN"/>
        </w:rPr>
      </w:pPr>
    </w:p>
    <w:p>
      <w:pPr>
        <w:spacing w:line="360" w:lineRule="auto"/>
        <w:jc w:val="both"/>
        <w:rPr>
          <w:b/>
          <w:i/>
        </w:rPr>
      </w:pPr>
      <w:r>
        <w:rPr>
          <w:rFonts w:ascii="Book Antiqua" w:hAnsi="Book Antiqua" w:eastAsia="Book Antiqua" w:cs="Book Antiqua"/>
          <w:b/>
          <w:i/>
          <w:color w:val="000000"/>
        </w:rPr>
        <w:t xml:space="preserve">Colonic neuroendocrine tumors </w:t>
      </w:r>
    </w:p>
    <w:p>
      <w:pPr>
        <w:spacing w:line="360" w:lineRule="auto"/>
        <w:jc w:val="both"/>
      </w:pPr>
      <w:r>
        <w:rPr>
          <w:rFonts w:ascii="Book Antiqua" w:hAnsi="Book Antiqua" w:eastAsia="Book Antiqua" w:cs="Book Antiqua"/>
          <w:color w:val="000000"/>
        </w:rPr>
        <w:t>With increased colon cancer screening, the incidence of colonic NETs has increased dramatically from 0.02 to 0.2 per 100000 people in the United States between 1973 to 2004</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majority are high-grade, poorly differentiated lesions that typically occur in the right colon (70%), especially in the cecum</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117,118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Well-differentiated colonic NETs have significantly worse prognosis than well-differentiated NETs anywhere else in the GI tract. A recent study using the SEER database developed a novel nomogram to predict survival incorporating patient’s age ≥ 68 years, sex, tumor size, grade, chemotherapy, N stage and M stage. This outperformed the traditional TNM staging system in predicting overall survival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119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 xml:space="preserve">With aggressive behavior and poor survival outcomes, colonic NETs require multidisciplinary care (Table 5). </w:t>
      </w:r>
      <w:r>
        <w:rPr>
          <w:rFonts w:ascii="Book Antiqua" w:hAnsi="Book Antiqua" w:eastAsia="Book Antiqua" w:cs="Book Antiqua"/>
          <w:color w:val="000000"/>
          <w:shd w:val="clear" w:color="auto" w:fill="FFFFFF"/>
        </w:rPr>
        <w:t>Tumors &lt;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2 cm may be considered for endoscopic resection, however surgery is required for incomplete resection or high-grade pathology</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116</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Very little data exists about the efficacy and safety of ESD with one study including only 6 non-rectal, colonic NETs. This study demonstrated that non-rectal NETs were significantly associated with risk of non-R0 resection and while complications were higher, this was not significant compared with ESD of rectal NETs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120</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On the other end of the spectrum in patients with metastatic disease, chemotherapy can also be utilized</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117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Survival improved with chemotherapy alone, surgery alone and even more with the combination of surgery and chemotherapy (5-year survival 37% for combination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32% surgery alone, </w:t>
      </w:r>
      <w:r>
        <w:rPr>
          <w:rFonts w:ascii="Book Antiqua" w:hAnsi="Book Antiqua" w:eastAsia="Book Antiqua" w:cs="Book Antiqua"/>
          <w:i/>
          <w:color w:val="000000"/>
          <w:shd w:val="clear" w:color="auto" w:fill="FFFFFF"/>
        </w:rPr>
        <w:t>P</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&lt;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0.001)</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121</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However, other studies noted that surgery did not provide significant survival benefit in localized and metastatic disease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122,123</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Further study is necessary to understand the optimal treatment combination as well as role of immunotherapy. </w:t>
      </w:r>
    </w:p>
    <w:p>
      <w:pPr>
        <w:spacing w:line="360" w:lineRule="auto"/>
        <w:jc w:val="both"/>
        <w:rPr>
          <w:rFonts w:ascii="Book Antiqua" w:hAnsi="Book Antiqua" w:cs="Book Antiqua"/>
          <w:color w:val="000000"/>
          <w:u w:val="single"/>
          <w:lang w:eastAsia="zh-CN"/>
        </w:rPr>
      </w:pPr>
    </w:p>
    <w:p>
      <w:pPr>
        <w:spacing w:line="360" w:lineRule="auto"/>
        <w:jc w:val="both"/>
        <w:rPr>
          <w:b/>
          <w:i/>
        </w:rPr>
      </w:pPr>
      <w:r>
        <w:rPr>
          <w:rFonts w:ascii="Book Antiqua" w:hAnsi="Book Antiqua" w:eastAsia="Book Antiqua" w:cs="Book Antiqua"/>
          <w:b/>
          <w:i/>
          <w:color w:val="000000"/>
        </w:rPr>
        <w:t xml:space="preserve">Rectal neuroendocrine tumors </w:t>
      </w:r>
    </w:p>
    <w:p>
      <w:pPr>
        <w:spacing w:line="360" w:lineRule="auto"/>
        <w:jc w:val="both"/>
      </w:pPr>
      <w:r>
        <w:rPr>
          <w:rFonts w:ascii="Book Antiqua" w:hAnsi="Book Antiqua" w:eastAsia="Book Antiqua" w:cs="Book Antiqua"/>
          <w:color w:val="000000"/>
        </w:rPr>
        <w:t>Similar to colonic NETs, rectal NETs have been increasingly diagnosed with improved screening colonoscopy rates, experiencing a 10-fold rise in incidence over the past 30 years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124,125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They are more common in women in the United States although in Korea men are more likely to have rectal NETs. In the United States, Asian and African American patients have higher incidence than Caucasians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126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majority (70</w:t>
      </w:r>
      <w:r>
        <w:rPr>
          <w:rFonts w:hint="eastAsia" w:ascii="Book Antiqua" w:hAnsi="Book Antiqua" w:cs="Book Antiqua"/>
          <w:color w:val="000000"/>
          <w:lang w:eastAsia="zh-CN"/>
        </w:rPr>
        <w:t>%</w:t>
      </w:r>
      <w:r>
        <w:rPr>
          <w:rFonts w:ascii="Book Antiqua" w:hAnsi="Book Antiqua" w:eastAsia="Book Antiqua" w:cs="Book Antiqua"/>
          <w:color w:val="000000"/>
        </w:rPr>
        <w:t>-88%) of rectal NETs are small (&lt;</w:t>
      </w:r>
      <w:r>
        <w:rPr>
          <w:rFonts w:hint="eastAsia" w:ascii="Book Antiqua" w:hAnsi="Book Antiqua" w:cs="Book Antiqua"/>
          <w:color w:val="000000"/>
          <w:lang w:eastAsia="zh-CN"/>
        </w:rPr>
        <w:t xml:space="preserve"> </w:t>
      </w:r>
      <w:r>
        <w:rPr>
          <w:rFonts w:ascii="Book Antiqua" w:hAnsi="Book Antiqua" w:eastAsia="Book Antiqua" w:cs="Book Antiqua"/>
          <w:color w:val="000000"/>
        </w:rPr>
        <w:t>1 cm) and localized at the time of diagnosis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124,127</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Lymph node metastasis occurs in about 2% and distant metastases in about 8% of rectal NETs at diagnosis. Tumor size, depth of invasion, grade and lymphovascular invasion all affect prognosis. Regarding tumor size, it appears to correlate with metastasis at the time of diagnosis (3%, 66%, and 73% metastases with tumor size </w:t>
      </w:r>
      <w:r>
        <w:rPr>
          <w:rFonts w:ascii="Book Antiqua" w:hAnsi="Book Antiqua" w:eastAsia="Book Antiqua" w:cs="Book Antiqua"/>
          <w:color w:val="000000"/>
          <w:shd w:val="clear" w:color="auto" w:fill="FFFFFF"/>
        </w:rPr>
        <w: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 cm, 1-1.9 cm, and ≥ 2 cm, respectively)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128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 study using the SEER database of 788 patients with T1 rectal NETs noted tumor size and submucosal invasion were predictive of metastasis, and no tumors ≤ 19</w:t>
      </w:r>
      <w:r>
        <w:rPr>
          <w:rFonts w:hint="eastAsia" w:ascii="Book Antiqua" w:hAnsi="Book Antiqua" w:cs="Book Antiqua"/>
          <w:color w:val="000000"/>
          <w:lang w:eastAsia="zh-CN"/>
        </w:rPr>
        <w:t xml:space="preserve"> </w:t>
      </w:r>
      <w:r>
        <w:rPr>
          <w:rFonts w:ascii="Book Antiqua" w:hAnsi="Book Antiqua" w:eastAsia="Book Antiqua" w:cs="Book Antiqua"/>
          <w:color w:val="000000"/>
        </w:rPr>
        <w:t>mm without submucosal invasion had metastases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129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At diagnosis, 1.5% of patients had metastases with 1.1% in tumors ≤ 10</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mm and 6.6% in NETs 11-19 mm. </w:t>
      </w:r>
    </w:p>
    <w:p>
      <w:pPr>
        <w:spacing w:line="360" w:lineRule="auto"/>
        <w:ind w:firstLine="240" w:firstLineChars="100"/>
        <w:jc w:val="both"/>
      </w:pPr>
      <w:r>
        <w:rPr>
          <w:rFonts w:ascii="Book Antiqua" w:hAnsi="Book Antiqua" w:eastAsia="Book Antiqua" w:cs="Book Antiqua"/>
          <w:color w:val="000000"/>
        </w:rPr>
        <w:t>Usually, rectal NETs are not recognized before polypectomy by the endoscopist and only later discovered when pathology returns. If the endoscopist is suspicious of a rectal NET during the procedure, biopsies can be obtained with photograph documentation and tattoo adjacent to the lesion. In terms of treatment, endoscopic resection should be performed for lesions smaller than 1 cm without invasion beyond the submucosa. Options include EMR, EMR band ligation, and ESD; however, given the greater procedure time and complications with ESD, EMR or EMR band ligation are preferred. A prospective study comparing EMR band ligation (</w:t>
      </w:r>
      <w:r>
        <w:rPr>
          <w:rFonts w:ascii="Book Antiqua" w:hAnsi="Book Antiqua" w:eastAsia="Book Antiqua" w:cs="Book Antiqua"/>
          <w:i/>
          <w:iCs/>
          <w:color w:val="000000"/>
        </w:rPr>
        <w:t>n</w:t>
      </w:r>
      <w:r>
        <w:rPr>
          <w:rFonts w:ascii="Book Antiqua" w:hAnsi="Book Antiqua" w:eastAsia="Book Antiqua" w:cs="Book Antiqua"/>
          <w:color w:val="000000"/>
        </w:rPr>
        <w:t xml:space="preserve"> = 53) to ESD (</w:t>
      </w:r>
      <w:r>
        <w:rPr>
          <w:rFonts w:ascii="Book Antiqua" w:hAnsi="Book Antiqua" w:eastAsia="Book Antiqua" w:cs="Book Antiqua"/>
          <w:i/>
          <w:iCs/>
          <w:color w:val="000000"/>
        </w:rPr>
        <w:t>n</w:t>
      </w:r>
      <w:r>
        <w:rPr>
          <w:rFonts w:ascii="Book Antiqua" w:hAnsi="Book Antiqua" w:eastAsia="Book Antiqua" w:cs="Book Antiqua"/>
          <w:color w:val="000000"/>
        </w:rPr>
        <w:t xml:space="preserve"> = 24) in lesions ≤ </w:t>
      </w:r>
      <w:r>
        <w:rPr>
          <w:rFonts w:ascii="Book Antiqua" w:hAnsi="Book Antiqua" w:eastAsia="Book Antiqua" w:cs="Book Antiqua"/>
          <w:color w:val="000000"/>
          <w:shd w:val="clear" w:color="auto" w:fill="FFFFFF"/>
        </w:rPr>
        <w:t xml:space="preserve">10 mm demonstrated the superiority of EMR band ligation with higher complete resection rates (100%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54.2%,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130</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In addition to 100% negative margins, EMR band ligation was associated with shorter procedure times (5.3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17.9 min,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 Similarly, a retrospective study of 82 tumors &lt; 10</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mm reported higher complete resection rates with EMR band ligation compared to ESD (95% and 75%,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0.025) with shorter procedure times</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131</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 recent retrospective comparative study of underwater EMR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36) to ESD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79) found no difference in achieving R0 resection for lesions </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10</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132</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Yet underwater EMR was associated with a significantly shorter procedure time (5.8</w:t>
      </w:r>
      <w:r>
        <w:rPr>
          <w:rFonts w:hint="eastAsia" w:ascii="Book Antiqua" w:hAnsi="Book Antiqua" w:cs="Book Antiqua"/>
          <w:color w:val="000000"/>
          <w:shd w:val="clear" w:color="auto" w:fill="FFFFFF"/>
          <w:lang w:eastAsia="zh-CN"/>
        </w:rPr>
        <w:t xml:space="preserve"> min</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26.6 min,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 0.0001) and no adverse events while there were two cases of delayed bleeding and minor perforation in the ESD group. Therefore, for small rectal NETs &lt;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1 cm, EMR band ligation is the endoscopic method of choice while underwater EMR may be considered as well. </w:t>
      </w:r>
    </w:p>
    <w:p>
      <w:pPr>
        <w:spacing w:line="360" w:lineRule="auto"/>
        <w:ind w:firstLine="240" w:firstLineChars="100"/>
        <w:jc w:val="both"/>
        <w:rPr>
          <w:lang w:eastAsia="zh-CN"/>
        </w:rPr>
      </w:pPr>
      <w:r>
        <w:rPr>
          <w:rFonts w:ascii="Book Antiqua" w:hAnsi="Book Antiqua" w:eastAsia="Book Antiqua" w:cs="Book Antiqua"/>
          <w:color w:val="000000"/>
        </w:rPr>
        <w:t>If incomplete resection occurs, then salvage therapy with ESD or transanal endoscopic microsurgery should be pursued to minimize recurrence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133,134</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Optimal management for rectal NETs 1-2 cm remains uncertain. NANETS recommends transanal excision although noted this could be considered after endoscopic resection if that resulted in positive margins. ESD may have a role and may be preferred to cap-assisted EMR as higher complete resection (100% </w:t>
      </w:r>
      <w:r>
        <w:rPr>
          <w:rFonts w:ascii="Book Antiqua" w:hAnsi="Book Antiqua" w:eastAsia="Book Antiqua" w:cs="Book Antiqua"/>
          <w:i/>
          <w:iCs/>
          <w:color w:val="000000"/>
        </w:rPr>
        <w:t>vs</w:t>
      </w:r>
      <w:r>
        <w:rPr>
          <w:rFonts w:ascii="Book Antiqua" w:hAnsi="Book Antiqua" w:eastAsia="Book Antiqua" w:cs="Book Antiqua"/>
          <w:color w:val="000000"/>
        </w:rPr>
        <w:t xml:space="preserve"> 70%) and lower recurrence (0% </w:t>
      </w:r>
      <w:r>
        <w:rPr>
          <w:rFonts w:ascii="Book Antiqua" w:hAnsi="Book Antiqua" w:eastAsia="Book Antiqua" w:cs="Book Antiqua"/>
          <w:i/>
          <w:iCs/>
          <w:color w:val="000000"/>
        </w:rPr>
        <w:t>vs</w:t>
      </w:r>
      <w:r>
        <w:rPr>
          <w:rFonts w:ascii="Book Antiqua" w:hAnsi="Book Antiqua" w:eastAsia="Book Antiqua" w:cs="Book Antiqua"/>
          <w:color w:val="000000"/>
        </w:rPr>
        <w:t xml:space="preserve"> 17%) was achieved with ESD</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135</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However, ESD may not be the ideal approach in patients with lymphovascular invasion, grade 2, and/or positive margins as distant metastasis occurred in 2.5% following ESD of small (&lt;</w:t>
      </w:r>
      <w:r>
        <w:rPr>
          <w:rFonts w:hint="eastAsia" w:ascii="Book Antiqua" w:hAnsi="Book Antiqua" w:cs="Book Antiqua"/>
          <w:color w:val="000000"/>
          <w:lang w:eastAsia="zh-CN"/>
        </w:rPr>
        <w:t xml:space="preserve"> </w:t>
      </w:r>
      <w:r>
        <w:rPr>
          <w:rFonts w:ascii="Book Antiqua" w:hAnsi="Book Antiqua" w:eastAsia="Book Antiqua" w:cs="Book Antiqua"/>
          <w:color w:val="000000"/>
        </w:rPr>
        <w:t>2 cm) rectal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0"/>
          <w:vertAlign w:val="superscript"/>
        </w:rPr>
        <w:t>120</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rPr>
        <w:t xml:space="preserve"> With advanced metastatic disease, palliative surgery and systemic therapies should considered through a multidisciplinary approach considering availability of local resources.</w:t>
      </w:r>
    </w:p>
    <w:p>
      <w:pPr>
        <w:spacing w:line="360" w:lineRule="auto"/>
        <w:jc w:val="both"/>
        <w:rPr>
          <w:rFonts w:ascii="Book Antiqua" w:hAnsi="Book Antiqua" w:cs="Book Antiqua"/>
          <w:color w:val="000000"/>
          <w:u w:val="single"/>
          <w:lang w:eastAsia="zh-CN"/>
        </w:rPr>
      </w:pPr>
    </w:p>
    <w:p>
      <w:pPr>
        <w:spacing w:line="360" w:lineRule="auto"/>
        <w:jc w:val="both"/>
        <w:rPr>
          <w:b/>
          <w:i/>
        </w:rPr>
      </w:pPr>
      <w:r>
        <w:rPr>
          <w:rFonts w:ascii="Book Antiqua" w:hAnsi="Book Antiqua" w:eastAsia="Book Antiqua" w:cs="Book Antiqua"/>
          <w:b/>
          <w:i/>
          <w:color w:val="000000"/>
        </w:rPr>
        <w:t>Pancreas</w:t>
      </w:r>
    </w:p>
    <w:p>
      <w:pPr>
        <w:spacing w:line="360" w:lineRule="auto"/>
        <w:jc w:val="both"/>
        <w:rPr>
          <w:lang w:eastAsia="zh-CN"/>
        </w:rPr>
      </w:pPr>
      <w:r>
        <w:rPr>
          <w:rFonts w:ascii="Book Antiqua" w:hAnsi="Book Antiqua" w:eastAsia="Book Antiqua" w:cs="Book Antiqua"/>
          <w:color w:val="000000"/>
        </w:rPr>
        <w:t>Pancreatic NETs make up 16% of GEP-NETs with annual incidence of 0.5 per 100000 people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6,9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majority are sporadic and malignant with metastatic disease present in 60% of patients at the time of diagnosis (Table 6)</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96,136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If there are no distant metastases or if the metastatic disease is resectable (for example, isolated hepatic metastases), surgery is the primary method of treatment for all functioning pancreatic NETS, irrespective of size (Figure 9). It is also recommended for localized (confined to the pancreas and regional lymph nodes) nonfunctioning pancreatic NETs greater than 2 cm. Lesions less than 1 cm can safely undergo surveillance in the absence of symptoms and pancreatic duct dilation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137</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In a cohort comparing nonoperative and operative management of nonfunctioning NETs less than 1 cm, there was no difference in mortality or disease progression over median 45-mo follow up with surgical patients experiencing relatively high 46% rate of complications postoperatively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138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p>
    <w:p>
      <w:pPr>
        <w:spacing w:line="360" w:lineRule="auto"/>
        <w:ind w:firstLine="240" w:firstLineChars="100"/>
        <w:jc w:val="both"/>
        <w:rPr>
          <w:lang w:eastAsia="zh-CN"/>
        </w:rPr>
      </w:pPr>
      <w:r>
        <w:rPr>
          <w:rFonts w:ascii="Book Antiqua" w:hAnsi="Book Antiqua" w:eastAsia="Book Antiqua" w:cs="Book Antiqua"/>
          <w:color w:val="000000"/>
        </w:rPr>
        <w:t xml:space="preserve">However, observation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surgery for nonfunctioning pancreatic NETs measuring between 1-2 cm remains controversial. Several studies have supported observation, as smaller tumor size correlates with lower malignancy potential</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138–141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On the other hand, other studies have suggested surgery is superior</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142–145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One study that followed 39 resected lesions less than 2 cm for a median 34.2 mo found that 7.7% developed late metastasis or recurrence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Two other comparative studies supported surgical resection for pancreatic NETs less than 2 cm, as five-year overall survival rates were greater than the observation group (82.2</w:t>
      </w:r>
      <w:r>
        <w:rPr>
          <w:rFonts w:hint="eastAsia" w:ascii="Book Antiqua" w:hAnsi="Book Antiqua" w:cs="Book Antiqua"/>
          <w:color w:val="000000"/>
          <w:lang w:eastAsia="zh-CN"/>
        </w:rPr>
        <w:t>%</w:t>
      </w:r>
      <w:r>
        <w:rPr>
          <w:rFonts w:ascii="Book Antiqua" w:hAnsi="Book Antiqua" w:eastAsia="Book Antiqua" w:cs="Book Antiqua"/>
          <w:color w:val="000000"/>
        </w:rPr>
        <w:t xml:space="preserve">-92.8% </w:t>
      </w:r>
      <w:r>
        <w:rPr>
          <w:rFonts w:ascii="Book Antiqua" w:hAnsi="Book Antiqua" w:eastAsia="Book Antiqua" w:cs="Book Antiqua"/>
          <w:i/>
          <w:iCs/>
          <w:color w:val="000000"/>
        </w:rPr>
        <w:t>vs</w:t>
      </w:r>
      <w:r>
        <w:rPr>
          <w:rFonts w:ascii="Book Antiqua" w:hAnsi="Book Antiqua" w:eastAsia="Book Antiqua" w:cs="Book Antiqua"/>
          <w:color w:val="000000"/>
        </w:rPr>
        <w:t xml:space="preserve"> 34.3</w:t>
      </w:r>
      <w:r>
        <w:rPr>
          <w:rFonts w:hint="eastAsia" w:ascii="Book Antiqua" w:hAnsi="Book Antiqua" w:cs="Book Antiqua"/>
          <w:color w:val="000000"/>
          <w:lang w:eastAsia="zh-CN"/>
        </w:rPr>
        <w:t>%</w:t>
      </w:r>
      <w:r>
        <w:rPr>
          <w:rFonts w:ascii="Book Antiqua" w:hAnsi="Book Antiqua" w:eastAsia="Book Antiqua" w:cs="Book Antiqua"/>
          <w:color w:val="000000"/>
        </w:rPr>
        <w:t>-67.4%, respectively)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142,145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Regardless of tumor size, if surgery is pursued, follow up with cross-sectional imaging is recommended annually for the first three years then every two years for a total of 10 years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p>
    <w:p>
      <w:pPr>
        <w:spacing w:line="360" w:lineRule="auto"/>
        <w:ind w:firstLine="240" w:firstLineChars="100"/>
        <w:jc w:val="both"/>
      </w:pPr>
      <w:r>
        <w:rPr>
          <w:rFonts w:ascii="Book Antiqua" w:hAnsi="Book Antiqua" w:eastAsia="Book Antiqua" w:cs="Book Antiqua"/>
          <w:color w:val="000000"/>
        </w:rPr>
        <w:t>EUS-guided radiofrequency ablation (RFA) has recently been studied as a potentially safe and minimally invasive treatment option. Through the use of targeted electromagnetic energy and alternating high-frequency currents, EUS-RFA induces coagulative necrosis, fibrotic changes, and a delayed immune response to the pancreatic tissue of interest</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147</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Only a few human studies have investigated treatment outcomes, but have demonstrated feasible and promising results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148,149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In one study, 18 patients (including seven insulinomas and 11 non-functioning lesions) with a mean diameter of 1.4 cm demonstrated no signs of recurrence during mean follow-up of 8.7 mo</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Furthermore, all seven patients with insulinomas had normalization of glucose within 24 h of EUS-RFA. A prospective multicenter study of 14 pancreatic NETs (G1 </w:t>
      </w:r>
      <w:r>
        <w:rPr>
          <w:rFonts w:hint="eastAsia" w:ascii="Book Antiqua" w:hAnsi="Book Antiqua" w:cs="Book Antiqua"/>
          <w:color w:val="000000"/>
          <w:lang w:eastAsia="zh-CN"/>
        </w:rPr>
        <w:t>l</w:t>
      </w:r>
      <w:r>
        <w:rPr>
          <w:rFonts w:ascii="Book Antiqua" w:hAnsi="Book Antiqua" w:eastAsia="Book Antiqua" w:cs="Book Antiqua"/>
          <w:color w:val="000000"/>
        </w:rPr>
        <w:t>esions with median size 1.3 cm) found that 12 (85.7%) lesions completely resolved at 12 mo follow up</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148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other two lesions were considered treatment failures with one increasing by 3 mm and the other remaining unchanged in size. A recent video case report used EUS-guided microwave ablation to safely and effectively treat a symptomatic inoperable pancreatic neck NET (35 </w:t>
      </w:r>
      <w:r>
        <w:rPr>
          <w:rFonts w:ascii="Book Antiqua" w:hAnsi="Book Antiqua" w:eastAsia="Book Antiqua"/>
          <w:color w:val="000000"/>
        </w:rPr>
        <w:t>×</w:t>
      </w:r>
      <w:r>
        <w:rPr>
          <w:rFonts w:ascii="Book Antiqua" w:hAnsi="Book Antiqua" w:eastAsia="Book Antiqua" w:cs="Book Antiqua"/>
          <w:color w:val="000000"/>
        </w:rPr>
        <w:t xml:space="preserve"> 32</w:t>
      </w:r>
      <w:r>
        <w:rPr>
          <w:rFonts w:hint="eastAsia" w:ascii="Book Antiqua" w:hAnsi="Book Antiqua" w:cs="Book Antiqua"/>
          <w:color w:val="000000"/>
          <w:lang w:eastAsia="zh-CN"/>
        </w:rPr>
        <w:t xml:space="preserve"> </w:t>
      </w:r>
      <w:r>
        <w:rPr>
          <w:rFonts w:ascii="Book Antiqua" w:hAnsi="Book Antiqua" w:eastAsia="Book Antiqua" w:cs="Book Antiqua"/>
          <w:color w:val="000000"/>
        </w:rPr>
        <w:t>mm) invading the splenic artery without any complications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Further prospective and longer-term studies are needed to determine how this technology may improve patient outcomes and how it fits into the treatment algorithm.</w:t>
      </w:r>
    </w:p>
    <w:p>
      <w:pPr>
        <w:spacing w:line="360" w:lineRule="auto"/>
        <w:ind w:firstLine="240" w:firstLineChars="100"/>
        <w:jc w:val="both"/>
        <w:rPr>
          <w:lang w:eastAsia="zh-CN"/>
        </w:rPr>
      </w:pPr>
      <w:r>
        <w:rPr>
          <w:rFonts w:ascii="Book Antiqua" w:hAnsi="Book Antiqua" w:eastAsia="Book Antiqua" w:cs="Book Antiqua"/>
          <w:color w:val="000000"/>
        </w:rPr>
        <w:t>For patients with isolated liver metastases, optimal management remains uncertain in the absence of randomized controlled studies and ranges from surgical resection of all visible metastatic disease to local therapy with ablation. Candidates for resection of liver metastases include those with isolated unilobar disease, preserved liver function and well-differentiated pathology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However, even patients with bilobar disease could undergo multiple wedge resections and/or hepatectomy provided at least 20 percent of the total liver volume remains preserved. Five-year survival rates ranging from 85% to 90% have been reported with selected patients undergoing curative resection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152,153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However, recurrence rates are as high as 54% despite negative margins, which implies that preoperative imaging misses small metastatic disease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154</w:t>
      </w:r>
      <w:r>
        <w:rPr>
          <w:rFonts w:hint="eastAsia" w:ascii="Book Antiqua" w:hAnsi="Book Antiqua" w:cs="Book Antiqua"/>
          <w:color w:val="000000"/>
          <w:vertAlign w:val="superscript"/>
          <w:lang w:eastAsia="zh-CN"/>
        </w:rPr>
        <w:t>]</w:t>
      </w:r>
      <w:r>
        <w:rPr>
          <w:rFonts w:hint="eastAsia" w:ascii="Book Antiqua" w:hAnsi="Book Antiqua" w:cs="Book Antiqua"/>
          <w:color w:val="000000"/>
          <w:lang w:eastAsia="zh-CN"/>
        </w:rPr>
        <w:t>.</w:t>
      </w:r>
    </w:p>
    <w:p>
      <w:pPr>
        <w:spacing w:line="360" w:lineRule="auto"/>
        <w:ind w:firstLine="240" w:firstLineChars="100"/>
        <w:jc w:val="both"/>
      </w:pPr>
      <w:r>
        <w:rPr>
          <w:rFonts w:ascii="Book Antiqua" w:hAnsi="Book Antiqua" w:eastAsia="Book Antiqua" w:cs="Book Antiqua"/>
          <w:color w:val="000000"/>
        </w:rPr>
        <w:t>Whether the primary tumor should be resected as well in these patients remains debated although retrospective studies suggest improved survival with this approach</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Ablation is mainly effective for small (&lt;</w:t>
      </w:r>
      <w:r>
        <w:rPr>
          <w:rFonts w:hint="eastAsia" w:ascii="Book Antiqua" w:hAnsi="Book Antiqua" w:cs="Book Antiqua"/>
          <w:color w:val="000000"/>
          <w:lang w:eastAsia="zh-CN"/>
        </w:rPr>
        <w:t xml:space="preserve"> </w:t>
      </w:r>
      <w:r>
        <w:rPr>
          <w:rFonts w:ascii="Book Antiqua" w:hAnsi="Book Antiqua" w:eastAsia="Book Antiqua" w:cs="Book Antiqua"/>
          <w:color w:val="000000"/>
        </w:rPr>
        <w:t>3 cm) lesions and includes RFA, cryoablation and microwave ablation with a more favorable morbidity profile than surgery or hepatic arterial embolization. The optimal use of this technique remains unclear although it is often used as an adjunct to surgical resection especially when complete resection of multifocal or bilateral disease is not feasible or in patients who have already undergone hepatic resection. Comparative studies remain limited with one nonrandomized study suggesting high overall 5-year survival (84%) following RFA compared to surgery (90%)</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If RFA is contraindicated (especially for lesions near the liver surface or adjacent to vital structure) or technically not possible, cryoablation can be used</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While cryoablation is relatively underutilized, a small case series demonstrated 77.8% complete response and 22.2% partial response in 9 patients undergoing ablation with a median follow of 7 mo</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157</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Cryoablation may be considered in technically challenging tumor locations. Further studies are needed to delineate its role relative to other ablative techniques. </w:t>
      </w:r>
    </w:p>
    <w:p>
      <w:pPr>
        <w:spacing w:line="360" w:lineRule="auto"/>
        <w:ind w:firstLine="240" w:firstLineChars="100"/>
        <w:jc w:val="both"/>
      </w:pPr>
      <w:r>
        <w:rPr>
          <w:rFonts w:ascii="Book Antiqua" w:hAnsi="Book Antiqua" w:eastAsia="Book Antiqua" w:cs="Book Antiqua"/>
          <w:color w:val="000000"/>
        </w:rPr>
        <w:t xml:space="preserve">For unresectable liver disease in symptomatic patients, hepatic arterial embolization is suggested for palliation as an alternative to medical treatment alone. Techniques include injection of different substances </w:t>
      </w:r>
      <w:r>
        <w:rPr>
          <w:rFonts w:hint="eastAsia" w:ascii="Book Antiqua" w:hAnsi="Book Antiqua" w:cs="Book Antiqua"/>
          <w:color w:val="000000"/>
          <w:lang w:eastAsia="zh-CN"/>
        </w:rPr>
        <w:t>[</w:t>
      </w:r>
      <w:r>
        <w:rPr>
          <w:rFonts w:ascii="Book Antiqua" w:hAnsi="Book Antiqua" w:eastAsia="Book Antiqua" w:cs="Book Antiqua"/>
          <w:color w:val="000000"/>
        </w:rPr>
        <w:t xml:space="preserve">bland embolization </w:t>
      </w:r>
      <w:r>
        <w:rPr>
          <w:rFonts w:hint="eastAsia" w:ascii="Book Antiqua" w:hAnsi="Book Antiqua" w:cs="Book Antiqua"/>
          <w:color w:val="000000"/>
          <w:lang w:eastAsia="zh-CN"/>
        </w:rPr>
        <w:t>(</w:t>
      </w:r>
      <w:r>
        <w:rPr>
          <w:rFonts w:ascii="Book Antiqua" w:hAnsi="Book Antiqua" w:eastAsia="Book Antiqua" w:cs="Book Antiqua"/>
          <w:color w:val="000000"/>
        </w:rPr>
        <w:t>gel foam powder</w:t>
      </w:r>
      <w:r>
        <w:rPr>
          <w:rFonts w:hint="eastAsia" w:ascii="Book Antiqua" w:hAnsi="Book Antiqua" w:cs="Book Antiqua"/>
          <w:color w:val="000000"/>
          <w:lang w:eastAsia="zh-CN"/>
        </w:rPr>
        <w:t>)</w:t>
      </w:r>
      <w:r>
        <w:rPr>
          <w:rFonts w:ascii="Book Antiqua" w:hAnsi="Book Antiqua" w:eastAsia="Book Antiqua" w:cs="Book Antiqua"/>
          <w:color w:val="000000"/>
        </w:rPr>
        <w:t xml:space="preserve">, chemoembolization </w:t>
      </w:r>
      <w:r>
        <w:rPr>
          <w:rFonts w:hint="eastAsia" w:ascii="Book Antiqua" w:hAnsi="Book Antiqua" w:cs="Book Antiqua"/>
          <w:color w:val="000000"/>
          <w:lang w:eastAsia="zh-CN"/>
        </w:rPr>
        <w:t>(</w:t>
      </w:r>
      <w:r>
        <w:rPr>
          <w:rFonts w:ascii="Book Antiqua" w:hAnsi="Book Antiqua" w:eastAsia="Book Antiqua" w:cs="Book Antiqua"/>
          <w:color w:val="000000"/>
        </w:rPr>
        <w:t>chemotherapy</w:t>
      </w:r>
      <w:r>
        <w:rPr>
          <w:rFonts w:hint="eastAsia" w:ascii="Book Antiqua" w:hAnsi="Book Antiqua" w:cs="Book Antiqua"/>
          <w:color w:val="000000"/>
          <w:lang w:eastAsia="zh-CN"/>
        </w:rPr>
        <w:t>)</w:t>
      </w:r>
      <w:r>
        <w:rPr>
          <w:rFonts w:ascii="Book Antiqua" w:hAnsi="Book Antiqua" w:eastAsia="Book Antiqua" w:cs="Book Antiqua"/>
          <w:color w:val="000000"/>
        </w:rPr>
        <w:t xml:space="preserve">, radioembolization </w:t>
      </w:r>
      <w:r>
        <w:rPr>
          <w:rFonts w:hint="eastAsia" w:ascii="Book Antiqua" w:hAnsi="Book Antiqua" w:cs="Book Antiqua"/>
          <w:color w:val="000000"/>
          <w:lang w:eastAsia="zh-CN"/>
        </w:rPr>
        <w:t>(</w:t>
      </w:r>
      <w:r>
        <w:rPr>
          <w:rFonts w:ascii="Book Antiqua" w:hAnsi="Book Antiqua" w:eastAsia="Book Antiqua" w:cs="Book Antiqua"/>
          <w:color w:val="000000"/>
        </w:rPr>
        <w:t>radioactive isotopes)</w:t>
      </w:r>
      <w:r>
        <w:rPr>
          <w:rFonts w:hint="eastAsia" w:ascii="Book Antiqua" w:hAnsi="Book Antiqua" w:cs="Book Antiqua"/>
          <w:color w:val="000000"/>
          <w:lang w:eastAsia="zh-CN"/>
        </w:rPr>
        <w:t>]</w:t>
      </w:r>
      <w:r>
        <w:rPr>
          <w:rFonts w:ascii="Book Antiqua" w:hAnsi="Book Antiqua" w:eastAsia="Book Antiqua" w:cs="Book Antiqua"/>
          <w:color w:val="000000"/>
        </w:rPr>
        <w:t>. In liver predominate disease, chemoembolization is associated with a tumor response rate over 50%, which appears comparable to the other techniques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158</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A randomized trial is underway to compare liver progression-free survival and complications of these three techniques. </w:t>
      </w:r>
    </w:p>
    <w:p>
      <w:pPr>
        <w:spacing w:line="360" w:lineRule="auto"/>
        <w:ind w:firstLine="240" w:firstLineChars="100"/>
        <w:jc w:val="both"/>
        <w:rPr>
          <w:lang w:eastAsia="zh-CN"/>
        </w:rPr>
      </w:pPr>
      <w:r>
        <w:rPr>
          <w:rFonts w:ascii="Book Antiqua" w:hAnsi="Book Antiqua" w:eastAsia="Book Antiqua" w:cs="Book Antiqua"/>
          <w:color w:val="000000"/>
        </w:rPr>
        <w:t>For unresectable widespread disease, treatment options include systematic therapy with SSAs to treat symptoms and control disease, chemotherapy, molecular targeted therapy, PRRT, and immunotherapy. SSAs suppress hormone release in pancreatic NETs by binding somatostatin receptors, which prevents the release of hormonal peptides, and is thus most helpful for VIPomas, glucagonomas, and somatostatinomas and less helpful for insulinomas and gastrinomas. When used to control disease by exploiting the ability of SSAs to decrease proliferation in nonfunctioning NETs, SSAs are administered to patients with high tumor burden</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159</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 CLARINET study, a randomized, double blind placebo trial, provided support for lanreotide in preventing disease progression in advanced well to moderately differentiated nonfunctioning pancreatic NETs (prolonged progression-free survival 65% </w:t>
      </w:r>
      <w:r>
        <w:rPr>
          <w:rFonts w:ascii="Book Antiqua" w:hAnsi="Book Antiqua" w:eastAsia="Book Antiqua" w:cs="Book Antiqua"/>
          <w:i/>
          <w:iCs/>
          <w:color w:val="000000"/>
        </w:rPr>
        <w:t>vs</w:t>
      </w:r>
      <w:r>
        <w:rPr>
          <w:rFonts w:ascii="Book Antiqua" w:hAnsi="Book Antiqua" w:eastAsia="Book Antiqua" w:cs="Book Antiqua"/>
          <w:color w:val="000000"/>
        </w:rPr>
        <w:t xml:space="preserve"> 33% at 24 mo)</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Short-acting octreotide may be used and if effective, changed to long-acting depot with monthly injections.</w:t>
      </w:r>
    </w:p>
    <w:p>
      <w:pPr>
        <w:spacing w:line="360" w:lineRule="auto"/>
        <w:ind w:firstLine="240" w:firstLineChars="100"/>
        <w:jc w:val="both"/>
        <w:rPr>
          <w:lang w:eastAsia="zh-CN"/>
        </w:rPr>
      </w:pPr>
      <w:r>
        <w:rPr>
          <w:rFonts w:ascii="Book Antiqua" w:hAnsi="Book Antiqua" w:eastAsia="Book Antiqua" w:cs="Book Antiqua"/>
          <w:color w:val="000000"/>
        </w:rPr>
        <w:t>Chemotherapy is particularly helpful in aggressive disease with rapidly growing metastases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10</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Compared to temozolomide, the use of combination chemotherapy with capecitabine and temozolomide (CAPTEM) demonstrated high response, progression free survival, and manageable toxicity in patients with well-differentiated intermediate to high grade pancreatic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161,162</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Given its favorable toxicity profile as an oral regimen, CAPTEM is typically favored over streptozocin-containing regimens. Expression of methylguanine DNA methyltransferase (MGMT) may predict response to alkylating chemotherapeutics as studies suggested that patients without MGMT had better response</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163</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However, prospective studies are necessary.</w:t>
      </w:r>
    </w:p>
    <w:p>
      <w:pPr>
        <w:spacing w:line="360" w:lineRule="auto"/>
        <w:ind w:firstLine="240" w:firstLineChars="100"/>
        <w:jc w:val="both"/>
      </w:pPr>
      <w:r>
        <w:rPr>
          <w:rFonts w:ascii="Book Antiqua" w:hAnsi="Book Antiqua" w:eastAsia="Book Antiqua" w:cs="Book Antiqua"/>
          <w:color w:val="000000"/>
        </w:rPr>
        <w:t>Molecular targeted therapy has a role in patients with disease progression on SSAs by inhibiting the mammalian target of rapamycin or tyrosine kinase with everolimus and sunitinib, respectively</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164</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Compared to placebo, everolimus was able to prolong progression free survival (11 </w:t>
      </w:r>
      <w:r>
        <w:rPr>
          <w:rFonts w:hint="eastAsia" w:ascii="Book Antiqua" w:hAnsi="Book Antiqua" w:cs="Book Antiqua"/>
          <w:color w:val="000000"/>
          <w:lang w:eastAsia="zh-CN"/>
        </w:rPr>
        <w:t xml:space="preserve">mo </w:t>
      </w:r>
      <w:r>
        <w:rPr>
          <w:rFonts w:ascii="Book Antiqua" w:hAnsi="Book Antiqua" w:eastAsia="Book Antiqua" w:cs="Book Antiqua"/>
          <w:i/>
          <w:iCs/>
          <w:color w:val="000000"/>
        </w:rPr>
        <w:t>vs</w:t>
      </w:r>
      <w:r>
        <w:rPr>
          <w:rFonts w:ascii="Book Antiqua" w:hAnsi="Book Antiqua" w:eastAsia="Book Antiqua" w:cs="Book Antiqua"/>
          <w:color w:val="000000"/>
        </w:rPr>
        <w:t xml:space="preserve"> 4.6 mo) in a cohort of 410 patients with advanced, progressive low and intermediate grade pancreatic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165</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Sunitinib has also demonstrated safe and reliable results in progressive, well-differentiated pancreatic NETs where progression free survival was double placebo (11.4</w:t>
      </w:r>
      <w:r>
        <w:rPr>
          <w:rFonts w:hint="eastAsia" w:ascii="Book Antiqua" w:hAnsi="Book Antiqua" w:cs="Book Antiqua"/>
          <w:color w:val="000000"/>
          <w:lang w:eastAsia="zh-CN"/>
        </w:rPr>
        <w:t xml:space="preserve"> mo</w:t>
      </w:r>
      <w:r>
        <w:rPr>
          <w:rFonts w:ascii="Book Antiqua" w:hAnsi="Book Antiqua" w:eastAsia="Book Antiqua" w:cs="Book Antiqua"/>
          <w:color w:val="000000"/>
        </w:rPr>
        <w:t xml:space="preserve"> </w:t>
      </w:r>
      <w:r>
        <w:rPr>
          <w:rFonts w:ascii="Book Antiqua" w:hAnsi="Book Antiqua" w:eastAsia="Book Antiqua" w:cs="Book Antiqua"/>
          <w:i/>
          <w:iCs/>
          <w:color w:val="000000"/>
        </w:rPr>
        <w:t>vs</w:t>
      </w:r>
      <w:r>
        <w:rPr>
          <w:rFonts w:ascii="Book Antiqua" w:hAnsi="Book Antiqua" w:eastAsia="Book Antiqua" w:cs="Book Antiqua"/>
          <w:color w:val="000000"/>
        </w:rPr>
        <w:t xml:space="preserve"> 5.5 mo)</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161</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with a response rate of 24.5%</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166</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Other promising agents include tyrosine kinase inhibitors sorafenib, pazopanib, vascular endothelial growth factor receptor inhibitor cabozantinib and lenvatinib, which all require further prospective study. </w:t>
      </w:r>
    </w:p>
    <w:p>
      <w:pPr>
        <w:spacing w:line="360" w:lineRule="auto"/>
        <w:ind w:firstLine="240" w:firstLineChars="100"/>
        <w:jc w:val="both"/>
      </w:pPr>
      <w:r>
        <w:rPr>
          <w:rFonts w:ascii="Book Antiqua" w:hAnsi="Book Antiqua" w:eastAsia="Book Antiqua" w:cs="Book Antiqua"/>
          <w:color w:val="000000"/>
        </w:rPr>
        <w:t>PRRT uses radiolabeled SSAs (</w:t>
      </w:r>
      <w:r>
        <w:rPr>
          <w:rFonts w:ascii="Book Antiqua" w:hAnsi="Book Antiqua" w:eastAsia="Book Antiqua" w:cs="Book Antiqua"/>
          <w:color w:val="000000"/>
          <w:szCs w:val="20"/>
          <w:shd w:val="clear" w:color="auto" w:fill="FFFFFF"/>
          <w:vertAlign w:val="superscript"/>
        </w:rPr>
        <w:t>90</w:t>
      </w:r>
      <w:r>
        <w:rPr>
          <w:rFonts w:ascii="Book Antiqua" w:hAnsi="Book Antiqua" w:eastAsia="Book Antiqua" w:cs="Book Antiqua"/>
          <w:color w:val="000000"/>
          <w:shd w:val="clear" w:color="auto" w:fill="FFFFFF"/>
        </w:rPr>
        <w:t>Yttrium or</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zCs w:val="30"/>
          <w:shd w:val="clear" w:color="auto" w:fill="FFFFFF"/>
          <w:vertAlign w:val="superscript"/>
        </w:rPr>
        <w:t>177</w:t>
      </w:r>
      <w:r>
        <w:rPr>
          <w:rFonts w:ascii="Book Antiqua" w:hAnsi="Book Antiqua" w:eastAsia="Book Antiqua" w:cs="Book Antiqua"/>
          <w:color w:val="000000"/>
          <w:shd w:val="clear" w:color="auto" w:fill="FFFFFF"/>
        </w:rPr>
        <w:t>Lutetium)</w:t>
      </w:r>
      <w:r>
        <w:rPr>
          <w:rFonts w:ascii="Book Antiqua" w:hAnsi="Book Antiqua" w:eastAsia="Book Antiqua" w:cs="Book Antiqua"/>
          <w:color w:val="000000"/>
        </w:rPr>
        <w:t xml:space="preserve"> to bind somatostatin receptors as a means to emit localized radiation in advanced pancreatic NETs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30"/>
          <w:vertAlign w:val="superscript"/>
        </w:rPr>
        <w:t>164</w:t>
      </w:r>
      <w:r>
        <w:rPr>
          <w:rFonts w:hint="eastAsia" w:ascii="Book Antiqua" w:hAnsi="Book Antiqua" w:cs="Book Antiqua"/>
          <w:color w:val="000000"/>
          <w:szCs w:val="30"/>
          <w:vertAlign w:val="superscript"/>
          <w:lang w:eastAsia="zh-CN"/>
        </w:rPr>
        <w:t>]</w:t>
      </w:r>
      <w:r>
        <w:rPr>
          <w:rFonts w:hint="eastAsia" w:ascii="Book Antiqua" w:hAnsi="Book Antiqua" w:cs="Book Antiqua"/>
          <w:color w:val="000000"/>
          <w:szCs w:val="30"/>
          <w:lang w:eastAsia="zh-CN"/>
        </w:rPr>
        <w:t>.</w:t>
      </w:r>
      <w:r>
        <w:rPr>
          <w:rFonts w:ascii="Book Antiqua" w:hAnsi="Book Antiqua" w:eastAsia="Book Antiqua" w:cs="Book Antiqua"/>
          <w:color w:val="000000"/>
        </w:rPr>
        <w:t xml:space="preserve"> Therefore, it is an option in patients who have progressed through SSAs. A phase III trial compared </w:t>
      </w:r>
      <w:r>
        <w:rPr>
          <w:rFonts w:ascii="Book Antiqua" w:hAnsi="Book Antiqua" w:eastAsia="Book Antiqua" w:cs="Book Antiqua"/>
          <w:color w:val="000000"/>
          <w:szCs w:val="20"/>
          <w:shd w:val="clear" w:color="auto" w:fill="FFFFFF"/>
          <w:vertAlign w:val="superscript"/>
        </w:rPr>
        <w:t>177</w:t>
      </w:r>
      <w:r>
        <w:rPr>
          <w:rFonts w:ascii="Book Antiqua" w:hAnsi="Book Antiqua" w:eastAsia="Book Antiqua" w:cs="Book Antiqua"/>
          <w:color w:val="000000"/>
          <w:shd w:val="clear" w:color="auto" w:fill="FFFFFF"/>
        </w:rPr>
        <w:t>Lu-Dotatate</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(116 patients) to long acting octreotide (113 patients) and found longer progression free survival (65.2%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10.8%) and higher response rates (18% </w:t>
      </w:r>
      <w:r>
        <w:rPr>
          <w:rFonts w:ascii="Book Antiqua" w:hAnsi="Book Antiqua" w:eastAsia="Book Antiqua" w:cs="Book Antiqua"/>
          <w:i/>
          <w:iCs/>
          <w:color w:val="000000"/>
          <w:shd w:val="clear" w:color="auto" w:fill="FFFFFF"/>
        </w:rPr>
        <w:t>vs</w:t>
      </w:r>
      <w:r>
        <w:rPr>
          <w:rFonts w:ascii="Book Antiqua" w:hAnsi="Book Antiqua" w:eastAsia="Book Antiqua" w:cs="Book Antiqua"/>
          <w:color w:val="000000"/>
          <w:shd w:val="clear" w:color="auto" w:fill="FFFFFF"/>
        </w:rPr>
        <w:t xml:space="preserve"> 3%) with </w:t>
      </w:r>
      <w:r>
        <w:rPr>
          <w:rFonts w:ascii="Book Antiqua" w:hAnsi="Book Antiqua" w:eastAsia="Book Antiqua" w:cs="Book Antiqua"/>
          <w:color w:val="000000"/>
          <w:szCs w:val="30"/>
          <w:shd w:val="clear" w:color="auto" w:fill="FFFFFF"/>
          <w:vertAlign w:val="superscript"/>
        </w:rPr>
        <w:t>177</w:t>
      </w:r>
      <w:r>
        <w:rPr>
          <w:rFonts w:ascii="Book Antiqua" w:hAnsi="Book Antiqua" w:eastAsia="Book Antiqua" w:cs="Book Antiqua"/>
          <w:color w:val="000000"/>
          <w:shd w:val="clear" w:color="auto" w:fill="FFFFFF"/>
        </w:rPr>
        <w:t>Lu-Dotatate</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167</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 larger study of 610 patients (which included bronchial NETs) also reported a favorable survival and response rate, especially in the pancreatic NET group</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168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Despite encouraging results, concern remains over potential long-term toxicity </w:t>
      </w:r>
      <w:r>
        <w:rPr>
          <w:rFonts w:ascii="Book Antiqua" w:hAnsi="Book Antiqua" w:eastAsia="Book Antiqua" w:cs="Book Antiqua"/>
          <w:color w:val="000000"/>
          <w:shd w:val="clear" w:color="auto" w:fill="FFFFFF"/>
        </w:rPr>
        <w:t>including acute leukemia (0.7%) and myelodysplastic syndrome (1.5%)</w:t>
      </w:r>
      <w:r>
        <w:rPr>
          <w:rFonts w:hint="eastAsia" w:ascii="Book Antiqua" w:hAnsi="Book Antiqua" w:cs="Book Antiqua"/>
          <w:color w:val="000000"/>
          <w:shd w:val="clear" w:color="auto" w:fill="FFFFFF"/>
          <w:vertAlign w:val="superscript"/>
          <w:lang w:eastAsia="zh-CN"/>
        </w:rPr>
        <w:t>[</w:t>
      </w:r>
      <w:r>
        <w:rPr>
          <w:rFonts w:ascii="Book Antiqua" w:hAnsi="Book Antiqua" w:eastAsia="Book Antiqua" w:cs="Book Antiqua"/>
          <w:color w:val="000000"/>
          <w:szCs w:val="20"/>
          <w:vertAlign w:val="superscript"/>
        </w:rPr>
        <w:t>168</w:t>
      </w:r>
      <w:r>
        <w:rPr>
          <w:rFonts w:hint="eastAsia" w:ascii="Book Antiqua" w:hAnsi="Book Antiqua" w:cs="Book Antiqua"/>
          <w:color w:val="000000"/>
          <w:szCs w:val="20"/>
          <w:vertAlign w:val="superscript"/>
          <w:lang w:eastAsia="zh-CN"/>
        </w:rPr>
        <w:t>]</w:t>
      </w:r>
      <w:r>
        <w:rPr>
          <w:rFonts w:hint="eastAsia" w:ascii="Book Antiqua" w:hAnsi="Book Antiqua" w:cs="Book Antiqua"/>
          <w:color w:val="000000"/>
          <w:szCs w:val="20"/>
          <w:lang w:eastAsia="zh-CN"/>
        </w:rPr>
        <w:t>.</w:t>
      </w:r>
      <w:r>
        <w:rPr>
          <w:rFonts w:ascii="Book Antiqua" w:hAnsi="Book Antiqua" w:eastAsia="Book Antiqua" w:cs="Book Antiqua"/>
          <w:color w:val="000000"/>
          <w:shd w:val="clear" w:color="auto" w:fill="FFFFFF"/>
        </w:rPr>
        <w:t xml:space="preserve"> As such, risk and benefits of treatment should be carefully discussed with patients before embarking on PRRT. Further studies are needed to understand the role and safety of PRRT as well as whether combination therapy with SSAs is more efficacious. </w:t>
      </w:r>
    </w:p>
    <w:p>
      <w:pPr>
        <w:spacing w:line="360" w:lineRule="auto"/>
        <w:ind w:firstLine="240" w:firstLineChars="100"/>
        <w:jc w:val="both"/>
      </w:pPr>
      <w:r>
        <w:rPr>
          <w:rFonts w:ascii="Book Antiqua" w:hAnsi="Book Antiqua" w:eastAsia="Book Antiqua" w:cs="Book Antiqua"/>
          <w:color w:val="000000"/>
          <w:shd w:val="clear" w:color="auto" w:fill="FFFFFF"/>
        </w:rPr>
        <w:t>Although immunotherapy has revolutionized oncology, its utility in treating pancreatic NETs remains unclear. Early trials evaluating anti-programmed cell death 1 antibodies including spartalizumab and pembrolizumab have not been encouraging with minimal response in pancreatic NETs. Further studies are certainly needed.</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rPr>
          <w:lang w:eastAsia="zh-CN"/>
        </w:rPr>
      </w:pPr>
      <w:r>
        <w:rPr>
          <w:rFonts w:ascii="Book Antiqua" w:hAnsi="Book Antiqua" w:eastAsia="Book Antiqua" w:cs="Book Antiqua"/>
          <w:color w:val="000000"/>
          <w:shd w:val="clear" w:color="auto" w:fill="FFFFFF"/>
        </w:rPr>
        <w:t>GEP-NENs</w:t>
      </w:r>
      <w:r>
        <w:rPr>
          <w:rFonts w:ascii="Book Antiqua" w:hAnsi="Book Antiqua" w:eastAsia="Book Antiqua" w:cs="Book Antiqua"/>
          <w:color w:val="000000"/>
        </w:rPr>
        <w:t xml:space="preserve"> represent a complex and diverse physiologic and pathologic spectrum of neoplasms with varying disease activity that benefit from multidisciplinary care. With advancements in functional imaging, serum biomarkers, and endoscopic techniques for diagnosis including EUS as well as therapy with EMR, ESD and EUS-RFA, identification and management of these protean lesions continue to improve and allow for tailored treatment plans based on prognostic information and location throughout the gastrointestinal tract.</w:t>
      </w:r>
    </w:p>
    <w:p>
      <w:pPr>
        <w:spacing w:line="360" w:lineRule="auto"/>
        <w:jc w:val="both"/>
      </w:pPr>
    </w:p>
    <w:p>
      <w:pPr>
        <w:spacing w:line="360" w:lineRule="auto"/>
        <w:jc w:val="both"/>
      </w:pPr>
      <w:r>
        <w:rPr>
          <w:rFonts w:ascii="Book Antiqua" w:hAnsi="Book Antiqua" w:eastAsia="Book Antiqua" w:cs="Book Antiqua"/>
          <w:b/>
          <w:color w:val="000000"/>
        </w:rPr>
        <w:t>REFERENCES</w:t>
      </w:r>
    </w:p>
    <w:p>
      <w:pPr>
        <w:shd w:val="clear" w:color="auto" w:fill="FFFFFF"/>
        <w:adjustRightInd w:val="0"/>
        <w:snapToGrid w:val="0"/>
        <w:spacing w:line="360" w:lineRule="auto"/>
        <w:jc w:val="both"/>
        <w:rPr>
          <w:rFonts w:ascii="Book Antiqua" w:hAnsi="Book Antiqua" w:eastAsia="宋体" w:cs="宋体"/>
          <w:lang w:eastAsia="zh-CN"/>
        </w:rPr>
      </w:pPr>
      <w:bookmarkStart w:id="35" w:name="OLE_LINK378"/>
      <w:bookmarkStart w:id="36" w:name="OLE_LINK379"/>
      <w:bookmarkStart w:id="37" w:name="OLE_LINK344"/>
      <w:bookmarkStart w:id="38" w:name="OLE_LINK341"/>
      <w:bookmarkStart w:id="39" w:name="OLE_LINK345"/>
      <w:bookmarkStart w:id="40" w:name="OLE_LINK342"/>
      <w:bookmarkStart w:id="41" w:name="OLE_LINK340"/>
      <w:bookmarkStart w:id="42" w:name="OLE_LINK343"/>
      <w:r>
        <w:rPr>
          <w:rFonts w:ascii="Book Antiqua" w:hAnsi="Book Antiqua" w:eastAsia="宋体" w:cs="宋体"/>
          <w:lang w:eastAsia="zh-CN"/>
        </w:rPr>
        <w:t xml:space="preserve">1 </w:t>
      </w:r>
      <w:r>
        <w:rPr>
          <w:rFonts w:ascii="Book Antiqua" w:hAnsi="Book Antiqua" w:eastAsia="宋体" w:cs="宋体"/>
          <w:b/>
          <w:bCs/>
          <w:lang w:eastAsia="zh-CN"/>
        </w:rPr>
        <w:t>Díez M</w:t>
      </w:r>
      <w:r>
        <w:rPr>
          <w:rFonts w:ascii="Book Antiqua" w:hAnsi="Book Antiqua" w:eastAsia="宋体" w:cs="宋体"/>
          <w:bCs/>
          <w:lang w:eastAsia="zh-CN"/>
        </w:rPr>
        <w:t xml:space="preserve">, Teulé A, Salazar R. Gastroenteropancreatic neuroendocrine tumors: diagnosis and treatment. </w:t>
      </w:r>
      <w:r>
        <w:rPr>
          <w:rFonts w:ascii="Book Antiqua" w:hAnsi="Book Antiqua" w:eastAsia="宋体" w:cs="宋体"/>
          <w:bCs/>
          <w:i/>
          <w:lang w:eastAsia="zh-CN"/>
        </w:rPr>
        <w:t>Ann Gastroenterol</w:t>
      </w:r>
      <w:r>
        <w:rPr>
          <w:rFonts w:ascii="Book Antiqua" w:hAnsi="Book Antiqua" w:eastAsia="宋体" w:cs="宋体"/>
          <w:bCs/>
          <w:lang w:eastAsia="zh-CN"/>
        </w:rPr>
        <w:t xml:space="preserve"> 2013;</w:t>
      </w:r>
      <w:r>
        <w:rPr>
          <w:rFonts w:hint="eastAsia" w:ascii="Book Antiqua" w:hAnsi="Book Antiqua" w:eastAsia="宋体" w:cs="宋体"/>
          <w:bCs/>
          <w:lang w:eastAsia="zh-CN"/>
        </w:rPr>
        <w:t xml:space="preserve"> </w:t>
      </w:r>
      <w:r>
        <w:rPr>
          <w:rFonts w:ascii="Book Antiqua" w:hAnsi="Book Antiqua" w:eastAsia="宋体" w:cs="宋体"/>
          <w:b/>
          <w:bCs/>
          <w:lang w:eastAsia="zh-CN"/>
        </w:rPr>
        <w:t>26</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29-36 </w:t>
      </w:r>
      <w:r>
        <w:rPr>
          <w:rFonts w:hint="eastAsia" w:ascii="Book Antiqua" w:hAnsi="Book Antiqua" w:eastAsia="宋体" w:cs="宋体"/>
          <w:bCs/>
          <w:lang w:eastAsia="zh-CN"/>
        </w:rPr>
        <w:t>[</w:t>
      </w:r>
      <w:r>
        <w:rPr>
          <w:rFonts w:ascii="Book Antiqua" w:hAnsi="Book Antiqua" w:eastAsia="宋体" w:cs="宋体"/>
          <w:bCs/>
          <w:lang w:eastAsia="zh-CN"/>
        </w:rPr>
        <w:t>PMID: 24714698</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Pavel M</w:t>
      </w:r>
      <w:r>
        <w:rPr>
          <w:rFonts w:ascii="Book Antiqua" w:hAnsi="Book Antiqua" w:eastAsia="宋体" w:cs="宋体"/>
          <w:bCs/>
          <w:lang w:eastAsia="zh-CN"/>
        </w:rPr>
        <w:t xml:space="preserve">, Öberg K, Falconi M, Krenning EP, Sundin A, Perren A, Berruti A; ESMO Guidelines Committee. Electronic address: clinicalguidelines@esmo.org. Gastroenteropancreatic neuroendocrine neoplasms: ESMO Clinical Practice Guidelines for diagnosis, treatment and follow-up. </w:t>
      </w:r>
      <w:r>
        <w:rPr>
          <w:rFonts w:ascii="Book Antiqua" w:hAnsi="Book Antiqua" w:eastAsia="宋体" w:cs="宋体"/>
          <w:bCs/>
          <w:i/>
          <w:lang w:eastAsia="zh-CN"/>
        </w:rPr>
        <w:t>Ann Oncol</w:t>
      </w:r>
      <w:r>
        <w:rPr>
          <w:rFonts w:ascii="Book Antiqua" w:hAnsi="Book Antiqua" w:eastAsia="宋体" w:cs="宋体"/>
          <w:bCs/>
          <w:lang w:eastAsia="zh-CN"/>
        </w:rPr>
        <w:t xml:space="preserve"> 2020;</w:t>
      </w:r>
      <w:r>
        <w:rPr>
          <w:rFonts w:hint="eastAsia" w:ascii="Book Antiqua" w:hAnsi="Book Antiqua" w:eastAsia="宋体" w:cs="宋体"/>
          <w:bCs/>
          <w:lang w:eastAsia="zh-CN"/>
        </w:rPr>
        <w:t xml:space="preserve"> </w:t>
      </w:r>
      <w:r>
        <w:rPr>
          <w:rFonts w:ascii="Book Antiqua" w:hAnsi="Book Antiqua" w:eastAsia="宋体" w:cs="宋体"/>
          <w:b/>
          <w:bCs/>
          <w:lang w:eastAsia="zh-CN"/>
        </w:rPr>
        <w:t>31</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844-860 </w:t>
      </w:r>
      <w:r>
        <w:rPr>
          <w:rFonts w:hint="eastAsia" w:ascii="Book Antiqua" w:hAnsi="Book Antiqua" w:eastAsia="宋体" w:cs="宋体"/>
          <w:bCs/>
          <w:lang w:eastAsia="zh-CN"/>
        </w:rPr>
        <w:t>[</w:t>
      </w:r>
      <w:r>
        <w:rPr>
          <w:rFonts w:ascii="Book Antiqua" w:hAnsi="Book Antiqua" w:eastAsia="宋体" w:cs="宋体"/>
          <w:bCs/>
          <w:lang w:eastAsia="zh-CN"/>
        </w:rPr>
        <w:t>PMID: 32272208</w:t>
      </w:r>
      <w:r>
        <w:rPr>
          <w:rFonts w:hint="eastAsia" w:ascii="Book Antiqua" w:hAnsi="Book Antiqua" w:eastAsia="宋体" w:cs="宋体"/>
          <w:bCs/>
          <w:lang w:eastAsia="zh-CN"/>
        </w:rPr>
        <w:t xml:space="preserve"> DOI</w:t>
      </w:r>
      <w:r>
        <w:rPr>
          <w:rFonts w:ascii="Book Antiqua" w:hAnsi="Book Antiqua" w:eastAsia="宋体" w:cs="宋体"/>
          <w:bCs/>
          <w:lang w:eastAsia="zh-CN"/>
        </w:rPr>
        <w:t>: 10.1016/j.annonc.2020.03.304</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Scarpa A</w:t>
      </w:r>
      <w:r>
        <w:rPr>
          <w:rFonts w:ascii="Book Antiqua" w:hAnsi="Book Antiqua" w:eastAsia="宋体" w:cs="宋体"/>
          <w:bCs/>
          <w:lang w:eastAsia="zh-CN"/>
        </w:rPr>
        <w:t xml:space="preserve">, Chang DK, Nones K, Corbo V, Patch AM, Bailey P, Lawlor RT, Johns AL, Miller DK, Mafficini A, Rusev B, Scardoni M, Antonello D, Barbi S, Sikora KO, Cingarlini S, Vicentini C, McKay S, Quinn MC, Bruxner TJ, Christ AN, Harliwong I, Idrisoglu S, McLean S, Nourse C, Nourbakhsh E, Wilson PJ, Anderson MJ, Fink JL, Newell F, Waddell N, Holmes O, Kazakoff SH, Leonard C, Wood S, Xu Q, Nagaraj SH, Amato E, Dalai I, Bersani S, Cataldo I, Dei Tos AP, Capelli P, Davì MV, Landoni L, Malpaga A, Miotto M, Whitehall VL, Leggett BA, Harris JL, Harris J, Jones MD, Humphris J, Chantrill LA, Chin V, Nagrial AM, Pajic M, Scarlett CJ, Pinho A, Rooman I, Toon C, Wu J, Pinese M, Cowley M, Barbour A, Mawson A, Humphrey ES, Colvin EK, Chou A, Lovell JA, Jamieson NB, Duthie F, Gingras MC, Fisher WE, Dagg RA, Lau LM, Lee M, Pickett HA, Reddel RR, Samra JS, Kench JG, Merrett ND, Epari K, Nguyen NQ, Zeps N, Falconi M, Simbolo M, Butturini G, Van Buren G, Partelli S, Fassan M; Australian Pancreatic Cancer Genome Initiative, Khanna KK, Gill AJ, Wheeler DA, Gibbs RA, Musgrove EA, Bassi C, Tortora G, Pederzoli P, Pearson JV, Waddell N, Biankin AV, Grimmond SM. Whole-genome landscape of pancreatic neuroendocrine tumours. </w:t>
      </w:r>
      <w:r>
        <w:rPr>
          <w:rFonts w:ascii="Book Antiqua" w:hAnsi="Book Antiqua" w:eastAsia="宋体" w:cs="宋体"/>
          <w:bCs/>
          <w:i/>
          <w:lang w:eastAsia="zh-CN"/>
        </w:rPr>
        <w:t>Nature</w:t>
      </w:r>
      <w:r>
        <w:rPr>
          <w:rFonts w:ascii="Book Antiqua" w:hAnsi="Book Antiqua" w:eastAsia="宋体" w:cs="宋体"/>
          <w:bCs/>
          <w:lang w:eastAsia="zh-CN"/>
        </w:rPr>
        <w:t xml:space="preserve"> 2017;</w:t>
      </w:r>
      <w:r>
        <w:rPr>
          <w:rFonts w:hint="eastAsia" w:ascii="Book Antiqua" w:hAnsi="Book Antiqua" w:eastAsia="宋体" w:cs="宋体"/>
          <w:bCs/>
          <w:lang w:eastAsia="zh-CN"/>
        </w:rPr>
        <w:t xml:space="preserve"> </w:t>
      </w:r>
      <w:r>
        <w:rPr>
          <w:rFonts w:ascii="Book Antiqua" w:hAnsi="Book Antiqua" w:eastAsia="宋体" w:cs="宋体"/>
          <w:b/>
          <w:bCs/>
          <w:lang w:eastAsia="zh-CN"/>
        </w:rPr>
        <w:t>543</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65-71 </w:t>
      </w:r>
      <w:r>
        <w:rPr>
          <w:rFonts w:hint="eastAsia" w:ascii="Book Antiqua" w:hAnsi="Book Antiqua" w:eastAsia="宋体" w:cs="宋体"/>
          <w:bCs/>
          <w:lang w:eastAsia="zh-CN"/>
        </w:rPr>
        <w:t>[</w:t>
      </w:r>
      <w:r>
        <w:rPr>
          <w:rFonts w:ascii="Book Antiqua" w:hAnsi="Book Antiqua" w:eastAsia="宋体" w:cs="宋体"/>
          <w:bCs/>
          <w:lang w:eastAsia="zh-CN"/>
        </w:rPr>
        <w:t>PMID: 28199314</w:t>
      </w:r>
      <w:r>
        <w:rPr>
          <w:rFonts w:hint="eastAsia" w:ascii="Book Antiqua" w:hAnsi="Book Antiqua" w:eastAsia="宋体" w:cs="宋体"/>
          <w:bCs/>
          <w:lang w:eastAsia="zh-CN"/>
        </w:rPr>
        <w:t xml:space="preserve"> DOI</w:t>
      </w:r>
      <w:r>
        <w:rPr>
          <w:rFonts w:ascii="Book Antiqua" w:hAnsi="Book Antiqua" w:eastAsia="宋体" w:cs="宋体"/>
          <w:bCs/>
          <w:lang w:eastAsia="zh-CN"/>
        </w:rPr>
        <w:t>: 10.1038/nature21063</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Nagtegaal ID</w:t>
      </w:r>
      <w:r>
        <w:rPr>
          <w:rFonts w:ascii="Book Antiqua" w:hAnsi="Book Antiqua" w:eastAsia="宋体" w:cs="宋体"/>
          <w:bCs/>
          <w:lang w:eastAsia="zh-CN"/>
        </w:rPr>
        <w:t xml:space="preserve">, Odze RD, Klimstra D, Paradis V, Rugge M, Schirmacher P, Washington KM, Carneiro F, Cree IA; WHO Classification of Tumours Editorial Board. The 2019 WHO classification of tumours of the digestive system. </w:t>
      </w:r>
      <w:r>
        <w:rPr>
          <w:rFonts w:ascii="Book Antiqua" w:hAnsi="Book Antiqua" w:eastAsia="宋体" w:cs="宋体"/>
          <w:bCs/>
          <w:i/>
          <w:lang w:eastAsia="zh-CN"/>
        </w:rPr>
        <w:t>Histopathology</w:t>
      </w:r>
      <w:r>
        <w:rPr>
          <w:rFonts w:ascii="Book Antiqua" w:hAnsi="Book Antiqua" w:eastAsia="宋体" w:cs="宋体"/>
          <w:bCs/>
          <w:lang w:eastAsia="zh-CN"/>
        </w:rPr>
        <w:t xml:space="preserve"> 2020;</w:t>
      </w:r>
      <w:r>
        <w:rPr>
          <w:rFonts w:hint="eastAsia" w:ascii="Book Antiqua" w:hAnsi="Book Antiqua" w:eastAsia="宋体" w:cs="宋体"/>
          <w:bCs/>
          <w:lang w:eastAsia="zh-CN"/>
        </w:rPr>
        <w:t xml:space="preserve"> </w:t>
      </w:r>
      <w:r>
        <w:rPr>
          <w:rFonts w:ascii="Book Antiqua" w:hAnsi="Book Antiqua" w:eastAsia="宋体" w:cs="宋体"/>
          <w:b/>
          <w:bCs/>
          <w:lang w:eastAsia="zh-CN"/>
        </w:rPr>
        <w:t>76</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182-188 </w:t>
      </w:r>
      <w:r>
        <w:rPr>
          <w:rFonts w:hint="eastAsia" w:ascii="Book Antiqua" w:hAnsi="Book Antiqua" w:eastAsia="宋体" w:cs="宋体"/>
          <w:bCs/>
          <w:lang w:eastAsia="zh-CN"/>
        </w:rPr>
        <w:t>[</w:t>
      </w:r>
      <w:r>
        <w:rPr>
          <w:rFonts w:ascii="Book Antiqua" w:hAnsi="Book Antiqua" w:eastAsia="宋体" w:cs="宋体"/>
          <w:bCs/>
          <w:lang w:eastAsia="zh-CN"/>
        </w:rPr>
        <w:t>PMID: 31433515</w:t>
      </w:r>
      <w:r>
        <w:rPr>
          <w:rFonts w:hint="eastAsia" w:ascii="Book Antiqua" w:hAnsi="Book Antiqua" w:eastAsia="宋体" w:cs="宋体"/>
          <w:bCs/>
          <w:lang w:eastAsia="zh-CN"/>
        </w:rPr>
        <w:t xml:space="preserve"> DOI</w:t>
      </w:r>
      <w:r>
        <w:rPr>
          <w:rFonts w:ascii="Book Antiqua" w:hAnsi="Book Antiqua" w:eastAsia="宋体" w:cs="宋体"/>
          <w:bCs/>
          <w:lang w:eastAsia="zh-CN"/>
        </w:rPr>
        <w:t>: 10.1111/his.13975</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Hallet J</w:t>
      </w:r>
      <w:r>
        <w:rPr>
          <w:rFonts w:ascii="Book Antiqua" w:hAnsi="Book Antiqua" w:eastAsia="宋体" w:cs="宋体"/>
          <w:lang w:eastAsia="zh-CN"/>
        </w:rPr>
        <w:t xml:space="preserve">, Law CH, Cukier M, Saskin R, Liu N, Singh S. Exploring the rising incidence of neuroendocrine tumors: a population-based analysis of epidemiology, metastatic presentation, and outcomes. </w:t>
      </w:r>
      <w:r>
        <w:rPr>
          <w:rFonts w:ascii="Book Antiqua" w:hAnsi="Book Antiqua" w:eastAsia="宋体" w:cs="宋体"/>
          <w:i/>
          <w:iCs/>
          <w:lang w:eastAsia="zh-CN"/>
        </w:rPr>
        <w:t>Cancer</w:t>
      </w:r>
      <w:r>
        <w:rPr>
          <w:rFonts w:ascii="Book Antiqua" w:hAnsi="Book Antiqua" w:eastAsia="宋体" w:cs="宋体"/>
          <w:lang w:eastAsia="zh-CN"/>
        </w:rPr>
        <w:t xml:space="preserve"> 2015; </w:t>
      </w:r>
      <w:r>
        <w:rPr>
          <w:rFonts w:ascii="Book Antiqua" w:hAnsi="Book Antiqua" w:eastAsia="宋体" w:cs="宋体"/>
          <w:b/>
          <w:bCs/>
          <w:lang w:eastAsia="zh-CN"/>
        </w:rPr>
        <w:t>121</w:t>
      </w:r>
      <w:r>
        <w:rPr>
          <w:rFonts w:ascii="Book Antiqua" w:hAnsi="Book Antiqua" w:eastAsia="宋体" w:cs="宋体"/>
          <w:lang w:eastAsia="zh-CN"/>
        </w:rPr>
        <w:t>: 589-597 [PMID: 25312765 DOI: 10.1002/cncr.29099]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Dasari A</w:t>
      </w:r>
      <w:r>
        <w:rPr>
          <w:rFonts w:ascii="Book Antiqua" w:hAnsi="Book Antiqua" w:eastAsia="宋体" w:cs="宋体"/>
          <w:lang w:eastAsia="zh-CN"/>
        </w:rPr>
        <w:t xml:space="preserve">, Shen C, Halperin D, Zhao B, Zhou S, Xu Y, Shih T, Yao JC. Trends in the Incidence, Prevalence, and Survival Outcomes in Patients With Neuroendocrine Tumors in the United States. </w:t>
      </w:r>
      <w:r>
        <w:rPr>
          <w:rFonts w:ascii="Book Antiqua" w:hAnsi="Book Antiqua" w:eastAsia="宋体" w:cs="宋体"/>
          <w:i/>
          <w:iCs/>
          <w:lang w:eastAsia="zh-CN"/>
        </w:rPr>
        <w:t>JAMA Oncol</w:t>
      </w:r>
      <w:r>
        <w:rPr>
          <w:rFonts w:ascii="Book Antiqua" w:hAnsi="Book Antiqua" w:eastAsia="宋体" w:cs="宋体"/>
          <w:lang w:eastAsia="zh-CN"/>
        </w:rPr>
        <w:t xml:space="preserve"> 2017; </w:t>
      </w:r>
      <w:r>
        <w:rPr>
          <w:rFonts w:ascii="Book Antiqua" w:hAnsi="Book Antiqua" w:eastAsia="宋体" w:cs="宋体"/>
          <w:b/>
          <w:bCs/>
          <w:lang w:eastAsia="zh-CN"/>
        </w:rPr>
        <w:t>3</w:t>
      </w:r>
      <w:r>
        <w:rPr>
          <w:rFonts w:ascii="Book Antiqua" w:hAnsi="Book Antiqua" w:eastAsia="宋体" w:cs="宋体"/>
          <w:lang w:eastAsia="zh-CN"/>
        </w:rPr>
        <w:t>: 1335-1342 [PMID: 28448665 DOI: 10.1001/jamaoncol.2017.0589]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Fraenkel M</w:t>
      </w:r>
      <w:r>
        <w:rPr>
          <w:rFonts w:ascii="Book Antiqua" w:hAnsi="Book Antiqua" w:eastAsia="宋体" w:cs="宋体"/>
          <w:lang w:eastAsia="zh-CN"/>
        </w:rPr>
        <w:t xml:space="preserve">, Kim M, Faggiano A, de Herder WW, Valk GD; Knowledge NETwork. Incidence of gastroenteropancreatic neuroendocrine tumours: a systematic review of the literature. </w:t>
      </w:r>
      <w:r>
        <w:rPr>
          <w:rFonts w:ascii="Book Antiqua" w:hAnsi="Book Antiqua" w:eastAsia="宋体" w:cs="宋体"/>
          <w:i/>
          <w:iCs/>
          <w:lang w:eastAsia="zh-CN"/>
        </w:rPr>
        <w:t>Endocr Relat Cancer</w:t>
      </w:r>
      <w:r>
        <w:rPr>
          <w:rFonts w:ascii="Book Antiqua" w:hAnsi="Book Antiqua" w:eastAsia="宋体" w:cs="宋体"/>
          <w:lang w:eastAsia="zh-CN"/>
        </w:rPr>
        <w:t xml:space="preserve"> 2014; </w:t>
      </w:r>
      <w:r>
        <w:rPr>
          <w:rFonts w:ascii="Book Antiqua" w:hAnsi="Book Antiqua" w:eastAsia="宋体" w:cs="宋体"/>
          <w:b/>
          <w:bCs/>
          <w:lang w:eastAsia="zh-CN"/>
        </w:rPr>
        <w:t>21</w:t>
      </w:r>
      <w:r>
        <w:rPr>
          <w:rFonts w:ascii="Book Antiqua" w:hAnsi="Book Antiqua" w:eastAsia="宋体" w:cs="宋体"/>
          <w:lang w:eastAsia="zh-CN"/>
        </w:rPr>
        <w:t>: R153-R163 [PMID: 24322304 DOI: 10.1530/ERC-13-0125]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Fernandez CJ</w:t>
      </w:r>
      <w:r>
        <w:rPr>
          <w:rFonts w:ascii="Book Antiqua" w:hAnsi="Book Antiqua" w:eastAsia="宋体" w:cs="宋体"/>
          <w:lang w:eastAsia="zh-CN"/>
        </w:rPr>
        <w:t xml:space="preserve">, Agarwal M, Pottakkat B, Haroon NN, George AS, Pappachan JM. Gastroenteropancreatic neuroendocrine neoplasms: A clinical snapshot. </w:t>
      </w:r>
      <w:r>
        <w:rPr>
          <w:rFonts w:ascii="Book Antiqua" w:hAnsi="Book Antiqua" w:eastAsia="宋体" w:cs="宋体"/>
          <w:i/>
          <w:iCs/>
          <w:lang w:eastAsia="zh-CN"/>
        </w:rPr>
        <w:t>World J Gastrointest Surg</w:t>
      </w:r>
      <w:r>
        <w:rPr>
          <w:rFonts w:ascii="Book Antiqua" w:hAnsi="Book Antiqua" w:eastAsia="宋体" w:cs="宋体"/>
          <w:lang w:eastAsia="zh-CN"/>
        </w:rPr>
        <w:t xml:space="preserve"> 2021; </w:t>
      </w:r>
      <w:r>
        <w:rPr>
          <w:rFonts w:ascii="Book Antiqua" w:hAnsi="Book Antiqua" w:eastAsia="宋体" w:cs="宋体"/>
          <w:b/>
          <w:bCs/>
          <w:lang w:eastAsia="zh-CN"/>
        </w:rPr>
        <w:t>13</w:t>
      </w:r>
      <w:r>
        <w:rPr>
          <w:rFonts w:ascii="Book Antiqua" w:hAnsi="Book Antiqua" w:eastAsia="宋体" w:cs="宋体"/>
          <w:lang w:eastAsia="zh-CN"/>
        </w:rPr>
        <w:t>: 231-255 [PMID: 33796213 DOI: 10.4240/wjgs.v13.i3.231]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Xu Z</w:t>
      </w:r>
      <w:r>
        <w:rPr>
          <w:rFonts w:ascii="Book Antiqua" w:hAnsi="Book Antiqua" w:eastAsia="宋体" w:cs="宋体"/>
          <w:lang w:eastAsia="zh-CN"/>
        </w:rPr>
        <w:t xml:space="preserve">, Wang L, Dai S, Chen M, Li F, Sun J, Luo F. Epidemiologic Trends of and Factors Associated With Overall Survival for Patients With Gastroenteropancreatic Neuroendocrine Tumors in the United States. </w:t>
      </w:r>
      <w:r>
        <w:rPr>
          <w:rFonts w:ascii="Book Antiqua" w:hAnsi="Book Antiqua" w:eastAsia="宋体" w:cs="宋体"/>
          <w:i/>
          <w:iCs/>
          <w:lang w:eastAsia="zh-CN"/>
        </w:rPr>
        <w:t>JAMA Netw Open</w:t>
      </w:r>
      <w:r>
        <w:rPr>
          <w:rFonts w:ascii="Book Antiqua" w:hAnsi="Book Antiqua" w:eastAsia="宋体" w:cs="宋体"/>
          <w:lang w:eastAsia="zh-CN"/>
        </w:rPr>
        <w:t xml:space="preserve"> 2021; </w:t>
      </w:r>
      <w:r>
        <w:rPr>
          <w:rFonts w:ascii="Book Antiqua" w:hAnsi="Book Antiqua" w:eastAsia="宋体" w:cs="宋体"/>
          <w:b/>
          <w:bCs/>
          <w:lang w:eastAsia="zh-CN"/>
        </w:rPr>
        <w:t>4</w:t>
      </w:r>
      <w:r>
        <w:rPr>
          <w:rFonts w:ascii="Book Antiqua" w:hAnsi="Book Antiqua" w:eastAsia="宋体" w:cs="宋体"/>
          <w:lang w:eastAsia="zh-CN"/>
        </w:rPr>
        <w:t>: e2124750 [PMID: 34554237 DOI: 10.1001/jamanetworkopen.2021.24750]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Andreasi V</w:t>
      </w:r>
      <w:r>
        <w:rPr>
          <w:rFonts w:ascii="Book Antiqua" w:hAnsi="Book Antiqua" w:eastAsia="宋体" w:cs="宋体"/>
          <w:bCs/>
          <w:lang w:eastAsia="zh-CN"/>
        </w:rPr>
        <w:t xml:space="preserve">, Partelli S, Muffatti F, Manzoni MF, Capurso G, Falconi M. Update on gastroenteropancreatic neuroendocrine tumors. </w:t>
      </w:r>
      <w:r>
        <w:rPr>
          <w:rFonts w:ascii="Book Antiqua" w:hAnsi="Book Antiqua" w:eastAsia="宋体" w:cs="宋体"/>
          <w:bCs/>
          <w:i/>
          <w:lang w:eastAsia="zh-CN"/>
        </w:rPr>
        <w:t>Dig Liver Dis</w:t>
      </w:r>
      <w:r>
        <w:rPr>
          <w:rFonts w:ascii="Book Antiqua" w:hAnsi="Book Antiqua" w:eastAsia="宋体" w:cs="宋体"/>
          <w:bCs/>
          <w:lang w:eastAsia="zh-CN"/>
        </w:rPr>
        <w:t xml:space="preserve"> 2021;</w:t>
      </w:r>
      <w:r>
        <w:rPr>
          <w:rFonts w:hint="eastAsia" w:ascii="Book Antiqua" w:hAnsi="Book Antiqua" w:eastAsia="宋体" w:cs="宋体"/>
          <w:bCs/>
          <w:lang w:eastAsia="zh-CN"/>
        </w:rPr>
        <w:t xml:space="preserve"> </w:t>
      </w:r>
      <w:r>
        <w:rPr>
          <w:rFonts w:ascii="Book Antiqua" w:hAnsi="Book Antiqua" w:eastAsia="宋体" w:cs="宋体"/>
          <w:b/>
          <w:bCs/>
          <w:lang w:eastAsia="zh-CN"/>
        </w:rPr>
        <w:t>53</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171-182 </w:t>
      </w:r>
      <w:r>
        <w:rPr>
          <w:rFonts w:hint="eastAsia" w:ascii="Book Antiqua" w:hAnsi="Book Antiqua" w:eastAsia="宋体" w:cs="宋体"/>
          <w:bCs/>
          <w:lang w:eastAsia="zh-CN"/>
        </w:rPr>
        <w:t>[</w:t>
      </w:r>
      <w:r>
        <w:rPr>
          <w:rFonts w:ascii="Book Antiqua" w:hAnsi="Book Antiqua" w:eastAsia="宋体" w:cs="宋体"/>
          <w:bCs/>
          <w:lang w:eastAsia="zh-CN"/>
        </w:rPr>
        <w:t>PMID: 32912771</w:t>
      </w:r>
      <w:r>
        <w:rPr>
          <w:rFonts w:hint="eastAsia" w:ascii="Book Antiqua" w:hAnsi="Book Antiqua" w:eastAsia="宋体" w:cs="宋体"/>
          <w:bCs/>
          <w:lang w:eastAsia="zh-CN"/>
        </w:rPr>
        <w:t xml:space="preserve"> DOI</w:t>
      </w:r>
      <w:r>
        <w:rPr>
          <w:rFonts w:ascii="Book Antiqua" w:hAnsi="Book Antiqua" w:eastAsia="宋体" w:cs="宋体"/>
          <w:bCs/>
          <w:lang w:eastAsia="zh-CN"/>
        </w:rPr>
        <w:t>: 10.1016/j.dld.2020.08.031</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Cives M</w:t>
      </w:r>
      <w:r>
        <w:rPr>
          <w:rFonts w:ascii="Book Antiqua" w:hAnsi="Book Antiqua" w:eastAsia="宋体" w:cs="宋体"/>
          <w:lang w:eastAsia="zh-CN"/>
        </w:rPr>
        <w:t xml:space="preserve">, Strosberg JR. Gastroenteropancreatic Neuroendocrine Tumors. </w:t>
      </w:r>
      <w:r>
        <w:rPr>
          <w:rFonts w:ascii="Book Antiqua" w:hAnsi="Book Antiqua" w:eastAsia="宋体" w:cs="宋体"/>
          <w:i/>
          <w:iCs/>
          <w:lang w:eastAsia="zh-CN"/>
        </w:rPr>
        <w:t>CA Cancer J Clin</w:t>
      </w:r>
      <w:r>
        <w:rPr>
          <w:rFonts w:ascii="Book Antiqua" w:hAnsi="Book Antiqua" w:eastAsia="宋体" w:cs="宋体"/>
          <w:lang w:eastAsia="zh-CN"/>
        </w:rPr>
        <w:t xml:space="preserve"> 2018; </w:t>
      </w:r>
      <w:r>
        <w:rPr>
          <w:rFonts w:ascii="Book Antiqua" w:hAnsi="Book Antiqua" w:eastAsia="宋体" w:cs="宋体"/>
          <w:b/>
          <w:bCs/>
          <w:lang w:eastAsia="zh-CN"/>
        </w:rPr>
        <w:t>68</w:t>
      </w:r>
      <w:r>
        <w:rPr>
          <w:rFonts w:ascii="Book Antiqua" w:hAnsi="Book Antiqua" w:eastAsia="宋体" w:cs="宋体"/>
          <w:lang w:eastAsia="zh-CN"/>
        </w:rPr>
        <w:t>: 471-487 [PMID: 30295930 DOI: 10.3322/caac.21493]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Govind D</w:t>
      </w:r>
      <w:r>
        <w:rPr>
          <w:rFonts w:ascii="Book Antiqua" w:hAnsi="Book Antiqua" w:eastAsia="宋体" w:cs="宋体"/>
          <w:lang w:eastAsia="zh-CN"/>
        </w:rPr>
        <w:t xml:space="preserve">, Jen KY, Matsukuma K, Gao G, Olson KA, Gui D, Wilding GE, Border SP, Sarder P. Improving the accuracy of gastrointestinal neuroendocrine tumor grading with deep learning. </w:t>
      </w:r>
      <w:r>
        <w:rPr>
          <w:rFonts w:ascii="Book Antiqua" w:hAnsi="Book Antiqua" w:eastAsia="宋体" w:cs="宋体"/>
          <w:i/>
          <w:iCs/>
          <w:lang w:eastAsia="zh-CN"/>
        </w:rPr>
        <w:t>Sci Rep</w:t>
      </w:r>
      <w:r>
        <w:rPr>
          <w:rFonts w:ascii="Book Antiqua" w:hAnsi="Book Antiqua" w:eastAsia="宋体" w:cs="宋体"/>
          <w:lang w:eastAsia="zh-CN"/>
        </w:rPr>
        <w:t xml:space="preserve"> 2020; </w:t>
      </w:r>
      <w:r>
        <w:rPr>
          <w:rFonts w:ascii="Book Antiqua" w:hAnsi="Book Antiqua" w:eastAsia="宋体" w:cs="宋体"/>
          <w:b/>
          <w:bCs/>
          <w:lang w:eastAsia="zh-CN"/>
        </w:rPr>
        <w:t>10</w:t>
      </w:r>
      <w:r>
        <w:rPr>
          <w:rFonts w:ascii="Book Antiqua" w:hAnsi="Book Antiqua" w:eastAsia="宋体" w:cs="宋体"/>
          <w:lang w:eastAsia="zh-CN"/>
        </w:rPr>
        <w:t>: 11064 [PMID: 32632119 DOI: 10.1038/s41598-020-67880-z]</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Kaltenbach B</w:t>
      </w:r>
      <w:r>
        <w:rPr>
          <w:rFonts w:ascii="Book Antiqua" w:hAnsi="Book Antiqua" w:eastAsia="宋体" w:cs="宋体"/>
          <w:lang w:eastAsia="zh-CN"/>
        </w:rPr>
        <w:t xml:space="preserve">, Wichmann JL, Pfeifer S, Albrecht MH, Booz C, Lenga L, Hammerstingl R, D'Angelo T, Vogl TJ, Martin SS. Iodine quantification to distinguish hepatic neuroendocrine tumor metastasis from hepatocellular carcinoma at dual-source dual-energy liver CT. </w:t>
      </w:r>
      <w:r>
        <w:rPr>
          <w:rFonts w:ascii="Book Antiqua" w:hAnsi="Book Antiqua" w:eastAsia="宋体" w:cs="宋体"/>
          <w:i/>
          <w:iCs/>
          <w:lang w:eastAsia="zh-CN"/>
        </w:rPr>
        <w:t>Eur J Radiol</w:t>
      </w:r>
      <w:r>
        <w:rPr>
          <w:rFonts w:ascii="Book Antiqua" w:hAnsi="Book Antiqua" w:eastAsia="宋体" w:cs="宋体"/>
          <w:lang w:eastAsia="zh-CN"/>
        </w:rPr>
        <w:t xml:space="preserve"> 2018; </w:t>
      </w:r>
      <w:r>
        <w:rPr>
          <w:rFonts w:ascii="Book Antiqua" w:hAnsi="Book Antiqua" w:eastAsia="宋体" w:cs="宋体"/>
          <w:b/>
          <w:bCs/>
          <w:lang w:eastAsia="zh-CN"/>
        </w:rPr>
        <w:t>105</w:t>
      </w:r>
      <w:r>
        <w:rPr>
          <w:rFonts w:ascii="Book Antiqua" w:hAnsi="Book Antiqua" w:eastAsia="宋体" w:cs="宋体"/>
          <w:lang w:eastAsia="zh-CN"/>
        </w:rPr>
        <w:t>: 20-24 [PMID: 30017280 DOI: 10.1016/j.ejrad.2018.05.019]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Giesel FL</w:t>
      </w:r>
      <w:r>
        <w:rPr>
          <w:rFonts w:ascii="Book Antiqua" w:hAnsi="Book Antiqua" w:eastAsia="宋体" w:cs="宋体"/>
          <w:bCs/>
          <w:lang w:eastAsia="zh-CN"/>
        </w:rPr>
        <w:t xml:space="preserve">, Schneider F, Kratochwil C, Rath D, Moltz J, Holland-Letz T, Kauczor HU, Schwartz LH, Haberkorn U, Flechsig P. Correlation Between SUVmax and CT Radiomic Analysis Using Lymph Node Density in PET/CT-Based Lymph Node Staging. </w:t>
      </w:r>
      <w:r>
        <w:rPr>
          <w:rFonts w:ascii="Book Antiqua" w:hAnsi="Book Antiqua" w:eastAsia="宋体" w:cs="宋体"/>
          <w:bCs/>
          <w:i/>
          <w:lang w:eastAsia="zh-CN"/>
        </w:rPr>
        <w:t>J Nucl Med</w:t>
      </w:r>
      <w:r>
        <w:rPr>
          <w:rFonts w:ascii="Book Antiqua" w:hAnsi="Book Antiqua" w:eastAsia="宋体" w:cs="宋体"/>
          <w:bCs/>
          <w:lang w:eastAsia="zh-CN"/>
        </w:rPr>
        <w:t xml:space="preserve"> 2017;</w:t>
      </w:r>
      <w:r>
        <w:rPr>
          <w:rFonts w:hint="eastAsia" w:ascii="Book Antiqua" w:hAnsi="Book Antiqua" w:eastAsia="宋体" w:cs="宋体"/>
          <w:bCs/>
          <w:lang w:eastAsia="zh-CN"/>
        </w:rPr>
        <w:t xml:space="preserve"> </w:t>
      </w:r>
      <w:r>
        <w:rPr>
          <w:rFonts w:ascii="Book Antiqua" w:hAnsi="Book Antiqua" w:eastAsia="宋体" w:cs="宋体"/>
          <w:b/>
          <w:bCs/>
          <w:lang w:eastAsia="zh-CN"/>
        </w:rPr>
        <w:t>58</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282-287 </w:t>
      </w:r>
      <w:r>
        <w:rPr>
          <w:rFonts w:hint="eastAsia" w:ascii="Book Antiqua" w:hAnsi="Book Antiqua" w:eastAsia="宋体" w:cs="宋体"/>
          <w:bCs/>
          <w:lang w:eastAsia="zh-CN"/>
        </w:rPr>
        <w:t>[</w:t>
      </w:r>
      <w:r>
        <w:rPr>
          <w:rFonts w:ascii="Book Antiqua" w:hAnsi="Book Antiqua" w:eastAsia="宋体" w:cs="宋体"/>
          <w:bCs/>
          <w:lang w:eastAsia="zh-CN"/>
        </w:rPr>
        <w:t>PMID: 27660141</w:t>
      </w:r>
      <w:r>
        <w:rPr>
          <w:rFonts w:hint="eastAsia" w:ascii="Book Antiqua" w:hAnsi="Book Antiqua" w:eastAsia="宋体" w:cs="宋体"/>
          <w:bCs/>
          <w:lang w:eastAsia="zh-CN"/>
        </w:rPr>
        <w:t xml:space="preserve"> DOI</w:t>
      </w:r>
      <w:r>
        <w:rPr>
          <w:rFonts w:ascii="Book Antiqua" w:hAnsi="Book Antiqua" w:eastAsia="宋体" w:cs="宋体"/>
          <w:bCs/>
          <w:lang w:eastAsia="zh-CN"/>
        </w:rPr>
        <w:t>: 10.2967/jnumed.116.179648</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Hofland J</w:t>
      </w:r>
      <w:r>
        <w:rPr>
          <w:rFonts w:ascii="Book Antiqua" w:hAnsi="Book Antiqua" w:eastAsia="宋体" w:cs="宋体"/>
          <w:lang w:eastAsia="zh-CN"/>
        </w:rPr>
        <w:t xml:space="preserve">, Kaltsas G, de Herder WW. Advances in the Diagnosis and Management of Well-Differentiated Neuroendocrine Neoplasms. </w:t>
      </w:r>
      <w:r>
        <w:rPr>
          <w:rFonts w:ascii="Book Antiqua" w:hAnsi="Book Antiqua" w:eastAsia="宋体" w:cs="宋体"/>
          <w:i/>
          <w:iCs/>
          <w:lang w:eastAsia="zh-CN"/>
        </w:rPr>
        <w:t>Endocr Rev</w:t>
      </w:r>
      <w:r>
        <w:rPr>
          <w:rFonts w:ascii="Book Antiqua" w:hAnsi="Book Antiqua" w:eastAsia="宋体" w:cs="宋体"/>
          <w:lang w:eastAsia="zh-CN"/>
        </w:rPr>
        <w:t xml:space="preserve"> 2020; </w:t>
      </w:r>
      <w:r>
        <w:rPr>
          <w:rFonts w:ascii="Book Antiqua" w:hAnsi="Book Antiqua" w:eastAsia="宋体" w:cs="宋体"/>
          <w:b/>
          <w:bCs/>
          <w:lang w:eastAsia="zh-CN"/>
        </w:rPr>
        <w:t>41</w:t>
      </w:r>
      <w:r>
        <w:rPr>
          <w:rFonts w:ascii="Book Antiqua" w:hAnsi="Book Antiqua" w:eastAsia="宋体" w:cs="宋体"/>
          <w:lang w:eastAsia="zh-CN"/>
        </w:rPr>
        <w:t xml:space="preserve"> [PMID: 31555796 DOI: 10.1210/endrev/bnz004]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Keck KJ</w:t>
      </w:r>
      <w:r>
        <w:rPr>
          <w:rFonts w:ascii="Book Antiqua" w:hAnsi="Book Antiqua" w:eastAsia="宋体" w:cs="宋体"/>
          <w:lang w:eastAsia="zh-CN"/>
        </w:rPr>
        <w:t xml:space="preserve">, Maxwell JE, Menda Y, Bellizzi A, Dillon J, O'Dorisio TM, Howe JR. Identification of primary tumors in patients presenting with metastatic gastroenteropancreatic neuroendocrine tumors. </w:t>
      </w:r>
      <w:r>
        <w:rPr>
          <w:rFonts w:ascii="Book Antiqua" w:hAnsi="Book Antiqua" w:eastAsia="宋体" w:cs="宋体"/>
          <w:i/>
          <w:iCs/>
          <w:lang w:eastAsia="zh-CN"/>
        </w:rPr>
        <w:t>Surgery</w:t>
      </w:r>
      <w:r>
        <w:rPr>
          <w:rFonts w:ascii="Book Antiqua" w:hAnsi="Book Antiqua" w:eastAsia="宋体" w:cs="宋体"/>
          <w:lang w:eastAsia="zh-CN"/>
        </w:rPr>
        <w:t xml:space="preserve"> 2017; </w:t>
      </w:r>
      <w:r>
        <w:rPr>
          <w:rFonts w:ascii="Book Antiqua" w:hAnsi="Book Antiqua" w:eastAsia="宋体" w:cs="宋体"/>
          <w:b/>
          <w:bCs/>
          <w:lang w:eastAsia="zh-CN"/>
        </w:rPr>
        <w:t>161</w:t>
      </w:r>
      <w:r>
        <w:rPr>
          <w:rFonts w:ascii="Book Antiqua" w:hAnsi="Book Antiqua" w:eastAsia="宋体" w:cs="宋体"/>
          <w:lang w:eastAsia="zh-CN"/>
        </w:rPr>
        <w:t>: 272-279 [PMID: 27863780 DOI: 10.1016/j.surg.2016.05.055]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Pasquer A</w:t>
      </w:r>
      <w:r>
        <w:rPr>
          <w:rFonts w:ascii="Book Antiqua" w:hAnsi="Book Antiqua" w:eastAsia="宋体" w:cs="宋体"/>
          <w:lang w:eastAsia="zh-CN"/>
        </w:rPr>
        <w:t xml:space="preserve">, Walter T, Hervieu V, Forestier J, Scoazec JY, Lombard-Bohas C, Poncet G. Surgical Management of Small Bowel Neuroendocrine Tumors: Specific Requirements and Their Impact on Staging and Prognosis. </w:t>
      </w:r>
      <w:r>
        <w:rPr>
          <w:rFonts w:ascii="Book Antiqua" w:hAnsi="Book Antiqua" w:eastAsia="宋体" w:cs="宋体"/>
          <w:i/>
          <w:iCs/>
          <w:lang w:eastAsia="zh-CN"/>
        </w:rPr>
        <w:t>Ann Surg Oncol</w:t>
      </w:r>
      <w:r>
        <w:rPr>
          <w:rFonts w:ascii="Book Antiqua" w:hAnsi="Book Antiqua" w:eastAsia="宋体" w:cs="宋体"/>
          <w:lang w:eastAsia="zh-CN"/>
        </w:rPr>
        <w:t xml:space="preserve"> 2015; </w:t>
      </w:r>
      <w:r>
        <w:rPr>
          <w:rFonts w:ascii="Book Antiqua" w:hAnsi="Book Antiqua" w:eastAsia="宋体" w:cs="宋体"/>
          <w:b/>
          <w:bCs/>
          <w:lang w:eastAsia="zh-CN"/>
        </w:rPr>
        <w:t>22 Suppl 3</w:t>
      </w:r>
      <w:r>
        <w:rPr>
          <w:rFonts w:ascii="Book Antiqua" w:hAnsi="Book Antiqua" w:eastAsia="宋体" w:cs="宋体"/>
          <w:lang w:eastAsia="zh-CN"/>
        </w:rPr>
        <w:t>: S742-S749 [PMID: 26014153 DOI: 10.1245/s10434-015-4620-2]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Półtorak-Szymczak G</w:t>
      </w:r>
      <w:r>
        <w:rPr>
          <w:rFonts w:ascii="Book Antiqua" w:hAnsi="Book Antiqua" w:eastAsia="宋体" w:cs="宋体"/>
          <w:lang w:eastAsia="zh-CN"/>
        </w:rPr>
        <w:t xml:space="preserve">, Budlewski T, Furmanek MI, Wierzba W, Sklinda K, Walecki J, Mruk B. Radiological Imaging of Gastro-Entero-Pancreatic Neuroendocrine Tumors. The Review of Current Literature Emphasizing the Diagnostic Value of Chosen Imaging Methods. </w:t>
      </w:r>
      <w:r>
        <w:rPr>
          <w:rFonts w:ascii="Book Antiqua" w:hAnsi="Book Antiqua" w:eastAsia="宋体" w:cs="宋体"/>
          <w:i/>
          <w:iCs/>
          <w:lang w:eastAsia="zh-CN"/>
        </w:rPr>
        <w:t>Front Oncol</w:t>
      </w:r>
      <w:r>
        <w:rPr>
          <w:rFonts w:ascii="Book Antiqua" w:hAnsi="Book Antiqua" w:eastAsia="宋体" w:cs="宋体"/>
          <w:lang w:eastAsia="zh-CN"/>
        </w:rPr>
        <w:t xml:space="preserve"> 2021; </w:t>
      </w:r>
      <w:r>
        <w:rPr>
          <w:rFonts w:ascii="Book Antiqua" w:hAnsi="Book Antiqua" w:eastAsia="宋体" w:cs="宋体"/>
          <w:b/>
          <w:bCs/>
          <w:lang w:eastAsia="zh-CN"/>
        </w:rPr>
        <w:t>11</w:t>
      </w:r>
      <w:r>
        <w:rPr>
          <w:rFonts w:ascii="Book Antiqua" w:hAnsi="Book Antiqua" w:eastAsia="宋体" w:cs="宋体"/>
          <w:lang w:eastAsia="zh-CN"/>
        </w:rPr>
        <w:t>: 670233 [PMID: 34211845 DOI: 10.3389/fonc.2021.670233]</w:t>
      </w:r>
    </w:p>
    <w:p>
      <w:pPr>
        <w:shd w:val="clear" w:color="auto" w:fill="FFFFFF"/>
        <w:adjustRightInd w:val="0"/>
        <w:snapToGrid w:val="0"/>
        <w:spacing w:line="360" w:lineRule="auto"/>
        <w:jc w:val="both"/>
        <w:rPr>
          <w:rFonts w:ascii="Book Antiqua" w:hAnsi="Book Antiqua" w:eastAsia="宋体" w:cs="宋体"/>
          <w:bCs/>
          <w:lang w:eastAsia="zh-CN"/>
        </w:rPr>
      </w:pPr>
      <w:r>
        <w:rPr>
          <w:rFonts w:ascii="Book Antiqua" w:hAnsi="Book Antiqua" w:eastAsia="宋体" w:cs="宋体"/>
          <w:lang w:eastAsia="zh-CN"/>
        </w:rPr>
        <w:t xml:space="preserve">19 </w:t>
      </w:r>
      <w:r>
        <w:rPr>
          <w:rFonts w:ascii="Book Antiqua" w:hAnsi="Book Antiqua" w:eastAsia="宋体" w:cs="宋体"/>
          <w:b/>
          <w:bCs/>
          <w:lang w:eastAsia="zh-CN"/>
        </w:rPr>
        <w:t>Dromain C</w:t>
      </w:r>
      <w:r>
        <w:rPr>
          <w:rFonts w:ascii="Book Antiqua" w:hAnsi="Book Antiqua" w:eastAsia="宋体" w:cs="宋体"/>
          <w:bCs/>
          <w:lang w:eastAsia="zh-CN"/>
        </w:rPr>
        <w:t xml:space="preserve">, de Baere T, Lumbroso J, Caillet H, Laplanche A, Boige V, Ducreux M, Duvillard P, Elias D, Schlumberger M, Sigal R, Baudin E. Detection of liver metastases from endocrine tumors: a prospective comparison of somatostatin receptor scintigraphy, computed tomography, and magnetic resonance imaging. </w:t>
      </w:r>
      <w:r>
        <w:rPr>
          <w:rFonts w:ascii="Book Antiqua" w:hAnsi="Book Antiqua" w:eastAsia="宋体" w:cs="宋体"/>
          <w:bCs/>
          <w:i/>
          <w:lang w:eastAsia="zh-CN"/>
        </w:rPr>
        <w:t>J Clin Oncol</w:t>
      </w:r>
      <w:r>
        <w:rPr>
          <w:rFonts w:ascii="Book Antiqua" w:hAnsi="Book Antiqua" w:eastAsia="宋体" w:cs="宋体"/>
          <w:bCs/>
          <w:lang w:eastAsia="zh-CN"/>
        </w:rPr>
        <w:t xml:space="preserve"> 2005;</w:t>
      </w:r>
      <w:r>
        <w:rPr>
          <w:rFonts w:hint="eastAsia" w:ascii="Book Antiqua" w:hAnsi="Book Antiqua" w:eastAsia="宋体" w:cs="宋体"/>
          <w:bCs/>
          <w:lang w:eastAsia="zh-CN"/>
        </w:rPr>
        <w:t xml:space="preserve"> </w:t>
      </w:r>
      <w:r>
        <w:rPr>
          <w:rFonts w:ascii="Book Antiqua" w:hAnsi="Book Antiqua" w:eastAsia="宋体" w:cs="宋体"/>
          <w:b/>
          <w:bCs/>
          <w:lang w:eastAsia="zh-CN"/>
        </w:rPr>
        <w:t>23</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70-</w:t>
      </w:r>
      <w:r>
        <w:rPr>
          <w:rFonts w:hint="eastAsia" w:ascii="Book Antiqua" w:hAnsi="Book Antiqua" w:eastAsia="宋体" w:cs="宋体"/>
          <w:bCs/>
          <w:lang w:eastAsia="zh-CN"/>
        </w:rPr>
        <w:t>7</w:t>
      </w:r>
      <w:r>
        <w:rPr>
          <w:rFonts w:ascii="Book Antiqua" w:hAnsi="Book Antiqua" w:eastAsia="宋体" w:cs="宋体"/>
          <w:bCs/>
          <w:lang w:eastAsia="zh-CN"/>
        </w:rPr>
        <w:t xml:space="preserve">8 </w:t>
      </w:r>
      <w:r>
        <w:rPr>
          <w:rFonts w:hint="eastAsia" w:ascii="Book Antiqua" w:hAnsi="Book Antiqua" w:eastAsia="宋体" w:cs="宋体"/>
          <w:bCs/>
          <w:lang w:eastAsia="zh-CN"/>
        </w:rPr>
        <w:t>[</w:t>
      </w:r>
      <w:r>
        <w:rPr>
          <w:rFonts w:ascii="Book Antiqua" w:hAnsi="Book Antiqua" w:eastAsia="宋体" w:cs="宋体"/>
          <w:bCs/>
          <w:lang w:eastAsia="zh-CN"/>
        </w:rPr>
        <w:t>PMID: 15625361</w:t>
      </w:r>
      <w:r>
        <w:rPr>
          <w:rFonts w:hint="eastAsia" w:ascii="Book Antiqua" w:hAnsi="Book Antiqua" w:eastAsia="宋体" w:cs="宋体"/>
          <w:bCs/>
          <w:lang w:eastAsia="zh-CN"/>
        </w:rPr>
        <w:t xml:space="preserve"> DOI</w:t>
      </w:r>
      <w:r>
        <w:rPr>
          <w:rFonts w:ascii="Book Antiqua" w:hAnsi="Book Antiqua" w:eastAsia="宋体" w:cs="宋体"/>
          <w:bCs/>
          <w:lang w:eastAsia="zh-CN"/>
        </w:rPr>
        <w:t>: 10.1200/JCO.2005.01.013</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de Mestier L</w:t>
      </w:r>
      <w:r>
        <w:rPr>
          <w:rFonts w:ascii="Book Antiqua" w:hAnsi="Book Antiqua" w:eastAsia="宋体" w:cs="宋体"/>
          <w:bCs/>
          <w:lang w:eastAsia="zh-CN"/>
        </w:rPr>
        <w:t xml:space="preserve">, Lepage C, Baudin E, Coriat R, Courbon F, Couvelard A, Do Cao C, Frampas E, Gaujoux S, Gincul R, Goudet P, Lombard-Bohas C, Poncet G, Smith D, Ruszniewski P, Lecomte T, Bouché O, Walter T, Cadiot G; Thésaurus National de Cancérologie Digestive (TNCD). Digestive Neuroendocrine Neoplasms (NEN): French Intergroup clinical practice guidelines for diagnosis, treatment and follow-up (SNFGE, GTE, RENATEN, TENPATH, FFCD, GERCOR, UNICANCER, SFCD, SFED, SFRO, SFR). </w:t>
      </w:r>
      <w:r>
        <w:rPr>
          <w:rFonts w:ascii="Book Antiqua" w:hAnsi="Book Antiqua" w:eastAsia="宋体" w:cs="宋体"/>
          <w:bCs/>
          <w:i/>
          <w:lang w:eastAsia="zh-CN"/>
        </w:rPr>
        <w:t>Dig Liver Dis</w:t>
      </w:r>
      <w:r>
        <w:rPr>
          <w:rFonts w:ascii="Book Antiqua" w:hAnsi="Book Antiqua" w:eastAsia="宋体" w:cs="宋体"/>
          <w:bCs/>
          <w:lang w:eastAsia="zh-CN"/>
        </w:rPr>
        <w:t xml:space="preserve"> 2020;</w:t>
      </w:r>
      <w:r>
        <w:rPr>
          <w:rFonts w:hint="eastAsia" w:ascii="Book Antiqua" w:hAnsi="Book Antiqua" w:eastAsia="宋体" w:cs="宋体"/>
          <w:bCs/>
          <w:lang w:eastAsia="zh-CN"/>
        </w:rPr>
        <w:t xml:space="preserve"> </w:t>
      </w:r>
      <w:r>
        <w:rPr>
          <w:rFonts w:ascii="Book Antiqua" w:hAnsi="Book Antiqua" w:eastAsia="宋体" w:cs="宋体"/>
          <w:b/>
          <w:bCs/>
          <w:lang w:eastAsia="zh-CN"/>
        </w:rPr>
        <w:t>52</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473-492 </w:t>
      </w:r>
      <w:r>
        <w:rPr>
          <w:rFonts w:hint="eastAsia" w:ascii="Book Antiqua" w:hAnsi="Book Antiqua" w:eastAsia="宋体" w:cs="宋体"/>
          <w:bCs/>
          <w:lang w:eastAsia="zh-CN"/>
        </w:rPr>
        <w:t>[</w:t>
      </w:r>
      <w:r>
        <w:rPr>
          <w:rFonts w:ascii="Book Antiqua" w:hAnsi="Book Antiqua" w:eastAsia="宋体" w:cs="宋体"/>
          <w:bCs/>
          <w:lang w:eastAsia="zh-CN"/>
        </w:rPr>
        <w:t>PMID: 32234416</w:t>
      </w:r>
      <w:r>
        <w:rPr>
          <w:rFonts w:hint="eastAsia" w:ascii="Book Antiqua" w:hAnsi="Book Antiqua" w:eastAsia="宋体" w:cs="宋体"/>
          <w:bCs/>
          <w:lang w:eastAsia="zh-CN"/>
        </w:rPr>
        <w:t xml:space="preserve"> DOI</w:t>
      </w:r>
      <w:r>
        <w:rPr>
          <w:rFonts w:ascii="Book Antiqua" w:hAnsi="Book Antiqua" w:eastAsia="宋体" w:cs="宋体"/>
          <w:bCs/>
          <w:lang w:eastAsia="zh-CN"/>
        </w:rPr>
        <w:t>: 10.1016/j.dld.2020.02.011</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21 </w:t>
      </w:r>
      <w:r>
        <w:rPr>
          <w:rFonts w:ascii="Book Antiqua" w:hAnsi="Book Antiqua" w:eastAsia="宋体" w:cs="宋体"/>
          <w:b/>
          <w:bCs/>
          <w:lang w:eastAsia="zh-CN"/>
        </w:rPr>
        <w:t>Moryoussef F</w:t>
      </w:r>
      <w:r>
        <w:rPr>
          <w:rFonts w:ascii="Book Antiqua" w:hAnsi="Book Antiqua" w:eastAsia="宋体" w:cs="宋体"/>
          <w:lang w:eastAsia="zh-CN"/>
        </w:rPr>
        <w:t xml:space="preserve">, de Mestier L, Belkebir M, Deguelte-Lardière S, Brixi H, Kianmanesh R, Hoeffel C, Cadiot G. Impact of Liver and Whole-Body Diffusion-Weighted MRI for Neuroendocrine Tumors on Patient Management: A Pilot Study. </w:t>
      </w:r>
      <w:r>
        <w:rPr>
          <w:rFonts w:ascii="Book Antiqua" w:hAnsi="Book Antiqua" w:eastAsia="宋体" w:cs="宋体"/>
          <w:i/>
          <w:iCs/>
          <w:lang w:eastAsia="zh-CN"/>
        </w:rPr>
        <w:t>Neuroendocrinology</w:t>
      </w:r>
      <w:r>
        <w:rPr>
          <w:rFonts w:ascii="Book Antiqua" w:hAnsi="Book Antiqua" w:eastAsia="宋体" w:cs="宋体"/>
          <w:lang w:eastAsia="zh-CN"/>
        </w:rPr>
        <w:t xml:space="preserve"> 2017; </w:t>
      </w:r>
      <w:r>
        <w:rPr>
          <w:rFonts w:ascii="Book Antiqua" w:hAnsi="Book Antiqua" w:eastAsia="宋体" w:cs="宋体"/>
          <w:b/>
          <w:bCs/>
          <w:lang w:eastAsia="zh-CN"/>
        </w:rPr>
        <w:t>104</w:t>
      </w:r>
      <w:r>
        <w:rPr>
          <w:rFonts w:ascii="Book Antiqua" w:hAnsi="Book Antiqua" w:eastAsia="宋体" w:cs="宋体"/>
          <w:lang w:eastAsia="zh-CN"/>
        </w:rPr>
        <w:t>: 264-272 [PMID: 27120316 DOI: 10.1159/000446369]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22 </w:t>
      </w:r>
      <w:r>
        <w:rPr>
          <w:rFonts w:ascii="Book Antiqua" w:hAnsi="Book Antiqua" w:eastAsia="宋体" w:cs="宋体"/>
          <w:b/>
          <w:bCs/>
          <w:lang w:eastAsia="zh-CN"/>
        </w:rPr>
        <w:t>Flechsig P</w:t>
      </w:r>
      <w:r>
        <w:rPr>
          <w:rFonts w:ascii="Book Antiqua" w:hAnsi="Book Antiqua" w:eastAsia="宋体" w:cs="宋体"/>
          <w:bCs/>
          <w:lang w:eastAsia="zh-CN"/>
        </w:rPr>
        <w:t xml:space="preserve">, Zechmann CM, Schreiweis J, Kratochwil C, Rath D, Schwartz LH, Schlemmer HP, Kauczor HU, Haberkorn U, Giesel FL. Qualitative and quantitative image analysis of CT and MR imaging in patients with neuroendocrine liver metastases in comparison to (68)Ga-DOTATOC PET. </w:t>
      </w:r>
      <w:r>
        <w:rPr>
          <w:rFonts w:ascii="Book Antiqua" w:hAnsi="Book Antiqua" w:eastAsia="宋体" w:cs="宋体"/>
          <w:bCs/>
          <w:i/>
          <w:lang w:eastAsia="zh-CN"/>
        </w:rPr>
        <w:t>Eur J Radiol</w:t>
      </w:r>
      <w:r>
        <w:rPr>
          <w:rFonts w:ascii="Book Antiqua" w:hAnsi="Book Antiqua" w:eastAsia="宋体" w:cs="宋体"/>
          <w:bCs/>
          <w:lang w:eastAsia="zh-CN"/>
        </w:rPr>
        <w:t xml:space="preserve"> 2015;</w:t>
      </w:r>
      <w:r>
        <w:rPr>
          <w:rFonts w:hint="eastAsia" w:ascii="Book Antiqua" w:hAnsi="Book Antiqua" w:eastAsia="宋体" w:cs="宋体"/>
          <w:bCs/>
          <w:lang w:eastAsia="zh-CN"/>
        </w:rPr>
        <w:t xml:space="preserve"> </w:t>
      </w:r>
      <w:r>
        <w:rPr>
          <w:rFonts w:ascii="Book Antiqua" w:hAnsi="Book Antiqua" w:eastAsia="宋体" w:cs="宋体"/>
          <w:b/>
          <w:bCs/>
          <w:lang w:eastAsia="zh-CN"/>
        </w:rPr>
        <w:t>84</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1593-1600 </w:t>
      </w:r>
      <w:r>
        <w:rPr>
          <w:rFonts w:hint="eastAsia" w:ascii="Book Antiqua" w:hAnsi="Book Antiqua" w:eastAsia="宋体" w:cs="宋体"/>
          <w:bCs/>
          <w:lang w:eastAsia="zh-CN"/>
        </w:rPr>
        <w:t>[</w:t>
      </w:r>
      <w:r>
        <w:rPr>
          <w:rFonts w:ascii="Book Antiqua" w:hAnsi="Book Antiqua" w:eastAsia="宋体" w:cs="宋体"/>
          <w:bCs/>
          <w:lang w:eastAsia="zh-CN"/>
        </w:rPr>
        <w:t>PMID: 25999064</w:t>
      </w:r>
      <w:r>
        <w:rPr>
          <w:rFonts w:hint="eastAsia" w:ascii="Book Antiqua" w:hAnsi="Book Antiqua" w:eastAsia="宋体" w:cs="宋体"/>
          <w:bCs/>
          <w:lang w:eastAsia="zh-CN"/>
        </w:rPr>
        <w:t xml:space="preserve"> DOI</w:t>
      </w:r>
      <w:r>
        <w:rPr>
          <w:rFonts w:ascii="Book Antiqua" w:hAnsi="Book Antiqua" w:eastAsia="宋体" w:cs="宋体"/>
          <w:bCs/>
          <w:lang w:eastAsia="zh-CN"/>
        </w:rPr>
        <w:t>: 10.1016/j.ejrad.2015.04.009</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23 </w:t>
      </w:r>
      <w:r>
        <w:rPr>
          <w:rFonts w:ascii="Book Antiqua" w:hAnsi="Book Antiqua" w:eastAsia="宋体" w:cs="宋体"/>
          <w:b/>
          <w:bCs/>
          <w:lang w:eastAsia="zh-CN"/>
        </w:rPr>
        <w:t>Li X</w:t>
      </w:r>
      <w:r>
        <w:rPr>
          <w:rFonts w:ascii="Book Antiqua" w:hAnsi="Book Antiqua" w:eastAsia="宋体" w:cs="宋体"/>
          <w:lang w:eastAsia="zh-CN"/>
        </w:rPr>
        <w:t xml:space="preserve">, Zhu H, Qian X, Chen N, Lin X. MRI Texture Analysis for Differentiating Nonfunctional Pancreatic Neuroendocrine Neoplasms From Solid Pseudopapillary Neoplasms of the Pancreas. </w:t>
      </w:r>
      <w:r>
        <w:rPr>
          <w:rFonts w:ascii="Book Antiqua" w:hAnsi="Book Antiqua" w:eastAsia="宋体" w:cs="宋体"/>
          <w:i/>
          <w:iCs/>
          <w:lang w:eastAsia="zh-CN"/>
        </w:rPr>
        <w:t>Acad Radiol</w:t>
      </w:r>
      <w:r>
        <w:rPr>
          <w:rFonts w:ascii="Book Antiqua" w:hAnsi="Book Antiqua" w:eastAsia="宋体" w:cs="宋体"/>
          <w:lang w:eastAsia="zh-CN"/>
        </w:rPr>
        <w:t xml:space="preserve"> 2020; </w:t>
      </w:r>
      <w:r>
        <w:rPr>
          <w:rFonts w:ascii="Book Antiqua" w:hAnsi="Book Antiqua" w:eastAsia="宋体" w:cs="宋体"/>
          <w:b/>
          <w:bCs/>
          <w:lang w:eastAsia="zh-CN"/>
        </w:rPr>
        <w:t>27</w:t>
      </w:r>
      <w:r>
        <w:rPr>
          <w:rFonts w:ascii="Book Antiqua" w:hAnsi="Book Antiqua" w:eastAsia="宋体" w:cs="宋体"/>
          <w:lang w:eastAsia="zh-CN"/>
        </w:rPr>
        <w:t>: 815-823 [PMID: 31444110 DOI: 10.1016/j.acra.2019.07.012]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24 </w:t>
      </w:r>
      <w:r>
        <w:rPr>
          <w:rFonts w:ascii="Book Antiqua" w:hAnsi="Book Antiqua" w:eastAsia="宋体" w:cs="宋体"/>
          <w:b/>
          <w:bCs/>
          <w:lang w:eastAsia="zh-CN"/>
        </w:rPr>
        <w:t>Shindo T</w:t>
      </w:r>
      <w:r>
        <w:rPr>
          <w:rFonts w:ascii="Book Antiqua" w:hAnsi="Book Antiqua" w:eastAsia="宋体" w:cs="宋体"/>
          <w:lang w:eastAsia="zh-CN"/>
        </w:rPr>
        <w:t xml:space="preserve">, Fukukura Y, Umanodan T, Takumi K, Hakamada H, Nakajo M, Umanodan A, Ideue J, Kamimura K, Yoshiura T. Histogram Analysis of Apparent Diffusion Coefficient in Differentiating Pancreatic Adenocarcinoma and Neuroendocrine Tumor. </w:t>
      </w:r>
      <w:r>
        <w:rPr>
          <w:rFonts w:ascii="Book Antiqua" w:hAnsi="Book Antiqua" w:eastAsia="宋体" w:cs="宋体"/>
          <w:i/>
          <w:iCs/>
          <w:lang w:eastAsia="zh-CN"/>
        </w:rPr>
        <w:t>Medicine (Baltimore)</w:t>
      </w:r>
      <w:r>
        <w:rPr>
          <w:rFonts w:ascii="Book Antiqua" w:hAnsi="Book Antiqua" w:eastAsia="宋体" w:cs="宋体"/>
          <w:lang w:eastAsia="zh-CN"/>
        </w:rPr>
        <w:t xml:space="preserve"> 2016; </w:t>
      </w:r>
      <w:r>
        <w:rPr>
          <w:rFonts w:ascii="Book Antiqua" w:hAnsi="Book Antiqua" w:eastAsia="宋体" w:cs="宋体"/>
          <w:b/>
          <w:bCs/>
          <w:lang w:eastAsia="zh-CN"/>
        </w:rPr>
        <w:t>95</w:t>
      </w:r>
      <w:r>
        <w:rPr>
          <w:rFonts w:ascii="Book Antiqua" w:hAnsi="Book Antiqua" w:eastAsia="宋体" w:cs="宋体"/>
          <w:lang w:eastAsia="zh-CN"/>
        </w:rPr>
        <w:t>: e2574 [PMID: 26825900 DOI: 10.1097/MD.0000000000002574]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25 </w:t>
      </w:r>
      <w:r>
        <w:rPr>
          <w:rFonts w:ascii="Book Antiqua" w:hAnsi="Book Antiqua" w:eastAsia="宋体" w:cs="宋体"/>
          <w:b/>
          <w:bCs/>
          <w:lang w:eastAsia="zh-CN"/>
        </w:rPr>
        <w:t>Guo C</w:t>
      </w:r>
      <w:r>
        <w:rPr>
          <w:rFonts w:ascii="Book Antiqua" w:hAnsi="Book Antiqua" w:eastAsia="宋体" w:cs="宋体"/>
          <w:bCs/>
          <w:lang w:eastAsia="zh-CN"/>
        </w:rPr>
        <w:t xml:space="preserve">, Zhuge X, Wang Z, Wang Q, Sun K, Feng Z, Chen X. Textural analysis on contrast-enhanced CT in pancreatic neuroendocrine neoplasms: association with WHO grade. </w:t>
      </w:r>
      <w:r>
        <w:rPr>
          <w:rFonts w:ascii="Book Antiqua" w:hAnsi="Book Antiqua" w:eastAsia="宋体" w:cs="宋体"/>
          <w:bCs/>
          <w:i/>
          <w:lang w:eastAsia="zh-CN"/>
        </w:rPr>
        <w:t>Abdom Radiol (NY)</w:t>
      </w:r>
      <w:r>
        <w:rPr>
          <w:rFonts w:ascii="Book Antiqua" w:hAnsi="Book Antiqua" w:eastAsia="宋体" w:cs="宋体"/>
          <w:bCs/>
          <w:lang w:eastAsia="zh-CN"/>
        </w:rPr>
        <w:t xml:space="preserve"> 2019;</w:t>
      </w:r>
      <w:r>
        <w:rPr>
          <w:rFonts w:hint="eastAsia" w:ascii="Book Antiqua" w:hAnsi="Book Antiqua" w:eastAsia="宋体" w:cs="宋体"/>
          <w:bCs/>
          <w:lang w:eastAsia="zh-CN"/>
        </w:rPr>
        <w:t xml:space="preserve"> </w:t>
      </w:r>
      <w:r>
        <w:rPr>
          <w:rFonts w:ascii="Book Antiqua" w:hAnsi="Book Antiqua" w:eastAsia="宋体" w:cs="宋体"/>
          <w:b/>
          <w:bCs/>
          <w:lang w:eastAsia="zh-CN"/>
        </w:rPr>
        <w:t>44</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576-585 </w:t>
      </w:r>
      <w:r>
        <w:rPr>
          <w:rFonts w:hint="eastAsia" w:ascii="Book Antiqua" w:hAnsi="Book Antiqua" w:eastAsia="宋体" w:cs="宋体"/>
          <w:bCs/>
          <w:lang w:eastAsia="zh-CN"/>
        </w:rPr>
        <w:t>[</w:t>
      </w:r>
      <w:r>
        <w:rPr>
          <w:rFonts w:ascii="Book Antiqua" w:hAnsi="Book Antiqua" w:eastAsia="宋体" w:cs="宋体"/>
          <w:bCs/>
          <w:lang w:eastAsia="zh-CN"/>
        </w:rPr>
        <w:t>PMID: 30182253</w:t>
      </w:r>
      <w:r>
        <w:rPr>
          <w:rFonts w:hint="eastAsia" w:ascii="Book Antiqua" w:hAnsi="Book Antiqua" w:eastAsia="宋体" w:cs="宋体"/>
          <w:bCs/>
          <w:lang w:eastAsia="zh-CN"/>
        </w:rPr>
        <w:t xml:space="preserve"> DOI</w:t>
      </w:r>
      <w:r>
        <w:rPr>
          <w:rFonts w:ascii="Book Antiqua" w:hAnsi="Book Antiqua" w:eastAsia="宋体" w:cs="宋体"/>
          <w:bCs/>
          <w:lang w:eastAsia="zh-CN"/>
        </w:rPr>
        <w:t>: 10.1007/s00261-018-1763-1</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26 </w:t>
      </w:r>
      <w:r>
        <w:rPr>
          <w:rFonts w:ascii="Book Antiqua" w:hAnsi="Book Antiqua" w:eastAsia="宋体" w:cs="宋体"/>
          <w:b/>
          <w:bCs/>
          <w:lang w:eastAsia="zh-CN"/>
        </w:rPr>
        <w:t>De Robertis R</w:t>
      </w:r>
      <w:r>
        <w:rPr>
          <w:rFonts w:ascii="Book Antiqua" w:hAnsi="Book Antiqua" w:eastAsia="宋体" w:cs="宋体"/>
          <w:lang w:eastAsia="zh-CN"/>
        </w:rPr>
        <w:t xml:space="preserve">, Maris B, Cardobi N, Tinazzi Martini P, Gobbo S, Capelli P, Ortolani S, Cingarlini S, Paiella S, Landoni L, Butturini G, Regi P, Scarpa A, Tortora G, D'Onofrio M. Can histogram analysis of MR images predict aggressiveness in pancreatic neuroendocrine tumors? </w:t>
      </w:r>
      <w:r>
        <w:rPr>
          <w:rFonts w:ascii="Book Antiqua" w:hAnsi="Book Antiqua" w:eastAsia="宋体" w:cs="宋体"/>
          <w:i/>
          <w:iCs/>
          <w:lang w:eastAsia="zh-CN"/>
        </w:rPr>
        <w:t>Eur Radiol</w:t>
      </w:r>
      <w:r>
        <w:rPr>
          <w:rFonts w:ascii="Book Antiqua" w:hAnsi="Book Antiqua" w:eastAsia="宋体" w:cs="宋体"/>
          <w:lang w:eastAsia="zh-CN"/>
        </w:rPr>
        <w:t xml:space="preserve"> 2018; </w:t>
      </w:r>
      <w:r>
        <w:rPr>
          <w:rFonts w:ascii="Book Antiqua" w:hAnsi="Book Antiqua" w:eastAsia="宋体" w:cs="宋体"/>
          <w:b/>
          <w:bCs/>
          <w:lang w:eastAsia="zh-CN"/>
        </w:rPr>
        <w:t>28</w:t>
      </w:r>
      <w:r>
        <w:rPr>
          <w:rFonts w:ascii="Book Antiqua" w:hAnsi="Book Antiqua" w:eastAsia="宋体" w:cs="宋体"/>
          <w:lang w:eastAsia="zh-CN"/>
        </w:rPr>
        <w:t>: 2582-2591 [PMID: 29352378 DOI: 10.1007/s00330-017-5236-7]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27 </w:t>
      </w:r>
      <w:r>
        <w:rPr>
          <w:rFonts w:ascii="Book Antiqua" w:hAnsi="Book Antiqua" w:eastAsia="宋体" w:cs="宋体"/>
          <w:b/>
          <w:bCs/>
          <w:lang w:eastAsia="zh-CN"/>
        </w:rPr>
        <w:t>Fernandes MR</w:t>
      </w:r>
      <w:r>
        <w:rPr>
          <w:rFonts w:ascii="Book Antiqua" w:hAnsi="Book Antiqua" w:eastAsia="宋体" w:cs="宋体"/>
          <w:lang w:eastAsia="zh-CN"/>
        </w:rPr>
        <w:t xml:space="preserve">, Ghezzi CLA, Grezzana-Filho TJ, Feier FH, Leipnitz I, Chedid AD, Cerski CTS, Chedid MF, Kruel CRP. Giant hepatic extra-gastrointestinal stromal tumor treated with cytoreductive surgery and adjuvant systemic therapy: A case report and review of literature. </w:t>
      </w:r>
      <w:r>
        <w:rPr>
          <w:rFonts w:ascii="Book Antiqua" w:hAnsi="Book Antiqua" w:eastAsia="宋体" w:cs="宋体"/>
          <w:i/>
          <w:iCs/>
          <w:lang w:eastAsia="zh-CN"/>
        </w:rPr>
        <w:t>World J Gastrointest Surg</w:t>
      </w:r>
      <w:r>
        <w:rPr>
          <w:rFonts w:ascii="Book Antiqua" w:hAnsi="Book Antiqua" w:eastAsia="宋体" w:cs="宋体"/>
          <w:lang w:eastAsia="zh-CN"/>
        </w:rPr>
        <w:t xml:space="preserve"> 2021; </w:t>
      </w:r>
      <w:r>
        <w:rPr>
          <w:rFonts w:ascii="Book Antiqua" w:hAnsi="Book Antiqua" w:eastAsia="宋体" w:cs="宋体"/>
          <w:b/>
          <w:bCs/>
          <w:lang w:eastAsia="zh-CN"/>
        </w:rPr>
        <w:t>13</w:t>
      </w:r>
      <w:r>
        <w:rPr>
          <w:rFonts w:ascii="Book Antiqua" w:hAnsi="Book Antiqua" w:eastAsia="宋体" w:cs="宋体"/>
          <w:lang w:eastAsia="zh-CN"/>
        </w:rPr>
        <w:t>: 315-322 [PMID: 33796218 DOI: 10.4240/wjgs.v13.i3.315]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28 </w:t>
      </w:r>
      <w:r>
        <w:rPr>
          <w:rFonts w:ascii="Book Antiqua" w:hAnsi="Book Antiqua" w:eastAsia="宋体" w:cs="宋体"/>
          <w:b/>
          <w:bCs/>
          <w:lang w:eastAsia="zh-CN"/>
        </w:rPr>
        <w:t>Van Binnebeek S</w:t>
      </w:r>
      <w:r>
        <w:rPr>
          <w:rFonts w:ascii="Book Antiqua" w:hAnsi="Book Antiqua" w:eastAsia="宋体" w:cs="宋体"/>
          <w:lang w:eastAsia="zh-CN"/>
        </w:rPr>
        <w:t xml:space="preserve">, Vanbilloen B, Baete K, Terwinghe C, Koole M, Mottaghy FM, Clement PM, Mortelmans L, Bogaerts K, Haustermans K, Nackaerts K, Van Cutsem E, Verslype C, Verbruggen A, Deroose CM. Comparison of diagnostic accuracy of (111)In-pentetreotide SPECT and (68)Ga-DOTATOC PET/CT: A lesion-by-lesion analysis in patients with metastatic neuroendocrine tumours. </w:t>
      </w:r>
      <w:r>
        <w:rPr>
          <w:rFonts w:ascii="Book Antiqua" w:hAnsi="Book Antiqua" w:eastAsia="宋体" w:cs="宋体"/>
          <w:i/>
          <w:iCs/>
          <w:lang w:eastAsia="zh-CN"/>
        </w:rPr>
        <w:t>Eur Radiol</w:t>
      </w:r>
      <w:r>
        <w:rPr>
          <w:rFonts w:ascii="Book Antiqua" w:hAnsi="Book Antiqua" w:eastAsia="宋体" w:cs="宋体"/>
          <w:lang w:eastAsia="zh-CN"/>
        </w:rPr>
        <w:t xml:space="preserve"> 2016; </w:t>
      </w:r>
      <w:r>
        <w:rPr>
          <w:rFonts w:ascii="Book Antiqua" w:hAnsi="Book Antiqua" w:eastAsia="宋体" w:cs="宋体"/>
          <w:b/>
          <w:bCs/>
          <w:lang w:eastAsia="zh-CN"/>
        </w:rPr>
        <w:t>26</w:t>
      </w:r>
      <w:r>
        <w:rPr>
          <w:rFonts w:ascii="Book Antiqua" w:hAnsi="Book Antiqua" w:eastAsia="宋体" w:cs="宋体"/>
          <w:lang w:eastAsia="zh-CN"/>
        </w:rPr>
        <w:t>: 900-909 [PMID: 26162577 DOI: 10.1007/s00330-015-3882-1]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29 </w:t>
      </w:r>
      <w:r>
        <w:rPr>
          <w:rFonts w:ascii="Book Antiqua" w:hAnsi="Book Antiqua" w:eastAsia="宋体" w:cs="宋体"/>
          <w:b/>
          <w:bCs/>
          <w:lang w:eastAsia="zh-CN"/>
        </w:rPr>
        <w:t>Geijer H</w:t>
      </w:r>
      <w:r>
        <w:rPr>
          <w:rFonts w:ascii="Book Antiqua" w:hAnsi="Book Antiqua" w:eastAsia="宋体" w:cs="宋体"/>
          <w:lang w:eastAsia="zh-CN"/>
        </w:rPr>
        <w:t xml:space="preserve">, Breimer LH. Somatostatin receptor PET/CT in neuroendocrine tumours: update on systematic review and meta-analysis.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2013; </w:t>
      </w:r>
      <w:r>
        <w:rPr>
          <w:rFonts w:ascii="Book Antiqua" w:hAnsi="Book Antiqua" w:eastAsia="宋体" w:cs="宋体"/>
          <w:b/>
          <w:bCs/>
          <w:lang w:eastAsia="zh-CN"/>
        </w:rPr>
        <w:t>40</w:t>
      </w:r>
      <w:r>
        <w:rPr>
          <w:rFonts w:ascii="Book Antiqua" w:hAnsi="Book Antiqua" w:eastAsia="宋体" w:cs="宋体"/>
          <w:lang w:eastAsia="zh-CN"/>
        </w:rPr>
        <w:t>: 1770-1780 [PMID: 23873003 DOI: 10.1007/s00259-013-2482-z]</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30 </w:t>
      </w:r>
      <w:r>
        <w:rPr>
          <w:rFonts w:ascii="Book Antiqua" w:hAnsi="Book Antiqua" w:eastAsia="宋体" w:cs="宋体"/>
          <w:b/>
          <w:bCs/>
          <w:lang w:eastAsia="zh-CN"/>
        </w:rPr>
        <w:t>Oberg K</w:t>
      </w:r>
      <w:r>
        <w:rPr>
          <w:rFonts w:ascii="Book Antiqua" w:hAnsi="Book Antiqua" w:eastAsia="宋体" w:cs="宋体"/>
          <w:lang w:eastAsia="zh-CN"/>
        </w:rPr>
        <w:t xml:space="preserve">, Krenning E, Sundin A, Bodei L, Kidd M, Tesselaar M, Ambrosini V, Baum RP, Kulke M, Pavel M, Cwikla J, Drozdov I, Falconi M, Fazio N, Frilling A, Jensen R, Koopmans K, Korse T, Kwekkeboom D, Maecke H, Paganelli G, Salazar R, Severi S, Strosberg J, Prasad V, Scarpa A, Grossman A, Walenkamp A, Cives M, Virgolini I, Kjaer A, Modlin IM. A Delphic consensus assessment: imaging and biomarkers in gastroenteropancreatic neuroendocrine tumor disease management. </w:t>
      </w:r>
      <w:r>
        <w:rPr>
          <w:rFonts w:ascii="Book Antiqua" w:hAnsi="Book Antiqua" w:eastAsia="宋体" w:cs="宋体"/>
          <w:i/>
          <w:iCs/>
          <w:lang w:eastAsia="zh-CN"/>
        </w:rPr>
        <w:t>Endocr Connect</w:t>
      </w:r>
      <w:r>
        <w:rPr>
          <w:rFonts w:ascii="Book Antiqua" w:hAnsi="Book Antiqua" w:eastAsia="宋体" w:cs="宋体"/>
          <w:lang w:eastAsia="zh-CN"/>
        </w:rPr>
        <w:t xml:space="preserve"> 2016; </w:t>
      </w:r>
      <w:r>
        <w:rPr>
          <w:rFonts w:ascii="Book Antiqua" w:hAnsi="Book Antiqua" w:eastAsia="宋体" w:cs="宋体"/>
          <w:b/>
          <w:bCs/>
          <w:lang w:eastAsia="zh-CN"/>
        </w:rPr>
        <w:t>5</w:t>
      </w:r>
      <w:r>
        <w:rPr>
          <w:rFonts w:ascii="Book Antiqua" w:hAnsi="Book Antiqua" w:eastAsia="宋体" w:cs="宋体"/>
          <w:lang w:eastAsia="zh-CN"/>
        </w:rPr>
        <w:t>: 174-187 [PMID: 27582247 DOI: 10.1530/EC-16-0043]</w:t>
      </w:r>
    </w:p>
    <w:p>
      <w:pPr>
        <w:shd w:val="clear" w:color="auto" w:fill="FFFFFF"/>
        <w:adjustRightInd w:val="0"/>
        <w:snapToGrid w:val="0"/>
        <w:spacing w:line="360" w:lineRule="auto"/>
        <w:jc w:val="both"/>
        <w:rPr>
          <w:rFonts w:ascii="Book Antiqua" w:hAnsi="Book Antiqua" w:eastAsia="宋体" w:cs="宋体"/>
          <w:bCs/>
          <w:lang w:eastAsia="zh-CN"/>
        </w:rPr>
      </w:pPr>
      <w:r>
        <w:rPr>
          <w:rFonts w:ascii="Book Antiqua" w:hAnsi="Book Antiqua" w:eastAsia="宋体" w:cs="宋体"/>
          <w:lang w:eastAsia="zh-CN"/>
        </w:rPr>
        <w:t xml:space="preserve">31 </w:t>
      </w:r>
      <w:r>
        <w:rPr>
          <w:rFonts w:ascii="Book Antiqua" w:hAnsi="Book Antiqua" w:eastAsia="宋体" w:cs="宋体"/>
          <w:b/>
          <w:bCs/>
          <w:lang w:eastAsia="zh-CN"/>
        </w:rPr>
        <w:t>Barrio M</w:t>
      </w:r>
      <w:r>
        <w:rPr>
          <w:rFonts w:ascii="Book Antiqua" w:hAnsi="Book Antiqua" w:eastAsia="宋体" w:cs="宋体"/>
          <w:bCs/>
          <w:lang w:eastAsia="zh-CN"/>
        </w:rPr>
        <w:t xml:space="preserve">, Czernin J, Fanti S, Ambrosini V, Binse I, Du L, Eiber M, Herrmann K, Fendler WP. The Impact of Somatostatin Receptor-Directed PET/CT on the Management of Patients with Neuroendocrine Tumor: A Systematic Review and Meta-Analysis. </w:t>
      </w:r>
      <w:r>
        <w:rPr>
          <w:rFonts w:ascii="Book Antiqua" w:hAnsi="Book Antiqua" w:eastAsia="宋体" w:cs="宋体"/>
          <w:bCs/>
          <w:i/>
          <w:lang w:eastAsia="zh-CN"/>
        </w:rPr>
        <w:t>J Nucl Med</w:t>
      </w:r>
      <w:r>
        <w:rPr>
          <w:rFonts w:ascii="Book Antiqua" w:hAnsi="Book Antiqua" w:eastAsia="宋体" w:cs="宋体"/>
          <w:bCs/>
          <w:lang w:eastAsia="zh-CN"/>
        </w:rPr>
        <w:t xml:space="preserve"> 2017;</w:t>
      </w:r>
      <w:r>
        <w:rPr>
          <w:rFonts w:hint="eastAsia" w:ascii="Book Antiqua" w:hAnsi="Book Antiqua" w:eastAsia="宋体" w:cs="宋体"/>
          <w:bCs/>
          <w:lang w:eastAsia="zh-CN"/>
        </w:rPr>
        <w:t xml:space="preserve"> </w:t>
      </w:r>
      <w:r>
        <w:rPr>
          <w:rFonts w:ascii="Book Antiqua" w:hAnsi="Book Antiqua" w:eastAsia="宋体" w:cs="宋体"/>
          <w:b/>
          <w:bCs/>
          <w:lang w:eastAsia="zh-CN"/>
        </w:rPr>
        <w:t>58</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756-761 </w:t>
      </w:r>
      <w:r>
        <w:rPr>
          <w:rFonts w:hint="eastAsia" w:ascii="Book Antiqua" w:hAnsi="Book Antiqua" w:eastAsia="宋体" w:cs="宋体"/>
          <w:bCs/>
          <w:lang w:eastAsia="zh-CN"/>
        </w:rPr>
        <w:t>[</w:t>
      </w:r>
      <w:r>
        <w:rPr>
          <w:rFonts w:ascii="Book Antiqua" w:hAnsi="Book Antiqua" w:eastAsia="宋体" w:cs="宋体"/>
          <w:bCs/>
          <w:lang w:eastAsia="zh-CN"/>
        </w:rPr>
        <w:t>PMID: 28082438</w:t>
      </w:r>
      <w:r>
        <w:rPr>
          <w:rFonts w:hint="eastAsia" w:ascii="Book Antiqua" w:hAnsi="Book Antiqua" w:eastAsia="宋体" w:cs="宋体"/>
          <w:bCs/>
          <w:lang w:eastAsia="zh-CN"/>
        </w:rPr>
        <w:t xml:space="preserve"> DOI</w:t>
      </w:r>
      <w:r>
        <w:rPr>
          <w:rFonts w:ascii="Book Antiqua" w:hAnsi="Book Antiqua" w:eastAsia="宋体" w:cs="宋体"/>
          <w:bCs/>
          <w:lang w:eastAsia="zh-CN"/>
        </w:rPr>
        <w:t>: 10.2967/jnumed.116.185587</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32 </w:t>
      </w:r>
      <w:r>
        <w:rPr>
          <w:rFonts w:ascii="Book Antiqua" w:hAnsi="Book Antiqua" w:eastAsia="宋体" w:cs="宋体"/>
          <w:b/>
          <w:bCs/>
          <w:lang w:eastAsia="zh-CN"/>
        </w:rPr>
        <w:t>Crown A</w:t>
      </w:r>
      <w:r>
        <w:rPr>
          <w:rFonts w:ascii="Book Antiqua" w:hAnsi="Book Antiqua" w:eastAsia="宋体" w:cs="宋体"/>
          <w:lang w:eastAsia="zh-CN"/>
        </w:rPr>
        <w:t xml:space="preserve">, Rocha FG, Raghu P, Lin B, Funk G, Alseidi A, Hubka M, Rosales J, Lee M, Kennecke H. Impact of initial imaging with gallium-68 dotatate PET/CT on diagnosis and management of patients with neuroendocrine tumors. </w:t>
      </w:r>
      <w:r>
        <w:rPr>
          <w:rFonts w:ascii="Book Antiqua" w:hAnsi="Book Antiqua" w:eastAsia="宋体" w:cs="宋体"/>
          <w:i/>
          <w:iCs/>
          <w:lang w:eastAsia="zh-CN"/>
        </w:rPr>
        <w:t>J Surg Oncol</w:t>
      </w:r>
      <w:r>
        <w:rPr>
          <w:rFonts w:ascii="Book Antiqua" w:hAnsi="Book Antiqua" w:eastAsia="宋体" w:cs="宋体"/>
          <w:lang w:eastAsia="zh-CN"/>
        </w:rPr>
        <w:t xml:space="preserve"> 2020; </w:t>
      </w:r>
      <w:r>
        <w:rPr>
          <w:rFonts w:ascii="Book Antiqua" w:hAnsi="Book Antiqua" w:eastAsia="宋体" w:cs="宋体"/>
          <w:b/>
          <w:bCs/>
          <w:lang w:eastAsia="zh-CN"/>
        </w:rPr>
        <w:t>121</w:t>
      </w:r>
      <w:r>
        <w:rPr>
          <w:rFonts w:ascii="Book Antiqua" w:hAnsi="Book Antiqua" w:eastAsia="宋体" w:cs="宋体"/>
          <w:lang w:eastAsia="zh-CN"/>
        </w:rPr>
        <w:t>: 480-485 [PMID: 31853990 DOI: 10.1002/jso.25812]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33 </w:t>
      </w:r>
      <w:r>
        <w:rPr>
          <w:rFonts w:ascii="Book Antiqua" w:hAnsi="Book Antiqua" w:eastAsia="宋体" w:cs="宋体"/>
          <w:b/>
          <w:bCs/>
          <w:lang w:eastAsia="zh-CN"/>
        </w:rPr>
        <w:t>Gabriel M</w:t>
      </w:r>
      <w:r>
        <w:rPr>
          <w:rFonts w:ascii="Book Antiqua" w:hAnsi="Book Antiqua" w:eastAsia="宋体" w:cs="宋体"/>
          <w:bCs/>
          <w:lang w:eastAsia="zh-CN"/>
        </w:rPr>
        <w:t xml:space="preserve">, Decristoforo C, Kendler D, Dobrozemsky G, Heute D, Uprimny C, Kovacs P, Von Guggenberg E, Bale R, Virgolini IJ. 68Ga-DOTA-Tyr3-octreotide PET in neuroendocrine tumors: comparison with somatostatin receptor scintigraphy and CT. </w:t>
      </w:r>
      <w:r>
        <w:rPr>
          <w:rFonts w:ascii="Book Antiqua" w:hAnsi="Book Antiqua" w:eastAsia="宋体" w:cs="宋体"/>
          <w:bCs/>
          <w:i/>
          <w:lang w:eastAsia="zh-CN"/>
        </w:rPr>
        <w:t>J Nucl Med</w:t>
      </w:r>
      <w:r>
        <w:rPr>
          <w:rFonts w:ascii="Book Antiqua" w:hAnsi="Book Antiqua" w:eastAsia="宋体" w:cs="宋体"/>
          <w:bCs/>
          <w:lang w:eastAsia="zh-CN"/>
        </w:rPr>
        <w:t xml:space="preserve"> 2007;</w:t>
      </w:r>
      <w:r>
        <w:rPr>
          <w:rFonts w:hint="eastAsia" w:ascii="Book Antiqua" w:hAnsi="Book Antiqua" w:eastAsia="宋体" w:cs="宋体"/>
          <w:bCs/>
          <w:lang w:eastAsia="zh-CN"/>
        </w:rPr>
        <w:t xml:space="preserve"> </w:t>
      </w:r>
      <w:r>
        <w:rPr>
          <w:rFonts w:ascii="Book Antiqua" w:hAnsi="Book Antiqua" w:eastAsia="宋体" w:cs="宋体"/>
          <w:b/>
          <w:bCs/>
          <w:lang w:eastAsia="zh-CN"/>
        </w:rPr>
        <w:t>48</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508-</w:t>
      </w:r>
      <w:r>
        <w:rPr>
          <w:rFonts w:hint="eastAsia" w:ascii="Book Antiqua" w:hAnsi="Book Antiqua" w:eastAsia="宋体" w:cs="宋体"/>
          <w:bCs/>
          <w:lang w:eastAsia="zh-CN"/>
        </w:rPr>
        <w:t>5</w:t>
      </w:r>
      <w:r>
        <w:rPr>
          <w:rFonts w:ascii="Book Antiqua" w:hAnsi="Book Antiqua" w:eastAsia="宋体" w:cs="宋体"/>
          <w:bCs/>
          <w:lang w:eastAsia="zh-CN"/>
        </w:rPr>
        <w:t xml:space="preserve">18 </w:t>
      </w:r>
      <w:r>
        <w:rPr>
          <w:rFonts w:hint="eastAsia" w:ascii="Book Antiqua" w:hAnsi="Book Antiqua" w:eastAsia="宋体" w:cs="宋体"/>
          <w:bCs/>
          <w:lang w:eastAsia="zh-CN"/>
        </w:rPr>
        <w:t>[</w:t>
      </w:r>
      <w:r>
        <w:rPr>
          <w:rFonts w:ascii="Book Antiqua" w:hAnsi="Book Antiqua" w:eastAsia="宋体" w:cs="宋体"/>
          <w:bCs/>
          <w:lang w:eastAsia="zh-CN"/>
        </w:rPr>
        <w:t>PMID: 17401086</w:t>
      </w:r>
      <w:r>
        <w:rPr>
          <w:rFonts w:hint="eastAsia" w:ascii="Book Antiqua" w:hAnsi="Book Antiqua" w:eastAsia="宋体" w:cs="宋体"/>
          <w:bCs/>
          <w:lang w:eastAsia="zh-CN"/>
        </w:rPr>
        <w:t xml:space="preserve"> DOI</w:t>
      </w:r>
      <w:r>
        <w:rPr>
          <w:rFonts w:ascii="Book Antiqua" w:hAnsi="Book Antiqua" w:eastAsia="宋体" w:cs="宋体"/>
          <w:bCs/>
          <w:lang w:eastAsia="zh-CN"/>
        </w:rPr>
        <w:t>: 10.2967/jnumed.106.035667</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34 </w:t>
      </w:r>
      <w:r>
        <w:rPr>
          <w:rFonts w:ascii="Book Antiqua" w:hAnsi="Book Antiqua" w:eastAsia="宋体" w:cs="宋体"/>
          <w:b/>
          <w:bCs/>
          <w:lang w:eastAsia="zh-CN"/>
        </w:rPr>
        <w:t>Srirajaskanthan R</w:t>
      </w:r>
      <w:r>
        <w:rPr>
          <w:rFonts w:ascii="Book Antiqua" w:hAnsi="Book Antiqua" w:eastAsia="宋体" w:cs="宋体"/>
          <w:lang w:eastAsia="zh-CN"/>
        </w:rPr>
        <w:t xml:space="preserve">, Kayani I, Quigley AM, Soh J, Caplin ME, Bomanji J. The role of 68Ga-DOTATATE PET in patients with neuroendocrine tumors and negative or equivocal findings on 111In-DTPA-octreotide scintigraphy. </w:t>
      </w:r>
      <w:r>
        <w:rPr>
          <w:rFonts w:ascii="Book Antiqua" w:hAnsi="Book Antiqua" w:eastAsia="宋体" w:cs="宋体"/>
          <w:i/>
          <w:iCs/>
          <w:lang w:eastAsia="zh-CN"/>
        </w:rPr>
        <w:t>J Nucl Med</w:t>
      </w:r>
      <w:r>
        <w:rPr>
          <w:rFonts w:ascii="Book Antiqua" w:hAnsi="Book Antiqua" w:eastAsia="宋体" w:cs="宋体"/>
          <w:lang w:eastAsia="zh-CN"/>
        </w:rPr>
        <w:t xml:space="preserve"> 2010; </w:t>
      </w:r>
      <w:r>
        <w:rPr>
          <w:rFonts w:ascii="Book Antiqua" w:hAnsi="Book Antiqua" w:eastAsia="宋体" w:cs="宋体"/>
          <w:b/>
          <w:bCs/>
          <w:lang w:eastAsia="zh-CN"/>
        </w:rPr>
        <w:t>51</w:t>
      </w:r>
      <w:r>
        <w:rPr>
          <w:rFonts w:ascii="Book Antiqua" w:hAnsi="Book Antiqua" w:eastAsia="宋体" w:cs="宋体"/>
          <w:lang w:eastAsia="zh-CN"/>
        </w:rPr>
        <w:t>: 875-882 [PMID: 20484441 DOI: 10.2967/jnumed.109.066134]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35 </w:t>
      </w:r>
      <w:r>
        <w:rPr>
          <w:rFonts w:ascii="Book Antiqua" w:hAnsi="Book Antiqua" w:eastAsia="宋体" w:cs="宋体"/>
          <w:b/>
          <w:bCs/>
          <w:lang w:eastAsia="zh-CN"/>
        </w:rPr>
        <w:t>Krenning EP</w:t>
      </w:r>
      <w:r>
        <w:rPr>
          <w:rFonts w:ascii="Book Antiqua" w:hAnsi="Book Antiqua" w:eastAsia="宋体" w:cs="宋体"/>
          <w:lang w:eastAsia="zh-CN"/>
        </w:rPr>
        <w:t xml:space="preserve">, Valkema R, Kwekkeboom DJ, de Herder WW, van Eijck CH, de Jong M, Pauwels S, Reubi JC. Molecular imaging as in vivo molecular pathology for gastroenteropancreatic neuroendocrine tumors: implications for follow-up after therapy. </w:t>
      </w:r>
      <w:r>
        <w:rPr>
          <w:rFonts w:ascii="Book Antiqua" w:hAnsi="Book Antiqua" w:eastAsia="宋体" w:cs="宋体"/>
          <w:i/>
          <w:iCs/>
          <w:lang w:eastAsia="zh-CN"/>
        </w:rPr>
        <w:t>J Nucl Med</w:t>
      </w:r>
      <w:r>
        <w:rPr>
          <w:rFonts w:ascii="Book Antiqua" w:hAnsi="Book Antiqua" w:eastAsia="宋体" w:cs="宋体"/>
          <w:lang w:eastAsia="zh-CN"/>
        </w:rPr>
        <w:t xml:space="preserve"> 2005; </w:t>
      </w:r>
      <w:r>
        <w:rPr>
          <w:rFonts w:ascii="Book Antiqua" w:hAnsi="Book Antiqua" w:eastAsia="宋体" w:cs="宋体"/>
          <w:b/>
          <w:bCs/>
          <w:lang w:eastAsia="zh-CN"/>
        </w:rPr>
        <w:t>46 Suppl 1</w:t>
      </w:r>
      <w:r>
        <w:rPr>
          <w:rFonts w:ascii="Book Antiqua" w:hAnsi="Book Antiqua" w:eastAsia="宋体" w:cs="宋体"/>
          <w:lang w:eastAsia="zh-CN"/>
        </w:rPr>
        <w:t>: 76S-82S [</w:t>
      </w:r>
      <w:bookmarkStart w:id="43" w:name="OLE_LINK348"/>
      <w:bookmarkStart w:id="44" w:name="OLE_LINK347"/>
      <w:r>
        <w:rPr>
          <w:rFonts w:ascii="Book Antiqua" w:hAnsi="Book Antiqua" w:eastAsia="宋体" w:cs="宋体"/>
          <w:lang w:eastAsia="zh-CN"/>
        </w:rPr>
        <w:t>PMID: 15653655</w:t>
      </w:r>
      <w:bookmarkEnd w:id="43"/>
      <w:bookmarkEnd w:id="44"/>
      <w:r>
        <w:rPr>
          <w:rFonts w:ascii="Book Antiqua" w:hAnsi="Book Antiqua" w:eastAsia="宋体" w:cs="宋体"/>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36 </w:t>
      </w:r>
      <w:r>
        <w:rPr>
          <w:rFonts w:ascii="Book Antiqua" w:hAnsi="Book Antiqua" w:eastAsia="宋体" w:cs="宋体"/>
          <w:b/>
          <w:bCs/>
          <w:lang w:eastAsia="zh-CN"/>
        </w:rPr>
        <w:t>Panagiotidis E</w:t>
      </w:r>
      <w:r>
        <w:rPr>
          <w:rFonts w:ascii="Book Antiqua" w:hAnsi="Book Antiqua" w:eastAsia="宋体" w:cs="宋体"/>
          <w:bCs/>
          <w:lang w:eastAsia="zh-CN"/>
        </w:rPr>
        <w:t xml:space="preserve">, Alshammari A, Michopoulou S, Skoura E, Naik K, Maragkoudakis E, Mohmaduvesh M, Al-Harbi M, Belda M, Caplin ME, Toumpanakis C, Bomanji J. Comparison of the Impact of 68Ga-DOTATATE and 18F-FDG PET/CT on Clinical Management in Patients with Neuroendocrine Tumors. </w:t>
      </w:r>
      <w:r>
        <w:rPr>
          <w:rFonts w:ascii="Book Antiqua" w:hAnsi="Book Antiqua" w:eastAsia="宋体" w:cs="宋体"/>
          <w:bCs/>
          <w:i/>
          <w:lang w:eastAsia="zh-CN"/>
        </w:rPr>
        <w:t xml:space="preserve">J Nucl Med </w:t>
      </w:r>
      <w:r>
        <w:rPr>
          <w:rFonts w:ascii="Book Antiqua" w:hAnsi="Book Antiqua" w:eastAsia="宋体" w:cs="宋体"/>
          <w:bCs/>
          <w:lang w:eastAsia="zh-CN"/>
        </w:rPr>
        <w:t>2017;</w:t>
      </w:r>
      <w:r>
        <w:rPr>
          <w:rFonts w:hint="eastAsia" w:ascii="Book Antiqua" w:hAnsi="Book Antiqua" w:eastAsia="宋体" w:cs="宋体"/>
          <w:bCs/>
          <w:lang w:eastAsia="zh-CN"/>
        </w:rPr>
        <w:t xml:space="preserve"> </w:t>
      </w:r>
      <w:r>
        <w:rPr>
          <w:rFonts w:ascii="Book Antiqua" w:hAnsi="Book Antiqua" w:eastAsia="宋体" w:cs="宋体"/>
          <w:b/>
          <w:bCs/>
          <w:lang w:eastAsia="zh-CN"/>
        </w:rPr>
        <w:t>58</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91-96 </w:t>
      </w:r>
      <w:r>
        <w:rPr>
          <w:rFonts w:hint="eastAsia" w:ascii="Book Antiqua" w:hAnsi="Book Antiqua" w:eastAsia="宋体" w:cs="宋体"/>
          <w:bCs/>
          <w:lang w:eastAsia="zh-CN"/>
        </w:rPr>
        <w:t>[</w:t>
      </w:r>
      <w:r>
        <w:rPr>
          <w:rFonts w:ascii="Book Antiqua" w:hAnsi="Book Antiqua" w:eastAsia="宋体" w:cs="宋体"/>
          <w:bCs/>
          <w:lang w:eastAsia="zh-CN"/>
        </w:rPr>
        <w:t>PMID: 27516446</w:t>
      </w:r>
      <w:r>
        <w:rPr>
          <w:rFonts w:hint="eastAsia" w:ascii="Book Antiqua" w:hAnsi="Book Antiqua" w:eastAsia="宋体" w:cs="宋体"/>
          <w:bCs/>
          <w:lang w:eastAsia="zh-CN"/>
        </w:rPr>
        <w:t xml:space="preserve"> DOI</w:t>
      </w:r>
      <w:r>
        <w:rPr>
          <w:rFonts w:ascii="Book Antiqua" w:hAnsi="Book Antiqua" w:eastAsia="宋体" w:cs="宋体"/>
          <w:bCs/>
          <w:lang w:eastAsia="zh-CN"/>
        </w:rPr>
        <w:t>: 10.2967/jnumed.116.178095</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37 </w:t>
      </w:r>
      <w:r>
        <w:rPr>
          <w:rFonts w:ascii="Book Antiqua" w:hAnsi="Book Antiqua" w:eastAsia="宋体" w:cs="宋体"/>
          <w:b/>
          <w:bCs/>
          <w:lang w:eastAsia="zh-CN"/>
        </w:rPr>
        <w:t>Zhang P</w:t>
      </w:r>
      <w:r>
        <w:rPr>
          <w:rFonts w:ascii="Book Antiqua" w:hAnsi="Book Antiqua" w:eastAsia="宋体" w:cs="宋体"/>
          <w:bCs/>
          <w:lang w:eastAsia="zh-CN"/>
        </w:rPr>
        <w:t xml:space="preserve">, Yu J, Li J, Shen L, Li N, Zhu H, Zhai S, Zhang Y, Yang Z, Lu M. Clinical and Prognostic Value of PET/CT Imaging with Combination of 68Ga-DOTATATE and 18F-FDG in Gastroenteropancreatic Neuroendocrine Neoplasms. </w:t>
      </w:r>
      <w:r>
        <w:rPr>
          <w:rFonts w:ascii="Book Antiqua" w:hAnsi="Book Antiqua" w:eastAsia="宋体" w:cs="宋体"/>
          <w:bCs/>
          <w:i/>
          <w:lang w:eastAsia="zh-CN"/>
        </w:rPr>
        <w:t>Contrast Media Mol Imaging</w:t>
      </w:r>
      <w:r>
        <w:rPr>
          <w:rFonts w:ascii="Book Antiqua" w:hAnsi="Book Antiqua" w:eastAsia="宋体" w:cs="宋体"/>
          <w:bCs/>
          <w:lang w:eastAsia="zh-CN"/>
        </w:rPr>
        <w:t xml:space="preserve"> 2018;</w:t>
      </w:r>
      <w:r>
        <w:rPr>
          <w:rFonts w:hint="eastAsia" w:ascii="Book Antiqua" w:hAnsi="Book Antiqua" w:eastAsia="宋体" w:cs="宋体"/>
          <w:bCs/>
          <w:lang w:eastAsia="zh-CN"/>
        </w:rPr>
        <w:t xml:space="preserve"> </w:t>
      </w:r>
      <w:r>
        <w:rPr>
          <w:rFonts w:ascii="Book Antiqua" w:hAnsi="Book Antiqua" w:eastAsia="宋体" w:cs="宋体"/>
          <w:b/>
          <w:bCs/>
          <w:lang w:eastAsia="zh-CN"/>
        </w:rPr>
        <w:t>2018</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2340389 </w:t>
      </w:r>
      <w:r>
        <w:rPr>
          <w:rFonts w:hint="eastAsia" w:ascii="Book Antiqua" w:hAnsi="Book Antiqua" w:eastAsia="宋体" w:cs="宋体"/>
          <w:bCs/>
          <w:lang w:eastAsia="zh-CN"/>
        </w:rPr>
        <w:t>[</w:t>
      </w:r>
      <w:r>
        <w:rPr>
          <w:rFonts w:ascii="Book Antiqua" w:hAnsi="Book Antiqua" w:eastAsia="宋体" w:cs="宋体"/>
          <w:bCs/>
          <w:lang w:eastAsia="zh-CN"/>
        </w:rPr>
        <w:t>PMID: 29681780</w:t>
      </w:r>
      <w:r>
        <w:rPr>
          <w:rFonts w:hint="eastAsia" w:ascii="Book Antiqua" w:hAnsi="Book Antiqua" w:eastAsia="宋体" w:cs="宋体"/>
          <w:bCs/>
          <w:lang w:eastAsia="zh-CN"/>
        </w:rPr>
        <w:t xml:space="preserve"> DOI</w:t>
      </w:r>
      <w:r>
        <w:rPr>
          <w:rFonts w:ascii="Book Antiqua" w:hAnsi="Book Antiqua" w:eastAsia="宋体" w:cs="宋体"/>
          <w:bCs/>
          <w:lang w:eastAsia="zh-CN"/>
        </w:rPr>
        <w:t>: 10.1155/2018/2340389</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38 </w:t>
      </w:r>
      <w:r>
        <w:rPr>
          <w:rFonts w:ascii="Book Antiqua" w:hAnsi="Book Antiqua" w:eastAsia="宋体" w:cs="宋体"/>
          <w:b/>
          <w:bCs/>
          <w:lang w:eastAsia="zh-CN"/>
        </w:rPr>
        <w:t>Chan DL</w:t>
      </w:r>
      <w:r>
        <w:rPr>
          <w:rFonts w:ascii="Book Antiqua" w:hAnsi="Book Antiqua" w:eastAsia="宋体" w:cs="宋体"/>
          <w:lang w:eastAsia="zh-CN"/>
        </w:rPr>
        <w:t xml:space="preserve">, Pavlakis N, Schembri GP, Bernard EJ, Hsiao E, Hayes A, Barnes T, Diakos C, Khasraw M, Samra J, Eslick E, Roach PJ, Engel A, Clarke SJ, Bailey DL. Dual Somatostatin Receptor/FDG PET/CT Imaging in Metastatic Neuroendocrine Tumours: Proposal for a Novel Grading Scheme with Prognostic Significance. </w:t>
      </w:r>
      <w:r>
        <w:rPr>
          <w:rFonts w:ascii="Book Antiqua" w:hAnsi="Book Antiqua" w:eastAsia="宋体" w:cs="宋体"/>
          <w:i/>
          <w:iCs/>
          <w:lang w:eastAsia="zh-CN"/>
        </w:rPr>
        <w:t>Theranostics</w:t>
      </w:r>
      <w:r>
        <w:rPr>
          <w:rFonts w:ascii="Book Antiqua" w:hAnsi="Book Antiqua" w:eastAsia="宋体" w:cs="宋体"/>
          <w:lang w:eastAsia="zh-CN"/>
        </w:rPr>
        <w:t xml:space="preserve"> 2017; </w:t>
      </w:r>
      <w:r>
        <w:rPr>
          <w:rFonts w:ascii="Book Antiqua" w:hAnsi="Book Antiqua" w:eastAsia="宋体" w:cs="宋体"/>
          <w:b/>
          <w:bCs/>
          <w:lang w:eastAsia="zh-CN"/>
        </w:rPr>
        <w:t>7</w:t>
      </w:r>
      <w:r>
        <w:rPr>
          <w:rFonts w:ascii="Book Antiqua" w:hAnsi="Book Antiqua" w:eastAsia="宋体" w:cs="宋体"/>
          <w:lang w:eastAsia="zh-CN"/>
        </w:rPr>
        <w:t>: 1149-1158 [PMID: 28435454 DOI: 10.7150/thno.18068]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39 </w:t>
      </w:r>
      <w:r>
        <w:rPr>
          <w:rFonts w:ascii="Book Antiqua" w:hAnsi="Book Antiqua" w:eastAsia="宋体" w:cs="宋体"/>
          <w:b/>
          <w:bCs/>
          <w:lang w:eastAsia="zh-CN"/>
        </w:rPr>
        <w:t>Papadakis GZ</w:t>
      </w:r>
      <w:r>
        <w:rPr>
          <w:rFonts w:ascii="Book Antiqua" w:hAnsi="Book Antiqua" w:eastAsia="宋体" w:cs="宋体"/>
          <w:lang w:eastAsia="zh-CN"/>
        </w:rPr>
        <w:t xml:space="preserve">, Karantanas AH, Marias K, Millo C. Current status and future prospects of PET-imaging applications in patients with gastro-entero-pancreatic neuroendocrine tumors (GEP-NETs). </w:t>
      </w:r>
      <w:r>
        <w:rPr>
          <w:rFonts w:ascii="Book Antiqua" w:hAnsi="Book Antiqua" w:eastAsia="宋体" w:cs="宋体"/>
          <w:i/>
          <w:iCs/>
          <w:lang w:eastAsia="zh-CN"/>
        </w:rPr>
        <w:t>Eur J Radiol</w:t>
      </w:r>
      <w:r>
        <w:rPr>
          <w:rFonts w:ascii="Book Antiqua" w:hAnsi="Book Antiqua" w:eastAsia="宋体" w:cs="宋体"/>
          <w:lang w:eastAsia="zh-CN"/>
        </w:rPr>
        <w:t xml:space="preserve"> 2021; </w:t>
      </w:r>
      <w:r>
        <w:rPr>
          <w:rFonts w:ascii="Book Antiqua" w:hAnsi="Book Antiqua" w:eastAsia="宋体" w:cs="宋体"/>
          <w:b/>
          <w:bCs/>
          <w:lang w:eastAsia="zh-CN"/>
        </w:rPr>
        <w:t>143</w:t>
      </w:r>
      <w:r>
        <w:rPr>
          <w:rFonts w:ascii="Book Antiqua" w:hAnsi="Book Antiqua" w:eastAsia="宋体" w:cs="宋体"/>
          <w:lang w:eastAsia="zh-CN"/>
        </w:rPr>
        <w:t>: 109932 [PMID: 34482177 DOI: 10.1016/j.ejrad.2021.109932]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40 </w:t>
      </w:r>
      <w:r>
        <w:rPr>
          <w:rFonts w:ascii="Book Antiqua" w:hAnsi="Book Antiqua" w:eastAsia="宋体" w:cs="宋体"/>
          <w:b/>
          <w:bCs/>
          <w:lang w:eastAsia="zh-CN"/>
        </w:rPr>
        <w:t>Johnbeck CB</w:t>
      </w:r>
      <w:r>
        <w:rPr>
          <w:rFonts w:ascii="Book Antiqua" w:hAnsi="Book Antiqua" w:eastAsia="宋体" w:cs="宋体"/>
          <w:bCs/>
          <w:lang w:eastAsia="zh-CN"/>
        </w:rPr>
        <w:t xml:space="preserve">, Knigge U, Loft A, Berthelsen AK, Mortensen J, Oturai P, Langer SW, Elema DR, Kjaer A. Head-to-Head Comparison of 64Cu-DOTATATE and 68Ga-DOTATOC PET/CT: A Prospective Study of 59 Patients with Neuroendocrine Tumors. </w:t>
      </w:r>
      <w:r>
        <w:rPr>
          <w:rFonts w:ascii="Book Antiqua" w:hAnsi="Book Antiqua" w:eastAsia="宋体" w:cs="宋体"/>
          <w:bCs/>
          <w:i/>
          <w:lang w:eastAsia="zh-CN"/>
        </w:rPr>
        <w:t>J Nucl Med</w:t>
      </w:r>
      <w:r>
        <w:rPr>
          <w:rFonts w:ascii="Book Antiqua" w:hAnsi="Book Antiqua" w:eastAsia="宋体" w:cs="宋体"/>
          <w:bCs/>
          <w:lang w:eastAsia="zh-CN"/>
        </w:rPr>
        <w:t xml:space="preserve"> 2017;</w:t>
      </w:r>
      <w:r>
        <w:rPr>
          <w:rFonts w:hint="eastAsia" w:ascii="Book Antiqua" w:hAnsi="Book Antiqua" w:eastAsia="宋体" w:cs="宋体"/>
          <w:bCs/>
          <w:lang w:eastAsia="zh-CN"/>
        </w:rPr>
        <w:t xml:space="preserve"> </w:t>
      </w:r>
      <w:r>
        <w:rPr>
          <w:rFonts w:ascii="Book Antiqua" w:hAnsi="Book Antiqua" w:eastAsia="宋体" w:cs="宋体"/>
          <w:b/>
          <w:bCs/>
          <w:lang w:eastAsia="zh-CN"/>
        </w:rPr>
        <w:t>58</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451-457 </w:t>
      </w:r>
      <w:r>
        <w:rPr>
          <w:rFonts w:hint="eastAsia" w:ascii="Book Antiqua" w:hAnsi="Book Antiqua" w:eastAsia="宋体" w:cs="宋体"/>
          <w:bCs/>
          <w:lang w:eastAsia="zh-CN"/>
        </w:rPr>
        <w:t>[</w:t>
      </w:r>
      <w:r>
        <w:rPr>
          <w:rFonts w:ascii="Book Antiqua" w:hAnsi="Book Antiqua" w:eastAsia="宋体" w:cs="宋体"/>
          <w:bCs/>
          <w:lang w:eastAsia="zh-CN"/>
        </w:rPr>
        <w:t>PMID: 27660147</w:t>
      </w:r>
      <w:r>
        <w:rPr>
          <w:rFonts w:hint="eastAsia" w:ascii="Book Antiqua" w:hAnsi="Book Antiqua" w:eastAsia="宋体" w:cs="宋体"/>
          <w:bCs/>
          <w:lang w:eastAsia="zh-CN"/>
        </w:rPr>
        <w:t xml:space="preserve"> DOI</w:t>
      </w:r>
      <w:r>
        <w:rPr>
          <w:rFonts w:ascii="Book Antiqua" w:hAnsi="Book Antiqua" w:eastAsia="宋体" w:cs="宋体"/>
          <w:bCs/>
          <w:lang w:eastAsia="zh-CN"/>
        </w:rPr>
        <w:t>: 10.2967/jnumed.116.180430</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41 </w:t>
      </w:r>
      <w:r>
        <w:rPr>
          <w:rFonts w:ascii="Book Antiqua" w:hAnsi="Book Antiqua" w:eastAsia="宋体" w:cs="宋体"/>
          <w:b/>
          <w:bCs/>
          <w:lang w:eastAsia="zh-CN"/>
        </w:rPr>
        <w:t>Delpassand ES</w:t>
      </w:r>
      <w:r>
        <w:rPr>
          <w:rFonts w:ascii="Book Antiqua" w:hAnsi="Book Antiqua" w:eastAsia="宋体" w:cs="宋体"/>
          <w:lang w:eastAsia="zh-CN"/>
        </w:rPr>
        <w:t xml:space="preserve">, Ranganathan D, Wagh N, Shafie A, Gaber A, Abbasi A, Kjaer A, Tworowska I, Núñez R. </w:t>
      </w:r>
      <w:bookmarkStart w:id="45" w:name="OLE_LINK349"/>
      <w:bookmarkStart w:id="46" w:name="OLE_LINK350"/>
      <w:r>
        <w:rPr>
          <w:rFonts w:ascii="Book Antiqua" w:hAnsi="Book Antiqua" w:eastAsia="宋体" w:cs="宋体"/>
          <w:vertAlign w:val="superscript"/>
          <w:lang w:eastAsia="zh-CN"/>
        </w:rPr>
        <w:t>64</w:t>
      </w:r>
      <w:r>
        <w:rPr>
          <w:rFonts w:ascii="Book Antiqua" w:hAnsi="Book Antiqua" w:eastAsia="宋体" w:cs="宋体"/>
          <w:lang w:eastAsia="zh-CN"/>
        </w:rPr>
        <w:t>Cu-DOTATATE PET/CT for Imaging Patients with Known or Suspected Somatostatin Receptor-Positive Neuroendocrine Tumors: Results of the First U.S. Prospective, Reader-Masked Clinical Trial</w:t>
      </w:r>
      <w:bookmarkEnd w:id="45"/>
      <w:bookmarkEnd w:id="46"/>
      <w:r>
        <w:rPr>
          <w:rFonts w:ascii="Book Antiqua" w:hAnsi="Book Antiqua" w:eastAsia="宋体" w:cs="宋体"/>
          <w:lang w:eastAsia="zh-CN"/>
        </w:rPr>
        <w:t xml:space="preserve">. </w:t>
      </w:r>
      <w:r>
        <w:rPr>
          <w:rFonts w:ascii="Book Antiqua" w:hAnsi="Book Antiqua" w:eastAsia="宋体" w:cs="宋体"/>
          <w:i/>
          <w:iCs/>
          <w:lang w:eastAsia="zh-CN"/>
        </w:rPr>
        <w:t>J Nucl Med</w:t>
      </w:r>
      <w:r>
        <w:rPr>
          <w:rFonts w:ascii="Book Antiqua" w:hAnsi="Book Antiqua" w:eastAsia="宋体" w:cs="宋体"/>
          <w:lang w:eastAsia="zh-CN"/>
        </w:rPr>
        <w:t xml:space="preserve"> 2020; </w:t>
      </w:r>
      <w:r>
        <w:rPr>
          <w:rFonts w:ascii="Book Antiqua" w:hAnsi="Book Antiqua" w:eastAsia="宋体" w:cs="宋体"/>
          <w:b/>
          <w:bCs/>
          <w:lang w:eastAsia="zh-CN"/>
        </w:rPr>
        <w:t>61</w:t>
      </w:r>
      <w:r>
        <w:rPr>
          <w:rFonts w:ascii="Book Antiqua" w:hAnsi="Book Antiqua" w:eastAsia="宋体" w:cs="宋体"/>
          <w:lang w:eastAsia="zh-CN"/>
        </w:rPr>
        <w:t>: 890-896 [PMID: 31924723 DOI: 10.2967/jnumed.119.236091]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42 </w:t>
      </w:r>
      <w:r>
        <w:rPr>
          <w:rFonts w:ascii="Book Antiqua" w:hAnsi="Book Antiqua" w:eastAsia="宋体" w:cs="宋体"/>
          <w:b/>
          <w:bCs/>
          <w:lang w:eastAsia="zh-CN"/>
        </w:rPr>
        <w:t>Montravers F</w:t>
      </w:r>
      <w:r>
        <w:rPr>
          <w:rFonts w:ascii="Book Antiqua" w:hAnsi="Book Antiqua" w:eastAsia="宋体" w:cs="宋体"/>
          <w:lang w:eastAsia="zh-CN"/>
        </w:rPr>
        <w:t xml:space="preserve">, Kerrou K, Nataf V, Huchet V, Lotz JP, Ruszniewski P, Rougier P, Duron F, Bouchard P, Grangé JD, Houry S, Talbot JN. Impact of fluorodihydroxyphenylalanine-18F positron emission tomography on management of adult patients with documented or occult digestive endocrine tumors. </w:t>
      </w:r>
      <w:r>
        <w:rPr>
          <w:rFonts w:ascii="Book Antiqua" w:hAnsi="Book Antiqua" w:eastAsia="宋体" w:cs="宋体"/>
          <w:i/>
          <w:iCs/>
          <w:lang w:eastAsia="zh-CN"/>
        </w:rPr>
        <w:t>J Clin Endocrinol Metab</w:t>
      </w:r>
      <w:r>
        <w:rPr>
          <w:rFonts w:ascii="Book Antiqua" w:hAnsi="Book Antiqua" w:eastAsia="宋体" w:cs="宋体"/>
          <w:lang w:eastAsia="zh-CN"/>
        </w:rPr>
        <w:t xml:space="preserve"> 2009; </w:t>
      </w:r>
      <w:r>
        <w:rPr>
          <w:rFonts w:ascii="Book Antiqua" w:hAnsi="Book Antiqua" w:eastAsia="宋体" w:cs="宋体"/>
          <w:b/>
          <w:bCs/>
          <w:lang w:eastAsia="zh-CN"/>
        </w:rPr>
        <w:t>94</w:t>
      </w:r>
      <w:r>
        <w:rPr>
          <w:rFonts w:ascii="Book Antiqua" w:hAnsi="Book Antiqua" w:eastAsia="宋体" w:cs="宋体"/>
          <w:lang w:eastAsia="zh-CN"/>
        </w:rPr>
        <w:t>: 1295-1301 [PMID: 19141589 DOI: 10.1210/jc.2008-1349]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43 </w:t>
      </w:r>
      <w:r>
        <w:rPr>
          <w:rFonts w:ascii="Book Antiqua" w:hAnsi="Book Antiqua" w:eastAsia="宋体" w:cs="宋体"/>
          <w:b/>
          <w:bCs/>
          <w:lang w:eastAsia="zh-CN"/>
        </w:rPr>
        <w:t>Koopmans KP</w:t>
      </w:r>
      <w:r>
        <w:rPr>
          <w:rFonts w:ascii="Book Antiqua" w:hAnsi="Book Antiqua" w:eastAsia="宋体" w:cs="宋体"/>
          <w:bCs/>
          <w:lang w:eastAsia="zh-CN"/>
        </w:rPr>
        <w:t xml:space="preserve">, de Vries EG, Kema IP, Elsinga PH, Neels OC, Sluiter WJ, van der Horst-Schrivers AN, Jager PL. Staging of carcinoid tumours with 18F-DOPA PET: a prospective, diagnostic accuracy study. </w:t>
      </w:r>
      <w:r>
        <w:rPr>
          <w:rFonts w:ascii="Book Antiqua" w:hAnsi="Book Antiqua" w:eastAsia="宋体" w:cs="宋体"/>
          <w:bCs/>
          <w:i/>
          <w:lang w:eastAsia="zh-CN"/>
        </w:rPr>
        <w:t>Lancet Oncol</w:t>
      </w:r>
      <w:r>
        <w:rPr>
          <w:rFonts w:ascii="Book Antiqua" w:hAnsi="Book Antiqua" w:eastAsia="宋体" w:cs="宋体"/>
          <w:bCs/>
          <w:lang w:eastAsia="zh-CN"/>
        </w:rPr>
        <w:t xml:space="preserve"> 2006;</w:t>
      </w:r>
      <w:r>
        <w:rPr>
          <w:rFonts w:hint="eastAsia" w:ascii="Book Antiqua" w:hAnsi="Book Antiqua" w:eastAsia="宋体" w:cs="宋体"/>
          <w:bCs/>
          <w:lang w:eastAsia="zh-CN"/>
        </w:rPr>
        <w:t xml:space="preserve"> </w:t>
      </w:r>
      <w:r>
        <w:rPr>
          <w:rFonts w:ascii="Book Antiqua" w:hAnsi="Book Antiqua" w:eastAsia="宋体" w:cs="宋体"/>
          <w:b/>
          <w:bCs/>
          <w:lang w:eastAsia="zh-CN"/>
        </w:rPr>
        <w:t>7</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728-</w:t>
      </w:r>
      <w:r>
        <w:rPr>
          <w:rFonts w:hint="eastAsia" w:ascii="Book Antiqua" w:hAnsi="Book Antiqua" w:eastAsia="宋体" w:cs="宋体"/>
          <w:bCs/>
          <w:lang w:eastAsia="zh-CN"/>
        </w:rPr>
        <w:t>7</w:t>
      </w:r>
      <w:r>
        <w:rPr>
          <w:rFonts w:ascii="Book Antiqua" w:hAnsi="Book Antiqua" w:eastAsia="宋体" w:cs="宋体"/>
          <w:bCs/>
          <w:lang w:eastAsia="zh-CN"/>
        </w:rPr>
        <w:t xml:space="preserve">34 </w:t>
      </w:r>
      <w:r>
        <w:rPr>
          <w:rFonts w:hint="eastAsia" w:ascii="Book Antiqua" w:hAnsi="Book Antiqua" w:eastAsia="宋体" w:cs="宋体"/>
          <w:bCs/>
          <w:lang w:eastAsia="zh-CN"/>
        </w:rPr>
        <w:t>[</w:t>
      </w:r>
      <w:r>
        <w:rPr>
          <w:rFonts w:ascii="Book Antiqua" w:hAnsi="Book Antiqua" w:eastAsia="宋体" w:cs="宋体"/>
          <w:bCs/>
          <w:lang w:eastAsia="zh-CN"/>
        </w:rPr>
        <w:t>PMID: 16945767</w:t>
      </w:r>
      <w:r>
        <w:rPr>
          <w:rFonts w:hint="eastAsia" w:ascii="Book Antiqua" w:hAnsi="Book Antiqua" w:eastAsia="宋体" w:cs="宋体"/>
          <w:bCs/>
          <w:lang w:eastAsia="zh-CN"/>
        </w:rPr>
        <w:t xml:space="preserve"> DOI</w:t>
      </w:r>
      <w:r>
        <w:rPr>
          <w:rFonts w:ascii="Book Antiqua" w:hAnsi="Book Antiqua" w:eastAsia="宋体" w:cs="宋体"/>
          <w:bCs/>
          <w:lang w:eastAsia="zh-CN"/>
        </w:rPr>
        <w:t>: 10.1016/S1470-2045(06)70801-4</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44 </w:t>
      </w:r>
      <w:r>
        <w:rPr>
          <w:rFonts w:ascii="Book Antiqua" w:hAnsi="Book Antiqua" w:eastAsia="宋体" w:cs="宋体"/>
          <w:b/>
          <w:bCs/>
          <w:lang w:eastAsia="zh-CN"/>
        </w:rPr>
        <w:t>Deleval N</w:t>
      </w:r>
      <w:r>
        <w:rPr>
          <w:rFonts w:ascii="Book Antiqua" w:hAnsi="Book Antiqua" w:eastAsia="宋体" w:cs="宋体"/>
          <w:lang w:eastAsia="zh-CN"/>
        </w:rPr>
        <w:t xml:space="preserve">, Pesque L, Dieudonné A, Viry F, Hentic O, Lebtahi R, Ruszniewski P, de Mestier L. Prognostic impact of bone metastases detected by </w:t>
      </w:r>
      <w:r>
        <w:rPr>
          <w:rFonts w:ascii="Book Antiqua" w:hAnsi="Book Antiqua" w:eastAsia="宋体" w:cs="宋体"/>
          <w:vertAlign w:val="superscript"/>
          <w:lang w:eastAsia="zh-CN"/>
        </w:rPr>
        <w:t>18</w:t>
      </w:r>
      <w:r>
        <w:rPr>
          <w:rFonts w:ascii="Book Antiqua" w:hAnsi="Book Antiqua" w:eastAsia="宋体" w:cs="宋体"/>
          <w:lang w:eastAsia="zh-CN"/>
        </w:rPr>
        <w:t xml:space="preserve">F-DOPA PET in patients with metastatic midgut neuroendocrine tumors. </w:t>
      </w:r>
      <w:r>
        <w:rPr>
          <w:rFonts w:ascii="Book Antiqua" w:hAnsi="Book Antiqua" w:eastAsia="宋体" w:cs="宋体"/>
          <w:i/>
          <w:iCs/>
          <w:lang w:eastAsia="zh-CN"/>
        </w:rPr>
        <w:t>Eur Radiol</w:t>
      </w:r>
      <w:r>
        <w:rPr>
          <w:rFonts w:ascii="Book Antiqua" w:hAnsi="Book Antiqua" w:eastAsia="宋体" w:cs="宋体"/>
          <w:lang w:eastAsia="zh-CN"/>
        </w:rPr>
        <w:t xml:space="preserve"> 2021; </w:t>
      </w:r>
      <w:r>
        <w:rPr>
          <w:rFonts w:ascii="Book Antiqua" w:hAnsi="Book Antiqua" w:eastAsia="宋体" w:cs="宋体"/>
          <w:b/>
          <w:bCs/>
          <w:lang w:eastAsia="zh-CN"/>
        </w:rPr>
        <w:t>31</w:t>
      </w:r>
      <w:r>
        <w:rPr>
          <w:rFonts w:ascii="Book Antiqua" w:hAnsi="Book Antiqua" w:eastAsia="宋体" w:cs="宋体"/>
          <w:lang w:eastAsia="zh-CN"/>
        </w:rPr>
        <w:t>: 4166-4174 [PMID: 33247341 DOI: 10.1007/s00330-020-07554-6]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45 </w:t>
      </w:r>
      <w:r>
        <w:rPr>
          <w:rFonts w:ascii="Book Antiqua" w:hAnsi="Book Antiqua" w:eastAsia="宋体" w:cs="宋体"/>
          <w:b/>
          <w:bCs/>
          <w:lang w:eastAsia="zh-CN"/>
        </w:rPr>
        <w:t>Antwi K</w:t>
      </w:r>
      <w:r>
        <w:rPr>
          <w:rFonts w:ascii="Book Antiqua" w:hAnsi="Book Antiqua" w:eastAsia="宋体" w:cs="宋体"/>
          <w:bCs/>
          <w:lang w:eastAsia="zh-CN"/>
        </w:rPr>
        <w:t xml:space="preserve">, Fani M, Heye T, Nicolas G, Rottenburger C, Kaul F, Merkle E, Zech CJ, Boll D, Vogt DR, Gloor B, Christ E, Wild D. Comparison of glucagon-like peptide-1 receptor (GLP-1R) PET/CT, SPECT/CT and 3T MRI for the localisation of occult insulinomas: evaluation of diagnostic accuracy in a prospective crossover imaging study. </w:t>
      </w:r>
      <w:r>
        <w:rPr>
          <w:rFonts w:ascii="Book Antiqua" w:hAnsi="Book Antiqua" w:eastAsia="宋体" w:cs="宋体"/>
          <w:bCs/>
          <w:i/>
          <w:lang w:eastAsia="zh-CN"/>
        </w:rPr>
        <w:t>Eur J Nucl Med Mol Imaging</w:t>
      </w:r>
      <w:r>
        <w:rPr>
          <w:rFonts w:ascii="Book Antiqua" w:hAnsi="Book Antiqua" w:eastAsia="宋体" w:cs="宋体"/>
          <w:bCs/>
          <w:lang w:eastAsia="zh-CN"/>
        </w:rPr>
        <w:t xml:space="preserve"> 2018;</w:t>
      </w:r>
      <w:r>
        <w:rPr>
          <w:rFonts w:hint="eastAsia" w:ascii="Book Antiqua" w:hAnsi="Book Antiqua" w:eastAsia="宋体" w:cs="宋体"/>
          <w:bCs/>
          <w:lang w:eastAsia="zh-CN"/>
        </w:rPr>
        <w:t xml:space="preserve"> </w:t>
      </w:r>
      <w:r>
        <w:rPr>
          <w:rFonts w:ascii="Book Antiqua" w:hAnsi="Book Antiqua" w:eastAsia="宋体" w:cs="宋体"/>
          <w:b/>
          <w:bCs/>
          <w:lang w:eastAsia="zh-CN"/>
        </w:rPr>
        <w:t>45</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2318-2327 </w:t>
      </w:r>
      <w:r>
        <w:rPr>
          <w:rFonts w:hint="eastAsia" w:ascii="Book Antiqua" w:hAnsi="Book Antiqua" w:eastAsia="宋体" w:cs="宋体"/>
          <w:bCs/>
          <w:lang w:eastAsia="zh-CN"/>
        </w:rPr>
        <w:t>[</w:t>
      </w:r>
      <w:r>
        <w:rPr>
          <w:rFonts w:ascii="Book Antiqua" w:hAnsi="Book Antiqua" w:eastAsia="宋体" w:cs="宋体"/>
          <w:bCs/>
          <w:lang w:eastAsia="zh-CN"/>
        </w:rPr>
        <w:t>PMID: 30054698</w:t>
      </w:r>
      <w:r>
        <w:rPr>
          <w:rFonts w:hint="eastAsia" w:ascii="Book Antiqua" w:hAnsi="Book Antiqua" w:eastAsia="宋体" w:cs="宋体"/>
          <w:bCs/>
          <w:lang w:eastAsia="zh-CN"/>
        </w:rPr>
        <w:t xml:space="preserve"> DOI</w:t>
      </w:r>
      <w:r>
        <w:rPr>
          <w:rFonts w:ascii="Book Antiqua" w:hAnsi="Book Antiqua" w:eastAsia="宋体" w:cs="宋体"/>
          <w:bCs/>
          <w:lang w:eastAsia="zh-CN"/>
        </w:rPr>
        <w:t>: 10.1007/s00259-018-4101-5</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46 </w:t>
      </w:r>
      <w:r>
        <w:rPr>
          <w:rFonts w:ascii="Book Antiqua" w:hAnsi="Book Antiqua" w:eastAsia="宋体" w:cs="宋体"/>
          <w:b/>
          <w:bCs/>
          <w:lang w:eastAsia="zh-CN"/>
        </w:rPr>
        <w:t>Gaertner FC</w:t>
      </w:r>
      <w:r>
        <w:rPr>
          <w:rFonts w:ascii="Book Antiqua" w:hAnsi="Book Antiqua" w:eastAsia="宋体" w:cs="宋体"/>
          <w:lang w:eastAsia="zh-CN"/>
        </w:rPr>
        <w:t xml:space="preserve">, Beer AJ, Souvatzoglou M, Eiber M, Fürst S, Ziegler SI, Brohl F, Schwaiger M, Scheidhauer K. Evaluation of feasibility and image quality of 68Ga-DOTATOC positron emission tomography/magnetic resonance in comparison with positron emission tomography/computed tomography in patients with neuroendocrine tumors. </w:t>
      </w:r>
      <w:r>
        <w:rPr>
          <w:rFonts w:ascii="Book Antiqua" w:hAnsi="Book Antiqua" w:eastAsia="宋体" w:cs="宋体"/>
          <w:i/>
          <w:iCs/>
          <w:lang w:eastAsia="zh-CN"/>
        </w:rPr>
        <w:t>Invest Radiol</w:t>
      </w:r>
      <w:r>
        <w:rPr>
          <w:rFonts w:ascii="Book Antiqua" w:hAnsi="Book Antiqua" w:eastAsia="宋体" w:cs="宋体"/>
          <w:lang w:eastAsia="zh-CN"/>
        </w:rPr>
        <w:t xml:space="preserve"> 2013; </w:t>
      </w:r>
      <w:r>
        <w:rPr>
          <w:rFonts w:ascii="Book Antiqua" w:hAnsi="Book Antiqua" w:eastAsia="宋体" w:cs="宋体"/>
          <w:b/>
          <w:bCs/>
          <w:lang w:eastAsia="zh-CN"/>
        </w:rPr>
        <w:t>48</w:t>
      </w:r>
      <w:r>
        <w:rPr>
          <w:rFonts w:ascii="Book Antiqua" w:hAnsi="Book Antiqua" w:eastAsia="宋体" w:cs="宋体"/>
          <w:lang w:eastAsia="zh-CN"/>
        </w:rPr>
        <w:t>: 263-272 [PMID: 23385399 DOI: 10.1097/RLI.0b013e31828234d0]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47 </w:t>
      </w:r>
      <w:r>
        <w:rPr>
          <w:rFonts w:ascii="Book Antiqua" w:hAnsi="Book Antiqua" w:eastAsia="宋体" w:cs="宋体"/>
          <w:b/>
          <w:bCs/>
          <w:lang w:eastAsia="zh-CN"/>
        </w:rPr>
        <w:t>Beiderwellen KJ</w:t>
      </w:r>
      <w:r>
        <w:rPr>
          <w:rFonts w:ascii="Book Antiqua" w:hAnsi="Book Antiqua" w:eastAsia="宋体" w:cs="宋体"/>
          <w:lang w:eastAsia="zh-CN"/>
        </w:rPr>
        <w:t xml:space="preserve">, Poeppel TD, Hartung-Knemeyer V, Buchbender C, Kuehl H, Bockisch A, Lauenstein TC. Simultaneous 68Ga-DOTATOC PET/MRI in patients with gastroenteropancreatic neuroendocrine tumors: initial results. </w:t>
      </w:r>
      <w:r>
        <w:rPr>
          <w:rFonts w:ascii="Book Antiqua" w:hAnsi="Book Antiqua" w:eastAsia="宋体" w:cs="宋体"/>
          <w:i/>
          <w:iCs/>
          <w:lang w:eastAsia="zh-CN"/>
        </w:rPr>
        <w:t>Invest Radiol</w:t>
      </w:r>
      <w:r>
        <w:rPr>
          <w:rFonts w:ascii="Book Antiqua" w:hAnsi="Book Antiqua" w:eastAsia="宋体" w:cs="宋体"/>
          <w:lang w:eastAsia="zh-CN"/>
        </w:rPr>
        <w:t xml:space="preserve"> 2013; </w:t>
      </w:r>
      <w:r>
        <w:rPr>
          <w:rFonts w:ascii="Book Antiqua" w:hAnsi="Book Antiqua" w:eastAsia="宋体" w:cs="宋体"/>
          <w:b/>
          <w:bCs/>
          <w:lang w:eastAsia="zh-CN"/>
        </w:rPr>
        <w:t>48</w:t>
      </w:r>
      <w:r>
        <w:rPr>
          <w:rFonts w:ascii="Book Antiqua" w:hAnsi="Book Antiqua" w:eastAsia="宋体" w:cs="宋体"/>
          <w:lang w:eastAsia="zh-CN"/>
        </w:rPr>
        <w:t>: 273-279 [PMID: 23493121 DOI: 10.1097/RLI.0b013e3182871a7f]</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48 </w:t>
      </w:r>
      <w:r>
        <w:rPr>
          <w:rFonts w:ascii="Book Antiqua" w:hAnsi="Book Antiqua" w:eastAsia="宋体" w:cs="宋体"/>
          <w:b/>
          <w:bCs/>
          <w:lang w:eastAsia="zh-CN"/>
        </w:rPr>
        <w:t>Halfdanarson TR</w:t>
      </w:r>
      <w:r>
        <w:rPr>
          <w:rFonts w:ascii="Book Antiqua" w:hAnsi="Book Antiqua" w:eastAsia="宋体" w:cs="宋体"/>
          <w:lang w:eastAsia="zh-CN"/>
        </w:rPr>
        <w:t xml:space="preserve">, Strosberg JR, Tang L, Bellizzi AM, Bergsland EK, O'Dorisio TM, Halperin DM, Fishbein L, Eads J, Hope TA, Singh S, Salem R, Metz DC, Naraev BG, Reidy-Lagunes DL, Howe JR, Pommier RF, Menda Y, Chan JA. The North American Neuroendocrine Tumor Society Consensus Guidelines for Surveillance and Medical Management of Pancreatic Neuroendocrine Tumors. </w:t>
      </w:r>
      <w:r>
        <w:rPr>
          <w:rFonts w:ascii="Book Antiqua" w:hAnsi="Book Antiqua" w:eastAsia="宋体" w:cs="宋体"/>
          <w:i/>
          <w:iCs/>
          <w:lang w:eastAsia="zh-CN"/>
        </w:rPr>
        <w:t>Pancreas</w:t>
      </w:r>
      <w:r>
        <w:rPr>
          <w:rFonts w:ascii="Book Antiqua" w:hAnsi="Book Antiqua" w:eastAsia="宋体" w:cs="宋体"/>
          <w:lang w:eastAsia="zh-CN"/>
        </w:rPr>
        <w:t xml:space="preserve"> 2020; </w:t>
      </w:r>
      <w:r>
        <w:rPr>
          <w:rFonts w:ascii="Book Antiqua" w:hAnsi="Book Antiqua" w:eastAsia="宋体" w:cs="宋体"/>
          <w:b/>
          <w:bCs/>
          <w:lang w:eastAsia="zh-CN"/>
        </w:rPr>
        <w:t>49</w:t>
      </w:r>
      <w:r>
        <w:rPr>
          <w:rFonts w:ascii="Book Antiqua" w:hAnsi="Book Antiqua" w:eastAsia="宋体" w:cs="宋体"/>
          <w:lang w:eastAsia="zh-CN"/>
        </w:rPr>
        <w:t>: 863-881 [PMID: 32675783 DOI: 10.1097/MPA.0000000000001597]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49 </w:t>
      </w:r>
      <w:r>
        <w:rPr>
          <w:rFonts w:ascii="Book Antiqua" w:hAnsi="Book Antiqua" w:eastAsia="宋体" w:cs="宋体"/>
          <w:b/>
          <w:bCs/>
          <w:lang w:eastAsia="zh-CN"/>
        </w:rPr>
        <w:t>O'Toole D</w:t>
      </w:r>
      <w:r>
        <w:rPr>
          <w:rFonts w:ascii="Book Antiqua" w:hAnsi="Book Antiqua" w:eastAsia="宋体" w:cs="宋体"/>
          <w:bCs/>
          <w:lang w:eastAsia="zh-CN"/>
        </w:rPr>
        <w:t xml:space="preserve">, Grossman A, Gross D, Delle Fave G, Barkmanova J, O'Connor J, Pape UF, Plöckinger U; Mallorca Consensus Conference participants; European Neuroendocrine Tumor Society. ENETS Consensus Guidelines for the Standards of Care in Neuroendocrine Tumors: biochemical markers. </w:t>
      </w:r>
      <w:r>
        <w:rPr>
          <w:rFonts w:ascii="Book Antiqua" w:hAnsi="Book Antiqua" w:eastAsia="宋体" w:cs="宋体"/>
          <w:bCs/>
          <w:i/>
          <w:lang w:eastAsia="zh-CN"/>
        </w:rPr>
        <w:t>Neuroendocrinology</w:t>
      </w:r>
      <w:r>
        <w:rPr>
          <w:rFonts w:ascii="Book Antiqua" w:hAnsi="Book Antiqua" w:eastAsia="宋体" w:cs="宋体"/>
          <w:bCs/>
          <w:lang w:eastAsia="zh-CN"/>
        </w:rPr>
        <w:t xml:space="preserve"> 2009;</w:t>
      </w:r>
      <w:r>
        <w:rPr>
          <w:rFonts w:hint="eastAsia" w:ascii="Book Antiqua" w:hAnsi="Book Antiqua" w:eastAsia="宋体" w:cs="宋体"/>
          <w:bCs/>
          <w:lang w:eastAsia="zh-CN"/>
        </w:rPr>
        <w:t xml:space="preserve"> </w:t>
      </w:r>
      <w:r>
        <w:rPr>
          <w:rFonts w:ascii="Book Antiqua" w:hAnsi="Book Antiqua" w:eastAsia="宋体" w:cs="宋体"/>
          <w:b/>
          <w:bCs/>
          <w:lang w:eastAsia="zh-CN"/>
        </w:rPr>
        <w:t>90</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194-202 </w:t>
      </w:r>
      <w:r>
        <w:rPr>
          <w:rFonts w:hint="eastAsia" w:ascii="Book Antiqua" w:hAnsi="Book Antiqua" w:eastAsia="宋体" w:cs="宋体"/>
          <w:bCs/>
          <w:lang w:eastAsia="zh-CN"/>
        </w:rPr>
        <w:t>[</w:t>
      </w:r>
      <w:r>
        <w:rPr>
          <w:rFonts w:ascii="Book Antiqua" w:hAnsi="Book Antiqua" w:eastAsia="宋体" w:cs="宋体"/>
          <w:bCs/>
          <w:lang w:eastAsia="zh-CN"/>
        </w:rPr>
        <w:t>PMID: 19713711</w:t>
      </w:r>
      <w:r>
        <w:rPr>
          <w:rFonts w:hint="eastAsia" w:ascii="Book Antiqua" w:hAnsi="Book Antiqua" w:eastAsia="宋体" w:cs="宋体"/>
          <w:bCs/>
          <w:lang w:eastAsia="zh-CN"/>
        </w:rPr>
        <w:t xml:space="preserve"> DOI</w:t>
      </w:r>
      <w:r>
        <w:rPr>
          <w:rFonts w:ascii="Book Antiqua" w:hAnsi="Book Antiqua" w:eastAsia="宋体" w:cs="宋体"/>
          <w:bCs/>
          <w:lang w:eastAsia="zh-CN"/>
        </w:rPr>
        <w:t>: 10.1159/000225948</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50 </w:t>
      </w:r>
      <w:r>
        <w:rPr>
          <w:rFonts w:ascii="Book Antiqua" w:hAnsi="Book Antiqua" w:eastAsia="宋体" w:cs="宋体"/>
          <w:b/>
          <w:bCs/>
          <w:lang w:eastAsia="zh-CN"/>
        </w:rPr>
        <w:t>Buchanan-Hughes A</w:t>
      </w:r>
      <w:r>
        <w:rPr>
          <w:rFonts w:ascii="Book Antiqua" w:hAnsi="Book Antiqua" w:eastAsia="宋体" w:cs="宋体"/>
          <w:lang w:eastAsia="zh-CN"/>
        </w:rPr>
        <w:t xml:space="preserve">, Pashley A, Feuilly M, Marteau F, Pritchard DM, Singh S. Carcinoid Heart Disease: Prognostic Value of 5-Hydroxyindoleacetic Acid Levels and Impact on Survival: A Systematic Literature Review. </w:t>
      </w:r>
      <w:r>
        <w:rPr>
          <w:rFonts w:ascii="Book Antiqua" w:hAnsi="Book Antiqua" w:eastAsia="宋体" w:cs="宋体"/>
          <w:i/>
          <w:iCs/>
          <w:lang w:eastAsia="zh-CN"/>
        </w:rPr>
        <w:t>Neuroendocrinology</w:t>
      </w:r>
      <w:r>
        <w:rPr>
          <w:rFonts w:ascii="Book Antiqua" w:hAnsi="Book Antiqua" w:eastAsia="宋体" w:cs="宋体"/>
          <w:lang w:eastAsia="zh-CN"/>
        </w:rPr>
        <w:t xml:space="preserve"> 2021; </w:t>
      </w:r>
      <w:r>
        <w:rPr>
          <w:rFonts w:ascii="Book Antiqua" w:hAnsi="Book Antiqua" w:eastAsia="宋体" w:cs="宋体"/>
          <w:b/>
          <w:bCs/>
          <w:lang w:eastAsia="zh-CN"/>
        </w:rPr>
        <w:t>111</w:t>
      </w:r>
      <w:r>
        <w:rPr>
          <w:rFonts w:ascii="Book Antiqua" w:hAnsi="Book Antiqua" w:eastAsia="宋体" w:cs="宋体"/>
          <w:lang w:eastAsia="zh-CN"/>
        </w:rPr>
        <w:t>: 1-15 [PMID: 32097914 DOI: 10.1159/000506744]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51 </w:t>
      </w:r>
      <w:r>
        <w:rPr>
          <w:rFonts w:ascii="Book Antiqua" w:hAnsi="Book Antiqua" w:eastAsia="宋体" w:cs="宋体"/>
          <w:b/>
          <w:bCs/>
          <w:lang w:eastAsia="zh-CN"/>
        </w:rPr>
        <w:t>Carling RS</w:t>
      </w:r>
      <w:r>
        <w:rPr>
          <w:rFonts w:ascii="Book Antiqua" w:hAnsi="Book Antiqua" w:eastAsia="宋体" w:cs="宋体"/>
          <w:lang w:eastAsia="zh-CN"/>
        </w:rPr>
        <w:t xml:space="preserve">, Degg TJ, Allen KR, Bax ND, Barth JH. Evaluation of whole blood serotonin and plasma and urine 5-hydroxyindole acetic acid in diagnosis of carcinoid disease. </w:t>
      </w:r>
      <w:r>
        <w:rPr>
          <w:rFonts w:ascii="Book Antiqua" w:hAnsi="Book Antiqua" w:eastAsia="宋体" w:cs="宋体"/>
          <w:i/>
          <w:iCs/>
          <w:lang w:eastAsia="zh-CN"/>
        </w:rPr>
        <w:t>Ann Clin Biochem</w:t>
      </w:r>
      <w:r>
        <w:rPr>
          <w:rFonts w:ascii="Book Antiqua" w:hAnsi="Book Antiqua" w:eastAsia="宋体" w:cs="宋体"/>
          <w:lang w:eastAsia="zh-CN"/>
        </w:rPr>
        <w:t xml:space="preserve"> 2002; </w:t>
      </w:r>
      <w:r>
        <w:rPr>
          <w:rFonts w:ascii="Book Antiqua" w:hAnsi="Book Antiqua" w:eastAsia="宋体" w:cs="宋体"/>
          <w:b/>
          <w:bCs/>
          <w:lang w:eastAsia="zh-CN"/>
        </w:rPr>
        <w:t>39</w:t>
      </w:r>
      <w:r>
        <w:rPr>
          <w:rFonts w:ascii="Book Antiqua" w:hAnsi="Book Antiqua" w:eastAsia="宋体" w:cs="宋体"/>
          <w:lang w:eastAsia="zh-CN"/>
        </w:rPr>
        <w:t>: 577-582 [PMID: 12564839 DOI: 10.1177/000456320203900605]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52 </w:t>
      </w:r>
      <w:r>
        <w:rPr>
          <w:rFonts w:ascii="Book Antiqua" w:hAnsi="Book Antiqua" w:eastAsia="宋体" w:cs="宋体"/>
          <w:b/>
          <w:bCs/>
          <w:lang w:eastAsia="zh-CN"/>
        </w:rPr>
        <w:t>Strosberg JR</w:t>
      </w:r>
      <w:r>
        <w:rPr>
          <w:rFonts w:ascii="Book Antiqua" w:hAnsi="Book Antiqua" w:eastAsia="宋体" w:cs="宋体"/>
          <w:lang w:eastAsia="zh-CN"/>
        </w:rPr>
        <w:t xml:space="preserve">, Halfdanarson TR, Bellizzi AM, Chan JA, Dillon JS, Heaney AP, Kunz PL, O'Dorisio TM, Salem R, Segelov E, Howe JR, Pommier RF, Brendtro K, Bashir MA, Singh S, Soulen MC, Tang L, Zacks JS, Yao JC, Bergsland EK. The North American Neuroendocrine Tumor Society Consensus Guidelines for Surveillance and Medical Management of Midgut Neuroendocrine Tumors. </w:t>
      </w:r>
      <w:r>
        <w:rPr>
          <w:rFonts w:ascii="Book Antiqua" w:hAnsi="Book Antiqua" w:eastAsia="宋体" w:cs="宋体"/>
          <w:i/>
          <w:iCs/>
          <w:lang w:eastAsia="zh-CN"/>
        </w:rPr>
        <w:t>Pancreas</w:t>
      </w:r>
      <w:r>
        <w:rPr>
          <w:rFonts w:ascii="Book Antiqua" w:hAnsi="Book Antiqua" w:eastAsia="宋体" w:cs="宋体"/>
          <w:lang w:eastAsia="zh-CN"/>
        </w:rPr>
        <w:t xml:space="preserve"> 2017; </w:t>
      </w:r>
      <w:r>
        <w:rPr>
          <w:rFonts w:ascii="Book Antiqua" w:hAnsi="Book Antiqua" w:eastAsia="宋体" w:cs="宋体"/>
          <w:b/>
          <w:bCs/>
          <w:lang w:eastAsia="zh-CN"/>
        </w:rPr>
        <w:t>46</w:t>
      </w:r>
      <w:r>
        <w:rPr>
          <w:rFonts w:ascii="Book Antiqua" w:hAnsi="Book Antiqua" w:eastAsia="宋体" w:cs="宋体"/>
          <w:lang w:eastAsia="zh-CN"/>
        </w:rPr>
        <w:t>: 707-714 [PMID: 28609356 DOI: 10.1097/MPA.0000000000000850]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53 </w:t>
      </w:r>
      <w:r>
        <w:rPr>
          <w:rFonts w:ascii="Book Antiqua" w:hAnsi="Book Antiqua" w:eastAsia="宋体" w:cs="宋体"/>
          <w:b/>
          <w:bCs/>
          <w:lang w:eastAsia="zh-CN"/>
        </w:rPr>
        <w:t>Modlin IM</w:t>
      </w:r>
      <w:r>
        <w:rPr>
          <w:rFonts w:ascii="Book Antiqua" w:hAnsi="Book Antiqua" w:eastAsia="宋体" w:cs="宋体"/>
          <w:lang w:eastAsia="zh-CN"/>
        </w:rPr>
        <w:t xml:space="preserve">, Gustafsson BI, Moss SF, Pavel M, Tsolakis AV, Kidd M. Chromogranin A--biological function and clinical utility in neuro endocrine tumor disease. </w:t>
      </w:r>
      <w:r>
        <w:rPr>
          <w:rFonts w:ascii="Book Antiqua" w:hAnsi="Book Antiqua" w:eastAsia="宋体" w:cs="宋体"/>
          <w:i/>
          <w:iCs/>
          <w:lang w:eastAsia="zh-CN"/>
        </w:rPr>
        <w:t>Ann Surg Oncol</w:t>
      </w:r>
      <w:r>
        <w:rPr>
          <w:rFonts w:ascii="Book Antiqua" w:hAnsi="Book Antiqua" w:eastAsia="宋体" w:cs="宋体"/>
          <w:lang w:eastAsia="zh-CN"/>
        </w:rPr>
        <w:t xml:space="preserve"> 2010; </w:t>
      </w:r>
      <w:r>
        <w:rPr>
          <w:rFonts w:ascii="Book Antiqua" w:hAnsi="Book Antiqua" w:eastAsia="宋体" w:cs="宋体"/>
          <w:b/>
          <w:bCs/>
          <w:lang w:eastAsia="zh-CN"/>
        </w:rPr>
        <w:t>17</w:t>
      </w:r>
      <w:r>
        <w:rPr>
          <w:rFonts w:ascii="Book Antiqua" w:hAnsi="Book Antiqua" w:eastAsia="宋体" w:cs="宋体"/>
          <w:lang w:eastAsia="zh-CN"/>
        </w:rPr>
        <w:t>: 2427-2443 [PMID: 20217257 DOI: 10.1245/s10434-010-1006-3]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54 </w:t>
      </w:r>
      <w:r>
        <w:rPr>
          <w:rFonts w:ascii="Book Antiqua" w:hAnsi="Book Antiqua" w:eastAsia="宋体" w:cs="宋体"/>
          <w:b/>
          <w:bCs/>
          <w:lang w:eastAsia="zh-CN"/>
        </w:rPr>
        <w:t>Mosli HH</w:t>
      </w:r>
      <w:r>
        <w:rPr>
          <w:rFonts w:ascii="Book Antiqua" w:hAnsi="Book Antiqua" w:eastAsia="宋体" w:cs="宋体"/>
          <w:lang w:eastAsia="zh-CN"/>
        </w:rPr>
        <w:t xml:space="preserve">, Dennis A, Kocha W, Asher LJ, Van Uum SH. Effect of short-term proton pump inhibitor treatment and its discontinuation on chromogranin A in healthy subjects. </w:t>
      </w:r>
      <w:r>
        <w:rPr>
          <w:rFonts w:ascii="Book Antiqua" w:hAnsi="Book Antiqua" w:eastAsia="宋体" w:cs="宋体"/>
          <w:i/>
          <w:iCs/>
          <w:lang w:eastAsia="zh-CN"/>
        </w:rPr>
        <w:t>J Clin Endocrinol Metab</w:t>
      </w:r>
      <w:r>
        <w:rPr>
          <w:rFonts w:ascii="Book Antiqua" w:hAnsi="Book Antiqua" w:eastAsia="宋体" w:cs="宋体"/>
          <w:lang w:eastAsia="zh-CN"/>
        </w:rPr>
        <w:t xml:space="preserve"> 2012; </w:t>
      </w:r>
      <w:r>
        <w:rPr>
          <w:rFonts w:ascii="Book Antiqua" w:hAnsi="Book Antiqua" w:eastAsia="宋体" w:cs="宋体"/>
          <w:b/>
          <w:bCs/>
          <w:lang w:eastAsia="zh-CN"/>
        </w:rPr>
        <w:t>97</w:t>
      </w:r>
      <w:r>
        <w:rPr>
          <w:rFonts w:ascii="Book Antiqua" w:hAnsi="Book Antiqua" w:eastAsia="宋体" w:cs="宋体"/>
          <w:lang w:eastAsia="zh-CN"/>
        </w:rPr>
        <w:t>: E1731-E1735 [PMID: 22723311 DOI: 10.1210/jc.2012-1548]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55 </w:t>
      </w:r>
      <w:r>
        <w:rPr>
          <w:rFonts w:ascii="Book Antiqua" w:hAnsi="Book Antiqua" w:eastAsia="宋体" w:cs="宋体"/>
          <w:b/>
          <w:bCs/>
          <w:lang w:eastAsia="zh-CN"/>
        </w:rPr>
        <w:t>Wang YH</w:t>
      </w:r>
      <w:r>
        <w:rPr>
          <w:rFonts w:ascii="Book Antiqua" w:hAnsi="Book Antiqua" w:eastAsia="宋体" w:cs="宋体"/>
          <w:lang w:eastAsia="zh-CN"/>
        </w:rPr>
        <w:t xml:space="preserve">, Yang QC, Lin Y, Xue L, Chen MH, Chen J. Chromogranin A as a marker for diagnosis, treatment, and survival in patients with gastroenteropancreatic neuroendocrine neoplasm. </w:t>
      </w:r>
      <w:r>
        <w:rPr>
          <w:rFonts w:ascii="Book Antiqua" w:hAnsi="Book Antiqua" w:eastAsia="宋体" w:cs="宋体"/>
          <w:i/>
          <w:iCs/>
          <w:lang w:eastAsia="zh-CN"/>
        </w:rPr>
        <w:t>Medicine (Baltimore)</w:t>
      </w:r>
      <w:r>
        <w:rPr>
          <w:rFonts w:ascii="Book Antiqua" w:hAnsi="Book Antiqua" w:eastAsia="宋体" w:cs="宋体"/>
          <w:lang w:eastAsia="zh-CN"/>
        </w:rPr>
        <w:t xml:space="preserve"> 2014; </w:t>
      </w:r>
      <w:r>
        <w:rPr>
          <w:rFonts w:ascii="Book Antiqua" w:hAnsi="Book Antiqua" w:eastAsia="宋体" w:cs="宋体"/>
          <w:b/>
          <w:bCs/>
          <w:lang w:eastAsia="zh-CN"/>
        </w:rPr>
        <w:t>93</w:t>
      </w:r>
      <w:r>
        <w:rPr>
          <w:rFonts w:ascii="Book Antiqua" w:hAnsi="Book Antiqua" w:eastAsia="宋体" w:cs="宋体"/>
          <w:lang w:eastAsia="zh-CN"/>
        </w:rPr>
        <w:t>: e247 [PMID: 25501094 DOI: 10.1097/MD.0000000000000247]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56 </w:t>
      </w:r>
      <w:r>
        <w:rPr>
          <w:rFonts w:ascii="Book Antiqua" w:hAnsi="Book Antiqua" w:eastAsia="宋体" w:cs="宋体"/>
          <w:b/>
          <w:lang w:eastAsia="zh-CN"/>
        </w:rPr>
        <w:t>Oberg K</w:t>
      </w:r>
      <w:r>
        <w:rPr>
          <w:rFonts w:ascii="Book Antiqua" w:hAnsi="Book Antiqua" w:eastAsia="宋体" w:cs="宋体"/>
          <w:lang w:eastAsia="zh-CN"/>
        </w:rPr>
        <w:t xml:space="preserve">. </w:t>
      </w:r>
      <w:bookmarkStart w:id="47" w:name="OLE_LINK351"/>
      <w:bookmarkStart w:id="48" w:name="OLE_LINK352"/>
      <w:r>
        <w:rPr>
          <w:rFonts w:ascii="Book Antiqua" w:hAnsi="Book Antiqua" w:eastAsia="宋体" w:cs="宋体"/>
          <w:lang w:eastAsia="zh-CN"/>
        </w:rPr>
        <w:t>Management of neuroendocrine tumours.</w:t>
      </w:r>
      <w:bookmarkEnd w:id="47"/>
      <w:bookmarkEnd w:id="48"/>
      <w:r>
        <w:rPr>
          <w:rFonts w:ascii="Book Antiqua" w:hAnsi="Book Antiqua" w:eastAsia="宋体" w:cs="宋体"/>
          <w:lang w:eastAsia="zh-CN"/>
        </w:rPr>
        <w:t xml:space="preserve"> </w:t>
      </w:r>
      <w:r>
        <w:rPr>
          <w:rFonts w:ascii="Book Antiqua" w:hAnsi="Book Antiqua" w:eastAsia="宋体" w:cs="宋体"/>
          <w:i/>
          <w:lang w:eastAsia="zh-CN"/>
        </w:rPr>
        <w:t>Ann Oncol Off J Eur Soc Med Oncol</w:t>
      </w:r>
      <w:r>
        <w:rPr>
          <w:rFonts w:ascii="Book Antiqua" w:hAnsi="Book Antiqua" w:eastAsia="宋体" w:cs="宋体"/>
          <w:lang w:eastAsia="zh-CN"/>
        </w:rPr>
        <w:t xml:space="preserve"> 2004;</w:t>
      </w:r>
      <w:r>
        <w:rPr>
          <w:rFonts w:hint="eastAsia" w:ascii="Book Antiqua" w:hAnsi="Book Antiqua" w:eastAsia="宋体" w:cs="宋体"/>
          <w:lang w:eastAsia="zh-CN"/>
        </w:rPr>
        <w:t xml:space="preserve"> </w:t>
      </w:r>
      <w:r>
        <w:rPr>
          <w:rFonts w:ascii="Book Antiqua" w:hAnsi="Book Antiqua" w:eastAsia="宋体" w:cs="宋体"/>
          <w:b/>
          <w:lang w:eastAsia="zh-CN"/>
        </w:rPr>
        <w:t>15 Suppl 4</w:t>
      </w:r>
      <w:r>
        <w:rPr>
          <w:rFonts w:ascii="Book Antiqua" w:hAnsi="Book Antiqua" w:eastAsia="宋体" w:cs="宋体"/>
          <w:lang w:eastAsia="zh-CN"/>
        </w:rPr>
        <w:t>:</w:t>
      </w:r>
      <w:r>
        <w:rPr>
          <w:rFonts w:hint="eastAsia" w:ascii="Book Antiqua" w:hAnsi="Book Antiqua" w:eastAsia="宋体" w:cs="宋体"/>
          <w:lang w:eastAsia="zh-CN"/>
        </w:rPr>
        <w:t xml:space="preserve"> </w:t>
      </w:r>
      <w:r>
        <w:rPr>
          <w:rFonts w:ascii="Book Antiqua" w:hAnsi="Book Antiqua" w:eastAsia="宋体" w:cs="宋体"/>
          <w:lang w:eastAsia="zh-CN"/>
        </w:rPr>
        <w:t xml:space="preserve">iv293-298 </w:t>
      </w:r>
      <w:r>
        <w:rPr>
          <w:rFonts w:hint="eastAsia" w:ascii="Book Antiqua" w:hAnsi="Book Antiqua" w:eastAsia="宋体" w:cs="宋体"/>
          <w:lang w:eastAsia="zh-CN"/>
        </w:rPr>
        <w:t>[</w:t>
      </w:r>
      <w:r>
        <w:rPr>
          <w:rFonts w:ascii="Book Antiqua" w:hAnsi="Book Antiqua" w:eastAsia="宋体" w:cs="宋体"/>
          <w:lang w:eastAsia="zh-CN"/>
        </w:rPr>
        <w:t>DOI:</w:t>
      </w:r>
      <w:r>
        <w:rPr>
          <w:rFonts w:hint="eastAsia" w:ascii="Book Antiqua" w:hAnsi="Book Antiqua" w:eastAsia="宋体" w:cs="宋体"/>
          <w:lang w:eastAsia="zh-CN"/>
        </w:rPr>
        <w:t xml:space="preserve"> </w:t>
      </w:r>
      <w:r>
        <w:rPr>
          <w:rFonts w:ascii="Book Antiqua" w:hAnsi="Book Antiqua" w:eastAsia="宋体" w:cs="宋体"/>
          <w:lang w:eastAsia="zh-CN"/>
        </w:rPr>
        <w:t>10.1093/annonc/mdh942</w:t>
      </w:r>
      <w:r>
        <w:rPr>
          <w:rFonts w:hint="eastAsia" w:ascii="Book Antiqua" w:hAnsi="Book Antiqua" w:eastAsia="宋体" w:cs="宋体"/>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57 </w:t>
      </w:r>
      <w:r>
        <w:rPr>
          <w:rFonts w:ascii="Book Antiqua" w:hAnsi="Book Antiqua" w:eastAsia="宋体" w:cs="宋体"/>
          <w:b/>
          <w:bCs/>
          <w:lang w:eastAsia="zh-CN"/>
        </w:rPr>
        <w:t>Ciobanu OA</w:t>
      </w:r>
      <w:r>
        <w:rPr>
          <w:rFonts w:ascii="Book Antiqua" w:hAnsi="Book Antiqua" w:eastAsia="宋体" w:cs="宋体"/>
          <w:lang w:eastAsia="zh-CN"/>
        </w:rPr>
        <w:t xml:space="preserve">, Martin S, Fica S. Perspectives on the diagnostic, predictive and prognostic markers of neuroendocrine neoplasms (Review). </w:t>
      </w:r>
      <w:r>
        <w:rPr>
          <w:rFonts w:ascii="Book Antiqua" w:hAnsi="Book Antiqua" w:eastAsia="宋体" w:cs="宋体"/>
          <w:i/>
          <w:iCs/>
          <w:lang w:eastAsia="zh-CN"/>
        </w:rPr>
        <w:t>Exp Ther Med</w:t>
      </w:r>
      <w:r>
        <w:rPr>
          <w:rFonts w:ascii="Book Antiqua" w:hAnsi="Book Antiqua" w:eastAsia="宋体" w:cs="宋体"/>
          <w:lang w:eastAsia="zh-CN"/>
        </w:rPr>
        <w:t xml:space="preserve"> 2021; </w:t>
      </w:r>
      <w:r>
        <w:rPr>
          <w:rFonts w:ascii="Book Antiqua" w:hAnsi="Book Antiqua" w:eastAsia="宋体" w:cs="宋体"/>
          <w:b/>
          <w:bCs/>
          <w:lang w:eastAsia="zh-CN"/>
        </w:rPr>
        <w:t>22</w:t>
      </w:r>
      <w:r>
        <w:rPr>
          <w:rFonts w:ascii="Book Antiqua" w:hAnsi="Book Antiqua" w:eastAsia="宋体" w:cs="宋体"/>
          <w:lang w:eastAsia="zh-CN"/>
        </w:rPr>
        <w:t>: 1479 [PMID: 34765020 DOI: 10.3892/etm.2021.10914]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58 </w:t>
      </w:r>
      <w:r>
        <w:rPr>
          <w:rFonts w:ascii="Book Antiqua" w:hAnsi="Book Antiqua" w:eastAsia="宋体" w:cs="宋体"/>
          <w:b/>
          <w:bCs/>
          <w:lang w:eastAsia="zh-CN"/>
        </w:rPr>
        <w:t>Boons G</w:t>
      </w:r>
      <w:r>
        <w:rPr>
          <w:rFonts w:ascii="Book Antiqua" w:hAnsi="Book Antiqua" w:eastAsia="宋体" w:cs="宋体"/>
          <w:lang w:eastAsia="zh-CN"/>
        </w:rPr>
        <w:t xml:space="preserve">, Vandamme T, Peeters M, Beyens M, Driessen A, Janssens K, Zwaenepoel K, Roeyen G, Van Camp G, Op de Beeck K. Cell-Free DNA From Metastatic Pancreatic Neuroendocrine Tumor Patients Contains Tumor-Specific Mutations and Copy Number Variations. </w:t>
      </w:r>
      <w:r>
        <w:rPr>
          <w:rFonts w:ascii="Book Antiqua" w:hAnsi="Book Antiqua" w:eastAsia="宋体" w:cs="宋体"/>
          <w:i/>
          <w:iCs/>
          <w:lang w:eastAsia="zh-CN"/>
        </w:rPr>
        <w:t>Front Oncol</w:t>
      </w:r>
      <w:r>
        <w:rPr>
          <w:rFonts w:ascii="Book Antiqua" w:hAnsi="Book Antiqua" w:eastAsia="宋体" w:cs="宋体"/>
          <w:lang w:eastAsia="zh-CN"/>
        </w:rPr>
        <w:t xml:space="preserve"> 2018; </w:t>
      </w:r>
      <w:r>
        <w:rPr>
          <w:rFonts w:ascii="Book Antiqua" w:hAnsi="Book Antiqua" w:eastAsia="宋体" w:cs="宋体"/>
          <w:b/>
          <w:bCs/>
          <w:lang w:eastAsia="zh-CN"/>
        </w:rPr>
        <w:t>8</w:t>
      </w:r>
      <w:r>
        <w:rPr>
          <w:rFonts w:ascii="Book Antiqua" w:hAnsi="Book Antiqua" w:eastAsia="宋体" w:cs="宋体"/>
          <w:lang w:eastAsia="zh-CN"/>
        </w:rPr>
        <w:t>: 467 [PMID: 30443491 DOI: 10.3389/fonc.2018.00467]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59 </w:t>
      </w:r>
      <w:r>
        <w:rPr>
          <w:rFonts w:ascii="Book Antiqua" w:hAnsi="Book Antiqua" w:eastAsia="宋体" w:cs="宋体"/>
          <w:b/>
          <w:bCs/>
          <w:lang w:eastAsia="zh-CN"/>
        </w:rPr>
        <w:t>Modlin IM</w:t>
      </w:r>
      <w:r>
        <w:rPr>
          <w:rFonts w:ascii="Book Antiqua" w:hAnsi="Book Antiqua" w:eastAsia="宋体" w:cs="宋体"/>
          <w:lang w:eastAsia="zh-CN"/>
        </w:rPr>
        <w:t xml:space="preserve">, Drozdov I, Kidd M. Gut neuroendocrine tumor blood qPCR fingerprint assay: characteristics and reproducibility. </w:t>
      </w:r>
      <w:r>
        <w:rPr>
          <w:rFonts w:ascii="Book Antiqua" w:hAnsi="Book Antiqua" w:eastAsia="宋体" w:cs="宋体"/>
          <w:i/>
          <w:iCs/>
          <w:lang w:eastAsia="zh-CN"/>
        </w:rPr>
        <w:t>Clin Chem Lab Med</w:t>
      </w:r>
      <w:r>
        <w:rPr>
          <w:rFonts w:ascii="Book Antiqua" w:hAnsi="Book Antiqua" w:eastAsia="宋体" w:cs="宋体"/>
          <w:lang w:eastAsia="zh-CN"/>
        </w:rPr>
        <w:t xml:space="preserve"> 2014; </w:t>
      </w:r>
      <w:r>
        <w:rPr>
          <w:rFonts w:ascii="Book Antiqua" w:hAnsi="Book Antiqua" w:eastAsia="宋体" w:cs="宋体"/>
          <w:b/>
          <w:bCs/>
          <w:lang w:eastAsia="zh-CN"/>
        </w:rPr>
        <w:t>52</w:t>
      </w:r>
      <w:r>
        <w:rPr>
          <w:rFonts w:ascii="Book Antiqua" w:hAnsi="Book Antiqua" w:eastAsia="宋体" w:cs="宋体"/>
          <w:lang w:eastAsia="zh-CN"/>
        </w:rPr>
        <w:t>: 419-429 [PMID: 24127543 DOI: 10.1515/cclm-2013-0496]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60 </w:t>
      </w:r>
      <w:r>
        <w:rPr>
          <w:rFonts w:ascii="Book Antiqua" w:hAnsi="Book Antiqua" w:eastAsia="宋体" w:cs="宋体"/>
          <w:b/>
          <w:bCs/>
          <w:lang w:eastAsia="zh-CN"/>
        </w:rPr>
        <w:t>Bodei L</w:t>
      </w:r>
      <w:r>
        <w:rPr>
          <w:rFonts w:ascii="Book Antiqua" w:hAnsi="Book Antiqua" w:eastAsia="宋体" w:cs="宋体"/>
          <w:lang w:eastAsia="zh-CN"/>
        </w:rPr>
        <w:t xml:space="preserve">, Kidd MS, Singh A, van der Zwan WA, Severi S, Drozdov IA, Malczewska A, Baum RP, Kwekkeboom DJ, Paganelli G, Krenning EP, Modlin IM. PRRT neuroendocrine tumor response monitored using circulating transcript analysis: the NETest. </w:t>
      </w:r>
      <w:r>
        <w:rPr>
          <w:rFonts w:ascii="Book Antiqua" w:hAnsi="Book Antiqua" w:eastAsia="宋体" w:cs="宋体"/>
          <w:i/>
          <w:iCs/>
          <w:lang w:eastAsia="zh-CN"/>
        </w:rPr>
        <w:t>Eur J Nucl Med Mol Imaging</w:t>
      </w:r>
      <w:r>
        <w:rPr>
          <w:rFonts w:ascii="Book Antiqua" w:hAnsi="Book Antiqua" w:eastAsia="宋体" w:cs="宋体"/>
          <w:lang w:eastAsia="zh-CN"/>
        </w:rPr>
        <w:t xml:space="preserve"> 2020; </w:t>
      </w:r>
      <w:r>
        <w:rPr>
          <w:rFonts w:ascii="Book Antiqua" w:hAnsi="Book Antiqua" w:eastAsia="宋体" w:cs="宋体"/>
          <w:b/>
          <w:bCs/>
          <w:lang w:eastAsia="zh-CN"/>
        </w:rPr>
        <w:t>47</w:t>
      </w:r>
      <w:r>
        <w:rPr>
          <w:rFonts w:ascii="Book Antiqua" w:hAnsi="Book Antiqua" w:eastAsia="宋体" w:cs="宋体"/>
          <w:lang w:eastAsia="zh-CN"/>
        </w:rPr>
        <w:t>: 895-906 [PMID: 31838581 DOI: 10.1007/s00259-019-04601-3]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61 </w:t>
      </w:r>
      <w:r>
        <w:rPr>
          <w:rFonts w:ascii="Book Antiqua" w:hAnsi="Book Antiqua" w:eastAsia="宋体" w:cs="宋体"/>
          <w:b/>
          <w:bCs/>
          <w:lang w:eastAsia="zh-CN"/>
        </w:rPr>
        <w:t>Partelli S</w:t>
      </w:r>
      <w:r>
        <w:rPr>
          <w:rFonts w:ascii="Book Antiqua" w:hAnsi="Book Antiqua" w:eastAsia="宋体" w:cs="宋体"/>
          <w:lang w:eastAsia="zh-CN"/>
        </w:rPr>
        <w:t xml:space="preserve">, Andreasi V, Muffatti F, Schiavo Lena M, Falconi M. Circulating Neuroendocrine Gene Transcripts (NETest): A Postoperative Strategy for Early Identification of the Efficacy of Radical Surgery for Pancreatic Neuroendocrine Tumors. </w:t>
      </w:r>
      <w:r>
        <w:rPr>
          <w:rFonts w:ascii="Book Antiqua" w:hAnsi="Book Antiqua" w:eastAsia="宋体" w:cs="宋体"/>
          <w:i/>
          <w:iCs/>
          <w:lang w:eastAsia="zh-CN"/>
        </w:rPr>
        <w:t>Ann Surg Oncol</w:t>
      </w:r>
      <w:r>
        <w:rPr>
          <w:rFonts w:ascii="Book Antiqua" w:hAnsi="Book Antiqua" w:eastAsia="宋体" w:cs="宋体"/>
          <w:lang w:eastAsia="zh-CN"/>
        </w:rPr>
        <w:t xml:space="preserve"> 2020; </w:t>
      </w:r>
      <w:r>
        <w:rPr>
          <w:rFonts w:ascii="Book Antiqua" w:hAnsi="Book Antiqua" w:eastAsia="宋体" w:cs="宋体"/>
          <w:b/>
          <w:bCs/>
          <w:lang w:eastAsia="zh-CN"/>
        </w:rPr>
        <w:t>27</w:t>
      </w:r>
      <w:r>
        <w:rPr>
          <w:rFonts w:ascii="Book Antiqua" w:hAnsi="Book Antiqua" w:eastAsia="宋体" w:cs="宋体"/>
          <w:lang w:eastAsia="zh-CN"/>
        </w:rPr>
        <w:t>: 3928-3936 [PMID: 32253675 DOI: 10.1245/s10434-020-08425-6]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62 </w:t>
      </w:r>
      <w:r>
        <w:rPr>
          <w:rFonts w:ascii="Book Antiqua" w:hAnsi="Book Antiqua" w:eastAsia="宋体" w:cs="宋体"/>
          <w:b/>
          <w:bCs/>
          <w:lang w:eastAsia="zh-CN"/>
        </w:rPr>
        <w:t>Malczewska A</w:t>
      </w:r>
      <w:r>
        <w:rPr>
          <w:rFonts w:ascii="Book Antiqua" w:hAnsi="Book Antiqua" w:eastAsia="宋体" w:cs="宋体"/>
          <w:lang w:eastAsia="zh-CN"/>
        </w:rPr>
        <w:t xml:space="preserve">, Witkowska M, Wójcik-Giertuga M, Kuśnierz K, Bocian A, Walter A, Rydel M, Robek A, Pierzchała S, Malczewska M, Leś-Zielińska I, Czyżewski D, Ziora D, Pilch-Kowalczyk J, Zajęcki W, Kos-Kudła B. Prospective Evaluation of the NETest as a Liquid Biopsy for Gastroenteropancreatic and Bronchopulmonary Neuroendocrine Tumors: An ENETS Center of Excellence Experience. </w:t>
      </w:r>
      <w:r>
        <w:rPr>
          <w:rFonts w:ascii="Book Antiqua" w:hAnsi="Book Antiqua" w:eastAsia="宋体" w:cs="宋体"/>
          <w:i/>
          <w:iCs/>
          <w:lang w:eastAsia="zh-CN"/>
        </w:rPr>
        <w:t>Neuroendocrinology</w:t>
      </w:r>
      <w:r>
        <w:rPr>
          <w:rFonts w:ascii="Book Antiqua" w:hAnsi="Book Antiqua" w:eastAsia="宋体" w:cs="宋体"/>
          <w:lang w:eastAsia="zh-CN"/>
        </w:rPr>
        <w:t xml:space="preserve"> 2021; </w:t>
      </w:r>
      <w:r>
        <w:rPr>
          <w:rFonts w:ascii="Book Antiqua" w:hAnsi="Book Antiqua" w:eastAsia="宋体" w:cs="宋体"/>
          <w:b/>
          <w:bCs/>
          <w:lang w:eastAsia="zh-CN"/>
        </w:rPr>
        <w:t>111</w:t>
      </w:r>
      <w:r>
        <w:rPr>
          <w:rFonts w:ascii="Book Antiqua" w:hAnsi="Book Antiqua" w:eastAsia="宋体" w:cs="宋体"/>
          <w:lang w:eastAsia="zh-CN"/>
        </w:rPr>
        <w:t>: 304-319 [PMID: 32335553 DOI: 10.1159/000508106]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63 </w:t>
      </w:r>
      <w:r>
        <w:rPr>
          <w:rFonts w:ascii="Book Antiqua" w:hAnsi="Book Antiqua" w:eastAsia="宋体" w:cs="宋体"/>
          <w:b/>
          <w:bCs/>
          <w:lang w:eastAsia="zh-CN"/>
        </w:rPr>
        <w:t>Modlin IM</w:t>
      </w:r>
      <w:r>
        <w:rPr>
          <w:rFonts w:ascii="Book Antiqua" w:hAnsi="Book Antiqua" w:eastAsia="宋体" w:cs="宋体"/>
          <w:bCs/>
          <w:lang w:eastAsia="zh-CN"/>
        </w:rPr>
        <w:t xml:space="preserve">, Kidd M, Falconi M, Filosso PL, Frilling A, Malczewska A, Toumpanakis C, Valk G, Pacak K, Bodei L, Öberg KE. A multigenomic liquid biopsy biomarker for neuroendocrine tumor disease outperforms CgA and has surgical and clinical utility. </w:t>
      </w:r>
      <w:r>
        <w:rPr>
          <w:rFonts w:ascii="Book Antiqua" w:hAnsi="Book Antiqua" w:eastAsia="宋体" w:cs="宋体"/>
          <w:bCs/>
          <w:i/>
          <w:lang w:eastAsia="zh-CN"/>
        </w:rPr>
        <w:t>Ann Oncol</w:t>
      </w:r>
      <w:r>
        <w:rPr>
          <w:rFonts w:ascii="Book Antiqua" w:hAnsi="Book Antiqua" w:eastAsia="宋体" w:cs="宋体"/>
          <w:bCs/>
          <w:lang w:eastAsia="zh-CN"/>
        </w:rPr>
        <w:t xml:space="preserve"> 2021;</w:t>
      </w:r>
      <w:r>
        <w:rPr>
          <w:rFonts w:hint="eastAsia" w:ascii="Book Antiqua" w:hAnsi="Book Antiqua" w:eastAsia="宋体" w:cs="宋体"/>
          <w:bCs/>
          <w:lang w:eastAsia="zh-CN"/>
        </w:rPr>
        <w:t xml:space="preserve"> </w:t>
      </w:r>
      <w:r>
        <w:rPr>
          <w:rFonts w:ascii="Book Antiqua" w:hAnsi="Book Antiqua" w:eastAsia="宋体" w:cs="宋体"/>
          <w:b/>
          <w:bCs/>
          <w:lang w:eastAsia="zh-CN"/>
        </w:rPr>
        <w:t>32</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1425-1433 </w:t>
      </w:r>
      <w:r>
        <w:rPr>
          <w:rFonts w:hint="eastAsia" w:ascii="Book Antiqua" w:hAnsi="Book Antiqua" w:eastAsia="宋体" w:cs="宋体"/>
          <w:bCs/>
          <w:lang w:eastAsia="zh-CN"/>
        </w:rPr>
        <w:t>[</w:t>
      </w:r>
      <w:r>
        <w:rPr>
          <w:rFonts w:ascii="Book Antiqua" w:hAnsi="Book Antiqua" w:eastAsia="宋体" w:cs="宋体"/>
          <w:bCs/>
          <w:lang w:eastAsia="zh-CN"/>
        </w:rPr>
        <w:t>PMID: 34390828</w:t>
      </w:r>
      <w:r>
        <w:rPr>
          <w:rFonts w:hint="eastAsia" w:ascii="Book Antiqua" w:hAnsi="Book Antiqua" w:eastAsia="宋体" w:cs="宋体"/>
          <w:bCs/>
          <w:lang w:eastAsia="zh-CN"/>
        </w:rPr>
        <w:t xml:space="preserve"> DOI</w:t>
      </w:r>
      <w:r>
        <w:rPr>
          <w:rFonts w:ascii="Book Antiqua" w:hAnsi="Book Antiqua" w:eastAsia="宋体" w:cs="宋体"/>
          <w:bCs/>
          <w:lang w:eastAsia="zh-CN"/>
        </w:rPr>
        <w:t>: 10.1016/j.annonc.2021.08.1746</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64 </w:t>
      </w:r>
      <w:r>
        <w:rPr>
          <w:rFonts w:ascii="Book Antiqua" w:hAnsi="Book Antiqua" w:eastAsia="宋体" w:cs="宋体"/>
          <w:b/>
          <w:bCs/>
          <w:lang w:eastAsia="zh-CN"/>
        </w:rPr>
        <w:t>Modlin IM</w:t>
      </w:r>
      <w:r>
        <w:rPr>
          <w:rFonts w:ascii="Book Antiqua" w:hAnsi="Book Antiqua" w:eastAsia="宋体" w:cs="宋体"/>
          <w:lang w:eastAsia="zh-CN"/>
        </w:rPr>
        <w:t xml:space="preserve">, Kidd M, Frilling A, Falconi M, Filosso PL, Malczewska A, Kitz A. Molecular Genomic Assessment Using a Blood-based mRNA Signature (NETest) is Cost-effective and Predicts Neuroendocrine Tumor Recurrence With 94% Accuracy. </w:t>
      </w:r>
      <w:r>
        <w:rPr>
          <w:rFonts w:ascii="Book Antiqua" w:hAnsi="Book Antiqua" w:eastAsia="宋体" w:cs="宋体"/>
          <w:i/>
          <w:iCs/>
          <w:lang w:eastAsia="zh-CN"/>
        </w:rPr>
        <w:t>Ann Surg</w:t>
      </w:r>
      <w:r>
        <w:rPr>
          <w:rFonts w:ascii="Book Antiqua" w:hAnsi="Book Antiqua" w:eastAsia="宋体" w:cs="宋体"/>
          <w:lang w:eastAsia="zh-CN"/>
        </w:rPr>
        <w:t xml:space="preserve"> 2021; </w:t>
      </w:r>
      <w:r>
        <w:rPr>
          <w:rFonts w:ascii="Book Antiqua" w:hAnsi="Book Antiqua" w:eastAsia="宋体" w:cs="宋体"/>
          <w:b/>
          <w:bCs/>
          <w:lang w:eastAsia="zh-CN"/>
        </w:rPr>
        <w:t>274</w:t>
      </w:r>
      <w:r>
        <w:rPr>
          <w:rFonts w:ascii="Book Antiqua" w:hAnsi="Book Antiqua" w:eastAsia="宋体" w:cs="宋体"/>
          <w:lang w:eastAsia="zh-CN"/>
        </w:rPr>
        <w:t>: 481-490 [PMID: 34183517 DOI: 10.1097/SLA.0000000000005026]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65 </w:t>
      </w:r>
      <w:r>
        <w:rPr>
          <w:rFonts w:ascii="Book Antiqua" w:hAnsi="Book Antiqua" w:eastAsia="宋体" w:cs="宋体"/>
          <w:b/>
          <w:bCs/>
          <w:lang w:eastAsia="zh-CN"/>
        </w:rPr>
        <w:t>Rossi RE</w:t>
      </w:r>
      <w:r>
        <w:rPr>
          <w:rFonts w:ascii="Book Antiqua" w:hAnsi="Book Antiqua" w:eastAsia="宋体" w:cs="宋体"/>
          <w:lang w:eastAsia="zh-CN"/>
        </w:rPr>
        <w:t xml:space="preserve">, Conte D, Elli L, Branchi F, Massironi S. Endoscopic techniques to detect small-bowel neuroendocrine tumors: A literature review. </w:t>
      </w:r>
      <w:r>
        <w:rPr>
          <w:rFonts w:ascii="Book Antiqua" w:hAnsi="Book Antiqua" w:eastAsia="宋体" w:cs="宋体"/>
          <w:i/>
          <w:iCs/>
          <w:lang w:eastAsia="zh-CN"/>
        </w:rPr>
        <w:t>United European Gastroenterol J</w:t>
      </w:r>
      <w:r>
        <w:rPr>
          <w:rFonts w:ascii="Book Antiqua" w:hAnsi="Book Antiqua" w:eastAsia="宋体" w:cs="宋体"/>
          <w:lang w:eastAsia="zh-CN"/>
        </w:rPr>
        <w:t xml:space="preserve"> 2017; </w:t>
      </w:r>
      <w:r>
        <w:rPr>
          <w:rFonts w:ascii="Book Antiqua" w:hAnsi="Book Antiqua" w:eastAsia="宋体" w:cs="宋体"/>
          <w:b/>
          <w:bCs/>
          <w:lang w:eastAsia="zh-CN"/>
        </w:rPr>
        <w:t>5</w:t>
      </w:r>
      <w:r>
        <w:rPr>
          <w:rFonts w:ascii="Book Antiqua" w:hAnsi="Book Antiqua" w:eastAsia="宋体" w:cs="宋体"/>
          <w:lang w:eastAsia="zh-CN"/>
        </w:rPr>
        <w:t>: 5-12 [PMID: 28405316 DOI: 10.1177/2050640616658220]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66 </w:t>
      </w:r>
      <w:r>
        <w:rPr>
          <w:rFonts w:ascii="Book Antiqua" w:hAnsi="Book Antiqua" w:eastAsia="宋体" w:cs="宋体"/>
          <w:b/>
          <w:bCs/>
          <w:lang w:eastAsia="zh-CN"/>
        </w:rPr>
        <w:t>Sidhu R</w:t>
      </w:r>
      <w:r>
        <w:rPr>
          <w:rFonts w:ascii="Book Antiqua" w:hAnsi="Book Antiqua" w:eastAsia="宋体" w:cs="宋体"/>
          <w:lang w:eastAsia="zh-CN"/>
        </w:rPr>
        <w:t xml:space="preserve">, McAlindon ME. The use of capsule endoscopy for the investigation of small bowel tumors: experience from a United Kingdom single center. </w:t>
      </w:r>
      <w:r>
        <w:rPr>
          <w:rFonts w:ascii="Book Antiqua" w:hAnsi="Book Antiqua" w:eastAsia="宋体" w:cs="宋体"/>
          <w:i/>
          <w:iCs/>
          <w:lang w:eastAsia="zh-CN"/>
        </w:rPr>
        <w:t>Dig Dis Sci</w:t>
      </w:r>
      <w:r>
        <w:rPr>
          <w:rFonts w:ascii="Book Antiqua" w:hAnsi="Book Antiqua" w:eastAsia="宋体" w:cs="宋体"/>
          <w:lang w:eastAsia="zh-CN"/>
        </w:rPr>
        <w:t xml:space="preserve"> 2011; </w:t>
      </w:r>
      <w:r>
        <w:rPr>
          <w:rFonts w:ascii="Book Antiqua" w:hAnsi="Book Antiqua" w:eastAsia="宋体" w:cs="宋体"/>
          <w:b/>
          <w:bCs/>
          <w:lang w:eastAsia="zh-CN"/>
        </w:rPr>
        <w:t>56</w:t>
      </w:r>
      <w:r>
        <w:rPr>
          <w:rFonts w:ascii="Book Antiqua" w:hAnsi="Book Antiqua" w:eastAsia="宋体" w:cs="宋体"/>
          <w:lang w:eastAsia="zh-CN"/>
        </w:rPr>
        <w:t>: 2763 [PMID: 21750932 DOI: 10.1007/s10620-011-1813-9]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67 </w:t>
      </w:r>
      <w:r>
        <w:rPr>
          <w:rFonts w:ascii="Book Antiqua" w:hAnsi="Book Antiqua" w:eastAsia="宋体" w:cs="宋体"/>
          <w:b/>
          <w:bCs/>
          <w:lang w:eastAsia="zh-CN"/>
        </w:rPr>
        <w:t>Bellutti M</w:t>
      </w:r>
      <w:r>
        <w:rPr>
          <w:rFonts w:ascii="Book Antiqua" w:hAnsi="Book Antiqua" w:eastAsia="宋体" w:cs="宋体"/>
          <w:lang w:eastAsia="zh-CN"/>
        </w:rPr>
        <w:t xml:space="preserve">, Fry LC, Schmitt J, Seemann M, Klose S, Malfertheiner P, Mönkemüller K. Detection of neuroendocrine tumors of the small bowel by double balloon enteroscopy. </w:t>
      </w:r>
      <w:r>
        <w:rPr>
          <w:rFonts w:ascii="Book Antiqua" w:hAnsi="Book Antiqua" w:eastAsia="宋体" w:cs="宋体"/>
          <w:i/>
          <w:iCs/>
          <w:lang w:eastAsia="zh-CN"/>
        </w:rPr>
        <w:t>Dig Dis Sci</w:t>
      </w:r>
      <w:r>
        <w:rPr>
          <w:rFonts w:ascii="Book Antiqua" w:hAnsi="Book Antiqua" w:eastAsia="宋体" w:cs="宋体"/>
          <w:lang w:eastAsia="zh-CN"/>
        </w:rPr>
        <w:t xml:space="preserve"> 2009; </w:t>
      </w:r>
      <w:r>
        <w:rPr>
          <w:rFonts w:ascii="Book Antiqua" w:hAnsi="Book Antiqua" w:eastAsia="宋体" w:cs="宋体"/>
          <w:b/>
          <w:bCs/>
          <w:lang w:eastAsia="zh-CN"/>
        </w:rPr>
        <w:t>54</w:t>
      </w:r>
      <w:r>
        <w:rPr>
          <w:rFonts w:ascii="Book Antiqua" w:hAnsi="Book Antiqua" w:eastAsia="宋体" w:cs="宋体"/>
          <w:lang w:eastAsia="zh-CN"/>
        </w:rPr>
        <w:t>: 1050-1058 [PMID: 18770038 DOI: 10.1007/s10620-008-0456-y]</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68 </w:t>
      </w:r>
      <w:r>
        <w:rPr>
          <w:rFonts w:ascii="Book Antiqua" w:hAnsi="Book Antiqua" w:eastAsia="宋体" w:cs="宋体"/>
          <w:b/>
          <w:bCs/>
          <w:lang w:eastAsia="zh-CN"/>
        </w:rPr>
        <w:t>Scherübl H</w:t>
      </w:r>
      <w:r>
        <w:rPr>
          <w:rFonts w:ascii="Book Antiqua" w:hAnsi="Book Antiqua" w:eastAsia="宋体" w:cs="宋体"/>
          <w:lang w:eastAsia="zh-CN"/>
        </w:rPr>
        <w:t xml:space="preserve">, Faiss S, Tschöpe R, Zeitz M. Double-balloon enteroscopy for the detection of midgut carcinoids. </w:t>
      </w:r>
      <w:r>
        <w:rPr>
          <w:rFonts w:ascii="Book Antiqua" w:hAnsi="Book Antiqua" w:eastAsia="宋体" w:cs="宋体"/>
          <w:i/>
          <w:iCs/>
          <w:lang w:eastAsia="zh-CN"/>
        </w:rPr>
        <w:t>Gastrointest Endosc</w:t>
      </w:r>
      <w:r>
        <w:rPr>
          <w:rFonts w:ascii="Book Antiqua" w:hAnsi="Book Antiqua" w:eastAsia="宋体" w:cs="宋体"/>
          <w:lang w:eastAsia="zh-CN"/>
        </w:rPr>
        <w:t xml:space="preserve"> 2005; </w:t>
      </w:r>
      <w:r>
        <w:rPr>
          <w:rFonts w:ascii="Book Antiqua" w:hAnsi="Book Antiqua" w:eastAsia="宋体" w:cs="宋体"/>
          <w:b/>
          <w:bCs/>
          <w:lang w:eastAsia="zh-CN"/>
        </w:rPr>
        <w:t>62</w:t>
      </w:r>
      <w:r>
        <w:rPr>
          <w:rFonts w:ascii="Book Antiqua" w:hAnsi="Book Antiqua" w:eastAsia="宋体" w:cs="宋体"/>
          <w:lang w:eastAsia="zh-CN"/>
        </w:rPr>
        <w:t>: 994; author reply 994-994; author reply 995 [PMID: 16301062 DOI: 10.1016/j.gie.2005.08.012]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69 </w:t>
      </w:r>
      <w:r>
        <w:rPr>
          <w:rFonts w:ascii="Book Antiqua" w:hAnsi="Book Antiqua" w:eastAsia="宋体" w:cs="宋体"/>
          <w:b/>
          <w:bCs/>
          <w:lang w:eastAsia="zh-CN"/>
        </w:rPr>
        <w:t>Partelli S</w:t>
      </w:r>
      <w:r>
        <w:rPr>
          <w:rFonts w:ascii="Book Antiqua" w:hAnsi="Book Antiqua" w:eastAsia="宋体" w:cs="宋体"/>
          <w:lang w:eastAsia="zh-CN"/>
        </w:rPr>
        <w:t xml:space="preserve">, Bartsch DK, Capdevila J, Chen J, Knigge U, Niederle B, Nieveen van Dijkum EJM, Pape UF, Pascher A, Ramage J, Reed N, Ruszniewski P, Scoazec JY, Toumpanakis C, Kianmanesh R, Falconi M; Antibes Consensus Conference participants. ENETS Consensus Guidelines for Standard of Care in Neuroendocrine Tumours: Surgery for Small Intestinal and Pancreatic Neuroendocrine Tumours. </w:t>
      </w:r>
      <w:r>
        <w:rPr>
          <w:rFonts w:ascii="Book Antiqua" w:hAnsi="Book Antiqua" w:eastAsia="宋体" w:cs="宋体"/>
          <w:i/>
          <w:iCs/>
          <w:lang w:eastAsia="zh-CN"/>
        </w:rPr>
        <w:t>Neuroendocrinology</w:t>
      </w:r>
      <w:r>
        <w:rPr>
          <w:rFonts w:ascii="Book Antiqua" w:hAnsi="Book Antiqua" w:eastAsia="宋体" w:cs="宋体"/>
          <w:lang w:eastAsia="zh-CN"/>
        </w:rPr>
        <w:t xml:space="preserve"> 2017; </w:t>
      </w:r>
      <w:r>
        <w:rPr>
          <w:rFonts w:ascii="Book Antiqua" w:hAnsi="Book Antiqua" w:eastAsia="宋体" w:cs="宋体"/>
          <w:b/>
          <w:bCs/>
          <w:lang w:eastAsia="zh-CN"/>
        </w:rPr>
        <w:t>105</w:t>
      </w:r>
      <w:r>
        <w:rPr>
          <w:rFonts w:ascii="Book Antiqua" w:hAnsi="Book Antiqua" w:eastAsia="宋体" w:cs="宋体"/>
          <w:lang w:eastAsia="zh-CN"/>
        </w:rPr>
        <w:t>: 255-265 [PMID: 28237989 DOI: 10.1159/000464292]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70 </w:t>
      </w:r>
      <w:r>
        <w:rPr>
          <w:rFonts w:ascii="Book Antiqua" w:hAnsi="Book Antiqua" w:eastAsia="宋体" w:cs="宋体"/>
          <w:b/>
          <w:bCs/>
          <w:lang w:eastAsia="zh-CN"/>
        </w:rPr>
        <w:t>Puli SR</w:t>
      </w:r>
      <w:r>
        <w:rPr>
          <w:rFonts w:ascii="Book Antiqua" w:hAnsi="Book Antiqua" w:eastAsia="宋体" w:cs="宋体"/>
          <w:lang w:eastAsia="zh-CN"/>
        </w:rPr>
        <w:t xml:space="preserve">, Kalva N, Bechtold ML, Pamulaparthy SR, Cashman MD, Estes NC, Pearl RH, Volmar FH, Dillon S, Shekleton MF, Forcione D. Diagnostic accuracy of endoscopic ultrasound in pancreatic neuroendocrine tumors: a systematic review and meta analysis. </w:t>
      </w:r>
      <w:r>
        <w:rPr>
          <w:rFonts w:ascii="Book Antiqua" w:hAnsi="Book Antiqua" w:eastAsia="宋体" w:cs="宋体"/>
          <w:i/>
          <w:iCs/>
          <w:lang w:eastAsia="zh-CN"/>
        </w:rPr>
        <w:t>World J Gastroenterol</w:t>
      </w:r>
      <w:r>
        <w:rPr>
          <w:rFonts w:ascii="Book Antiqua" w:hAnsi="Book Antiqua" w:eastAsia="宋体" w:cs="宋体"/>
          <w:lang w:eastAsia="zh-CN"/>
        </w:rPr>
        <w:t xml:space="preserve"> 2013; </w:t>
      </w:r>
      <w:r>
        <w:rPr>
          <w:rFonts w:ascii="Book Antiqua" w:hAnsi="Book Antiqua" w:eastAsia="宋体" w:cs="宋体"/>
          <w:b/>
          <w:bCs/>
          <w:lang w:eastAsia="zh-CN"/>
        </w:rPr>
        <w:t>19</w:t>
      </w:r>
      <w:r>
        <w:rPr>
          <w:rFonts w:ascii="Book Antiqua" w:hAnsi="Book Antiqua" w:eastAsia="宋体" w:cs="宋体"/>
          <w:lang w:eastAsia="zh-CN"/>
        </w:rPr>
        <w:t>: 3678-3684 [PMID: 23801872 DOI: 10.3748/wjg.v19.i23.3678]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71 </w:t>
      </w:r>
      <w:r>
        <w:rPr>
          <w:rFonts w:ascii="Book Antiqua" w:hAnsi="Book Antiqua" w:eastAsia="宋体" w:cs="宋体"/>
          <w:b/>
          <w:bCs/>
          <w:lang w:eastAsia="zh-CN"/>
        </w:rPr>
        <w:t>Sundin A</w:t>
      </w:r>
      <w:r>
        <w:rPr>
          <w:rFonts w:ascii="Book Antiqua" w:hAnsi="Book Antiqua" w:eastAsia="宋体" w:cs="宋体"/>
          <w:lang w:eastAsia="zh-CN"/>
        </w:rPr>
        <w:t xml:space="preserve">, Vullierme MP, Kaltsas G, Plöckinger U; Mallorca Consensus Conference participants; European Neuroendocrine Tumor Society. ENETS Consensus Guidelines for the Standards of Care in Neuroendocrine Tumors: radiological examinations. </w:t>
      </w:r>
      <w:r>
        <w:rPr>
          <w:rFonts w:ascii="Book Antiqua" w:hAnsi="Book Antiqua" w:eastAsia="宋体" w:cs="宋体"/>
          <w:i/>
          <w:iCs/>
          <w:lang w:eastAsia="zh-CN"/>
        </w:rPr>
        <w:t>Neuroendocrinology</w:t>
      </w:r>
      <w:r>
        <w:rPr>
          <w:rFonts w:ascii="Book Antiqua" w:hAnsi="Book Antiqua" w:eastAsia="宋体" w:cs="宋体"/>
          <w:lang w:eastAsia="zh-CN"/>
        </w:rPr>
        <w:t xml:space="preserve"> 2009; </w:t>
      </w:r>
      <w:r>
        <w:rPr>
          <w:rFonts w:ascii="Book Antiqua" w:hAnsi="Book Antiqua" w:eastAsia="宋体" w:cs="宋体"/>
          <w:b/>
          <w:bCs/>
          <w:lang w:eastAsia="zh-CN"/>
        </w:rPr>
        <w:t>90</w:t>
      </w:r>
      <w:r>
        <w:rPr>
          <w:rFonts w:ascii="Book Antiqua" w:hAnsi="Book Antiqua" w:eastAsia="宋体" w:cs="宋体"/>
          <w:lang w:eastAsia="zh-CN"/>
        </w:rPr>
        <w:t>: 167-183 [PMID: 19077417 DOI: 10.1159/000184855]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72 </w:t>
      </w:r>
      <w:r>
        <w:rPr>
          <w:rFonts w:ascii="Book Antiqua" w:hAnsi="Book Antiqua" w:eastAsia="宋体" w:cs="宋体"/>
          <w:b/>
          <w:bCs/>
          <w:lang w:eastAsia="zh-CN"/>
        </w:rPr>
        <w:t>James PD</w:t>
      </w:r>
      <w:r>
        <w:rPr>
          <w:rFonts w:ascii="Book Antiqua" w:hAnsi="Book Antiqua" w:eastAsia="宋体" w:cs="宋体"/>
          <w:lang w:eastAsia="zh-CN"/>
        </w:rPr>
        <w:t xml:space="preserve">, Tsolakis AV, Zhang M, Belletrutti PJ, Mohamed R, Roberts DJ, Heitman SJ. Incremental benefit of preoperative EUS for the detection of pancreatic neuroendocrine tumors: a meta-analysis. </w:t>
      </w:r>
      <w:r>
        <w:rPr>
          <w:rFonts w:ascii="Book Antiqua" w:hAnsi="Book Antiqua" w:eastAsia="宋体" w:cs="宋体"/>
          <w:i/>
          <w:iCs/>
          <w:lang w:eastAsia="zh-CN"/>
        </w:rPr>
        <w:t>Gastrointest Endosc</w:t>
      </w:r>
      <w:r>
        <w:rPr>
          <w:rFonts w:ascii="Book Antiqua" w:hAnsi="Book Antiqua" w:eastAsia="宋体" w:cs="宋体"/>
          <w:lang w:eastAsia="zh-CN"/>
        </w:rPr>
        <w:t xml:space="preserve"> 2015; </w:t>
      </w:r>
      <w:r>
        <w:rPr>
          <w:rFonts w:ascii="Book Antiqua" w:hAnsi="Book Antiqua" w:eastAsia="宋体" w:cs="宋体"/>
          <w:b/>
          <w:bCs/>
          <w:lang w:eastAsia="zh-CN"/>
        </w:rPr>
        <w:t>81</w:t>
      </w:r>
      <w:r>
        <w:rPr>
          <w:rFonts w:ascii="Book Antiqua" w:hAnsi="Book Antiqua" w:eastAsia="宋体" w:cs="宋体"/>
          <w:lang w:eastAsia="zh-CN"/>
        </w:rPr>
        <w:t>: 848-56.e1 [PMID: 25805462 DOI: 10.1016/j.gie.2014.12.031]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73 </w:t>
      </w:r>
      <w:r>
        <w:rPr>
          <w:rFonts w:ascii="Book Antiqua" w:hAnsi="Book Antiqua" w:eastAsia="宋体" w:cs="宋体"/>
          <w:b/>
          <w:bCs/>
          <w:lang w:eastAsia="zh-CN"/>
        </w:rPr>
        <w:t>Manta R</w:t>
      </w:r>
      <w:r>
        <w:rPr>
          <w:rFonts w:ascii="Book Antiqua" w:hAnsi="Book Antiqua" w:eastAsia="宋体" w:cs="宋体"/>
          <w:bCs/>
          <w:lang w:eastAsia="zh-CN"/>
        </w:rPr>
        <w:t xml:space="preserve">, Nardi E, Pagano N, Ricci C, Sica M, Castellani D, Bertani H, Piccoli M, Mullineris B, Tringali A, Marini F, Germani U, Villanacci V, Casadei R, Mutignani M, Conigliaro R, Bassotti G, Zullo A. Pre-operative Diagnosis of Pancreatic Neuroendocrine Tumors with Endoscopic Ultrasonography and Computed Tomography in a Large Series. </w:t>
      </w:r>
      <w:r>
        <w:rPr>
          <w:rFonts w:ascii="Book Antiqua" w:hAnsi="Book Antiqua" w:eastAsia="宋体" w:cs="宋体"/>
          <w:bCs/>
          <w:i/>
          <w:lang w:eastAsia="zh-CN"/>
        </w:rPr>
        <w:t xml:space="preserve">J Gastrointestin Liver Dis </w:t>
      </w:r>
      <w:r>
        <w:rPr>
          <w:rFonts w:ascii="Book Antiqua" w:hAnsi="Book Antiqua" w:eastAsia="宋体" w:cs="宋体"/>
          <w:bCs/>
          <w:lang w:eastAsia="zh-CN"/>
        </w:rPr>
        <w:t>2016;</w:t>
      </w:r>
      <w:r>
        <w:rPr>
          <w:rFonts w:hint="eastAsia" w:ascii="Book Antiqua" w:hAnsi="Book Antiqua" w:eastAsia="宋体" w:cs="宋体"/>
          <w:bCs/>
          <w:lang w:eastAsia="zh-CN"/>
        </w:rPr>
        <w:t xml:space="preserve"> </w:t>
      </w:r>
      <w:r>
        <w:rPr>
          <w:rFonts w:ascii="Book Antiqua" w:hAnsi="Book Antiqua" w:eastAsia="宋体" w:cs="宋体"/>
          <w:b/>
          <w:bCs/>
          <w:lang w:eastAsia="zh-CN"/>
        </w:rPr>
        <w:t>25</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317-</w:t>
      </w:r>
      <w:r>
        <w:rPr>
          <w:rFonts w:hint="eastAsia" w:ascii="Book Antiqua" w:hAnsi="Book Antiqua" w:eastAsia="宋体" w:cs="宋体"/>
          <w:bCs/>
          <w:lang w:eastAsia="zh-CN"/>
        </w:rPr>
        <w:t>3</w:t>
      </w:r>
      <w:r>
        <w:rPr>
          <w:rFonts w:ascii="Book Antiqua" w:hAnsi="Book Antiqua" w:eastAsia="宋体" w:cs="宋体"/>
          <w:bCs/>
          <w:lang w:eastAsia="zh-CN"/>
        </w:rPr>
        <w:t xml:space="preserve">21 </w:t>
      </w:r>
      <w:r>
        <w:rPr>
          <w:rFonts w:hint="eastAsia" w:ascii="Book Antiqua" w:hAnsi="Book Antiqua" w:eastAsia="宋体" w:cs="宋体"/>
          <w:bCs/>
          <w:lang w:eastAsia="zh-CN"/>
        </w:rPr>
        <w:t>[</w:t>
      </w:r>
      <w:r>
        <w:rPr>
          <w:rFonts w:ascii="Book Antiqua" w:hAnsi="Book Antiqua" w:eastAsia="宋体" w:cs="宋体"/>
          <w:bCs/>
          <w:lang w:eastAsia="zh-CN"/>
        </w:rPr>
        <w:t>PMID: 27689195</w:t>
      </w:r>
      <w:r>
        <w:rPr>
          <w:rFonts w:hint="eastAsia" w:ascii="Book Antiqua" w:hAnsi="Book Antiqua" w:eastAsia="宋体" w:cs="宋体"/>
          <w:bCs/>
          <w:lang w:eastAsia="zh-CN"/>
        </w:rPr>
        <w:t xml:space="preserve"> DOI</w:t>
      </w:r>
      <w:r>
        <w:rPr>
          <w:rFonts w:ascii="Book Antiqua" w:hAnsi="Book Antiqua" w:eastAsia="宋体" w:cs="宋体"/>
          <w:bCs/>
          <w:lang w:eastAsia="zh-CN"/>
        </w:rPr>
        <w:t>: 10.15403/jgld.2014.1121.253.ned</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74 </w:t>
      </w:r>
      <w:r>
        <w:rPr>
          <w:rFonts w:ascii="Book Antiqua" w:hAnsi="Book Antiqua" w:eastAsia="宋体" w:cs="宋体"/>
          <w:b/>
          <w:bCs/>
          <w:lang w:eastAsia="zh-CN"/>
        </w:rPr>
        <w:t>Zilli A</w:t>
      </w:r>
      <w:r>
        <w:rPr>
          <w:rFonts w:ascii="Book Antiqua" w:hAnsi="Book Antiqua" w:eastAsia="宋体" w:cs="宋体"/>
          <w:lang w:eastAsia="zh-CN"/>
        </w:rPr>
        <w:t xml:space="preserve">, Arcidiacono PG, Conte D, Massironi S. Clinical impact of endoscopic ultrasonography on the management of neuroendocrine tumors: lights and shadows. </w:t>
      </w:r>
      <w:r>
        <w:rPr>
          <w:rFonts w:ascii="Book Antiqua" w:hAnsi="Book Antiqua" w:eastAsia="宋体" w:cs="宋体"/>
          <w:i/>
          <w:iCs/>
          <w:lang w:eastAsia="zh-CN"/>
        </w:rPr>
        <w:t>Dig Liver Dis</w:t>
      </w:r>
      <w:r>
        <w:rPr>
          <w:rFonts w:ascii="Book Antiqua" w:hAnsi="Book Antiqua" w:eastAsia="宋体" w:cs="宋体"/>
          <w:lang w:eastAsia="zh-CN"/>
        </w:rPr>
        <w:t xml:space="preserve"> 2018; </w:t>
      </w:r>
      <w:r>
        <w:rPr>
          <w:rFonts w:ascii="Book Antiqua" w:hAnsi="Book Antiqua" w:eastAsia="宋体" w:cs="宋体"/>
          <w:b/>
          <w:bCs/>
          <w:lang w:eastAsia="zh-CN"/>
        </w:rPr>
        <w:t>50</w:t>
      </w:r>
      <w:r>
        <w:rPr>
          <w:rFonts w:ascii="Book Antiqua" w:hAnsi="Book Antiqua" w:eastAsia="宋体" w:cs="宋体"/>
          <w:lang w:eastAsia="zh-CN"/>
        </w:rPr>
        <w:t>: 6-14 [PMID: 29102525 DOI: 10.1016/j.dld.2017.10.007]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75 </w:t>
      </w:r>
      <w:r>
        <w:rPr>
          <w:rFonts w:ascii="Book Antiqua" w:hAnsi="Book Antiqua" w:eastAsia="宋体" w:cs="宋体"/>
          <w:b/>
          <w:bCs/>
          <w:lang w:eastAsia="zh-CN"/>
        </w:rPr>
        <w:t>Crinò SF</w:t>
      </w:r>
      <w:r>
        <w:rPr>
          <w:rFonts w:ascii="Book Antiqua" w:hAnsi="Book Antiqua" w:eastAsia="宋体" w:cs="宋体"/>
          <w:bCs/>
          <w:lang w:eastAsia="zh-CN"/>
        </w:rPr>
        <w:t xml:space="preserve">, Ammendola S, Meneghetti A, Bernardoni L, Conti Bellocchi MC, Gabbrielli A, Landoni L, Paiella S, Pin F, Parisi A, Mastrosimini MG, Amodio A, Frulloni L, Facciorusso A, Larghi A, Manfrin E. Comparison between EUS-guided fine-needle aspiration cytology and EUS-guided fine-needle biopsy histology for the evaluation of pancreatic neuroendocrine tumors. </w:t>
      </w:r>
      <w:r>
        <w:rPr>
          <w:rFonts w:ascii="Book Antiqua" w:hAnsi="Book Antiqua" w:eastAsia="宋体" w:cs="宋体"/>
          <w:bCs/>
          <w:i/>
          <w:lang w:eastAsia="zh-CN"/>
        </w:rPr>
        <w:t>Pancreatology</w:t>
      </w:r>
      <w:r>
        <w:rPr>
          <w:rFonts w:ascii="Book Antiqua" w:hAnsi="Book Antiqua" w:eastAsia="宋体" w:cs="宋体"/>
          <w:bCs/>
          <w:lang w:eastAsia="zh-CN"/>
        </w:rPr>
        <w:t xml:space="preserve"> 2021;</w:t>
      </w:r>
      <w:r>
        <w:rPr>
          <w:rFonts w:hint="eastAsia" w:ascii="Book Antiqua" w:hAnsi="Book Antiqua" w:eastAsia="宋体" w:cs="宋体"/>
          <w:bCs/>
          <w:lang w:eastAsia="zh-CN"/>
        </w:rPr>
        <w:t xml:space="preserve"> </w:t>
      </w:r>
      <w:r>
        <w:rPr>
          <w:rFonts w:ascii="Book Antiqua" w:hAnsi="Book Antiqua" w:eastAsia="宋体" w:cs="宋体"/>
          <w:b/>
          <w:bCs/>
          <w:lang w:eastAsia="zh-CN"/>
        </w:rPr>
        <w:t>21</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443-450 </w:t>
      </w:r>
      <w:r>
        <w:rPr>
          <w:rFonts w:hint="eastAsia" w:ascii="Book Antiqua" w:hAnsi="Book Antiqua" w:eastAsia="宋体" w:cs="宋体"/>
          <w:bCs/>
          <w:lang w:eastAsia="zh-CN"/>
        </w:rPr>
        <w:t>[</w:t>
      </w:r>
      <w:r>
        <w:rPr>
          <w:rFonts w:ascii="Book Antiqua" w:hAnsi="Book Antiqua" w:eastAsia="宋体" w:cs="宋体"/>
          <w:bCs/>
          <w:lang w:eastAsia="zh-CN"/>
        </w:rPr>
        <w:t>PMID: 33390343</w:t>
      </w:r>
      <w:r>
        <w:rPr>
          <w:rFonts w:hint="eastAsia" w:ascii="Book Antiqua" w:hAnsi="Book Antiqua" w:eastAsia="宋体" w:cs="宋体"/>
          <w:bCs/>
          <w:lang w:eastAsia="zh-CN"/>
        </w:rPr>
        <w:t xml:space="preserve"> DOI</w:t>
      </w:r>
      <w:r>
        <w:rPr>
          <w:rFonts w:ascii="Book Antiqua" w:hAnsi="Book Antiqua" w:eastAsia="宋体" w:cs="宋体"/>
          <w:bCs/>
          <w:lang w:eastAsia="zh-CN"/>
        </w:rPr>
        <w:t>: 10.1016/j.pan.2020.12.015</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76 </w:t>
      </w:r>
      <w:r>
        <w:rPr>
          <w:rFonts w:ascii="Book Antiqua" w:hAnsi="Book Antiqua" w:eastAsia="宋体" w:cs="宋体"/>
          <w:b/>
          <w:bCs/>
          <w:lang w:eastAsia="zh-CN"/>
        </w:rPr>
        <w:t>Leeds JS</w:t>
      </w:r>
      <w:r>
        <w:rPr>
          <w:rFonts w:ascii="Book Antiqua" w:hAnsi="Book Antiqua" w:eastAsia="宋体" w:cs="宋体"/>
          <w:lang w:eastAsia="zh-CN"/>
        </w:rPr>
        <w:t xml:space="preserve">, Nayar MK, Bekkali NLH, Wilson CH, Johnson SJ, Haugk B, Darne A, Oppong KW. Endoscopic ultrasound-guided fine-needle biopsy is superior to fine-needle aspiration in assessing pancreatic neuroendocrine tumors. </w:t>
      </w:r>
      <w:r>
        <w:rPr>
          <w:rFonts w:ascii="Book Antiqua" w:hAnsi="Book Antiqua" w:eastAsia="宋体" w:cs="宋体"/>
          <w:i/>
          <w:iCs/>
          <w:lang w:eastAsia="zh-CN"/>
        </w:rPr>
        <w:t>Endosc Int Open</w:t>
      </w:r>
      <w:r>
        <w:rPr>
          <w:rFonts w:ascii="Book Antiqua" w:hAnsi="Book Antiqua" w:eastAsia="宋体" w:cs="宋体"/>
          <w:lang w:eastAsia="zh-CN"/>
        </w:rPr>
        <w:t xml:space="preserve"> 2019; </w:t>
      </w:r>
      <w:r>
        <w:rPr>
          <w:rFonts w:ascii="Book Antiqua" w:hAnsi="Book Antiqua" w:eastAsia="宋体" w:cs="宋体"/>
          <w:b/>
          <w:bCs/>
          <w:lang w:eastAsia="zh-CN"/>
        </w:rPr>
        <w:t>7</w:t>
      </w:r>
      <w:r>
        <w:rPr>
          <w:rFonts w:ascii="Book Antiqua" w:hAnsi="Book Antiqua" w:eastAsia="宋体" w:cs="宋体"/>
          <w:lang w:eastAsia="zh-CN"/>
        </w:rPr>
        <w:t>: E1281-E1287 [PMID: 31579710 DOI: 10.1055/a-0990-9611]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77 </w:t>
      </w:r>
      <w:r>
        <w:rPr>
          <w:rFonts w:ascii="Book Antiqua" w:hAnsi="Book Antiqua" w:eastAsia="宋体" w:cs="宋体"/>
          <w:b/>
          <w:bCs/>
          <w:lang w:eastAsia="zh-CN"/>
        </w:rPr>
        <w:t>Yoon WJ</w:t>
      </w:r>
      <w:r>
        <w:rPr>
          <w:rFonts w:ascii="Book Antiqua" w:hAnsi="Book Antiqua" w:eastAsia="宋体" w:cs="宋体"/>
          <w:lang w:eastAsia="zh-CN"/>
        </w:rPr>
        <w:t xml:space="preserve">, Daglilar ES, Pitman MB, Brugge WR. Cystic pancreatic neuroendocrine tumors: endoscopic ultrasound and fine-needle aspiration characteristics. </w:t>
      </w:r>
      <w:r>
        <w:rPr>
          <w:rFonts w:ascii="Book Antiqua" w:hAnsi="Book Antiqua" w:eastAsia="宋体" w:cs="宋体"/>
          <w:i/>
          <w:iCs/>
          <w:lang w:eastAsia="zh-CN"/>
        </w:rPr>
        <w:t>Endoscopy</w:t>
      </w:r>
      <w:r>
        <w:rPr>
          <w:rFonts w:ascii="Book Antiqua" w:hAnsi="Book Antiqua" w:eastAsia="宋体" w:cs="宋体"/>
          <w:lang w:eastAsia="zh-CN"/>
        </w:rPr>
        <w:t xml:space="preserve"> 2013; </w:t>
      </w:r>
      <w:r>
        <w:rPr>
          <w:rFonts w:ascii="Book Antiqua" w:hAnsi="Book Antiqua" w:eastAsia="宋体" w:cs="宋体"/>
          <w:b/>
          <w:bCs/>
          <w:lang w:eastAsia="zh-CN"/>
        </w:rPr>
        <w:t>45</w:t>
      </w:r>
      <w:r>
        <w:rPr>
          <w:rFonts w:ascii="Book Antiqua" w:hAnsi="Book Antiqua" w:eastAsia="宋体" w:cs="宋体"/>
          <w:lang w:eastAsia="zh-CN"/>
        </w:rPr>
        <w:t>: 189-194 [PMID: 23296363 DOI: 10.1055/s-0032-1325990]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78 </w:t>
      </w:r>
      <w:r>
        <w:rPr>
          <w:rFonts w:ascii="Book Antiqua" w:hAnsi="Book Antiqua" w:eastAsia="宋体" w:cs="宋体"/>
          <w:b/>
          <w:bCs/>
          <w:lang w:eastAsia="zh-CN"/>
        </w:rPr>
        <w:t>Carrara S</w:t>
      </w:r>
      <w:r>
        <w:rPr>
          <w:rFonts w:ascii="Book Antiqua" w:hAnsi="Book Antiqua" w:eastAsia="宋体" w:cs="宋体"/>
          <w:bCs/>
          <w:lang w:eastAsia="zh-CN"/>
        </w:rPr>
        <w:t xml:space="preserve">, Di Leo M, Grizzi F, Correale L, Rahal D, Anderloni A, Auriemma F, Fugazza A, Preatoni P, Maselli R, Hassan C, Finati E, Mangiavillano B, Repici A. EUS elastography (strain ratio) and fractal-based quantitative analysis for the diagnosis of solid pancreatic lesions. </w:t>
      </w:r>
      <w:r>
        <w:rPr>
          <w:rFonts w:ascii="Book Antiqua" w:hAnsi="Book Antiqua" w:eastAsia="宋体" w:cs="宋体"/>
          <w:bCs/>
          <w:i/>
          <w:lang w:eastAsia="zh-CN"/>
        </w:rPr>
        <w:t>Gastrointest Endosc</w:t>
      </w:r>
      <w:r>
        <w:rPr>
          <w:rFonts w:ascii="Book Antiqua" w:hAnsi="Book Antiqua" w:eastAsia="宋体" w:cs="宋体"/>
          <w:bCs/>
          <w:lang w:eastAsia="zh-CN"/>
        </w:rPr>
        <w:t xml:space="preserve"> 2018;</w:t>
      </w:r>
      <w:r>
        <w:rPr>
          <w:rFonts w:hint="eastAsia" w:ascii="Book Antiqua" w:hAnsi="Book Antiqua" w:eastAsia="宋体" w:cs="宋体"/>
          <w:bCs/>
          <w:lang w:eastAsia="zh-CN"/>
        </w:rPr>
        <w:t xml:space="preserve"> </w:t>
      </w:r>
      <w:r>
        <w:rPr>
          <w:rFonts w:ascii="Book Antiqua" w:hAnsi="Book Antiqua" w:eastAsia="宋体" w:cs="宋体"/>
          <w:b/>
          <w:bCs/>
          <w:lang w:eastAsia="zh-CN"/>
        </w:rPr>
        <w:t>87</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1464-1473 </w:t>
      </w:r>
      <w:r>
        <w:rPr>
          <w:rFonts w:hint="eastAsia" w:ascii="Book Antiqua" w:hAnsi="Book Antiqua" w:eastAsia="宋体" w:cs="宋体"/>
          <w:bCs/>
          <w:lang w:eastAsia="zh-CN"/>
        </w:rPr>
        <w:t>[</w:t>
      </w:r>
      <w:r>
        <w:rPr>
          <w:rFonts w:ascii="Book Antiqua" w:hAnsi="Book Antiqua" w:eastAsia="宋体" w:cs="宋体"/>
          <w:bCs/>
          <w:lang w:eastAsia="zh-CN"/>
        </w:rPr>
        <w:t>PMID: 29329992</w:t>
      </w:r>
      <w:r>
        <w:rPr>
          <w:rFonts w:hint="eastAsia" w:ascii="Book Antiqua" w:hAnsi="Book Antiqua" w:eastAsia="宋体" w:cs="宋体"/>
          <w:bCs/>
          <w:lang w:eastAsia="zh-CN"/>
        </w:rPr>
        <w:t xml:space="preserve"> DOI</w:t>
      </w:r>
      <w:r>
        <w:rPr>
          <w:rFonts w:ascii="Book Antiqua" w:hAnsi="Book Antiqua" w:eastAsia="宋体" w:cs="宋体"/>
          <w:bCs/>
          <w:lang w:eastAsia="zh-CN"/>
        </w:rPr>
        <w:t>: 10.1016/j.gie.2017.12.031</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79 </w:t>
      </w:r>
      <w:r>
        <w:rPr>
          <w:rFonts w:ascii="Book Antiqua" w:hAnsi="Book Antiqua" w:eastAsia="宋体" w:cs="宋体"/>
          <w:b/>
          <w:bCs/>
          <w:lang w:eastAsia="zh-CN"/>
        </w:rPr>
        <w:t>Havre RF</w:t>
      </w:r>
      <w:r>
        <w:rPr>
          <w:rFonts w:ascii="Book Antiqua" w:hAnsi="Book Antiqua" w:eastAsia="宋体" w:cs="宋体"/>
          <w:lang w:eastAsia="zh-CN"/>
        </w:rPr>
        <w:t xml:space="preserve">, Ødegaard S, Gilja OH, Nesje LB. Characterization of solid focal pancreatic lesions using endoscopic ultrasonography with real-time elastography. </w:t>
      </w:r>
      <w:r>
        <w:rPr>
          <w:rFonts w:ascii="Book Antiqua" w:hAnsi="Book Antiqua" w:eastAsia="宋体" w:cs="宋体"/>
          <w:i/>
          <w:iCs/>
          <w:lang w:eastAsia="zh-CN"/>
        </w:rPr>
        <w:t>Scand J Gastroenterol</w:t>
      </w:r>
      <w:r>
        <w:rPr>
          <w:rFonts w:ascii="Book Antiqua" w:hAnsi="Book Antiqua" w:eastAsia="宋体" w:cs="宋体"/>
          <w:lang w:eastAsia="zh-CN"/>
        </w:rPr>
        <w:t xml:space="preserve"> 2014; </w:t>
      </w:r>
      <w:r>
        <w:rPr>
          <w:rFonts w:ascii="Book Antiqua" w:hAnsi="Book Antiqua" w:eastAsia="宋体" w:cs="宋体"/>
          <w:b/>
          <w:bCs/>
          <w:lang w:eastAsia="zh-CN"/>
        </w:rPr>
        <w:t>49</w:t>
      </w:r>
      <w:r>
        <w:rPr>
          <w:rFonts w:ascii="Book Antiqua" w:hAnsi="Book Antiqua" w:eastAsia="宋体" w:cs="宋体"/>
          <w:lang w:eastAsia="zh-CN"/>
        </w:rPr>
        <w:t>: 742-751 [PMID: 24713038 DOI: 10.3109/00365521.2014.905627]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80 </w:t>
      </w:r>
      <w:r>
        <w:rPr>
          <w:rFonts w:ascii="Book Antiqua" w:hAnsi="Book Antiqua" w:eastAsia="宋体" w:cs="宋体"/>
          <w:b/>
          <w:bCs/>
          <w:lang w:eastAsia="zh-CN"/>
        </w:rPr>
        <w:t>Kitano M</w:t>
      </w:r>
      <w:r>
        <w:rPr>
          <w:rFonts w:ascii="Book Antiqua" w:hAnsi="Book Antiqua" w:eastAsia="宋体" w:cs="宋体"/>
          <w:lang w:eastAsia="zh-CN"/>
        </w:rPr>
        <w:t xml:space="preserve">, Kudo M, Yamao K, Takagi T, Sakamoto H, Komaki T, Kamata K, Imai H, Chiba Y, Okada M, Murakami T, Takeyama Y. Characterization of small solid tumors in the pancreas: the value of contrast-enhanced harmonic endoscopic ultrasonography. </w:t>
      </w:r>
      <w:r>
        <w:rPr>
          <w:rFonts w:ascii="Book Antiqua" w:hAnsi="Book Antiqua" w:eastAsia="宋体" w:cs="宋体"/>
          <w:i/>
          <w:iCs/>
          <w:lang w:eastAsia="zh-CN"/>
        </w:rPr>
        <w:t>Am J Gastroenterol</w:t>
      </w:r>
      <w:r>
        <w:rPr>
          <w:rFonts w:ascii="Book Antiqua" w:hAnsi="Book Antiqua" w:eastAsia="宋体" w:cs="宋体"/>
          <w:lang w:eastAsia="zh-CN"/>
        </w:rPr>
        <w:t xml:space="preserve"> 2012; </w:t>
      </w:r>
      <w:r>
        <w:rPr>
          <w:rFonts w:ascii="Book Antiqua" w:hAnsi="Book Antiqua" w:eastAsia="宋体" w:cs="宋体"/>
          <w:b/>
          <w:bCs/>
          <w:lang w:eastAsia="zh-CN"/>
        </w:rPr>
        <w:t>107</w:t>
      </w:r>
      <w:r>
        <w:rPr>
          <w:rFonts w:ascii="Book Antiqua" w:hAnsi="Book Antiqua" w:eastAsia="宋体" w:cs="宋体"/>
          <w:lang w:eastAsia="zh-CN"/>
        </w:rPr>
        <w:t>: 303-310 [PMID: 22008892 DOI: 10.1038/ajg.2011.354]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81 </w:t>
      </w:r>
      <w:r>
        <w:rPr>
          <w:rFonts w:ascii="Book Antiqua" w:hAnsi="Book Antiqua" w:eastAsia="宋体" w:cs="宋体"/>
          <w:b/>
          <w:bCs/>
          <w:lang w:eastAsia="zh-CN"/>
        </w:rPr>
        <w:t>Palazzo M</w:t>
      </w:r>
      <w:r>
        <w:rPr>
          <w:rFonts w:ascii="Book Antiqua" w:hAnsi="Book Antiqua" w:eastAsia="宋体" w:cs="宋体"/>
          <w:lang w:eastAsia="zh-CN"/>
        </w:rPr>
        <w:t xml:space="preserve">, Napoléon B, Gincul R, Pioche M, Pujol B, Lefort C, Fumex F, Hautefeuille V, Fabre M, Cros J, Felce M, Couvelard A, Sauvanet A, Lévy P, Ruszniewski P, Palazzo L. Contrast harmonic EUS for the prediction of pancreatic neuroendocrine tumor aggressiveness (with videos). </w:t>
      </w:r>
      <w:r>
        <w:rPr>
          <w:rFonts w:ascii="Book Antiqua" w:hAnsi="Book Antiqua" w:eastAsia="宋体" w:cs="宋体"/>
          <w:i/>
          <w:iCs/>
          <w:lang w:eastAsia="zh-CN"/>
        </w:rPr>
        <w:t>Gastrointest Endosc</w:t>
      </w:r>
      <w:r>
        <w:rPr>
          <w:rFonts w:ascii="Book Antiqua" w:hAnsi="Book Antiqua" w:eastAsia="宋体" w:cs="宋体"/>
          <w:lang w:eastAsia="zh-CN"/>
        </w:rPr>
        <w:t xml:space="preserve"> 2018; </w:t>
      </w:r>
      <w:r>
        <w:rPr>
          <w:rFonts w:ascii="Book Antiqua" w:hAnsi="Book Antiqua" w:eastAsia="宋体" w:cs="宋体"/>
          <w:b/>
          <w:bCs/>
          <w:lang w:eastAsia="zh-CN"/>
        </w:rPr>
        <w:t>87</w:t>
      </w:r>
      <w:r>
        <w:rPr>
          <w:rFonts w:ascii="Book Antiqua" w:hAnsi="Book Antiqua" w:eastAsia="宋体" w:cs="宋体"/>
          <w:lang w:eastAsia="zh-CN"/>
        </w:rPr>
        <w:t>: 1481-1488 [PMID: 29325706 DOI: 10.1016/j.gie.2017.12.033]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82 </w:t>
      </w:r>
      <w:r>
        <w:rPr>
          <w:rFonts w:ascii="Book Antiqua" w:hAnsi="Book Antiqua" w:eastAsia="宋体" w:cs="宋体"/>
          <w:b/>
          <w:bCs/>
          <w:lang w:eastAsia="zh-CN"/>
        </w:rPr>
        <w:t>Takada S</w:t>
      </w:r>
      <w:r>
        <w:rPr>
          <w:rFonts w:ascii="Book Antiqua" w:hAnsi="Book Antiqua" w:eastAsia="宋体" w:cs="宋体"/>
          <w:lang w:eastAsia="zh-CN"/>
        </w:rPr>
        <w:t xml:space="preserve">, Kato H, Saragai Y, Muro S, Uchida D, Tomoda T, Matsumoto K, Horiguchi S, Tanaka N, Okada H. Contrast-enhanced harmonic endoscopic ultrasound using time-intensity curve analysis predicts pathological grade of pancreatic neuroendocrine neoplasm. </w:t>
      </w:r>
      <w:r>
        <w:rPr>
          <w:rFonts w:ascii="Book Antiqua" w:hAnsi="Book Antiqua" w:eastAsia="宋体" w:cs="宋体"/>
          <w:i/>
          <w:iCs/>
          <w:lang w:eastAsia="zh-CN"/>
        </w:rPr>
        <w:t>J Med Ultrason (2001)</w:t>
      </w:r>
      <w:r>
        <w:rPr>
          <w:rFonts w:ascii="Book Antiqua" w:hAnsi="Book Antiqua" w:eastAsia="宋体" w:cs="宋体"/>
          <w:lang w:eastAsia="zh-CN"/>
        </w:rPr>
        <w:t xml:space="preserve"> 2019; </w:t>
      </w:r>
      <w:r>
        <w:rPr>
          <w:rFonts w:ascii="Book Antiqua" w:hAnsi="Book Antiqua" w:eastAsia="宋体" w:cs="宋体"/>
          <w:b/>
          <w:bCs/>
          <w:lang w:eastAsia="zh-CN"/>
        </w:rPr>
        <w:t>46</w:t>
      </w:r>
      <w:r>
        <w:rPr>
          <w:rFonts w:ascii="Book Antiqua" w:hAnsi="Book Antiqua" w:eastAsia="宋体" w:cs="宋体"/>
          <w:lang w:eastAsia="zh-CN"/>
        </w:rPr>
        <w:t>: 449-458 [PMID: 31377939 DOI: 10.1007/s10396-019-00967-x]</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83 </w:t>
      </w:r>
      <w:r>
        <w:rPr>
          <w:rFonts w:ascii="Book Antiqua" w:hAnsi="Book Antiqua" w:eastAsia="宋体" w:cs="宋体"/>
          <w:b/>
          <w:bCs/>
          <w:lang w:eastAsia="zh-CN"/>
        </w:rPr>
        <w:t>Saund MS</w:t>
      </w:r>
      <w:r>
        <w:rPr>
          <w:rFonts w:ascii="Book Antiqua" w:hAnsi="Book Antiqua" w:eastAsia="宋体" w:cs="宋体"/>
          <w:lang w:eastAsia="zh-CN"/>
        </w:rPr>
        <w:t xml:space="preserve">, Al Natour RH, Sharma AM, Huang Q, Boosalis VA, Gold JS. Tumor size and depth predict rate of lymph node metastasis and utilization of lymph node sampling in surgically managed gastric carcinoids. </w:t>
      </w:r>
      <w:r>
        <w:rPr>
          <w:rFonts w:ascii="Book Antiqua" w:hAnsi="Book Antiqua" w:eastAsia="宋体" w:cs="宋体"/>
          <w:i/>
          <w:iCs/>
          <w:lang w:eastAsia="zh-CN"/>
        </w:rPr>
        <w:t>Ann Surg Oncol</w:t>
      </w:r>
      <w:r>
        <w:rPr>
          <w:rFonts w:ascii="Book Antiqua" w:hAnsi="Book Antiqua" w:eastAsia="宋体" w:cs="宋体"/>
          <w:lang w:eastAsia="zh-CN"/>
        </w:rPr>
        <w:t xml:space="preserve"> 2011; </w:t>
      </w:r>
      <w:r>
        <w:rPr>
          <w:rFonts w:ascii="Book Antiqua" w:hAnsi="Book Antiqua" w:eastAsia="宋体" w:cs="宋体"/>
          <w:b/>
          <w:bCs/>
          <w:lang w:eastAsia="zh-CN"/>
        </w:rPr>
        <w:t>18</w:t>
      </w:r>
      <w:r>
        <w:rPr>
          <w:rFonts w:ascii="Book Antiqua" w:hAnsi="Book Antiqua" w:eastAsia="宋体" w:cs="宋体"/>
          <w:lang w:eastAsia="zh-CN"/>
        </w:rPr>
        <w:t>: 2826-2832 [PMID: 21455598 DOI: 10.1245/s10434-011-1652-0]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84 </w:t>
      </w:r>
      <w:r>
        <w:rPr>
          <w:rFonts w:ascii="Book Antiqua" w:hAnsi="Book Antiqua" w:eastAsia="宋体" w:cs="宋体"/>
          <w:b/>
          <w:bCs/>
          <w:lang w:eastAsia="zh-CN"/>
        </w:rPr>
        <w:t>Kunz PL</w:t>
      </w:r>
      <w:r>
        <w:rPr>
          <w:rFonts w:ascii="Book Antiqua" w:hAnsi="Book Antiqua" w:eastAsia="宋体" w:cs="宋体"/>
          <w:lang w:eastAsia="zh-CN"/>
        </w:rPr>
        <w:t xml:space="preserve">, Reidy-Lagunes D, Anthony LB, Bertino EM, Brendtro K, Chan JA, Chen H, Jensen RT, Kim MK, Klimstra DS, Kulke MH, Liu EH, Metz DC, Phan AT, Sippel RS, Strosberg JR, Yao JC; North American Neuroendocrine Tumor Society. Consensus guidelines for the management and treatment of neuroendocrine tumors. </w:t>
      </w:r>
      <w:r>
        <w:rPr>
          <w:rFonts w:ascii="Book Antiqua" w:hAnsi="Book Antiqua" w:eastAsia="宋体" w:cs="宋体"/>
          <w:i/>
          <w:iCs/>
          <w:lang w:eastAsia="zh-CN"/>
        </w:rPr>
        <w:t>Pancreas</w:t>
      </w:r>
      <w:r>
        <w:rPr>
          <w:rFonts w:ascii="Book Antiqua" w:hAnsi="Book Antiqua" w:eastAsia="宋体" w:cs="宋体"/>
          <w:lang w:eastAsia="zh-CN"/>
        </w:rPr>
        <w:t xml:space="preserve"> 2013; </w:t>
      </w:r>
      <w:r>
        <w:rPr>
          <w:rFonts w:ascii="Book Antiqua" w:hAnsi="Book Antiqua" w:eastAsia="宋体" w:cs="宋体"/>
          <w:b/>
          <w:bCs/>
          <w:lang w:eastAsia="zh-CN"/>
        </w:rPr>
        <w:t>42</w:t>
      </w:r>
      <w:r>
        <w:rPr>
          <w:rFonts w:ascii="Book Antiqua" w:hAnsi="Book Antiqua" w:eastAsia="宋体" w:cs="宋体"/>
          <w:lang w:eastAsia="zh-CN"/>
        </w:rPr>
        <w:t>: 557-577 [PMID: 23591432 DOI: 10.1097/MPA.0b013e31828e34a4]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85 </w:t>
      </w:r>
      <w:r>
        <w:rPr>
          <w:rFonts w:ascii="Book Antiqua" w:hAnsi="Book Antiqua" w:eastAsia="宋体" w:cs="宋体"/>
          <w:b/>
          <w:bCs/>
          <w:lang w:eastAsia="zh-CN"/>
        </w:rPr>
        <w:t>Sato Y</w:t>
      </w:r>
      <w:r>
        <w:rPr>
          <w:rFonts w:ascii="Book Antiqua" w:hAnsi="Book Antiqua" w:eastAsia="宋体" w:cs="宋体"/>
          <w:bCs/>
          <w:lang w:eastAsia="zh-CN"/>
        </w:rPr>
        <w:t>, Imamura H, Kaizaki Y, Koizumi W, Ishido K, Kurahara K, Suzuki H, Fujisaki J, Hirakawa K, Hosokawa O, Ito M, Kaminishi M, Furuta T, Chiba T, Haruma K. Management and clinical outcomes of type I gastric carcinoid patients: retrospective, multicenter study in Japan.</w:t>
      </w:r>
      <w:r>
        <w:rPr>
          <w:rFonts w:ascii="Book Antiqua" w:hAnsi="Book Antiqua" w:eastAsia="宋体" w:cs="宋体"/>
          <w:bCs/>
          <w:i/>
          <w:lang w:eastAsia="zh-CN"/>
        </w:rPr>
        <w:t xml:space="preserve"> Dig Endosc</w:t>
      </w:r>
      <w:r>
        <w:rPr>
          <w:rFonts w:ascii="Book Antiqua" w:hAnsi="Book Antiqua" w:eastAsia="宋体" w:cs="宋体"/>
          <w:bCs/>
          <w:lang w:eastAsia="zh-CN"/>
        </w:rPr>
        <w:t xml:space="preserve"> 2014;</w:t>
      </w:r>
      <w:r>
        <w:rPr>
          <w:rFonts w:hint="eastAsia" w:ascii="Book Antiqua" w:hAnsi="Book Antiqua" w:eastAsia="宋体" w:cs="宋体"/>
          <w:bCs/>
          <w:lang w:eastAsia="zh-CN"/>
        </w:rPr>
        <w:t xml:space="preserve"> </w:t>
      </w:r>
      <w:r>
        <w:rPr>
          <w:rFonts w:ascii="Book Antiqua" w:hAnsi="Book Antiqua" w:eastAsia="宋体" w:cs="宋体"/>
          <w:b/>
          <w:bCs/>
          <w:lang w:eastAsia="zh-CN"/>
        </w:rPr>
        <w:t>26</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377-</w:t>
      </w:r>
      <w:r>
        <w:rPr>
          <w:rFonts w:hint="eastAsia" w:ascii="Book Antiqua" w:hAnsi="Book Antiqua" w:eastAsia="宋体" w:cs="宋体"/>
          <w:bCs/>
          <w:lang w:eastAsia="zh-CN"/>
        </w:rPr>
        <w:t>3</w:t>
      </w:r>
      <w:r>
        <w:rPr>
          <w:rFonts w:ascii="Book Antiqua" w:hAnsi="Book Antiqua" w:eastAsia="宋体" w:cs="宋体"/>
          <w:bCs/>
          <w:lang w:eastAsia="zh-CN"/>
        </w:rPr>
        <w:t xml:space="preserve">84 </w:t>
      </w:r>
      <w:r>
        <w:rPr>
          <w:rFonts w:hint="eastAsia" w:ascii="Book Antiqua" w:hAnsi="Book Antiqua" w:eastAsia="宋体" w:cs="宋体"/>
          <w:bCs/>
          <w:lang w:eastAsia="zh-CN"/>
        </w:rPr>
        <w:t>[</w:t>
      </w:r>
      <w:r>
        <w:rPr>
          <w:rFonts w:ascii="Book Antiqua" w:hAnsi="Book Antiqua" w:eastAsia="宋体" w:cs="宋体"/>
          <w:bCs/>
          <w:lang w:eastAsia="zh-CN"/>
        </w:rPr>
        <w:t>PMID: 24188531</w:t>
      </w:r>
      <w:r>
        <w:rPr>
          <w:rFonts w:hint="eastAsia" w:ascii="Book Antiqua" w:hAnsi="Book Antiqua" w:eastAsia="宋体" w:cs="宋体"/>
          <w:bCs/>
          <w:lang w:eastAsia="zh-CN"/>
        </w:rPr>
        <w:t xml:space="preserve"> DOI</w:t>
      </w:r>
      <w:r>
        <w:rPr>
          <w:rFonts w:ascii="Book Antiqua" w:hAnsi="Book Antiqua" w:eastAsia="宋体" w:cs="宋体"/>
          <w:bCs/>
          <w:lang w:eastAsia="zh-CN"/>
        </w:rPr>
        <w:t>: 10.1111/den.12197</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86 </w:t>
      </w:r>
      <w:r>
        <w:rPr>
          <w:rFonts w:ascii="Book Antiqua" w:hAnsi="Book Antiqua" w:eastAsia="宋体" w:cs="宋体"/>
          <w:b/>
          <w:bCs/>
          <w:lang w:eastAsia="zh-CN"/>
        </w:rPr>
        <w:t>Delle Fave G</w:t>
      </w:r>
      <w:r>
        <w:rPr>
          <w:rFonts w:ascii="Book Antiqua" w:hAnsi="Book Antiqua" w:eastAsia="宋体" w:cs="宋体"/>
          <w:lang w:eastAsia="zh-CN"/>
        </w:rPr>
        <w:t xml:space="preserve">, O'Toole D, Sundin A, Taal B, Ferolla P, Ramage JK, Ferone D, Ito T, Weber W, Zheng-Pei Z, De Herder WW, Pascher A, Ruszniewski P; Vienna Consensus Conference participants. ENETS Consensus Guidelines Update for Gastroduodenal Neuroendocrine Neoplasms. </w:t>
      </w:r>
      <w:r>
        <w:rPr>
          <w:rFonts w:ascii="Book Antiqua" w:hAnsi="Book Antiqua" w:eastAsia="宋体" w:cs="宋体"/>
          <w:i/>
          <w:iCs/>
          <w:lang w:eastAsia="zh-CN"/>
        </w:rPr>
        <w:t>Neuroendocrinology</w:t>
      </w:r>
      <w:r>
        <w:rPr>
          <w:rFonts w:ascii="Book Antiqua" w:hAnsi="Book Antiqua" w:eastAsia="宋体" w:cs="宋体"/>
          <w:lang w:eastAsia="zh-CN"/>
        </w:rPr>
        <w:t xml:space="preserve"> 2016; </w:t>
      </w:r>
      <w:r>
        <w:rPr>
          <w:rFonts w:ascii="Book Antiqua" w:hAnsi="Book Antiqua" w:eastAsia="宋体" w:cs="宋体"/>
          <w:b/>
          <w:bCs/>
          <w:lang w:eastAsia="zh-CN"/>
        </w:rPr>
        <w:t>103</w:t>
      </w:r>
      <w:r>
        <w:rPr>
          <w:rFonts w:ascii="Book Antiqua" w:hAnsi="Book Antiqua" w:eastAsia="宋体" w:cs="宋体"/>
          <w:lang w:eastAsia="zh-CN"/>
        </w:rPr>
        <w:t>: 119-124 [PMID: 26784901 DOI: 10.1159/000443168]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87 </w:t>
      </w:r>
      <w:r>
        <w:rPr>
          <w:rFonts w:ascii="Book Antiqua" w:hAnsi="Book Antiqua" w:eastAsia="宋体" w:cs="宋体"/>
          <w:b/>
          <w:bCs/>
          <w:lang w:eastAsia="zh-CN"/>
        </w:rPr>
        <w:t>Kim HH</w:t>
      </w:r>
      <w:r>
        <w:rPr>
          <w:rFonts w:ascii="Book Antiqua" w:hAnsi="Book Antiqua" w:eastAsia="宋体" w:cs="宋体"/>
          <w:lang w:eastAsia="zh-CN"/>
        </w:rPr>
        <w:t xml:space="preserve">, Kim GH, Kim JH, Choi MG, Song GA, Kim SE. The efficacy of endoscopic submucosal dissection of type I gastric carcinoid tumors compared with conventional endoscopic mucosal resection. </w:t>
      </w:r>
      <w:r>
        <w:rPr>
          <w:rFonts w:ascii="Book Antiqua" w:hAnsi="Book Antiqua" w:eastAsia="宋体" w:cs="宋体"/>
          <w:i/>
          <w:iCs/>
          <w:lang w:eastAsia="zh-CN"/>
        </w:rPr>
        <w:t>Gastroenterol Res Pract</w:t>
      </w:r>
      <w:r>
        <w:rPr>
          <w:rFonts w:ascii="Book Antiqua" w:hAnsi="Book Antiqua" w:eastAsia="宋体" w:cs="宋体"/>
          <w:lang w:eastAsia="zh-CN"/>
        </w:rPr>
        <w:t xml:space="preserve"> 2014; </w:t>
      </w:r>
      <w:r>
        <w:rPr>
          <w:rFonts w:ascii="Book Antiqua" w:hAnsi="Book Antiqua" w:eastAsia="宋体" w:cs="宋体"/>
          <w:b/>
          <w:bCs/>
          <w:lang w:eastAsia="zh-CN"/>
        </w:rPr>
        <w:t>2014</w:t>
      </w:r>
      <w:r>
        <w:rPr>
          <w:rFonts w:ascii="Book Antiqua" w:hAnsi="Book Antiqua" w:eastAsia="宋体" w:cs="宋体"/>
          <w:lang w:eastAsia="zh-CN"/>
        </w:rPr>
        <w:t>: 253860 [PMID: 24693280 DOI: 10.1155/2014/253860]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88 </w:t>
      </w:r>
      <w:r>
        <w:rPr>
          <w:rFonts w:ascii="Book Antiqua" w:hAnsi="Book Antiqua" w:eastAsia="宋体" w:cs="宋体"/>
          <w:b/>
          <w:bCs/>
          <w:lang w:eastAsia="zh-CN"/>
        </w:rPr>
        <w:t>Delle Fave G</w:t>
      </w:r>
      <w:r>
        <w:rPr>
          <w:rFonts w:ascii="Book Antiqua" w:hAnsi="Book Antiqua" w:eastAsia="宋体" w:cs="宋体"/>
          <w:lang w:eastAsia="zh-CN"/>
        </w:rPr>
        <w:t xml:space="preserve">, Kwekkeboom DJ, Van Cutsem E, Rindi G, Kos-Kudla B, Knigge U, Sasano H, Tomassetti P, Salazar R, Ruszniewski P; Barcelona Consensus Conference participants. ENETS Consensus Guidelines for the management of patients with gastroduodenal neoplasms. </w:t>
      </w:r>
      <w:r>
        <w:rPr>
          <w:rFonts w:ascii="Book Antiqua" w:hAnsi="Book Antiqua" w:eastAsia="宋体" w:cs="宋体"/>
          <w:i/>
          <w:iCs/>
          <w:lang w:eastAsia="zh-CN"/>
        </w:rPr>
        <w:t>Neuroendocrinology</w:t>
      </w:r>
      <w:r>
        <w:rPr>
          <w:rFonts w:ascii="Book Antiqua" w:hAnsi="Book Antiqua" w:eastAsia="宋体" w:cs="宋体"/>
          <w:lang w:eastAsia="zh-CN"/>
        </w:rPr>
        <w:t xml:space="preserve"> 2012; </w:t>
      </w:r>
      <w:r>
        <w:rPr>
          <w:rFonts w:ascii="Book Antiqua" w:hAnsi="Book Antiqua" w:eastAsia="宋体" w:cs="宋体"/>
          <w:b/>
          <w:bCs/>
          <w:lang w:eastAsia="zh-CN"/>
        </w:rPr>
        <w:t>95</w:t>
      </w:r>
      <w:r>
        <w:rPr>
          <w:rFonts w:ascii="Book Antiqua" w:hAnsi="Book Antiqua" w:eastAsia="宋体" w:cs="宋体"/>
          <w:lang w:eastAsia="zh-CN"/>
        </w:rPr>
        <w:t>: 74-87 [PMID: 22262004 DOI: 10.1159/000335595]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89 </w:t>
      </w:r>
      <w:r>
        <w:rPr>
          <w:rFonts w:ascii="Book Antiqua" w:hAnsi="Book Antiqua" w:eastAsia="宋体" w:cs="宋体"/>
          <w:b/>
          <w:bCs/>
          <w:lang w:eastAsia="zh-CN"/>
        </w:rPr>
        <w:t>Jenny HE</w:t>
      </w:r>
      <w:r>
        <w:rPr>
          <w:rFonts w:ascii="Book Antiqua" w:hAnsi="Book Antiqua" w:eastAsia="宋体" w:cs="宋体"/>
          <w:lang w:eastAsia="zh-CN"/>
        </w:rPr>
        <w:t xml:space="preserve">, Ogando PA, Fujitani K, Warner RR, Divino CM. Laparoscopic antrectomy: a safe and definitive treatment in managing type 1 gastric carcinoids. </w:t>
      </w:r>
      <w:r>
        <w:rPr>
          <w:rFonts w:ascii="Book Antiqua" w:hAnsi="Book Antiqua" w:eastAsia="宋体" w:cs="宋体"/>
          <w:i/>
          <w:iCs/>
          <w:lang w:eastAsia="zh-CN"/>
        </w:rPr>
        <w:t>Am J Surg</w:t>
      </w:r>
      <w:r>
        <w:rPr>
          <w:rFonts w:ascii="Book Antiqua" w:hAnsi="Book Antiqua" w:eastAsia="宋体" w:cs="宋体"/>
          <w:lang w:eastAsia="zh-CN"/>
        </w:rPr>
        <w:t xml:space="preserve"> 2016; </w:t>
      </w:r>
      <w:r>
        <w:rPr>
          <w:rFonts w:ascii="Book Antiqua" w:hAnsi="Book Antiqua" w:eastAsia="宋体" w:cs="宋体"/>
          <w:b/>
          <w:bCs/>
          <w:lang w:eastAsia="zh-CN"/>
        </w:rPr>
        <w:t>211</w:t>
      </w:r>
      <w:r>
        <w:rPr>
          <w:rFonts w:ascii="Book Antiqua" w:hAnsi="Book Antiqua" w:eastAsia="宋体" w:cs="宋体"/>
          <w:lang w:eastAsia="zh-CN"/>
        </w:rPr>
        <w:t>: 778-782 [PMID: 26992358 DOI: 10.1016/j.amjsurg.2015.08.040]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90 </w:t>
      </w:r>
      <w:r>
        <w:rPr>
          <w:rFonts w:ascii="Book Antiqua" w:hAnsi="Book Antiqua" w:eastAsia="宋体" w:cs="宋体"/>
          <w:b/>
          <w:bCs/>
          <w:lang w:eastAsia="zh-CN"/>
        </w:rPr>
        <w:t>Köseoğlu H</w:t>
      </w:r>
      <w:r>
        <w:rPr>
          <w:rFonts w:ascii="Book Antiqua" w:hAnsi="Book Antiqua" w:eastAsia="宋体" w:cs="宋体"/>
          <w:lang w:eastAsia="zh-CN"/>
        </w:rPr>
        <w:t xml:space="preserve">, Duzenli T, Sezikli M. Gastric neuroendocrine neoplasms: A review. </w:t>
      </w:r>
      <w:r>
        <w:rPr>
          <w:rFonts w:ascii="Book Antiqua" w:hAnsi="Book Antiqua" w:eastAsia="宋体" w:cs="宋体"/>
          <w:i/>
          <w:iCs/>
          <w:lang w:eastAsia="zh-CN"/>
        </w:rPr>
        <w:t>World J Clin Cases</w:t>
      </w:r>
      <w:r>
        <w:rPr>
          <w:rFonts w:ascii="Book Antiqua" w:hAnsi="Book Antiqua" w:eastAsia="宋体" w:cs="宋体"/>
          <w:lang w:eastAsia="zh-CN"/>
        </w:rPr>
        <w:t xml:space="preserve"> 2021; </w:t>
      </w:r>
      <w:r>
        <w:rPr>
          <w:rFonts w:ascii="Book Antiqua" w:hAnsi="Book Antiqua" w:eastAsia="宋体" w:cs="宋体"/>
          <w:b/>
          <w:bCs/>
          <w:lang w:eastAsia="zh-CN"/>
        </w:rPr>
        <w:t>9</w:t>
      </w:r>
      <w:r>
        <w:rPr>
          <w:rFonts w:ascii="Book Antiqua" w:hAnsi="Book Antiqua" w:eastAsia="宋体" w:cs="宋体"/>
          <w:lang w:eastAsia="zh-CN"/>
        </w:rPr>
        <w:t>: 7973-7985 [PMID: 34621854 DOI: 10.12998/wjcc.v9.i27.7973]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91 </w:t>
      </w:r>
      <w:r>
        <w:rPr>
          <w:rFonts w:ascii="Book Antiqua" w:hAnsi="Book Antiqua" w:eastAsia="宋体" w:cs="宋体"/>
          <w:b/>
          <w:bCs/>
          <w:lang w:eastAsia="zh-CN"/>
        </w:rPr>
        <w:t>Carvão J</w:t>
      </w:r>
      <w:r>
        <w:rPr>
          <w:rFonts w:ascii="Book Antiqua" w:hAnsi="Book Antiqua" w:eastAsia="宋体" w:cs="宋体"/>
          <w:lang w:eastAsia="zh-CN"/>
        </w:rPr>
        <w:t xml:space="preserve">, Dinis-Ribeiro M, Pimentel-Nunes P, Libânio D. Neuroendocrine Tumors of the Gastrointestinal Tract: A Focused Review and Practical Approach for Gastroenterologists. </w:t>
      </w:r>
      <w:r>
        <w:rPr>
          <w:rFonts w:ascii="Book Antiqua" w:hAnsi="Book Antiqua" w:eastAsia="宋体" w:cs="宋体"/>
          <w:i/>
          <w:iCs/>
          <w:lang w:eastAsia="zh-CN"/>
        </w:rPr>
        <w:t>GE Port J Gastroenterol</w:t>
      </w:r>
      <w:r>
        <w:rPr>
          <w:rFonts w:ascii="Book Antiqua" w:hAnsi="Book Antiqua" w:eastAsia="宋体" w:cs="宋体"/>
          <w:lang w:eastAsia="zh-CN"/>
        </w:rPr>
        <w:t xml:space="preserve"> 2021; </w:t>
      </w:r>
      <w:r>
        <w:rPr>
          <w:rFonts w:ascii="Book Antiqua" w:hAnsi="Book Antiqua" w:eastAsia="宋体" w:cs="宋体"/>
          <w:b/>
          <w:bCs/>
          <w:lang w:eastAsia="zh-CN"/>
        </w:rPr>
        <w:t>28</w:t>
      </w:r>
      <w:r>
        <w:rPr>
          <w:rFonts w:ascii="Book Antiqua" w:hAnsi="Book Antiqua" w:eastAsia="宋体" w:cs="宋体"/>
          <w:lang w:eastAsia="zh-CN"/>
        </w:rPr>
        <w:t>: 336-348 [PMID: 34604465 DOI: 10.1159/000512089]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92 </w:t>
      </w:r>
      <w:r>
        <w:rPr>
          <w:rFonts w:ascii="Book Antiqua" w:hAnsi="Book Antiqua" w:eastAsia="宋体" w:cs="宋体"/>
          <w:b/>
          <w:bCs/>
          <w:lang w:eastAsia="zh-CN"/>
        </w:rPr>
        <w:t>Scherübl H</w:t>
      </w:r>
      <w:r>
        <w:rPr>
          <w:rFonts w:ascii="Book Antiqua" w:hAnsi="Book Antiqua" w:eastAsia="宋体" w:cs="宋体"/>
          <w:lang w:eastAsia="zh-CN"/>
        </w:rPr>
        <w:t xml:space="preserve">, Cadiot G, Jensen RT, Rösch T, Stölzel U, Klöppel G. Neuroendocrine tumors of the stomach (gastric carcinoids) are on the rise: small tumors, small problems? </w:t>
      </w:r>
      <w:r>
        <w:rPr>
          <w:rFonts w:ascii="Book Antiqua" w:hAnsi="Book Antiqua" w:eastAsia="宋体" w:cs="宋体"/>
          <w:i/>
          <w:iCs/>
          <w:lang w:eastAsia="zh-CN"/>
        </w:rPr>
        <w:t>Endoscopy</w:t>
      </w:r>
      <w:r>
        <w:rPr>
          <w:rFonts w:ascii="Book Antiqua" w:hAnsi="Book Antiqua" w:eastAsia="宋体" w:cs="宋体"/>
          <w:lang w:eastAsia="zh-CN"/>
        </w:rPr>
        <w:t xml:space="preserve"> 2010; </w:t>
      </w:r>
      <w:r>
        <w:rPr>
          <w:rFonts w:ascii="Book Antiqua" w:hAnsi="Book Antiqua" w:eastAsia="宋体" w:cs="宋体"/>
          <w:b/>
          <w:bCs/>
          <w:lang w:eastAsia="zh-CN"/>
        </w:rPr>
        <w:t>42</w:t>
      </w:r>
      <w:r>
        <w:rPr>
          <w:rFonts w:ascii="Book Antiqua" w:hAnsi="Book Antiqua" w:eastAsia="宋体" w:cs="宋体"/>
          <w:lang w:eastAsia="zh-CN"/>
        </w:rPr>
        <w:t>: 664-671 [PMID: 20669078 DOI: 10.1055/s-0030-1255564]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93 </w:t>
      </w:r>
      <w:r>
        <w:rPr>
          <w:rFonts w:ascii="Book Antiqua" w:hAnsi="Book Antiqua" w:eastAsia="宋体" w:cs="宋体"/>
          <w:b/>
          <w:bCs/>
          <w:lang w:eastAsia="zh-CN"/>
        </w:rPr>
        <w:t>Hirasawa T</w:t>
      </w:r>
      <w:r>
        <w:rPr>
          <w:rFonts w:ascii="Book Antiqua" w:hAnsi="Book Antiqua" w:eastAsia="宋体" w:cs="宋体"/>
          <w:lang w:eastAsia="zh-CN"/>
        </w:rPr>
        <w:t xml:space="preserve">, Yamamoto N, Sano T. Is endoscopic resection appropriate for type 3 gastric neuroendocrine tumors? Retrospective multicenter study. </w:t>
      </w:r>
      <w:r>
        <w:rPr>
          <w:rFonts w:ascii="Book Antiqua" w:hAnsi="Book Antiqua" w:eastAsia="宋体" w:cs="宋体"/>
          <w:i/>
          <w:iCs/>
          <w:lang w:eastAsia="zh-CN"/>
        </w:rPr>
        <w:t>Dig Endosc</w:t>
      </w:r>
      <w:r>
        <w:rPr>
          <w:rFonts w:ascii="Book Antiqua" w:hAnsi="Book Antiqua" w:eastAsia="宋体" w:cs="宋体"/>
          <w:lang w:eastAsia="zh-CN"/>
        </w:rPr>
        <w:t xml:space="preserve"> 2021; </w:t>
      </w:r>
      <w:r>
        <w:rPr>
          <w:rFonts w:ascii="Book Antiqua" w:hAnsi="Book Antiqua" w:eastAsia="宋体" w:cs="宋体"/>
          <w:b/>
          <w:bCs/>
          <w:lang w:eastAsia="zh-CN"/>
        </w:rPr>
        <w:t>33</w:t>
      </w:r>
      <w:r>
        <w:rPr>
          <w:rFonts w:ascii="Book Antiqua" w:hAnsi="Book Antiqua" w:eastAsia="宋体" w:cs="宋体"/>
          <w:lang w:eastAsia="zh-CN"/>
        </w:rPr>
        <w:t>: 408-417 [PMID: 32578248 DOI: 10.1111/den.13778]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94 </w:t>
      </w:r>
      <w:r>
        <w:rPr>
          <w:rFonts w:ascii="Book Antiqua" w:hAnsi="Book Antiqua" w:eastAsia="宋体" w:cs="宋体"/>
          <w:b/>
          <w:bCs/>
          <w:lang w:eastAsia="zh-CN"/>
        </w:rPr>
        <w:t>Exarchou K</w:t>
      </w:r>
      <w:r>
        <w:rPr>
          <w:rFonts w:ascii="Book Antiqua" w:hAnsi="Book Antiqua" w:eastAsia="宋体" w:cs="宋体"/>
          <w:bCs/>
          <w:lang w:eastAsia="zh-CN"/>
        </w:rPr>
        <w:t xml:space="preserve">, Kamieniarz L, Tsoli M, Victor A, Oleinikov K, Khan MS, Srirajaskanthan R, Mandair D, Grozinsky-Glasberg S, Kaltsas G, Howes N, Pritchard DM, Toumpanakis C. Is local excision sufficient in selected grade 1 or 2 type III gastric neuroendocrine neoplasms? </w:t>
      </w:r>
      <w:r>
        <w:rPr>
          <w:rFonts w:ascii="Book Antiqua" w:hAnsi="Book Antiqua" w:eastAsia="宋体" w:cs="宋体"/>
          <w:bCs/>
          <w:i/>
          <w:lang w:eastAsia="zh-CN"/>
        </w:rPr>
        <w:t>Endocrine</w:t>
      </w:r>
      <w:r>
        <w:rPr>
          <w:rFonts w:ascii="Book Antiqua" w:hAnsi="Book Antiqua" w:eastAsia="宋体" w:cs="宋体"/>
          <w:bCs/>
          <w:lang w:eastAsia="zh-CN"/>
        </w:rPr>
        <w:t xml:space="preserve"> 2021;</w:t>
      </w:r>
      <w:r>
        <w:rPr>
          <w:rFonts w:hint="eastAsia" w:ascii="Book Antiqua" w:hAnsi="Book Antiqua" w:eastAsia="宋体" w:cs="宋体"/>
          <w:bCs/>
          <w:lang w:eastAsia="zh-CN"/>
        </w:rPr>
        <w:t xml:space="preserve"> </w:t>
      </w:r>
      <w:r>
        <w:rPr>
          <w:rFonts w:ascii="Book Antiqua" w:hAnsi="Book Antiqua" w:eastAsia="宋体" w:cs="宋体"/>
          <w:b/>
          <w:bCs/>
          <w:lang w:eastAsia="zh-CN"/>
        </w:rPr>
        <w:t>74</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421-429 </w:t>
      </w:r>
      <w:r>
        <w:rPr>
          <w:rFonts w:hint="eastAsia" w:ascii="Book Antiqua" w:hAnsi="Book Antiqua" w:eastAsia="宋体" w:cs="宋体"/>
          <w:bCs/>
          <w:lang w:eastAsia="zh-CN"/>
        </w:rPr>
        <w:t>[</w:t>
      </w:r>
      <w:r>
        <w:rPr>
          <w:rFonts w:ascii="Book Antiqua" w:hAnsi="Book Antiqua" w:eastAsia="宋体" w:cs="宋体"/>
          <w:bCs/>
          <w:lang w:eastAsia="zh-CN"/>
        </w:rPr>
        <w:t>PMID: 34120313</w:t>
      </w:r>
      <w:r>
        <w:rPr>
          <w:rFonts w:hint="eastAsia" w:ascii="Book Antiqua" w:hAnsi="Book Antiqua" w:eastAsia="宋体" w:cs="宋体"/>
          <w:bCs/>
          <w:lang w:eastAsia="zh-CN"/>
        </w:rPr>
        <w:t xml:space="preserve"> DOI</w:t>
      </w:r>
      <w:r>
        <w:rPr>
          <w:rFonts w:ascii="Book Antiqua" w:hAnsi="Book Antiqua" w:eastAsia="宋体" w:cs="宋体"/>
          <w:bCs/>
          <w:lang w:eastAsia="zh-CN"/>
        </w:rPr>
        <w:t>: 10.1007/s12020-021-02775-1</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95 </w:t>
      </w:r>
      <w:r>
        <w:rPr>
          <w:rFonts w:ascii="Book Antiqua" w:hAnsi="Book Antiqua" w:eastAsia="宋体" w:cs="宋体"/>
          <w:b/>
          <w:bCs/>
          <w:lang w:eastAsia="zh-CN"/>
        </w:rPr>
        <w:t>Kwon YH</w:t>
      </w:r>
      <w:r>
        <w:rPr>
          <w:rFonts w:ascii="Book Antiqua" w:hAnsi="Book Antiqua" w:eastAsia="宋体" w:cs="宋体"/>
          <w:lang w:eastAsia="zh-CN"/>
        </w:rPr>
        <w:t xml:space="preserve">, Jeon SW, Kim GH, Kim JI, Chung IK, Jee SR, Kim HU, Seo GS, Baik GH, Choi KD, Moon JS. Long-term follow up of endoscopic resection for type 3 gastric NET. </w:t>
      </w:r>
      <w:r>
        <w:rPr>
          <w:rFonts w:ascii="Book Antiqua" w:hAnsi="Book Antiqua" w:eastAsia="宋体" w:cs="宋体"/>
          <w:i/>
          <w:iCs/>
          <w:lang w:eastAsia="zh-CN"/>
        </w:rPr>
        <w:t>World J Gastroenterol</w:t>
      </w:r>
      <w:r>
        <w:rPr>
          <w:rFonts w:ascii="Book Antiqua" w:hAnsi="Book Antiqua" w:eastAsia="宋体" w:cs="宋体"/>
          <w:lang w:eastAsia="zh-CN"/>
        </w:rPr>
        <w:t xml:space="preserve"> 2013; </w:t>
      </w:r>
      <w:r>
        <w:rPr>
          <w:rFonts w:ascii="Book Antiqua" w:hAnsi="Book Antiqua" w:eastAsia="宋体" w:cs="宋体"/>
          <w:b/>
          <w:bCs/>
          <w:lang w:eastAsia="zh-CN"/>
        </w:rPr>
        <w:t>19</w:t>
      </w:r>
      <w:r>
        <w:rPr>
          <w:rFonts w:ascii="Book Antiqua" w:hAnsi="Book Antiqua" w:eastAsia="宋体" w:cs="宋体"/>
          <w:lang w:eastAsia="zh-CN"/>
        </w:rPr>
        <w:t>: 8703-8708 [PMID: 24379589 DOI: 10.3748/wjg.v19.i46.8703]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96 </w:t>
      </w:r>
      <w:r>
        <w:rPr>
          <w:rFonts w:ascii="Book Antiqua" w:hAnsi="Book Antiqua" w:eastAsia="宋体" w:cs="宋体"/>
          <w:b/>
          <w:bCs/>
          <w:lang w:eastAsia="zh-CN"/>
        </w:rPr>
        <w:t>Yao JC</w:t>
      </w:r>
      <w:r>
        <w:rPr>
          <w:rFonts w:ascii="Book Antiqua" w:hAnsi="Book Antiqua" w:eastAsia="宋体" w:cs="宋体"/>
          <w:bCs/>
          <w:lang w:eastAsia="zh-CN"/>
        </w:rPr>
        <w:t xml:space="preserve">, Hassan M, Phan A, Dagohoy C, Leary C, Mares JE, Abdalla EK, Fleming JB, Vauthey JN, Rashid A, Evans DB. One hundred years after "carcinoid": epidemiology of and prognostic factors for neuroendocrine tumors in 35,825 cases in the United States. </w:t>
      </w:r>
      <w:r>
        <w:rPr>
          <w:rFonts w:ascii="Book Antiqua" w:hAnsi="Book Antiqua" w:eastAsia="宋体" w:cs="宋体"/>
          <w:bCs/>
          <w:i/>
          <w:lang w:eastAsia="zh-CN"/>
        </w:rPr>
        <w:t>J Clin Oncol</w:t>
      </w:r>
      <w:r>
        <w:rPr>
          <w:rFonts w:ascii="Book Antiqua" w:hAnsi="Book Antiqua" w:eastAsia="宋体" w:cs="宋体"/>
          <w:bCs/>
          <w:lang w:eastAsia="zh-CN"/>
        </w:rPr>
        <w:t xml:space="preserve"> 2008;</w:t>
      </w:r>
      <w:r>
        <w:rPr>
          <w:rFonts w:hint="eastAsia" w:ascii="Book Antiqua" w:hAnsi="Book Antiqua" w:eastAsia="宋体" w:cs="宋体"/>
          <w:bCs/>
          <w:lang w:eastAsia="zh-CN"/>
        </w:rPr>
        <w:t xml:space="preserve"> </w:t>
      </w:r>
      <w:r>
        <w:rPr>
          <w:rFonts w:ascii="Book Antiqua" w:hAnsi="Book Antiqua" w:eastAsia="宋体" w:cs="宋体"/>
          <w:b/>
          <w:bCs/>
          <w:lang w:eastAsia="zh-CN"/>
        </w:rPr>
        <w:t>26</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3063-</w:t>
      </w:r>
      <w:r>
        <w:rPr>
          <w:rFonts w:hint="eastAsia" w:ascii="Book Antiqua" w:hAnsi="Book Antiqua" w:eastAsia="宋体" w:cs="宋体"/>
          <w:bCs/>
          <w:lang w:eastAsia="zh-CN"/>
        </w:rPr>
        <w:t>30</w:t>
      </w:r>
      <w:r>
        <w:rPr>
          <w:rFonts w:ascii="Book Antiqua" w:hAnsi="Book Antiqua" w:eastAsia="宋体" w:cs="宋体"/>
          <w:bCs/>
          <w:lang w:eastAsia="zh-CN"/>
        </w:rPr>
        <w:t xml:space="preserve">72 </w:t>
      </w:r>
      <w:r>
        <w:rPr>
          <w:rFonts w:hint="eastAsia" w:ascii="Book Antiqua" w:hAnsi="Book Antiqua" w:eastAsia="宋体" w:cs="宋体"/>
          <w:bCs/>
          <w:lang w:eastAsia="zh-CN"/>
        </w:rPr>
        <w:t>[</w:t>
      </w:r>
      <w:r>
        <w:rPr>
          <w:rFonts w:ascii="Book Antiqua" w:hAnsi="Book Antiqua" w:eastAsia="宋体" w:cs="宋体"/>
          <w:bCs/>
          <w:lang w:eastAsia="zh-CN"/>
        </w:rPr>
        <w:t>PMID: 18565894</w:t>
      </w:r>
      <w:r>
        <w:rPr>
          <w:rFonts w:hint="eastAsia" w:ascii="Book Antiqua" w:hAnsi="Book Antiqua" w:eastAsia="宋体" w:cs="宋体"/>
          <w:bCs/>
          <w:lang w:eastAsia="zh-CN"/>
        </w:rPr>
        <w:t xml:space="preserve"> DOI</w:t>
      </w:r>
      <w:r>
        <w:rPr>
          <w:rFonts w:ascii="Book Antiqua" w:hAnsi="Book Antiqua" w:eastAsia="宋体" w:cs="宋体"/>
          <w:bCs/>
          <w:lang w:eastAsia="zh-CN"/>
        </w:rPr>
        <w:t>: 10.1200/JCO.2007.15.4377</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97 </w:t>
      </w:r>
      <w:r>
        <w:rPr>
          <w:rFonts w:ascii="Book Antiqua" w:hAnsi="Book Antiqua" w:eastAsia="宋体" w:cs="宋体"/>
          <w:b/>
          <w:bCs/>
          <w:lang w:eastAsia="zh-CN"/>
        </w:rPr>
        <w:t>Modlin IM</w:t>
      </w:r>
      <w:r>
        <w:rPr>
          <w:rFonts w:ascii="Book Antiqua" w:hAnsi="Book Antiqua" w:eastAsia="宋体" w:cs="宋体"/>
          <w:lang w:eastAsia="zh-CN"/>
        </w:rPr>
        <w:t xml:space="preserve">, Lye KD, Kidd M. A 5-decade analysis of 13,715 carcinoid tumors. </w:t>
      </w:r>
      <w:r>
        <w:rPr>
          <w:rFonts w:ascii="Book Antiqua" w:hAnsi="Book Antiqua" w:eastAsia="宋体" w:cs="宋体"/>
          <w:i/>
          <w:iCs/>
          <w:lang w:eastAsia="zh-CN"/>
        </w:rPr>
        <w:t>Cancer</w:t>
      </w:r>
      <w:r>
        <w:rPr>
          <w:rFonts w:ascii="Book Antiqua" w:hAnsi="Book Antiqua" w:eastAsia="宋体" w:cs="宋体"/>
          <w:lang w:eastAsia="zh-CN"/>
        </w:rPr>
        <w:t xml:space="preserve"> 2003; </w:t>
      </w:r>
      <w:r>
        <w:rPr>
          <w:rFonts w:ascii="Book Antiqua" w:hAnsi="Book Antiqua" w:eastAsia="宋体" w:cs="宋体"/>
          <w:b/>
          <w:bCs/>
          <w:lang w:eastAsia="zh-CN"/>
        </w:rPr>
        <w:t>97</w:t>
      </w:r>
      <w:r>
        <w:rPr>
          <w:rFonts w:ascii="Book Antiqua" w:hAnsi="Book Antiqua" w:eastAsia="宋体" w:cs="宋体"/>
          <w:lang w:eastAsia="zh-CN"/>
        </w:rPr>
        <w:t>: 934-959 [PMID: 12569593 DOI: 10.1002/cncr.11105]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98 </w:t>
      </w:r>
      <w:r>
        <w:rPr>
          <w:rFonts w:ascii="Book Antiqua" w:hAnsi="Book Antiqua" w:eastAsia="宋体" w:cs="宋体"/>
          <w:b/>
          <w:bCs/>
          <w:lang w:eastAsia="zh-CN"/>
        </w:rPr>
        <w:t>Chin JL</w:t>
      </w:r>
      <w:r>
        <w:rPr>
          <w:rFonts w:ascii="Book Antiqua" w:hAnsi="Book Antiqua" w:eastAsia="宋体" w:cs="宋体"/>
          <w:lang w:eastAsia="zh-CN"/>
        </w:rPr>
        <w:t xml:space="preserve">, O'Toole D. Diagnosis and Management of Upper Gastrointestinal Neuroendocrine Tumors. </w:t>
      </w:r>
      <w:r>
        <w:rPr>
          <w:rFonts w:ascii="Book Antiqua" w:hAnsi="Book Antiqua" w:eastAsia="宋体" w:cs="宋体"/>
          <w:i/>
          <w:iCs/>
          <w:lang w:eastAsia="zh-CN"/>
        </w:rPr>
        <w:t>Clin Endosc</w:t>
      </w:r>
      <w:r>
        <w:rPr>
          <w:rFonts w:ascii="Book Antiqua" w:hAnsi="Book Antiqua" w:eastAsia="宋体" w:cs="宋体"/>
          <w:lang w:eastAsia="zh-CN"/>
        </w:rPr>
        <w:t xml:space="preserve"> 2017; </w:t>
      </w:r>
      <w:r>
        <w:rPr>
          <w:rFonts w:ascii="Book Antiqua" w:hAnsi="Book Antiqua" w:eastAsia="宋体" w:cs="宋体"/>
          <w:b/>
          <w:bCs/>
          <w:lang w:eastAsia="zh-CN"/>
        </w:rPr>
        <w:t>50</w:t>
      </w:r>
      <w:r>
        <w:rPr>
          <w:rFonts w:ascii="Book Antiqua" w:hAnsi="Book Antiqua" w:eastAsia="宋体" w:cs="宋体"/>
          <w:lang w:eastAsia="zh-CN"/>
        </w:rPr>
        <w:t>: 520-529 [PMID: 29207862 DOI: 10.5946/ce.2017.181]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99 </w:t>
      </w:r>
      <w:r>
        <w:rPr>
          <w:rFonts w:ascii="Book Antiqua" w:hAnsi="Book Antiqua" w:eastAsia="宋体" w:cs="宋体"/>
          <w:b/>
          <w:bCs/>
          <w:lang w:eastAsia="zh-CN"/>
        </w:rPr>
        <w:t>Lee SW</w:t>
      </w:r>
      <w:r>
        <w:rPr>
          <w:rFonts w:ascii="Book Antiqua" w:hAnsi="Book Antiqua" w:eastAsia="宋体" w:cs="宋体"/>
          <w:lang w:eastAsia="zh-CN"/>
        </w:rPr>
        <w:t xml:space="preserve">, Sung JK, Cho YS, Bang KB, Kang SH, Kim KB, Kim SH, Moon HS, Song KH, Kim SM, Chung IK, Lee DS, Jeong HY, Youn SJ. Comparisons of therapeutic outcomes in patients with nonampullary duodenal neuroendocrine tumors (NADNETs): A multicenter retrospective study. </w:t>
      </w:r>
      <w:r>
        <w:rPr>
          <w:rFonts w:ascii="Book Antiqua" w:hAnsi="Book Antiqua" w:eastAsia="宋体" w:cs="宋体"/>
          <w:i/>
          <w:iCs/>
          <w:lang w:eastAsia="zh-CN"/>
        </w:rPr>
        <w:t>Medicine (Baltimore)</w:t>
      </w:r>
      <w:r>
        <w:rPr>
          <w:rFonts w:ascii="Book Antiqua" w:hAnsi="Book Antiqua" w:eastAsia="宋体" w:cs="宋体"/>
          <w:lang w:eastAsia="zh-CN"/>
        </w:rPr>
        <w:t xml:space="preserve"> 2019; </w:t>
      </w:r>
      <w:r>
        <w:rPr>
          <w:rFonts w:ascii="Book Antiqua" w:hAnsi="Book Antiqua" w:eastAsia="宋体" w:cs="宋体"/>
          <w:b/>
          <w:bCs/>
          <w:lang w:eastAsia="zh-CN"/>
        </w:rPr>
        <w:t>98</w:t>
      </w:r>
      <w:r>
        <w:rPr>
          <w:rFonts w:ascii="Book Antiqua" w:hAnsi="Book Antiqua" w:eastAsia="宋体" w:cs="宋体"/>
          <w:lang w:eastAsia="zh-CN"/>
        </w:rPr>
        <w:t>: e16154 [PMID: 31261543 DOI: 10.1097/MD.0000000000016154]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100 </w:t>
      </w:r>
      <w:r>
        <w:rPr>
          <w:rFonts w:ascii="Book Antiqua" w:hAnsi="Book Antiqua" w:eastAsia="宋体" w:cs="宋体"/>
          <w:b/>
          <w:bCs/>
          <w:lang w:eastAsia="zh-CN"/>
        </w:rPr>
        <w:t>Tran CG</w:t>
      </w:r>
      <w:r>
        <w:rPr>
          <w:rFonts w:ascii="Book Antiqua" w:hAnsi="Book Antiqua" w:eastAsia="宋体" w:cs="宋体"/>
          <w:bCs/>
          <w:lang w:eastAsia="zh-CN"/>
        </w:rPr>
        <w:t>, Sherman SK, Sur</w:t>
      </w:r>
      <w:bookmarkEnd w:id="35"/>
      <w:bookmarkEnd w:id="36"/>
      <w:r>
        <w:rPr>
          <w:rFonts w:ascii="Book Antiqua" w:hAnsi="Book Antiqua" w:eastAsia="宋体" w:cs="宋体"/>
          <w:bCs/>
          <w:lang w:eastAsia="zh-CN"/>
        </w:rPr>
        <w:t xml:space="preserve">aju MO, Nayyar A, Gerke H, Abiad RGE, Chandrasekharan C, Ear PH, O'Dorisio TM, Dillon JS, Bellizzi AM, Howe JR. Management of Duodenal Neuroendocrine Tumors: Surgical versus Endoscopic Mucosal Resection. </w:t>
      </w:r>
      <w:r>
        <w:rPr>
          <w:rFonts w:ascii="Book Antiqua" w:hAnsi="Book Antiqua" w:eastAsia="宋体" w:cs="宋体"/>
          <w:bCs/>
          <w:i/>
          <w:lang w:eastAsia="zh-CN"/>
        </w:rPr>
        <w:t>Ann Surg Oncol</w:t>
      </w:r>
      <w:r>
        <w:rPr>
          <w:rFonts w:ascii="Book Antiqua" w:hAnsi="Book Antiqua" w:eastAsia="宋体" w:cs="宋体"/>
          <w:bCs/>
          <w:lang w:eastAsia="zh-CN"/>
        </w:rPr>
        <w:t xml:space="preserve"> 2022;</w:t>
      </w:r>
      <w:r>
        <w:rPr>
          <w:rFonts w:hint="eastAsia" w:ascii="Book Antiqua" w:hAnsi="Book Antiqua" w:eastAsia="宋体" w:cs="宋体"/>
          <w:bCs/>
          <w:lang w:eastAsia="zh-CN"/>
        </w:rPr>
        <w:t xml:space="preserve"> </w:t>
      </w:r>
      <w:r>
        <w:rPr>
          <w:rFonts w:ascii="Book Antiqua" w:hAnsi="Book Antiqua" w:eastAsia="宋体" w:cs="宋体"/>
          <w:b/>
          <w:bCs/>
          <w:lang w:eastAsia="zh-CN"/>
        </w:rPr>
        <w:t>29</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75-84 </w:t>
      </w:r>
      <w:r>
        <w:rPr>
          <w:rFonts w:hint="eastAsia" w:ascii="Book Antiqua" w:hAnsi="Book Antiqua" w:eastAsia="宋体" w:cs="宋体"/>
          <w:bCs/>
          <w:lang w:eastAsia="zh-CN"/>
        </w:rPr>
        <w:t>[</w:t>
      </w:r>
      <w:r>
        <w:rPr>
          <w:rFonts w:ascii="Book Antiqua" w:hAnsi="Book Antiqua" w:eastAsia="宋体" w:cs="宋体"/>
          <w:bCs/>
          <w:lang w:eastAsia="zh-CN"/>
        </w:rPr>
        <w:t>PMID: 34515889</w:t>
      </w:r>
      <w:r>
        <w:rPr>
          <w:rFonts w:hint="eastAsia" w:ascii="Book Antiqua" w:hAnsi="Book Antiqua" w:eastAsia="宋体" w:cs="宋体"/>
          <w:bCs/>
          <w:lang w:eastAsia="zh-CN"/>
        </w:rPr>
        <w:t xml:space="preserve"> DOI</w:t>
      </w:r>
      <w:r>
        <w:rPr>
          <w:rFonts w:ascii="Book Antiqua" w:hAnsi="Book Antiqua" w:eastAsia="宋体" w:cs="宋体"/>
          <w:bCs/>
          <w:lang w:eastAsia="zh-CN"/>
        </w:rPr>
        <w:t>: 10.1245/s10434-021-10774-9</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101 </w:t>
      </w:r>
      <w:r>
        <w:rPr>
          <w:rFonts w:ascii="Book Antiqua" w:hAnsi="Book Antiqua" w:eastAsia="宋体" w:cs="宋体"/>
          <w:b/>
          <w:bCs/>
          <w:lang w:eastAsia="zh-CN"/>
        </w:rPr>
        <w:t>Ruff SM</w:t>
      </w:r>
      <w:r>
        <w:rPr>
          <w:rFonts w:ascii="Book Antiqua" w:hAnsi="Book Antiqua" w:eastAsia="宋体" w:cs="宋体"/>
          <w:lang w:eastAsia="zh-CN"/>
        </w:rPr>
        <w:t xml:space="preserve">, Standring O, Wu G, Levy A, Anantha S, Newman E, Karpeh MS Jr, Nealon W, Deutsch GB, Weiss MJ, DePeralta DK. Ampullary Neuroendocrine Tumors: Insight into a Rare Histology. </w:t>
      </w:r>
      <w:r>
        <w:rPr>
          <w:rFonts w:ascii="Book Antiqua" w:hAnsi="Book Antiqua" w:eastAsia="宋体" w:cs="宋体"/>
          <w:i/>
          <w:iCs/>
          <w:lang w:eastAsia="zh-CN"/>
        </w:rPr>
        <w:t>Ann Surg Oncol</w:t>
      </w:r>
      <w:r>
        <w:rPr>
          <w:rFonts w:ascii="Book Antiqua" w:hAnsi="Book Antiqua" w:eastAsia="宋体" w:cs="宋体"/>
          <w:lang w:eastAsia="zh-CN"/>
        </w:rPr>
        <w:t xml:space="preserve"> 2021; </w:t>
      </w:r>
      <w:r>
        <w:rPr>
          <w:rFonts w:ascii="Book Antiqua" w:hAnsi="Book Antiqua" w:eastAsia="宋体" w:cs="宋体"/>
          <w:b/>
          <w:bCs/>
          <w:lang w:eastAsia="zh-CN"/>
        </w:rPr>
        <w:t>28</w:t>
      </w:r>
      <w:r>
        <w:rPr>
          <w:rFonts w:ascii="Book Antiqua" w:hAnsi="Book Antiqua" w:eastAsia="宋体" w:cs="宋体"/>
          <w:lang w:eastAsia="zh-CN"/>
        </w:rPr>
        <w:t>: 8318-8328 [PMID: 34312800 DOI: 10.1245/s10434-021-10371-w]</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102 </w:t>
      </w:r>
      <w:r>
        <w:rPr>
          <w:rFonts w:ascii="Book Antiqua" w:hAnsi="Book Antiqua" w:eastAsia="宋体" w:cs="宋体"/>
          <w:b/>
          <w:bCs/>
          <w:lang w:eastAsia="zh-CN"/>
        </w:rPr>
        <w:t>Randle RW</w:t>
      </w:r>
      <w:r>
        <w:rPr>
          <w:rFonts w:ascii="Book Antiqua" w:hAnsi="Book Antiqua" w:eastAsia="宋体" w:cs="宋体"/>
          <w:lang w:eastAsia="zh-CN"/>
        </w:rPr>
        <w:t xml:space="preserve">, Ahmed S, Newman NA, Clark CJ. Clinical outcomes for neuroendocrine tumors of the duodenum and ampulla of Vater: a population-based study. </w:t>
      </w:r>
      <w:r>
        <w:rPr>
          <w:rFonts w:ascii="Book Antiqua" w:hAnsi="Book Antiqua" w:eastAsia="宋体" w:cs="宋体"/>
          <w:i/>
          <w:iCs/>
          <w:lang w:eastAsia="zh-CN"/>
        </w:rPr>
        <w:t>J Gastrointest Surg</w:t>
      </w:r>
      <w:r>
        <w:rPr>
          <w:rFonts w:ascii="Book Antiqua" w:hAnsi="Book Antiqua" w:eastAsia="宋体" w:cs="宋体"/>
          <w:lang w:eastAsia="zh-CN"/>
        </w:rPr>
        <w:t xml:space="preserve"> 2014; </w:t>
      </w:r>
      <w:r>
        <w:rPr>
          <w:rFonts w:ascii="Book Antiqua" w:hAnsi="Book Antiqua" w:eastAsia="宋体" w:cs="宋体"/>
          <w:b/>
          <w:bCs/>
          <w:lang w:eastAsia="zh-CN"/>
        </w:rPr>
        <w:t>18</w:t>
      </w:r>
      <w:r>
        <w:rPr>
          <w:rFonts w:ascii="Book Antiqua" w:hAnsi="Book Antiqua" w:eastAsia="宋体" w:cs="宋体"/>
          <w:lang w:eastAsia="zh-CN"/>
        </w:rPr>
        <w:t>: 354-362 [PMID: 24114680 DOI: 10.1007/s11605-013-2365-4]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103 </w:t>
      </w:r>
      <w:r>
        <w:rPr>
          <w:rFonts w:ascii="Book Antiqua" w:hAnsi="Book Antiqua" w:eastAsia="宋体" w:cs="宋体"/>
          <w:b/>
          <w:bCs/>
          <w:lang w:eastAsia="zh-CN"/>
        </w:rPr>
        <w:t>Vanoli A</w:t>
      </w:r>
      <w:r>
        <w:rPr>
          <w:rFonts w:ascii="Book Antiqua" w:hAnsi="Book Antiqua" w:eastAsia="宋体" w:cs="宋体"/>
          <w:lang w:eastAsia="zh-CN"/>
        </w:rPr>
        <w:t xml:space="preserve">, La Rosa S, Klersy C, Grillo F, Albarello L, Inzani F, Maragliano R, Manca R, Luinetti O, Milione M, Doglioni C, Rindi G, Capella C, Solcia E. Four Neuroendocrine Tumor Types and Neuroendocrine Carcinoma of the Duodenum: Analysis of 203 Cases. </w:t>
      </w:r>
      <w:r>
        <w:rPr>
          <w:rFonts w:ascii="Book Antiqua" w:hAnsi="Book Antiqua" w:eastAsia="宋体" w:cs="宋体"/>
          <w:i/>
          <w:iCs/>
          <w:lang w:eastAsia="zh-CN"/>
        </w:rPr>
        <w:t>Neuroendocrinology</w:t>
      </w:r>
      <w:r>
        <w:rPr>
          <w:rFonts w:ascii="Book Antiqua" w:hAnsi="Book Antiqua" w:eastAsia="宋体" w:cs="宋体"/>
          <w:lang w:eastAsia="zh-CN"/>
        </w:rPr>
        <w:t xml:space="preserve"> 2017; </w:t>
      </w:r>
      <w:r>
        <w:rPr>
          <w:rFonts w:ascii="Book Antiqua" w:hAnsi="Book Antiqua" w:eastAsia="宋体" w:cs="宋体"/>
          <w:b/>
          <w:bCs/>
          <w:lang w:eastAsia="zh-CN"/>
        </w:rPr>
        <w:t>104</w:t>
      </w:r>
      <w:r>
        <w:rPr>
          <w:rFonts w:ascii="Book Antiqua" w:hAnsi="Book Antiqua" w:eastAsia="宋体" w:cs="宋体"/>
          <w:lang w:eastAsia="zh-CN"/>
        </w:rPr>
        <w:t>: 112-125 [PMID: 26910321 DOI: 10.1159/000444803]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104 </w:t>
      </w:r>
      <w:r>
        <w:rPr>
          <w:rFonts w:ascii="Book Antiqua" w:hAnsi="Book Antiqua" w:eastAsia="宋体" w:cs="宋体"/>
          <w:b/>
          <w:bCs/>
          <w:lang w:eastAsia="zh-CN"/>
        </w:rPr>
        <w:t>Gincul R</w:t>
      </w:r>
      <w:r>
        <w:rPr>
          <w:rFonts w:ascii="Book Antiqua" w:hAnsi="Book Antiqua" w:eastAsia="宋体" w:cs="宋体"/>
          <w:lang w:eastAsia="zh-CN"/>
        </w:rPr>
        <w:t xml:space="preserve">, Ponchon T, Napoleon B, Scoazec JY, Guillaud O, Saurin JC, Ciocirlan M, Lepilliez V, Pioche M, Lefort C, Adham M, Pialat J, Chayvialle JA, Walter T. Endoscopic treatment of sporadic small duodenal and ampullary neuroendocrine tumors. </w:t>
      </w:r>
      <w:r>
        <w:rPr>
          <w:rFonts w:ascii="Book Antiqua" w:hAnsi="Book Antiqua" w:eastAsia="宋体" w:cs="宋体"/>
          <w:i/>
          <w:iCs/>
          <w:lang w:eastAsia="zh-CN"/>
        </w:rPr>
        <w:t>Endoscopy</w:t>
      </w:r>
      <w:r>
        <w:rPr>
          <w:rFonts w:ascii="Book Antiqua" w:hAnsi="Book Antiqua" w:eastAsia="宋体" w:cs="宋体"/>
          <w:lang w:eastAsia="zh-CN"/>
        </w:rPr>
        <w:t xml:space="preserve"> 201</w:t>
      </w:r>
      <w:bookmarkStart w:id="49" w:name="OLE_LINK400"/>
      <w:bookmarkStart w:id="50" w:name="OLE_LINK399"/>
      <w:r>
        <w:rPr>
          <w:rFonts w:ascii="Book Antiqua" w:hAnsi="Book Antiqua" w:eastAsia="宋体" w:cs="宋体"/>
          <w:lang w:eastAsia="zh-CN"/>
        </w:rPr>
        <w:t xml:space="preserve">6; </w:t>
      </w:r>
      <w:r>
        <w:rPr>
          <w:rFonts w:ascii="Book Antiqua" w:hAnsi="Book Antiqua" w:eastAsia="宋体" w:cs="宋体"/>
          <w:b/>
          <w:bCs/>
          <w:lang w:eastAsia="zh-CN"/>
        </w:rPr>
        <w:t>48</w:t>
      </w:r>
      <w:r>
        <w:rPr>
          <w:rFonts w:ascii="Book Antiqua" w:hAnsi="Book Antiqua" w:eastAsia="宋体" w:cs="宋体"/>
          <w:lang w:eastAsia="zh-CN"/>
        </w:rPr>
        <w:t>: 979-986 [PMID: 27494453 DOI: 10.1055/s-0042-112570]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105 </w:t>
      </w:r>
      <w:r>
        <w:rPr>
          <w:rFonts w:ascii="Book Antiqua" w:hAnsi="Book Antiqua" w:eastAsia="宋体" w:cs="宋体"/>
          <w:b/>
          <w:bCs/>
          <w:lang w:eastAsia="zh-CN"/>
        </w:rPr>
        <w:t>Howe JR</w:t>
      </w:r>
      <w:r>
        <w:rPr>
          <w:rFonts w:ascii="Book Antiqua" w:hAnsi="Book Antiqua" w:eastAsia="宋体" w:cs="宋体"/>
          <w:lang w:eastAsia="zh-CN"/>
        </w:rPr>
        <w:t xml:space="preserve">, Cardona K, Fraker DL, Kebebew E, Untch BR, Wang YZ, Law CH, Liu EH, Kim MK, Menda Y, Morse BG, Bergsland EK, Strosberg JR, Nakakura EK, Pommier RF. The Surgical Management of Small Bowel Neuroendocrine Tumors: Consensus Guidelines of the North American Neuroendocrine Tumor Society. </w:t>
      </w:r>
      <w:r>
        <w:rPr>
          <w:rFonts w:ascii="Book Antiqua" w:hAnsi="Book Antiqua" w:eastAsia="宋体" w:cs="宋体"/>
          <w:i/>
          <w:iCs/>
          <w:lang w:eastAsia="zh-CN"/>
        </w:rPr>
        <w:t>Pancreas</w:t>
      </w:r>
      <w:r>
        <w:rPr>
          <w:rFonts w:ascii="Book Antiqua" w:hAnsi="Book Antiqua" w:eastAsia="宋体" w:cs="宋体"/>
          <w:lang w:eastAsia="zh-CN"/>
        </w:rPr>
        <w:t xml:space="preserve"> 2017; </w:t>
      </w:r>
      <w:r>
        <w:rPr>
          <w:rFonts w:ascii="Book Antiqua" w:hAnsi="Book Antiqua" w:eastAsia="宋体" w:cs="宋体"/>
          <w:b/>
          <w:bCs/>
          <w:lang w:eastAsia="zh-CN"/>
        </w:rPr>
        <w:t>46</w:t>
      </w:r>
      <w:r>
        <w:rPr>
          <w:rFonts w:ascii="Book Antiqua" w:hAnsi="Book Antiqua" w:eastAsia="宋体" w:cs="宋体"/>
          <w:lang w:eastAsia="zh-CN"/>
        </w:rPr>
        <w:t>: 715-731 [PMID: 28609357 DOI: 10.1097/MPA.0000000000000846]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106 </w:t>
      </w:r>
      <w:r>
        <w:rPr>
          <w:rFonts w:ascii="Book Antiqua" w:hAnsi="Book Antiqua" w:eastAsia="宋体" w:cs="宋体"/>
          <w:b/>
          <w:bCs/>
          <w:lang w:eastAsia="zh-CN"/>
        </w:rPr>
        <w:t>Niederle B</w:t>
      </w:r>
      <w:r>
        <w:rPr>
          <w:rFonts w:ascii="Book Antiqua" w:hAnsi="Book Antiqua" w:eastAsia="宋体" w:cs="宋体"/>
          <w:lang w:eastAsia="zh-CN"/>
        </w:rPr>
        <w:t xml:space="preserve">, Pape UF, Costa F, Gross D, Kelestimur F, Knigge U, Öberg K, Pavel M, Perren A, Toumpanakis C, O'Connor J, O'Toole D, Krenning E, Reed N, Kianmanesh R; Vienna Consensus Conference participants. ENETS Consensus Guidelines Update for Neuroendocrine Neoplasms of the Jejunum and Ileum. </w:t>
      </w:r>
      <w:r>
        <w:rPr>
          <w:rFonts w:ascii="Book Antiqua" w:hAnsi="Book Antiqua" w:eastAsia="宋体" w:cs="宋体"/>
          <w:i/>
          <w:iCs/>
          <w:lang w:eastAsia="zh-CN"/>
        </w:rPr>
        <w:t>Neuroendocrinology</w:t>
      </w:r>
      <w:r>
        <w:rPr>
          <w:rFonts w:ascii="Book Antiqua" w:hAnsi="Book Antiqua" w:eastAsia="宋体" w:cs="宋体"/>
          <w:lang w:eastAsia="zh-CN"/>
        </w:rPr>
        <w:t xml:space="preserve"> 2016; </w:t>
      </w:r>
      <w:r>
        <w:rPr>
          <w:rFonts w:ascii="Book Antiqua" w:hAnsi="Book Antiqua" w:eastAsia="宋体" w:cs="宋体"/>
          <w:b/>
          <w:bCs/>
          <w:lang w:eastAsia="zh-CN"/>
        </w:rPr>
        <w:t>103</w:t>
      </w:r>
      <w:r>
        <w:rPr>
          <w:rFonts w:ascii="Book Antiqua" w:hAnsi="Book Antiqua" w:eastAsia="宋体" w:cs="宋体"/>
          <w:lang w:eastAsia="zh-CN"/>
        </w:rPr>
        <w:t>: 125-138 [PMID: 26758972 DOI: 10.1159/000443170]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107 </w:t>
      </w:r>
      <w:r>
        <w:rPr>
          <w:rFonts w:ascii="Book Antiqua" w:hAnsi="Book Antiqua" w:eastAsia="宋体" w:cs="宋体"/>
          <w:b/>
          <w:bCs/>
          <w:lang w:eastAsia="zh-CN"/>
        </w:rPr>
        <w:t>Bilimoria KY</w:t>
      </w:r>
      <w:r>
        <w:rPr>
          <w:rFonts w:ascii="Book Antiqua" w:hAnsi="Book Antiqua" w:eastAsia="宋体" w:cs="宋体"/>
          <w:lang w:eastAsia="zh-CN"/>
        </w:rPr>
        <w:t xml:space="preserve">, Bentrem DJ, Wayne JD, Ko CY, Bennett CL, Talamonti MS. Small bowel cancer in the United States: changes in epidemiology, treatment, and survival over the last 20 years. </w:t>
      </w:r>
      <w:r>
        <w:rPr>
          <w:rFonts w:ascii="Book Antiqua" w:hAnsi="Book Antiqua" w:eastAsia="宋体" w:cs="宋体"/>
          <w:i/>
          <w:iCs/>
          <w:lang w:eastAsia="zh-CN"/>
        </w:rPr>
        <w:t>Ann Surg</w:t>
      </w:r>
      <w:r>
        <w:rPr>
          <w:rFonts w:ascii="Book Antiqua" w:hAnsi="Book Antiqua" w:eastAsia="宋体" w:cs="宋体"/>
          <w:lang w:eastAsia="zh-CN"/>
        </w:rPr>
        <w:t xml:space="preserve"> 2009; </w:t>
      </w:r>
      <w:r>
        <w:rPr>
          <w:rFonts w:ascii="Book Antiqua" w:hAnsi="Book Antiqua" w:eastAsia="宋体" w:cs="宋体"/>
          <w:b/>
          <w:bCs/>
          <w:lang w:eastAsia="zh-CN"/>
        </w:rPr>
        <w:t>249</w:t>
      </w:r>
      <w:r>
        <w:rPr>
          <w:rFonts w:ascii="Book Antiqua" w:hAnsi="Book Antiqua" w:eastAsia="宋体" w:cs="宋体"/>
          <w:lang w:eastAsia="zh-CN"/>
        </w:rPr>
        <w:t>: 63-71 [PMID: 19106677 DOI: 10.1097/SLA.0b013e31818e4641]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108 </w:t>
      </w:r>
      <w:r>
        <w:rPr>
          <w:rFonts w:ascii="Book Antiqua" w:hAnsi="Book Antiqua" w:eastAsia="宋体" w:cs="宋体"/>
          <w:b/>
          <w:bCs/>
          <w:lang w:eastAsia="zh-CN"/>
        </w:rPr>
        <w:t>Moris D</w:t>
      </w:r>
      <w:r>
        <w:rPr>
          <w:rFonts w:ascii="Book Antiqua" w:hAnsi="Book Antiqua" w:eastAsia="宋体" w:cs="宋体"/>
          <w:lang w:eastAsia="zh-CN"/>
        </w:rPr>
        <w:t xml:space="preserve">, Ntanasis-Stathopoulos I, Tsilimigras DI, Vagios S, Karamitros A, Karaolanis G, Griniatsos J, Papalampros A, Papaconstantinou I, Glantzounis GK, Spartalis E, Blazer DG 3rd, Felekouras E. Update on Surgical Management of Small Bowel Neuroendocrine Tumors. </w:t>
      </w:r>
      <w:r>
        <w:rPr>
          <w:rFonts w:ascii="Book Antiqua" w:hAnsi="Book Antiqua" w:eastAsia="宋体" w:cs="宋体"/>
          <w:i/>
          <w:iCs/>
          <w:lang w:eastAsia="zh-CN"/>
        </w:rPr>
        <w:t>Anticancer Res</w:t>
      </w:r>
      <w:r>
        <w:rPr>
          <w:rFonts w:ascii="Book Antiqua" w:hAnsi="Book Antiqua" w:eastAsia="宋体" w:cs="宋体"/>
          <w:lang w:eastAsia="zh-CN"/>
        </w:rPr>
        <w:t xml:space="preserve"> 2018; </w:t>
      </w:r>
      <w:r>
        <w:rPr>
          <w:rFonts w:ascii="Book Antiqua" w:hAnsi="Book Antiqua" w:eastAsia="宋体" w:cs="宋体"/>
          <w:b/>
          <w:bCs/>
          <w:lang w:eastAsia="zh-CN"/>
        </w:rPr>
        <w:t>38</w:t>
      </w:r>
      <w:r>
        <w:rPr>
          <w:rFonts w:ascii="Book Antiqua" w:hAnsi="Book Antiqua" w:eastAsia="宋体" w:cs="宋体"/>
          <w:lang w:eastAsia="zh-CN"/>
        </w:rPr>
        <w:t>: 1267-1278 [PMID: 29491050 DOI: 10.21873/anticanres.12349]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109 </w:t>
      </w:r>
      <w:r>
        <w:rPr>
          <w:rFonts w:ascii="Book Antiqua" w:hAnsi="Book Antiqua" w:eastAsia="宋体" w:cs="宋体"/>
          <w:b/>
          <w:bCs/>
          <w:lang w:eastAsia="zh-CN"/>
        </w:rPr>
        <w:t>Clift AK</w:t>
      </w:r>
      <w:r>
        <w:rPr>
          <w:rFonts w:ascii="Book Antiqua" w:hAnsi="Book Antiqua" w:eastAsia="宋体" w:cs="宋体"/>
          <w:bCs/>
          <w:lang w:eastAsia="zh-CN"/>
        </w:rPr>
        <w:t xml:space="preserve">, Faiz O, Al-Nahhas A, Bockisch A, Liedke MO, Schloericke E, Wasan H, Martin J, Ziprin P, Moorthy K, Frilling A. Role of Staging in Patients with Small Intestinal Neuroendocrine Tumours. </w:t>
      </w:r>
      <w:r>
        <w:rPr>
          <w:rFonts w:ascii="Book Antiqua" w:hAnsi="Book Antiqua" w:eastAsia="宋体" w:cs="宋体"/>
          <w:bCs/>
          <w:i/>
          <w:lang w:eastAsia="zh-CN"/>
        </w:rPr>
        <w:t>J Gastrointest Surg</w:t>
      </w:r>
      <w:r>
        <w:rPr>
          <w:rFonts w:ascii="Book Antiqua" w:hAnsi="Book Antiqua" w:eastAsia="宋体" w:cs="宋体"/>
          <w:bCs/>
          <w:lang w:eastAsia="zh-CN"/>
        </w:rPr>
        <w:t xml:space="preserve"> 2016;</w:t>
      </w:r>
      <w:r>
        <w:rPr>
          <w:rFonts w:hint="eastAsia" w:ascii="Book Antiqua" w:hAnsi="Book Antiqua" w:eastAsia="宋体" w:cs="宋体"/>
          <w:bCs/>
          <w:lang w:eastAsia="zh-CN"/>
        </w:rPr>
        <w:t xml:space="preserve"> </w:t>
      </w:r>
      <w:r>
        <w:rPr>
          <w:rFonts w:ascii="Book Antiqua" w:hAnsi="Book Antiqua" w:eastAsia="宋体" w:cs="宋体"/>
          <w:b/>
          <w:bCs/>
          <w:lang w:eastAsia="zh-CN"/>
        </w:rPr>
        <w:t>20</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180-</w:t>
      </w:r>
      <w:r>
        <w:rPr>
          <w:rFonts w:hint="eastAsia" w:ascii="Book Antiqua" w:hAnsi="Book Antiqua" w:eastAsia="宋体" w:cs="宋体"/>
          <w:bCs/>
          <w:lang w:eastAsia="zh-CN"/>
        </w:rPr>
        <w:t>18</w:t>
      </w:r>
      <w:r>
        <w:rPr>
          <w:rFonts w:ascii="Book Antiqua" w:hAnsi="Book Antiqua" w:eastAsia="宋体" w:cs="宋体"/>
          <w:bCs/>
          <w:lang w:eastAsia="zh-CN"/>
        </w:rPr>
        <w:t xml:space="preserve">8 </w:t>
      </w:r>
      <w:r>
        <w:rPr>
          <w:rFonts w:hint="eastAsia" w:ascii="Book Antiqua" w:hAnsi="Book Antiqua" w:eastAsia="宋体" w:cs="宋体"/>
          <w:bCs/>
          <w:lang w:eastAsia="zh-CN"/>
        </w:rPr>
        <w:t>[</w:t>
      </w:r>
      <w:r>
        <w:rPr>
          <w:rFonts w:ascii="Book Antiqua" w:hAnsi="Book Antiqua" w:eastAsia="宋体" w:cs="宋体"/>
          <w:bCs/>
          <w:lang w:eastAsia="zh-CN"/>
        </w:rPr>
        <w:t>PMID: 26394880</w:t>
      </w:r>
      <w:r>
        <w:rPr>
          <w:rFonts w:hint="eastAsia" w:ascii="Book Antiqua" w:hAnsi="Book Antiqua" w:eastAsia="宋体" w:cs="宋体"/>
          <w:bCs/>
          <w:lang w:eastAsia="zh-CN"/>
        </w:rPr>
        <w:t xml:space="preserve"> DOI</w:t>
      </w:r>
      <w:r>
        <w:rPr>
          <w:rFonts w:ascii="Book Antiqua" w:hAnsi="Book Antiqua" w:eastAsia="宋体" w:cs="宋体"/>
          <w:bCs/>
          <w:lang w:eastAsia="zh-CN"/>
        </w:rPr>
        <w:t>: 10.1007/s11605-015-2953-6</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110 </w:t>
      </w:r>
      <w:r>
        <w:rPr>
          <w:rFonts w:ascii="Book Antiqua" w:hAnsi="Book Antiqua" w:eastAsia="宋体" w:cs="宋体"/>
          <w:b/>
          <w:bCs/>
          <w:lang w:eastAsia="zh-CN"/>
        </w:rPr>
        <w:t>Clift AK</w:t>
      </w:r>
      <w:r>
        <w:rPr>
          <w:rFonts w:ascii="Book Antiqua" w:hAnsi="Book Antiqua" w:eastAsia="宋体" w:cs="宋体"/>
          <w:lang w:eastAsia="zh-CN"/>
        </w:rPr>
        <w:t xml:space="preserve">, Kidd M, Bodei L, Toumpanakis C, Baum RP, Oberg K, Modlin IM, Frilling A. Neuroendocrine Neoplasms of the Small Bowel and Pancreas. </w:t>
      </w:r>
      <w:r>
        <w:rPr>
          <w:rFonts w:ascii="Book Antiqua" w:hAnsi="Book Antiqua" w:eastAsia="宋体" w:cs="宋体"/>
          <w:i/>
          <w:iCs/>
          <w:lang w:eastAsia="zh-CN"/>
        </w:rPr>
        <w:t>Neuroendocrinology</w:t>
      </w:r>
      <w:r>
        <w:rPr>
          <w:rFonts w:ascii="Book Antiqua" w:hAnsi="Book Antiqua" w:eastAsia="宋体" w:cs="宋体"/>
          <w:lang w:eastAsia="zh-CN"/>
        </w:rPr>
        <w:t xml:space="preserve"> 2020; </w:t>
      </w:r>
      <w:r>
        <w:rPr>
          <w:rFonts w:ascii="Book Antiqua" w:hAnsi="Book Antiqua" w:eastAsia="宋体" w:cs="宋体"/>
          <w:b/>
          <w:bCs/>
          <w:lang w:eastAsia="zh-CN"/>
        </w:rPr>
        <w:t>110</w:t>
      </w:r>
      <w:r>
        <w:rPr>
          <w:rFonts w:ascii="Book Antiqua" w:hAnsi="Book Antiqua" w:eastAsia="宋体" w:cs="宋体"/>
          <w:lang w:eastAsia="zh-CN"/>
        </w:rPr>
        <w:t>: 444-476 [PMID: 31557758 DOI: 10.1159/000503721]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111 </w:t>
      </w:r>
      <w:r>
        <w:rPr>
          <w:rFonts w:ascii="Book Antiqua" w:hAnsi="Book Antiqua" w:eastAsia="宋体" w:cs="宋体"/>
          <w:b/>
          <w:bCs/>
          <w:lang w:eastAsia="zh-CN"/>
        </w:rPr>
        <w:t>Moris D</w:t>
      </w:r>
      <w:r>
        <w:rPr>
          <w:rFonts w:ascii="Book Antiqua" w:hAnsi="Book Antiqua" w:eastAsia="宋体" w:cs="宋体"/>
          <w:lang w:eastAsia="zh-CN"/>
        </w:rPr>
        <w:t xml:space="preserve">, Tsilimigras DI, Vagios S, Ntanasis-Stathopoulos I, Karachaliou GS, Papalampros A, Alexandrou A, Blazer DG 3RD, Felekouras E. Neuroendocrine Neoplasms of the Appendix: A Review of the Literature. </w:t>
      </w:r>
      <w:r>
        <w:rPr>
          <w:rFonts w:ascii="Book Antiqua" w:hAnsi="Book Antiqua" w:eastAsia="宋体" w:cs="宋体"/>
          <w:i/>
          <w:iCs/>
          <w:lang w:eastAsia="zh-CN"/>
        </w:rPr>
        <w:t>Anticancer Res</w:t>
      </w:r>
      <w:r>
        <w:rPr>
          <w:rFonts w:ascii="Book Antiqua" w:hAnsi="Book Antiqua" w:eastAsia="宋体" w:cs="宋体"/>
          <w:lang w:eastAsia="zh-CN"/>
        </w:rPr>
        <w:t xml:space="preserve"> 2018; </w:t>
      </w:r>
      <w:r>
        <w:rPr>
          <w:rFonts w:ascii="Book Antiqua" w:hAnsi="Book Antiqua" w:eastAsia="宋体" w:cs="宋体"/>
          <w:b/>
          <w:bCs/>
          <w:lang w:eastAsia="zh-CN"/>
        </w:rPr>
        <w:t>38</w:t>
      </w:r>
      <w:r>
        <w:rPr>
          <w:rFonts w:ascii="Book Antiqua" w:hAnsi="Book Antiqua" w:eastAsia="宋体" w:cs="宋体"/>
          <w:lang w:eastAsia="zh-CN"/>
        </w:rPr>
        <w:t>: 601-611 [PMID: 29374682 DOI: 10.21873/anticanres.12264]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112 </w:t>
      </w:r>
      <w:bookmarkStart w:id="51" w:name="OLE_LINK380"/>
      <w:bookmarkStart w:id="52" w:name="OLE_LINK381"/>
      <w:r>
        <w:rPr>
          <w:rFonts w:ascii="Book Antiqua" w:hAnsi="Book Antiqua" w:eastAsia="宋体" w:cs="宋体"/>
          <w:b/>
          <w:lang w:eastAsia="zh-CN"/>
        </w:rPr>
        <w:t>Clancy</w:t>
      </w:r>
      <w:r>
        <w:rPr>
          <w:rFonts w:hint="eastAsia" w:ascii="Book Antiqua" w:hAnsi="Book Antiqua" w:eastAsia="宋体" w:cs="宋体"/>
          <w:b/>
          <w:lang w:eastAsia="zh-CN"/>
        </w:rPr>
        <w:t xml:space="preserve"> TE</w:t>
      </w:r>
      <w:r>
        <w:rPr>
          <w:rFonts w:hint="eastAsia" w:ascii="Book Antiqua" w:hAnsi="Book Antiqua" w:eastAsia="宋体" w:cs="宋体"/>
          <w:lang w:eastAsia="zh-CN"/>
        </w:rPr>
        <w:t xml:space="preserve">, </w:t>
      </w:r>
      <w:r>
        <w:rPr>
          <w:rFonts w:ascii="Book Antiqua" w:hAnsi="Book Antiqua" w:eastAsia="宋体" w:cs="宋体"/>
          <w:lang w:eastAsia="zh-CN"/>
        </w:rPr>
        <w:t>Chan</w:t>
      </w:r>
      <w:r>
        <w:rPr>
          <w:rFonts w:hint="eastAsia" w:ascii="Book Antiqua" w:hAnsi="Book Antiqua" w:eastAsia="宋体" w:cs="宋体"/>
          <w:lang w:eastAsia="zh-CN"/>
        </w:rPr>
        <w:t xml:space="preserve"> JA.</w:t>
      </w:r>
      <w:r>
        <w:rPr>
          <w:rFonts w:ascii="Book Antiqua" w:hAnsi="Book Antiqua" w:eastAsia="宋体" w:cs="宋体"/>
          <w:lang w:eastAsia="zh-CN"/>
        </w:rPr>
        <w:t xml:space="preserve"> </w:t>
      </w:r>
      <w:r>
        <w:rPr>
          <w:rFonts w:ascii="Book Antiqua" w:hAnsi="Book Antiqua" w:eastAsia="宋体" w:cs="宋体"/>
          <w:bCs/>
          <w:lang w:eastAsia="zh-CN"/>
        </w:rPr>
        <w:t>Well-differentiated neuroendocrine tumors of the appendix</w:t>
      </w:r>
      <w:r>
        <w:rPr>
          <w:rFonts w:hint="eastAsia" w:ascii="Book Antiqua" w:hAnsi="Book Antiqua" w:eastAsia="宋体" w:cs="宋体"/>
          <w:b/>
          <w:bCs/>
          <w:lang w:eastAsia="zh-CN"/>
        </w:rPr>
        <w:t>-</w:t>
      </w:r>
      <w:r>
        <w:rPr>
          <w:rFonts w:hint="eastAsia" w:ascii="Book Antiqua" w:hAnsi="Book Antiqua" w:eastAsia="宋体" w:cs="宋体"/>
          <w:bCs/>
          <w:lang w:eastAsia="zh-CN"/>
        </w:rPr>
        <w:t>UpToDate</w:t>
      </w:r>
      <w:r>
        <w:rPr>
          <w:rFonts w:ascii="Book Antiqua" w:hAnsi="Book Antiqua" w:eastAsia="宋体" w:cs="宋体"/>
          <w:bCs/>
          <w:lang w:eastAsia="zh-CN"/>
        </w:rPr>
        <w:t xml:space="preserve"> </w:t>
      </w:r>
      <w:bookmarkEnd w:id="51"/>
      <w:bookmarkEnd w:id="52"/>
      <w:r>
        <w:rPr>
          <w:rFonts w:hint="eastAsia" w:ascii="Book Antiqua" w:hAnsi="Book Antiqua" w:eastAsia="宋体" w:cs="宋体"/>
          <w:bCs/>
          <w:lang w:eastAsia="zh-CN"/>
        </w:rPr>
        <w:t>[</w:t>
      </w:r>
      <w:r>
        <w:rPr>
          <w:rFonts w:ascii="Book Antiqua" w:hAnsi="Book Antiqua" w:eastAsia="宋体" w:cs="宋体"/>
          <w:bCs/>
          <w:lang w:eastAsia="zh-CN"/>
        </w:rPr>
        <w:t xml:space="preserve">cited </w:t>
      </w:r>
      <w:r>
        <w:rPr>
          <w:rFonts w:hint="eastAsia" w:ascii="Book Antiqua" w:hAnsi="Book Antiqua" w:eastAsia="宋体" w:cs="宋体"/>
          <w:bCs/>
          <w:lang w:eastAsia="zh-CN"/>
        </w:rPr>
        <w:t xml:space="preserve">2022 </w:t>
      </w:r>
      <w:r>
        <w:rPr>
          <w:rFonts w:ascii="Book Antiqua" w:hAnsi="Book Antiqua" w:eastAsia="宋体" w:cs="宋体"/>
          <w:bCs/>
          <w:lang w:eastAsia="zh-CN"/>
        </w:rPr>
        <w:t>Feb 1</w:t>
      </w:r>
      <w:r>
        <w:rPr>
          <w:rFonts w:hint="eastAsia" w:ascii="Book Antiqua" w:hAnsi="Book Antiqua" w:eastAsia="宋体" w:cs="宋体"/>
          <w:lang w:eastAsia="zh-CN"/>
        </w:rPr>
        <w:t xml:space="preserve">]. </w:t>
      </w:r>
      <w:r>
        <w:rPr>
          <w:rFonts w:ascii="Book Antiqua" w:hAnsi="Book Antiqua" w:eastAsia="宋体"/>
          <w:bCs/>
          <w:color w:val="000000"/>
        </w:rPr>
        <w:t xml:space="preserve">Available from: </w:t>
      </w:r>
      <w:r>
        <w:rPr>
          <w:rFonts w:ascii="Book Antiqua" w:hAnsi="Book Antiqua" w:eastAsia="宋体" w:cs="宋体"/>
          <w:lang w:eastAsia="zh-CN"/>
        </w:rPr>
        <w:t>https://www.uptodate.com/contents/well-differentiated-neuroendocrine-tumors-of-the-appendix?search=appendiceal%20NETS%20&amp;source=search_result&amp;selectedTitle=1~19&amp;usage_type=default&amp;display_rank=1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113 </w:t>
      </w:r>
      <w:r>
        <w:rPr>
          <w:rFonts w:ascii="Book Antiqua" w:hAnsi="Book Antiqua" w:eastAsia="宋体" w:cs="宋体"/>
          <w:b/>
          <w:bCs/>
          <w:lang w:eastAsia="zh-CN"/>
        </w:rPr>
        <w:t>Mosquera C</w:t>
      </w:r>
      <w:r>
        <w:rPr>
          <w:rFonts w:ascii="Book Antiqua" w:hAnsi="Book Antiqua" w:eastAsia="宋体" w:cs="宋体"/>
          <w:lang w:eastAsia="zh-CN"/>
        </w:rPr>
        <w:t xml:space="preserve">, Fitzgerald TL, Vora H, Grzybowski M. Novel nomogram combining depth of invasion and size can accurately predict the risk for regional nodal metastases for appendiceal neuroendocrine tumors (A-NET). </w:t>
      </w:r>
      <w:r>
        <w:rPr>
          <w:rFonts w:ascii="Book Antiqua" w:hAnsi="Book Antiqua" w:eastAsia="宋体" w:cs="宋体"/>
          <w:i/>
          <w:iCs/>
          <w:lang w:eastAsia="zh-CN"/>
        </w:rPr>
        <w:t>J Surg Oncol</w:t>
      </w:r>
      <w:r>
        <w:rPr>
          <w:rFonts w:ascii="Book Antiqua" w:hAnsi="Book Antiqua" w:eastAsia="宋体" w:cs="宋体"/>
          <w:lang w:eastAsia="zh-CN"/>
        </w:rPr>
        <w:t xml:space="preserve"> 2017; </w:t>
      </w:r>
      <w:r>
        <w:rPr>
          <w:rFonts w:ascii="Book Antiqua" w:hAnsi="Book Antiqua" w:eastAsia="宋体" w:cs="宋体"/>
          <w:b/>
          <w:bCs/>
          <w:lang w:eastAsia="zh-CN"/>
        </w:rPr>
        <w:t>116</w:t>
      </w:r>
      <w:r>
        <w:rPr>
          <w:rFonts w:ascii="Book Antiqua" w:hAnsi="Book Antiqua" w:eastAsia="宋体" w:cs="宋体"/>
          <w:lang w:eastAsia="zh-CN"/>
        </w:rPr>
        <w:t>: 651-657 [PMID: 28608390 DOI: 10.1002/jso.24714]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114 </w:t>
      </w:r>
      <w:r>
        <w:rPr>
          <w:rFonts w:ascii="Book Antiqua" w:hAnsi="Book Antiqua" w:eastAsia="宋体" w:cs="宋体"/>
          <w:b/>
          <w:bCs/>
          <w:lang w:eastAsia="zh-CN"/>
        </w:rPr>
        <w:t>Brighi N</w:t>
      </w:r>
      <w:r>
        <w:rPr>
          <w:rFonts w:ascii="Book Antiqua" w:hAnsi="Book Antiqua" w:eastAsia="宋体" w:cs="宋体"/>
          <w:lang w:eastAsia="zh-CN"/>
        </w:rPr>
        <w:t xml:space="preserve">, La Rosa S, Rossi G, Grillo F, Pusceddu S, Rinzivillo M, Spada F, Tafuto S, Massironi S, Faggiano A, Antonuzzo L, Santini D, Sessa F, Maragliano R, Gelsomino F, Albertelli M, Vernieri C, Panzuto F, Fazio N, De Divitiis C, Lamberti G, Colao A, Fave GD, Campana D. Morphological Factors Related to Nodal Metastases in Neuroendocrine Tumors of the Appendix: A Multicentric Retrospective Study. </w:t>
      </w:r>
      <w:r>
        <w:rPr>
          <w:rFonts w:ascii="Book Antiqua" w:hAnsi="Book Antiqua" w:eastAsia="宋体" w:cs="宋体"/>
          <w:i/>
          <w:iCs/>
          <w:lang w:eastAsia="zh-CN"/>
        </w:rPr>
        <w:t>Ann Surg</w:t>
      </w:r>
      <w:r>
        <w:rPr>
          <w:rFonts w:ascii="Book Antiqua" w:hAnsi="Book Antiqua" w:eastAsia="宋体" w:cs="宋体"/>
          <w:lang w:eastAsia="zh-CN"/>
        </w:rPr>
        <w:t xml:space="preserve"> 2020; </w:t>
      </w:r>
      <w:r>
        <w:rPr>
          <w:rFonts w:ascii="Book Antiqua" w:hAnsi="Book Antiqua" w:eastAsia="宋体" w:cs="宋体"/>
          <w:b/>
          <w:bCs/>
          <w:lang w:eastAsia="zh-CN"/>
        </w:rPr>
        <w:t>271</w:t>
      </w:r>
      <w:r>
        <w:rPr>
          <w:rFonts w:ascii="Book Antiqua" w:hAnsi="Book Antiqua" w:eastAsia="宋体" w:cs="宋体"/>
          <w:lang w:eastAsia="zh-CN"/>
        </w:rPr>
        <w:t>: 527-533 [PMID: 29995678 DOI: 10.1097/SLA.0000000000002939]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115 </w:t>
      </w:r>
      <w:r>
        <w:rPr>
          <w:rFonts w:ascii="Book Antiqua" w:hAnsi="Book Antiqua" w:eastAsia="宋体" w:cs="宋体"/>
          <w:b/>
          <w:bCs/>
          <w:lang w:eastAsia="zh-CN"/>
        </w:rPr>
        <w:t>Nussbaum DP</w:t>
      </w:r>
      <w:r>
        <w:rPr>
          <w:rFonts w:ascii="Book Antiqua" w:hAnsi="Book Antiqua" w:eastAsia="宋体" w:cs="宋体"/>
          <w:lang w:eastAsia="zh-CN"/>
        </w:rPr>
        <w:t xml:space="preserve">, Speicher PJ, Gulack BC, Keenan JE, Ganapathi AM, Englum BR, Tyler DS, Blazer DG 3rd. Management of 1- to 2-cm Carcinoid Tumors of the Appendix: Using the National Cancer Data Base to Address Controversies in General Surgery. </w:t>
      </w:r>
      <w:r>
        <w:rPr>
          <w:rFonts w:ascii="Book Antiqua" w:hAnsi="Book Antiqua" w:eastAsia="宋体" w:cs="宋体"/>
          <w:i/>
          <w:iCs/>
          <w:lang w:eastAsia="zh-CN"/>
        </w:rPr>
        <w:t>J Am Coll Surg</w:t>
      </w:r>
      <w:r>
        <w:rPr>
          <w:rFonts w:ascii="Book Antiqua" w:hAnsi="Book Antiqua" w:eastAsia="宋体" w:cs="宋体"/>
          <w:lang w:eastAsia="zh-CN"/>
        </w:rPr>
        <w:t xml:space="preserve"> 2015; </w:t>
      </w:r>
      <w:r>
        <w:rPr>
          <w:rFonts w:ascii="Book Antiqua" w:hAnsi="Book Antiqua" w:eastAsia="宋体" w:cs="宋体"/>
          <w:b/>
          <w:bCs/>
          <w:lang w:eastAsia="zh-CN"/>
        </w:rPr>
        <w:t>220</w:t>
      </w:r>
      <w:r>
        <w:rPr>
          <w:rFonts w:ascii="Book Antiqua" w:hAnsi="Book Antiqua" w:eastAsia="宋体" w:cs="宋体"/>
          <w:lang w:eastAsia="zh-CN"/>
        </w:rPr>
        <w:t>: 894-903 [PMID: 25840530 DOI: 10.1016/j.jamcollsurg.2015.01.005]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116 </w:t>
      </w:r>
      <w:r>
        <w:rPr>
          <w:rFonts w:ascii="Book Antiqua" w:hAnsi="Book Antiqua" w:eastAsia="宋体" w:cs="宋体"/>
          <w:b/>
          <w:bCs/>
          <w:lang w:eastAsia="zh-CN"/>
        </w:rPr>
        <w:t>Byrne RM</w:t>
      </w:r>
      <w:r>
        <w:rPr>
          <w:rFonts w:ascii="Book Antiqua" w:hAnsi="Book Antiqua" w:eastAsia="宋体" w:cs="宋体"/>
          <w:lang w:eastAsia="zh-CN"/>
        </w:rPr>
        <w:t xml:space="preserve">, Pommier RF. Small Bowel and Colorectal Carcinoids. </w:t>
      </w:r>
      <w:r>
        <w:rPr>
          <w:rFonts w:ascii="Book Antiqua" w:hAnsi="Book Antiqua" w:eastAsia="宋体" w:cs="宋体"/>
          <w:i/>
          <w:iCs/>
          <w:lang w:eastAsia="zh-CN"/>
        </w:rPr>
        <w:t>Clin Colon Rectal Surg</w:t>
      </w:r>
      <w:r>
        <w:rPr>
          <w:rFonts w:ascii="Book Antiqua" w:hAnsi="Book Antiqua" w:eastAsia="宋体" w:cs="宋体"/>
          <w:lang w:eastAsia="zh-CN"/>
        </w:rPr>
        <w:t xml:space="preserve"> 2018; </w:t>
      </w:r>
      <w:r>
        <w:rPr>
          <w:rFonts w:ascii="Book Antiqua" w:hAnsi="Book Antiqua" w:eastAsia="宋体" w:cs="宋体"/>
          <w:b/>
          <w:bCs/>
          <w:lang w:eastAsia="zh-CN"/>
        </w:rPr>
        <w:t>31</w:t>
      </w:r>
      <w:r>
        <w:rPr>
          <w:rFonts w:ascii="Book Antiqua" w:hAnsi="Book Antiqua" w:eastAsia="宋体" w:cs="宋体"/>
          <w:lang w:eastAsia="zh-CN"/>
        </w:rPr>
        <w:t>: 301-308 [PMID: 30186052 DOI: 10.1055/s-0038-1642054]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117 </w:t>
      </w:r>
      <w:r>
        <w:rPr>
          <w:rFonts w:ascii="Book Antiqua" w:hAnsi="Book Antiqua" w:eastAsia="宋体" w:cs="宋体"/>
          <w:b/>
          <w:bCs/>
          <w:lang w:eastAsia="zh-CN"/>
        </w:rPr>
        <w:t>Ahmed M</w:t>
      </w:r>
      <w:r>
        <w:rPr>
          <w:rFonts w:ascii="Book Antiqua" w:hAnsi="Book Antiqua" w:eastAsia="宋体" w:cs="宋体"/>
          <w:lang w:eastAsia="zh-CN"/>
        </w:rPr>
        <w:t xml:space="preserve">. Gastrointestinal neuroendocrine tumors in 2020. </w:t>
      </w:r>
      <w:r>
        <w:rPr>
          <w:rFonts w:ascii="Book Antiqua" w:hAnsi="Book Antiqua" w:eastAsia="宋体" w:cs="宋体"/>
          <w:i/>
          <w:iCs/>
          <w:lang w:eastAsia="zh-CN"/>
        </w:rPr>
        <w:t>World J Gastrointest Oncol</w:t>
      </w:r>
      <w:r>
        <w:rPr>
          <w:rFonts w:ascii="Book Antiqua" w:hAnsi="Book Antiqua" w:eastAsia="宋体" w:cs="宋体"/>
          <w:lang w:eastAsia="zh-CN"/>
        </w:rPr>
        <w:t xml:space="preserve"> 2020; </w:t>
      </w:r>
      <w:r>
        <w:rPr>
          <w:rFonts w:ascii="Book Antiqua" w:hAnsi="Book Antiqua" w:eastAsia="宋体" w:cs="宋体"/>
          <w:b/>
          <w:bCs/>
          <w:lang w:eastAsia="zh-CN"/>
        </w:rPr>
        <w:t>12</w:t>
      </w:r>
      <w:r>
        <w:rPr>
          <w:rFonts w:ascii="Book Antiqua" w:hAnsi="Book Antiqua" w:eastAsia="宋体" w:cs="宋体"/>
          <w:lang w:eastAsia="zh-CN"/>
        </w:rPr>
        <w:t>: 791-807 [PMID: 32879660 DOI: 10.4251/wjgo.v12.i8.791]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118 </w:t>
      </w:r>
      <w:r>
        <w:rPr>
          <w:rFonts w:ascii="Book Antiqua" w:hAnsi="Book Antiqua" w:eastAsia="宋体" w:cs="宋体"/>
          <w:b/>
          <w:bCs/>
          <w:lang w:eastAsia="zh-CN"/>
        </w:rPr>
        <w:t>Anthony LB</w:t>
      </w:r>
      <w:r>
        <w:rPr>
          <w:rFonts w:ascii="Book Antiqua" w:hAnsi="Book Antiqua" w:eastAsia="宋体" w:cs="宋体"/>
          <w:lang w:eastAsia="zh-CN"/>
        </w:rPr>
        <w:t xml:space="preserve">, Strosberg JR, Klimstra DS, Maples WJ, O'Dorisio TM, Warner RR, Wiseman GA, Benson AB 3rd, Pommier RF; North American Neuroendocrine Tumor Society (NANETS). The NANETS consensus guidelines for the diagnosis and management of gastrointestinal neuroendocrine tumors (nets): well-differentiated nets of the distal colon and rectum. </w:t>
      </w:r>
      <w:r>
        <w:rPr>
          <w:rFonts w:ascii="Book Antiqua" w:hAnsi="Book Antiqua" w:eastAsia="宋体" w:cs="宋体"/>
          <w:i/>
          <w:iCs/>
          <w:lang w:eastAsia="zh-CN"/>
        </w:rPr>
        <w:t>Pancreas</w:t>
      </w:r>
      <w:r>
        <w:rPr>
          <w:rFonts w:ascii="Book Antiqua" w:hAnsi="Book Antiqua" w:eastAsia="宋体" w:cs="宋体"/>
          <w:lang w:eastAsia="zh-CN"/>
        </w:rPr>
        <w:t xml:space="preserve"> 2010; </w:t>
      </w:r>
      <w:r>
        <w:rPr>
          <w:rFonts w:ascii="Book Antiqua" w:hAnsi="Book Antiqua" w:eastAsia="宋体" w:cs="宋体"/>
          <w:b/>
          <w:bCs/>
          <w:lang w:eastAsia="zh-CN"/>
        </w:rPr>
        <w:t>39</w:t>
      </w:r>
      <w:r>
        <w:rPr>
          <w:rFonts w:ascii="Book Antiqua" w:hAnsi="Book Antiqua" w:eastAsia="宋体" w:cs="宋体"/>
          <w:lang w:eastAsia="zh-CN"/>
        </w:rPr>
        <w:t>: 767-774 [PMID: 20664474 DOI: 10.1097/MPA.0b013e3181ec1261]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119 </w:t>
      </w:r>
      <w:r>
        <w:rPr>
          <w:rFonts w:ascii="Book Antiqua" w:hAnsi="Book Antiqua" w:eastAsia="宋体" w:cs="宋体"/>
          <w:b/>
          <w:bCs/>
          <w:lang w:eastAsia="zh-CN"/>
        </w:rPr>
        <w:t>Xu R</w:t>
      </w:r>
      <w:r>
        <w:rPr>
          <w:rFonts w:ascii="Book Antiqua" w:hAnsi="Book Antiqua" w:eastAsia="宋体" w:cs="宋体"/>
          <w:lang w:eastAsia="zh-CN"/>
        </w:rPr>
        <w:t xml:space="preserve">, Zhou B, Hu P, Xue B, Gu D, Li X, Tang Q. Development and validation of prognostic nomograms for patients with colon neuroendocrine neoplasms. </w:t>
      </w:r>
      <w:r>
        <w:rPr>
          <w:rFonts w:ascii="Book Antiqua" w:hAnsi="Book Antiqua" w:eastAsia="宋体" w:cs="宋体"/>
          <w:i/>
          <w:iCs/>
          <w:lang w:eastAsia="zh-CN"/>
        </w:rPr>
        <w:t>World J Surg Oncol</w:t>
      </w:r>
      <w:r>
        <w:rPr>
          <w:rFonts w:ascii="Book Antiqua" w:hAnsi="Book Antiqua" w:eastAsia="宋体" w:cs="宋体"/>
          <w:lang w:eastAsia="zh-CN"/>
        </w:rPr>
        <w:t xml:space="preserve"> 2021; </w:t>
      </w:r>
      <w:r>
        <w:rPr>
          <w:rFonts w:ascii="Book Antiqua" w:hAnsi="Book Antiqua" w:eastAsia="宋体" w:cs="宋体"/>
          <w:b/>
          <w:bCs/>
          <w:lang w:eastAsia="zh-CN"/>
        </w:rPr>
        <w:t>19</w:t>
      </w:r>
      <w:r>
        <w:rPr>
          <w:rFonts w:ascii="Book Antiqua" w:hAnsi="Book Antiqua" w:eastAsia="宋体" w:cs="宋体"/>
          <w:lang w:eastAsia="zh-CN"/>
        </w:rPr>
        <w:t>: 233 [PMID: 34364382 DOI: 10.1186/s12957-021-02338-8]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120 </w:t>
      </w:r>
      <w:r>
        <w:rPr>
          <w:rFonts w:ascii="Book Antiqua" w:hAnsi="Book Antiqua" w:eastAsia="宋体" w:cs="宋体"/>
          <w:b/>
          <w:bCs/>
          <w:lang w:eastAsia="zh-CN"/>
        </w:rPr>
        <w:t>Chen T</w:t>
      </w:r>
      <w:r>
        <w:rPr>
          <w:rFonts w:ascii="Book Antiqua" w:hAnsi="Book Antiqua" w:eastAsia="宋体" w:cs="宋体"/>
          <w:bCs/>
          <w:lang w:eastAsia="zh-CN"/>
        </w:rPr>
        <w:t xml:space="preserve">, Yao LQ, Xu MD, Zhang YQ, Chen WF, Shi Q, Cai SL, Chen YY, Xie YH, Ji Y, Chen SY, Zhou PH, Zhong YS. Efficacy and Safety of Endoscopic Submucosal Dissection for Colorectal Carcinoids. </w:t>
      </w:r>
      <w:r>
        <w:rPr>
          <w:rFonts w:ascii="Book Antiqua" w:hAnsi="Book Antiqua" w:eastAsia="宋体" w:cs="宋体"/>
          <w:bCs/>
          <w:i/>
          <w:lang w:eastAsia="zh-CN"/>
        </w:rPr>
        <w:t>Clin Gastroenterol Hepatol</w:t>
      </w:r>
      <w:r>
        <w:rPr>
          <w:rFonts w:ascii="Book Antiqua" w:hAnsi="Book Antiqua" w:eastAsia="宋体" w:cs="宋体"/>
          <w:bCs/>
          <w:lang w:eastAsia="zh-CN"/>
        </w:rPr>
        <w:t xml:space="preserve"> 2016;</w:t>
      </w:r>
      <w:r>
        <w:rPr>
          <w:rFonts w:hint="eastAsia" w:ascii="Book Antiqua" w:hAnsi="Book Antiqua" w:eastAsia="宋体" w:cs="宋体"/>
          <w:bCs/>
          <w:lang w:eastAsia="zh-CN"/>
        </w:rPr>
        <w:t xml:space="preserve"> </w:t>
      </w:r>
      <w:r>
        <w:rPr>
          <w:rFonts w:ascii="Book Antiqua" w:hAnsi="Book Antiqua" w:eastAsia="宋体" w:cs="宋体"/>
          <w:b/>
          <w:bCs/>
          <w:lang w:eastAsia="zh-CN"/>
        </w:rPr>
        <w:t>14</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575-</w:t>
      </w:r>
      <w:r>
        <w:rPr>
          <w:rFonts w:hint="eastAsia" w:ascii="Book Antiqua" w:hAnsi="Book Antiqua" w:eastAsia="宋体" w:cs="宋体"/>
          <w:bCs/>
          <w:lang w:eastAsia="zh-CN"/>
        </w:rPr>
        <w:t>5</w:t>
      </w:r>
      <w:r>
        <w:rPr>
          <w:rFonts w:ascii="Book Antiqua" w:hAnsi="Book Antiqua" w:eastAsia="宋体" w:cs="宋体"/>
          <w:bCs/>
          <w:lang w:eastAsia="zh-CN"/>
        </w:rPr>
        <w:t xml:space="preserve">81 </w:t>
      </w:r>
      <w:r>
        <w:rPr>
          <w:rFonts w:hint="eastAsia" w:ascii="Book Antiqua" w:hAnsi="Book Antiqua" w:eastAsia="宋体" w:cs="宋体"/>
          <w:bCs/>
          <w:lang w:eastAsia="zh-CN"/>
        </w:rPr>
        <w:t>[</w:t>
      </w:r>
      <w:r>
        <w:rPr>
          <w:rFonts w:ascii="Book Antiqua" w:hAnsi="Book Antiqua" w:eastAsia="宋体" w:cs="宋体"/>
          <w:bCs/>
          <w:lang w:eastAsia="zh-CN"/>
        </w:rPr>
        <w:t>PMID: 26256463</w:t>
      </w:r>
      <w:r>
        <w:rPr>
          <w:rFonts w:hint="eastAsia" w:ascii="Book Antiqua" w:hAnsi="Book Antiqua" w:eastAsia="宋体" w:cs="宋体"/>
          <w:bCs/>
          <w:lang w:eastAsia="zh-CN"/>
        </w:rPr>
        <w:t xml:space="preserve"> DOI</w:t>
      </w:r>
      <w:r>
        <w:rPr>
          <w:rFonts w:ascii="Book Antiqua" w:hAnsi="Book Antiqua" w:eastAsia="宋体" w:cs="宋体"/>
          <w:bCs/>
          <w:lang w:eastAsia="zh-CN"/>
        </w:rPr>
        <w:t>: 10.1016/j.cgh.2015.07.048</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121 </w:t>
      </w:r>
      <w:r>
        <w:rPr>
          <w:rFonts w:ascii="Book Antiqua" w:hAnsi="Book Antiqua" w:eastAsia="宋体" w:cs="宋体"/>
          <w:b/>
          <w:bCs/>
          <w:lang w:eastAsia="zh-CN"/>
        </w:rPr>
        <w:t>Fields AC</w:t>
      </w:r>
      <w:r>
        <w:rPr>
          <w:rFonts w:ascii="Book Antiqua" w:hAnsi="Book Antiqua" w:eastAsia="宋体" w:cs="宋体"/>
          <w:lang w:eastAsia="zh-CN"/>
        </w:rPr>
        <w:t xml:space="preserve">, Lu P, Vierra BM, Hu F, Irani J, Bleday R, Goldberg JE, Nash GM, Melnitchouk N. Survival in Patients with High-Grade Colorectal Neuroendocrine Carcinomas: The Role of Surgery and Chemotherapy. </w:t>
      </w:r>
      <w:r>
        <w:rPr>
          <w:rFonts w:ascii="Book Antiqua" w:hAnsi="Book Antiqua" w:eastAsia="宋体" w:cs="宋体"/>
          <w:i/>
          <w:iCs/>
          <w:lang w:eastAsia="zh-CN"/>
        </w:rPr>
        <w:t>Ann Surg Oncol</w:t>
      </w:r>
      <w:r>
        <w:rPr>
          <w:rFonts w:ascii="Book Antiqua" w:hAnsi="Book Antiqua" w:eastAsia="宋体" w:cs="宋体"/>
          <w:lang w:eastAsia="zh-CN"/>
        </w:rPr>
        <w:t xml:space="preserve"> 2019; </w:t>
      </w:r>
      <w:r>
        <w:rPr>
          <w:rFonts w:ascii="Book Antiqua" w:hAnsi="Book Antiqua" w:eastAsia="宋体" w:cs="宋体"/>
          <w:b/>
          <w:bCs/>
          <w:lang w:eastAsia="zh-CN"/>
        </w:rPr>
        <w:t>26</w:t>
      </w:r>
      <w:r>
        <w:rPr>
          <w:rFonts w:ascii="Book Antiqua" w:hAnsi="Book Antiqua" w:eastAsia="宋体" w:cs="宋体"/>
          <w:lang w:eastAsia="zh-CN"/>
        </w:rPr>
        <w:t>: 1127-1133 [PMID: 30706232 DOI: 10.1245/s10434-019-07203-3]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122 </w:t>
      </w:r>
      <w:r>
        <w:rPr>
          <w:rFonts w:ascii="Book Antiqua" w:hAnsi="Book Antiqua" w:eastAsia="宋体" w:cs="宋体"/>
          <w:b/>
          <w:bCs/>
          <w:lang w:eastAsia="zh-CN"/>
        </w:rPr>
        <w:t>Balasubramanyam S</w:t>
      </w:r>
      <w:r>
        <w:rPr>
          <w:rFonts w:ascii="Book Antiqua" w:hAnsi="Book Antiqua" w:eastAsia="宋体" w:cs="宋体"/>
          <w:lang w:eastAsia="zh-CN"/>
        </w:rPr>
        <w:t xml:space="preserve">, O'Donnell BP, Musher BL, Jhaveri PM, Ludwig MS. Evaluating Treatment Patterns for Small Cell Carcinoma of the Colon Using the National Cancer Database (NCDB). </w:t>
      </w:r>
      <w:r>
        <w:rPr>
          <w:rFonts w:ascii="Book Antiqua" w:hAnsi="Book Antiqua" w:eastAsia="宋体" w:cs="宋体"/>
          <w:i/>
          <w:iCs/>
          <w:lang w:eastAsia="zh-CN"/>
        </w:rPr>
        <w:t>J Gastrointest Cancer</w:t>
      </w:r>
      <w:r>
        <w:rPr>
          <w:rFonts w:ascii="Book Antiqua" w:hAnsi="Book Antiqua" w:eastAsia="宋体" w:cs="宋体"/>
          <w:lang w:eastAsia="zh-CN"/>
        </w:rPr>
        <w:t xml:space="preserve"> 2019; </w:t>
      </w:r>
      <w:r>
        <w:rPr>
          <w:rFonts w:ascii="Book Antiqua" w:hAnsi="Book Antiqua" w:eastAsia="宋体" w:cs="宋体"/>
          <w:b/>
          <w:bCs/>
          <w:lang w:eastAsia="zh-CN"/>
        </w:rPr>
        <w:t>50</w:t>
      </w:r>
      <w:r>
        <w:rPr>
          <w:rFonts w:ascii="Book Antiqua" w:hAnsi="Book Antiqua" w:eastAsia="宋体" w:cs="宋体"/>
          <w:lang w:eastAsia="zh-CN"/>
        </w:rPr>
        <w:t>: 244-253 [PMID: 29354876 DOI: 10.1007/s12029-018-0054-y]</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123 </w:t>
      </w:r>
      <w:r>
        <w:rPr>
          <w:rFonts w:ascii="Book Antiqua" w:hAnsi="Book Antiqua" w:eastAsia="宋体" w:cs="宋体"/>
          <w:b/>
          <w:bCs/>
          <w:lang w:eastAsia="zh-CN"/>
        </w:rPr>
        <w:t>Smith JD</w:t>
      </w:r>
      <w:r>
        <w:rPr>
          <w:rFonts w:ascii="Book Antiqua" w:hAnsi="Book Antiqua" w:eastAsia="宋体" w:cs="宋体"/>
          <w:lang w:eastAsia="zh-CN"/>
        </w:rPr>
        <w:t xml:space="preserve">, Reidy DL, Goodman KA, Shia J, Nash GM. A retrospective review of 126 high-grade neuroendocrine carcinomas of the colon and rectum. </w:t>
      </w:r>
      <w:r>
        <w:rPr>
          <w:rFonts w:ascii="Book Antiqua" w:hAnsi="Book Antiqua" w:eastAsia="宋体" w:cs="宋体"/>
          <w:i/>
          <w:iCs/>
          <w:lang w:eastAsia="zh-CN"/>
        </w:rPr>
        <w:t>Ann Surg Oncol</w:t>
      </w:r>
      <w:r>
        <w:rPr>
          <w:rFonts w:ascii="Book Antiqua" w:hAnsi="Book Antiqua" w:eastAsia="宋体" w:cs="宋体"/>
          <w:lang w:eastAsia="zh-CN"/>
        </w:rPr>
        <w:t xml:space="preserve"> 2014; </w:t>
      </w:r>
      <w:r>
        <w:rPr>
          <w:rFonts w:ascii="Book Antiqua" w:hAnsi="Book Antiqua" w:eastAsia="宋体" w:cs="宋体"/>
          <w:b/>
          <w:bCs/>
          <w:lang w:eastAsia="zh-CN"/>
        </w:rPr>
        <w:t>21</w:t>
      </w:r>
      <w:r>
        <w:rPr>
          <w:rFonts w:ascii="Book Antiqua" w:hAnsi="Book Antiqua" w:eastAsia="宋体" w:cs="宋体"/>
          <w:lang w:eastAsia="zh-CN"/>
        </w:rPr>
        <w:t>: 2956-2962 [PMID: 24763982 DOI: 10.1245/s10434-014-3725-3]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124 </w:t>
      </w:r>
      <w:r>
        <w:rPr>
          <w:rFonts w:ascii="Book Antiqua" w:hAnsi="Book Antiqua" w:eastAsia="宋体" w:cs="宋体"/>
          <w:b/>
          <w:bCs/>
          <w:lang w:eastAsia="zh-CN"/>
        </w:rPr>
        <w:t>Basuroy R</w:t>
      </w:r>
      <w:r>
        <w:rPr>
          <w:rFonts w:ascii="Book Antiqua" w:hAnsi="Book Antiqua" w:eastAsia="宋体" w:cs="宋体"/>
          <w:lang w:eastAsia="zh-CN"/>
        </w:rPr>
        <w:t xml:space="preserve">, Haji A, Ramage JK, Quaglia A, Srirajaskanthan R. Review article: the investigation and management of rectal neuroendocrine tumours. </w:t>
      </w:r>
      <w:r>
        <w:rPr>
          <w:rFonts w:ascii="Book Antiqua" w:hAnsi="Book Antiqua" w:eastAsia="宋体" w:cs="宋体"/>
          <w:i/>
          <w:iCs/>
          <w:lang w:eastAsia="zh-CN"/>
        </w:rPr>
        <w:t>Aliment Pharmacol Ther</w:t>
      </w:r>
      <w:r>
        <w:rPr>
          <w:rFonts w:ascii="Book Antiqua" w:hAnsi="Book Antiqua" w:eastAsia="宋体" w:cs="宋体"/>
          <w:lang w:eastAsia="zh-CN"/>
        </w:rPr>
        <w:t xml:space="preserve"> 2016; </w:t>
      </w:r>
      <w:r>
        <w:rPr>
          <w:rFonts w:ascii="Book Antiqua" w:hAnsi="Book Antiqua" w:eastAsia="宋体" w:cs="宋体"/>
          <w:b/>
          <w:bCs/>
          <w:lang w:eastAsia="zh-CN"/>
        </w:rPr>
        <w:t>44</w:t>
      </w:r>
      <w:r>
        <w:rPr>
          <w:rFonts w:ascii="Book Antiqua" w:hAnsi="Book Antiqua" w:eastAsia="宋体" w:cs="宋体"/>
          <w:lang w:eastAsia="zh-CN"/>
        </w:rPr>
        <w:t>: 332-345 [PMID: 27302838 DOI: 10.1111/apt.13697]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125 </w:t>
      </w:r>
      <w:r>
        <w:rPr>
          <w:rFonts w:ascii="Book Antiqua" w:hAnsi="Book Antiqua" w:eastAsia="宋体" w:cs="宋体"/>
          <w:b/>
          <w:bCs/>
          <w:lang w:eastAsia="zh-CN"/>
        </w:rPr>
        <w:t>Taghavi S</w:t>
      </w:r>
      <w:r>
        <w:rPr>
          <w:rFonts w:ascii="Book Antiqua" w:hAnsi="Book Antiqua" w:eastAsia="宋体" w:cs="宋体"/>
          <w:lang w:eastAsia="zh-CN"/>
        </w:rPr>
        <w:t xml:space="preserve">, Jayarajan SN, Powers BD, Davey A, Willis AI. Examining rectal carcinoids in the era of screening colonoscopy: a surveillance, epidemiology, and end results analysis. </w:t>
      </w:r>
      <w:r>
        <w:rPr>
          <w:rFonts w:ascii="Book Antiqua" w:hAnsi="Book Antiqua" w:eastAsia="宋体" w:cs="宋体"/>
          <w:i/>
          <w:iCs/>
          <w:lang w:eastAsia="zh-CN"/>
        </w:rPr>
        <w:t>Dis Colon Rectum</w:t>
      </w:r>
      <w:r>
        <w:rPr>
          <w:rFonts w:ascii="Book Antiqua" w:hAnsi="Book Antiqua" w:eastAsia="宋体" w:cs="宋体"/>
          <w:lang w:eastAsia="zh-CN"/>
        </w:rPr>
        <w:t xml:space="preserve"> 2013; </w:t>
      </w:r>
      <w:r>
        <w:rPr>
          <w:rFonts w:ascii="Book Antiqua" w:hAnsi="Book Antiqua" w:eastAsia="宋体" w:cs="宋体"/>
          <w:b/>
          <w:bCs/>
          <w:lang w:eastAsia="zh-CN"/>
        </w:rPr>
        <w:t>56</w:t>
      </w:r>
      <w:r>
        <w:rPr>
          <w:rFonts w:ascii="Book Antiqua" w:hAnsi="Book Antiqua" w:eastAsia="宋体" w:cs="宋体"/>
          <w:lang w:eastAsia="zh-CN"/>
        </w:rPr>
        <w:t>: 952-959 [PMID: 23838863 DOI: 10.1097/DCR.0b013e318291f512]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126 </w:t>
      </w:r>
      <w:r>
        <w:rPr>
          <w:rFonts w:ascii="Book Antiqua" w:hAnsi="Book Antiqua" w:eastAsia="宋体" w:cs="宋体"/>
          <w:b/>
          <w:bCs/>
          <w:lang w:eastAsia="zh-CN"/>
        </w:rPr>
        <w:t>Amorim LC</w:t>
      </w:r>
      <w:r>
        <w:rPr>
          <w:rFonts w:ascii="Book Antiqua" w:hAnsi="Book Antiqua" w:eastAsia="宋体" w:cs="宋体"/>
          <w:bCs/>
          <w:lang w:eastAsia="zh-CN"/>
        </w:rPr>
        <w:t xml:space="preserve">, Ferreira AR, Perez RO, Peixoto RD. Localized Well-Differentiated Rectal Neuroendocrine Tumors - Where Are We in 2021? </w:t>
      </w:r>
      <w:r>
        <w:rPr>
          <w:rFonts w:ascii="Book Antiqua" w:hAnsi="Book Antiqua" w:eastAsia="宋体" w:cs="宋体"/>
          <w:bCs/>
          <w:i/>
          <w:lang w:eastAsia="zh-CN"/>
        </w:rPr>
        <w:t>Clin Colorectal Cancer</w:t>
      </w:r>
      <w:r>
        <w:rPr>
          <w:rFonts w:ascii="Book Antiqua" w:hAnsi="Book Antiqua" w:eastAsia="宋体" w:cs="宋体"/>
          <w:bCs/>
          <w:lang w:eastAsia="zh-CN"/>
        </w:rPr>
        <w:t xml:space="preserve"> 2022;</w:t>
      </w:r>
      <w:r>
        <w:rPr>
          <w:rFonts w:hint="eastAsia" w:ascii="Book Antiqua" w:hAnsi="Book Antiqua" w:eastAsia="宋体" w:cs="宋体"/>
          <w:bCs/>
          <w:lang w:eastAsia="zh-CN"/>
        </w:rPr>
        <w:t xml:space="preserve"> </w:t>
      </w:r>
      <w:r>
        <w:rPr>
          <w:rFonts w:ascii="Book Antiqua" w:hAnsi="Book Antiqua" w:eastAsia="宋体" w:cs="宋体"/>
          <w:b/>
          <w:bCs/>
          <w:lang w:eastAsia="zh-CN"/>
        </w:rPr>
        <w:t>21</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e22-e27 </w:t>
      </w:r>
      <w:r>
        <w:rPr>
          <w:rFonts w:hint="eastAsia" w:ascii="Book Antiqua" w:hAnsi="Book Antiqua" w:eastAsia="宋体" w:cs="宋体"/>
          <w:bCs/>
          <w:lang w:eastAsia="zh-CN"/>
        </w:rPr>
        <w:t>[</w:t>
      </w:r>
      <w:r>
        <w:rPr>
          <w:rFonts w:ascii="Book Antiqua" w:hAnsi="Book Antiqua" w:eastAsia="宋体" w:cs="宋体"/>
          <w:bCs/>
          <w:lang w:eastAsia="zh-CN"/>
        </w:rPr>
        <w:t>PMID: 34838461</w:t>
      </w:r>
      <w:r>
        <w:rPr>
          <w:rFonts w:hint="eastAsia" w:ascii="Book Antiqua" w:hAnsi="Book Antiqua" w:eastAsia="宋体" w:cs="宋体"/>
          <w:bCs/>
          <w:lang w:eastAsia="zh-CN"/>
        </w:rPr>
        <w:t xml:space="preserve"> DOI</w:t>
      </w:r>
      <w:r>
        <w:rPr>
          <w:rFonts w:ascii="Book Antiqua" w:hAnsi="Book Antiqua" w:eastAsia="宋体" w:cs="宋体"/>
          <w:bCs/>
          <w:lang w:eastAsia="zh-CN"/>
        </w:rPr>
        <w:t>: 10.1016/j.clcc.2021.10.002</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127 </w:t>
      </w:r>
      <w:r>
        <w:rPr>
          <w:rFonts w:ascii="Book Antiqua" w:hAnsi="Book Antiqua" w:eastAsia="宋体" w:cs="宋体"/>
          <w:b/>
          <w:bCs/>
          <w:lang w:eastAsia="zh-CN"/>
        </w:rPr>
        <w:t>Weinstock B</w:t>
      </w:r>
      <w:r>
        <w:rPr>
          <w:rFonts w:ascii="Book Antiqua" w:hAnsi="Book Antiqua" w:eastAsia="宋体" w:cs="宋体"/>
          <w:lang w:eastAsia="zh-CN"/>
        </w:rPr>
        <w:t xml:space="preserve">, Ward SC, Harpaz N, Warner RR, Itzkowitz S, Kim MK. Clinical and prognostic features of rectal neuroendocrine tumors. </w:t>
      </w:r>
      <w:r>
        <w:rPr>
          <w:rFonts w:ascii="Book Antiqua" w:hAnsi="Book Antiqua" w:eastAsia="宋体" w:cs="宋体"/>
          <w:i/>
          <w:iCs/>
          <w:lang w:eastAsia="zh-CN"/>
        </w:rPr>
        <w:t>Neuroendocrinology</w:t>
      </w:r>
      <w:r>
        <w:rPr>
          <w:rFonts w:ascii="Book Antiqua" w:hAnsi="Book Antiqua" w:eastAsia="宋体" w:cs="宋体"/>
          <w:lang w:eastAsia="zh-CN"/>
        </w:rPr>
        <w:t xml:space="preserve"> 2013; </w:t>
      </w:r>
      <w:r>
        <w:rPr>
          <w:rFonts w:ascii="Book Antiqua" w:hAnsi="Book Antiqua" w:eastAsia="宋体" w:cs="宋体"/>
          <w:b/>
          <w:bCs/>
          <w:lang w:eastAsia="zh-CN"/>
        </w:rPr>
        <w:t>98</w:t>
      </w:r>
      <w:r>
        <w:rPr>
          <w:rFonts w:ascii="Book Antiqua" w:hAnsi="Book Antiqua" w:eastAsia="宋体" w:cs="宋体"/>
          <w:lang w:eastAsia="zh-CN"/>
        </w:rPr>
        <w:t>: 180-187 [PMID: 24080744 DOI: 10.1159/000355612]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128 </w:t>
      </w:r>
      <w:r>
        <w:rPr>
          <w:rFonts w:ascii="Book Antiqua" w:hAnsi="Book Antiqua" w:eastAsia="宋体" w:cs="宋体"/>
          <w:b/>
          <w:bCs/>
          <w:lang w:eastAsia="zh-CN"/>
        </w:rPr>
        <w:t>Gleeson FC</w:t>
      </w:r>
      <w:r>
        <w:rPr>
          <w:rFonts w:ascii="Book Antiqua" w:hAnsi="Book Antiqua" w:eastAsia="宋体" w:cs="宋体"/>
          <w:lang w:eastAsia="zh-CN"/>
        </w:rPr>
        <w:t xml:space="preserve">, Levy MJ, Dozois EJ, Larson DW, Wong Kee Song LM, Boardman LA. Endoscopically identified well-differentiated rectal carcinoid tumors: impact of tumor size on the natural history and outcomes. </w:t>
      </w:r>
      <w:r>
        <w:rPr>
          <w:rFonts w:ascii="Book Antiqua" w:hAnsi="Book Antiqua" w:eastAsia="宋体" w:cs="宋体"/>
          <w:i/>
          <w:iCs/>
          <w:lang w:eastAsia="zh-CN"/>
        </w:rPr>
        <w:t>Gastrointest Endosc</w:t>
      </w:r>
      <w:r>
        <w:rPr>
          <w:rFonts w:ascii="Book Antiqua" w:hAnsi="Book Antiqua" w:eastAsia="宋体" w:cs="宋体"/>
          <w:lang w:eastAsia="zh-CN"/>
        </w:rPr>
        <w:t xml:space="preserve"> 2014; </w:t>
      </w:r>
      <w:r>
        <w:rPr>
          <w:rFonts w:ascii="Book Antiqua" w:hAnsi="Book Antiqua" w:eastAsia="宋体" w:cs="宋体"/>
          <w:b/>
          <w:bCs/>
          <w:lang w:eastAsia="zh-CN"/>
        </w:rPr>
        <w:t>80</w:t>
      </w:r>
      <w:r>
        <w:rPr>
          <w:rFonts w:ascii="Book Antiqua" w:hAnsi="Book Antiqua" w:eastAsia="宋体" w:cs="宋体"/>
          <w:lang w:eastAsia="zh-CN"/>
        </w:rPr>
        <w:t>: 144-151 [PMID: 24462168 DOI: 10.1016/j.gie.2013.11.031]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129 </w:t>
      </w:r>
      <w:r>
        <w:rPr>
          <w:rFonts w:ascii="Book Antiqua" w:hAnsi="Book Antiqua" w:eastAsia="宋体" w:cs="宋体"/>
          <w:b/>
          <w:bCs/>
          <w:lang w:eastAsia="zh-CN"/>
        </w:rPr>
        <w:t>Ngamruengphong S</w:t>
      </w:r>
      <w:r>
        <w:rPr>
          <w:rFonts w:ascii="Book Antiqua" w:hAnsi="Book Antiqua" w:eastAsia="宋体" w:cs="宋体"/>
          <w:lang w:eastAsia="zh-CN"/>
        </w:rPr>
        <w:t xml:space="preserve">, Kamal A, Akshintala V, Hajiyeva G, Hanada Y, Chen YI, Sanaei O, Fluxa D, Haito Chavez Y, Kumbhari V, Singh VK, Lennon AM, Canto MI, Khashab MA. Prevalence of metastasis and survival of 788 patients with T1 rectal carcinoid tumors. </w:t>
      </w:r>
      <w:r>
        <w:rPr>
          <w:rFonts w:ascii="Book Antiqua" w:hAnsi="Book Antiqua" w:eastAsia="宋体" w:cs="宋体"/>
          <w:i/>
          <w:iCs/>
          <w:lang w:eastAsia="zh-CN"/>
        </w:rPr>
        <w:t>Gastrointest Endosc</w:t>
      </w:r>
      <w:r>
        <w:rPr>
          <w:rFonts w:ascii="Book Antiqua" w:hAnsi="Book Antiqua" w:eastAsia="宋体" w:cs="宋体"/>
          <w:lang w:eastAsia="zh-CN"/>
        </w:rPr>
        <w:t xml:space="preserve"> 2019; </w:t>
      </w:r>
      <w:r>
        <w:rPr>
          <w:rFonts w:ascii="Book Antiqua" w:hAnsi="Book Antiqua" w:eastAsia="宋体" w:cs="宋体"/>
          <w:b/>
          <w:bCs/>
          <w:lang w:eastAsia="zh-CN"/>
        </w:rPr>
        <w:t>89</w:t>
      </w:r>
      <w:r>
        <w:rPr>
          <w:rFonts w:ascii="Book Antiqua" w:hAnsi="Book Antiqua" w:eastAsia="宋体" w:cs="宋体"/>
          <w:lang w:eastAsia="zh-CN"/>
        </w:rPr>
        <w:t>: 602-606 [PMID: 30447216 DOI: 10.1016/j.gie.2018.11.010]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130 </w:t>
      </w:r>
      <w:r>
        <w:rPr>
          <w:rFonts w:ascii="Book Antiqua" w:hAnsi="Book Antiqua" w:eastAsia="宋体" w:cs="宋体"/>
          <w:b/>
          <w:bCs/>
          <w:lang w:eastAsia="zh-CN"/>
        </w:rPr>
        <w:t>Bang BW</w:t>
      </w:r>
      <w:r>
        <w:rPr>
          <w:rFonts w:ascii="Book Antiqua" w:hAnsi="Book Antiqua" w:eastAsia="宋体" w:cs="宋体"/>
          <w:lang w:eastAsia="zh-CN"/>
        </w:rPr>
        <w:t xml:space="preserve">, Park JS, Kim HK, Shin YW, Kwon KS, Kim JM. Endoscopic Resection for Small Rectal Neuroendocrine Tumors: Comparison of Endoscopic Submucosal Resection with Band Ligation and Endoscopic Submucosal Dissection. </w:t>
      </w:r>
      <w:r>
        <w:rPr>
          <w:rFonts w:ascii="Book Antiqua" w:hAnsi="Book Antiqua" w:eastAsia="宋体" w:cs="宋体"/>
          <w:i/>
          <w:iCs/>
          <w:lang w:eastAsia="zh-CN"/>
        </w:rPr>
        <w:t>Gastroenterol Res Pract</w:t>
      </w:r>
      <w:r>
        <w:rPr>
          <w:rFonts w:ascii="Book Antiqua" w:hAnsi="Book Antiqua" w:eastAsia="宋体" w:cs="宋体"/>
          <w:lang w:eastAsia="zh-CN"/>
        </w:rPr>
        <w:t xml:space="preserve"> 2016; </w:t>
      </w:r>
      <w:r>
        <w:rPr>
          <w:rFonts w:ascii="Book Antiqua" w:hAnsi="Book Antiqua" w:eastAsia="宋体" w:cs="宋体"/>
          <w:b/>
          <w:bCs/>
          <w:lang w:eastAsia="zh-CN"/>
        </w:rPr>
        <w:t>2016</w:t>
      </w:r>
      <w:r>
        <w:rPr>
          <w:rFonts w:ascii="Book Antiqua" w:hAnsi="Book Antiqua" w:eastAsia="宋体" w:cs="宋体"/>
          <w:lang w:eastAsia="zh-CN"/>
        </w:rPr>
        <w:t>: 6198927 [PMID: 27525004 DOI: 10.1155/2016/6198927]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131 </w:t>
      </w:r>
      <w:r>
        <w:rPr>
          <w:rFonts w:ascii="Book Antiqua" w:hAnsi="Book Antiqua" w:eastAsia="宋体" w:cs="宋体"/>
          <w:b/>
          <w:bCs/>
          <w:lang w:eastAsia="zh-CN"/>
        </w:rPr>
        <w:t>Lim HK</w:t>
      </w:r>
      <w:r>
        <w:rPr>
          <w:rFonts w:ascii="Book Antiqua" w:hAnsi="Book Antiqua" w:eastAsia="宋体" w:cs="宋体"/>
          <w:lang w:eastAsia="zh-CN"/>
        </w:rPr>
        <w:t xml:space="preserve">, Lee SJ, Baek DH, Park DY, Lee BE, Park EY, Park JW, Kim GH, Song GA. Resectability of Rectal Neuroendocrine Tumors Using Endoscopic Mucosal Resection with a Ligation Band Device and Endoscopic Submucosal Dissection. </w:t>
      </w:r>
      <w:r>
        <w:rPr>
          <w:rFonts w:ascii="Book Antiqua" w:hAnsi="Book Antiqua" w:eastAsia="宋体" w:cs="宋体"/>
          <w:i/>
          <w:iCs/>
          <w:lang w:eastAsia="zh-CN"/>
        </w:rPr>
        <w:t>Gastroenterol Res Pract</w:t>
      </w:r>
      <w:r>
        <w:rPr>
          <w:rFonts w:ascii="Book Antiqua" w:hAnsi="Book Antiqua" w:eastAsia="宋体" w:cs="宋体"/>
          <w:lang w:eastAsia="zh-CN"/>
        </w:rPr>
        <w:t xml:space="preserve"> 2019; </w:t>
      </w:r>
      <w:r>
        <w:rPr>
          <w:rFonts w:ascii="Book Antiqua" w:hAnsi="Book Antiqua" w:eastAsia="宋体" w:cs="宋体"/>
          <w:b/>
          <w:bCs/>
          <w:lang w:eastAsia="zh-CN"/>
        </w:rPr>
        <w:t>2019</w:t>
      </w:r>
      <w:r>
        <w:rPr>
          <w:rFonts w:ascii="Book Antiqua" w:hAnsi="Book Antiqua" w:eastAsia="宋体" w:cs="宋体"/>
          <w:lang w:eastAsia="zh-CN"/>
        </w:rPr>
        <w:t>: 8425157 [PMID: 31687016 DOI: 10.1155/2019/8425157]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132 </w:t>
      </w:r>
      <w:r>
        <w:rPr>
          <w:rFonts w:ascii="Book Antiqua" w:hAnsi="Book Antiqua" w:eastAsia="宋体" w:cs="宋体"/>
          <w:b/>
          <w:bCs/>
          <w:lang w:eastAsia="zh-CN"/>
        </w:rPr>
        <w:t>Park SS</w:t>
      </w:r>
      <w:r>
        <w:rPr>
          <w:rFonts w:ascii="Book Antiqua" w:hAnsi="Book Antiqua" w:eastAsia="宋体" w:cs="宋体"/>
          <w:lang w:eastAsia="zh-CN"/>
        </w:rPr>
        <w:t xml:space="preserve">, Han KS, Kim B, Chang Kim B, Hong CW, Sohn DK, Chang HJ. Comparison of underwater endoscopic mucosal resection and endoscopic submucosal dissection of rectal neuroendocrine tumors (with videos). </w:t>
      </w:r>
      <w:r>
        <w:rPr>
          <w:rFonts w:ascii="Book Antiqua" w:hAnsi="Book Antiqua" w:eastAsia="宋体" w:cs="宋体"/>
          <w:i/>
          <w:iCs/>
          <w:lang w:eastAsia="zh-CN"/>
        </w:rPr>
        <w:t>Gastrointest Endosc</w:t>
      </w:r>
      <w:r>
        <w:rPr>
          <w:rFonts w:ascii="Book Antiqua" w:hAnsi="Book Antiqua" w:eastAsia="宋体" w:cs="宋体"/>
          <w:lang w:eastAsia="zh-CN"/>
        </w:rPr>
        <w:t xml:space="preserve"> 2020; </w:t>
      </w:r>
      <w:r>
        <w:rPr>
          <w:rFonts w:ascii="Book Antiqua" w:hAnsi="Book Antiqua" w:eastAsia="宋体" w:cs="宋体"/>
          <w:b/>
          <w:bCs/>
          <w:lang w:eastAsia="zh-CN"/>
        </w:rPr>
        <w:t>91</w:t>
      </w:r>
      <w:r>
        <w:rPr>
          <w:rFonts w:ascii="Book Antiqua" w:hAnsi="Book Antiqua" w:eastAsia="宋体" w:cs="宋体"/>
          <w:lang w:eastAsia="zh-CN"/>
        </w:rPr>
        <w:t>: 1164-1171.e2 [PMID: 31904380 DOI: 10.1016/j.gie.2019.12.039]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133 </w:t>
      </w:r>
      <w:r>
        <w:rPr>
          <w:rFonts w:ascii="Book Antiqua" w:hAnsi="Book Antiqua" w:eastAsia="宋体" w:cs="宋体"/>
          <w:b/>
          <w:bCs/>
          <w:lang w:eastAsia="zh-CN"/>
        </w:rPr>
        <w:t>Ramage JK</w:t>
      </w:r>
      <w:r>
        <w:rPr>
          <w:rFonts w:ascii="Book Antiqua" w:hAnsi="Book Antiqua" w:eastAsia="宋体" w:cs="宋体"/>
          <w:lang w:eastAsia="zh-CN"/>
        </w:rPr>
        <w:t xml:space="preserve">, De Herder WW, Delle Fave G, Ferolla P, Ferone D, Ito T, Ruszniewski P, Sundin A, Weber W, Zheng-Pei Z, Taal B, Pascher A; Vienna Consensus Conference participants. ENETS Consensus Guidelines Update for Colorectal Neuroendocrine Neoplasms. </w:t>
      </w:r>
      <w:r>
        <w:rPr>
          <w:rFonts w:ascii="Book Antiqua" w:hAnsi="Book Antiqua" w:eastAsia="宋体" w:cs="宋体"/>
          <w:i/>
          <w:iCs/>
          <w:lang w:eastAsia="zh-CN"/>
        </w:rPr>
        <w:t>Neuroendocrinology</w:t>
      </w:r>
      <w:r>
        <w:rPr>
          <w:rFonts w:ascii="Book Antiqua" w:hAnsi="Book Antiqua" w:eastAsia="宋体" w:cs="宋体"/>
          <w:lang w:eastAsia="zh-CN"/>
        </w:rPr>
        <w:t xml:space="preserve"> 2016; </w:t>
      </w:r>
      <w:r>
        <w:rPr>
          <w:rFonts w:ascii="Book Antiqua" w:hAnsi="Book Antiqua" w:eastAsia="宋体" w:cs="宋体"/>
          <w:b/>
          <w:bCs/>
          <w:lang w:eastAsia="zh-CN"/>
        </w:rPr>
        <w:t>103</w:t>
      </w:r>
      <w:r>
        <w:rPr>
          <w:rFonts w:ascii="Book Antiqua" w:hAnsi="Book Antiqua" w:eastAsia="宋体" w:cs="宋体"/>
          <w:lang w:eastAsia="zh-CN"/>
        </w:rPr>
        <w:t>: 139-143 [PMID: 26730835 DOI: 10.1159/000443166]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134 </w:t>
      </w:r>
      <w:r>
        <w:rPr>
          <w:rFonts w:ascii="Book Antiqua" w:hAnsi="Book Antiqua" w:eastAsia="宋体" w:cs="宋体"/>
          <w:b/>
          <w:bCs/>
          <w:lang w:eastAsia="zh-CN"/>
        </w:rPr>
        <w:t>Yangong H</w:t>
      </w:r>
      <w:r>
        <w:rPr>
          <w:rFonts w:ascii="Book Antiqua" w:hAnsi="Book Antiqua" w:eastAsia="宋体" w:cs="宋体"/>
          <w:lang w:eastAsia="zh-CN"/>
        </w:rPr>
        <w:t xml:space="preserve">, Shi C, Shahbaz M, Zhengchuan N, Wang J, Liang B, Ruliang F, Gao H, Bo Q, Niu J. Diagnosis and treatment experience of rectal carcinoid (a report of 312 cases). </w:t>
      </w:r>
      <w:r>
        <w:rPr>
          <w:rFonts w:ascii="Book Antiqua" w:hAnsi="Book Antiqua" w:eastAsia="宋体" w:cs="宋体"/>
          <w:i/>
          <w:iCs/>
          <w:lang w:eastAsia="zh-CN"/>
        </w:rPr>
        <w:t>Int J Surg</w:t>
      </w:r>
      <w:r>
        <w:rPr>
          <w:rFonts w:ascii="Book Antiqua" w:hAnsi="Book Antiqua" w:eastAsia="宋体" w:cs="宋体"/>
          <w:lang w:eastAsia="zh-CN"/>
        </w:rPr>
        <w:t xml:space="preserve"> 2014; </w:t>
      </w:r>
      <w:r>
        <w:rPr>
          <w:rFonts w:ascii="Book Antiqua" w:hAnsi="Book Antiqua" w:eastAsia="宋体" w:cs="宋体"/>
          <w:b/>
          <w:bCs/>
          <w:lang w:eastAsia="zh-CN"/>
        </w:rPr>
        <w:t>12</w:t>
      </w:r>
      <w:r>
        <w:rPr>
          <w:rFonts w:ascii="Book Antiqua" w:hAnsi="Book Antiqua" w:eastAsia="宋体" w:cs="宋体"/>
          <w:lang w:eastAsia="zh-CN"/>
        </w:rPr>
        <w:t>: 408-411 [PMID: 24631555 DOI: 10.1016/j.ijsu.2014.03.002]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135 </w:t>
      </w:r>
      <w:r>
        <w:rPr>
          <w:rFonts w:ascii="Book Antiqua" w:hAnsi="Book Antiqua" w:eastAsia="宋体" w:cs="宋体"/>
          <w:b/>
          <w:bCs/>
          <w:lang w:eastAsia="zh-CN"/>
        </w:rPr>
        <w:t>Wang X</w:t>
      </w:r>
      <w:r>
        <w:rPr>
          <w:rFonts w:ascii="Book Antiqua" w:hAnsi="Book Antiqua" w:eastAsia="宋体" w:cs="宋体"/>
          <w:lang w:eastAsia="zh-CN"/>
        </w:rPr>
        <w:t xml:space="preserve">, Xiang L, Li A, Han Z, Li Y, Wang Y, Guo Y, Zuang K, Yan Q, Zhong J, Xiong J, Yang H, Liu S. Endoscopic submucosal dissection for the treatment of rectal carcinoid tumors 7-16 mm in diameter. </w:t>
      </w:r>
      <w:r>
        <w:rPr>
          <w:rFonts w:ascii="Book Antiqua" w:hAnsi="Book Antiqua" w:eastAsia="宋体" w:cs="宋体"/>
          <w:i/>
          <w:iCs/>
          <w:lang w:eastAsia="zh-CN"/>
        </w:rPr>
        <w:t>Int J Colorectal Dis</w:t>
      </w:r>
      <w:r>
        <w:rPr>
          <w:rFonts w:ascii="Book Antiqua" w:hAnsi="Book Antiqua" w:eastAsia="宋体" w:cs="宋体"/>
          <w:lang w:eastAsia="zh-CN"/>
        </w:rPr>
        <w:t xml:space="preserve"> 2015; </w:t>
      </w:r>
      <w:r>
        <w:rPr>
          <w:rFonts w:ascii="Book Antiqua" w:hAnsi="Book Antiqua" w:eastAsia="宋体" w:cs="宋体"/>
          <w:b/>
          <w:bCs/>
          <w:lang w:eastAsia="zh-CN"/>
        </w:rPr>
        <w:t>30</w:t>
      </w:r>
      <w:r>
        <w:rPr>
          <w:rFonts w:ascii="Book Antiqua" w:hAnsi="Book Antiqua" w:eastAsia="宋体" w:cs="宋体"/>
          <w:lang w:eastAsia="zh-CN"/>
        </w:rPr>
        <w:t>: 375-380 [PMID: 25596026 DOI: 10.1007/s00384-014-2117-2]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136 </w:t>
      </w:r>
      <w:r>
        <w:rPr>
          <w:rFonts w:ascii="Book Antiqua" w:hAnsi="Book Antiqua" w:eastAsia="宋体" w:cs="宋体"/>
          <w:b/>
          <w:bCs/>
          <w:lang w:eastAsia="zh-CN"/>
        </w:rPr>
        <w:t>Scott AT</w:t>
      </w:r>
      <w:r>
        <w:rPr>
          <w:rFonts w:ascii="Book Antiqua" w:hAnsi="Book Antiqua" w:eastAsia="宋体" w:cs="宋体"/>
          <w:lang w:eastAsia="zh-CN"/>
        </w:rPr>
        <w:t xml:space="preserve">, Howe JR. Evaluation and Management of Neuroendocrine Tumors of the Pancreas. </w:t>
      </w:r>
      <w:r>
        <w:rPr>
          <w:rFonts w:ascii="Book Antiqua" w:hAnsi="Book Antiqua" w:eastAsia="宋体" w:cs="宋体"/>
          <w:i/>
          <w:iCs/>
          <w:lang w:eastAsia="zh-CN"/>
        </w:rPr>
        <w:t>Surg Clin North Am</w:t>
      </w:r>
      <w:r>
        <w:rPr>
          <w:rFonts w:ascii="Book Antiqua" w:hAnsi="Book Antiqua" w:eastAsia="宋体" w:cs="宋体"/>
          <w:lang w:eastAsia="zh-CN"/>
        </w:rPr>
        <w:t xml:space="preserve"> 2019; </w:t>
      </w:r>
      <w:r>
        <w:rPr>
          <w:rFonts w:ascii="Book Antiqua" w:hAnsi="Book Antiqua" w:eastAsia="宋体" w:cs="宋体"/>
          <w:b/>
          <w:bCs/>
          <w:lang w:eastAsia="zh-CN"/>
        </w:rPr>
        <w:t>99</w:t>
      </w:r>
      <w:r>
        <w:rPr>
          <w:rFonts w:ascii="Book Antiqua" w:hAnsi="Book Antiqua" w:eastAsia="宋体" w:cs="宋体"/>
          <w:lang w:eastAsia="zh-CN"/>
        </w:rPr>
        <w:t>: 793-814 [PMID: 31255207 DOI: 10.1016/j.suc.2019.04.014]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137 </w:t>
      </w:r>
      <w:r>
        <w:rPr>
          <w:rFonts w:ascii="Book Antiqua" w:hAnsi="Book Antiqua" w:eastAsia="宋体" w:cs="宋体"/>
          <w:b/>
          <w:bCs/>
          <w:lang w:eastAsia="zh-CN"/>
        </w:rPr>
        <w:t>Assi HA</w:t>
      </w:r>
      <w:r>
        <w:rPr>
          <w:rFonts w:ascii="Book Antiqua" w:hAnsi="Book Antiqua" w:eastAsia="宋体" w:cs="宋体"/>
          <w:lang w:eastAsia="zh-CN"/>
        </w:rPr>
        <w:t xml:space="preserve">, Mukherjee S, Kunz PL, Machiorlatti M, Vesely S, Pareek V, Hatoum H. Surgery Versus Surveillance for Well-Differentiated, Nonfunctional Pancreatic Neuroendocrine Tumors: An 11-Year Analysis of the National Cancer Database. </w:t>
      </w:r>
      <w:r>
        <w:rPr>
          <w:rFonts w:ascii="Book Antiqua" w:hAnsi="Book Antiqua" w:eastAsia="宋体" w:cs="宋体"/>
          <w:i/>
          <w:iCs/>
          <w:lang w:eastAsia="zh-CN"/>
        </w:rPr>
        <w:t>Oncologist</w:t>
      </w:r>
      <w:r>
        <w:rPr>
          <w:rFonts w:ascii="Book Antiqua" w:hAnsi="Book Antiqua" w:eastAsia="宋体" w:cs="宋体"/>
          <w:lang w:eastAsia="zh-CN"/>
        </w:rPr>
        <w:t xml:space="preserve"> 2020; </w:t>
      </w:r>
      <w:r>
        <w:rPr>
          <w:rFonts w:ascii="Book Antiqua" w:hAnsi="Book Antiqua" w:eastAsia="宋体" w:cs="宋体"/>
          <w:b/>
          <w:bCs/>
          <w:lang w:eastAsia="zh-CN"/>
        </w:rPr>
        <w:t>25</w:t>
      </w:r>
      <w:r>
        <w:rPr>
          <w:rFonts w:ascii="Book Antiqua" w:hAnsi="Book Antiqua" w:eastAsia="宋体" w:cs="宋体"/>
          <w:lang w:eastAsia="zh-CN"/>
        </w:rPr>
        <w:t>: e276-e283 [PMID: 32043766 DOI: 10.1634/theoncologist.2019-0466]</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138 </w:t>
      </w:r>
      <w:r>
        <w:rPr>
          <w:rFonts w:ascii="Book Antiqua" w:hAnsi="Book Antiqua" w:eastAsia="宋体" w:cs="宋体"/>
          <w:b/>
          <w:bCs/>
          <w:lang w:eastAsia="zh-CN"/>
        </w:rPr>
        <w:t>Lee LC</w:t>
      </w:r>
      <w:r>
        <w:rPr>
          <w:rFonts w:ascii="Book Antiqua" w:hAnsi="Book Antiqua" w:eastAsia="宋体" w:cs="宋体"/>
          <w:lang w:eastAsia="zh-CN"/>
        </w:rPr>
        <w:t xml:space="preserve">, Grant CS, Salomao DR, Fletcher JG, Takahashi N, Fidler JL, Levy MJ, Huebner M. Small, nonfunctioning, asymptomatic pancreatic neuroendocrine tumors (PNETs): role for nonoperative management. </w:t>
      </w:r>
      <w:r>
        <w:rPr>
          <w:rFonts w:ascii="Book Antiqua" w:hAnsi="Book Antiqua" w:eastAsia="宋体" w:cs="宋体"/>
          <w:i/>
          <w:iCs/>
          <w:lang w:eastAsia="zh-CN"/>
        </w:rPr>
        <w:t>Surgery</w:t>
      </w:r>
      <w:r>
        <w:rPr>
          <w:rFonts w:ascii="Book Antiqua" w:hAnsi="Book Antiqua" w:eastAsia="宋体" w:cs="宋体"/>
          <w:lang w:eastAsia="zh-CN"/>
        </w:rPr>
        <w:t xml:space="preserve"> 2012; </w:t>
      </w:r>
      <w:r>
        <w:rPr>
          <w:rFonts w:ascii="Book Antiqua" w:hAnsi="Book Antiqua" w:eastAsia="宋体" w:cs="宋体"/>
          <w:b/>
          <w:bCs/>
          <w:lang w:eastAsia="zh-CN"/>
        </w:rPr>
        <w:t>152</w:t>
      </w:r>
      <w:r>
        <w:rPr>
          <w:rFonts w:ascii="Book Antiqua" w:hAnsi="Book Antiqua" w:eastAsia="宋体" w:cs="宋体"/>
          <w:lang w:eastAsia="zh-CN"/>
        </w:rPr>
        <w:t>: 965-974 [PMID: 23102679 DOI: 10.1016/j.surg.2012.08.038]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139 </w:t>
      </w:r>
      <w:r>
        <w:rPr>
          <w:rFonts w:ascii="Book Antiqua" w:hAnsi="Book Antiqua" w:eastAsia="宋体" w:cs="宋体"/>
          <w:b/>
          <w:bCs/>
          <w:lang w:eastAsia="zh-CN"/>
        </w:rPr>
        <w:t>Massironi S</w:t>
      </w:r>
      <w:r>
        <w:rPr>
          <w:rFonts w:ascii="Book Antiqua" w:hAnsi="Book Antiqua" w:eastAsia="宋体" w:cs="宋体"/>
          <w:lang w:eastAsia="zh-CN"/>
        </w:rPr>
        <w:t xml:space="preserve">, Rossi RE, Zilli A, Casazza G, Ciafardini C, Conte D. A wait-and-watch approach to small pancreatic neuroendocrine tumors: prognosis and survival. </w:t>
      </w:r>
      <w:r>
        <w:rPr>
          <w:rFonts w:ascii="Book Antiqua" w:hAnsi="Book Antiqua" w:eastAsia="宋体" w:cs="宋体"/>
          <w:i/>
          <w:iCs/>
          <w:lang w:eastAsia="zh-CN"/>
        </w:rPr>
        <w:t>Oncotarget</w:t>
      </w:r>
      <w:r>
        <w:rPr>
          <w:rFonts w:ascii="Book Antiqua" w:hAnsi="Book Antiqua" w:eastAsia="宋体" w:cs="宋体"/>
          <w:lang w:eastAsia="zh-CN"/>
        </w:rPr>
        <w:t xml:space="preserve"> 2016; </w:t>
      </w:r>
      <w:r>
        <w:rPr>
          <w:rFonts w:ascii="Book Antiqua" w:hAnsi="Book Antiqua" w:eastAsia="宋体" w:cs="宋体"/>
          <w:b/>
          <w:bCs/>
          <w:lang w:eastAsia="zh-CN"/>
        </w:rPr>
        <w:t>7</w:t>
      </w:r>
      <w:r>
        <w:rPr>
          <w:rFonts w:ascii="Book Antiqua" w:hAnsi="Book Antiqua" w:eastAsia="宋体" w:cs="宋体"/>
          <w:lang w:eastAsia="zh-CN"/>
        </w:rPr>
        <w:t>: 18978-18983 [PMID: 26959887 DOI: 10.18632/oncotarget.7902]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140 </w:t>
      </w:r>
      <w:r>
        <w:rPr>
          <w:rFonts w:ascii="Book Antiqua" w:hAnsi="Book Antiqua" w:eastAsia="宋体" w:cs="宋体"/>
          <w:b/>
          <w:bCs/>
          <w:lang w:eastAsia="zh-CN"/>
        </w:rPr>
        <w:t>Sallinen V</w:t>
      </w:r>
      <w:r>
        <w:rPr>
          <w:rFonts w:ascii="Book Antiqua" w:hAnsi="Book Antiqua" w:eastAsia="宋体" w:cs="宋体"/>
          <w:bCs/>
          <w:lang w:eastAsia="zh-CN"/>
        </w:rPr>
        <w:t xml:space="preserve">, Le Large TY, Galeev S, Kovalenko Z, Tieftrunk E, Araujo R, Ceyhan GO, Gaujoux S. Surveillance strategy for small asymptomatic non-functional pancreatic neuroendocrine tumors - a systematic review and meta-analysis. </w:t>
      </w:r>
      <w:r>
        <w:rPr>
          <w:rFonts w:ascii="Book Antiqua" w:hAnsi="Book Antiqua" w:eastAsia="宋体" w:cs="宋体"/>
          <w:bCs/>
          <w:i/>
          <w:lang w:eastAsia="zh-CN"/>
        </w:rPr>
        <w:t>HPB (Oxford)</w:t>
      </w:r>
      <w:r>
        <w:rPr>
          <w:rFonts w:ascii="Book Antiqua" w:hAnsi="Book Antiqua" w:eastAsia="宋体" w:cs="宋体"/>
          <w:bCs/>
          <w:lang w:eastAsia="zh-CN"/>
        </w:rPr>
        <w:t xml:space="preserve"> 2017;</w:t>
      </w:r>
      <w:r>
        <w:rPr>
          <w:rFonts w:hint="eastAsia" w:ascii="Book Antiqua" w:hAnsi="Book Antiqua" w:eastAsia="宋体" w:cs="宋体"/>
          <w:bCs/>
          <w:lang w:eastAsia="zh-CN"/>
        </w:rPr>
        <w:t xml:space="preserve"> </w:t>
      </w:r>
      <w:r>
        <w:rPr>
          <w:rFonts w:ascii="Book Antiqua" w:hAnsi="Book Antiqua" w:eastAsia="宋体" w:cs="宋体"/>
          <w:b/>
          <w:bCs/>
          <w:lang w:eastAsia="zh-CN"/>
        </w:rPr>
        <w:t>19</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310-320 </w:t>
      </w:r>
      <w:r>
        <w:rPr>
          <w:rFonts w:hint="eastAsia" w:ascii="Book Antiqua" w:hAnsi="Book Antiqua" w:eastAsia="宋体" w:cs="宋体"/>
          <w:bCs/>
          <w:lang w:eastAsia="zh-CN"/>
        </w:rPr>
        <w:t>[</w:t>
      </w:r>
      <w:r>
        <w:rPr>
          <w:rFonts w:ascii="Book Antiqua" w:hAnsi="Book Antiqua" w:eastAsia="宋体" w:cs="宋体"/>
          <w:bCs/>
          <w:lang w:eastAsia="zh-CN"/>
        </w:rPr>
        <w:t>PMID: 28254159</w:t>
      </w:r>
      <w:r>
        <w:rPr>
          <w:rFonts w:hint="eastAsia" w:ascii="Book Antiqua" w:hAnsi="Book Antiqua" w:eastAsia="宋体" w:cs="宋体"/>
          <w:bCs/>
          <w:lang w:eastAsia="zh-CN"/>
        </w:rPr>
        <w:t xml:space="preserve"> DOI</w:t>
      </w:r>
      <w:r>
        <w:rPr>
          <w:rFonts w:ascii="Book Antiqua" w:hAnsi="Book Antiqua" w:eastAsia="宋体" w:cs="宋体"/>
          <w:bCs/>
          <w:lang w:eastAsia="zh-CN"/>
        </w:rPr>
        <w:t>: 10.1016/j.hpb.2016.12.010</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141 </w:t>
      </w:r>
      <w:r>
        <w:rPr>
          <w:rFonts w:ascii="Book Antiqua" w:hAnsi="Book Antiqua" w:eastAsia="宋体" w:cs="宋体"/>
          <w:b/>
          <w:bCs/>
          <w:lang w:eastAsia="zh-CN"/>
        </w:rPr>
        <w:t>Barenboim A</w:t>
      </w:r>
      <w:r>
        <w:rPr>
          <w:rFonts w:ascii="Book Antiqua" w:hAnsi="Book Antiqua" w:eastAsia="宋体" w:cs="宋体"/>
          <w:bCs/>
          <w:lang w:eastAsia="zh-CN"/>
        </w:rPr>
        <w:t xml:space="preserve">, Lahat G, Nachmany I, Nakache R, Goykhman Y, Geva R, Osher E, Scapa E, Wolf I, Orbach L, Brazowski E, Isakov O, Klausner JM, Lubezky N. Resection Versus Observation of Small Asymptomatic Nonfunctioning Pancreatic Neuroendocrine Tumors. </w:t>
      </w:r>
      <w:r>
        <w:rPr>
          <w:rFonts w:ascii="Book Antiqua" w:hAnsi="Book Antiqua" w:eastAsia="宋体" w:cs="宋体"/>
          <w:bCs/>
          <w:i/>
          <w:lang w:eastAsia="zh-CN"/>
        </w:rPr>
        <w:t>J Gastrointest Surg</w:t>
      </w:r>
      <w:r>
        <w:rPr>
          <w:rFonts w:ascii="Book Antiqua" w:hAnsi="Book Antiqua" w:eastAsia="宋体" w:cs="宋体"/>
          <w:bCs/>
          <w:lang w:eastAsia="zh-CN"/>
        </w:rPr>
        <w:t xml:space="preserve"> 2020;</w:t>
      </w:r>
      <w:r>
        <w:rPr>
          <w:rFonts w:hint="eastAsia" w:ascii="Book Antiqua" w:hAnsi="Book Antiqua" w:eastAsia="宋体" w:cs="宋体"/>
          <w:bCs/>
          <w:lang w:eastAsia="zh-CN"/>
        </w:rPr>
        <w:t xml:space="preserve"> </w:t>
      </w:r>
      <w:r>
        <w:rPr>
          <w:rFonts w:ascii="Book Antiqua" w:hAnsi="Book Antiqua" w:eastAsia="宋体" w:cs="宋体"/>
          <w:b/>
          <w:bCs/>
          <w:lang w:eastAsia="zh-CN"/>
        </w:rPr>
        <w:t>24</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1366-1374 </w:t>
      </w:r>
      <w:r>
        <w:rPr>
          <w:rFonts w:hint="eastAsia" w:ascii="Book Antiqua" w:hAnsi="Book Antiqua" w:eastAsia="宋体" w:cs="宋体"/>
          <w:bCs/>
          <w:lang w:eastAsia="zh-CN"/>
        </w:rPr>
        <w:t>[</w:t>
      </w:r>
      <w:r>
        <w:rPr>
          <w:rFonts w:ascii="Book Antiqua" w:hAnsi="Book Antiqua" w:eastAsia="宋体" w:cs="宋体"/>
          <w:bCs/>
          <w:lang w:eastAsia="zh-CN"/>
        </w:rPr>
        <w:t>PMID: 31197692</w:t>
      </w:r>
      <w:r>
        <w:rPr>
          <w:rFonts w:hint="eastAsia" w:ascii="Book Antiqua" w:hAnsi="Book Antiqua" w:eastAsia="宋体" w:cs="宋体"/>
          <w:bCs/>
          <w:lang w:eastAsia="zh-CN"/>
        </w:rPr>
        <w:t xml:space="preserve"> DOI</w:t>
      </w:r>
      <w:r>
        <w:rPr>
          <w:rFonts w:ascii="Book Antiqua" w:hAnsi="Book Antiqua" w:eastAsia="宋体" w:cs="宋体"/>
          <w:bCs/>
          <w:lang w:eastAsia="zh-CN"/>
        </w:rPr>
        <w:t>: 10.1007/s11605-019-04285-y</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142 </w:t>
      </w:r>
      <w:r>
        <w:rPr>
          <w:rFonts w:ascii="Book Antiqua" w:hAnsi="Book Antiqua" w:eastAsia="宋体" w:cs="宋体"/>
          <w:b/>
          <w:bCs/>
          <w:lang w:eastAsia="zh-CN"/>
        </w:rPr>
        <w:t>Sun Y</w:t>
      </w:r>
      <w:r>
        <w:rPr>
          <w:rFonts w:ascii="Book Antiqua" w:hAnsi="Book Antiqua" w:eastAsia="宋体" w:cs="宋体"/>
          <w:lang w:eastAsia="zh-CN"/>
        </w:rPr>
        <w:t xml:space="preserve">, Wang Y, Li R, Kang G, Zhang M, Chen X, Jin M, Liu Y, He Y, Zhu X, Kang Q, Zhou F, Yu Q. Surgical resection of primary tumor is associated with prolonged survival in low-grade pancreatic neuroendocrine tumors. </w:t>
      </w:r>
      <w:r>
        <w:rPr>
          <w:rFonts w:ascii="Book Antiqua" w:hAnsi="Book Antiqua" w:eastAsia="宋体" w:cs="宋体"/>
          <w:i/>
          <w:iCs/>
          <w:lang w:eastAsia="zh-CN"/>
        </w:rPr>
        <w:t>Clin Res Hepatol Gastroenterol</w:t>
      </w:r>
      <w:r>
        <w:rPr>
          <w:rFonts w:ascii="Book Antiqua" w:hAnsi="Book Antiqua" w:eastAsia="宋体" w:cs="宋体"/>
          <w:lang w:eastAsia="zh-CN"/>
        </w:rPr>
        <w:t xml:space="preserve"> 2021; </w:t>
      </w:r>
      <w:r>
        <w:rPr>
          <w:rFonts w:ascii="Book Antiqua" w:hAnsi="Book Antiqua" w:eastAsia="宋体" w:cs="宋体"/>
          <w:b/>
          <w:bCs/>
          <w:lang w:eastAsia="zh-CN"/>
        </w:rPr>
        <w:t>45</w:t>
      </w:r>
      <w:r>
        <w:rPr>
          <w:rFonts w:ascii="Book Antiqua" w:hAnsi="Book Antiqua" w:eastAsia="宋体" w:cs="宋体"/>
          <w:lang w:eastAsia="zh-CN"/>
        </w:rPr>
        <w:t>: 101432 [PMID: 32386797 DOI: 10.1016/j.clinre.2020.04.003]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143 </w:t>
      </w:r>
      <w:r>
        <w:rPr>
          <w:rFonts w:ascii="Book Antiqua" w:hAnsi="Book Antiqua" w:eastAsia="宋体" w:cs="宋体"/>
          <w:b/>
          <w:bCs/>
          <w:lang w:eastAsia="zh-CN"/>
        </w:rPr>
        <w:t>Haynes AB</w:t>
      </w:r>
      <w:r>
        <w:rPr>
          <w:rFonts w:ascii="Book Antiqua" w:hAnsi="Book Antiqua" w:eastAsia="宋体" w:cs="宋体"/>
          <w:bCs/>
          <w:lang w:eastAsia="zh-CN"/>
        </w:rPr>
        <w:t xml:space="preserve">, Deshpande V, Ingkakul T, Vagefi PA, Szymonifka J, Thayer SP, Ferrone CR, Wargo JA, Warshaw AL, Fernández-del Castillo C. Implications of incidentally discovered, nonfunctioning pancreatic endocrine tumors: short-term and long-term patient outcomes. </w:t>
      </w:r>
      <w:r>
        <w:rPr>
          <w:rFonts w:ascii="Book Antiqua" w:hAnsi="Book Antiqua" w:eastAsia="宋体" w:cs="宋体"/>
          <w:bCs/>
          <w:i/>
          <w:lang w:eastAsia="zh-CN"/>
        </w:rPr>
        <w:t>Arch Surg</w:t>
      </w:r>
      <w:r>
        <w:rPr>
          <w:rFonts w:ascii="Book Antiqua" w:hAnsi="Book Antiqua" w:eastAsia="宋体" w:cs="宋体"/>
          <w:bCs/>
          <w:lang w:eastAsia="zh-CN"/>
        </w:rPr>
        <w:t xml:space="preserve"> 2011;</w:t>
      </w:r>
      <w:r>
        <w:rPr>
          <w:rFonts w:hint="eastAsia" w:ascii="Book Antiqua" w:hAnsi="Book Antiqua" w:eastAsia="宋体" w:cs="宋体"/>
          <w:bCs/>
          <w:lang w:eastAsia="zh-CN"/>
        </w:rPr>
        <w:t xml:space="preserve"> </w:t>
      </w:r>
      <w:r>
        <w:rPr>
          <w:rFonts w:ascii="Book Antiqua" w:hAnsi="Book Antiqua" w:eastAsia="宋体" w:cs="宋体"/>
          <w:b/>
          <w:bCs/>
          <w:lang w:eastAsia="zh-CN"/>
        </w:rPr>
        <w:t>146</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534-</w:t>
      </w:r>
      <w:r>
        <w:rPr>
          <w:rFonts w:hint="eastAsia" w:ascii="Book Antiqua" w:hAnsi="Book Antiqua" w:eastAsia="宋体" w:cs="宋体"/>
          <w:bCs/>
          <w:lang w:eastAsia="zh-CN"/>
        </w:rPr>
        <w:t>53</w:t>
      </w:r>
      <w:r>
        <w:rPr>
          <w:rFonts w:ascii="Book Antiqua" w:hAnsi="Book Antiqua" w:eastAsia="宋体" w:cs="宋体"/>
          <w:bCs/>
          <w:lang w:eastAsia="zh-CN"/>
        </w:rPr>
        <w:t xml:space="preserve">8 </w:t>
      </w:r>
      <w:r>
        <w:rPr>
          <w:rFonts w:hint="eastAsia" w:ascii="Book Antiqua" w:hAnsi="Book Antiqua" w:eastAsia="宋体" w:cs="宋体"/>
          <w:bCs/>
          <w:lang w:eastAsia="zh-CN"/>
        </w:rPr>
        <w:t>[</w:t>
      </w:r>
      <w:r>
        <w:rPr>
          <w:rFonts w:ascii="Book Antiqua" w:hAnsi="Book Antiqua" w:eastAsia="宋体" w:cs="宋体"/>
          <w:bCs/>
          <w:lang w:eastAsia="zh-CN"/>
        </w:rPr>
        <w:t>PMID: 21576607</w:t>
      </w:r>
      <w:r>
        <w:rPr>
          <w:rFonts w:hint="eastAsia" w:ascii="Book Antiqua" w:hAnsi="Book Antiqua" w:eastAsia="宋体" w:cs="宋体"/>
          <w:bCs/>
          <w:lang w:eastAsia="zh-CN"/>
        </w:rPr>
        <w:t xml:space="preserve"> DOI</w:t>
      </w:r>
      <w:r>
        <w:rPr>
          <w:rFonts w:ascii="Book Antiqua" w:hAnsi="Book Antiqua" w:eastAsia="宋体" w:cs="宋体"/>
          <w:bCs/>
          <w:lang w:eastAsia="zh-CN"/>
        </w:rPr>
        <w:t>: 10.1001/archsurg.2011.102</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144 </w:t>
      </w:r>
      <w:r>
        <w:rPr>
          <w:rFonts w:ascii="Book Antiqua" w:hAnsi="Book Antiqua" w:eastAsia="宋体" w:cs="宋体"/>
          <w:b/>
          <w:bCs/>
          <w:lang w:eastAsia="zh-CN"/>
        </w:rPr>
        <w:t>Finkelstein P</w:t>
      </w:r>
      <w:r>
        <w:rPr>
          <w:rFonts w:ascii="Book Antiqua" w:hAnsi="Book Antiqua" w:eastAsia="宋体" w:cs="宋体"/>
          <w:bCs/>
          <w:lang w:eastAsia="zh-CN"/>
        </w:rPr>
        <w:t xml:space="preserve">, Sharma R, Picado O, Gadde R, Stuart H, Ripat C, Livingstone AS, Sleeman D, Merchant N, Yakoub D. Pancreatic Neuroendocrine Tumors (panNETs): Analysis of Overall Survival of Nonsurgical Management Versus Surgical Resection. </w:t>
      </w:r>
      <w:r>
        <w:rPr>
          <w:rFonts w:ascii="Book Antiqua" w:hAnsi="Book Antiqua" w:eastAsia="宋体" w:cs="宋体"/>
          <w:bCs/>
          <w:i/>
          <w:lang w:eastAsia="zh-CN"/>
        </w:rPr>
        <w:t>J Gastrointest Surg</w:t>
      </w:r>
      <w:r>
        <w:rPr>
          <w:rFonts w:ascii="Book Antiqua" w:hAnsi="Book Antiqua" w:eastAsia="宋体" w:cs="宋体"/>
          <w:bCs/>
          <w:lang w:eastAsia="zh-CN"/>
        </w:rPr>
        <w:t xml:space="preserve"> 2017;</w:t>
      </w:r>
      <w:r>
        <w:rPr>
          <w:rFonts w:hint="eastAsia" w:ascii="Book Antiqua" w:hAnsi="Book Antiqua" w:eastAsia="宋体" w:cs="宋体"/>
          <w:bCs/>
          <w:lang w:eastAsia="zh-CN"/>
        </w:rPr>
        <w:t xml:space="preserve"> </w:t>
      </w:r>
      <w:r>
        <w:rPr>
          <w:rFonts w:ascii="Book Antiqua" w:hAnsi="Book Antiqua" w:eastAsia="宋体" w:cs="宋体"/>
          <w:b/>
          <w:bCs/>
          <w:lang w:eastAsia="zh-CN"/>
        </w:rPr>
        <w:t>21</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855-866 </w:t>
      </w:r>
      <w:r>
        <w:rPr>
          <w:rFonts w:hint="eastAsia" w:ascii="Book Antiqua" w:hAnsi="Book Antiqua" w:eastAsia="宋体" w:cs="宋体"/>
          <w:bCs/>
          <w:lang w:eastAsia="zh-CN"/>
        </w:rPr>
        <w:t>[</w:t>
      </w:r>
      <w:r>
        <w:rPr>
          <w:rFonts w:ascii="Book Antiqua" w:hAnsi="Book Antiqua" w:eastAsia="宋体" w:cs="宋体"/>
          <w:bCs/>
          <w:lang w:eastAsia="zh-CN"/>
        </w:rPr>
        <w:t>PMID: 28255853</w:t>
      </w:r>
      <w:r>
        <w:rPr>
          <w:rFonts w:hint="eastAsia" w:ascii="Book Antiqua" w:hAnsi="Book Antiqua" w:eastAsia="宋体" w:cs="宋体"/>
          <w:bCs/>
          <w:lang w:eastAsia="zh-CN"/>
        </w:rPr>
        <w:t xml:space="preserve"> DOI</w:t>
      </w:r>
      <w:r>
        <w:rPr>
          <w:rFonts w:ascii="Book Antiqua" w:hAnsi="Book Antiqua" w:eastAsia="宋体" w:cs="宋体"/>
          <w:bCs/>
          <w:lang w:eastAsia="zh-CN"/>
        </w:rPr>
        <w:t>: 10.1007/s11605-017-3365-6</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145 </w:t>
      </w:r>
      <w:r>
        <w:rPr>
          <w:rFonts w:ascii="Book Antiqua" w:hAnsi="Book Antiqua" w:eastAsia="宋体" w:cs="宋体"/>
          <w:b/>
          <w:bCs/>
          <w:lang w:eastAsia="zh-CN"/>
        </w:rPr>
        <w:t>Sharpe SM</w:t>
      </w:r>
      <w:r>
        <w:rPr>
          <w:rFonts w:ascii="Book Antiqua" w:hAnsi="Book Antiqua" w:eastAsia="宋体" w:cs="宋体"/>
          <w:lang w:eastAsia="zh-CN"/>
        </w:rPr>
        <w:t xml:space="preserve">, In H, Winchester DJ, Talamonti MS, Baker MS. Surgical resection provides an overall survival benefit for patients with small pancreatic neuroendocrine tumors. </w:t>
      </w:r>
      <w:r>
        <w:rPr>
          <w:rFonts w:ascii="Book Antiqua" w:hAnsi="Book Antiqua" w:eastAsia="宋体" w:cs="宋体"/>
          <w:i/>
          <w:iCs/>
          <w:lang w:eastAsia="zh-CN"/>
        </w:rPr>
        <w:t>J Gastrointest Surg</w:t>
      </w:r>
      <w:r>
        <w:rPr>
          <w:rFonts w:ascii="Book Antiqua" w:hAnsi="Book Antiqua" w:eastAsia="宋体" w:cs="宋体"/>
          <w:lang w:eastAsia="zh-CN"/>
        </w:rPr>
        <w:t xml:space="preserve"> 2015; </w:t>
      </w:r>
      <w:r>
        <w:rPr>
          <w:rFonts w:ascii="Book Antiqua" w:hAnsi="Book Antiqua" w:eastAsia="宋体" w:cs="宋体"/>
          <w:b/>
          <w:bCs/>
          <w:lang w:eastAsia="zh-CN"/>
        </w:rPr>
        <w:t>19</w:t>
      </w:r>
      <w:r>
        <w:rPr>
          <w:rFonts w:ascii="Book Antiqua" w:hAnsi="Book Antiqua" w:eastAsia="宋体" w:cs="宋体"/>
          <w:lang w:eastAsia="zh-CN"/>
        </w:rPr>
        <w:t>: 117-23; discussion 123 [PMID: 25155459 DOI: 10.1007/s11605-014-2615-0]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146 </w:t>
      </w:r>
      <w:r>
        <w:rPr>
          <w:rFonts w:ascii="Book Antiqua" w:hAnsi="Book Antiqua" w:eastAsia="宋体" w:cs="宋体"/>
          <w:b/>
          <w:bCs/>
          <w:lang w:eastAsia="zh-CN"/>
        </w:rPr>
        <w:t>Singh S</w:t>
      </w:r>
      <w:r>
        <w:rPr>
          <w:rFonts w:ascii="Book Antiqua" w:hAnsi="Book Antiqua" w:eastAsia="宋体" w:cs="宋体"/>
          <w:lang w:eastAsia="zh-CN"/>
        </w:rPr>
        <w:t xml:space="preserve">, Moody L, Chan DL, Metz DC, Strosberg J, Asmis T, Bailey DL, Bergsland E, Brendtro K, Carroll R, Cleary S, Kim M, Kong G, Law C, Lawrence B, McEwan A, McGregor C, Michael M, Pasieka J, Pavlakis N, Pommier R, Soulen M, Wyld D, Segelov E; Commonwealth Neuroendocrine Tumour Collaboration (CommNETS) Follow-up Working Group. Follow-up Recommendations for Completely Resected Gastroenteropancreatic Neuroendocrine Tumors. </w:t>
      </w:r>
      <w:r>
        <w:rPr>
          <w:rFonts w:ascii="Book Antiqua" w:hAnsi="Book Antiqua" w:eastAsia="宋体" w:cs="宋体"/>
          <w:i/>
          <w:iCs/>
          <w:lang w:eastAsia="zh-CN"/>
        </w:rPr>
        <w:t>JAMA Oncol</w:t>
      </w:r>
      <w:r>
        <w:rPr>
          <w:rFonts w:ascii="Book Antiqua" w:hAnsi="Book Antiqua" w:eastAsia="宋体" w:cs="宋体"/>
          <w:lang w:eastAsia="zh-CN"/>
        </w:rPr>
        <w:t xml:space="preserve"> 2018; </w:t>
      </w:r>
      <w:r>
        <w:rPr>
          <w:rFonts w:ascii="Book Antiqua" w:hAnsi="Book Antiqua" w:eastAsia="宋体" w:cs="宋体"/>
          <w:b/>
          <w:bCs/>
          <w:lang w:eastAsia="zh-CN"/>
        </w:rPr>
        <w:t>4</w:t>
      </w:r>
      <w:r>
        <w:rPr>
          <w:rFonts w:ascii="Book Antiqua" w:hAnsi="Book Antiqua" w:eastAsia="宋体" w:cs="宋体"/>
          <w:lang w:eastAsia="zh-CN"/>
        </w:rPr>
        <w:t>: 1597-1604 [PMID: 30054622 DOI: 10.1001/jamaoncol.2018.2428]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147 </w:t>
      </w:r>
      <w:r>
        <w:rPr>
          <w:rFonts w:ascii="Book Antiqua" w:hAnsi="Book Antiqua" w:eastAsia="宋体" w:cs="宋体"/>
          <w:b/>
          <w:bCs/>
          <w:lang w:eastAsia="zh-CN"/>
        </w:rPr>
        <w:t>Canakis A</w:t>
      </w:r>
      <w:r>
        <w:rPr>
          <w:rFonts w:ascii="Book Antiqua" w:hAnsi="Book Antiqua" w:eastAsia="宋体" w:cs="宋体"/>
          <w:lang w:eastAsia="zh-CN"/>
        </w:rPr>
        <w:t xml:space="preserve">, Law R, Baron T. An updated review on ablative treatment of pancreatic cystic lesions. </w:t>
      </w:r>
      <w:r>
        <w:rPr>
          <w:rFonts w:ascii="Book Antiqua" w:hAnsi="Book Antiqua" w:eastAsia="宋体" w:cs="宋体"/>
          <w:i/>
          <w:iCs/>
          <w:lang w:eastAsia="zh-CN"/>
        </w:rPr>
        <w:t>Gastrointest Endosc</w:t>
      </w:r>
      <w:r>
        <w:rPr>
          <w:rFonts w:ascii="Book Antiqua" w:hAnsi="Book Antiqua" w:eastAsia="宋体" w:cs="宋体"/>
          <w:lang w:eastAsia="zh-CN"/>
        </w:rPr>
        <w:t xml:space="preserve"> 2020; </w:t>
      </w:r>
      <w:r>
        <w:rPr>
          <w:rFonts w:ascii="Book Antiqua" w:hAnsi="Book Antiqua" w:eastAsia="宋体" w:cs="宋体"/>
          <w:b/>
          <w:bCs/>
          <w:lang w:eastAsia="zh-CN"/>
        </w:rPr>
        <w:t>91</w:t>
      </w:r>
      <w:r>
        <w:rPr>
          <w:rFonts w:ascii="Book Antiqua" w:hAnsi="Book Antiqua" w:eastAsia="宋体" w:cs="宋体"/>
          <w:lang w:eastAsia="zh-CN"/>
        </w:rPr>
        <w:t>: 520-526 [PMID: 31593694 DOI: 10.1016/j.gie.2019.09.037]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148 </w:t>
      </w:r>
      <w:r>
        <w:rPr>
          <w:rFonts w:ascii="Book Antiqua" w:hAnsi="Book Antiqua" w:eastAsia="宋体" w:cs="宋体"/>
          <w:b/>
          <w:bCs/>
          <w:lang w:eastAsia="zh-CN"/>
        </w:rPr>
        <w:t>Barthet M</w:t>
      </w:r>
      <w:r>
        <w:rPr>
          <w:rFonts w:ascii="Book Antiqua" w:hAnsi="Book Antiqua" w:eastAsia="宋体" w:cs="宋体"/>
          <w:lang w:eastAsia="zh-CN"/>
        </w:rPr>
        <w:t xml:space="preserve">, Giovannini M, Lesavre N, Boustiere C, Napoleon B, Koch S, Gasmi M, Vanbiervliet G, Gonzalez JM. Endoscopic ultrasound-guided radiofrequency ablation for pancreatic neuroendocrine tumors and pancreatic cystic neoplasms: a prospective multicenter study. </w:t>
      </w:r>
      <w:r>
        <w:rPr>
          <w:rFonts w:ascii="Book Antiqua" w:hAnsi="Book Antiqua" w:eastAsia="宋体" w:cs="宋体"/>
          <w:i/>
          <w:iCs/>
          <w:lang w:eastAsia="zh-CN"/>
        </w:rPr>
        <w:t>Endoscopy</w:t>
      </w:r>
      <w:r>
        <w:rPr>
          <w:rFonts w:ascii="Book Antiqua" w:hAnsi="Book Antiqua" w:eastAsia="宋体" w:cs="宋体"/>
          <w:lang w:eastAsia="zh-CN"/>
        </w:rPr>
        <w:t xml:space="preserve"> 2019; </w:t>
      </w:r>
      <w:r>
        <w:rPr>
          <w:rFonts w:ascii="Book Antiqua" w:hAnsi="Book Antiqua" w:eastAsia="宋体" w:cs="宋体"/>
          <w:b/>
          <w:bCs/>
          <w:lang w:eastAsia="zh-CN"/>
        </w:rPr>
        <w:t>51</w:t>
      </w:r>
      <w:r>
        <w:rPr>
          <w:rFonts w:ascii="Book Antiqua" w:hAnsi="Book Antiqua" w:eastAsia="宋体" w:cs="宋体"/>
          <w:lang w:eastAsia="zh-CN"/>
        </w:rPr>
        <w:t>: 836-842 [PMID: 30669161 DOI: 10.1055/a-0824-7067]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149 </w:t>
      </w:r>
      <w:r>
        <w:rPr>
          <w:rFonts w:ascii="Book Antiqua" w:hAnsi="Book Antiqua" w:eastAsia="宋体" w:cs="宋体"/>
          <w:b/>
          <w:bCs/>
          <w:lang w:eastAsia="zh-CN"/>
        </w:rPr>
        <w:t>Oleinikov K</w:t>
      </w:r>
      <w:r>
        <w:rPr>
          <w:rFonts w:ascii="Book Antiqua" w:hAnsi="Book Antiqua" w:eastAsia="宋体" w:cs="宋体"/>
          <w:lang w:eastAsia="zh-CN"/>
        </w:rPr>
        <w:t xml:space="preserve">, Dancour A, Epshtein J, Benson A, Mazeh H, Tal I, Matalon S, Benbassat CA, Livovsky DM, Goldin E, Gross DJ, Jacob H, Grozinsky-Glasberg S. Endoscopic Ultrasound-Guided Radiofrequency Ablation: A New Therapeutic Approach for Pancreatic Neuroendocrine Tumors. </w:t>
      </w:r>
      <w:r>
        <w:rPr>
          <w:rFonts w:ascii="Book Antiqua" w:hAnsi="Book Antiqua" w:eastAsia="宋体" w:cs="宋体"/>
          <w:i/>
          <w:iCs/>
          <w:lang w:eastAsia="zh-CN"/>
        </w:rPr>
        <w:t>J Clin Endocrinol Metab</w:t>
      </w:r>
      <w:r>
        <w:rPr>
          <w:rFonts w:ascii="Book Antiqua" w:hAnsi="Book Antiqua" w:eastAsia="宋体" w:cs="宋体"/>
          <w:lang w:eastAsia="zh-CN"/>
        </w:rPr>
        <w:t xml:space="preserve"> 2019; </w:t>
      </w:r>
      <w:r>
        <w:rPr>
          <w:rFonts w:ascii="Book Antiqua" w:hAnsi="Book Antiqua" w:eastAsia="宋体" w:cs="宋体"/>
          <w:b/>
          <w:bCs/>
          <w:lang w:eastAsia="zh-CN"/>
        </w:rPr>
        <w:t>104</w:t>
      </w:r>
      <w:r>
        <w:rPr>
          <w:rFonts w:ascii="Book Antiqua" w:hAnsi="Book Antiqua" w:eastAsia="宋体" w:cs="宋体"/>
          <w:lang w:eastAsia="zh-CN"/>
        </w:rPr>
        <w:t>: 2637-2647 [PMID: 31102458 DOI: 10.1210/jc.2019-00282]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150 </w:t>
      </w:r>
      <w:r>
        <w:rPr>
          <w:rFonts w:ascii="Book Antiqua" w:hAnsi="Book Antiqua" w:eastAsia="宋体" w:cs="宋体"/>
          <w:b/>
          <w:bCs/>
          <w:lang w:eastAsia="zh-CN"/>
        </w:rPr>
        <w:t>Robles-Medranda C</w:t>
      </w:r>
      <w:r>
        <w:rPr>
          <w:rFonts w:ascii="Book Antiqua" w:hAnsi="Book Antiqua" w:eastAsia="宋体" w:cs="宋体"/>
          <w:lang w:eastAsia="zh-CN"/>
        </w:rPr>
        <w:t xml:space="preserve">, Arevalo-Mora M, Oleas R, Alcivar-Vasquez J, Del Valle R. Novel EUS-guided microwave ablation of an unresectable pancreatic neuroendocrine tumor. </w:t>
      </w:r>
      <w:r>
        <w:rPr>
          <w:rFonts w:ascii="Book Antiqua" w:hAnsi="Book Antiqua" w:eastAsia="宋体" w:cs="宋体"/>
          <w:i/>
          <w:iCs/>
          <w:lang w:eastAsia="zh-CN"/>
        </w:rPr>
        <w:t>VideoGIE</w:t>
      </w:r>
      <w:r>
        <w:rPr>
          <w:rFonts w:ascii="Book Antiqua" w:hAnsi="Book Antiqua" w:eastAsia="宋体" w:cs="宋体"/>
          <w:lang w:eastAsia="zh-CN"/>
        </w:rPr>
        <w:t xml:space="preserve"> 2022; </w:t>
      </w:r>
      <w:r>
        <w:rPr>
          <w:rFonts w:ascii="Book Antiqua" w:hAnsi="Book Antiqua" w:eastAsia="宋体" w:cs="宋体"/>
          <w:b/>
          <w:bCs/>
          <w:lang w:eastAsia="zh-CN"/>
        </w:rPr>
        <w:t>7</w:t>
      </w:r>
      <w:r>
        <w:rPr>
          <w:rFonts w:ascii="Book Antiqua" w:hAnsi="Book Antiqua" w:eastAsia="宋体" w:cs="宋体"/>
          <w:lang w:eastAsia="zh-CN"/>
        </w:rPr>
        <w:t>: 74-76 [PMID: 35146230 DOI: 10.1016/j.vgie.2021.10.009]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151 </w:t>
      </w:r>
      <w:r>
        <w:rPr>
          <w:rFonts w:ascii="Book Antiqua" w:hAnsi="Book Antiqua" w:eastAsia="宋体" w:cs="宋体"/>
          <w:b/>
          <w:bCs/>
          <w:lang w:eastAsia="zh-CN"/>
        </w:rPr>
        <w:t>Akirov A</w:t>
      </w:r>
      <w:r>
        <w:rPr>
          <w:rFonts w:ascii="Book Antiqua" w:hAnsi="Book Antiqua" w:eastAsia="宋体" w:cs="宋体"/>
          <w:lang w:eastAsia="zh-CN"/>
        </w:rPr>
        <w:t xml:space="preserve">, Larouche V, Alshehri S, Asa SL, Ezzat S. Treatment Options for Pancreatic Neuroendocrine Tumors. </w:t>
      </w:r>
      <w:r>
        <w:rPr>
          <w:rFonts w:ascii="Book Antiqua" w:hAnsi="Book Antiqua" w:eastAsia="宋体" w:cs="宋体"/>
          <w:i/>
          <w:iCs/>
          <w:lang w:eastAsia="zh-CN"/>
        </w:rPr>
        <w:t>Cancers (Basel)</w:t>
      </w:r>
      <w:r>
        <w:rPr>
          <w:rFonts w:ascii="Book Antiqua" w:hAnsi="Book Antiqua" w:eastAsia="宋体" w:cs="宋体"/>
          <w:lang w:eastAsia="zh-CN"/>
        </w:rPr>
        <w:t xml:space="preserve"> 2019; </w:t>
      </w:r>
      <w:r>
        <w:rPr>
          <w:rFonts w:ascii="Book Antiqua" w:hAnsi="Book Antiqua" w:eastAsia="宋体" w:cs="宋体"/>
          <w:b/>
          <w:bCs/>
          <w:lang w:eastAsia="zh-CN"/>
        </w:rPr>
        <w:t>11</w:t>
      </w:r>
      <w:r>
        <w:rPr>
          <w:rFonts w:ascii="Book Antiqua" w:hAnsi="Book Antiqua" w:eastAsia="宋体" w:cs="宋体"/>
          <w:lang w:eastAsia="zh-CN"/>
        </w:rPr>
        <w:t xml:space="preserve"> [PMID: 31207914 DOI: 10.3390/cancers11060828]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152 </w:t>
      </w:r>
      <w:r>
        <w:rPr>
          <w:rFonts w:ascii="Book Antiqua" w:hAnsi="Book Antiqua" w:eastAsia="宋体" w:cs="宋体"/>
          <w:b/>
          <w:bCs/>
          <w:lang w:eastAsia="zh-CN"/>
        </w:rPr>
        <w:t>Fairweather M</w:t>
      </w:r>
      <w:r>
        <w:rPr>
          <w:rFonts w:ascii="Book Antiqua" w:hAnsi="Book Antiqua" w:eastAsia="宋体" w:cs="宋体"/>
          <w:lang w:eastAsia="zh-CN"/>
        </w:rPr>
        <w:t xml:space="preserve">, Swanson R, Wang J, Brais LK, Dutton T, Kulke MH, Clancy TE. Management of Neuroendocrine Tumor Liver Metastases: Long-Term Outcomes and Prognostic Factors from a Large Prospective Database. </w:t>
      </w:r>
      <w:r>
        <w:rPr>
          <w:rFonts w:ascii="Book Antiqua" w:hAnsi="Book Antiqua" w:eastAsia="宋体" w:cs="宋体"/>
          <w:i/>
          <w:iCs/>
          <w:lang w:eastAsia="zh-CN"/>
        </w:rPr>
        <w:t>Ann Surg Oncol</w:t>
      </w:r>
      <w:r>
        <w:rPr>
          <w:rFonts w:ascii="Book Antiqua" w:hAnsi="Book Antiqua" w:eastAsia="宋体" w:cs="宋体"/>
          <w:lang w:eastAsia="zh-CN"/>
        </w:rPr>
        <w:t xml:space="preserve"> 2017; </w:t>
      </w:r>
      <w:r>
        <w:rPr>
          <w:rFonts w:ascii="Book Antiqua" w:hAnsi="Book Antiqua" w:eastAsia="宋体" w:cs="宋体"/>
          <w:b/>
          <w:bCs/>
          <w:lang w:eastAsia="zh-CN"/>
        </w:rPr>
        <w:t>24</w:t>
      </w:r>
      <w:r>
        <w:rPr>
          <w:rFonts w:ascii="Book Antiqua" w:hAnsi="Book Antiqua" w:eastAsia="宋体" w:cs="宋体"/>
          <w:lang w:eastAsia="zh-CN"/>
        </w:rPr>
        <w:t>: 2319-2325 [PMID: 28303430 DOI: 10.1245/s10434-017-5839-x]</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153 </w:t>
      </w:r>
      <w:r>
        <w:rPr>
          <w:rFonts w:ascii="Book Antiqua" w:hAnsi="Book Antiqua" w:eastAsia="宋体" w:cs="宋体"/>
          <w:b/>
          <w:bCs/>
          <w:lang w:eastAsia="zh-CN"/>
        </w:rPr>
        <w:t>Frilling A</w:t>
      </w:r>
      <w:r>
        <w:rPr>
          <w:rFonts w:ascii="Book Antiqua" w:hAnsi="Book Antiqua" w:eastAsia="宋体" w:cs="宋体"/>
          <w:lang w:eastAsia="zh-CN"/>
        </w:rPr>
        <w:t xml:space="preserve">, Modlin IM, Kidd M, Russell C, Breitenstein S, Salem R, Kwekkeboom D, Lau WY, Klersy C, Vilgrain V, Davidson B, Siegler M, Caplin M, Solcia E, Schilsky R; Working Group on Neuroendocrine Liver Metastases. Recommendations for management of patients with neuroendocrine liver metastases. </w:t>
      </w:r>
      <w:r>
        <w:rPr>
          <w:rFonts w:ascii="Book Antiqua" w:hAnsi="Book Antiqua" w:eastAsia="宋体" w:cs="宋体"/>
          <w:i/>
          <w:iCs/>
          <w:lang w:eastAsia="zh-CN"/>
        </w:rPr>
        <w:t>Lancet Oncol</w:t>
      </w:r>
      <w:r>
        <w:rPr>
          <w:rFonts w:ascii="Book Antiqua" w:hAnsi="Book Antiqua" w:eastAsia="宋体" w:cs="宋体"/>
          <w:lang w:eastAsia="zh-CN"/>
        </w:rPr>
        <w:t xml:space="preserve"> 2014; </w:t>
      </w:r>
      <w:r>
        <w:rPr>
          <w:rFonts w:ascii="Book Antiqua" w:hAnsi="Book Antiqua" w:eastAsia="宋体" w:cs="宋体"/>
          <w:b/>
          <w:bCs/>
          <w:lang w:eastAsia="zh-CN"/>
        </w:rPr>
        <w:t>15</w:t>
      </w:r>
      <w:r>
        <w:rPr>
          <w:rFonts w:ascii="Book Antiqua" w:hAnsi="Book Antiqua" w:eastAsia="宋体" w:cs="宋体"/>
          <w:lang w:eastAsia="zh-CN"/>
        </w:rPr>
        <w:t>: e8-21 [PMID: 24384494 DOI: 10.1016/S1470-2045(13)70362-0]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154 </w:t>
      </w:r>
      <w:r>
        <w:rPr>
          <w:rFonts w:ascii="Book Antiqua" w:hAnsi="Book Antiqua" w:eastAsia="宋体" w:cs="宋体"/>
          <w:b/>
          <w:bCs/>
          <w:lang w:eastAsia="zh-CN"/>
        </w:rPr>
        <w:t>Bagante F</w:t>
      </w:r>
      <w:r>
        <w:rPr>
          <w:rFonts w:ascii="Book Antiqua" w:hAnsi="Book Antiqua" w:eastAsia="宋体" w:cs="宋体"/>
          <w:lang w:eastAsia="zh-CN"/>
        </w:rPr>
        <w:t xml:space="preserve">, Spolverato G, Merath K, Postlewait LM, Poultsides GA, Mullen MG, Bauer TW, Fields RC, Lamelas J, Marques HP, Aldrighetti L, Tran T, Maithel SK, Pawlik TM. Neuroendocrine liver metastasis: The chance to be cured after liver surgery. </w:t>
      </w:r>
      <w:r>
        <w:rPr>
          <w:rFonts w:ascii="Book Antiqua" w:hAnsi="Book Antiqua" w:eastAsia="宋体" w:cs="宋体"/>
          <w:i/>
          <w:iCs/>
          <w:lang w:eastAsia="zh-CN"/>
        </w:rPr>
        <w:t>J Surg Oncol</w:t>
      </w:r>
      <w:r>
        <w:rPr>
          <w:rFonts w:ascii="Book Antiqua" w:hAnsi="Book Antiqua" w:eastAsia="宋体" w:cs="宋体"/>
          <w:lang w:eastAsia="zh-CN"/>
        </w:rPr>
        <w:t xml:space="preserve"> 2017; </w:t>
      </w:r>
      <w:r>
        <w:rPr>
          <w:rFonts w:ascii="Book Antiqua" w:hAnsi="Book Antiqua" w:eastAsia="宋体" w:cs="宋体"/>
          <w:b/>
          <w:bCs/>
          <w:lang w:eastAsia="zh-CN"/>
        </w:rPr>
        <w:t>115</w:t>
      </w:r>
      <w:r>
        <w:rPr>
          <w:rFonts w:ascii="Book Antiqua" w:hAnsi="Book Antiqua" w:eastAsia="宋体" w:cs="宋体"/>
          <w:lang w:eastAsia="zh-CN"/>
        </w:rPr>
        <w:t>: 687-695 [PMID: 28146608 DOI: 10.1002/jso.24563]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155 </w:t>
      </w:r>
      <w:r>
        <w:rPr>
          <w:rFonts w:ascii="Book Antiqua" w:hAnsi="Book Antiqua" w:eastAsia="宋体" w:cs="宋体"/>
          <w:b/>
          <w:bCs/>
          <w:lang w:eastAsia="zh-CN"/>
        </w:rPr>
        <w:t>Nguyen SQ</w:t>
      </w:r>
      <w:r>
        <w:rPr>
          <w:rFonts w:ascii="Book Antiqua" w:hAnsi="Book Antiqua" w:eastAsia="宋体" w:cs="宋体"/>
          <w:bCs/>
          <w:lang w:eastAsia="zh-CN"/>
        </w:rPr>
        <w:t xml:space="preserve">, Angel LP, Divino CM, Schluender S, Warner RR. Surgery in malignant pancreatic neuroendocrine tumors. </w:t>
      </w:r>
      <w:r>
        <w:rPr>
          <w:rFonts w:ascii="Book Antiqua" w:hAnsi="Book Antiqua" w:eastAsia="宋体" w:cs="宋体"/>
          <w:bCs/>
          <w:i/>
          <w:lang w:eastAsia="zh-CN"/>
        </w:rPr>
        <w:t>J Surg Oncol</w:t>
      </w:r>
      <w:r>
        <w:rPr>
          <w:rFonts w:ascii="Book Antiqua" w:hAnsi="Book Antiqua" w:eastAsia="宋体" w:cs="宋体"/>
          <w:bCs/>
          <w:lang w:eastAsia="zh-CN"/>
        </w:rPr>
        <w:t xml:space="preserve"> 2007;</w:t>
      </w:r>
      <w:r>
        <w:rPr>
          <w:rFonts w:hint="eastAsia" w:ascii="Book Antiqua" w:hAnsi="Book Antiqua" w:eastAsia="宋体" w:cs="宋体"/>
          <w:bCs/>
          <w:lang w:eastAsia="zh-CN"/>
        </w:rPr>
        <w:t xml:space="preserve"> </w:t>
      </w:r>
      <w:r>
        <w:rPr>
          <w:rFonts w:ascii="Book Antiqua" w:hAnsi="Book Antiqua" w:eastAsia="宋体" w:cs="宋体"/>
          <w:b/>
          <w:bCs/>
          <w:lang w:eastAsia="zh-CN"/>
        </w:rPr>
        <w:t>96</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397-403 </w:t>
      </w:r>
      <w:r>
        <w:rPr>
          <w:rFonts w:hint="eastAsia" w:ascii="Book Antiqua" w:hAnsi="Book Antiqua" w:eastAsia="宋体" w:cs="宋体"/>
          <w:bCs/>
          <w:lang w:eastAsia="zh-CN"/>
        </w:rPr>
        <w:t>[</w:t>
      </w:r>
      <w:r>
        <w:rPr>
          <w:rFonts w:ascii="Book Antiqua" w:hAnsi="Book Antiqua" w:eastAsia="宋体" w:cs="宋体"/>
          <w:bCs/>
          <w:lang w:eastAsia="zh-CN"/>
        </w:rPr>
        <w:t>PMID: 17469119</w:t>
      </w:r>
      <w:r>
        <w:rPr>
          <w:rFonts w:hint="eastAsia" w:ascii="Book Antiqua" w:hAnsi="Book Antiqua" w:eastAsia="宋体" w:cs="宋体"/>
          <w:bCs/>
          <w:lang w:eastAsia="zh-CN"/>
        </w:rPr>
        <w:t xml:space="preserve"> DOI</w:t>
      </w:r>
      <w:r>
        <w:rPr>
          <w:rFonts w:ascii="Book Antiqua" w:hAnsi="Book Antiqua" w:eastAsia="宋体" w:cs="宋体"/>
          <w:bCs/>
          <w:lang w:eastAsia="zh-CN"/>
        </w:rPr>
        <w:t>: 10.1002/jso.20824</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156 </w:t>
      </w:r>
      <w:r>
        <w:rPr>
          <w:rFonts w:ascii="Book Antiqua" w:hAnsi="Book Antiqua" w:eastAsia="宋体" w:cs="宋体"/>
          <w:b/>
          <w:bCs/>
          <w:lang w:eastAsia="zh-CN"/>
        </w:rPr>
        <w:t>Rossi RE</w:t>
      </w:r>
      <w:r>
        <w:rPr>
          <w:rFonts w:ascii="Book Antiqua" w:hAnsi="Book Antiqua" w:eastAsia="宋体" w:cs="宋体"/>
          <w:lang w:eastAsia="zh-CN"/>
        </w:rPr>
        <w:t xml:space="preserve">, Massironi S, Conte D, Peracchi M. Therapy for metastatic pancreatic neuroendocrine tumors. </w:t>
      </w:r>
      <w:r>
        <w:rPr>
          <w:rFonts w:ascii="Book Antiqua" w:hAnsi="Book Antiqua" w:eastAsia="宋体" w:cs="宋体"/>
          <w:i/>
          <w:iCs/>
          <w:lang w:eastAsia="zh-CN"/>
        </w:rPr>
        <w:t>Ann Transl Med</w:t>
      </w:r>
      <w:r>
        <w:rPr>
          <w:rFonts w:ascii="Book Antiqua" w:hAnsi="Book Antiqua" w:eastAsia="宋体" w:cs="宋体"/>
          <w:lang w:eastAsia="zh-CN"/>
        </w:rPr>
        <w:t xml:space="preserve"> 2014; </w:t>
      </w:r>
      <w:r>
        <w:rPr>
          <w:rFonts w:ascii="Book Antiqua" w:hAnsi="Book Antiqua" w:eastAsia="宋体" w:cs="宋体"/>
          <w:b/>
          <w:bCs/>
          <w:lang w:eastAsia="zh-CN"/>
        </w:rPr>
        <w:t>2</w:t>
      </w:r>
      <w:r>
        <w:rPr>
          <w:rFonts w:ascii="Book Antiqua" w:hAnsi="Book Antiqua" w:eastAsia="宋体" w:cs="宋体"/>
          <w:lang w:eastAsia="zh-CN"/>
        </w:rPr>
        <w:t>: 8 [PMID: 25332984 DOI: 10.3978/j.issn.2305-5839.2013.03.01]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157 </w:t>
      </w:r>
      <w:r>
        <w:rPr>
          <w:rFonts w:ascii="Book Antiqua" w:hAnsi="Book Antiqua" w:eastAsia="宋体" w:cs="宋体"/>
          <w:b/>
          <w:bCs/>
          <w:lang w:eastAsia="zh-CN"/>
        </w:rPr>
        <w:t>Kalra N</w:t>
      </w:r>
      <w:r>
        <w:rPr>
          <w:rFonts w:ascii="Book Antiqua" w:hAnsi="Book Antiqua" w:eastAsia="宋体" w:cs="宋体"/>
          <w:lang w:eastAsia="zh-CN"/>
        </w:rPr>
        <w:t xml:space="preserve">, Gupta P, Jugpal T, Naik SS, Gorsi U, Chaluvashetty SB, Bhujade H, Duseja A, Singh V, Dhiman RK, Sandhu MS. Percutaneous Cryoablation of Liver Tumors: Initial Experience from a Tertiary Care Center in India. </w:t>
      </w:r>
      <w:r>
        <w:rPr>
          <w:rFonts w:ascii="Book Antiqua" w:hAnsi="Book Antiqua" w:eastAsia="宋体" w:cs="宋体"/>
          <w:i/>
          <w:iCs/>
          <w:lang w:eastAsia="zh-CN"/>
        </w:rPr>
        <w:t>J Clin Exp Hepatol</w:t>
      </w:r>
      <w:r>
        <w:rPr>
          <w:rFonts w:ascii="Book Antiqua" w:hAnsi="Book Antiqua" w:eastAsia="宋体" w:cs="宋体"/>
          <w:lang w:eastAsia="zh-CN"/>
        </w:rPr>
        <w:t xml:space="preserve"> 2021; </w:t>
      </w:r>
      <w:r>
        <w:rPr>
          <w:rFonts w:ascii="Book Antiqua" w:hAnsi="Book Antiqua" w:eastAsia="宋体" w:cs="宋体"/>
          <w:b/>
          <w:bCs/>
          <w:lang w:eastAsia="zh-CN"/>
        </w:rPr>
        <w:t>11</w:t>
      </w:r>
      <w:r>
        <w:rPr>
          <w:rFonts w:ascii="Book Antiqua" w:hAnsi="Book Antiqua" w:eastAsia="宋体" w:cs="宋体"/>
          <w:lang w:eastAsia="zh-CN"/>
        </w:rPr>
        <w:t>: 305-311 [PMID: 33994713 DOI: 10.1016/j.jceh.2020.10.005]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158 </w:t>
      </w:r>
      <w:r>
        <w:rPr>
          <w:rFonts w:ascii="Book Antiqua" w:hAnsi="Book Antiqua" w:eastAsia="宋体" w:cs="宋体"/>
          <w:b/>
          <w:bCs/>
          <w:lang w:eastAsia="zh-CN"/>
        </w:rPr>
        <w:t>Jensen RT</w:t>
      </w:r>
      <w:r>
        <w:rPr>
          <w:rFonts w:ascii="Book Antiqua" w:hAnsi="Book Antiqua" w:eastAsia="宋体" w:cs="宋体"/>
          <w:lang w:eastAsia="zh-CN"/>
        </w:rPr>
        <w:t xml:space="preserve">, Cadiot G, Brandi ML, de Herder WW, Kaltsas G, Komminoth P, Scoazec JY, Salazar R, Sauvanet A, Kianmanesh R; Barcelona Consensus Conference participants. ENETS Consensus Guidelines for the management of patients with digestive neuroendocrine neoplasms: functional pancreatic endocrine tumor syndromes. </w:t>
      </w:r>
      <w:r>
        <w:rPr>
          <w:rFonts w:ascii="Book Antiqua" w:hAnsi="Book Antiqua" w:eastAsia="宋体" w:cs="宋体"/>
          <w:i/>
          <w:iCs/>
          <w:lang w:eastAsia="zh-CN"/>
        </w:rPr>
        <w:t>Neuroendocrinology</w:t>
      </w:r>
      <w:r>
        <w:rPr>
          <w:rFonts w:ascii="Book Antiqua" w:hAnsi="Book Antiqua" w:eastAsia="宋体" w:cs="宋体"/>
          <w:lang w:eastAsia="zh-CN"/>
        </w:rPr>
        <w:t xml:space="preserve"> 2012; </w:t>
      </w:r>
      <w:r>
        <w:rPr>
          <w:rFonts w:ascii="Book Antiqua" w:hAnsi="Book Antiqua" w:eastAsia="宋体" w:cs="宋体"/>
          <w:b/>
          <w:bCs/>
          <w:lang w:eastAsia="zh-CN"/>
        </w:rPr>
        <w:t>95</w:t>
      </w:r>
      <w:r>
        <w:rPr>
          <w:rFonts w:ascii="Book Antiqua" w:hAnsi="Book Antiqua" w:eastAsia="宋体" w:cs="宋体"/>
          <w:lang w:eastAsia="zh-CN"/>
        </w:rPr>
        <w:t>: 98-119 [PMID: 22261919 DOI: 10.1159/000335591]</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159 </w:t>
      </w:r>
      <w:r>
        <w:rPr>
          <w:rFonts w:ascii="Book Antiqua" w:hAnsi="Book Antiqua" w:eastAsia="宋体" w:cs="宋体"/>
          <w:b/>
          <w:bCs/>
          <w:lang w:eastAsia="zh-CN"/>
        </w:rPr>
        <w:t>Li D</w:t>
      </w:r>
      <w:r>
        <w:rPr>
          <w:rFonts w:ascii="Book Antiqua" w:hAnsi="Book Antiqua" w:eastAsia="宋体" w:cs="宋体"/>
          <w:lang w:eastAsia="zh-CN"/>
        </w:rPr>
        <w:t xml:space="preserve">, Rock A, Kessler J, Ballena R, Hyder S, Mo C, Chang S, Singh G. Understanding the Management and Treatment of Well-Differentiated Pancreatic Neuroendocrine Tumors: A Clinician's Guide to a Complex Illness. </w:t>
      </w:r>
      <w:r>
        <w:rPr>
          <w:rFonts w:ascii="Book Antiqua" w:hAnsi="Book Antiqua" w:eastAsia="宋体" w:cs="宋体"/>
          <w:i/>
          <w:iCs/>
          <w:lang w:eastAsia="zh-CN"/>
        </w:rPr>
        <w:t>JCO Oncol Pract</w:t>
      </w:r>
      <w:r>
        <w:rPr>
          <w:rFonts w:ascii="Book Antiqua" w:hAnsi="Book Antiqua" w:eastAsia="宋体" w:cs="宋体"/>
          <w:lang w:eastAsia="zh-CN"/>
        </w:rPr>
        <w:t xml:space="preserve"> 2020; </w:t>
      </w:r>
      <w:r>
        <w:rPr>
          <w:rFonts w:ascii="Book Antiqua" w:hAnsi="Book Antiqua" w:eastAsia="宋体" w:cs="宋体"/>
          <w:b/>
          <w:bCs/>
          <w:lang w:eastAsia="zh-CN"/>
        </w:rPr>
        <w:t>16</w:t>
      </w:r>
      <w:r>
        <w:rPr>
          <w:rFonts w:ascii="Book Antiqua" w:hAnsi="Book Antiqua" w:eastAsia="宋体" w:cs="宋体"/>
          <w:lang w:eastAsia="zh-CN"/>
        </w:rPr>
        <w:t>: 720-728 [PMID: 33085933 DOI: 10.1200/JCOOP.20.00010]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160 </w:t>
      </w:r>
      <w:r>
        <w:rPr>
          <w:rFonts w:ascii="Book Antiqua" w:hAnsi="Book Antiqua" w:eastAsia="宋体" w:cs="宋体"/>
          <w:b/>
          <w:bCs/>
          <w:lang w:eastAsia="zh-CN"/>
        </w:rPr>
        <w:t>Caplin ME</w:t>
      </w:r>
      <w:r>
        <w:rPr>
          <w:rFonts w:ascii="Book Antiqua" w:hAnsi="Book Antiqua" w:eastAsia="宋体" w:cs="宋体"/>
          <w:lang w:eastAsia="zh-CN"/>
        </w:rPr>
        <w:t xml:space="preserve">, Pavel M, Ćwikła JB, Phan AT, Raderer M, Sedláčková E, Cadiot G, Wolin EM, Capdevila J, Wall L, Rindi G, Langley A, Martinez S, Blumberg J, Ruszniewski P; CLARINET Investigators. Lanreotide in metastatic enteropancreatic neuroendocrine tumors. </w:t>
      </w:r>
      <w:r>
        <w:rPr>
          <w:rFonts w:ascii="Book Antiqua" w:hAnsi="Book Antiqua" w:eastAsia="宋体" w:cs="宋体"/>
          <w:i/>
          <w:iCs/>
          <w:lang w:eastAsia="zh-CN"/>
        </w:rPr>
        <w:t>N Engl J Med</w:t>
      </w:r>
      <w:r>
        <w:rPr>
          <w:rFonts w:ascii="Book Antiqua" w:hAnsi="Book Antiqua" w:eastAsia="宋体" w:cs="宋体"/>
          <w:lang w:eastAsia="zh-CN"/>
        </w:rPr>
        <w:t xml:space="preserve"> 2014; </w:t>
      </w:r>
      <w:r>
        <w:rPr>
          <w:rFonts w:ascii="Book Antiqua" w:hAnsi="Book Antiqua" w:eastAsia="宋体" w:cs="宋体"/>
          <w:b/>
          <w:bCs/>
          <w:lang w:eastAsia="zh-CN"/>
        </w:rPr>
        <w:t>371</w:t>
      </w:r>
      <w:r>
        <w:rPr>
          <w:rFonts w:ascii="Book Antiqua" w:hAnsi="Book Antiqua" w:eastAsia="宋体" w:cs="宋体"/>
          <w:lang w:eastAsia="zh-CN"/>
        </w:rPr>
        <w:t>: 224-233 [PMID: 25014687 DOI: 10.1056/NEJMoa1316158]</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161 </w:t>
      </w:r>
      <w:r>
        <w:rPr>
          <w:rFonts w:ascii="Book Antiqua" w:hAnsi="Book Antiqua" w:eastAsia="宋体" w:cs="宋体"/>
          <w:b/>
          <w:bCs/>
          <w:lang w:eastAsia="zh-CN"/>
        </w:rPr>
        <w:t>Raymond E</w:t>
      </w:r>
      <w:r>
        <w:rPr>
          <w:rFonts w:ascii="Book Antiqua" w:hAnsi="Book Antiqua" w:eastAsia="宋体" w:cs="宋体"/>
          <w:lang w:eastAsia="zh-CN"/>
        </w:rPr>
        <w:t xml:space="preserve">, Dahan L, Raoul JL, Bang YJ, Borbath I, Lombard-Bohas C, Valle J, Metrakos P, Smith D, Vinik A, Chen JS, Hörsch D, Hammel P, Wiedenmann B, Van Cutsem E, Patyna S, Lu DR, Blanckmeister C, Chao R, Ruszniewski P. Sunitinib malate for the treatment of pancreatic neuroendocrine tumors. </w:t>
      </w:r>
      <w:r>
        <w:rPr>
          <w:rFonts w:ascii="Book Antiqua" w:hAnsi="Book Antiqua" w:eastAsia="宋体" w:cs="宋体"/>
          <w:i/>
          <w:iCs/>
          <w:lang w:eastAsia="zh-CN"/>
        </w:rPr>
        <w:t>N Engl J Med</w:t>
      </w:r>
      <w:r>
        <w:rPr>
          <w:rFonts w:ascii="Book Antiqua" w:hAnsi="Book Antiqua" w:eastAsia="宋体" w:cs="宋体"/>
          <w:lang w:eastAsia="zh-CN"/>
        </w:rPr>
        <w:t xml:space="preserve"> 2011; </w:t>
      </w:r>
      <w:r>
        <w:rPr>
          <w:rFonts w:ascii="Book Antiqua" w:hAnsi="Book Antiqua" w:eastAsia="宋体" w:cs="宋体"/>
          <w:b/>
          <w:bCs/>
          <w:lang w:eastAsia="zh-CN"/>
        </w:rPr>
        <w:t>364</w:t>
      </w:r>
      <w:r>
        <w:rPr>
          <w:rFonts w:ascii="Book Antiqua" w:hAnsi="Book Antiqua" w:eastAsia="宋体" w:cs="宋体"/>
          <w:lang w:eastAsia="zh-CN"/>
        </w:rPr>
        <w:t>: 501-513 [PMID: 21306237 DOI: 10.1056/NEJMoa1003825]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162 </w:t>
      </w:r>
      <w:r>
        <w:rPr>
          <w:rFonts w:ascii="Book Antiqua" w:hAnsi="Book Antiqua" w:eastAsia="宋体" w:cs="宋体"/>
          <w:b/>
          <w:bCs/>
          <w:lang w:eastAsia="zh-CN"/>
        </w:rPr>
        <w:t>Sahu A</w:t>
      </w:r>
      <w:r>
        <w:rPr>
          <w:rFonts w:ascii="Book Antiqua" w:hAnsi="Book Antiqua" w:eastAsia="宋体" w:cs="宋体"/>
          <w:lang w:eastAsia="zh-CN"/>
        </w:rPr>
        <w:t xml:space="preserve">, Jefford M, Lai-Kwon J, Thai A, Hicks RJ, Michael M. CAPTEM in Metastatic Well-Differentiated Intermediate to High Grade Neuroendocrine Tumors: A Single Centre Experience. </w:t>
      </w:r>
      <w:r>
        <w:rPr>
          <w:rFonts w:ascii="Book Antiqua" w:hAnsi="Book Antiqua" w:eastAsia="宋体" w:cs="宋体"/>
          <w:i/>
          <w:iCs/>
          <w:lang w:eastAsia="zh-CN"/>
        </w:rPr>
        <w:t>J Oncol</w:t>
      </w:r>
      <w:r>
        <w:rPr>
          <w:rFonts w:ascii="Book Antiqua" w:hAnsi="Book Antiqua" w:eastAsia="宋体" w:cs="宋体"/>
          <w:lang w:eastAsia="zh-CN"/>
        </w:rPr>
        <w:t xml:space="preserve"> 2019; </w:t>
      </w:r>
      <w:r>
        <w:rPr>
          <w:rFonts w:ascii="Book Antiqua" w:hAnsi="Book Antiqua" w:eastAsia="宋体" w:cs="宋体"/>
          <w:b/>
          <w:bCs/>
          <w:lang w:eastAsia="zh-CN"/>
        </w:rPr>
        <w:t>2019</w:t>
      </w:r>
      <w:r>
        <w:rPr>
          <w:rFonts w:ascii="Book Antiqua" w:hAnsi="Book Antiqua" w:eastAsia="宋体" w:cs="宋体"/>
          <w:lang w:eastAsia="zh-CN"/>
        </w:rPr>
        <w:t>: 9032753 [PMID: 30915122 DOI: 10.1155/2019/9032753]</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163 </w:t>
      </w:r>
      <w:r>
        <w:rPr>
          <w:rFonts w:ascii="Book Antiqua" w:hAnsi="Book Antiqua" w:eastAsia="宋体" w:cs="宋体"/>
          <w:b/>
          <w:bCs/>
          <w:lang w:eastAsia="zh-CN"/>
        </w:rPr>
        <w:t>Walter T</w:t>
      </w:r>
      <w:r>
        <w:rPr>
          <w:rFonts w:ascii="Book Antiqua" w:hAnsi="Book Antiqua" w:eastAsia="宋体" w:cs="宋体"/>
          <w:lang w:eastAsia="zh-CN"/>
        </w:rPr>
        <w:t xml:space="preserve">, van Brakel B, Vercherat C, Hervieu V, Forestier J, Chayvialle JA, Molin Y, Lombard-Bohas C, Joly MO, Scoazec JY. O6-Methylguanine-DNA methyltransferase status in neuroendocrine tumours: prognostic relevance and association with response to alkylating agents. </w:t>
      </w:r>
      <w:r>
        <w:rPr>
          <w:rFonts w:ascii="Book Antiqua" w:hAnsi="Book Antiqua" w:eastAsia="宋体" w:cs="宋体"/>
          <w:i/>
          <w:iCs/>
          <w:lang w:eastAsia="zh-CN"/>
        </w:rPr>
        <w:t>Br J Cancer</w:t>
      </w:r>
      <w:r>
        <w:rPr>
          <w:rFonts w:ascii="Book Antiqua" w:hAnsi="Book Antiqua" w:eastAsia="宋体" w:cs="宋体"/>
          <w:lang w:eastAsia="zh-CN"/>
        </w:rPr>
        <w:t xml:space="preserve"> 2015; </w:t>
      </w:r>
      <w:r>
        <w:rPr>
          <w:rFonts w:ascii="Book Antiqua" w:hAnsi="Book Antiqua" w:eastAsia="宋体" w:cs="宋体"/>
          <w:b/>
          <w:bCs/>
          <w:lang w:eastAsia="zh-CN"/>
        </w:rPr>
        <w:t>112</w:t>
      </w:r>
      <w:r>
        <w:rPr>
          <w:rFonts w:ascii="Book Antiqua" w:hAnsi="Book Antiqua" w:eastAsia="宋体" w:cs="宋体"/>
          <w:lang w:eastAsia="zh-CN"/>
        </w:rPr>
        <w:t>: 523-531 [PMID: 25584486 DOI: 10.1038/bjc.2014.660]</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164 </w:t>
      </w:r>
      <w:r>
        <w:rPr>
          <w:rFonts w:ascii="Book Antiqua" w:hAnsi="Book Antiqua" w:eastAsia="宋体" w:cs="宋体"/>
          <w:b/>
          <w:bCs/>
          <w:lang w:eastAsia="zh-CN"/>
        </w:rPr>
        <w:t>Ma ZY</w:t>
      </w:r>
      <w:r>
        <w:rPr>
          <w:rFonts w:ascii="Book Antiqua" w:hAnsi="Book Antiqua" w:eastAsia="宋体" w:cs="宋体"/>
          <w:bCs/>
          <w:lang w:eastAsia="zh-CN"/>
        </w:rPr>
        <w:t xml:space="preserve">, Gong YF, Zhuang HK, Zhou ZX, Huang SZ, Zou YP, Huang BW, Sun ZH, Zhang CZ, Tang YQ, Hou BH. Pancreatic neuroendocrine tumors: A review of serum biomarkers, staging, and management. </w:t>
      </w:r>
      <w:r>
        <w:rPr>
          <w:rFonts w:ascii="Book Antiqua" w:hAnsi="Book Antiqua" w:eastAsia="宋体" w:cs="宋体"/>
          <w:bCs/>
          <w:i/>
          <w:lang w:eastAsia="zh-CN"/>
        </w:rPr>
        <w:t>World J Gastroenterol</w:t>
      </w:r>
      <w:r>
        <w:rPr>
          <w:rFonts w:ascii="Book Antiqua" w:hAnsi="Book Antiqua" w:eastAsia="宋体" w:cs="宋体"/>
          <w:bCs/>
          <w:lang w:eastAsia="zh-CN"/>
        </w:rPr>
        <w:t xml:space="preserve"> 2020;</w:t>
      </w:r>
      <w:r>
        <w:rPr>
          <w:rFonts w:hint="eastAsia" w:ascii="Book Antiqua" w:hAnsi="Book Antiqua" w:eastAsia="宋体" w:cs="宋体"/>
          <w:bCs/>
          <w:lang w:eastAsia="zh-CN"/>
        </w:rPr>
        <w:t xml:space="preserve"> </w:t>
      </w:r>
      <w:r>
        <w:rPr>
          <w:rFonts w:ascii="Book Antiqua" w:hAnsi="Book Antiqua" w:eastAsia="宋体" w:cs="宋体"/>
          <w:b/>
          <w:bCs/>
          <w:lang w:eastAsia="zh-CN"/>
        </w:rPr>
        <w:t>26</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2305-2322 </w:t>
      </w:r>
      <w:r>
        <w:rPr>
          <w:rFonts w:hint="eastAsia" w:ascii="Book Antiqua" w:hAnsi="Book Antiqua" w:eastAsia="宋体" w:cs="宋体"/>
          <w:bCs/>
          <w:lang w:eastAsia="zh-CN"/>
        </w:rPr>
        <w:t>[</w:t>
      </w:r>
      <w:r>
        <w:rPr>
          <w:rFonts w:ascii="Book Antiqua" w:hAnsi="Book Antiqua" w:eastAsia="宋体" w:cs="宋体"/>
          <w:bCs/>
          <w:lang w:eastAsia="zh-CN"/>
        </w:rPr>
        <w:t>PMID: 32476795</w:t>
      </w:r>
      <w:r>
        <w:rPr>
          <w:rFonts w:hint="eastAsia" w:ascii="Book Antiqua" w:hAnsi="Book Antiqua" w:eastAsia="宋体" w:cs="宋体"/>
          <w:bCs/>
          <w:lang w:eastAsia="zh-CN"/>
        </w:rPr>
        <w:t xml:space="preserve"> DOI</w:t>
      </w:r>
      <w:r>
        <w:rPr>
          <w:rFonts w:ascii="Book Antiqua" w:hAnsi="Book Antiqua" w:eastAsia="宋体" w:cs="宋体"/>
          <w:bCs/>
          <w:lang w:eastAsia="zh-CN"/>
        </w:rPr>
        <w:t>: 10.3748/wjg.v26.i19.2305</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165 </w:t>
      </w:r>
      <w:r>
        <w:rPr>
          <w:rFonts w:ascii="Book Antiqua" w:hAnsi="Book Antiqua" w:eastAsia="宋体" w:cs="宋体"/>
          <w:b/>
          <w:bCs/>
          <w:lang w:eastAsia="zh-CN"/>
        </w:rPr>
        <w:t>Yao JC</w:t>
      </w:r>
      <w:r>
        <w:rPr>
          <w:rFonts w:ascii="Book Antiqua" w:hAnsi="Book Antiqua" w:eastAsia="宋体" w:cs="宋体"/>
          <w:lang w:eastAsia="zh-CN"/>
        </w:rPr>
        <w:t xml:space="preserve">, Pavel M, Lombard-Bohas C, Van Cutsem E, Voi M, Brandt U, He W, Chen D, Capdevila J, de Vries EGE, Tomassetti P, Hobday T, Pommier R, Öberg K. Everolimus for the Treatment of Advanced Pancreatic Neuroendocrine Tumors: Overall Survival and Circulating Biomarkers From the Randomized, Phase III RADIANT-3 Study. </w:t>
      </w:r>
      <w:r>
        <w:rPr>
          <w:rFonts w:ascii="Book Antiqua" w:hAnsi="Book Antiqua" w:eastAsia="宋体" w:cs="宋体"/>
          <w:i/>
          <w:iCs/>
          <w:lang w:eastAsia="zh-CN"/>
        </w:rPr>
        <w:t>J Clin Oncol</w:t>
      </w:r>
      <w:r>
        <w:rPr>
          <w:rFonts w:ascii="Book Antiqua" w:hAnsi="Book Antiqua" w:eastAsia="宋体" w:cs="宋体"/>
          <w:lang w:eastAsia="zh-CN"/>
        </w:rPr>
        <w:t xml:space="preserve"> 2016; </w:t>
      </w:r>
      <w:r>
        <w:rPr>
          <w:rFonts w:ascii="Book Antiqua" w:hAnsi="Book Antiqua" w:eastAsia="宋体" w:cs="宋体"/>
          <w:b/>
          <w:bCs/>
          <w:lang w:eastAsia="zh-CN"/>
        </w:rPr>
        <w:t>34</w:t>
      </w:r>
      <w:r>
        <w:rPr>
          <w:rFonts w:ascii="Book Antiqua" w:hAnsi="Book Antiqua" w:eastAsia="宋体" w:cs="宋体"/>
          <w:lang w:eastAsia="zh-CN"/>
        </w:rPr>
        <w:t>: 3906-3913 [PMID: 27621394 DOI: 10.1200/JCO.2016.68.0702]</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166 </w:t>
      </w:r>
      <w:r>
        <w:rPr>
          <w:rFonts w:ascii="Book Antiqua" w:hAnsi="Book Antiqua" w:eastAsia="宋体" w:cs="宋体"/>
          <w:b/>
          <w:bCs/>
          <w:lang w:eastAsia="zh-CN"/>
        </w:rPr>
        <w:t>Raymond E</w:t>
      </w:r>
      <w:r>
        <w:rPr>
          <w:rFonts w:ascii="Book Antiqua" w:hAnsi="Book Antiqua" w:eastAsia="宋体" w:cs="宋体"/>
          <w:lang w:eastAsia="zh-CN"/>
        </w:rPr>
        <w:t xml:space="preserve">, Kulke MH, Qin S, Yu X, Schenker M, Cubillo A, Lou W, Tomasek J, Thiis-Evensen E, Xu JM, Croitoru AE, Khasraw M, Sedlackova E, Borbath I, Ruff P, Oberstein PE, Ito T, Jia L, Hammel P, Shen L, Shrikhande SV, Shen Y, Sufliarsky J, Khan GN, Morizane C, Galdy S, Khosravan R, Fernandez KC, Rosbrook B, Fazio N. Efficacy and Safety of Sunitinib in Patients with Well-Differentiated Pancreatic Neuroendocrine Tumours. </w:t>
      </w:r>
      <w:r>
        <w:rPr>
          <w:rFonts w:ascii="Book Antiqua" w:hAnsi="Book Antiqua" w:eastAsia="宋体" w:cs="宋体"/>
          <w:i/>
          <w:iCs/>
          <w:lang w:eastAsia="zh-CN"/>
        </w:rPr>
        <w:t>Neuroendocrinology</w:t>
      </w:r>
      <w:r>
        <w:rPr>
          <w:rFonts w:ascii="Book Antiqua" w:hAnsi="Book Antiqua" w:eastAsia="宋体" w:cs="宋体"/>
          <w:lang w:eastAsia="zh-CN"/>
        </w:rPr>
        <w:t xml:space="preserve"> 2018; </w:t>
      </w:r>
      <w:r>
        <w:rPr>
          <w:rFonts w:ascii="Book Antiqua" w:hAnsi="Book Antiqua" w:eastAsia="宋体" w:cs="宋体"/>
          <w:b/>
          <w:bCs/>
          <w:lang w:eastAsia="zh-CN"/>
        </w:rPr>
        <w:t>107</w:t>
      </w:r>
      <w:r>
        <w:rPr>
          <w:rFonts w:ascii="Book Antiqua" w:hAnsi="Book Antiqua" w:eastAsia="宋体" w:cs="宋体"/>
          <w:lang w:eastAsia="zh-CN"/>
        </w:rPr>
        <w:t>: 237-245 [PMID: 29991024 DOI: 10.1159/000491999]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167 </w:t>
      </w:r>
      <w:r>
        <w:rPr>
          <w:rFonts w:ascii="Book Antiqua" w:hAnsi="Book Antiqua" w:eastAsia="宋体" w:cs="宋体"/>
          <w:b/>
          <w:bCs/>
          <w:lang w:eastAsia="zh-CN"/>
        </w:rPr>
        <w:t>Strosberg J</w:t>
      </w:r>
      <w:r>
        <w:rPr>
          <w:rFonts w:ascii="Book Antiqua" w:hAnsi="Book Antiqua" w:eastAsia="宋体" w:cs="宋体"/>
          <w:lang w:eastAsia="zh-CN"/>
        </w:rPr>
        <w:t xml:space="preserve">, El-Haddad G, Wolin E, Hendifar A, Yao J, Chasen B, Mittra E, Kunz PL, Kulke MH, Jacene H, Bushnell D, O'Dorisio TM, Baum RP, Kulkarni HR, Caplin M, Lebtahi R, Hobday T, Delpassand E, Van Cutsem E, Benson A, Srirajaskanthan R, Pavel M, Mora J, Berlin J, Grande E, Reed N, Seregni E, Öberg K, Lopera Sierra M, Santoro P, Thevenet T, Erion JL, Ruszniewski P, Kwekkeboom D, Krenning E; NETTER-1 Trial Investigators. Phase 3 Trial of </w:t>
      </w:r>
      <w:r>
        <w:rPr>
          <w:rFonts w:ascii="Book Antiqua" w:hAnsi="Book Antiqua" w:eastAsia="宋体" w:cs="宋体"/>
          <w:vertAlign w:val="superscript"/>
          <w:lang w:eastAsia="zh-CN"/>
        </w:rPr>
        <w:t>177</w:t>
      </w:r>
      <w:r>
        <w:rPr>
          <w:rFonts w:ascii="Book Antiqua" w:hAnsi="Book Antiqua" w:eastAsia="宋体" w:cs="宋体"/>
          <w:lang w:eastAsia="zh-CN"/>
        </w:rPr>
        <w:t xml:space="preserve">Lu-Dotatate for Midgut Neuroendocrine Tumors. </w:t>
      </w:r>
      <w:r>
        <w:rPr>
          <w:rFonts w:ascii="Book Antiqua" w:hAnsi="Book Antiqua" w:eastAsia="宋体" w:cs="宋体"/>
          <w:i/>
          <w:iCs/>
          <w:lang w:eastAsia="zh-CN"/>
        </w:rPr>
        <w:t>N Engl J Med</w:t>
      </w:r>
      <w:r>
        <w:rPr>
          <w:rFonts w:ascii="Book Antiqua" w:hAnsi="Book Antiqua" w:eastAsia="宋体" w:cs="宋体"/>
          <w:lang w:eastAsia="zh-CN"/>
        </w:rPr>
        <w:t xml:space="preserve"> 2017; </w:t>
      </w:r>
      <w:r>
        <w:rPr>
          <w:rFonts w:ascii="Book Antiqua" w:hAnsi="Book Antiqua" w:eastAsia="宋体" w:cs="宋体"/>
          <w:b/>
          <w:bCs/>
          <w:lang w:eastAsia="zh-CN"/>
        </w:rPr>
        <w:t>376</w:t>
      </w:r>
      <w:r>
        <w:rPr>
          <w:rFonts w:ascii="Book Antiqua" w:hAnsi="Book Antiqua" w:eastAsia="宋体" w:cs="宋体"/>
          <w:lang w:eastAsia="zh-CN"/>
        </w:rPr>
        <w:t>: 125-135 [PMID: 28076709 DOI: 10.1056/NEJMoa1607427]</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168 </w:t>
      </w:r>
      <w:r>
        <w:rPr>
          <w:rFonts w:ascii="Book Antiqua" w:hAnsi="Book Antiqua" w:eastAsia="宋体" w:cs="宋体"/>
          <w:b/>
          <w:bCs/>
          <w:lang w:eastAsia="zh-CN"/>
        </w:rPr>
        <w:t>Brabander T</w:t>
      </w:r>
      <w:r>
        <w:rPr>
          <w:rFonts w:ascii="Book Antiqua" w:hAnsi="Book Antiqua" w:eastAsia="宋体" w:cs="宋体"/>
          <w:bCs/>
          <w:lang w:eastAsia="zh-CN"/>
        </w:rPr>
        <w:t xml:space="preserve">, van der Zwan WA, Teunissen JJM, Kam BLR, Feelders RA, de Herder WW, van Eijck CHJ, Franssen GJH, Krenning EP, Kwekkeboom DJ. Long-Term Efficacy, Survival, and Safety of [177Lu-DOTA0,Tyr3]octreotate in Patients with Gastroenteropancreatic and Bronchial Neuroendocrine Tumors. </w:t>
      </w:r>
      <w:r>
        <w:rPr>
          <w:rFonts w:ascii="Book Antiqua" w:hAnsi="Book Antiqua" w:eastAsia="宋体" w:cs="宋体"/>
          <w:bCs/>
          <w:i/>
          <w:lang w:eastAsia="zh-CN"/>
        </w:rPr>
        <w:t>Clin Cancer Res</w:t>
      </w:r>
      <w:r>
        <w:rPr>
          <w:rFonts w:ascii="Book Antiqua" w:hAnsi="Book Antiqua" w:eastAsia="宋体" w:cs="宋体"/>
          <w:bCs/>
          <w:lang w:eastAsia="zh-CN"/>
        </w:rPr>
        <w:t xml:space="preserve"> 2017;</w:t>
      </w:r>
      <w:r>
        <w:rPr>
          <w:rFonts w:hint="eastAsia" w:ascii="Book Antiqua" w:hAnsi="Book Antiqua" w:eastAsia="宋体" w:cs="宋体"/>
          <w:bCs/>
          <w:lang w:eastAsia="zh-CN"/>
        </w:rPr>
        <w:t xml:space="preserve"> </w:t>
      </w:r>
      <w:r>
        <w:rPr>
          <w:rFonts w:ascii="Book Antiqua" w:hAnsi="Book Antiqua" w:eastAsia="宋体" w:cs="宋体"/>
          <w:b/>
          <w:bCs/>
          <w:lang w:eastAsia="zh-CN"/>
        </w:rPr>
        <w:t>23</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4617-4624 </w:t>
      </w:r>
      <w:r>
        <w:rPr>
          <w:rFonts w:hint="eastAsia" w:ascii="Book Antiqua" w:hAnsi="Book Antiqua" w:eastAsia="宋体" w:cs="宋体"/>
          <w:bCs/>
          <w:lang w:eastAsia="zh-CN"/>
        </w:rPr>
        <w:t>[</w:t>
      </w:r>
      <w:r>
        <w:rPr>
          <w:rFonts w:ascii="Book Antiqua" w:hAnsi="Book Antiqua" w:eastAsia="宋体" w:cs="宋体"/>
          <w:bCs/>
          <w:lang w:eastAsia="zh-CN"/>
        </w:rPr>
        <w:t>PMID: 28428192</w:t>
      </w:r>
      <w:r>
        <w:rPr>
          <w:rFonts w:hint="eastAsia" w:ascii="Book Antiqua" w:hAnsi="Book Antiqua" w:eastAsia="宋体" w:cs="宋体"/>
          <w:bCs/>
          <w:lang w:eastAsia="zh-CN"/>
        </w:rPr>
        <w:t xml:space="preserve"> DOI</w:t>
      </w:r>
      <w:r>
        <w:rPr>
          <w:rFonts w:ascii="Book Antiqua" w:hAnsi="Book Antiqua" w:eastAsia="宋体" w:cs="宋体"/>
          <w:bCs/>
          <w:lang w:eastAsia="zh-CN"/>
        </w:rPr>
        <w:t>: 10.1158/1078-0432.CCR-16-2743</w:t>
      </w:r>
      <w:r>
        <w:rPr>
          <w:rFonts w:hint="eastAsia" w:ascii="Book Antiqua" w:hAnsi="Book Antiqua" w:eastAsia="宋体" w:cs="宋体"/>
          <w:bCs/>
          <w:lang w:eastAsia="zh-CN"/>
        </w:rPr>
        <w:t>]</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169 </w:t>
      </w:r>
      <w:r>
        <w:rPr>
          <w:rFonts w:ascii="Book Antiqua" w:hAnsi="Book Antiqua" w:eastAsia="宋体" w:cs="宋体"/>
          <w:b/>
          <w:bCs/>
          <w:lang w:eastAsia="zh-CN"/>
        </w:rPr>
        <w:t>Rorstad O</w:t>
      </w:r>
      <w:r>
        <w:rPr>
          <w:rFonts w:ascii="Book Antiqua" w:hAnsi="Book Antiqua" w:eastAsia="宋体" w:cs="宋体"/>
          <w:lang w:eastAsia="zh-CN"/>
        </w:rPr>
        <w:t xml:space="preserve">. Prognostic indicators for carcinoid neuroendocrine tumors of the gastrointestinal tract. </w:t>
      </w:r>
      <w:r>
        <w:rPr>
          <w:rFonts w:ascii="Book Antiqua" w:hAnsi="Book Antiqua" w:eastAsia="宋体" w:cs="宋体"/>
          <w:i/>
          <w:iCs/>
          <w:lang w:eastAsia="zh-CN"/>
        </w:rPr>
        <w:t>J Surg Oncol</w:t>
      </w:r>
      <w:r>
        <w:rPr>
          <w:rFonts w:ascii="Book Antiqua" w:hAnsi="Book Antiqua" w:eastAsia="宋体" w:cs="宋体"/>
          <w:lang w:eastAsia="zh-CN"/>
        </w:rPr>
        <w:t xml:space="preserve"> 2005; </w:t>
      </w:r>
      <w:r>
        <w:rPr>
          <w:rFonts w:ascii="Book Antiqua" w:hAnsi="Book Antiqua" w:eastAsia="宋体" w:cs="宋体"/>
          <w:b/>
          <w:bCs/>
          <w:lang w:eastAsia="zh-CN"/>
        </w:rPr>
        <w:t>89</w:t>
      </w:r>
      <w:r>
        <w:rPr>
          <w:rFonts w:ascii="Book Antiqua" w:hAnsi="Book Antiqua" w:eastAsia="宋体" w:cs="宋体"/>
          <w:lang w:eastAsia="zh-CN"/>
        </w:rPr>
        <w:t>: 151-160 [PMID: 15719376 DOI: 10.1002/jso.20179]</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170 </w:t>
      </w:r>
      <w:r>
        <w:rPr>
          <w:rFonts w:ascii="Book Antiqua" w:hAnsi="Book Antiqua" w:eastAsia="宋体" w:cs="宋体"/>
          <w:b/>
          <w:bCs/>
          <w:lang w:eastAsia="zh-CN"/>
        </w:rPr>
        <w:t>Pape UF</w:t>
      </w:r>
      <w:r>
        <w:rPr>
          <w:rFonts w:ascii="Book Antiqua" w:hAnsi="Book Antiqua" w:eastAsia="宋体" w:cs="宋体"/>
          <w:lang w:eastAsia="zh-CN"/>
        </w:rPr>
        <w:t xml:space="preserve">, Niederle B, Costa F, Gross D, Kelestimur F, Kianmanesh R, Knigge U, Öberg K, Pavel M, Perren A, Toumpanakis C, O'Connor J, Krenning E, Reed N, O'Toole D; Vienna Consensus Conference participants. ENETS Consensus Guidelines for Neuroendocrine Neoplasms of the Appendix (Excluding Goblet Cell Carcinomas). </w:t>
      </w:r>
      <w:r>
        <w:rPr>
          <w:rFonts w:ascii="Book Antiqua" w:hAnsi="Book Antiqua" w:eastAsia="宋体" w:cs="宋体"/>
          <w:i/>
          <w:iCs/>
          <w:lang w:eastAsia="zh-CN"/>
        </w:rPr>
        <w:t>Neuroendocrinology</w:t>
      </w:r>
      <w:r>
        <w:rPr>
          <w:rFonts w:ascii="Book Antiqua" w:hAnsi="Book Antiqua" w:eastAsia="宋体" w:cs="宋体"/>
          <w:lang w:eastAsia="zh-CN"/>
        </w:rPr>
        <w:t xml:space="preserve"> 2016; </w:t>
      </w:r>
      <w:r>
        <w:rPr>
          <w:rFonts w:ascii="Book Antiqua" w:hAnsi="Book Antiqua" w:eastAsia="宋体" w:cs="宋体"/>
          <w:b/>
          <w:bCs/>
          <w:lang w:eastAsia="zh-CN"/>
        </w:rPr>
        <w:t>103</w:t>
      </w:r>
      <w:r>
        <w:rPr>
          <w:rFonts w:ascii="Book Antiqua" w:hAnsi="Book Antiqua" w:eastAsia="宋体" w:cs="宋体"/>
          <w:lang w:eastAsia="zh-CN"/>
        </w:rPr>
        <w:t>: 144-152 [PMID: 26730583 DOI: 10.1159/000443165]</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171 </w:t>
      </w:r>
      <w:r>
        <w:rPr>
          <w:rFonts w:ascii="Book Antiqua" w:hAnsi="Book Antiqua" w:eastAsia="宋体" w:cs="宋体"/>
          <w:b/>
          <w:bCs/>
          <w:lang w:eastAsia="zh-CN"/>
        </w:rPr>
        <w:t>Chagpar R</w:t>
      </w:r>
      <w:r>
        <w:rPr>
          <w:rFonts w:ascii="Book Antiqua" w:hAnsi="Book Antiqua" w:eastAsia="宋体" w:cs="宋体"/>
          <w:lang w:eastAsia="zh-CN"/>
        </w:rPr>
        <w:t xml:space="preserve">, Chiang YJ, Xing Y, Cormier JN, Feig BW, Rashid A, Chang GJ, You YN. Neuroendocrine tumors of the colon and rectum: prognostic relevance and comparative performance of current staging systems. </w:t>
      </w:r>
      <w:r>
        <w:rPr>
          <w:rFonts w:ascii="Book Antiqua" w:hAnsi="Book Antiqua" w:eastAsia="宋体" w:cs="宋体"/>
          <w:i/>
          <w:iCs/>
          <w:lang w:eastAsia="zh-CN"/>
        </w:rPr>
        <w:t>Ann Surg Oncol</w:t>
      </w:r>
      <w:r>
        <w:rPr>
          <w:rFonts w:ascii="Book Antiqua" w:hAnsi="Book Antiqua" w:eastAsia="宋体" w:cs="宋体"/>
          <w:lang w:eastAsia="zh-CN"/>
        </w:rPr>
        <w:t xml:space="preserve"> 2013; </w:t>
      </w:r>
      <w:r>
        <w:rPr>
          <w:rFonts w:ascii="Book Antiqua" w:hAnsi="Book Antiqua" w:eastAsia="宋体" w:cs="宋体"/>
          <w:b/>
          <w:bCs/>
          <w:lang w:eastAsia="zh-CN"/>
        </w:rPr>
        <w:t>20</w:t>
      </w:r>
      <w:r>
        <w:rPr>
          <w:rFonts w:ascii="Book Antiqua" w:hAnsi="Book Antiqua" w:eastAsia="宋体" w:cs="宋体"/>
          <w:lang w:eastAsia="zh-CN"/>
        </w:rPr>
        <w:t>: 1170-1178 [PMID: 23212760 DOI: 10.1245/s10434-012-2746-z]</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172 </w:t>
      </w:r>
      <w:r>
        <w:rPr>
          <w:rFonts w:ascii="Book Antiqua" w:hAnsi="Book Antiqua" w:eastAsia="宋体" w:cs="宋体"/>
          <w:b/>
          <w:bCs/>
          <w:lang w:eastAsia="zh-CN"/>
        </w:rPr>
        <w:t>Caplin M</w:t>
      </w:r>
      <w:r>
        <w:rPr>
          <w:rFonts w:ascii="Book Antiqua" w:hAnsi="Book Antiqua" w:eastAsia="宋体" w:cs="宋体"/>
          <w:lang w:eastAsia="zh-CN"/>
        </w:rPr>
        <w:t xml:space="preserve">, Sundin A, Nillson O, Baum RP, Klose KJ, Kelestimur F, Plöckinger U, Papotti M, Salazar R, Pascher A; Barcelona Consensus Conference participants. ENETS Consensus Guidelines for the management of patients with digestive neuroendocrine neoplasms: colorectal neuroendocrine neoplasms. </w:t>
      </w:r>
      <w:r>
        <w:rPr>
          <w:rFonts w:ascii="Book Antiqua" w:hAnsi="Book Antiqua" w:eastAsia="宋体" w:cs="宋体"/>
          <w:i/>
          <w:iCs/>
          <w:lang w:eastAsia="zh-CN"/>
        </w:rPr>
        <w:t>Neuroendocrinology</w:t>
      </w:r>
      <w:r>
        <w:rPr>
          <w:rFonts w:ascii="Book Antiqua" w:hAnsi="Book Antiqua" w:eastAsia="宋体" w:cs="宋体"/>
          <w:lang w:eastAsia="zh-CN"/>
        </w:rPr>
        <w:t xml:space="preserve"> 2012; </w:t>
      </w:r>
      <w:r>
        <w:rPr>
          <w:rFonts w:ascii="Book Antiqua" w:hAnsi="Book Antiqua" w:eastAsia="宋体" w:cs="宋体"/>
          <w:b/>
          <w:bCs/>
          <w:lang w:eastAsia="zh-CN"/>
        </w:rPr>
        <w:t>95</w:t>
      </w:r>
      <w:r>
        <w:rPr>
          <w:rFonts w:ascii="Book Antiqua" w:hAnsi="Book Antiqua" w:eastAsia="宋体" w:cs="宋体"/>
          <w:lang w:eastAsia="zh-CN"/>
        </w:rPr>
        <w:t>: 88-97 [PMID: 22261972 DOI: 10.1159/000335594]</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173 </w:t>
      </w:r>
      <w:bookmarkStart w:id="53" w:name="OLE_LINK392"/>
      <w:bookmarkStart w:id="54" w:name="OLE_LINK390"/>
      <w:bookmarkStart w:id="55" w:name="OLE_LINK391"/>
      <w:r>
        <w:rPr>
          <w:rFonts w:ascii="Book Antiqua" w:hAnsi="Book Antiqua" w:eastAsia="宋体" w:cs="宋体"/>
          <w:bCs/>
          <w:lang w:eastAsia="zh-CN"/>
        </w:rPr>
        <w:t>Treatment by Cancer Type</w:t>
      </w:r>
      <w:bookmarkEnd w:id="53"/>
      <w:bookmarkEnd w:id="54"/>
      <w:bookmarkEnd w:id="55"/>
      <w:r>
        <w:rPr>
          <w:rFonts w:ascii="Book Antiqua" w:hAnsi="Book Antiqua" w:eastAsia="宋体" w:cs="宋体"/>
          <w:bCs/>
          <w:lang w:eastAsia="zh-CN"/>
        </w:rPr>
        <w:t>. [cited 20</w:t>
      </w:r>
      <w:r>
        <w:rPr>
          <w:rFonts w:hint="eastAsia" w:ascii="Book Antiqua" w:hAnsi="Book Antiqua" w:eastAsia="宋体" w:cs="宋体"/>
          <w:bCs/>
          <w:lang w:eastAsia="zh-CN"/>
        </w:rPr>
        <w:t>21</w:t>
      </w:r>
      <w:r>
        <w:rPr>
          <w:rFonts w:ascii="Book Antiqua" w:hAnsi="Book Antiqua" w:eastAsia="宋体" w:cs="宋体"/>
          <w:bCs/>
          <w:lang w:eastAsia="zh-CN"/>
        </w:rPr>
        <w:t xml:space="preserve"> </w:t>
      </w:r>
      <w:r>
        <w:rPr>
          <w:rFonts w:hint="eastAsia" w:ascii="Book Antiqua" w:hAnsi="Book Antiqua" w:eastAsia="宋体" w:cs="宋体"/>
          <w:bCs/>
          <w:lang w:eastAsia="zh-CN"/>
        </w:rPr>
        <w:t>Dec</w:t>
      </w:r>
      <w:r>
        <w:rPr>
          <w:rFonts w:ascii="Book Antiqua" w:hAnsi="Book Antiqua" w:eastAsia="宋体" w:cs="宋体"/>
          <w:bCs/>
          <w:lang w:eastAsia="zh-CN"/>
        </w:rPr>
        <w:t xml:space="preserve"> </w:t>
      </w:r>
      <w:r>
        <w:rPr>
          <w:rFonts w:hint="eastAsia" w:ascii="Book Antiqua" w:hAnsi="Book Antiqua" w:eastAsia="宋体" w:cs="宋体"/>
          <w:bCs/>
          <w:lang w:eastAsia="zh-CN"/>
        </w:rPr>
        <w:t>2</w:t>
      </w:r>
      <w:r>
        <w:rPr>
          <w:rFonts w:ascii="Book Antiqua" w:hAnsi="Book Antiqua" w:eastAsia="宋体" w:cs="宋体"/>
          <w:bCs/>
          <w:lang w:eastAsia="zh-CN"/>
        </w:rPr>
        <w:t>].</w:t>
      </w:r>
      <w:r>
        <w:rPr>
          <w:rFonts w:hint="eastAsia" w:ascii="Book Antiqua" w:hAnsi="Book Antiqua" w:eastAsia="宋体" w:cs="宋体"/>
          <w:bCs/>
          <w:lang w:eastAsia="zh-CN"/>
        </w:rPr>
        <w:t xml:space="preserve"> </w:t>
      </w:r>
      <w:r>
        <w:rPr>
          <w:rFonts w:ascii="Book Antiqua" w:hAnsi="Book Antiqua" w:eastAsia="宋体" w:cs="宋体"/>
          <w:bCs/>
          <w:lang w:eastAsia="zh-CN"/>
        </w:rPr>
        <w:t xml:space="preserve">National Comprehensive Cancer Network. Available from: </w:t>
      </w:r>
      <w:r>
        <w:rPr>
          <w:rFonts w:ascii="Book Antiqua" w:hAnsi="Book Antiqua" w:eastAsia="宋体" w:cs="宋体"/>
          <w:lang w:eastAsia="zh-CN"/>
        </w:rPr>
        <w:t xml:space="preserve">https://www.nccn.org/guidelines/category_1 </w:t>
      </w:r>
    </w:p>
    <w:p>
      <w:pPr>
        <w:shd w:val="clear" w:color="auto" w:fill="FFFFFF"/>
        <w:adjustRightInd w:val="0"/>
        <w:snapToGrid w:val="0"/>
        <w:spacing w:line="360" w:lineRule="auto"/>
        <w:jc w:val="both"/>
        <w:rPr>
          <w:rFonts w:ascii="Book Antiqua" w:hAnsi="Book Antiqua" w:eastAsia="宋体" w:cs="宋体"/>
          <w:lang w:eastAsia="zh-CN"/>
        </w:rPr>
      </w:pPr>
      <w:r>
        <w:rPr>
          <w:rFonts w:ascii="Book Antiqua" w:hAnsi="Book Antiqua" w:eastAsia="宋体" w:cs="宋体"/>
          <w:lang w:eastAsia="zh-CN"/>
        </w:rPr>
        <w:t xml:space="preserve">174 </w:t>
      </w:r>
      <w:r>
        <w:rPr>
          <w:rFonts w:ascii="Book Antiqua" w:hAnsi="Book Antiqua" w:eastAsia="宋体" w:cs="宋体"/>
          <w:b/>
          <w:bCs/>
          <w:lang w:eastAsia="zh-CN"/>
        </w:rPr>
        <w:t>Frilling A</w:t>
      </w:r>
      <w:r>
        <w:rPr>
          <w:rFonts w:ascii="Book Antiqua" w:hAnsi="Book Antiqua" w:eastAsia="宋体" w:cs="宋体"/>
          <w:lang w:eastAsia="zh-CN"/>
        </w:rPr>
        <w:t xml:space="preserve">, Akerström G, Falconi M, Pavel M, Ramos J, Kidd M, Modlin IM. Neuroendocrine tumor disease: an evolving landscape. </w:t>
      </w:r>
      <w:r>
        <w:rPr>
          <w:rFonts w:ascii="Book Antiqua" w:hAnsi="Book Antiqua" w:eastAsia="宋体" w:cs="宋体"/>
          <w:i/>
          <w:iCs/>
          <w:lang w:eastAsia="zh-CN"/>
        </w:rPr>
        <w:t>Endocr Relat Cancer</w:t>
      </w:r>
      <w:r>
        <w:rPr>
          <w:rFonts w:ascii="Book Antiqua" w:hAnsi="Book Antiqua" w:eastAsia="宋体" w:cs="宋体"/>
          <w:lang w:eastAsia="zh-CN"/>
        </w:rPr>
        <w:t xml:space="preserve"> 2012; </w:t>
      </w:r>
      <w:r>
        <w:rPr>
          <w:rFonts w:ascii="Book Antiqua" w:hAnsi="Book Antiqua" w:eastAsia="宋体" w:cs="宋体"/>
          <w:b/>
          <w:bCs/>
          <w:lang w:eastAsia="zh-CN"/>
        </w:rPr>
        <w:t>19</w:t>
      </w:r>
      <w:r>
        <w:rPr>
          <w:rFonts w:ascii="Book Antiqua" w:hAnsi="Book Antiqua" w:eastAsia="宋体" w:cs="宋体"/>
          <w:lang w:eastAsia="zh-CN"/>
        </w:rPr>
        <w:t>: R163-R185 [PMID: 22645227 DOI: 10.1530/ERC-12-0024]</w:t>
      </w:r>
    </w:p>
    <w:bookmarkEnd w:id="37"/>
    <w:bookmarkEnd w:id="38"/>
    <w:bookmarkEnd w:id="39"/>
    <w:bookmarkEnd w:id="40"/>
    <w:bookmarkEnd w:id="41"/>
    <w:bookmarkEnd w:id="42"/>
    <w:bookmarkEnd w:id="49"/>
    <w:bookmarkEnd w:id="50"/>
    <w:p>
      <w:pPr>
        <w:spacing w:line="360" w:lineRule="auto"/>
        <w:jc w:val="both"/>
      </w:pPr>
      <w:r>
        <w:rPr>
          <w:rFonts w:ascii="Book Antiqua" w:hAnsi="Book Antiqua" w:eastAsia="Book Antiqua" w:cs="Book Antiqua"/>
          <w:b/>
          <w:color w:val="000000"/>
        </w:rPr>
        <w:br w:type="page"/>
      </w: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Each author listed has no potential conflicts (financial, professional, or personal) that are relevant to the content presented in this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31,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23,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21,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hint="eastAsia"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Govindarajan KK, India; Liu L, China</w:t>
      </w:r>
      <w:r>
        <w:rPr>
          <w:rFonts w:ascii="Book Antiqua" w:hAnsi="Book Antiqua" w:eastAsia="Book Antiqua" w:cs="Book Antiqua"/>
          <w:b/>
          <w:color w:val="000000"/>
        </w:rPr>
        <w:t xml:space="preserve"> S-Editor: </w:t>
      </w:r>
      <w:bookmarkStart w:id="56" w:name="OLE_LINK401"/>
      <w:r>
        <w:rPr>
          <w:rFonts w:ascii="Book Antiqua" w:hAnsi="Book Antiqua" w:eastAsia="Book Antiqua" w:cs="Book Antiqua"/>
          <w:color w:val="000000"/>
        </w:rPr>
        <w:t>Zhang H</w:t>
      </w:r>
      <w:bookmarkEnd w:id="56"/>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P-Editor: </w:t>
      </w:r>
      <w:r>
        <w:rPr>
          <w:rFonts w:ascii="Book Antiqua" w:hAnsi="Book Antiqua" w:eastAsia="Book Antiqua" w:cs="Book Antiqua"/>
          <w:color w:val="000000"/>
        </w:rPr>
        <w:t>Zhang H</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3194050" cy="2423160"/>
            <wp:effectExtent l="0" t="0" r="6350" b="0"/>
            <wp:docPr id="2" name="图片 2" descr="WJGE-14-5-26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E-14-5-267-g001"/>
                    <pic:cNvPicPr>
                      <a:picLocks noChangeAspect="1"/>
                    </pic:cNvPicPr>
                  </pic:nvPicPr>
                  <pic:blipFill>
                    <a:blip r:embed="rId5"/>
                    <a:stretch>
                      <a:fillRect/>
                    </a:stretch>
                  </pic:blipFill>
                  <pic:spPr>
                    <a:xfrm>
                      <a:off x="0" y="0"/>
                      <a:ext cx="3194050" cy="2423160"/>
                    </a:xfrm>
                    <a:prstGeom prst="rect">
                      <a:avLst/>
                    </a:prstGeom>
                  </pic:spPr>
                </pic:pic>
              </a:graphicData>
            </a:graphic>
          </wp:inline>
        </w:drawing>
      </w:r>
    </w:p>
    <w:p>
      <w:pPr>
        <w:spacing w:line="360" w:lineRule="auto"/>
        <w:jc w:val="both"/>
        <w:rPr>
          <w:b/>
          <w:lang w:eastAsia="zh-CN"/>
        </w:rPr>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color w:val="000000"/>
        </w:rPr>
        <w:t>Epidemiology of gastroenteropancreatic neuroendocrine neoplasms</w:t>
      </w:r>
      <w:r>
        <w:rPr>
          <w:rFonts w:hint="eastAsia" w:ascii="Book Antiqua" w:hAnsi="Book Antiqua" w:cs="Book Antiqua"/>
          <w:b/>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4770120" cy="2124710"/>
            <wp:effectExtent l="0" t="0" r="0" b="8890"/>
            <wp:docPr id="3" name="图片 3" descr="WJGE-14-5-26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E-14-5-267-g002"/>
                    <pic:cNvPicPr>
                      <a:picLocks noChangeAspect="1"/>
                    </pic:cNvPicPr>
                  </pic:nvPicPr>
                  <pic:blipFill>
                    <a:blip r:embed="rId6"/>
                    <a:stretch>
                      <a:fillRect/>
                    </a:stretch>
                  </pic:blipFill>
                  <pic:spPr>
                    <a:xfrm>
                      <a:off x="0" y="0"/>
                      <a:ext cx="4770120" cy="2124710"/>
                    </a:xfrm>
                    <a:prstGeom prst="rect">
                      <a:avLst/>
                    </a:prstGeom>
                  </pic:spPr>
                </pic:pic>
              </a:graphicData>
            </a:graphic>
          </wp:inline>
        </w:drawing>
      </w:r>
    </w:p>
    <w:p>
      <w:pPr>
        <w:spacing w:line="360" w:lineRule="auto"/>
        <w:jc w:val="both"/>
        <w:rPr>
          <w:b/>
          <w:lang w:eastAsia="zh-CN"/>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Epidemiology of pancreatic neuroendocrine neoplasms</w:t>
      </w:r>
      <w:r>
        <w:rPr>
          <w:rFonts w:hint="eastAsia" w:ascii="Book Antiqua" w:hAnsi="Book Antiqua" w:cs="Book Antiqua"/>
          <w:b/>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2877185" cy="2307590"/>
            <wp:effectExtent l="0" t="0" r="3175" b="8890"/>
            <wp:docPr id="4" name="图片 4" descr="WJGE-14-5-26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E-14-5-267-g003"/>
                    <pic:cNvPicPr>
                      <a:picLocks noChangeAspect="1"/>
                    </pic:cNvPicPr>
                  </pic:nvPicPr>
                  <pic:blipFill>
                    <a:blip r:embed="rId7"/>
                    <a:stretch>
                      <a:fillRect/>
                    </a:stretch>
                  </pic:blipFill>
                  <pic:spPr>
                    <a:xfrm>
                      <a:off x="0" y="0"/>
                      <a:ext cx="2877185" cy="2307590"/>
                    </a:xfrm>
                    <a:prstGeom prst="rect">
                      <a:avLst/>
                    </a:prstGeom>
                  </pic:spPr>
                </pic:pic>
              </a:graphicData>
            </a:graphic>
          </wp:inline>
        </w:drawing>
      </w:r>
    </w:p>
    <w:p>
      <w:pPr>
        <w:spacing w:line="360" w:lineRule="auto"/>
        <w:jc w:val="both"/>
        <w:rPr>
          <w:b/>
          <w:lang w:eastAsia="zh-CN"/>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Computerized tomography scan of hyperenhancing pancreatic neuroendocrine tumor (white arrow)</w:t>
      </w:r>
      <w:r>
        <w:rPr>
          <w:rFonts w:hint="eastAsia" w:ascii="Book Antiqua" w:hAnsi="Book Antiqua" w:cs="Book Antiqua"/>
          <w:b/>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4712335" cy="1944370"/>
            <wp:effectExtent l="0" t="0" r="12065" b="6350"/>
            <wp:docPr id="7" name="图片 7" descr="WJGE-14-5-26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E-14-5-267-g004"/>
                    <pic:cNvPicPr>
                      <a:picLocks noChangeAspect="1"/>
                    </pic:cNvPicPr>
                  </pic:nvPicPr>
                  <pic:blipFill>
                    <a:blip r:embed="rId8"/>
                    <a:stretch>
                      <a:fillRect/>
                    </a:stretch>
                  </pic:blipFill>
                  <pic:spPr>
                    <a:xfrm>
                      <a:off x="0" y="0"/>
                      <a:ext cx="4712335" cy="1944370"/>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bCs/>
          <w:color w:val="000000"/>
        </w:rPr>
        <w:t xml:space="preserve">Figure 4 </w:t>
      </w:r>
      <w:r>
        <w:rPr>
          <w:rFonts w:hint="eastAsia" w:ascii="Book Antiqua" w:hAnsi="Book Antiqua" w:cs="Book Antiqua"/>
          <w:b/>
          <w:color w:val="000000"/>
          <w:lang w:eastAsia="zh-CN"/>
        </w:rPr>
        <w:t>M</w:t>
      </w:r>
      <w:r>
        <w:rPr>
          <w:rFonts w:ascii="Book Antiqua" w:hAnsi="Book Antiqua" w:eastAsia="Book Antiqua" w:cs="Book Antiqua"/>
          <w:b/>
          <w:color w:val="000000"/>
        </w:rPr>
        <w:t xml:space="preserve">agnetic resonance imaging with </w:t>
      </w:r>
      <w:bookmarkStart w:id="57" w:name="OLE_LINK404"/>
      <w:bookmarkStart w:id="58" w:name="OLE_LINK405"/>
      <w:r>
        <w:rPr>
          <w:rFonts w:ascii="Book Antiqua" w:hAnsi="Book Antiqua" w:eastAsia="Book Antiqua" w:cs="Book Antiqua"/>
          <w:b/>
          <w:color w:val="000000"/>
        </w:rPr>
        <w:t>T1 hypointense</w:t>
      </w:r>
      <w:bookmarkEnd w:id="57"/>
      <w:bookmarkEnd w:id="58"/>
      <w:r>
        <w:rPr>
          <w:rFonts w:ascii="Book Antiqua" w:hAnsi="Book Antiqua" w:eastAsia="Book Antiqua" w:cs="Book Antiqua"/>
          <w:b/>
          <w:color w:val="000000"/>
        </w:rPr>
        <w:t xml:space="preserve"> and </w:t>
      </w:r>
      <w:bookmarkStart w:id="59" w:name="OLE_LINK407"/>
      <w:bookmarkStart w:id="60" w:name="OLE_LINK406"/>
      <w:r>
        <w:rPr>
          <w:rFonts w:ascii="Book Antiqua" w:hAnsi="Book Antiqua" w:eastAsia="Book Antiqua" w:cs="Book Antiqua"/>
          <w:b/>
          <w:color w:val="000000"/>
        </w:rPr>
        <w:t>T2 mildly hyperintense</w:t>
      </w:r>
      <w:bookmarkEnd w:id="59"/>
      <w:bookmarkEnd w:id="60"/>
      <w:r>
        <w:rPr>
          <w:rFonts w:ascii="Book Antiqua" w:hAnsi="Book Antiqua" w:eastAsia="Book Antiqua" w:cs="Book Antiqua"/>
          <w:b/>
          <w:color w:val="000000"/>
        </w:rPr>
        <w:t xml:space="preserve"> well-defined peri-pancreatic neuroendocrine tumor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 xml:space="preserve">A: </w:t>
      </w:r>
      <w:r>
        <w:rPr>
          <w:rFonts w:ascii="Book Antiqua" w:hAnsi="Book Antiqua" w:eastAsia="Book Antiqua" w:cs="Book Antiqua"/>
          <w:color w:val="000000"/>
        </w:rPr>
        <w:t>T1 hypointense</w:t>
      </w:r>
      <w:r>
        <w:rPr>
          <w:rFonts w:hint="eastAsia" w:ascii="Book Antiqua" w:hAnsi="Book Antiqua" w:cs="Book Antiqua"/>
          <w:color w:val="000000"/>
          <w:lang w:eastAsia="zh-CN"/>
        </w:rPr>
        <w:t xml:space="preserve">; B: </w:t>
      </w:r>
      <w:r>
        <w:rPr>
          <w:rFonts w:ascii="Book Antiqua" w:hAnsi="Book Antiqua" w:eastAsia="Book Antiqua" w:cs="Book Antiqua"/>
          <w:color w:val="000000"/>
        </w:rPr>
        <w:t>T2 mildly hyperintense</w:t>
      </w:r>
      <w:r>
        <w:rPr>
          <w:rFonts w:hint="eastAsia" w:ascii="Book Antiqua" w:hAnsi="Book Antiqua" w:cs="Book Antiqua"/>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196840" cy="2307590"/>
            <wp:effectExtent l="0" t="0" r="0" b="8890"/>
            <wp:docPr id="8" name="图片 8" descr="WJGE-14-5-26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E-14-5-267-g005"/>
                    <pic:cNvPicPr>
                      <a:picLocks noChangeAspect="1"/>
                    </pic:cNvPicPr>
                  </pic:nvPicPr>
                  <pic:blipFill>
                    <a:blip r:embed="rId9"/>
                    <a:stretch>
                      <a:fillRect/>
                    </a:stretch>
                  </pic:blipFill>
                  <pic:spPr>
                    <a:xfrm>
                      <a:off x="0" y="0"/>
                      <a:ext cx="5196840" cy="2307590"/>
                    </a:xfrm>
                    <a:prstGeom prst="rect">
                      <a:avLst/>
                    </a:prstGeom>
                  </pic:spPr>
                </pic:pic>
              </a:graphicData>
            </a:graphic>
          </wp:inline>
        </w:drawing>
      </w:r>
    </w:p>
    <w:p>
      <w:pPr>
        <w:spacing w:line="360" w:lineRule="auto"/>
        <w:jc w:val="both"/>
        <w:rPr>
          <w:b/>
          <w:lang w:eastAsia="zh-CN"/>
        </w:rPr>
      </w:pPr>
      <w:r>
        <w:rPr>
          <w:rFonts w:ascii="Book Antiqua" w:hAnsi="Book Antiqua" w:eastAsia="Book Antiqua" w:cs="Book Antiqua"/>
          <w:b/>
          <w:bCs/>
          <w:color w:val="000000"/>
        </w:rPr>
        <w:t>Figure 5</w:t>
      </w:r>
      <w:r>
        <w:rPr>
          <w:rFonts w:ascii="Book Antiqua" w:hAnsi="Book Antiqua" w:eastAsia="Book Antiqua" w:cs="Book Antiqua"/>
          <w:b/>
          <w:color w:val="000000"/>
        </w:rPr>
        <w:t xml:space="preserve"> Gallium-68 DOTATATE positron emission tomography/computed tomography demonstrating avid lymph nodes</w:t>
      </w:r>
      <w:r>
        <w:rPr>
          <w:rFonts w:hint="eastAsia" w:ascii="Book Antiqua" w:hAnsi="Book Antiqua" w:cs="Book Antiqua"/>
          <w:b/>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3599815" cy="2307590"/>
            <wp:effectExtent l="0" t="0" r="12065" b="8890"/>
            <wp:docPr id="9" name="图片 9" descr="WJGE-14-5-267-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E-14-5-267-g006"/>
                    <pic:cNvPicPr>
                      <a:picLocks noChangeAspect="1"/>
                    </pic:cNvPicPr>
                  </pic:nvPicPr>
                  <pic:blipFill>
                    <a:blip r:embed="rId10"/>
                    <a:stretch>
                      <a:fillRect/>
                    </a:stretch>
                  </pic:blipFill>
                  <pic:spPr>
                    <a:xfrm>
                      <a:off x="0" y="0"/>
                      <a:ext cx="3599815" cy="2307590"/>
                    </a:xfrm>
                    <a:prstGeom prst="rect">
                      <a:avLst/>
                    </a:prstGeom>
                  </pic:spPr>
                </pic:pic>
              </a:graphicData>
            </a:graphic>
          </wp:inline>
        </w:drawing>
      </w:r>
    </w:p>
    <w:p>
      <w:pPr>
        <w:spacing w:line="360" w:lineRule="auto"/>
        <w:jc w:val="both"/>
        <w:rPr>
          <w:b/>
          <w:lang w:eastAsia="zh-CN"/>
        </w:rPr>
      </w:pPr>
      <w:r>
        <w:rPr>
          <w:rFonts w:ascii="Book Antiqua" w:hAnsi="Book Antiqua" w:eastAsia="Book Antiqua" w:cs="Book Antiqua"/>
          <w:b/>
          <w:bCs/>
          <w:color w:val="000000"/>
        </w:rPr>
        <w:t>Figure 6</w:t>
      </w:r>
      <w:r>
        <w:rPr>
          <w:rFonts w:ascii="Book Antiqua" w:hAnsi="Book Antiqua" w:eastAsia="Book Antiqua" w:cs="Book Antiqua"/>
          <w:b/>
          <w:color w:val="000000"/>
        </w:rPr>
        <w:t xml:space="preserve"> Endoscopic ultrasound of pancreatic neuroendocrine tumor appearing well-defined and hypoechoic</w:t>
      </w:r>
      <w:r>
        <w:rPr>
          <w:rFonts w:hint="eastAsia" w:ascii="Book Antiqua" w:hAnsi="Book Antiqua" w:cs="Book Antiqua"/>
          <w:b/>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401310" cy="1584960"/>
            <wp:effectExtent l="0" t="0" r="8890" b="0"/>
            <wp:docPr id="10" name="图片 10" descr="WJGE-14-5-267-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E-14-5-267-g007"/>
                    <pic:cNvPicPr>
                      <a:picLocks noChangeAspect="1"/>
                    </pic:cNvPicPr>
                  </pic:nvPicPr>
                  <pic:blipFill>
                    <a:blip r:embed="rId11"/>
                    <a:stretch>
                      <a:fillRect/>
                    </a:stretch>
                  </pic:blipFill>
                  <pic:spPr>
                    <a:xfrm>
                      <a:off x="0" y="0"/>
                      <a:ext cx="5401310" cy="1584960"/>
                    </a:xfrm>
                    <a:prstGeom prst="rect">
                      <a:avLst/>
                    </a:prstGeom>
                  </pic:spPr>
                </pic:pic>
              </a:graphicData>
            </a:graphic>
          </wp:inline>
        </w:drawing>
      </w:r>
    </w:p>
    <w:p>
      <w:pPr>
        <w:spacing w:line="360" w:lineRule="auto"/>
        <w:jc w:val="both"/>
        <w:rPr>
          <w:lang w:eastAsia="zh-CN"/>
        </w:rPr>
      </w:pPr>
      <w:r>
        <w:rPr>
          <w:rFonts w:ascii="Book Antiqua" w:hAnsi="Book Antiqua" w:eastAsia="Book Antiqua" w:cs="Book Antiqua"/>
          <w:b/>
          <w:bCs/>
          <w:color w:val="000000"/>
        </w:rPr>
        <w:t>Figure 7</w:t>
      </w:r>
      <w:r>
        <w:rPr>
          <w:rFonts w:ascii="Book Antiqua" w:hAnsi="Book Antiqua" w:eastAsia="Book Antiqua" w:cs="Book Antiqua"/>
          <w:b/>
          <w:color w:val="000000"/>
        </w:rPr>
        <w:t xml:space="preserve"> </w:t>
      </w:r>
      <w:bookmarkStart w:id="61" w:name="OLE_LINK411"/>
      <w:bookmarkStart w:id="62" w:name="OLE_LINK412"/>
      <w:r>
        <w:rPr>
          <w:rFonts w:ascii="Book Antiqua" w:hAnsi="Book Antiqua" w:eastAsia="Book Antiqua" w:cs="Book Antiqua"/>
          <w:b/>
          <w:color w:val="000000"/>
        </w:rPr>
        <w:t xml:space="preserve">Endoscopic </w:t>
      </w:r>
      <w:bookmarkEnd w:id="61"/>
      <w:bookmarkEnd w:id="62"/>
      <w:r>
        <w:rPr>
          <w:rFonts w:ascii="Book Antiqua" w:hAnsi="Book Antiqua" w:eastAsia="Book Antiqua" w:cs="Book Antiqua"/>
          <w:b/>
          <w:color w:val="000000"/>
        </w:rPr>
        <w:t xml:space="preserve">and </w:t>
      </w:r>
      <w:bookmarkStart w:id="63" w:name="OLE_LINK413"/>
      <w:bookmarkStart w:id="64" w:name="OLE_LINK414"/>
      <w:r>
        <w:rPr>
          <w:rFonts w:ascii="Book Antiqua" w:hAnsi="Book Antiqua" w:eastAsia="Book Antiqua" w:cs="Book Antiqua"/>
          <w:b/>
          <w:color w:val="000000"/>
        </w:rPr>
        <w:t>endoscopic ultrasound</w:t>
      </w:r>
      <w:bookmarkEnd w:id="63"/>
      <w:bookmarkEnd w:id="64"/>
      <w:r>
        <w:rPr>
          <w:rFonts w:ascii="Book Antiqua" w:hAnsi="Book Antiqua" w:eastAsia="Book Antiqua" w:cs="Book Antiqua"/>
          <w:b/>
          <w:color w:val="000000"/>
        </w:rPr>
        <w:t xml:space="preserve"> views of type 1 small, superficial neuroendocrine lesions in gastric body</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 xml:space="preserve">A and B: </w:t>
      </w:r>
      <w:r>
        <w:rPr>
          <w:rFonts w:ascii="Book Antiqua" w:hAnsi="Book Antiqua" w:eastAsia="Book Antiqua" w:cs="Book Antiqua"/>
          <w:color w:val="000000"/>
        </w:rPr>
        <w:t>Endoscopic</w:t>
      </w:r>
      <w:r>
        <w:rPr>
          <w:rFonts w:hint="eastAsia" w:ascii="Book Antiqua" w:hAnsi="Book Antiqua" w:cs="Book Antiqua"/>
          <w:color w:val="000000"/>
          <w:lang w:eastAsia="zh-CN"/>
        </w:rPr>
        <w:t>; C: E</w:t>
      </w:r>
      <w:r>
        <w:rPr>
          <w:rFonts w:ascii="Book Antiqua" w:hAnsi="Book Antiqua" w:eastAsia="Book Antiqua" w:cs="Book Antiqua"/>
          <w:color w:val="000000"/>
        </w:rPr>
        <w:t>ndoscopic ultrasound</w:t>
      </w:r>
      <w:r>
        <w:rPr>
          <w:rFonts w:hint="eastAsia" w:ascii="Book Antiqua" w:hAnsi="Book Antiqua" w:cs="Book Antiqua"/>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4248785" cy="1944370"/>
            <wp:effectExtent l="0" t="0" r="3175" b="6350"/>
            <wp:docPr id="11" name="图片 11" descr="WJGE-14-5-267-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E-14-5-267-g008"/>
                    <pic:cNvPicPr>
                      <a:picLocks noChangeAspect="1"/>
                    </pic:cNvPicPr>
                  </pic:nvPicPr>
                  <pic:blipFill>
                    <a:blip r:embed="rId12"/>
                    <a:stretch>
                      <a:fillRect/>
                    </a:stretch>
                  </pic:blipFill>
                  <pic:spPr>
                    <a:xfrm>
                      <a:off x="0" y="0"/>
                      <a:ext cx="4248785" cy="1944370"/>
                    </a:xfrm>
                    <a:prstGeom prst="rect">
                      <a:avLst/>
                    </a:prstGeom>
                  </pic:spPr>
                </pic:pic>
              </a:graphicData>
            </a:graphic>
          </wp:inline>
        </w:drawing>
      </w:r>
    </w:p>
    <w:p>
      <w:pPr>
        <w:spacing w:line="360" w:lineRule="auto"/>
        <w:jc w:val="both"/>
        <w:rPr>
          <w:b/>
          <w:lang w:eastAsia="zh-CN"/>
        </w:rPr>
      </w:pPr>
      <w:r>
        <w:rPr>
          <w:rFonts w:ascii="Book Antiqua" w:hAnsi="Book Antiqua" w:eastAsia="Book Antiqua" w:cs="Book Antiqua"/>
          <w:b/>
          <w:bCs/>
          <w:color w:val="000000"/>
        </w:rPr>
        <w:t>Figure 8</w:t>
      </w:r>
      <w:r>
        <w:rPr>
          <w:rFonts w:ascii="Book Antiqua" w:hAnsi="Book Antiqua" w:eastAsia="Book Antiqua" w:cs="Book Antiqua"/>
          <w:b/>
          <w:color w:val="000000"/>
        </w:rPr>
        <w:t xml:space="preserve"> Endoscopic imaging of duodenal neuroendocrine tumors</w:t>
      </w:r>
      <w:r>
        <w:rPr>
          <w:rFonts w:hint="eastAsia" w:ascii="Book Antiqua" w:hAnsi="Book Antiqua" w:cs="Book Antiqua"/>
          <w:b/>
          <w:color w:val="000000"/>
          <w:lang w:eastAsia="zh-CN"/>
        </w:rPr>
        <w:t>.</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938520" cy="4108450"/>
            <wp:effectExtent l="0" t="0" r="5080" b="6350"/>
            <wp:docPr id="12" name="图片 12" descr="WJGE-14-5-267-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E-14-5-267-g009"/>
                    <pic:cNvPicPr>
                      <a:picLocks noChangeAspect="1"/>
                    </pic:cNvPicPr>
                  </pic:nvPicPr>
                  <pic:blipFill>
                    <a:blip r:embed="rId13"/>
                    <a:stretch>
                      <a:fillRect/>
                    </a:stretch>
                  </pic:blipFill>
                  <pic:spPr>
                    <a:xfrm>
                      <a:off x="0" y="0"/>
                      <a:ext cx="5938520" cy="4108450"/>
                    </a:xfrm>
                    <a:prstGeom prst="rect">
                      <a:avLst/>
                    </a:prstGeom>
                  </pic:spPr>
                </pic:pic>
              </a:graphicData>
            </a:graphic>
          </wp:inline>
        </w:drawing>
      </w:r>
      <w:bookmarkStart w:id="93" w:name="_GoBack"/>
      <w:bookmarkEnd w:id="93"/>
    </w:p>
    <w:p>
      <w:pPr>
        <w:spacing w:line="360" w:lineRule="auto"/>
        <w:jc w:val="both"/>
        <w:rPr>
          <w:rFonts w:ascii="Book Antiqua" w:hAnsi="Book Antiqua" w:cs="Book Antiqua"/>
          <w:b/>
          <w:color w:val="000000"/>
          <w:lang w:eastAsia="zh-CN"/>
        </w:rPr>
      </w:pPr>
      <w:r>
        <w:rPr>
          <w:rFonts w:ascii="Book Antiqua" w:hAnsi="Book Antiqua" w:eastAsia="Book Antiqua" w:cs="Book Antiqua"/>
          <w:b/>
          <w:bCs/>
          <w:color w:val="000000"/>
        </w:rPr>
        <w:t>Figure 9</w:t>
      </w:r>
      <w:r>
        <w:rPr>
          <w:rFonts w:ascii="Book Antiqua" w:hAnsi="Book Antiqua" w:eastAsia="Book Antiqua" w:cs="Book Antiqua"/>
          <w:b/>
          <w:color w:val="000000"/>
        </w:rPr>
        <w:t xml:space="preserve"> Treatment algorithm for pancreatic neuroendocrine tumors</w:t>
      </w:r>
      <w:r>
        <w:rPr>
          <w:rFonts w:hint="eastAsia" w:ascii="Book Antiqua" w:hAnsi="Book Antiqua" w:cs="Book Antiqua"/>
          <w:b/>
          <w:color w:val="000000"/>
          <w:lang w:eastAsia="zh-CN"/>
        </w:rPr>
        <w:t xml:space="preserve">. </w:t>
      </w:r>
      <w:r>
        <w:rPr>
          <w:rFonts w:hint="eastAsia" w:ascii="Book Antiqua" w:hAnsi="Book Antiqua"/>
          <w:lang w:eastAsia="zh-CN"/>
        </w:rPr>
        <w:t>NET: N</w:t>
      </w:r>
      <w:r>
        <w:rPr>
          <w:rFonts w:ascii="Book Antiqua" w:hAnsi="Book Antiqua"/>
          <w:lang w:eastAsia="zh-CN"/>
        </w:rPr>
        <w:t>euroendocrine tumor</w:t>
      </w:r>
      <w:r>
        <w:rPr>
          <w:rFonts w:hint="eastAsia" w:ascii="Book Antiqua" w:hAnsi="Book Antiqua"/>
          <w:lang w:eastAsia="zh-CN"/>
        </w:rPr>
        <w:t>;</w:t>
      </w:r>
      <w:r>
        <w:rPr>
          <w:rFonts w:hint="eastAsia" w:ascii="Book Antiqua" w:hAnsi="Book Antiqua" w:cs="Book Antiqua"/>
          <w:b/>
          <w:color w:val="000000"/>
          <w:lang w:eastAsia="zh-CN"/>
        </w:rPr>
        <w:t xml:space="preserve"> </w:t>
      </w:r>
      <w:r>
        <w:rPr>
          <w:rFonts w:ascii="Book Antiqua" w:hAnsi="Book Antiqua" w:cs="Arial"/>
        </w:rPr>
        <w:t>SSA</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S</w:t>
      </w:r>
      <w:r>
        <w:rPr>
          <w:rFonts w:ascii="Book Antiqua" w:hAnsi="Book Antiqua" w:cs="Arial"/>
        </w:rPr>
        <w:t>omatostatin analogue</w:t>
      </w:r>
      <w:r>
        <w:rPr>
          <w:rFonts w:hint="eastAsia" w:ascii="Book Antiqua" w:hAnsi="Book Antiqua" w:cs="Arial"/>
          <w:lang w:eastAsia="zh-CN"/>
        </w:rPr>
        <w:t xml:space="preserve">; PRRT: </w:t>
      </w:r>
      <w:r>
        <w:rPr>
          <w:rFonts w:hint="eastAsia" w:ascii="Book Antiqua" w:hAnsi="Book Antiqua" w:cs="Book Antiqua"/>
          <w:color w:val="000000"/>
          <w:lang w:eastAsia="zh-CN"/>
        </w:rPr>
        <w:t>P</w:t>
      </w:r>
      <w:r>
        <w:rPr>
          <w:rFonts w:ascii="Book Antiqua" w:hAnsi="Book Antiqua" w:eastAsia="Book Antiqua" w:cs="Book Antiqua"/>
          <w:color w:val="000000"/>
        </w:rPr>
        <w:t>eptide receptor radionuclide therapy</w:t>
      </w:r>
      <w:r>
        <w:rPr>
          <w:rFonts w:hint="eastAsia" w:ascii="Book Antiqua" w:hAnsi="Book Antiqua" w:cs="Book Antiqua"/>
          <w:color w:val="000000"/>
          <w:lang w:eastAsia="zh-CN"/>
        </w:rPr>
        <w:t>.</w:t>
      </w:r>
    </w:p>
    <w:p>
      <w:pPr>
        <w:adjustRightInd w:val="0"/>
        <w:snapToGrid w:val="0"/>
        <w:spacing w:line="360" w:lineRule="auto"/>
        <w:jc w:val="both"/>
        <w:rPr>
          <w:rFonts w:ascii="Book Antiqua" w:hAnsi="Book Antiqua" w:cs="Arial"/>
          <w:b/>
          <w:bCs/>
        </w:rPr>
      </w:pPr>
      <w:r>
        <w:rPr>
          <w:rFonts w:ascii="Book Antiqua" w:hAnsi="Book Antiqua" w:cs="Book Antiqua"/>
          <w:b/>
          <w:color w:val="000000"/>
          <w:lang w:eastAsia="zh-CN"/>
        </w:rPr>
        <w:br w:type="page"/>
      </w:r>
      <w:bookmarkStart w:id="65" w:name="OLE_LINK415"/>
      <w:bookmarkStart w:id="66" w:name="OLE_LINK416"/>
      <w:r>
        <w:rPr>
          <w:rFonts w:ascii="Book Antiqua" w:hAnsi="Book Antiqua" w:cs="Arial"/>
          <w:b/>
        </w:rPr>
        <w:t>Table 1 World Health Organization 2019 Classification</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7"/>
        <w:gridCol w:w="2337"/>
        <w:gridCol w:w="2338"/>
        <w:gridCol w:w="233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 xml:space="preserve">Terminology, </w:t>
            </w:r>
            <w:r>
              <w:rPr>
                <w:rFonts w:hint="eastAsia" w:ascii="Book Antiqua" w:hAnsi="Book Antiqua" w:cs="Arial"/>
                <w:b/>
                <w:lang w:eastAsia="zh-CN"/>
              </w:rPr>
              <w:t>g</w:t>
            </w:r>
            <w:r>
              <w:rPr>
                <w:rFonts w:ascii="Book Antiqua" w:hAnsi="Book Antiqua" w:cs="Arial"/>
                <w:b/>
              </w:rPr>
              <w:t>rade</w:t>
            </w:r>
          </w:p>
        </w:tc>
        <w:tc>
          <w:tcPr>
            <w:tcW w:w="2337" w:type="dxa"/>
            <w:tcBorders>
              <w:top w:val="single" w:color="auto" w:sz="4" w:space="0"/>
              <w:bottom w:val="single" w:color="auto" w:sz="4" w:space="0"/>
            </w:tcBorders>
          </w:tcPr>
          <w:p>
            <w:pPr>
              <w:adjustRightInd w:val="0"/>
              <w:snapToGrid w:val="0"/>
              <w:spacing w:line="360" w:lineRule="auto"/>
              <w:jc w:val="both"/>
              <w:rPr>
                <w:rFonts w:ascii="Book Antiqua" w:hAnsi="Book Antiqua" w:cs="Arial"/>
                <w:b/>
                <w:lang w:eastAsia="zh-CN"/>
              </w:rPr>
            </w:pPr>
            <w:r>
              <w:rPr>
                <w:rFonts w:ascii="Book Antiqua" w:hAnsi="Book Antiqua" w:cs="Arial"/>
                <w:b/>
              </w:rPr>
              <w:t>Differentiation</w:t>
            </w:r>
          </w:p>
        </w:tc>
        <w:tc>
          <w:tcPr>
            <w:tcW w:w="2338"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Mitotic count (HPF</w:t>
            </w:r>
            <w:r>
              <w:rPr>
                <w:rFonts w:ascii="Book Antiqua" w:hAnsi="Book Antiqua" w:cs="Arial"/>
                <w:b/>
                <w:vertAlign w:val="superscript"/>
              </w:rPr>
              <w:t>2</w:t>
            </w:r>
            <w:r>
              <w:rPr>
                <w:rFonts w:ascii="Book Antiqua" w:hAnsi="Book Antiqua" w:cs="Arial"/>
                <w:b/>
              </w:rPr>
              <w:t>)</w:t>
            </w:r>
          </w:p>
        </w:tc>
        <w:tc>
          <w:tcPr>
            <w:tcW w:w="2338"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Ki-67 index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NET, G1</w:t>
            </w:r>
          </w:p>
        </w:tc>
        <w:tc>
          <w:tcPr>
            <w:tcW w:w="2337"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 xml:space="preserve">Well-differentiated </w:t>
            </w:r>
          </w:p>
        </w:tc>
        <w:tc>
          <w:tcPr>
            <w:tcW w:w="2338"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&lt;</w:t>
            </w:r>
            <w:r>
              <w:rPr>
                <w:rFonts w:hint="eastAsia" w:ascii="Book Antiqua" w:hAnsi="Book Antiqua" w:cs="Arial"/>
                <w:lang w:eastAsia="zh-CN"/>
              </w:rPr>
              <w:t xml:space="preserve"> </w:t>
            </w:r>
            <w:r>
              <w:rPr>
                <w:rFonts w:ascii="Book Antiqua" w:hAnsi="Book Antiqua" w:cs="Arial"/>
              </w:rPr>
              <w:t>2/10</w:t>
            </w:r>
          </w:p>
        </w:tc>
        <w:tc>
          <w:tcPr>
            <w:tcW w:w="2338"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&lt;</w:t>
            </w:r>
            <w:r>
              <w:rPr>
                <w:rFonts w:hint="eastAsia" w:ascii="Book Antiqua" w:hAnsi="Book Antiqua" w:cs="Arial"/>
                <w:lang w:eastAsia="zh-CN"/>
              </w:rPr>
              <w:t xml:space="preserve"> </w:t>
            </w:r>
            <w:r>
              <w:rPr>
                <w:rFonts w:ascii="Book Antiqua" w:hAnsi="Book Antiqua" w:cs="Arial"/>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Pr>
          <w:p>
            <w:pPr>
              <w:adjustRightInd w:val="0"/>
              <w:snapToGrid w:val="0"/>
              <w:spacing w:line="360" w:lineRule="auto"/>
              <w:jc w:val="both"/>
              <w:rPr>
                <w:rFonts w:ascii="Book Antiqua" w:hAnsi="Book Antiqua" w:cs="Arial"/>
              </w:rPr>
            </w:pPr>
            <w:r>
              <w:rPr>
                <w:rFonts w:ascii="Book Antiqua" w:hAnsi="Book Antiqua" w:cs="Arial"/>
              </w:rPr>
              <w:t>NET, G2</w:t>
            </w:r>
          </w:p>
        </w:tc>
        <w:tc>
          <w:tcPr>
            <w:tcW w:w="2337" w:type="dxa"/>
          </w:tcPr>
          <w:p>
            <w:pPr>
              <w:adjustRightInd w:val="0"/>
              <w:snapToGrid w:val="0"/>
              <w:spacing w:line="360" w:lineRule="auto"/>
              <w:jc w:val="both"/>
              <w:rPr>
                <w:rFonts w:ascii="Book Antiqua" w:hAnsi="Book Antiqua" w:cs="Arial"/>
              </w:rPr>
            </w:pPr>
            <w:r>
              <w:rPr>
                <w:rFonts w:ascii="Book Antiqua" w:hAnsi="Book Antiqua" w:cs="Arial"/>
              </w:rPr>
              <w:t>Well-differentiated</w:t>
            </w:r>
          </w:p>
        </w:tc>
        <w:tc>
          <w:tcPr>
            <w:tcW w:w="2338" w:type="dxa"/>
          </w:tcPr>
          <w:p>
            <w:pPr>
              <w:adjustRightInd w:val="0"/>
              <w:snapToGrid w:val="0"/>
              <w:spacing w:line="360" w:lineRule="auto"/>
              <w:jc w:val="both"/>
              <w:rPr>
                <w:rFonts w:ascii="Book Antiqua" w:hAnsi="Book Antiqua" w:cs="Arial"/>
              </w:rPr>
            </w:pPr>
            <w:r>
              <w:rPr>
                <w:rFonts w:ascii="Book Antiqua" w:hAnsi="Book Antiqua" w:cs="Arial"/>
              </w:rPr>
              <w:t>2-20/10</w:t>
            </w:r>
          </w:p>
        </w:tc>
        <w:tc>
          <w:tcPr>
            <w:tcW w:w="2338" w:type="dxa"/>
          </w:tcPr>
          <w:p>
            <w:pPr>
              <w:adjustRightInd w:val="0"/>
              <w:snapToGrid w:val="0"/>
              <w:spacing w:line="360" w:lineRule="auto"/>
              <w:jc w:val="both"/>
              <w:rPr>
                <w:rFonts w:ascii="Book Antiqua" w:hAnsi="Book Antiqua" w:cs="Arial"/>
              </w:rPr>
            </w:pPr>
            <w:r>
              <w:rPr>
                <w:rFonts w:ascii="Book Antiqua" w:hAnsi="Book Antiqua" w:cs="Arial"/>
              </w:rPr>
              <w:t>3-20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Pr>
          <w:p>
            <w:pPr>
              <w:adjustRightInd w:val="0"/>
              <w:snapToGrid w:val="0"/>
              <w:spacing w:line="360" w:lineRule="auto"/>
              <w:jc w:val="both"/>
              <w:rPr>
                <w:rFonts w:ascii="Book Antiqua" w:hAnsi="Book Antiqua" w:cs="Arial"/>
              </w:rPr>
            </w:pPr>
            <w:r>
              <w:rPr>
                <w:rFonts w:ascii="Book Antiqua" w:hAnsi="Book Antiqua" w:cs="Arial"/>
              </w:rPr>
              <w:t>NET, G3</w:t>
            </w:r>
          </w:p>
        </w:tc>
        <w:tc>
          <w:tcPr>
            <w:tcW w:w="2337" w:type="dxa"/>
          </w:tcPr>
          <w:p>
            <w:pPr>
              <w:adjustRightInd w:val="0"/>
              <w:snapToGrid w:val="0"/>
              <w:spacing w:line="360" w:lineRule="auto"/>
              <w:jc w:val="both"/>
              <w:rPr>
                <w:rFonts w:ascii="Book Antiqua" w:hAnsi="Book Antiqua" w:cs="Arial"/>
              </w:rPr>
            </w:pPr>
            <w:r>
              <w:rPr>
                <w:rFonts w:ascii="Book Antiqua" w:hAnsi="Book Antiqua" w:cs="Arial"/>
              </w:rPr>
              <w:t>Well-differentiated</w:t>
            </w:r>
          </w:p>
        </w:tc>
        <w:tc>
          <w:tcPr>
            <w:tcW w:w="2338" w:type="dxa"/>
          </w:tcPr>
          <w:p>
            <w:pPr>
              <w:adjustRightInd w:val="0"/>
              <w:snapToGrid w:val="0"/>
              <w:spacing w:line="360" w:lineRule="auto"/>
              <w:jc w:val="both"/>
              <w:rPr>
                <w:rFonts w:ascii="Book Antiqua" w:hAnsi="Book Antiqua" w:cs="Arial"/>
              </w:rPr>
            </w:pPr>
            <w:r>
              <w:rPr>
                <w:rFonts w:ascii="Book Antiqua" w:hAnsi="Book Antiqua" w:cs="Arial"/>
              </w:rPr>
              <w:t>&gt;</w:t>
            </w:r>
            <w:r>
              <w:rPr>
                <w:rFonts w:hint="eastAsia" w:ascii="Book Antiqua" w:hAnsi="Book Antiqua" w:cs="Arial"/>
                <w:lang w:eastAsia="zh-CN"/>
              </w:rPr>
              <w:t xml:space="preserve"> </w:t>
            </w:r>
            <w:r>
              <w:rPr>
                <w:rFonts w:ascii="Book Antiqua" w:hAnsi="Book Antiqua" w:cs="Arial"/>
              </w:rPr>
              <w:t>20/10</w:t>
            </w:r>
          </w:p>
        </w:tc>
        <w:tc>
          <w:tcPr>
            <w:tcW w:w="2338" w:type="dxa"/>
          </w:tcPr>
          <w:p>
            <w:pPr>
              <w:adjustRightInd w:val="0"/>
              <w:snapToGrid w:val="0"/>
              <w:spacing w:line="360" w:lineRule="auto"/>
              <w:jc w:val="both"/>
              <w:rPr>
                <w:rFonts w:ascii="Book Antiqua" w:hAnsi="Book Antiqua" w:cs="Arial"/>
              </w:rPr>
            </w:pPr>
            <w:r>
              <w:rPr>
                <w:rFonts w:ascii="Book Antiqua" w:hAnsi="Book Antiqua" w:cs="Arial"/>
              </w:rPr>
              <w:t>&gt;</w:t>
            </w:r>
            <w:r>
              <w:rPr>
                <w:rFonts w:hint="eastAsia" w:ascii="Book Antiqua" w:hAnsi="Book Antiqua" w:cs="Arial"/>
                <w:lang w:eastAsia="zh-CN"/>
              </w:rPr>
              <w:t xml:space="preserve"> </w:t>
            </w:r>
            <w:r>
              <w:rPr>
                <w:rFonts w:ascii="Book Antiqua" w:hAnsi="Book Antiqua" w:cs="Arial"/>
              </w:rPr>
              <w:t>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Pr>
          <w:p>
            <w:pPr>
              <w:adjustRightInd w:val="0"/>
              <w:snapToGrid w:val="0"/>
              <w:spacing w:line="360" w:lineRule="auto"/>
              <w:jc w:val="both"/>
              <w:rPr>
                <w:rFonts w:ascii="Book Antiqua" w:hAnsi="Book Antiqua" w:cs="Arial"/>
              </w:rPr>
            </w:pPr>
            <w:r>
              <w:rPr>
                <w:rFonts w:ascii="Book Antiqua" w:hAnsi="Book Antiqua" w:cs="Arial"/>
              </w:rPr>
              <w:t>NEC, G3 (small or large cell type)</w:t>
            </w:r>
          </w:p>
        </w:tc>
        <w:tc>
          <w:tcPr>
            <w:tcW w:w="2337" w:type="dxa"/>
          </w:tcPr>
          <w:p>
            <w:pPr>
              <w:adjustRightInd w:val="0"/>
              <w:snapToGrid w:val="0"/>
              <w:spacing w:line="360" w:lineRule="auto"/>
              <w:jc w:val="both"/>
              <w:rPr>
                <w:rFonts w:ascii="Book Antiqua" w:hAnsi="Book Antiqua" w:cs="Arial"/>
              </w:rPr>
            </w:pPr>
            <w:r>
              <w:rPr>
                <w:rFonts w:ascii="Book Antiqua" w:hAnsi="Book Antiqua" w:cs="Arial"/>
              </w:rPr>
              <w:t>Poorly differentiated</w:t>
            </w:r>
          </w:p>
        </w:tc>
        <w:tc>
          <w:tcPr>
            <w:tcW w:w="2338" w:type="dxa"/>
          </w:tcPr>
          <w:p>
            <w:pPr>
              <w:adjustRightInd w:val="0"/>
              <w:snapToGrid w:val="0"/>
              <w:spacing w:line="360" w:lineRule="auto"/>
              <w:jc w:val="both"/>
              <w:rPr>
                <w:rFonts w:ascii="Book Antiqua" w:hAnsi="Book Antiqua" w:cs="Arial"/>
              </w:rPr>
            </w:pPr>
            <w:r>
              <w:rPr>
                <w:rFonts w:ascii="Book Antiqua" w:hAnsi="Book Antiqua" w:cs="Arial"/>
              </w:rPr>
              <w:t>&gt;</w:t>
            </w:r>
            <w:r>
              <w:rPr>
                <w:rFonts w:hint="eastAsia" w:ascii="Book Antiqua" w:hAnsi="Book Antiqua" w:cs="Arial"/>
                <w:lang w:eastAsia="zh-CN"/>
              </w:rPr>
              <w:t xml:space="preserve"> </w:t>
            </w:r>
            <w:r>
              <w:rPr>
                <w:rFonts w:ascii="Book Antiqua" w:hAnsi="Book Antiqua" w:cs="Arial"/>
              </w:rPr>
              <w:t>20/10</w:t>
            </w:r>
          </w:p>
        </w:tc>
        <w:tc>
          <w:tcPr>
            <w:tcW w:w="2338" w:type="dxa"/>
          </w:tcPr>
          <w:p>
            <w:pPr>
              <w:adjustRightInd w:val="0"/>
              <w:snapToGrid w:val="0"/>
              <w:spacing w:line="360" w:lineRule="auto"/>
              <w:jc w:val="both"/>
              <w:rPr>
                <w:rFonts w:ascii="Book Antiqua" w:hAnsi="Book Antiqua" w:cs="Arial"/>
              </w:rPr>
            </w:pPr>
            <w:r>
              <w:rPr>
                <w:rFonts w:ascii="Book Antiqua" w:hAnsi="Book Antiqua" w:cs="Arial"/>
              </w:rPr>
              <w:t>&gt;</w:t>
            </w:r>
            <w:r>
              <w:rPr>
                <w:rFonts w:hint="eastAsia" w:ascii="Book Antiqua" w:hAnsi="Book Antiqua" w:cs="Arial"/>
                <w:lang w:eastAsia="zh-CN"/>
              </w:rPr>
              <w:t xml:space="preserve"> </w:t>
            </w:r>
            <w:r>
              <w:rPr>
                <w:rFonts w:ascii="Book Antiqua" w:hAnsi="Book Antiqua" w:cs="Arial"/>
              </w:rPr>
              <w:t>20</w:t>
            </w:r>
          </w:p>
        </w:tc>
      </w:tr>
    </w:tbl>
    <w:p>
      <w:pPr>
        <w:adjustRightInd w:val="0"/>
        <w:snapToGrid w:val="0"/>
        <w:spacing w:line="360" w:lineRule="auto"/>
        <w:jc w:val="both"/>
        <w:rPr>
          <w:rFonts w:ascii="Book Antiqua" w:hAnsi="Book Antiqua" w:cs="Arial"/>
          <w:lang w:eastAsia="zh-CN"/>
        </w:rPr>
      </w:pPr>
      <w:r>
        <w:rPr>
          <w:rFonts w:ascii="Book Antiqua" w:hAnsi="Book Antiqua" w:cs="Arial"/>
        </w:rPr>
        <w:t>NET</w:t>
      </w:r>
      <w:r>
        <w:rPr>
          <w:rFonts w:hint="eastAsia" w:ascii="Book Antiqua" w:hAnsi="Book Antiqua" w:cs="Arial"/>
          <w:lang w:eastAsia="zh-CN"/>
        </w:rPr>
        <w:t>:</w:t>
      </w:r>
      <w:r>
        <w:rPr>
          <w:rFonts w:ascii="Book Antiqua" w:hAnsi="Book Antiqua" w:cs="Arial"/>
        </w:rPr>
        <w:t xml:space="preserve"> </w:t>
      </w:r>
      <w:bookmarkStart w:id="67" w:name="OLE_LINK12"/>
      <w:bookmarkStart w:id="68" w:name="OLE_LINK11"/>
      <w:r>
        <w:rPr>
          <w:rFonts w:hint="eastAsia" w:ascii="Book Antiqua" w:hAnsi="Book Antiqua" w:cs="Arial"/>
          <w:lang w:eastAsia="zh-CN"/>
        </w:rPr>
        <w:t>N</w:t>
      </w:r>
      <w:r>
        <w:rPr>
          <w:rFonts w:ascii="Book Antiqua" w:hAnsi="Book Antiqua" w:cs="Arial"/>
        </w:rPr>
        <w:t>euroendocrine tumor</w:t>
      </w:r>
      <w:bookmarkEnd w:id="67"/>
      <w:bookmarkEnd w:id="68"/>
      <w:r>
        <w:rPr>
          <w:rFonts w:hint="eastAsia" w:ascii="Book Antiqua" w:hAnsi="Book Antiqua" w:cs="Arial"/>
          <w:lang w:eastAsia="zh-CN"/>
        </w:rPr>
        <w:t>;</w:t>
      </w:r>
      <w:r>
        <w:rPr>
          <w:rFonts w:ascii="Book Antiqua" w:hAnsi="Book Antiqua" w:cs="Arial"/>
        </w:rPr>
        <w:t xml:space="preserve"> NEC</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N</w:t>
      </w:r>
      <w:r>
        <w:rPr>
          <w:rFonts w:ascii="Book Antiqua" w:hAnsi="Book Antiqua" w:cs="Arial"/>
        </w:rPr>
        <w:t>euroendocrine carcinoma</w:t>
      </w:r>
      <w:r>
        <w:rPr>
          <w:rFonts w:hint="eastAsia" w:ascii="Book Antiqua" w:hAnsi="Book Antiqua" w:cs="Arial"/>
          <w:lang w:eastAsia="zh-CN"/>
        </w:rPr>
        <w:t>;</w:t>
      </w:r>
      <w:r>
        <w:rPr>
          <w:rFonts w:ascii="Book Antiqua" w:hAnsi="Book Antiqua" w:cs="Arial"/>
        </w:rPr>
        <w:t xml:space="preserve"> HPF</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H</w:t>
      </w:r>
      <w:r>
        <w:rPr>
          <w:rFonts w:ascii="Book Antiqua" w:hAnsi="Book Antiqua" w:cs="Arial"/>
        </w:rPr>
        <w:t>igh powered field</w:t>
      </w:r>
      <w:r>
        <w:rPr>
          <w:rFonts w:hint="eastAsia" w:ascii="Book Antiqua" w:hAnsi="Book Antiqua" w:cs="Arial"/>
          <w:lang w:eastAsia="zh-CN"/>
        </w:rPr>
        <w:t>.</w:t>
      </w:r>
    </w:p>
    <w:p>
      <w:pPr>
        <w:adjustRightInd w:val="0"/>
        <w:snapToGrid w:val="0"/>
        <w:spacing w:line="360" w:lineRule="auto"/>
        <w:jc w:val="both"/>
        <w:rPr>
          <w:rFonts w:ascii="Book Antiqua" w:hAnsi="Book Antiqua" w:cs="Arial"/>
          <w:b/>
          <w:vertAlign w:val="superscript"/>
          <w:lang w:eastAsia="zh-CN"/>
        </w:rPr>
      </w:pPr>
      <w:r>
        <w:rPr>
          <w:rFonts w:ascii="Book Antiqua" w:hAnsi="Book Antiqua" w:cs="Arial"/>
        </w:rPr>
        <w:br w:type="page"/>
      </w:r>
      <w:r>
        <w:rPr>
          <w:rFonts w:ascii="Book Antiqua" w:hAnsi="Book Antiqua" w:cs="Arial"/>
          <w:b/>
        </w:rPr>
        <w:t>Table 2 Gastric neuroendocrine tumors</w:t>
      </w:r>
      <w:r>
        <w:rPr>
          <w:rFonts w:ascii="Book Antiqua" w:hAnsi="Book Antiqua" w:cs="Arial"/>
          <w:b/>
          <w:vertAlign w:val="superscript"/>
        </w:rPr>
        <w:t>[88,90,91]</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00"/>
        <w:gridCol w:w="1942"/>
        <w:gridCol w:w="2100"/>
        <w:gridCol w:w="1888"/>
        <w:gridCol w:w="17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p>
        </w:tc>
        <w:tc>
          <w:tcPr>
            <w:tcW w:w="1942"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Type 1</w:t>
            </w:r>
          </w:p>
        </w:tc>
        <w:tc>
          <w:tcPr>
            <w:tcW w:w="210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Type 2</w:t>
            </w:r>
          </w:p>
        </w:tc>
        <w:tc>
          <w:tcPr>
            <w:tcW w:w="1888"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Type 3</w:t>
            </w:r>
          </w:p>
        </w:tc>
        <w:tc>
          <w:tcPr>
            <w:tcW w:w="1746"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Type 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Proportion of gastric neuroendocrine tumors</w:t>
            </w:r>
          </w:p>
        </w:tc>
        <w:tc>
          <w:tcPr>
            <w:tcW w:w="1942"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70</w:t>
            </w:r>
            <w:r>
              <w:rPr>
                <w:rFonts w:hint="eastAsia" w:ascii="Book Antiqua" w:hAnsi="Book Antiqua" w:cs="Arial"/>
                <w:lang w:eastAsia="zh-CN"/>
              </w:rPr>
              <w:t>%</w:t>
            </w:r>
            <w:r>
              <w:rPr>
                <w:rFonts w:ascii="Book Antiqua" w:hAnsi="Book Antiqua" w:cs="Arial"/>
              </w:rPr>
              <w:t>-80%</w:t>
            </w:r>
          </w:p>
        </w:tc>
        <w:tc>
          <w:tcPr>
            <w:tcW w:w="210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5%</w:t>
            </w:r>
          </w:p>
        </w:tc>
        <w:tc>
          <w:tcPr>
            <w:tcW w:w="1888"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15</w:t>
            </w:r>
            <w:r>
              <w:rPr>
                <w:rFonts w:hint="eastAsia" w:ascii="Book Antiqua" w:hAnsi="Book Antiqua" w:cs="Arial"/>
                <w:lang w:eastAsia="zh-CN"/>
              </w:rPr>
              <w:t>%</w:t>
            </w:r>
            <w:r>
              <w:rPr>
                <w:rFonts w:ascii="Book Antiqua" w:hAnsi="Book Antiqua" w:cs="Arial"/>
              </w:rPr>
              <w:t>-25%</w:t>
            </w:r>
          </w:p>
        </w:tc>
        <w:tc>
          <w:tcPr>
            <w:tcW w:w="1746"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 xml:space="preserve">Very rare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Associated conditions</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 xml:space="preserve">Atrophic gastritis </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Zollinger-Ellison and MEN-1</w:t>
            </w:r>
          </w:p>
        </w:tc>
        <w:tc>
          <w:tcPr>
            <w:tcW w:w="1888" w:type="dxa"/>
          </w:tcPr>
          <w:p>
            <w:pPr>
              <w:adjustRightInd w:val="0"/>
              <w:snapToGrid w:val="0"/>
              <w:spacing w:line="360" w:lineRule="auto"/>
              <w:jc w:val="both"/>
              <w:rPr>
                <w:rFonts w:ascii="Book Antiqua" w:hAnsi="Book Antiqua" w:cs="Arial"/>
              </w:rPr>
            </w:pPr>
            <w:r>
              <w:rPr>
                <w:rFonts w:ascii="Book Antiqua" w:hAnsi="Book Antiqua" w:cs="Arial"/>
              </w:rPr>
              <w:t>Sporadic</w:t>
            </w:r>
          </w:p>
        </w:tc>
        <w:tc>
          <w:tcPr>
            <w:tcW w:w="1746" w:type="dxa"/>
          </w:tcPr>
          <w:p>
            <w:pPr>
              <w:adjustRightInd w:val="0"/>
              <w:snapToGrid w:val="0"/>
              <w:spacing w:line="360" w:lineRule="auto"/>
              <w:jc w:val="both"/>
              <w:rPr>
                <w:rFonts w:ascii="Book Antiqua" w:hAnsi="Book Antiqua" w:cs="Arial"/>
              </w:rPr>
            </w:pPr>
            <w:r>
              <w:rPr>
                <w:rFonts w:ascii="Book Antiqua" w:hAnsi="Book Antiqua" w:cs="Arial"/>
              </w:rPr>
              <w:t>Sporadic</w:t>
            </w:r>
          </w:p>
        </w:tc>
      </w:tr>
      <w:bookmarkEnd w:id="65"/>
      <w:bookmarkEnd w:id="66"/>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Location</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 xml:space="preserve">Gastric </w:t>
            </w:r>
            <w:bookmarkStart w:id="69" w:name="OLE_LINK424"/>
            <w:bookmarkStart w:id="70" w:name="OLE_LINK423"/>
            <w:r>
              <w:rPr>
                <w:rFonts w:hint="eastAsia" w:ascii="Book Antiqua" w:hAnsi="Book Antiqua" w:cs="Arial"/>
                <w:lang w:eastAsia="zh-CN"/>
              </w:rPr>
              <w:t>f</w:t>
            </w:r>
            <w:r>
              <w:rPr>
                <w:rFonts w:ascii="Book Antiqua" w:hAnsi="Book Antiqua" w:cs="Arial"/>
              </w:rPr>
              <w:t xml:space="preserve">undus </w:t>
            </w:r>
            <w:r>
              <w:rPr>
                <w:rFonts w:hint="eastAsia" w:ascii="Book Antiqua" w:hAnsi="Book Antiqua" w:cs="Arial"/>
                <w:lang w:eastAsia="zh-CN"/>
              </w:rPr>
              <w:t>and</w:t>
            </w:r>
            <w:r>
              <w:rPr>
                <w:rFonts w:ascii="Book Antiqua" w:hAnsi="Book Antiqua" w:cs="Arial"/>
              </w:rPr>
              <w:t xml:space="preserve"> </w:t>
            </w:r>
            <w:r>
              <w:rPr>
                <w:rFonts w:hint="eastAsia" w:ascii="Book Antiqua" w:hAnsi="Book Antiqua" w:cs="Arial"/>
                <w:lang w:eastAsia="zh-CN"/>
              </w:rPr>
              <w:t>b</w:t>
            </w:r>
            <w:r>
              <w:rPr>
                <w:rFonts w:ascii="Book Antiqua" w:hAnsi="Book Antiqua" w:cs="Arial"/>
              </w:rPr>
              <w:t>ody</w:t>
            </w:r>
            <w:bookmarkEnd w:id="69"/>
            <w:bookmarkEnd w:id="70"/>
          </w:p>
        </w:tc>
        <w:tc>
          <w:tcPr>
            <w:tcW w:w="2100" w:type="dxa"/>
          </w:tcPr>
          <w:p>
            <w:pPr>
              <w:adjustRightInd w:val="0"/>
              <w:snapToGrid w:val="0"/>
              <w:spacing w:line="360" w:lineRule="auto"/>
              <w:jc w:val="both"/>
              <w:rPr>
                <w:rFonts w:ascii="Book Antiqua" w:hAnsi="Book Antiqua" w:cs="Arial"/>
              </w:rPr>
            </w:pPr>
            <w:r>
              <w:rPr>
                <w:rFonts w:ascii="Book Antiqua" w:hAnsi="Book Antiqua" w:cs="Arial"/>
              </w:rPr>
              <w:t xml:space="preserve">Gastric </w:t>
            </w:r>
            <w:r>
              <w:rPr>
                <w:rFonts w:ascii="Book Antiqua" w:hAnsi="Book Antiqua" w:cs="Arial"/>
                <w:lang w:eastAsia="zh-CN"/>
              </w:rPr>
              <w:t>f</w:t>
            </w:r>
            <w:r>
              <w:rPr>
                <w:rFonts w:ascii="Book Antiqua" w:hAnsi="Book Antiqua" w:cs="Arial"/>
              </w:rPr>
              <w:t xml:space="preserve">undus </w:t>
            </w:r>
            <w:r>
              <w:rPr>
                <w:rFonts w:ascii="Book Antiqua" w:hAnsi="Book Antiqua" w:cs="Arial"/>
                <w:lang w:eastAsia="zh-CN"/>
              </w:rPr>
              <w:t>and</w:t>
            </w:r>
            <w:r>
              <w:rPr>
                <w:rFonts w:ascii="Book Antiqua" w:hAnsi="Book Antiqua" w:cs="Arial"/>
              </w:rPr>
              <w:t xml:space="preserve"> </w:t>
            </w:r>
            <w:r>
              <w:rPr>
                <w:rFonts w:ascii="Book Antiqua" w:hAnsi="Book Antiqua" w:cs="Arial"/>
                <w:lang w:eastAsia="zh-CN"/>
              </w:rPr>
              <w:t>b</w:t>
            </w:r>
            <w:r>
              <w:rPr>
                <w:rFonts w:ascii="Book Antiqua" w:hAnsi="Book Antiqua" w:cs="Arial"/>
              </w:rPr>
              <w:t>ody</w:t>
            </w:r>
          </w:p>
        </w:tc>
        <w:tc>
          <w:tcPr>
            <w:tcW w:w="1888" w:type="dxa"/>
          </w:tcPr>
          <w:p>
            <w:pPr>
              <w:adjustRightInd w:val="0"/>
              <w:snapToGrid w:val="0"/>
              <w:spacing w:line="360" w:lineRule="auto"/>
              <w:jc w:val="both"/>
              <w:rPr>
                <w:rFonts w:ascii="Book Antiqua" w:hAnsi="Book Antiqua" w:cs="Arial"/>
              </w:rPr>
            </w:pPr>
            <w:r>
              <w:rPr>
                <w:rFonts w:ascii="Book Antiqua" w:hAnsi="Book Antiqua" w:cs="Arial"/>
              </w:rPr>
              <w:t>Antrum</w:t>
            </w:r>
          </w:p>
        </w:tc>
        <w:tc>
          <w:tcPr>
            <w:tcW w:w="1746" w:type="dxa"/>
          </w:tcPr>
          <w:p>
            <w:pPr>
              <w:adjustRightInd w:val="0"/>
              <w:snapToGrid w:val="0"/>
              <w:spacing w:line="360" w:lineRule="auto"/>
              <w:jc w:val="both"/>
              <w:rPr>
                <w:rFonts w:ascii="Book Antiqua" w:hAnsi="Book Antiqua" w:cs="Arial"/>
              </w:rPr>
            </w:pPr>
            <w:r>
              <w:rPr>
                <w:rFonts w:ascii="Book Antiqua" w:hAnsi="Book Antiqua" w:cs="Arial"/>
              </w:rPr>
              <w:t>Anywhere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Endoscopic findings</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Multiple, small polyps</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Multiple, small polyps</w:t>
            </w:r>
          </w:p>
        </w:tc>
        <w:tc>
          <w:tcPr>
            <w:tcW w:w="1888" w:type="dxa"/>
          </w:tcPr>
          <w:p>
            <w:pPr>
              <w:adjustRightInd w:val="0"/>
              <w:snapToGrid w:val="0"/>
              <w:spacing w:line="360" w:lineRule="auto"/>
              <w:jc w:val="both"/>
              <w:rPr>
                <w:rFonts w:ascii="Book Antiqua" w:hAnsi="Book Antiqua" w:cs="Arial"/>
              </w:rPr>
            </w:pPr>
            <w:r>
              <w:rPr>
                <w:rFonts w:ascii="Book Antiqua" w:hAnsi="Book Antiqua" w:cs="Arial"/>
              </w:rPr>
              <w:t>Solitary, larger</w:t>
            </w:r>
          </w:p>
        </w:tc>
        <w:tc>
          <w:tcPr>
            <w:tcW w:w="1746" w:type="dxa"/>
          </w:tcPr>
          <w:p>
            <w:pPr>
              <w:adjustRightInd w:val="0"/>
              <w:snapToGrid w:val="0"/>
              <w:spacing w:line="360" w:lineRule="auto"/>
              <w:jc w:val="both"/>
              <w:rPr>
                <w:rFonts w:ascii="Book Antiqua" w:hAnsi="Book Antiqua" w:cs="Arial"/>
              </w:rPr>
            </w:pPr>
            <w:r>
              <w:rPr>
                <w:rFonts w:ascii="Book Antiqua" w:hAnsi="Book Antiqua" w:cs="Arial"/>
              </w:rPr>
              <w:t>Solitary, larger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Gastrin level</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Increased</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Increased</w:t>
            </w:r>
          </w:p>
        </w:tc>
        <w:tc>
          <w:tcPr>
            <w:tcW w:w="1888" w:type="dxa"/>
          </w:tcPr>
          <w:p>
            <w:pPr>
              <w:adjustRightInd w:val="0"/>
              <w:snapToGrid w:val="0"/>
              <w:spacing w:line="360" w:lineRule="auto"/>
              <w:jc w:val="both"/>
              <w:rPr>
                <w:rFonts w:ascii="Book Antiqua" w:hAnsi="Book Antiqua" w:cs="Arial"/>
              </w:rPr>
            </w:pPr>
            <w:r>
              <w:rPr>
                <w:rFonts w:ascii="Book Antiqua" w:hAnsi="Book Antiqua" w:cs="Arial"/>
              </w:rPr>
              <w:t>Normal</w:t>
            </w:r>
          </w:p>
        </w:tc>
        <w:tc>
          <w:tcPr>
            <w:tcW w:w="1746" w:type="dxa"/>
          </w:tcPr>
          <w:p>
            <w:pPr>
              <w:adjustRightInd w:val="0"/>
              <w:snapToGrid w:val="0"/>
              <w:spacing w:line="360" w:lineRule="auto"/>
              <w:jc w:val="both"/>
              <w:rPr>
                <w:rFonts w:ascii="Book Antiqua" w:hAnsi="Book Antiqua" w:cs="Arial"/>
              </w:rPr>
            </w:pPr>
            <w:r>
              <w:rPr>
                <w:rFonts w:ascii="Book Antiqua" w:hAnsi="Book Antiqua" w:cs="Arial"/>
              </w:rPr>
              <w:t>Normal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pH</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 xml:space="preserve">Increased </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 xml:space="preserve">Decreased </w:t>
            </w:r>
          </w:p>
        </w:tc>
        <w:tc>
          <w:tcPr>
            <w:tcW w:w="1888" w:type="dxa"/>
          </w:tcPr>
          <w:p>
            <w:pPr>
              <w:adjustRightInd w:val="0"/>
              <w:snapToGrid w:val="0"/>
              <w:spacing w:line="360" w:lineRule="auto"/>
              <w:jc w:val="both"/>
              <w:rPr>
                <w:rFonts w:ascii="Book Antiqua" w:hAnsi="Book Antiqua" w:cs="Arial"/>
              </w:rPr>
            </w:pPr>
            <w:r>
              <w:rPr>
                <w:rFonts w:ascii="Book Antiqua" w:hAnsi="Book Antiqua" w:cs="Arial"/>
              </w:rPr>
              <w:t xml:space="preserve">Normal </w:t>
            </w:r>
          </w:p>
        </w:tc>
        <w:tc>
          <w:tcPr>
            <w:tcW w:w="1746" w:type="dxa"/>
          </w:tcPr>
          <w:p>
            <w:pPr>
              <w:adjustRightInd w:val="0"/>
              <w:snapToGrid w:val="0"/>
              <w:spacing w:line="360" w:lineRule="auto"/>
              <w:jc w:val="both"/>
              <w:rPr>
                <w:rFonts w:ascii="Book Antiqua" w:hAnsi="Book Antiqua" w:cs="Arial"/>
              </w:rPr>
            </w:pPr>
            <w:r>
              <w:rPr>
                <w:rFonts w:ascii="Book Antiqua" w:hAnsi="Book Antiqua" w:cs="Arial"/>
              </w:rPr>
              <w:t>Normal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Prognosis</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 xml:space="preserve">Excellent </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Good</w:t>
            </w:r>
          </w:p>
        </w:tc>
        <w:tc>
          <w:tcPr>
            <w:tcW w:w="1888" w:type="dxa"/>
          </w:tcPr>
          <w:p>
            <w:pPr>
              <w:adjustRightInd w:val="0"/>
              <w:snapToGrid w:val="0"/>
              <w:spacing w:line="360" w:lineRule="auto"/>
              <w:jc w:val="both"/>
              <w:rPr>
                <w:rFonts w:ascii="Book Antiqua" w:hAnsi="Book Antiqua" w:cs="Arial"/>
              </w:rPr>
            </w:pPr>
            <w:r>
              <w:rPr>
                <w:rFonts w:ascii="Book Antiqua" w:hAnsi="Book Antiqua" w:cs="Arial"/>
              </w:rPr>
              <w:t>Poor</w:t>
            </w:r>
          </w:p>
        </w:tc>
        <w:tc>
          <w:tcPr>
            <w:tcW w:w="1746" w:type="dxa"/>
          </w:tcPr>
          <w:p>
            <w:pPr>
              <w:adjustRightInd w:val="0"/>
              <w:snapToGrid w:val="0"/>
              <w:spacing w:line="360" w:lineRule="auto"/>
              <w:jc w:val="both"/>
              <w:rPr>
                <w:rFonts w:ascii="Book Antiqua" w:hAnsi="Book Antiqua" w:cs="Arial"/>
              </w:rPr>
            </w:pPr>
            <w:r>
              <w:rPr>
                <w:rFonts w:ascii="Book Antiqua" w:hAnsi="Book Antiqua" w:cs="Arial"/>
              </w:rPr>
              <w:t xml:space="preserve">Very </w:t>
            </w:r>
            <w:r>
              <w:rPr>
                <w:rFonts w:hint="eastAsia" w:ascii="Book Antiqua" w:hAnsi="Book Antiqua" w:cs="Arial"/>
                <w:lang w:eastAsia="zh-CN"/>
              </w:rPr>
              <w:t>p</w:t>
            </w:r>
            <w:r>
              <w:rPr>
                <w:rFonts w:ascii="Book Antiqua" w:hAnsi="Book Antiqua" w:cs="Arial"/>
              </w:rPr>
              <w:t xml:space="preserve">oor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Metastasis</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10</w:t>
            </w:r>
            <w:r>
              <w:rPr>
                <w:rFonts w:hint="eastAsia" w:ascii="Book Antiqua" w:hAnsi="Book Antiqua" w:cs="Arial"/>
                <w:lang w:eastAsia="zh-CN"/>
              </w:rPr>
              <w:t>%</w:t>
            </w:r>
            <w:r>
              <w:rPr>
                <w:rFonts w:ascii="Book Antiqua" w:hAnsi="Book Antiqua" w:cs="Arial"/>
              </w:rPr>
              <w:t>-20%</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10</w:t>
            </w:r>
            <w:r>
              <w:rPr>
                <w:rFonts w:hint="eastAsia" w:ascii="Book Antiqua" w:hAnsi="Book Antiqua" w:cs="Arial"/>
                <w:lang w:eastAsia="zh-CN"/>
              </w:rPr>
              <w:t>%</w:t>
            </w:r>
            <w:r>
              <w:rPr>
                <w:rFonts w:ascii="Book Antiqua" w:hAnsi="Book Antiqua" w:cs="Arial"/>
              </w:rPr>
              <w:t>-30%</w:t>
            </w:r>
          </w:p>
        </w:tc>
        <w:tc>
          <w:tcPr>
            <w:tcW w:w="1888" w:type="dxa"/>
          </w:tcPr>
          <w:p>
            <w:pPr>
              <w:adjustRightInd w:val="0"/>
              <w:snapToGrid w:val="0"/>
              <w:spacing w:line="360" w:lineRule="auto"/>
              <w:jc w:val="both"/>
              <w:rPr>
                <w:rFonts w:ascii="Book Antiqua" w:hAnsi="Book Antiqua" w:cs="Arial"/>
              </w:rPr>
            </w:pPr>
            <w:r>
              <w:rPr>
                <w:rFonts w:ascii="Book Antiqua" w:hAnsi="Book Antiqua" w:cs="Arial"/>
              </w:rPr>
              <w:t>30</w:t>
            </w:r>
            <w:r>
              <w:rPr>
                <w:rFonts w:hint="eastAsia" w:ascii="Book Antiqua" w:hAnsi="Book Antiqua" w:cs="Arial"/>
                <w:lang w:eastAsia="zh-CN"/>
              </w:rPr>
              <w:t>%</w:t>
            </w:r>
            <w:r>
              <w:rPr>
                <w:rFonts w:ascii="Book Antiqua" w:hAnsi="Book Antiqua" w:cs="Arial"/>
              </w:rPr>
              <w:t>-80%</w:t>
            </w:r>
          </w:p>
        </w:tc>
        <w:tc>
          <w:tcPr>
            <w:tcW w:w="1746" w:type="dxa"/>
          </w:tcPr>
          <w:p>
            <w:pPr>
              <w:adjustRightInd w:val="0"/>
              <w:snapToGrid w:val="0"/>
              <w:spacing w:line="360" w:lineRule="auto"/>
              <w:jc w:val="both"/>
              <w:rPr>
                <w:rFonts w:ascii="Book Antiqua" w:hAnsi="Book Antiqua" w:cs="Arial"/>
              </w:rPr>
            </w:pPr>
            <w:r>
              <w:rPr>
                <w:rFonts w:ascii="Book Antiqua" w:hAnsi="Book Antiqua" w:cs="Arial"/>
              </w:rPr>
              <w:t>80</w:t>
            </w:r>
            <w:r>
              <w:rPr>
                <w:rFonts w:hint="eastAsia" w:ascii="Book Antiqua" w:hAnsi="Book Antiqua" w:cs="Arial"/>
                <w:lang w:eastAsia="zh-CN"/>
              </w:rPr>
              <w:t>%</w:t>
            </w:r>
            <w:r>
              <w:rPr>
                <w:rFonts w:ascii="Book Antiqua" w:hAnsi="Book Antiqua" w:cs="Arial"/>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Evaluation</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Gastric pH, gastrin, EUS 1-2 cm lesions</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Gastric pH, gastrin, EUS 1-2 cm lesions, abdominal imaging</w:t>
            </w:r>
          </w:p>
        </w:tc>
        <w:tc>
          <w:tcPr>
            <w:tcW w:w="1888" w:type="dxa"/>
          </w:tcPr>
          <w:p>
            <w:pPr>
              <w:adjustRightInd w:val="0"/>
              <w:snapToGrid w:val="0"/>
              <w:spacing w:line="360" w:lineRule="auto"/>
              <w:jc w:val="both"/>
              <w:rPr>
                <w:rFonts w:ascii="Book Antiqua" w:hAnsi="Book Antiqua" w:cs="Arial"/>
                <w:color w:val="000000"/>
                <w:shd w:val="clear" w:color="auto" w:fill="FFFFFF"/>
              </w:rPr>
            </w:pPr>
            <w:r>
              <w:rPr>
                <w:rFonts w:ascii="Book Antiqua" w:hAnsi="Book Antiqua" w:cs="Arial"/>
                <w:color w:val="000000"/>
                <w:shd w:val="clear" w:color="auto" w:fill="FFFFFF"/>
              </w:rPr>
              <w:t>Gastric pH, gastrin, EUS, abdominal imaging</w:t>
            </w:r>
          </w:p>
        </w:tc>
        <w:tc>
          <w:tcPr>
            <w:tcW w:w="1746" w:type="dxa"/>
          </w:tcPr>
          <w:p>
            <w:pPr>
              <w:adjustRightInd w:val="0"/>
              <w:snapToGrid w:val="0"/>
              <w:spacing w:line="360" w:lineRule="auto"/>
              <w:jc w:val="both"/>
              <w:rPr>
                <w:rFonts w:ascii="Book Antiqua" w:hAnsi="Book Antiqua" w:cs="Arial"/>
                <w:color w:val="000000"/>
                <w:shd w:val="clear" w:color="auto" w:fill="FFFFFF"/>
              </w:rPr>
            </w:pPr>
            <w:r>
              <w:rPr>
                <w:rFonts w:ascii="Book Antiqua" w:hAnsi="Book Antiqua" w:cs="Arial"/>
                <w:color w:val="000000"/>
                <w:shd w:val="clear" w:color="auto" w:fill="FFFFFF"/>
              </w:rPr>
              <w:t>Gastric pH, gastrin, EUS, abdominal imaging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Pr>
          <w:p>
            <w:pPr>
              <w:adjustRightInd w:val="0"/>
              <w:snapToGrid w:val="0"/>
              <w:spacing w:line="360" w:lineRule="auto"/>
              <w:jc w:val="both"/>
              <w:rPr>
                <w:rFonts w:ascii="Book Antiqua" w:hAnsi="Book Antiqua" w:cs="Arial"/>
              </w:rPr>
            </w:pPr>
            <w:r>
              <w:rPr>
                <w:rFonts w:ascii="Book Antiqua" w:hAnsi="Book Antiqua" w:cs="Arial"/>
              </w:rPr>
              <w:t xml:space="preserve">Treatment </w:t>
            </w:r>
          </w:p>
        </w:tc>
        <w:tc>
          <w:tcPr>
            <w:tcW w:w="1942" w:type="dxa"/>
          </w:tcPr>
          <w:p>
            <w:pPr>
              <w:adjustRightInd w:val="0"/>
              <w:snapToGrid w:val="0"/>
              <w:spacing w:line="360" w:lineRule="auto"/>
              <w:jc w:val="both"/>
              <w:rPr>
                <w:rFonts w:ascii="Book Antiqua" w:hAnsi="Book Antiqua" w:cs="Arial"/>
              </w:rPr>
            </w:pPr>
            <w:r>
              <w:rPr>
                <w:rFonts w:ascii="Book Antiqua" w:hAnsi="Book Antiqua" w:cs="Arial"/>
              </w:rPr>
              <w:t>Endoscopic resection for larger lesions and surveillance for lesions &lt;</w:t>
            </w:r>
            <w:r>
              <w:rPr>
                <w:rFonts w:hint="eastAsia" w:ascii="Book Antiqua" w:hAnsi="Book Antiqua" w:cs="Arial"/>
                <w:lang w:eastAsia="zh-CN"/>
              </w:rPr>
              <w:t xml:space="preserve"> </w:t>
            </w:r>
            <w:r>
              <w:rPr>
                <w:rFonts w:ascii="Book Antiqua" w:hAnsi="Book Antiqua" w:cs="Arial"/>
              </w:rPr>
              <w:t>2</w:t>
            </w:r>
            <w:r>
              <w:rPr>
                <w:rFonts w:hint="eastAsia" w:ascii="Book Antiqua" w:hAnsi="Book Antiqua" w:cs="Arial"/>
                <w:lang w:eastAsia="zh-CN"/>
              </w:rPr>
              <w:t xml:space="preserve"> </w:t>
            </w:r>
            <w:r>
              <w:rPr>
                <w:rFonts w:ascii="Book Antiqua" w:hAnsi="Book Antiqua" w:cs="Arial"/>
              </w:rPr>
              <w:t>cm</w:t>
            </w:r>
          </w:p>
        </w:tc>
        <w:tc>
          <w:tcPr>
            <w:tcW w:w="2100" w:type="dxa"/>
          </w:tcPr>
          <w:p>
            <w:pPr>
              <w:adjustRightInd w:val="0"/>
              <w:snapToGrid w:val="0"/>
              <w:spacing w:line="360" w:lineRule="auto"/>
              <w:jc w:val="both"/>
              <w:rPr>
                <w:rFonts w:ascii="Book Antiqua" w:hAnsi="Book Antiqua" w:cs="Arial"/>
              </w:rPr>
            </w:pPr>
            <w:r>
              <w:rPr>
                <w:rFonts w:ascii="Book Antiqua" w:hAnsi="Book Antiqua" w:cs="Arial"/>
              </w:rPr>
              <w:t>Similar to type 1</w:t>
            </w:r>
          </w:p>
        </w:tc>
        <w:tc>
          <w:tcPr>
            <w:tcW w:w="1888" w:type="dxa"/>
          </w:tcPr>
          <w:p>
            <w:pPr>
              <w:adjustRightInd w:val="0"/>
              <w:snapToGrid w:val="0"/>
              <w:spacing w:line="360" w:lineRule="auto"/>
              <w:jc w:val="both"/>
              <w:rPr>
                <w:rFonts w:ascii="Book Antiqua" w:hAnsi="Book Antiqua" w:cs="Arial"/>
              </w:rPr>
            </w:pPr>
            <w:r>
              <w:rPr>
                <w:rFonts w:ascii="Book Antiqua" w:hAnsi="Book Antiqua" w:cs="Arial"/>
                <w:color w:val="000000"/>
                <w:shd w:val="clear" w:color="auto" w:fill="FFFFFF"/>
              </w:rPr>
              <w:t>Surgery, endoscopic resection for superficial, well-differentiated lesions &lt;</w:t>
            </w:r>
            <w:r>
              <w:rPr>
                <w:rFonts w:hint="eastAsia" w:ascii="Book Antiqua" w:hAnsi="Book Antiqua" w:cs="Arial"/>
                <w:color w:val="000000"/>
                <w:shd w:val="clear" w:color="auto" w:fill="FFFFFF"/>
                <w:lang w:eastAsia="zh-CN"/>
              </w:rPr>
              <w:t xml:space="preserve"> </w:t>
            </w:r>
            <w:r>
              <w:rPr>
                <w:rFonts w:ascii="Book Antiqua" w:hAnsi="Book Antiqua" w:cs="Arial"/>
                <w:color w:val="000000"/>
                <w:shd w:val="clear" w:color="auto" w:fill="FFFFFF"/>
              </w:rPr>
              <w:t>1</w:t>
            </w:r>
            <w:r>
              <w:rPr>
                <w:rFonts w:hint="eastAsia" w:ascii="Book Antiqua" w:hAnsi="Book Antiqua" w:cs="Arial"/>
                <w:color w:val="000000"/>
                <w:shd w:val="clear" w:color="auto" w:fill="FFFFFF"/>
                <w:lang w:eastAsia="zh-CN"/>
              </w:rPr>
              <w:t xml:space="preserve"> </w:t>
            </w:r>
            <w:r>
              <w:rPr>
                <w:rFonts w:ascii="Book Antiqua" w:hAnsi="Book Antiqua" w:cs="Arial"/>
                <w:color w:val="000000"/>
                <w:shd w:val="clear" w:color="auto" w:fill="FFFFFF"/>
              </w:rPr>
              <w:t>cm</w:t>
            </w:r>
          </w:p>
        </w:tc>
        <w:tc>
          <w:tcPr>
            <w:tcW w:w="1746" w:type="dxa"/>
          </w:tcPr>
          <w:p>
            <w:pPr>
              <w:adjustRightInd w:val="0"/>
              <w:snapToGrid w:val="0"/>
              <w:spacing w:line="360" w:lineRule="auto"/>
              <w:jc w:val="both"/>
              <w:rPr>
                <w:rFonts w:ascii="Book Antiqua" w:hAnsi="Book Antiqua" w:cs="Arial"/>
              </w:rPr>
            </w:pPr>
            <w:r>
              <w:rPr>
                <w:rFonts w:ascii="Book Antiqua" w:hAnsi="Book Antiqua" w:cs="Arial"/>
                <w:color w:val="000000"/>
                <w:shd w:val="clear" w:color="auto" w:fill="FFFFFF"/>
              </w:rPr>
              <w:t xml:space="preserve">Surgery for local disease, systemic chemotherapy for metastatic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00" w:type="dxa"/>
            <w:tcBorders>
              <w:bottom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Surveillance</w:t>
            </w:r>
          </w:p>
        </w:tc>
        <w:tc>
          <w:tcPr>
            <w:tcW w:w="1942" w:type="dxa"/>
            <w:tcBorders>
              <w:bottom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EGD every year</w:t>
            </w:r>
          </w:p>
        </w:tc>
        <w:tc>
          <w:tcPr>
            <w:tcW w:w="2100" w:type="dxa"/>
            <w:tcBorders>
              <w:bottom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 xml:space="preserve">EGD every 6-12 </w:t>
            </w:r>
            <w:r>
              <w:rPr>
                <w:rFonts w:hint="eastAsia" w:ascii="Book Antiqua" w:hAnsi="Book Antiqua" w:cs="Arial"/>
                <w:lang w:eastAsia="zh-CN"/>
              </w:rPr>
              <w:t>mo</w:t>
            </w:r>
            <w:r>
              <w:rPr>
                <w:rFonts w:ascii="Book Antiqua" w:hAnsi="Book Antiqua" w:cs="Arial"/>
              </w:rPr>
              <w:t>, abdominal imaging every year</w:t>
            </w:r>
          </w:p>
        </w:tc>
        <w:tc>
          <w:tcPr>
            <w:tcW w:w="1888" w:type="dxa"/>
            <w:tcBorders>
              <w:bottom w:val="single" w:color="auto" w:sz="4" w:space="0"/>
            </w:tcBorders>
          </w:tcPr>
          <w:p>
            <w:pPr>
              <w:adjustRightInd w:val="0"/>
              <w:snapToGrid w:val="0"/>
              <w:spacing w:line="360" w:lineRule="auto"/>
              <w:jc w:val="both"/>
              <w:rPr>
                <w:rFonts w:ascii="Book Antiqua" w:hAnsi="Book Antiqua" w:cs="Arial"/>
                <w:color w:val="000000"/>
                <w:shd w:val="clear" w:color="auto" w:fill="FFFFFF"/>
                <w:lang w:eastAsia="zh-CN"/>
              </w:rPr>
            </w:pPr>
            <w:r>
              <w:rPr>
                <w:rFonts w:ascii="Book Antiqua" w:hAnsi="Book Antiqua" w:cs="Arial"/>
                <w:color w:val="000000"/>
                <w:shd w:val="clear" w:color="auto" w:fill="FFFFFF"/>
              </w:rPr>
              <w:t xml:space="preserve">EGD every 6-12 </w:t>
            </w:r>
            <w:r>
              <w:rPr>
                <w:rFonts w:hint="eastAsia" w:ascii="Book Antiqua" w:hAnsi="Book Antiqua" w:cs="Arial"/>
                <w:color w:val="000000"/>
                <w:shd w:val="clear" w:color="auto" w:fill="FFFFFF"/>
                <w:lang w:eastAsia="zh-CN"/>
              </w:rPr>
              <w:t>mo</w:t>
            </w:r>
            <w:r>
              <w:rPr>
                <w:rFonts w:ascii="Book Antiqua" w:hAnsi="Book Antiqua" w:cs="Arial"/>
                <w:color w:val="000000"/>
                <w:shd w:val="clear" w:color="auto" w:fill="FFFFFF"/>
              </w:rPr>
              <w:t xml:space="preserve">, abdominal imaging every 3 </w:t>
            </w:r>
            <w:r>
              <w:rPr>
                <w:rFonts w:hint="eastAsia" w:ascii="Book Antiqua" w:hAnsi="Book Antiqua" w:cs="Arial"/>
                <w:color w:val="000000"/>
                <w:shd w:val="clear" w:color="auto" w:fill="FFFFFF"/>
                <w:lang w:eastAsia="zh-CN"/>
              </w:rPr>
              <w:t>mo</w:t>
            </w:r>
          </w:p>
        </w:tc>
        <w:tc>
          <w:tcPr>
            <w:tcW w:w="1746" w:type="dxa"/>
            <w:tcBorders>
              <w:bottom w:val="single" w:color="auto" w:sz="4" w:space="0"/>
            </w:tcBorders>
          </w:tcPr>
          <w:p>
            <w:pPr>
              <w:pStyle w:val="12"/>
              <w:adjustRightInd w:val="0"/>
              <w:snapToGrid w:val="0"/>
              <w:spacing w:line="360" w:lineRule="auto"/>
              <w:ind w:left="0"/>
              <w:contextualSpacing w:val="0"/>
              <w:jc w:val="both"/>
              <w:rPr>
                <w:rFonts w:ascii="Book Antiqua" w:hAnsi="Book Antiqua" w:cs="Arial"/>
                <w:color w:val="000000"/>
                <w:shd w:val="clear" w:color="auto" w:fill="FFFFFF"/>
              </w:rPr>
            </w:pPr>
          </w:p>
        </w:tc>
      </w:tr>
    </w:tbl>
    <w:p>
      <w:pPr>
        <w:tabs>
          <w:tab w:val="left" w:pos="1085"/>
        </w:tabs>
        <w:adjustRightInd w:val="0"/>
        <w:snapToGrid w:val="0"/>
        <w:spacing w:line="360" w:lineRule="auto"/>
        <w:jc w:val="both"/>
        <w:rPr>
          <w:rFonts w:ascii="Book Antiqua" w:hAnsi="Book Antiqua" w:cs="Arial"/>
          <w:lang w:eastAsia="zh-CN"/>
        </w:rPr>
      </w:pPr>
      <w:r>
        <w:rPr>
          <w:rFonts w:ascii="Book Antiqua" w:hAnsi="Book Antiqua" w:cs="Arial"/>
        </w:rPr>
        <w:t>EUS</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E</w:t>
      </w:r>
      <w:r>
        <w:rPr>
          <w:rFonts w:ascii="Book Antiqua" w:hAnsi="Book Antiqua" w:cs="Arial"/>
        </w:rPr>
        <w:t>ndoscopic ultrasound; EGD</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E</w:t>
      </w:r>
      <w:r>
        <w:rPr>
          <w:rFonts w:ascii="Book Antiqua" w:hAnsi="Book Antiqua" w:cs="Arial"/>
        </w:rPr>
        <w:t>sophagogastroduodenoscopy; MEN1</w:t>
      </w:r>
      <w:r>
        <w:rPr>
          <w:rFonts w:hint="eastAsia" w:ascii="Book Antiqua" w:hAnsi="Book Antiqua" w:cs="Arial"/>
          <w:lang w:eastAsia="zh-CN"/>
        </w:rPr>
        <w:t xml:space="preserve">: </w:t>
      </w:r>
      <w:r>
        <w:rPr>
          <w:rFonts w:ascii="Book Antiqua" w:hAnsi="Book Antiqua" w:cs="Arial"/>
        </w:rPr>
        <w:t>Multiple endocrine neoplasia type 1</w:t>
      </w:r>
      <w:r>
        <w:rPr>
          <w:rFonts w:hint="eastAsia" w:ascii="Book Antiqua" w:hAnsi="Book Antiqua" w:cs="Arial"/>
          <w:lang w:eastAsia="zh-CN"/>
        </w:rPr>
        <w:t>.</w:t>
      </w:r>
    </w:p>
    <w:p>
      <w:pPr>
        <w:adjustRightInd w:val="0"/>
        <w:snapToGrid w:val="0"/>
        <w:spacing w:line="360" w:lineRule="auto"/>
        <w:jc w:val="both"/>
        <w:rPr>
          <w:rFonts w:ascii="Book Antiqua" w:hAnsi="Book Antiqua" w:cs="Arial"/>
          <w:b/>
          <w:vertAlign w:val="superscript"/>
          <w:lang w:eastAsia="zh-CN"/>
        </w:rPr>
      </w:pPr>
      <w:r>
        <w:rPr>
          <w:rFonts w:ascii="Book Antiqua" w:hAnsi="Book Antiqua" w:cs="Arial"/>
        </w:rPr>
        <w:br w:type="page"/>
      </w:r>
      <w:r>
        <w:rPr>
          <w:rFonts w:ascii="Book Antiqua" w:hAnsi="Book Antiqua" w:cs="Arial"/>
          <w:b/>
        </w:rPr>
        <w:t xml:space="preserve">Table 3 Small </w:t>
      </w:r>
      <w:r>
        <w:rPr>
          <w:rFonts w:hint="eastAsia" w:ascii="Book Antiqua" w:hAnsi="Book Antiqua" w:cs="Arial"/>
          <w:b/>
          <w:lang w:eastAsia="zh-CN"/>
        </w:rPr>
        <w:t>i</w:t>
      </w:r>
      <w:r>
        <w:rPr>
          <w:rFonts w:ascii="Book Antiqua" w:hAnsi="Book Antiqua" w:cs="Arial"/>
          <w:b/>
        </w:rPr>
        <w:t>ntestinal neuroendocrine tumors</w:t>
      </w:r>
      <w:r>
        <w:rPr>
          <w:rFonts w:ascii="Book Antiqua" w:hAnsi="Book Antiqua" w:cs="Arial"/>
          <w:b/>
          <w:vertAlign w:val="superscript"/>
        </w:rPr>
        <w:t>[96,97,101,102,104,108,109]</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5"/>
        <w:gridCol w:w="2340"/>
        <w:gridCol w:w="2790"/>
        <w:gridCol w:w="260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p>
        </w:tc>
        <w:tc>
          <w:tcPr>
            <w:tcW w:w="234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Duodenal</w:t>
            </w:r>
          </w:p>
        </w:tc>
        <w:tc>
          <w:tcPr>
            <w:tcW w:w="279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Ampullary</w:t>
            </w:r>
          </w:p>
        </w:tc>
        <w:tc>
          <w:tcPr>
            <w:tcW w:w="2605"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Jejuno-ileal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Epidemiology</w:t>
            </w:r>
          </w:p>
        </w:tc>
        <w:tc>
          <w:tcPr>
            <w:tcW w:w="234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2</w:t>
            </w:r>
            <w:r>
              <w:rPr>
                <w:rFonts w:hint="eastAsia" w:ascii="Book Antiqua" w:hAnsi="Book Antiqua" w:cs="Arial"/>
                <w:lang w:eastAsia="zh-CN"/>
              </w:rPr>
              <w:t>%</w:t>
            </w:r>
            <w:r>
              <w:rPr>
                <w:rFonts w:ascii="Book Antiqua" w:hAnsi="Book Antiqua" w:cs="Arial"/>
              </w:rPr>
              <w:t xml:space="preserve">-3% </w:t>
            </w:r>
            <w:bookmarkStart w:id="71" w:name="OLE_LINK9"/>
            <w:bookmarkStart w:id="72" w:name="OLE_LINK10"/>
            <w:r>
              <w:rPr>
                <w:rFonts w:ascii="Book Antiqua" w:hAnsi="Book Antiqua" w:cs="Arial"/>
              </w:rPr>
              <w:t>GEP-NETs</w:t>
            </w:r>
            <w:bookmarkEnd w:id="71"/>
            <w:bookmarkEnd w:id="72"/>
          </w:p>
        </w:tc>
        <w:tc>
          <w:tcPr>
            <w:tcW w:w="279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0.3</w:t>
            </w:r>
            <w:r>
              <w:rPr>
                <w:rFonts w:hint="eastAsia" w:ascii="Book Antiqua" w:hAnsi="Book Antiqua" w:cs="Arial"/>
                <w:lang w:eastAsia="zh-CN"/>
              </w:rPr>
              <w:t>%</w:t>
            </w:r>
            <w:r>
              <w:rPr>
                <w:rFonts w:ascii="Book Antiqua" w:hAnsi="Book Antiqua" w:cs="Arial"/>
              </w:rPr>
              <w:t>-1% GEP-NETs</w:t>
            </w:r>
          </w:p>
        </w:tc>
        <w:tc>
          <w:tcPr>
            <w:tcW w:w="2605"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1.2 cases/100000</w:t>
            </w:r>
            <w:r>
              <w:rPr>
                <w:rFonts w:hint="eastAsia" w:ascii="Book Antiqua" w:hAnsi="Book Antiqua" w:cs="Arial"/>
                <w:lang w:eastAsia="zh-CN"/>
              </w:rPr>
              <w:t xml:space="preserve"> i</w:t>
            </w:r>
            <w:r>
              <w:rPr>
                <w:rFonts w:ascii="Book Antiqua" w:hAnsi="Book Antiqua" w:cs="Arial"/>
              </w:rPr>
              <w:t>ncidence quadrupled over past 30 yr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Pr>
          <w:p>
            <w:pPr>
              <w:adjustRightInd w:val="0"/>
              <w:snapToGrid w:val="0"/>
              <w:spacing w:line="360" w:lineRule="auto"/>
              <w:jc w:val="both"/>
              <w:rPr>
                <w:rFonts w:ascii="Book Antiqua" w:hAnsi="Book Antiqua" w:cs="Arial"/>
              </w:rPr>
            </w:pPr>
            <w:r>
              <w:rPr>
                <w:rFonts w:ascii="Book Antiqua" w:hAnsi="Book Antiqua" w:cs="Arial"/>
              </w:rPr>
              <w:t>Evaluation</w:t>
            </w:r>
          </w:p>
        </w:tc>
        <w:tc>
          <w:tcPr>
            <w:tcW w:w="2340" w:type="dxa"/>
          </w:tcPr>
          <w:p>
            <w:pPr>
              <w:adjustRightInd w:val="0"/>
              <w:snapToGrid w:val="0"/>
              <w:spacing w:line="360" w:lineRule="auto"/>
              <w:jc w:val="both"/>
              <w:rPr>
                <w:rFonts w:ascii="Book Antiqua" w:hAnsi="Book Antiqua" w:cs="Arial"/>
              </w:rPr>
            </w:pPr>
            <w:r>
              <w:rPr>
                <w:rFonts w:ascii="Book Antiqua" w:hAnsi="Book Antiqua" w:cs="Arial"/>
              </w:rPr>
              <w:t>&gt;</w:t>
            </w:r>
            <w:r>
              <w:rPr>
                <w:rFonts w:hint="eastAsia" w:ascii="Book Antiqua" w:hAnsi="Book Antiqua" w:cs="Arial"/>
                <w:lang w:eastAsia="zh-CN"/>
              </w:rPr>
              <w:t xml:space="preserve"> </w:t>
            </w:r>
            <w:r>
              <w:rPr>
                <w:rFonts w:ascii="Book Antiqua" w:hAnsi="Book Antiqua" w:cs="Arial"/>
              </w:rPr>
              <w:t>2 cm: CT and EUS</w:t>
            </w:r>
          </w:p>
        </w:tc>
        <w:tc>
          <w:tcPr>
            <w:tcW w:w="2790" w:type="dxa"/>
          </w:tcPr>
          <w:p>
            <w:pPr>
              <w:adjustRightInd w:val="0"/>
              <w:snapToGrid w:val="0"/>
              <w:spacing w:line="360" w:lineRule="auto"/>
              <w:jc w:val="both"/>
              <w:rPr>
                <w:rFonts w:ascii="Book Antiqua" w:hAnsi="Book Antiqua" w:cs="Arial"/>
              </w:rPr>
            </w:pPr>
            <w:r>
              <w:rPr>
                <w:rFonts w:ascii="Book Antiqua" w:hAnsi="Book Antiqua" w:cs="Arial"/>
              </w:rPr>
              <w:t>CT, EUS</w:t>
            </w:r>
          </w:p>
        </w:tc>
        <w:tc>
          <w:tcPr>
            <w:tcW w:w="2605" w:type="dxa"/>
          </w:tcPr>
          <w:p>
            <w:pPr>
              <w:adjustRightInd w:val="0"/>
              <w:snapToGrid w:val="0"/>
              <w:spacing w:line="360" w:lineRule="auto"/>
              <w:jc w:val="both"/>
              <w:rPr>
                <w:rFonts w:ascii="Book Antiqua" w:hAnsi="Book Antiqua" w:cs="Arial"/>
              </w:rPr>
            </w:pPr>
            <w:r>
              <w:rPr>
                <w:rFonts w:ascii="Book Antiqua" w:hAnsi="Book Antiqua" w:cs="Arial"/>
              </w:rPr>
              <w:t>Chromogranin A, urine 5-HIAA, CT/MRI, gallium-DOTATATE PET</w:t>
            </w:r>
            <w:r>
              <w:rPr>
                <w:rFonts w:hint="eastAsia" w:ascii="Book Antiqua" w:hAnsi="Book Antiqua" w:cs="Arial"/>
                <w:lang w:eastAsia="zh-CN"/>
              </w:rPr>
              <w:t xml:space="preserve"> </w:t>
            </w:r>
            <w:r>
              <w:rPr>
                <w:rFonts w:ascii="Book Antiqua" w:hAnsi="Book Antiqua" w:cs="Arial"/>
              </w:rPr>
              <w:t>CT, colonoscopy into terminal ileum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Pr>
          <w:p>
            <w:pPr>
              <w:adjustRightInd w:val="0"/>
              <w:snapToGrid w:val="0"/>
              <w:spacing w:line="360" w:lineRule="auto"/>
              <w:jc w:val="both"/>
              <w:rPr>
                <w:rFonts w:ascii="Book Antiqua" w:hAnsi="Book Antiqua" w:cs="Arial"/>
              </w:rPr>
            </w:pPr>
            <w:r>
              <w:rPr>
                <w:rFonts w:ascii="Book Antiqua" w:hAnsi="Book Antiqua" w:cs="Arial"/>
              </w:rPr>
              <w:t>5-yr survival</w:t>
            </w:r>
          </w:p>
        </w:tc>
        <w:tc>
          <w:tcPr>
            <w:tcW w:w="2340" w:type="dxa"/>
          </w:tcPr>
          <w:p>
            <w:pPr>
              <w:adjustRightInd w:val="0"/>
              <w:snapToGrid w:val="0"/>
              <w:spacing w:line="360" w:lineRule="auto"/>
              <w:jc w:val="both"/>
              <w:rPr>
                <w:rFonts w:ascii="Book Antiqua" w:hAnsi="Book Antiqua" w:cs="Arial"/>
              </w:rPr>
            </w:pPr>
            <w:r>
              <w:rPr>
                <w:rFonts w:ascii="Book Antiqua" w:hAnsi="Book Antiqua" w:cs="Arial"/>
              </w:rPr>
              <w:t>No metastases: 80</w:t>
            </w:r>
            <w:r>
              <w:rPr>
                <w:rFonts w:hint="eastAsia" w:ascii="Book Antiqua" w:hAnsi="Book Antiqua" w:cs="Arial"/>
                <w:lang w:eastAsia="zh-CN"/>
              </w:rPr>
              <w:t>%</w:t>
            </w:r>
            <w:r>
              <w:rPr>
                <w:rFonts w:ascii="Book Antiqua" w:hAnsi="Book Antiqua" w:cs="Arial"/>
              </w:rPr>
              <w:t>-95%</w:t>
            </w:r>
            <w:r>
              <w:rPr>
                <w:rFonts w:hint="eastAsia" w:ascii="Book Antiqua" w:hAnsi="Book Antiqua" w:cs="Arial"/>
                <w:lang w:eastAsia="zh-CN"/>
              </w:rPr>
              <w:t xml:space="preserve">; </w:t>
            </w:r>
            <w:r>
              <w:rPr>
                <w:rFonts w:ascii="Book Antiqua" w:hAnsi="Book Antiqua" w:cs="Arial"/>
              </w:rPr>
              <w:t>Regional metastases: 65</w:t>
            </w:r>
            <w:r>
              <w:rPr>
                <w:rFonts w:hint="eastAsia" w:ascii="Book Antiqua" w:hAnsi="Book Antiqua" w:cs="Arial"/>
                <w:lang w:eastAsia="zh-CN"/>
              </w:rPr>
              <w:t>%</w:t>
            </w:r>
            <w:r>
              <w:rPr>
                <w:rFonts w:ascii="Book Antiqua" w:hAnsi="Book Antiqua" w:cs="Arial"/>
              </w:rPr>
              <w:t>-75%</w:t>
            </w:r>
            <w:r>
              <w:rPr>
                <w:rFonts w:hint="eastAsia" w:ascii="Book Antiqua" w:hAnsi="Book Antiqua" w:cs="Arial"/>
                <w:lang w:eastAsia="zh-CN"/>
              </w:rPr>
              <w:t xml:space="preserve">; </w:t>
            </w:r>
            <w:r>
              <w:rPr>
                <w:rFonts w:ascii="Book Antiqua" w:hAnsi="Book Antiqua" w:cs="Arial"/>
              </w:rPr>
              <w:t>Zollinger-Ellison or MEN-1: &gt;</w:t>
            </w:r>
            <w:r>
              <w:rPr>
                <w:rFonts w:hint="eastAsia" w:ascii="Book Antiqua" w:hAnsi="Book Antiqua" w:cs="Arial"/>
                <w:lang w:eastAsia="zh-CN"/>
              </w:rPr>
              <w:t xml:space="preserve"> </w:t>
            </w:r>
            <w:r>
              <w:rPr>
                <w:rFonts w:ascii="Book Antiqua" w:hAnsi="Book Antiqua" w:cs="Arial"/>
              </w:rPr>
              <w:t>90%</w:t>
            </w:r>
          </w:p>
        </w:tc>
        <w:tc>
          <w:tcPr>
            <w:tcW w:w="2790" w:type="dxa"/>
          </w:tcPr>
          <w:p>
            <w:pPr>
              <w:adjustRightInd w:val="0"/>
              <w:snapToGrid w:val="0"/>
              <w:spacing w:line="360" w:lineRule="auto"/>
              <w:jc w:val="both"/>
              <w:rPr>
                <w:rFonts w:ascii="Book Antiqua" w:hAnsi="Book Antiqua" w:cs="Arial"/>
              </w:rPr>
            </w:pPr>
            <w:r>
              <w:rPr>
                <w:rFonts w:ascii="Book Antiqua" w:hAnsi="Book Antiqua" w:cs="Arial"/>
              </w:rPr>
              <w:t>59%</w:t>
            </w:r>
          </w:p>
        </w:tc>
        <w:tc>
          <w:tcPr>
            <w:tcW w:w="2605" w:type="dxa"/>
          </w:tcPr>
          <w:p>
            <w:pPr>
              <w:adjustRightInd w:val="0"/>
              <w:snapToGrid w:val="0"/>
              <w:spacing w:line="360" w:lineRule="auto"/>
              <w:jc w:val="both"/>
              <w:rPr>
                <w:rFonts w:ascii="Book Antiqua" w:hAnsi="Book Antiqua" w:cs="Arial"/>
              </w:rPr>
            </w:pPr>
            <w:r>
              <w:rPr>
                <w:rFonts w:ascii="Book Antiqua" w:hAnsi="Book Antiqua" w:cs="Arial"/>
              </w:rPr>
              <w:t>Local disease: 80</w:t>
            </w:r>
            <w:r>
              <w:rPr>
                <w:rFonts w:hint="eastAsia" w:ascii="Book Antiqua" w:hAnsi="Book Antiqua" w:cs="Arial"/>
                <w:lang w:eastAsia="zh-CN"/>
              </w:rPr>
              <w:t>%</w:t>
            </w:r>
            <w:r>
              <w:rPr>
                <w:rFonts w:ascii="Book Antiqua" w:hAnsi="Book Antiqua" w:cs="Arial"/>
              </w:rPr>
              <w:t>-100%</w:t>
            </w:r>
            <w:r>
              <w:rPr>
                <w:rFonts w:hint="eastAsia" w:ascii="Book Antiqua" w:hAnsi="Book Antiqua" w:cs="Arial"/>
                <w:lang w:eastAsia="zh-CN"/>
              </w:rPr>
              <w:t xml:space="preserve">; </w:t>
            </w:r>
            <w:r>
              <w:rPr>
                <w:rFonts w:ascii="Book Antiqua" w:hAnsi="Book Antiqua" w:cs="Arial"/>
              </w:rPr>
              <w:t>Regional disease: 70</w:t>
            </w:r>
            <w:r>
              <w:rPr>
                <w:rFonts w:hint="eastAsia" w:ascii="Book Antiqua" w:hAnsi="Book Antiqua" w:cs="Arial"/>
                <w:lang w:eastAsia="zh-CN"/>
              </w:rPr>
              <w:t>%</w:t>
            </w:r>
            <w:r>
              <w:rPr>
                <w:rFonts w:ascii="Book Antiqua" w:hAnsi="Book Antiqua" w:cs="Arial"/>
              </w:rPr>
              <w:t>-80%</w:t>
            </w:r>
            <w:r>
              <w:rPr>
                <w:rFonts w:hint="eastAsia" w:ascii="Book Antiqua" w:hAnsi="Book Antiqua" w:cs="Arial"/>
                <w:lang w:eastAsia="zh-CN"/>
              </w:rPr>
              <w:t xml:space="preserve">; </w:t>
            </w:r>
            <w:r>
              <w:rPr>
                <w:rFonts w:ascii="Book Antiqua" w:hAnsi="Book Antiqua" w:cs="Arial"/>
              </w:rPr>
              <w:t>Distant metastases: 35</w:t>
            </w:r>
            <w:r>
              <w:rPr>
                <w:rFonts w:hint="eastAsia" w:ascii="Book Antiqua" w:hAnsi="Book Antiqua" w:cs="Arial"/>
                <w:lang w:eastAsia="zh-CN"/>
              </w:rPr>
              <w:t>%</w:t>
            </w:r>
            <w:r>
              <w:rPr>
                <w:rFonts w:ascii="Book Antiqua" w:hAnsi="Book Antiqua" w:cs="Arial"/>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Pr>
          <w:p>
            <w:pPr>
              <w:adjustRightInd w:val="0"/>
              <w:snapToGrid w:val="0"/>
              <w:spacing w:line="360" w:lineRule="auto"/>
              <w:jc w:val="both"/>
              <w:rPr>
                <w:rFonts w:ascii="Book Antiqua" w:hAnsi="Book Antiqua" w:cs="Arial"/>
              </w:rPr>
            </w:pPr>
            <w:r>
              <w:rPr>
                <w:rFonts w:ascii="Book Antiqua" w:hAnsi="Book Antiqua" w:cs="Arial"/>
              </w:rPr>
              <w:t xml:space="preserve">Treatment </w:t>
            </w:r>
          </w:p>
        </w:tc>
        <w:tc>
          <w:tcPr>
            <w:tcW w:w="2340" w:type="dxa"/>
          </w:tcPr>
          <w:p>
            <w:pPr>
              <w:adjustRightInd w:val="0"/>
              <w:snapToGrid w:val="0"/>
              <w:spacing w:line="360" w:lineRule="auto"/>
              <w:jc w:val="both"/>
              <w:rPr>
                <w:rFonts w:ascii="Book Antiqua" w:hAnsi="Book Antiqua" w:cs="Arial"/>
              </w:rPr>
            </w:pPr>
            <w:r>
              <w:rPr>
                <w:rFonts w:ascii="Book Antiqua" w:hAnsi="Book Antiqua" w:cs="Arial"/>
              </w:rPr>
              <w:t>&lt;</w:t>
            </w:r>
            <w:r>
              <w:rPr>
                <w:rFonts w:hint="eastAsia" w:ascii="Book Antiqua" w:hAnsi="Book Antiqua" w:cs="Arial"/>
                <w:lang w:eastAsia="zh-CN"/>
              </w:rPr>
              <w:t xml:space="preserve"> </w:t>
            </w:r>
            <w:r>
              <w:rPr>
                <w:rFonts w:ascii="Book Antiqua" w:hAnsi="Book Antiqua" w:cs="Arial"/>
              </w:rPr>
              <w:t xml:space="preserve">1 cm: </w:t>
            </w:r>
            <w:r>
              <w:rPr>
                <w:rFonts w:hint="eastAsia" w:ascii="Book Antiqua" w:hAnsi="Book Antiqua" w:cs="Arial"/>
                <w:lang w:eastAsia="zh-CN"/>
              </w:rPr>
              <w:t>E</w:t>
            </w:r>
            <w:r>
              <w:rPr>
                <w:rFonts w:ascii="Book Antiqua" w:hAnsi="Book Antiqua" w:cs="Arial"/>
              </w:rPr>
              <w:t>ndoscopic resection</w:t>
            </w:r>
            <w:r>
              <w:rPr>
                <w:rFonts w:hint="eastAsia" w:ascii="Book Antiqua" w:hAnsi="Book Antiqua" w:cs="Arial"/>
                <w:lang w:eastAsia="zh-CN"/>
              </w:rPr>
              <w:t xml:space="preserve">; </w:t>
            </w:r>
            <w:r>
              <w:rPr>
                <w:rFonts w:ascii="Book Antiqua" w:hAnsi="Book Antiqua" w:cs="Arial"/>
              </w:rPr>
              <w:t xml:space="preserve">1-2 cm: </w:t>
            </w:r>
            <w:r>
              <w:rPr>
                <w:rFonts w:hint="eastAsia" w:ascii="Book Antiqua" w:hAnsi="Book Antiqua" w:cs="Arial"/>
                <w:lang w:eastAsia="zh-CN"/>
              </w:rPr>
              <w:t>E</w:t>
            </w:r>
            <w:r>
              <w:rPr>
                <w:rFonts w:ascii="Book Antiqua" w:hAnsi="Book Antiqua" w:cs="Arial"/>
              </w:rPr>
              <w:t>ndoscopic or surgical resection</w:t>
            </w:r>
            <w:r>
              <w:rPr>
                <w:rFonts w:hint="eastAsia" w:ascii="Book Antiqua" w:hAnsi="Book Antiqua" w:cs="Arial"/>
                <w:lang w:eastAsia="zh-CN"/>
              </w:rPr>
              <w:t xml:space="preserve">; </w:t>
            </w:r>
            <w:r>
              <w:rPr>
                <w:rFonts w:ascii="Book Antiqua" w:hAnsi="Book Antiqua" w:cs="Arial"/>
              </w:rPr>
              <w:t>&gt;</w:t>
            </w:r>
            <w:r>
              <w:rPr>
                <w:rFonts w:hint="eastAsia" w:ascii="Book Antiqua" w:hAnsi="Book Antiqua" w:cs="Arial"/>
                <w:lang w:eastAsia="zh-CN"/>
              </w:rPr>
              <w:t xml:space="preserve"> </w:t>
            </w:r>
            <w:r>
              <w:rPr>
                <w:rFonts w:ascii="Book Antiqua" w:hAnsi="Book Antiqua" w:cs="Arial"/>
              </w:rPr>
              <w:t>2 cm: EMR or ESD, surgical resection for regional disease</w:t>
            </w:r>
          </w:p>
        </w:tc>
        <w:tc>
          <w:tcPr>
            <w:tcW w:w="2790" w:type="dxa"/>
          </w:tcPr>
          <w:p>
            <w:pPr>
              <w:adjustRightInd w:val="0"/>
              <w:snapToGrid w:val="0"/>
              <w:spacing w:line="360" w:lineRule="auto"/>
              <w:jc w:val="both"/>
              <w:rPr>
                <w:rFonts w:ascii="Book Antiqua" w:hAnsi="Book Antiqua" w:cs="Arial"/>
                <w:lang w:eastAsia="zh-CN"/>
              </w:rPr>
            </w:pPr>
            <w:r>
              <w:rPr>
                <w:rFonts w:ascii="Book Antiqua" w:hAnsi="Book Antiqua" w:cs="Arial"/>
              </w:rPr>
              <w:t>&lt;</w:t>
            </w:r>
            <w:r>
              <w:rPr>
                <w:rFonts w:hint="eastAsia" w:ascii="Book Antiqua" w:hAnsi="Book Antiqua" w:cs="Arial"/>
                <w:lang w:eastAsia="zh-CN"/>
              </w:rPr>
              <w:t xml:space="preserve"> </w:t>
            </w:r>
            <w:r>
              <w:rPr>
                <w:rFonts w:ascii="Book Antiqua" w:hAnsi="Book Antiqua" w:cs="Arial"/>
              </w:rPr>
              <w:t>2 cm superficial without metastases: Pancreaticoduodenectomy or consider endoscopic ampullectomy</w:t>
            </w:r>
            <w:r>
              <w:rPr>
                <w:rFonts w:hint="eastAsia" w:ascii="Book Antiqua" w:hAnsi="Book Antiqua" w:cs="Arial"/>
                <w:lang w:eastAsia="zh-CN"/>
              </w:rPr>
              <w:t xml:space="preserve">; </w:t>
            </w:r>
            <w:r>
              <w:rPr>
                <w:rFonts w:ascii="Book Antiqua" w:hAnsi="Book Antiqua" w:cs="Arial"/>
              </w:rPr>
              <w:t>&gt;</w:t>
            </w:r>
            <w:r>
              <w:rPr>
                <w:rFonts w:hint="eastAsia" w:ascii="Book Antiqua" w:hAnsi="Book Antiqua" w:cs="Arial"/>
                <w:lang w:eastAsia="zh-CN"/>
              </w:rPr>
              <w:t xml:space="preserve"> </w:t>
            </w:r>
            <w:r>
              <w:rPr>
                <w:rFonts w:ascii="Book Antiqua" w:hAnsi="Book Antiqua" w:cs="Arial"/>
              </w:rPr>
              <w:t xml:space="preserve">2 cm: </w:t>
            </w:r>
            <w:r>
              <w:rPr>
                <w:rFonts w:hint="eastAsia" w:ascii="Book Antiqua" w:hAnsi="Book Antiqua" w:cs="Arial"/>
                <w:lang w:eastAsia="zh-CN"/>
              </w:rPr>
              <w:t>P</w:t>
            </w:r>
            <w:r>
              <w:rPr>
                <w:rFonts w:ascii="Book Antiqua" w:hAnsi="Book Antiqua" w:cs="Arial"/>
              </w:rPr>
              <w:t>ancreaticoduodenectomy</w:t>
            </w:r>
          </w:p>
        </w:tc>
        <w:tc>
          <w:tcPr>
            <w:tcW w:w="2605" w:type="dxa"/>
          </w:tcPr>
          <w:p>
            <w:pPr>
              <w:adjustRightInd w:val="0"/>
              <w:snapToGrid w:val="0"/>
              <w:spacing w:line="360" w:lineRule="auto"/>
              <w:jc w:val="both"/>
              <w:rPr>
                <w:rFonts w:ascii="Book Antiqua" w:hAnsi="Book Antiqua" w:cs="Arial"/>
              </w:rPr>
            </w:pPr>
            <w:r>
              <w:rPr>
                <w:rFonts w:ascii="Book Antiqua" w:hAnsi="Book Antiqua" w:cs="Arial"/>
              </w:rPr>
              <w:t>Surgery</w:t>
            </w:r>
            <w:r>
              <w:rPr>
                <w:rFonts w:hint="eastAsia" w:ascii="Book Antiqua" w:hAnsi="Book Antiqua" w:cs="Arial"/>
                <w:lang w:eastAsia="zh-CN"/>
              </w:rPr>
              <w:t xml:space="preserve">; </w:t>
            </w:r>
            <w:r>
              <w:rPr>
                <w:rFonts w:ascii="Book Antiqua" w:hAnsi="Book Antiqua" w:cs="Arial"/>
              </w:rPr>
              <w:t xml:space="preserve">Carcinoid syndrome: </w:t>
            </w:r>
            <w:r>
              <w:rPr>
                <w:rFonts w:hint="eastAsia" w:ascii="Book Antiqua" w:hAnsi="Book Antiqua" w:cs="Arial"/>
                <w:lang w:eastAsia="zh-CN"/>
              </w:rPr>
              <w:t>L</w:t>
            </w:r>
            <w:r>
              <w:rPr>
                <w:rFonts w:ascii="Book Antiqua" w:hAnsi="Book Antiqua" w:cs="Arial"/>
              </w:rPr>
              <w:t>ong-acting SSA (octreotide LAR 20-30 mg IM)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5" w:type="dxa"/>
          </w:tcPr>
          <w:p>
            <w:pPr>
              <w:adjustRightInd w:val="0"/>
              <w:snapToGrid w:val="0"/>
              <w:spacing w:line="360" w:lineRule="auto"/>
              <w:jc w:val="both"/>
              <w:rPr>
                <w:rFonts w:ascii="Book Antiqua" w:hAnsi="Book Antiqua" w:cs="Arial"/>
              </w:rPr>
            </w:pPr>
            <w:r>
              <w:rPr>
                <w:rFonts w:ascii="Book Antiqua" w:hAnsi="Book Antiqua" w:cs="Arial"/>
              </w:rPr>
              <w:t>Surveillance</w:t>
            </w:r>
          </w:p>
        </w:tc>
        <w:tc>
          <w:tcPr>
            <w:tcW w:w="2340" w:type="dxa"/>
          </w:tcPr>
          <w:p>
            <w:pPr>
              <w:adjustRightInd w:val="0"/>
              <w:snapToGrid w:val="0"/>
              <w:spacing w:line="360" w:lineRule="auto"/>
              <w:jc w:val="both"/>
              <w:rPr>
                <w:rFonts w:ascii="Book Antiqua" w:hAnsi="Book Antiqua" w:cs="Arial"/>
                <w:lang w:eastAsia="zh-CN"/>
              </w:rPr>
            </w:pPr>
            <w:r>
              <w:rPr>
                <w:rFonts w:ascii="Book Antiqua" w:hAnsi="Book Antiqua" w:cs="Arial"/>
              </w:rPr>
              <w:t>EGD at least every 2 yr</w:t>
            </w:r>
          </w:p>
        </w:tc>
        <w:tc>
          <w:tcPr>
            <w:tcW w:w="2790" w:type="dxa"/>
          </w:tcPr>
          <w:p>
            <w:pPr>
              <w:adjustRightInd w:val="0"/>
              <w:snapToGrid w:val="0"/>
              <w:spacing w:line="360" w:lineRule="auto"/>
              <w:jc w:val="both"/>
              <w:rPr>
                <w:rFonts w:ascii="Book Antiqua" w:hAnsi="Book Antiqua" w:cs="Arial"/>
              </w:rPr>
            </w:pPr>
            <w:r>
              <w:rPr>
                <w:rFonts w:ascii="Book Antiqua" w:hAnsi="Book Antiqua" w:cs="Arial"/>
              </w:rPr>
              <w:t>EGD at</w:t>
            </w:r>
            <w:r>
              <w:rPr>
                <w:rFonts w:hint="eastAsia" w:ascii="Book Antiqua" w:hAnsi="Book Antiqua" w:cs="Arial"/>
                <w:lang w:eastAsia="zh-CN"/>
              </w:rPr>
              <w:t xml:space="preserve"> </w:t>
            </w:r>
            <w:r>
              <w:rPr>
                <w:rFonts w:ascii="Book Antiqua" w:hAnsi="Book Antiqua" w:cs="Arial"/>
              </w:rPr>
              <w:t>1-2 yr interval</w:t>
            </w:r>
          </w:p>
        </w:tc>
        <w:tc>
          <w:tcPr>
            <w:tcW w:w="2605" w:type="dxa"/>
          </w:tcPr>
          <w:p>
            <w:pPr>
              <w:adjustRightInd w:val="0"/>
              <w:snapToGrid w:val="0"/>
              <w:spacing w:line="360" w:lineRule="auto"/>
              <w:jc w:val="both"/>
              <w:rPr>
                <w:rFonts w:ascii="Book Antiqua" w:hAnsi="Book Antiqua" w:cs="Arial"/>
                <w:color w:val="000000"/>
                <w:shd w:val="clear" w:color="auto" w:fill="FFFFFF"/>
                <w:lang w:eastAsia="zh-CN"/>
              </w:rPr>
            </w:pPr>
            <w:r>
              <w:rPr>
                <w:rFonts w:ascii="Book Antiqua" w:hAnsi="Book Antiqua" w:cs="Arial"/>
                <w:color w:val="000000"/>
                <w:shd w:val="clear" w:color="auto" w:fill="FFFFFF"/>
              </w:rPr>
              <w:t xml:space="preserve">NANETS: Curative surgery-CT every 3-6 </w:t>
            </w:r>
            <w:r>
              <w:rPr>
                <w:rFonts w:hint="eastAsia" w:ascii="Book Antiqua" w:hAnsi="Book Antiqua" w:cs="Arial"/>
                <w:color w:val="000000"/>
                <w:shd w:val="clear" w:color="auto" w:fill="FFFFFF"/>
                <w:lang w:eastAsia="zh-CN"/>
              </w:rPr>
              <w:t>mo</w:t>
            </w:r>
            <w:r>
              <w:rPr>
                <w:rFonts w:ascii="Book Antiqua" w:hAnsi="Book Antiqua" w:cs="Arial"/>
                <w:color w:val="000000"/>
                <w:shd w:val="clear" w:color="auto" w:fill="FFFFFF"/>
              </w:rPr>
              <w:t xml:space="preserve"> then 6-12 </w:t>
            </w:r>
            <w:r>
              <w:rPr>
                <w:rFonts w:hint="eastAsia" w:ascii="Book Antiqua" w:hAnsi="Book Antiqua" w:cs="Arial"/>
                <w:color w:val="000000"/>
                <w:shd w:val="clear" w:color="auto" w:fill="FFFFFF"/>
                <w:lang w:eastAsia="zh-CN"/>
              </w:rPr>
              <w:t>mo</w:t>
            </w:r>
            <w:r>
              <w:rPr>
                <w:rFonts w:ascii="Book Antiqua" w:hAnsi="Book Antiqua" w:cs="Arial"/>
                <w:color w:val="000000"/>
                <w:shd w:val="clear" w:color="auto" w:fill="FFFFFF"/>
              </w:rPr>
              <w:t xml:space="preserve"> for 7 yr</w:t>
            </w:r>
            <w:r>
              <w:rPr>
                <w:rFonts w:hint="eastAsia" w:ascii="Book Antiqua" w:hAnsi="Book Antiqua" w:cs="Arial"/>
                <w:color w:val="000000"/>
                <w:shd w:val="clear" w:color="auto" w:fill="FFFFFF"/>
                <w:lang w:eastAsia="zh-CN"/>
              </w:rPr>
              <w:t xml:space="preserve">; </w:t>
            </w:r>
            <w:r>
              <w:rPr>
                <w:rFonts w:ascii="Book Antiqua" w:hAnsi="Book Antiqua" w:cs="Arial"/>
                <w:color w:val="000000"/>
                <w:shd w:val="clear" w:color="auto" w:fill="FFFFFF"/>
              </w:rPr>
              <w:t xml:space="preserve">Advanced disease- CT every 6 </w:t>
            </w:r>
            <w:r>
              <w:rPr>
                <w:rFonts w:hint="eastAsia" w:ascii="Book Antiqua" w:hAnsi="Book Antiqua" w:cs="Arial"/>
                <w:color w:val="000000"/>
                <w:shd w:val="clear" w:color="auto" w:fill="FFFFFF"/>
                <w:lang w:eastAsia="zh-CN"/>
              </w:rPr>
              <w:t xml:space="preserve">mo; </w:t>
            </w:r>
            <w:r>
              <w:rPr>
                <w:rFonts w:ascii="Book Antiqua" w:hAnsi="Book Antiqua" w:cs="Arial"/>
                <w:color w:val="000000"/>
                <w:shd w:val="clear" w:color="auto" w:fill="FFFFFF"/>
              </w:rPr>
              <w:t>ENETS:</w:t>
            </w:r>
            <w:r>
              <w:rPr>
                <w:rFonts w:hint="eastAsia" w:ascii="Book Antiqua" w:hAnsi="Book Antiqua" w:cs="Arial"/>
                <w:color w:val="000000"/>
                <w:shd w:val="clear" w:color="auto" w:fill="FFFFFF"/>
                <w:lang w:eastAsia="zh-CN"/>
              </w:rPr>
              <w:t xml:space="preserve"> </w:t>
            </w:r>
            <w:r>
              <w:rPr>
                <w:rFonts w:ascii="Book Antiqua" w:hAnsi="Book Antiqua" w:cs="Arial"/>
                <w:color w:val="000000"/>
                <w:shd w:val="clear" w:color="auto" w:fill="FFFFFF"/>
              </w:rPr>
              <w:t>Curative surgery</w:t>
            </w:r>
            <w:r>
              <w:rPr>
                <w:rFonts w:hint="eastAsia" w:ascii="Book Antiqua" w:hAnsi="Book Antiqua" w:cs="Arial"/>
                <w:color w:val="000000"/>
                <w:shd w:val="clear" w:color="auto" w:fill="FFFFFF"/>
                <w:lang w:eastAsia="zh-CN"/>
              </w:rPr>
              <w:t>: C</w:t>
            </w:r>
            <w:r>
              <w:rPr>
                <w:rFonts w:ascii="Book Antiqua" w:hAnsi="Book Antiqua" w:cs="Arial"/>
                <w:color w:val="000000"/>
                <w:shd w:val="clear" w:color="auto" w:fill="FFFFFF"/>
              </w:rPr>
              <w:t xml:space="preserve">hromogranin A, urine 5-HIAA, CT every 6-12 </w:t>
            </w:r>
            <w:r>
              <w:rPr>
                <w:rFonts w:hint="eastAsia" w:ascii="Book Antiqua" w:hAnsi="Book Antiqua" w:cs="Arial"/>
                <w:color w:val="000000"/>
                <w:shd w:val="clear" w:color="auto" w:fill="FFFFFF"/>
                <w:lang w:eastAsia="zh-CN"/>
              </w:rPr>
              <w:t xml:space="preserve">mo; </w:t>
            </w:r>
            <w:r>
              <w:rPr>
                <w:rFonts w:ascii="Book Antiqua" w:hAnsi="Book Antiqua" w:cs="Arial"/>
                <w:color w:val="000000"/>
                <w:shd w:val="clear" w:color="auto" w:fill="FFFFFF"/>
              </w:rPr>
              <w:t xml:space="preserve">Slow-growing treated without curative intent: every 3-6 </w:t>
            </w:r>
            <w:r>
              <w:rPr>
                <w:rFonts w:hint="eastAsia" w:ascii="Book Antiqua" w:hAnsi="Book Antiqua" w:cs="Arial"/>
                <w:color w:val="000000"/>
                <w:shd w:val="clear" w:color="auto" w:fill="FFFFFF"/>
                <w:lang w:eastAsia="zh-CN"/>
              </w:rPr>
              <w:t>mo</w:t>
            </w:r>
          </w:p>
        </w:tc>
      </w:tr>
    </w:tbl>
    <w:p>
      <w:pPr>
        <w:adjustRightInd w:val="0"/>
        <w:snapToGrid w:val="0"/>
        <w:spacing w:line="360" w:lineRule="auto"/>
        <w:jc w:val="both"/>
        <w:rPr>
          <w:rFonts w:ascii="Book Antiqua" w:hAnsi="Book Antiqua" w:cs="Arial"/>
          <w:color w:val="212121"/>
          <w:shd w:val="clear" w:color="auto" w:fill="FFFFFF"/>
          <w:lang w:eastAsia="zh-CN"/>
        </w:rPr>
      </w:pPr>
      <w:r>
        <w:rPr>
          <w:rFonts w:ascii="Book Antiqua" w:hAnsi="Book Antiqua" w:cs="Arial"/>
        </w:rPr>
        <w:t xml:space="preserve">EUS: </w:t>
      </w:r>
      <w:r>
        <w:rPr>
          <w:rFonts w:hint="eastAsia" w:ascii="Book Antiqua" w:hAnsi="Book Antiqua" w:cs="Arial"/>
          <w:lang w:eastAsia="zh-CN"/>
        </w:rPr>
        <w:t>E</w:t>
      </w:r>
      <w:r>
        <w:rPr>
          <w:rFonts w:ascii="Book Antiqua" w:hAnsi="Book Antiqua" w:cs="Arial"/>
        </w:rPr>
        <w:t>ndoscopic ultrasound; EGD</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E</w:t>
      </w:r>
      <w:r>
        <w:rPr>
          <w:rFonts w:ascii="Book Antiqua" w:hAnsi="Book Antiqua" w:cs="Arial"/>
        </w:rPr>
        <w:t>sophagogastroduodenoscopy; GEP-NETs</w:t>
      </w:r>
      <w:r>
        <w:rPr>
          <w:rFonts w:hint="eastAsia" w:ascii="Book Antiqua" w:hAnsi="Book Antiqua" w:cs="Arial"/>
          <w:lang w:eastAsia="zh-CN"/>
        </w:rPr>
        <w:t>:</w:t>
      </w:r>
      <w:r>
        <w:rPr>
          <w:rFonts w:ascii="Book Antiqua" w:hAnsi="Book Antiqua" w:cs="Arial"/>
        </w:rPr>
        <w:t xml:space="preserve"> Gastroenteropancreatic </w:t>
      </w:r>
      <w:r>
        <w:rPr>
          <w:rFonts w:hint="eastAsia" w:ascii="Book Antiqua" w:hAnsi="Book Antiqua" w:cs="Arial"/>
          <w:lang w:eastAsia="zh-CN"/>
        </w:rPr>
        <w:t>n</w:t>
      </w:r>
      <w:r>
        <w:rPr>
          <w:rFonts w:ascii="Book Antiqua" w:hAnsi="Book Antiqua" w:cs="Arial"/>
        </w:rPr>
        <w:t>euroendocrine tumor</w:t>
      </w:r>
      <w:r>
        <w:rPr>
          <w:rFonts w:hint="eastAsia" w:ascii="Book Antiqua" w:hAnsi="Book Antiqua" w:cs="Arial"/>
          <w:lang w:eastAsia="zh-CN"/>
        </w:rPr>
        <w:t>s</w:t>
      </w:r>
      <w:r>
        <w:rPr>
          <w:rFonts w:ascii="Book Antiqua" w:hAnsi="Book Antiqua" w:cs="Arial"/>
        </w:rPr>
        <w:t xml:space="preserve">; </w:t>
      </w:r>
      <w:r>
        <w:rPr>
          <w:rFonts w:hint="eastAsia" w:ascii="Book Antiqua" w:hAnsi="Book Antiqua" w:cs="Arial"/>
          <w:lang w:eastAsia="zh-CN"/>
        </w:rPr>
        <w:t xml:space="preserve">PET: </w:t>
      </w:r>
      <w:r>
        <w:rPr>
          <w:rFonts w:hint="eastAsia" w:ascii="Book Antiqua" w:hAnsi="Book Antiqua" w:cs="Book Antiqua"/>
          <w:color w:val="000000"/>
          <w:lang w:eastAsia="zh-CN"/>
        </w:rPr>
        <w:t>P</w:t>
      </w:r>
      <w:r>
        <w:rPr>
          <w:rFonts w:ascii="Book Antiqua" w:hAnsi="Book Antiqua" w:eastAsia="Book Antiqua" w:cs="Book Antiqua"/>
          <w:color w:val="000000"/>
        </w:rPr>
        <w:t>ositron emission tomography</w:t>
      </w:r>
      <w:r>
        <w:rPr>
          <w:rFonts w:hint="eastAsia" w:ascii="Book Antiqua" w:hAnsi="Book Antiqua" w:cs="Arial"/>
          <w:lang w:eastAsia="zh-CN"/>
        </w:rPr>
        <w:t xml:space="preserve">; </w:t>
      </w:r>
      <w:r>
        <w:rPr>
          <w:rFonts w:ascii="Book Antiqua" w:hAnsi="Book Antiqua" w:cs="Arial"/>
        </w:rPr>
        <w:t>CT</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C</w:t>
      </w:r>
      <w:r>
        <w:rPr>
          <w:rFonts w:ascii="Book Antiqua" w:hAnsi="Book Antiqua" w:cs="Arial"/>
        </w:rPr>
        <w:t>omputed tomography; MRI</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M</w:t>
      </w:r>
      <w:r>
        <w:rPr>
          <w:rFonts w:ascii="Book Antiqua" w:hAnsi="Book Antiqua" w:cs="Arial"/>
        </w:rPr>
        <w:t xml:space="preserve">agnetic resonance imaging; </w:t>
      </w:r>
      <w:bookmarkStart w:id="73" w:name="OLE_LINK443"/>
      <w:bookmarkStart w:id="74" w:name="OLE_LINK444"/>
      <w:bookmarkStart w:id="75" w:name="OLE_LINK3"/>
      <w:bookmarkStart w:id="76" w:name="OLE_LINK4"/>
      <w:r>
        <w:rPr>
          <w:rFonts w:ascii="Book Antiqua" w:hAnsi="Book Antiqua" w:cs="Arial"/>
        </w:rPr>
        <w:t>SSAs</w:t>
      </w:r>
      <w:bookmarkEnd w:id="73"/>
      <w:bookmarkEnd w:id="74"/>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S</w:t>
      </w:r>
      <w:r>
        <w:rPr>
          <w:rFonts w:ascii="Book Antiqua" w:hAnsi="Book Antiqua" w:cs="Arial"/>
        </w:rPr>
        <w:t>omatostatin analogues</w:t>
      </w:r>
      <w:bookmarkEnd w:id="75"/>
      <w:bookmarkEnd w:id="76"/>
      <w:r>
        <w:rPr>
          <w:rFonts w:hint="eastAsia" w:ascii="Book Antiqua" w:hAnsi="Book Antiqua" w:cs="Arial"/>
          <w:lang w:eastAsia="zh-CN"/>
        </w:rPr>
        <w:t>; LAR: L</w:t>
      </w:r>
      <w:r>
        <w:rPr>
          <w:rFonts w:ascii="Book Antiqua" w:hAnsi="Book Antiqua" w:cs="Arial"/>
          <w:lang w:eastAsia="zh-CN"/>
        </w:rPr>
        <w:t>ong-acting release</w:t>
      </w:r>
      <w:r>
        <w:rPr>
          <w:rFonts w:hint="eastAsia" w:ascii="Book Antiqua" w:hAnsi="Book Antiqua" w:cs="Arial"/>
          <w:lang w:eastAsia="zh-CN"/>
        </w:rPr>
        <w:t xml:space="preserve">; HIAA: </w:t>
      </w:r>
      <w:r>
        <w:rPr>
          <w:rFonts w:hint="eastAsia" w:ascii="Book Antiqua" w:hAnsi="Book Antiqua" w:cs="Book Antiqua"/>
          <w:color w:val="000000"/>
          <w:lang w:eastAsia="zh-CN"/>
        </w:rPr>
        <w:t>H</w:t>
      </w:r>
      <w:r>
        <w:rPr>
          <w:rFonts w:ascii="Book Antiqua" w:hAnsi="Book Antiqua" w:eastAsia="Book Antiqua" w:cs="Book Antiqua"/>
          <w:color w:val="000000"/>
        </w:rPr>
        <w:t>ydroxyindoleacetic acid</w:t>
      </w:r>
      <w:r>
        <w:rPr>
          <w:rFonts w:hint="eastAsia" w:ascii="Book Antiqua" w:hAnsi="Book Antiqua" w:cs="Arial"/>
          <w:lang w:eastAsia="zh-CN"/>
        </w:rPr>
        <w:t>.</w:t>
      </w:r>
    </w:p>
    <w:p>
      <w:pPr>
        <w:adjustRightInd w:val="0"/>
        <w:snapToGrid w:val="0"/>
        <w:spacing w:line="360" w:lineRule="auto"/>
        <w:jc w:val="both"/>
        <w:rPr>
          <w:rFonts w:ascii="Book Antiqua" w:hAnsi="Book Antiqua" w:cs="Arial"/>
          <w:b/>
          <w:vertAlign w:val="superscript"/>
          <w:lang w:eastAsia="zh-CN"/>
        </w:rPr>
      </w:pPr>
      <w:r>
        <w:rPr>
          <w:rFonts w:ascii="Book Antiqua" w:hAnsi="Book Antiqua" w:cs="Arial"/>
        </w:rPr>
        <w:br w:type="page"/>
      </w:r>
      <w:r>
        <w:rPr>
          <w:rFonts w:ascii="Book Antiqua" w:hAnsi="Book Antiqua" w:cs="Arial"/>
          <w:b/>
        </w:rPr>
        <w:t xml:space="preserve">Table 4 Risk of </w:t>
      </w:r>
      <w:r>
        <w:rPr>
          <w:rFonts w:hint="eastAsia" w:ascii="Book Antiqua" w:hAnsi="Book Antiqua" w:cs="Arial"/>
          <w:b/>
          <w:lang w:eastAsia="zh-CN"/>
        </w:rPr>
        <w:t>m</w:t>
      </w:r>
      <w:r>
        <w:rPr>
          <w:rFonts w:ascii="Book Antiqua" w:hAnsi="Book Antiqua" w:cs="Arial"/>
          <w:b/>
        </w:rPr>
        <w:t>etastases by tumor size in appendiceal neuroendocrine tumors</w:t>
      </w:r>
      <w:r>
        <w:rPr>
          <w:rFonts w:ascii="Book Antiqua" w:hAnsi="Book Antiqua" w:cs="Arial"/>
          <w:b/>
          <w:vertAlign w:val="superscript"/>
        </w:rPr>
        <w:t>[169]</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35"/>
        <w:gridCol w:w="2160"/>
        <w:gridCol w:w="198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5"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 xml:space="preserve">Tumor </w:t>
            </w:r>
            <w:r>
              <w:rPr>
                <w:rFonts w:hint="eastAsia" w:ascii="Book Antiqua" w:hAnsi="Book Antiqua" w:cs="Arial"/>
                <w:b/>
                <w:lang w:eastAsia="zh-CN"/>
              </w:rPr>
              <w:t>s</w:t>
            </w:r>
            <w:r>
              <w:rPr>
                <w:rFonts w:ascii="Book Antiqua" w:hAnsi="Book Antiqua" w:cs="Arial"/>
                <w:b/>
              </w:rPr>
              <w:t>ize</w:t>
            </w:r>
          </w:p>
        </w:tc>
        <w:tc>
          <w:tcPr>
            <w:tcW w:w="216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 xml:space="preserve">Nodal </w:t>
            </w:r>
            <w:r>
              <w:rPr>
                <w:rFonts w:hint="eastAsia" w:ascii="Book Antiqua" w:hAnsi="Book Antiqua" w:cs="Arial"/>
                <w:b/>
                <w:lang w:eastAsia="zh-CN"/>
              </w:rPr>
              <w:t>m</w:t>
            </w:r>
            <w:r>
              <w:rPr>
                <w:rFonts w:ascii="Book Antiqua" w:hAnsi="Book Antiqua" w:cs="Arial"/>
                <w:b/>
              </w:rPr>
              <w:t>etastases</w:t>
            </w:r>
          </w:p>
        </w:tc>
        <w:tc>
          <w:tcPr>
            <w:tcW w:w="198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 xml:space="preserve">Distant </w:t>
            </w:r>
            <w:r>
              <w:rPr>
                <w:rFonts w:hint="eastAsia" w:ascii="Book Antiqua" w:hAnsi="Book Antiqua" w:cs="Arial"/>
                <w:b/>
                <w:lang w:eastAsia="zh-CN"/>
              </w:rPr>
              <w:t>m</w:t>
            </w:r>
            <w:r>
              <w:rPr>
                <w:rFonts w:ascii="Book Antiqua" w:hAnsi="Book Antiqua" w:cs="Arial"/>
                <w:b/>
              </w:rPr>
              <w:t>etastases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5"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w:t>
            </w:r>
            <w:r>
              <w:rPr>
                <w:rFonts w:hint="eastAsia" w:ascii="Book Antiqua" w:hAnsi="Book Antiqua" w:cs="Arial"/>
                <w:lang w:eastAsia="zh-CN"/>
              </w:rPr>
              <w:t xml:space="preserve"> </w:t>
            </w:r>
            <w:r>
              <w:rPr>
                <w:rFonts w:ascii="Book Antiqua" w:hAnsi="Book Antiqua" w:cs="Arial"/>
              </w:rPr>
              <w:t>1 cm</w:t>
            </w:r>
          </w:p>
        </w:tc>
        <w:tc>
          <w:tcPr>
            <w:tcW w:w="216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0%</w:t>
            </w:r>
          </w:p>
        </w:tc>
        <w:tc>
          <w:tcPr>
            <w:tcW w:w="198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5" w:type="dxa"/>
          </w:tcPr>
          <w:p>
            <w:pPr>
              <w:adjustRightInd w:val="0"/>
              <w:snapToGrid w:val="0"/>
              <w:spacing w:line="360" w:lineRule="auto"/>
              <w:jc w:val="both"/>
              <w:rPr>
                <w:rFonts w:ascii="Book Antiqua" w:hAnsi="Book Antiqua" w:cs="Arial"/>
              </w:rPr>
            </w:pPr>
            <w:r>
              <w:rPr>
                <w:rFonts w:ascii="Book Antiqua" w:hAnsi="Book Antiqua" w:cs="Arial"/>
              </w:rPr>
              <w:t>1-2 cm</w:t>
            </w:r>
          </w:p>
        </w:tc>
        <w:tc>
          <w:tcPr>
            <w:tcW w:w="2160" w:type="dxa"/>
          </w:tcPr>
          <w:p>
            <w:pPr>
              <w:adjustRightInd w:val="0"/>
              <w:snapToGrid w:val="0"/>
              <w:spacing w:line="360" w:lineRule="auto"/>
              <w:jc w:val="both"/>
              <w:rPr>
                <w:rFonts w:ascii="Book Antiqua" w:hAnsi="Book Antiqua" w:cs="Arial"/>
              </w:rPr>
            </w:pPr>
            <w:r>
              <w:rPr>
                <w:rFonts w:ascii="Book Antiqua" w:hAnsi="Book Antiqua" w:cs="Arial"/>
              </w:rPr>
              <w:t>7.5%</w:t>
            </w:r>
          </w:p>
        </w:tc>
        <w:tc>
          <w:tcPr>
            <w:tcW w:w="1980" w:type="dxa"/>
          </w:tcPr>
          <w:p>
            <w:pPr>
              <w:adjustRightInd w:val="0"/>
              <w:snapToGrid w:val="0"/>
              <w:spacing w:line="360" w:lineRule="auto"/>
              <w:jc w:val="both"/>
              <w:rPr>
                <w:rFonts w:ascii="Book Antiqua" w:hAnsi="Book Antiqua" w:cs="Arial"/>
              </w:rPr>
            </w:pPr>
            <w:r>
              <w:rPr>
                <w:rFonts w:ascii="Book Antiqua" w:hAnsi="Book Antiqua" w:cs="Arial"/>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5" w:type="dxa"/>
          </w:tcPr>
          <w:p>
            <w:pPr>
              <w:adjustRightInd w:val="0"/>
              <w:snapToGrid w:val="0"/>
              <w:spacing w:line="360" w:lineRule="auto"/>
              <w:jc w:val="both"/>
              <w:rPr>
                <w:rFonts w:ascii="Book Antiqua" w:hAnsi="Book Antiqua" w:cs="Arial"/>
              </w:rPr>
            </w:pPr>
            <w:r>
              <w:rPr>
                <w:rFonts w:ascii="Book Antiqua" w:hAnsi="Book Antiqua" w:cs="Arial"/>
              </w:rPr>
              <w:t>≥</w:t>
            </w:r>
            <w:r>
              <w:rPr>
                <w:rFonts w:hint="eastAsia" w:ascii="Book Antiqua" w:hAnsi="Book Antiqua" w:cs="Arial"/>
                <w:lang w:eastAsia="zh-CN"/>
              </w:rPr>
              <w:t xml:space="preserve"> </w:t>
            </w:r>
            <w:r>
              <w:rPr>
                <w:rFonts w:ascii="Book Antiqua" w:hAnsi="Book Antiqua" w:cs="Arial"/>
              </w:rPr>
              <w:t>2 cm</w:t>
            </w:r>
          </w:p>
        </w:tc>
        <w:tc>
          <w:tcPr>
            <w:tcW w:w="2160" w:type="dxa"/>
          </w:tcPr>
          <w:p>
            <w:pPr>
              <w:adjustRightInd w:val="0"/>
              <w:snapToGrid w:val="0"/>
              <w:spacing w:line="360" w:lineRule="auto"/>
              <w:jc w:val="both"/>
              <w:rPr>
                <w:rFonts w:ascii="Book Antiqua" w:hAnsi="Book Antiqua" w:cs="Arial"/>
              </w:rPr>
            </w:pPr>
            <w:r>
              <w:rPr>
                <w:rFonts w:ascii="Book Antiqua" w:hAnsi="Book Antiqua" w:cs="Arial"/>
              </w:rPr>
              <w:t>33%</w:t>
            </w:r>
          </w:p>
        </w:tc>
        <w:tc>
          <w:tcPr>
            <w:tcW w:w="1980" w:type="dxa"/>
          </w:tcPr>
          <w:p>
            <w:pPr>
              <w:adjustRightInd w:val="0"/>
              <w:snapToGrid w:val="0"/>
              <w:spacing w:line="360" w:lineRule="auto"/>
              <w:jc w:val="both"/>
              <w:rPr>
                <w:rFonts w:ascii="Book Antiqua" w:hAnsi="Book Antiqua" w:cs="Arial"/>
              </w:rPr>
            </w:pPr>
            <w:r>
              <w:rPr>
                <w:rFonts w:ascii="Book Antiqua" w:hAnsi="Book Antiqua" w:cs="Arial"/>
              </w:rPr>
              <w:t>12%</w:t>
            </w:r>
          </w:p>
        </w:tc>
      </w:tr>
    </w:tbl>
    <w:p>
      <w:pPr>
        <w:adjustRightInd w:val="0"/>
        <w:snapToGrid w:val="0"/>
        <w:spacing w:line="360" w:lineRule="auto"/>
        <w:jc w:val="both"/>
        <w:rPr>
          <w:rFonts w:ascii="Book Antiqua" w:hAnsi="Book Antiqua" w:cs="Arial"/>
          <w:b/>
          <w:color w:val="212121"/>
          <w:shd w:val="clear" w:color="auto" w:fill="FFFFFF"/>
          <w:vertAlign w:val="superscript"/>
          <w:lang w:eastAsia="zh-CN"/>
        </w:rPr>
      </w:pPr>
      <w:r>
        <w:rPr>
          <w:rFonts w:ascii="Book Antiqua" w:hAnsi="Book Antiqua" w:cs="Arial"/>
          <w:color w:val="212121"/>
          <w:shd w:val="clear" w:color="auto" w:fill="FFFFFF"/>
        </w:rPr>
        <w:br w:type="page"/>
      </w:r>
      <w:r>
        <w:rPr>
          <w:rFonts w:ascii="Book Antiqua" w:hAnsi="Book Antiqua" w:cs="Arial"/>
          <w:b/>
          <w:color w:val="212121"/>
          <w:shd w:val="clear" w:color="auto" w:fill="FFFFFF"/>
        </w:rPr>
        <w:t>Table 5 Colorectal neuroendocrine tumors</w:t>
      </w:r>
      <w:r>
        <w:rPr>
          <w:rFonts w:ascii="Book Antiqua" w:hAnsi="Book Antiqua" w:cs="Arial"/>
          <w:b/>
          <w:color w:val="212121"/>
          <w:shd w:val="clear" w:color="auto" w:fill="FFFFFF"/>
          <w:vertAlign w:val="superscript"/>
        </w:rPr>
        <w:t>[103,112,114,121,124,126,170-173]</w:t>
      </w:r>
    </w:p>
    <w:tbl>
      <w:tblPr>
        <w:tblStyle w:val="7"/>
        <w:tblW w:w="0" w:type="auto"/>
        <w:tblInd w:w="-9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0"/>
        <w:gridCol w:w="2610"/>
        <w:gridCol w:w="2520"/>
        <w:gridCol w:w="260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1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p>
        </w:tc>
        <w:tc>
          <w:tcPr>
            <w:tcW w:w="261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Appendiceal</w:t>
            </w:r>
          </w:p>
        </w:tc>
        <w:tc>
          <w:tcPr>
            <w:tcW w:w="2520"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Colonic</w:t>
            </w:r>
          </w:p>
        </w:tc>
        <w:tc>
          <w:tcPr>
            <w:tcW w:w="2605" w:type="dxa"/>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Rectal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1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Epidemiology</w:t>
            </w:r>
          </w:p>
        </w:tc>
        <w:tc>
          <w:tcPr>
            <w:tcW w:w="261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1.45% of appendectomies</w:t>
            </w:r>
          </w:p>
        </w:tc>
        <w:tc>
          <w:tcPr>
            <w:tcW w:w="2520"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&lt;</w:t>
            </w:r>
            <w:r>
              <w:rPr>
                <w:rFonts w:hint="eastAsia" w:ascii="Book Antiqua" w:hAnsi="Book Antiqua" w:cs="Arial"/>
                <w:lang w:eastAsia="zh-CN"/>
              </w:rPr>
              <w:t xml:space="preserve"> </w:t>
            </w:r>
            <w:r>
              <w:rPr>
                <w:rFonts w:ascii="Book Antiqua" w:hAnsi="Book Antiqua" w:cs="Arial"/>
              </w:rPr>
              <w:t>10% NETs</w:t>
            </w:r>
          </w:p>
        </w:tc>
        <w:tc>
          <w:tcPr>
            <w:tcW w:w="2605" w:type="dxa"/>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29% GEP-NETs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10" w:type="dxa"/>
          </w:tcPr>
          <w:p>
            <w:pPr>
              <w:tabs>
                <w:tab w:val="left" w:pos="0"/>
              </w:tabs>
              <w:adjustRightInd w:val="0"/>
              <w:snapToGrid w:val="0"/>
              <w:spacing w:line="360" w:lineRule="auto"/>
              <w:jc w:val="both"/>
              <w:rPr>
                <w:rFonts w:ascii="Book Antiqua" w:hAnsi="Book Antiqua" w:cs="Arial"/>
              </w:rPr>
            </w:pPr>
            <w:r>
              <w:rPr>
                <w:rFonts w:ascii="Book Antiqua" w:hAnsi="Book Antiqua" w:cs="Arial"/>
              </w:rPr>
              <w:t>Presentation</w:t>
            </w:r>
          </w:p>
        </w:tc>
        <w:tc>
          <w:tcPr>
            <w:tcW w:w="2610" w:type="dxa"/>
          </w:tcPr>
          <w:p>
            <w:pPr>
              <w:adjustRightInd w:val="0"/>
              <w:snapToGrid w:val="0"/>
              <w:spacing w:line="360" w:lineRule="auto"/>
              <w:jc w:val="both"/>
              <w:rPr>
                <w:rFonts w:ascii="Book Antiqua" w:hAnsi="Book Antiqua" w:cs="Arial"/>
                <w:lang w:eastAsia="zh-CN"/>
              </w:rPr>
            </w:pPr>
            <w:r>
              <w:rPr>
                <w:rFonts w:ascii="Book Antiqua" w:hAnsi="Book Antiqua" w:cs="Arial"/>
              </w:rPr>
              <w:t>Incidental or acute appendicitis</w:t>
            </w:r>
            <w:r>
              <w:rPr>
                <w:rFonts w:hint="eastAsia" w:ascii="Book Antiqua" w:hAnsi="Book Antiqua" w:cs="Arial"/>
                <w:lang w:eastAsia="zh-CN"/>
              </w:rPr>
              <w:t xml:space="preserve">; </w:t>
            </w:r>
            <w:r>
              <w:rPr>
                <w:rFonts w:ascii="Book Antiqua" w:hAnsi="Book Antiqua" w:cs="Arial"/>
              </w:rPr>
              <w:t>Carcinoid syndrome rare</w:t>
            </w:r>
          </w:p>
        </w:tc>
        <w:tc>
          <w:tcPr>
            <w:tcW w:w="2520" w:type="dxa"/>
          </w:tcPr>
          <w:p>
            <w:pPr>
              <w:adjustRightInd w:val="0"/>
              <w:snapToGrid w:val="0"/>
              <w:spacing w:line="360" w:lineRule="auto"/>
              <w:jc w:val="both"/>
              <w:rPr>
                <w:rFonts w:ascii="Book Antiqua" w:hAnsi="Book Antiqua" w:cs="Arial"/>
              </w:rPr>
            </w:pPr>
            <w:r>
              <w:rPr>
                <w:rFonts w:ascii="Book Antiqua" w:hAnsi="Book Antiqua" w:cs="Arial"/>
              </w:rPr>
              <w:t>Incidental (yellowish polypoid or donut-shaped)</w:t>
            </w:r>
            <w:r>
              <w:rPr>
                <w:rFonts w:hint="eastAsia" w:ascii="Book Antiqua" w:hAnsi="Book Antiqua" w:cs="Arial"/>
                <w:lang w:eastAsia="zh-CN"/>
              </w:rPr>
              <w:t xml:space="preserve">; </w:t>
            </w:r>
            <w:r>
              <w:rPr>
                <w:rFonts w:ascii="Book Antiqua" w:hAnsi="Book Antiqua" w:cs="Arial"/>
              </w:rPr>
              <w:t>46% advanced at diagnosis</w:t>
            </w:r>
          </w:p>
        </w:tc>
        <w:tc>
          <w:tcPr>
            <w:tcW w:w="2605" w:type="dxa"/>
          </w:tcPr>
          <w:p>
            <w:pPr>
              <w:adjustRightInd w:val="0"/>
              <w:snapToGrid w:val="0"/>
              <w:spacing w:line="360" w:lineRule="auto"/>
              <w:jc w:val="both"/>
              <w:rPr>
                <w:rFonts w:ascii="Book Antiqua" w:hAnsi="Book Antiqua" w:cs="Arial"/>
              </w:rPr>
            </w:pPr>
            <w:r>
              <w:rPr>
                <w:rFonts w:ascii="Book Antiqua" w:hAnsi="Book Antiqua" w:cs="Arial"/>
              </w:rPr>
              <w:t>Incidental (small, yellowish polypoid)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10" w:type="dxa"/>
          </w:tcPr>
          <w:p>
            <w:pPr>
              <w:adjustRightInd w:val="0"/>
              <w:snapToGrid w:val="0"/>
              <w:spacing w:line="360" w:lineRule="auto"/>
              <w:jc w:val="both"/>
              <w:rPr>
                <w:rFonts w:ascii="Book Antiqua" w:hAnsi="Book Antiqua" w:cs="Arial"/>
              </w:rPr>
            </w:pPr>
            <w:r>
              <w:rPr>
                <w:rFonts w:ascii="Book Antiqua" w:hAnsi="Book Antiqua" w:cs="Arial"/>
              </w:rPr>
              <w:t>Evaluation</w:t>
            </w:r>
          </w:p>
        </w:tc>
        <w:tc>
          <w:tcPr>
            <w:tcW w:w="2610" w:type="dxa"/>
          </w:tcPr>
          <w:p>
            <w:pPr>
              <w:adjustRightInd w:val="0"/>
              <w:snapToGrid w:val="0"/>
              <w:spacing w:line="360" w:lineRule="auto"/>
              <w:jc w:val="both"/>
              <w:rPr>
                <w:rFonts w:ascii="Book Antiqua" w:hAnsi="Book Antiqua" w:cs="Arial"/>
                <w:lang w:eastAsia="zh-CN"/>
              </w:rPr>
            </w:pPr>
            <w:r>
              <w:rPr>
                <w:rFonts w:hint="eastAsia" w:ascii="Book Antiqua" w:hAnsi="Book Antiqua" w:cs="Arial"/>
                <w:lang w:eastAsia="zh-CN"/>
              </w:rPr>
              <w:t>(</w:t>
            </w:r>
            <w:r>
              <w:rPr>
                <w:rFonts w:ascii="Book Antiqua" w:hAnsi="Book Antiqua" w:cs="Arial"/>
              </w:rPr>
              <w:t>1</w:t>
            </w:r>
            <w:r>
              <w:rPr>
                <w:rFonts w:hint="eastAsia" w:ascii="Book Antiqua" w:hAnsi="Book Antiqua" w:cs="Arial"/>
                <w:lang w:eastAsia="zh-CN"/>
              </w:rPr>
              <w:t>)</w:t>
            </w:r>
            <w:r>
              <w:rPr>
                <w:rFonts w:ascii="Book Antiqua" w:hAnsi="Book Antiqua" w:cs="Arial"/>
              </w:rPr>
              <w:t xml:space="preserve"> Colonoscopy</w:t>
            </w:r>
            <w:r>
              <w:rPr>
                <w:rFonts w:hint="eastAsia" w:ascii="Book Antiqua" w:hAnsi="Book Antiqua" w:cs="Arial"/>
                <w:lang w:eastAsia="zh-CN"/>
              </w:rPr>
              <w:t>; (</w:t>
            </w:r>
            <w:r>
              <w:rPr>
                <w:rFonts w:ascii="Book Antiqua" w:hAnsi="Book Antiqua" w:cs="Arial"/>
              </w:rPr>
              <w:t>2</w:t>
            </w:r>
            <w:r>
              <w:rPr>
                <w:rFonts w:hint="eastAsia" w:ascii="Book Antiqua" w:hAnsi="Book Antiqua" w:cs="Arial"/>
                <w:lang w:eastAsia="zh-CN"/>
              </w:rPr>
              <w:t>)</w:t>
            </w:r>
            <w:r>
              <w:rPr>
                <w:rFonts w:ascii="Book Antiqua" w:hAnsi="Book Antiqua" w:cs="Arial"/>
              </w:rPr>
              <w:t xml:space="preserve"> CT/MRI if &gt;</w:t>
            </w:r>
            <w:r>
              <w:rPr>
                <w:rFonts w:hint="eastAsia" w:ascii="Book Antiqua" w:hAnsi="Book Antiqua" w:cs="Arial"/>
                <w:lang w:eastAsia="zh-CN"/>
              </w:rPr>
              <w:t xml:space="preserve"> </w:t>
            </w:r>
            <w:r>
              <w:rPr>
                <w:rFonts w:ascii="Book Antiqua" w:hAnsi="Book Antiqua" w:cs="Arial"/>
              </w:rPr>
              <w:t>2 cm, incomplete resection</w:t>
            </w:r>
            <w:r>
              <w:rPr>
                <w:rFonts w:hint="eastAsia" w:ascii="Book Antiqua" w:hAnsi="Book Antiqua" w:cs="Arial"/>
                <w:vertAlign w:val="superscript"/>
                <w:lang w:eastAsia="zh-CN"/>
              </w:rPr>
              <w:t>1</w:t>
            </w:r>
            <w:r>
              <w:rPr>
                <w:rFonts w:ascii="Book Antiqua" w:hAnsi="Book Antiqua" w:cs="Arial"/>
              </w:rPr>
              <w:t>, suspected metastases</w:t>
            </w:r>
            <w:r>
              <w:rPr>
                <w:rFonts w:hint="eastAsia" w:ascii="Book Antiqua" w:hAnsi="Book Antiqua" w:cs="Arial"/>
                <w:lang w:eastAsia="zh-CN"/>
              </w:rPr>
              <w:t>; (</w:t>
            </w:r>
            <w:r>
              <w:rPr>
                <w:rFonts w:ascii="Book Antiqua" w:hAnsi="Book Antiqua" w:cs="Arial"/>
              </w:rPr>
              <w:t>3</w:t>
            </w:r>
            <w:r>
              <w:rPr>
                <w:rFonts w:hint="eastAsia" w:ascii="Book Antiqua" w:hAnsi="Book Antiqua" w:cs="Arial"/>
                <w:lang w:eastAsia="zh-CN"/>
              </w:rPr>
              <w:t>)</w:t>
            </w:r>
            <w:r>
              <w:rPr>
                <w:rFonts w:ascii="Book Antiqua" w:hAnsi="Book Antiqua" w:cs="Arial"/>
              </w:rPr>
              <w:t xml:space="preserve"> Gallium DOTATATE PET</w:t>
            </w:r>
            <w:r>
              <w:rPr>
                <w:rFonts w:hint="eastAsia" w:ascii="Book Antiqua" w:hAnsi="Book Antiqua" w:cs="Arial"/>
                <w:lang w:eastAsia="zh-CN"/>
              </w:rPr>
              <w:t xml:space="preserve"> </w:t>
            </w:r>
            <w:r>
              <w:rPr>
                <w:rFonts w:ascii="Book Antiqua" w:hAnsi="Book Antiqua" w:cs="Arial"/>
              </w:rPr>
              <w:t>CT: Incomplete resection</w:t>
            </w:r>
            <w:r>
              <w:rPr>
                <w:rFonts w:hint="eastAsia" w:ascii="Book Antiqua" w:hAnsi="Book Antiqua" w:cs="Arial"/>
                <w:vertAlign w:val="superscript"/>
                <w:lang w:eastAsia="zh-CN"/>
              </w:rPr>
              <w:t>1</w:t>
            </w:r>
            <w:r>
              <w:rPr>
                <w:rFonts w:ascii="Book Antiqua" w:hAnsi="Book Antiqua" w:cs="Arial"/>
              </w:rPr>
              <w:t>, suspected metastases, carcinoid syndrome</w:t>
            </w:r>
            <w:r>
              <w:rPr>
                <w:rFonts w:hint="eastAsia" w:ascii="Book Antiqua" w:hAnsi="Book Antiqua" w:cs="Arial"/>
                <w:lang w:eastAsia="zh-CN"/>
              </w:rPr>
              <w:t>; (</w:t>
            </w:r>
            <w:r>
              <w:rPr>
                <w:rFonts w:ascii="Book Antiqua" w:hAnsi="Book Antiqua" w:cs="Arial"/>
              </w:rPr>
              <w:t>4</w:t>
            </w:r>
            <w:r>
              <w:rPr>
                <w:rFonts w:hint="eastAsia" w:ascii="Book Antiqua" w:hAnsi="Book Antiqua" w:cs="Arial"/>
                <w:lang w:eastAsia="zh-CN"/>
              </w:rPr>
              <w:t>)</w:t>
            </w:r>
            <w:r>
              <w:rPr>
                <w:rFonts w:ascii="Book Antiqua" w:hAnsi="Book Antiqua" w:cs="Arial"/>
              </w:rPr>
              <w:t xml:space="preserve"> Chromogranin A and urine 5-HIAA: liver metastases or carcinoid syndrome</w:t>
            </w:r>
          </w:p>
        </w:tc>
        <w:tc>
          <w:tcPr>
            <w:tcW w:w="2520" w:type="dxa"/>
          </w:tcPr>
          <w:p>
            <w:pPr>
              <w:adjustRightInd w:val="0"/>
              <w:snapToGrid w:val="0"/>
              <w:spacing w:line="360" w:lineRule="auto"/>
              <w:jc w:val="both"/>
              <w:rPr>
                <w:rFonts w:ascii="Book Antiqua" w:hAnsi="Book Antiqua" w:cs="Arial"/>
              </w:rPr>
            </w:pPr>
            <w:r>
              <w:rPr>
                <w:rFonts w:ascii="Book Antiqua" w:hAnsi="Book Antiqua" w:cs="Arial"/>
              </w:rPr>
              <w:t>CT, EUS, Gallium DOTATATE PET</w:t>
            </w:r>
            <w:r>
              <w:rPr>
                <w:rFonts w:hint="eastAsia" w:ascii="Book Antiqua" w:hAnsi="Book Antiqua" w:cs="Arial"/>
                <w:lang w:eastAsia="zh-CN"/>
              </w:rPr>
              <w:t xml:space="preserve"> </w:t>
            </w:r>
            <w:r>
              <w:rPr>
                <w:rFonts w:ascii="Book Antiqua" w:hAnsi="Book Antiqua" w:cs="Arial"/>
              </w:rPr>
              <w:t>CT</w:t>
            </w:r>
          </w:p>
        </w:tc>
        <w:tc>
          <w:tcPr>
            <w:tcW w:w="2605" w:type="dxa"/>
          </w:tcPr>
          <w:p>
            <w:pPr>
              <w:adjustRightInd w:val="0"/>
              <w:snapToGrid w:val="0"/>
              <w:spacing w:line="360" w:lineRule="auto"/>
              <w:jc w:val="both"/>
              <w:rPr>
                <w:rFonts w:ascii="Book Antiqua" w:hAnsi="Book Antiqua" w:cs="Arial"/>
              </w:rPr>
            </w:pPr>
            <w:r>
              <w:rPr>
                <w:rFonts w:ascii="Book Antiqua" w:hAnsi="Book Antiqua" w:cs="Arial"/>
              </w:rPr>
              <w:t>Colonoscopy</w:t>
            </w:r>
            <w:r>
              <w:rPr>
                <w:rFonts w:hint="eastAsia" w:ascii="Book Antiqua" w:hAnsi="Book Antiqua" w:cs="Arial"/>
                <w:lang w:eastAsia="zh-CN"/>
              </w:rPr>
              <w:t xml:space="preserve">; </w:t>
            </w:r>
            <w:r>
              <w:rPr>
                <w:rFonts w:ascii="Book Antiqua" w:hAnsi="Book Antiqua" w:cs="Arial"/>
              </w:rPr>
              <w:t>EUS</w:t>
            </w:r>
            <w:r>
              <w:rPr>
                <w:rFonts w:hint="eastAsia" w:ascii="Book Antiqua" w:hAnsi="Book Antiqua" w:cs="Arial"/>
                <w:lang w:eastAsia="zh-CN"/>
              </w:rPr>
              <w:t xml:space="preserve">; </w:t>
            </w:r>
            <w:r>
              <w:rPr>
                <w:rFonts w:ascii="Book Antiqua" w:hAnsi="Book Antiqua" w:cs="Arial"/>
              </w:rPr>
              <w:t>&gt;</w:t>
            </w:r>
            <w:r>
              <w:rPr>
                <w:rFonts w:hint="eastAsia" w:ascii="Book Antiqua" w:hAnsi="Book Antiqua" w:cs="Arial"/>
                <w:lang w:eastAsia="zh-CN"/>
              </w:rPr>
              <w:t xml:space="preserve"> </w:t>
            </w:r>
            <w:r>
              <w:rPr>
                <w:rFonts w:ascii="Book Antiqua" w:hAnsi="Book Antiqua" w:cs="Arial"/>
              </w:rPr>
              <w:t>2 cm, invasion beyond submucosa, lymph node disease</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G</w:t>
            </w:r>
            <w:r>
              <w:rPr>
                <w:rFonts w:ascii="Book Antiqua" w:hAnsi="Book Antiqua" w:cs="Arial"/>
              </w:rPr>
              <w:t>allium DOTATATE PET</w:t>
            </w:r>
            <w:r>
              <w:rPr>
                <w:rFonts w:hint="eastAsia" w:ascii="Book Antiqua" w:hAnsi="Book Antiqua" w:cs="Arial"/>
                <w:lang w:eastAsia="zh-CN"/>
              </w:rPr>
              <w:t xml:space="preserve"> </w:t>
            </w:r>
            <w:r>
              <w:rPr>
                <w:rFonts w:ascii="Book Antiqua" w:hAnsi="Book Antiqua" w:cs="Arial"/>
              </w:rPr>
              <w:t>CT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10" w:type="dxa"/>
          </w:tcPr>
          <w:p>
            <w:pPr>
              <w:adjustRightInd w:val="0"/>
              <w:snapToGrid w:val="0"/>
              <w:spacing w:line="360" w:lineRule="auto"/>
              <w:jc w:val="both"/>
              <w:rPr>
                <w:rFonts w:ascii="Book Antiqua" w:hAnsi="Book Antiqua" w:cs="Arial"/>
              </w:rPr>
            </w:pPr>
            <w:r>
              <w:rPr>
                <w:rFonts w:ascii="Book Antiqua" w:hAnsi="Book Antiqua" w:cs="Arial"/>
              </w:rPr>
              <w:t>5-yr survival</w:t>
            </w:r>
          </w:p>
        </w:tc>
        <w:tc>
          <w:tcPr>
            <w:tcW w:w="2610" w:type="dxa"/>
          </w:tcPr>
          <w:p>
            <w:pPr>
              <w:adjustRightInd w:val="0"/>
              <w:snapToGrid w:val="0"/>
              <w:spacing w:line="360" w:lineRule="auto"/>
              <w:jc w:val="both"/>
              <w:rPr>
                <w:rFonts w:ascii="Book Antiqua" w:hAnsi="Book Antiqua" w:cs="Arial"/>
              </w:rPr>
            </w:pPr>
            <w:r>
              <w:rPr>
                <w:rFonts w:ascii="Book Antiqua" w:hAnsi="Book Antiqua" w:cs="Arial"/>
              </w:rPr>
              <w:t>&lt;</w:t>
            </w:r>
            <w:r>
              <w:rPr>
                <w:rFonts w:hint="eastAsia" w:ascii="Book Antiqua" w:hAnsi="Book Antiqua" w:cs="Arial"/>
                <w:lang w:eastAsia="zh-CN"/>
              </w:rPr>
              <w:t xml:space="preserve"> </w:t>
            </w:r>
            <w:r>
              <w:rPr>
                <w:rFonts w:ascii="Book Antiqua" w:hAnsi="Book Antiqua" w:cs="Arial"/>
              </w:rPr>
              <w:t>2 cm without regional or distant disease: 100%</w:t>
            </w:r>
            <w:r>
              <w:rPr>
                <w:rFonts w:hint="eastAsia" w:ascii="Book Antiqua" w:hAnsi="Book Antiqua" w:cs="Arial"/>
                <w:lang w:eastAsia="zh-CN"/>
              </w:rPr>
              <w:t xml:space="preserve">; </w:t>
            </w:r>
            <w:r>
              <w:rPr>
                <w:rFonts w:ascii="Book Antiqua" w:hAnsi="Book Antiqua" w:cs="Arial"/>
              </w:rPr>
              <w:t>2-3 cm with regional nodes or ≥</w:t>
            </w:r>
            <w:r>
              <w:rPr>
                <w:rFonts w:hint="eastAsia" w:ascii="Book Antiqua" w:hAnsi="Book Antiqua" w:cs="Arial"/>
                <w:lang w:eastAsia="zh-CN"/>
              </w:rPr>
              <w:t xml:space="preserve"> </w:t>
            </w:r>
            <w:r>
              <w:rPr>
                <w:rFonts w:ascii="Book Antiqua" w:hAnsi="Book Antiqua" w:cs="Arial"/>
              </w:rPr>
              <w:t>3 cm: 78%</w:t>
            </w:r>
            <w:r>
              <w:rPr>
                <w:rFonts w:hint="eastAsia" w:ascii="Book Antiqua" w:hAnsi="Book Antiqua" w:cs="Arial"/>
                <w:lang w:eastAsia="zh-CN"/>
              </w:rPr>
              <w:t xml:space="preserve">; </w:t>
            </w:r>
            <w:r>
              <w:rPr>
                <w:rFonts w:ascii="Book Antiqua" w:hAnsi="Book Antiqua" w:cs="Arial"/>
              </w:rPr>
              <w:t>Distant metastases: 32%</w:t>
            </w:r>
          </w:p>
        </w:tc>
        <w:tc>
          <w:tcPr>
            <w:tcW w:w="2520" w:type="dxa"/>
          </w:tcPr>
          <w:p>
            <w:pPr>
              <w:adjustRightInd w:val="0"/>
              <w:snapToGrid w:val="0"/>
              <w:spacing w:line="360" w:lineRule="auto"/>
              <w:jc w:val="both"/>
              <w:rPr>
                <w:rFonts w:ascii="Book Antiqua" w:hAnsi="Book Antiqua" w:cs="Arial"/>
              </w:rPr>
            </w:pPr>
            <w:r>
              <w:rPr>
                <w:rFonts w:ascii="Book Antiqua" w:hAnsi="Book Antiqua" w:cs="Arial"/>
              </w:rPr>
              <w:t>Stage I: 90%</w:t>
            </w:r>
            <w:r>
              <w:rPr>
                <w:rFonts w:hint="eastAsia" w:ascii="Book Antiqua" w:hAnsi="Book Antiqua" w:cs="Arial"/>
                <w:lang w:eastAsia="zh-CN"/>
              </w:rPr>
              <w:t xml:space="preserve">; </w:t>
            </w:r>
            <w:r>
              <w:rPr>
                <w:rFonts w:ascii="Book Antiqua" w:hAnsi="Book Antiqua" w:cs="Arial"/>
              </w:rPr>
              <w:t>Stage II: 77%</w:t>
            </w:r>
            <w:r>
              <w:rPr>
                <w:rFonts w:hint="eastAsia" w:ascii="Book Antiqua" w:hAnsi="Book Antiqua" w:cs="Arial"/>
                <w:lang w:eastAsia="zh-CN"/>
              </w:rPr>
              <w:t xml:space="preserve">; </w:t>
            </w:r>
            <w:r>
              <w:rPr>
                <w:rFonts w:ascii="Book Antiqua" w:hAnsi="Book Antiqua" w:cs="Arial"/>
              </w:rPr>
              <w:t>Stage III: 53%</w:t>
            </w:r>
            <w:r>
              <w:rPr>
                <w:rFonts w:hint="eastAsia" w:ascii="Book Antiqua" w:hAnsi="Book Antiqua" w:cs="Arial"/>
                <w:lang w:eastAsia="zh-CN"/>
              </w:rPr>
              <w:t xml:space="preserve">; </w:t>
            </w:r>
            <w:r>
              <w:rPr>
                <w:rFonts w:ascii="Book Antiqua" w:hAnsi="Book Antiqua" w:cs="Arial"/>
              </w:rPr>
              <w:t xml:space="preserve">Stage IV: 14% </w:t>
            </w:r>
          </w:p>
        </w:tc>
        <w:tc>
          <w:tcPr>
            <w:tcW w:w="2605" w:type="dxa"/>
          </w:tcPr>
          <w:p>
            <w:pPr>
              <w:adjustRightInd w:val="0"/>
              <w:snapToGrid w:val="0"/>
              <w:spacing w:line="360" w:lineRule="auto"/>
              <w:jc w:val="both"/>
              <w:rPr>
                <w:rFonts w:ascii="Book Antiqua" w:hAnsi="Book Antiqua" w:cs="Arial"/>
              </w:rPr>
            </w:pPr>
            <w:r>
              <w:rPr>
                <w:rFonts w:ascii="Book Antiqua" w:hAnsi="Book Antiqua" w:cs="Arial"/>
              </w:rPr>
              <w:t>Localized: 98</w:t>
            </w:r>
            <w:r>
              <w:rPr>
                <w:rFonts w:hint="eastAsia" w:ascii="Book Antiqua" w:hAnsi="Book Antiqua" w:cs="Arial"/>
                <w:lang w:eastAsia="zh-CN"/>
              </w:rPr>
              <w:t>%</w:t>
            </w:r>
            <w:r>
              <w:rPr>
                <w:rFonts w:ascii="Book Antiqua" w:hAnsi="Book Antiqua" w:cs="Arial"/>
              </w:rPr>
              <w:t>-100%</w:t>
            </w:r>
            <w:r>
              <w:rPr>
                <w:rFonts w:hint="eastAsia" w:ascii="Book Antiqua" w:hAnsi="Book Antiqua" w:cs="Arial"/>
                <w:lang w:eastAsia="zh-CN"/>
              </w:rPr>
              <w:t xml:space="preserve">; </w:t>
            </w:r>
            <w:r>
              <w:rPr>
                <w:rFonts w:ascii="Book Antiqua" w:hAnsi="Book Antiqua" w:cs="Arial"/>
              </w:rPr>
              <w:t>Regional metastases: 54</w:t>
            </w:r>
            <w:r>
              <w:rPr>
                <w:rFonts w:hint="eastAsia" w:ascii="Book Antiqua" w:hAnsi="Book Antiqua" w:cs="Arial"/>
                <w:lang w:eastAsia="zh-CN"/>
              </w:rPr>
              <w:t>%</w:t>
            </w:r>
            <w:r>
              <w:rPr>
                <w:rFonts w:ascii="Book Antiqua" w:hAnsi="Book Antiqua" w:cs="Arial"/>
              </w:rPr>
              <w:t>-74%</w:t>
            </w:r>
            <w:r>
              <w:rPr>
                <w:rFonts w:hint="eastAsia" w:ascii="Book Antiqua" w:hAnsi="Book Antiqua" w:cs="Arial"/>
                <w:lang w:eastAsia="zh-CN"/>
              </w:rPr>
              <w:t xml:space="preserve">; </w:t>
            </w:r>
            <w:r>
              <w:rPr>
                <w:rFonts w:ascii="Book Antiqua" w:hAnsi="Book Antiqua" w:cs="Arial"/>
              </w:rPr>
              <w:t>Distant metastases: 15</w:t>
            </w:r>
            <w:r>
              <w:rPr>
                <w:rFonts w:hint="eastAsia" w:ascii="Book Antiqua" w:hAnsi="Book Antiqua" w:cs="Arial"/>
                <w:lang w:eastAsia="zh-CN"/>
              </w:rPr>
              <w:t>%</w:t>
            </w:r>
            <w:r>
              <w:rPr>
                <w:rFonts w:ascii="Book Antiqua" w:hAnsi="Book Antiqua" w:cs="Arial"/>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10" w:type="dxa"/>
          </w:tcPr>
          <w:p>
            <w:pPr>
              <w:adjustRightInd w:val="0"/>
              <w:snapToGrid w:val="0"/>
              <w:spacing w:line="360" w:lineRule="auto"/>
              <w:jc w:val="both"/>
              <w:rPr>
                <w:rFonts w:ascii="Book Antiqua" w:hAnsi="Book Antiqua" w:cs="Arial"/>
              </w:rPr>
            </w:pPr>
            <w:r>
              <w:rPr>
                <w:rFonts w:ascii="Book Antiqua" w:hAnsi="Book Antiqua" w:cs="Arial"/>
              </w:rPr>
              <w:t xml:space="preserve">Treatment </w:t>
            </w:r>
          </w:p>
        </w:tc>
        <w:tc>
          <w:tcPr>
            <w:tcW w:w="2610" w:type="dxa"/>
          </w:tcPr>
          <w:p>
            <w:pPr>
              <w:adjustRightInd w:val="0"/>
              <w:snapToGrid w:val="0"/>
              <w:spacing w:line="360" w:lineRule="auto"/>
              <w:jc w:val="both"/>
              <w:rPr>
                <w:rFonts w:ascii="Book Antiqua" w:hAnsi="Book Antiqua" w:cs="Arial"/>
                <w:lang w:eastAsia="zh-CN"/>
              </w:rPr>
            </w:pPr>
            <w:r>
              <w:rPr>
                <w:rFonts w:ascii="Book Antiqua" w:hAnsi="Book Antiqua" w:cs="Arial"/>
              </w:rPr>
              <w:t xml:space="preserve">Right hemicolectomy with lymph node dissection: </w:t>
            </w:r>
            <w:r>
              <w:rPr>
                <w:rFonts w:hint="eastAsia" w:ascii="Book Antiqua" w:hAnsi="Book Antiqua" w:cs="Arial"/>
                <w:lang w:eastAsia="zh-CN"/>
              </w:rPr>
              <w:t xml:space="preserve">(1) </w:t>
            </w:r>
            <w:r>
              <w:rPr>
                <w:rFonts w:ascii="Book Antiqua" w:hAnsi="Book Antiqua" w:cs="Arial"/>
              </w:rPr>
              <w:t>&gt;</w:t>
            </w:r>
            <w:r>
              <w:rPr>
                <w:rFonts w:hint="eastAsia" w:ascii="Book Antiqua" w:hAnsi="Book Antiqua" w:cs="Arial"/>
                <w:lang w:eastAsia="zh-CN"/>
              </w:rPr>
              <w:t xml:space="preserve"> </w:t>
            </w:r>
            <w:r>
              <w:rPr>
                <w:rFonts w:ascii="Book Antiqua" w:hAnsi="Book Antiqua" w:cs="Arial"/>
              </w:rPr>
              <w:t>2 cm</w:t>
            </w:r>
            <w:r>
              <w:rPr>
                <w:rFonts w:hint="eastAsia" w:ascii="Book Antiqua" w:hAnsi="Book Antiqua" w:cs="Arial"/>
                <w:lang w:eastAsia="zh-CN"/>
              </w:rPr>
              <w:t xml:space="preserve">; (2) </w:t>
            </w:r>
            <w:r>
              <w:rPr>
                <w:rFonts w:ascii="Book Antiqua" w:hAnsi="Book Antiqua" w:cs="Arial"/>
              </w:rPr>
              <w:t>1-2 cm with high-risk features</w:t>
            </w:r>
            <w:r>
              <w:rPr>
                <w:rFonts w:hint="eastAsia" w:ascii="Book Antiqua" w:hAnsi="Book Antiqua" w:cs="Arial"/>
                <w:vertAlign w:val="superscript"/>
                <w:lang w:eastAsia="zh-CN"/>
              </w:rPr>
              <w:t>2</w:t>
            </w:r>
            <w:r>
              <w:rPr>
                <w:rFonts w:hint="eastAsia" w:ascii="Book Antiqua" w:hAnsi="Book Antiqua" w:cs="Arial"/>
                <w:lang w:eastAsia="zh-CN"/>
              </w:rPr>
              <w:t xml:space="preserve">; </w:t>
            </w:r>
            <w:r>
              <w:rPr>
                <w:rFonts w:ascii="Book Antiqua" w:hAnsi="Book Antiqua" w:cs="Arial"/>
              </w:rPr>
              <w:t xml:space="preserve">Appendectomy: </w:t>
            </w:r>
            <w:r>
              <w:rPr>
                <w:rFonts w:hint="eastAsia" w:ascii="Book Antiqua" w:hAnsi="Book Antiqua" w:cs="Arial"/>
                <w:lang w:eastAsia="zh-CN"/>
              </w:rPr>
              <w:t xml:space="preserve">(1) </w:t>
            </w:r>
            <w:r>
              <w:rPr>
                <w:rFonts w:ascii="Book Antiqua" w:hAnsi="Book Antiqua" w:cs="Arial"/>
              </w:rPr>
              <w:t>&lt;</w:t>
            </w:r>
            <w:r>
              <w:rPr>
                <w:rFonts w:hint="eastAsia" w:ascii="Book Antiqua" w:hAnsi="Book Antiqua" w:cs="Arial"/>
                <w:lang w:eastAsia="zh-CN"/>
              </w:rPr>
              <w:t xml:space="preserve"> </w:t>
            </w:r>
            <w:r>
              <w:rPr>
                <w:rFonts w:ascii="Book Antiqua" w:hAnsi="Book Antiqua" w:cs="Arial"/>
              </w:rPr>
              <w:t>1 cm, well-differentiated</w:t>
            </w:r>
            <w:r>
              <w:rPr>
                <w:rFonts w:hint="eastAsia" w:ascii="Book Antiqua" w:hAnsi="Book Antiqua" w:cs="Arial"/>
                <w:lang w:eastAsia="zh-CN"/>
              </w:rPr>
              <w:t xml:space="preserve">; (2) </w:t>
            </w:r>
            <w:r>
              <w:rPr>
                <w:rFonts w:ascii="Book Antiqua" w:hAnsi="Book Antiqua" w:cs="Arial"/>
              </w:rPr>
              <w:t>1-2 cm without high-risk features</w:t>
            </w:r>
            <w:r>
              <w:rPr>
                <w:rFonts w:hint="eastAsia" w:ascii="Book Antiqua" w:hAnsi="Book Antiqua" w:cs="Arial"/>
                <w:vertAlign w:val="superscript"/>
                <w:lang w:eastAsia="zh-CN"/>
              </w:rPr>
              <w:t>2</w:t>
            </w:r>
          </w:p>
        </w:tc>
        <w:tc>
          <w:tcPr>
            <w:tcW w:w="2520" w:type="dxa"/>
          </w:tcPr>
          <w:p>
            <w:pPr>
              <w:adjustRightInd w:val="0"/>
              <w:snapToGrid w:val="0"/>
              <w:spacing w:line="360" w:lineRule="auto"/>
              <w:jc w:val="both"/>
              <w:rPr>
                <w:rFonts w:ascii="Book Antiqua" w:hAnsi="Book Antiqua" w:cs="Arial"/>
              </w:rPr>
            </w:pPr>
            <w:r>
              <w:rPr>
                <w:rFonts w:ascii="Book Antiqua" w:hAnsi="Book Antiqua" w:cs="Arial"/>
              </w:rPr>
              <w:t>Local disease: segmental colectomy and lymphadenectomy</w:t>
            </w:r>
            <w:r>
              <w:rPr>
                <w:rFonts w:hint="eastAsia" w:ascii="Book Antiqua" w:hAnsi="Book Antiqua" w:cs="Arial"/>
                <w:lang w:eastAsia="zh-CN"/>
              </w:rPr>
              <w:t xml:space="preserve">; </w:t>
            </w:r>
            <w:r>
              <w:rPr>
                <w:rFonts w:ascii="Book Antiqua" w:hAnsi="Book Antiqua" w:cs="Arial"/>
              </w:rPr>
              <w:t>Metastatic disease: chemotherapy</w:t>
            </w:r>
          </w:p>
        </w:tc>
        <w:tc>
          <w:tcPr>
            <w:tcW w:w="2605" w:type="dxa"/>
          </w:tcPr>
          <w:p>
            <w:pPr>
              <w:adjustRightInd w:val="0"/>
              <w:snapToGrid w:val="0"/>
              <w:spacing w:line="360" w:lineRule="auto"/>
              <w:jc w:val="both"/>
              <w:rPr>
                <w:rFonts w:ascii="Book Antiqua" w:hAnsi="Book Antiqua" w:cs="Arial"/>
                <w:lang w:eastAsia="zh-CN"/>
              </w:rPr>
            </w:pPr>
            <w:r>
              <w:rPr>
                <w:rFonts w:ascii="Book Antiqua" w:hAnsi="Book Antiqua" w:cs="Arial"/>
              </w:rPr>
              <w:t>&lt;</w:t>
            </w:r>
            <w:r>
              <w:rPr>
                <w:rFonts w:hint="eastAsia" w:ascii="Book Antiqua" w:hAnsi="Book Antiqua" w:cs="Arial"/>
                <w:lang w:eastAsia="zh-CN"/>
              </w:rPr>
              <w:t xml:space="preserve"> </w:t>
            </w:r>
            <w:r>
              <w:rPr>
                <w:rFonts w:ascii="Book Antiqua" w:hAnsi="Book Antiqua" w:cs="Arial"/>
              </w:rPr>
              <w:t>1 cm without invasion beyond submucosa:</w:t>
            </w:r>
            <w:r>
              <w:rPr>
                <w:rFonts w:hint="eastAsia" w:ascii="Book Antiqua" w:hAnsi="Book Antiqua" w:cs="Arial"/>
                <w:lang w:eastAsia="zh-CN"/>
              </w:rPr>
              <w:t xml:space="preserve"> E</w:t>
            </w:r>
            <w:r>
              <w:rPr>
                <w:rFonts w:ascii="Book Antiqua" w:hAnsi="Book Antiqua" w:cs="Arial"/>
              </w:rPr>
              <w:t>ndoscopic resection</w:t>
            </w:r>
            <w:r>
              <w:rPr>
                <w:rFonts w:hint="eastAsia" w:ascii="Book Antiqua" w:hAnsi="Book Antiqua" w:cs="Arial"/>
                <w:lang w:eastAsia="zh-CN"/>
              </w:rPr>
              <w:t xml:space="preserve">; </w:t>
            </w:r>
            <w:r>
              <w:rPr>
                <w:rFonts w:ascii="Book Antiqua" w:hAnsi="Book Antiqua" w:cs="Arial"/>
              </w:rPr>
              <w:t xml:space="preserve">1-2 cm: </w:t>
            </w:r>
            <w:r>
              <w:rPr>
                <w:rFonts w:hint="eastAsia" w:ascii="Book Antiqua" w:hAnsi="Book Antiqua" w:cs="Arial"/>
                <w:lang w:eastAsia="zh-CN"/>
              </w:rPr>
              <w:t>E</w:t>
            </w:r>
            <w:r>
              <w:rPr>
                <w:rFonts w:ascii="Book Antiqua" w:hAnsi="Book Antiqua" w:cs="Arial"/>
              </w:rPr>
              <w:t>ndoscopic resection or transanal resection</w:t>
            </w:r>
            <w:r>
              <w:rPr>
                <w:rFonts w:hint="eastAsia" w:ascii="Book Antiqua" w:hAnsi="Book Antiqua" w:cs="Arial"/>
                <w:lang w:eastAsia="zh-CN"/>
              </w:rPr>
              <w:t xml:space="preserve">; </w:t>
            </w:r>
            <w:r>
              <w:rPr>
                <w:rFonts w:ascii="Book Antiqua" w:hAnsi="Book Antiqua" w:cs="Arial"/>
              </w:rPr>
              <w:t>&gt;</w:t>
            </w:r>
            <w:r>
              <w:rPr>
                <w:rFonts w:hint="eastAsia" w:ascii="Book Antiqua" w:hAnsi="Book Antiqua" w:cs="Arial"/>
                <w:lang w:eastAsia="zh-CN"/>
              </w:rPr>
              <w:t xml:space="preserve"> </w:t>
            </w:r>
            <w:r>
              <w:rPr>
                <w:rFonts w:ascii="Book Antiqua" w:hAnsi="Book Antiqua" w:cs="Arial"/>
              </w:rPr>
              <w:t xml:space="preserve">2 cm without metastatic disease: </w:t>
            </w:r>
            <w:r>
              <w:rPr>
                <w:rFonts w:hint="eastAsia" w:ascii="Book Antiqua" w:hAnsi="Book Antiqua" w:cs="Arial"/>
                <w:lang w:eastAsia="zh-CN"/>
              </w:rPr>
              <w:t>R</w:t>
            </w:r>
            <w:r>
              <w:rPr>
                <w:rFonts w:ascii="Book Antiqua" w:hAnsi="Book Antiqua" w:cs="Arial"/>
              </w:rPr>
              <w:t>adical surgical resection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10" w:type="dxa"/>
          </w:tcPr>
          <w:p>
            <w:pPr>
              <w:adjustRightInd w:val="0"/>
              <w:snapToGrid w:val="0"/>
              <w:spacing w:line="360" w:lineRule="auto"/>
              <w:jc w:val="both"/>
              <w:rPr>
                <w:rFonts w:ascii="Book Antiqua" w:hAnsi="Book Antiqua" w:cs="Arial"/>
              </w:rPr>
            </w:pPr>
            <w:r>
              <w:rPr>
                <w:rFonts w:ascii="Book Antiqua" w:hAnsi="Book Antiqua" w:cs="Arial"/>
              </w:rPr>
              <w:t>Surveillance</w:t>
            </w:r>
          </w:p>
        </w:tc>
        <w:tc>
          <w:tcPr>
            <w:tcW w:w="2610" w:type="dxa"/>
          </w:tcPr>
          <w:p>
            <w:pPr>
              <w:adjustRightInd w:val="0"/>
              <w:snapToGrid w:val="0"/>
              <w:spacing w:line="360" w:lineRule="auto"/>
              <w:jc w:val="both"/>
              <w:rPr>
                <w:rFonts w:ascii="Book Antiqua" w:hAnsi="Book Antiqua" w:cs="Arial"/>
                <w:lang w:eastAsia="zh-CN"/>
              </w:rPr>
            </w:pPr>
            <w:r>
              <w:rPr>
                <w:rFonts w:hint="eastAsia" w:ascii="Book Antiqua" w:hAnsi="Book Antiqua" w:cs="Arial"/>
                <w:lang w:eastAsia="zh-CN"/>
              </w:rPr>
              <w:t xml:space="preserve">(1) </w:t>
            </w:r>
            <w:r>
              <w:rPr>
                <w:rFonts w:ascii="Book Antiqua" w:hAnsi="Book Antiqua" w:cs="Arial"/>
              </w:rPr>
              <w:t>≤</w:t>
            </w:r>
            <w:r>
              <w:rPr>
                <w:rFonts w:hint="eastAsia" w:ascii="Book Antiqua" w:hAnsi="Book Antiqua" w:cs="Arial"/>
                <w:lang w:eastAsia="zh-CN"/>
              </w:rPr>
              <w:t xml:space="preserve"> </w:t>
            </w:r>
            <w:r>
              <w:rPr>
                <w:rFonts w:ascii="Book Antiqua" w:hAnsi="Book Antiqua" w:cs="Arial"/>
              </w:rPr>
              <w:t>2 cm without high-risk features</w:t>
            </w:r>
            <w:r>
              <w:rPr>
                <w:rFonts w:hint="eastAsia" w:ascii="Book Antiqua" w:hAnsi="Book Antiqua" w:cs="Arial"/>
                <w:vertAlign w:val="superscript"/>
                <w:lang w:eastAsia="zh-CN"/>
              </w:rPr>
              <w:t>2</w:t>
            </w:r>
            <w:r>
              <w:rPr>
                <w:rFonts w:ascii="Book Antiqua" w:hAnsi="Book Antiqua" w:cs="Arial"/>
              </w:rPr>
              <w:t xml:space="preserve"> and confined to appendix: No follow-up</w:t>
            </w:r>
            <w:r>
              <w:rPr>
                <w:rFonts w:hint="eastAsia" w:ascii="Book Antiqua" w:hAnsi="Book Antiqua" w:cs="Arial"/>
                <w:lang w:eastAsia="zh-CN"/>
              </w:rPr>
              <w:t>; (2)</w:t>
            </w:r>
            <w:r>
              <w:rPr>
                <w:rFonts w:ascii="Book Antiqua" w:hAnsi="Book Antiqua" w:cs="Arial"/>
              </w:rPr>
              <w:t xml:space="preserve"> Larger or node positive, and right hemicolectomy: CT/MRI 3-12 </w:t>
            </w:r>
            <w:r>
              <w:rPr>
                <w:rFonts w:hint="eastAsia" w:ascii="Book Antiqua" w:hAnsi="Book Antiqua" w:cs="Arial"/>
                <w:lang w:eastAsia="zh-CN"/>
              </w:rPr>
              <w:t>mo</w:t>
            </w:r>
            <w:r>
              <w:rPr>
                <w:rFonts w:ascii="Book Antiqua" w:hAnsi="Book Antiqua" w:cs="Arial"/>
              </w:rPr>
              <w:t xml:space="preserve"> post-surgery; consider baseline gallium DOTATATE PET</w:t>
            </w:r>
            <w:r>
              <w:rPr>
                <w:rFonts w:hint="eastAsia" w:ascii="Book Antiqua" w:hAnsi="Book Antiqua" w:cs="Arial"/>
                <w:lang w:eastAsia="zh-CN"/>
              </w:rPr>
              <w:t xml:space="preserve"> </w:t>
            </w:r>
            <w:r>
              <w:rPr>
                <w:rFonts w:ascii="Book Antiqua" w:hAnsi="Book Antiqua" w:cs="Arial"/>
              </w:rPr>
              <w:t>CT</w:t>
            </w:r>
          </w:p>
          <w:p>
            <w:pPr>
              <w:adjustRightInd w:val="0"/>
              <w:snapToGrid w:val="0"/>
              <w:spacing w:line="360" w:lineRule="auto"/>
              <w:jc w:val="both"/>
              <w:rPr>
                <w:rFonts w:ascii="Book Antiqua" w:hAnsi="Book Antiqua" w:cs="Arial"/>
              </w:rPr>
            </w:pPr>
            <w:r>
              <w:rPr>
                <w:rFonts w:ascii="Book Antiqua" w:hAnsi="Book Antiqua" w:cs="Arial"/>
              </w:rPr>
              <w:t>After first year, annual CT/MRI</w:t>
            </w:r>
          </w:p>
        </w:tc>
        <w:tc>
          <w:tcPr>
            <w:tcW w:w="2520" w:type="dxa"/>
          </w:tcPr>
          <w:p>
            <w:pPr>
              <w:adjustRightInd w:val="0"/>
              <w:snapToGrid w:val="0"/>
              <w:spacing w:line="360" w:lineRule="auto"/>
              <w:jc w:val="both"/>
              <w:rPr>
                <w:rFonts w:ascii="Book Antiqua" w:hAnsi="Book Antiqua" w:cs="Arial"/>
              </w:rPr>
            </w:pPr>
          </w:p>
        </w:tc>
        <w:tc>
          <w:tcPr>
            <w:tcW w:w="2605" w:type="dxa"/>
          </w:tcPr>
          <w:p>
            <w:pPr>
              <w:adjustRightInd w:val="0"/>
              <w:snapToGrid w:val="0"/>
              <w:spacing w:line="360" w:lineRule="auto"/>
              <w:jc w:val="both"/>
              <w:rPr>
                <w:rFonts w:ascii="Book Antiqua" w:hAnsi="Book Antiqua" w:cs="Arial"/>
                <w:color w:val="000000"/>
                <w:shd w:val="clear" w:color="auto" w:fill="FFFFFF"/>
                <w:lang w:eastAsia="zh-CN"/>
              </w:rPr>
            </w:pPr>
            <w:r>
              <w:rPr>
                <w:rFonts w:ascii="Book Antiqua" w:hAnsi="Book Antiqua" w:cs="Arial"/>
                <w:color w:val="000000"/>
                <w:shd w:val="clear" w:color="auto" w:fill="FFFFFF"/>
              </w:rPr>
              <w:t>&lt;</w:t>
            </w:r>
            <w:r>
              <w:rPr>
                <w:rFonts w:hint="eastAsia" w:ascii="Book Antiqua" w:hAnsi="Book Antiqua" w:cs="Arial"/>
                <w:color w:val="000000"/>
                <w:shd w:val="clear" w:color="auto" w:fill="FFFFFF"/>
                <w:lang w:eastAsia="zh-CN"/>
              </w:rPr>
              <w:t xml:space="preserve"> </w:t>
            </w:r>
            <w:r>
              <w:rPr>
                <w:rFonts w:ascii="Book Antiqua" w:hAnsi="Book Antiqua" w:cs="Arial"/>
                <w:color w:val="000000"/>
                <w:shd w:val="clear" w:color="auto" w:fill="FFFFFF"/>
              </w:rPr>
              <w:t>1 cm: None</w:t>
            </w:r>
            <w:r>
              <w:rPr>
                <w:rFonts w:hint="eastAsia" w:ascii="Book Antiqua" w:hAnsi="Book Antiqua" w:cs="Arial"/>
                <w:color w:val="000000"/>
                <w:shd w:val="clear" w:color="auto" w:fill="FFFFFF"/>
                <w:lang w:eastAsia="zh-CN"/>
              </w:rPr>
              <w:t xml:space="preserve">; </w:t>
            </w:r>
            <w:r>
              <w:rPr>
                <w:rFonts w:ascii="Book Antiqua" w:hAnsi="Book Antiqua" w:cs="Arial"/>
                <w:color w:val="000000"/>
                <w:shd w:val="clear" w:color="auto" w:fill="FFFFFF"/>
              </w:rPr>
              <w:t xml:space="preserve">1-2 cm: EUS or MRI at 6 and 12 </w:t>
            </w:r>
            <w:r>
              <w:rPr>
                <w:rFonts w:hint="eastAsia" w:ascii="Book Antiqua" w:hAnsi="Book Antiqua" w:cs="Arial"/>
                <w:color w:val="000000"/>
                <w:shd w:val="clear" w:color="auto" w:fill="FFFFFF"/>
                <w:lang w:eastAsia="zh-CN"/>
              </w:rPr>
              <w:t xml:space="preserve">mo; </w:t>
            </w:r>
            <w:r>
              <w:rPr>
                <w:rFonts w:ascii="Book Antiqua" w:hAnsi="Book Antiqua" w:cs="Arial"/>
                <w:color w:val="000000"/>
                <w:shd w:val="clear" w:color="auto" w:fill="FFFFFF"/>
              </w:rPr>
              <w:t>&gt;</w:t>
            </w:r>
            <w:r>
              <w:rPr>
                <w:rFonts w:hint="eastAsia" w:ascii="Book Antiqua" w:hAnsi="Book Antiqua" w:cs="Arial"/>
                <w:color w:val="000000"/>
                <w:shd w:val="clear" w:color="auto" w:fill="FFFFFF"/>
                <w:lang w:eastAsia="zh-CN"/>
              </w:rPr>
              <w:t xml:space="preserve"> </w:t>
            </w:r>
            <w:r>
              <w:rPr>
                <w:rFonts w:ascii="Book Antiqua" w:hAnsi="Book Antiqua" w:cs="Arial"/>
                <w:color w:val="000000"/>
                <w:shd w:val="clear" w:color="auto" w:fill="FFFFFF"/>
              </w:rPr>
              <w:t xml:space="preserve">2 cm: CT/MRI at 3 and 12 </w:t>
            </w:r>
            <w:r>
              <w:rPr>
                <w:rFonts w:hint="eastAsia" w:ascii="Book Antiqua" w:hAnsi="Book Antiqua" w:cs="Arial"/>
                <w:color w:val="000000"/>
                <w:shd w:val="clear" w:color="auto" w:fill="FFFFFF"/>
                <w:lang w:eastAsia="zh-CN"/>
              </w:rPr>
              <w:t>mo</w:t>
            </w:r>
            <w:r>
              <w:rPr>
                <w:rFonts w:ascii="Book Antiqua" w:hAnsi="Book Antiqua" w:cs="Arial"/>
                <w:color w:val="000000"/>
                <w:shd w:val="clear" w:color="auto" w:fill="FFFFFF"/>
              </w:rPr>
              <w:t xml:space="preserve">, then every 12-24 </w:t>
            </w:r>
            <w:r>
              <w:rPr>
                <w:rFonts w:hint="eastAsia" w:ascii="Book Antiqua" w:hAnsi="Book Antiqua" w:cs="Arial"/>
                <w:color w:val="000000"/>
                <w:shd w:val="clear" w:color="auto" w:fill="FFFFFF"/>
                <w:lang w:eastAsia="zh-CN"/>
              </w:rPr>
              <w:t>mo</w:t>
            </w:r>
          </w:p>
        </w:tc>
      </w:tr>
    </w:tbl>
    <w:p>
      <w:pPr>
        <w:adjustRightInd w:val="0"/>
        <w:snapToGrid w:val="0"/>
        <w:spacing w:line="360" w:lineRule="auto"/>
        <w:jc w:val="both"/>
        <w:rPr>
          <w:rFonts w:ascii="Book Antiqua" w:hAnsi="Book Antiqua" w:cs="Arial"/>
          <w:lang w:eastAsia="zh-CN"/>
        </w:rPr>
      </w:pPr>
      <w:r>
        <w:rPr>
          <w:rFonts w:hint="eastAsia" w:ascii="Book Antiqua" w:hAnsi="Book Antiqua" w:cs="Arial"/>
          <w:vertAlign w:val="superscript"/>
          <w:lang w:eastAsia="zh-CN"/>
        </w:rPr>
        <w:t>1</w:t>
      </w:r>
      <w:r>
        <w:rPr>
          <w:rFonts w:ascii="Book Antiqua" w:hAnsi="Book Antiqua" w:cs="Arial"/>
        </w:rPr>
        <w:t xml:space="preserve">Incomplete resection: </w:t>
      </w:r>
      <w:r>
        <w:rPr>
          <w:rFonts w:hint="eastAsia" w:ascii="Book Antiqua" w:hAnsi="Book Antiqua" w:cs="Arial"/>
          <w:lang w:eastAsia="zh-CN"/>
        </w:rPr>
        <w:t>P</w:t>
      </w:r>
      <w:r>
        <w:rPr>
          <w:rFonts w:ascii="Book Antiqua" w:hAnsi="Book Antiqua" w:cs="Arial"/>
        </w:rPr>
        <w:t>ositive margin and/or lymph nodes</w:t>
      </w:r>
      <w:r>
        <w:rPr>
          <w:rFonts w:hint="eastAsia" w:ascii="Book Antiqua" w:hAnsi="Book Antiqua" w:cs="Arial"/>
          <w:lang w:eastAsia="zh-CN"/>
        </w:rPr>
        <w:t>.</w:t>
      </w:r>
    </w:p>
    <w:p>
      <w:pPr>
        <w:adjustRightInd w:val="0"/>
        <w:snapToGrid w:val="0"/>
        <w:spacing w:line="360" w:lineRule="auto"/>
        <w:jc w:val="both"/>
        <w:rPr>
          <w:rFonts w:ascii="Book Antiqua" w:hAnsi="Book Antiqua" w:cs="Arial"/>
          <w:lang w:eastAsia="zh-CN"/>
        </w:rPr>
      </w:pPr>
      <w:r>
        <w:rPr>
          <w:rFonts w:hint="eastAsia" w:ascii="Book Antiqua" w:hAnsi="Book Antiqua" w:cs="Arial"/>
          <w:vertAlign w:val="superscript"/>
          <w:lang w:eastAsia="zh-CN"/>
        </w:rPr>
        <w:t>2</w:t>
      </w:r>
      <w:r>
        <w:rPr>
          <w:rFonts w:ascii="Book Antiqua" w:hAnsi="Book Antiqua" w:cs="Arial"/>
        </w:rPr>
        <w:t xml:space="preserve">High-risk features: </w:t>
      </w:r>
      <w:r>
        <w:rPr>
          <w:rFonts w:hint="eastAsia" w:ascii="Book Antiqua" w:hAnsi="Book Antiqua" w:cs="Arial"/>
          <w:lang w:eastAsia="zh-CN"/>
        </w:rPr>
        <w:t>L</w:t>
      </w:r>
      <w:r>
        <w:rPr>
          <w:rFonts w:ascii="Book Antiqua" w:hAnsi="Book Antiqua" w:cs="Arial"/>
        </w:rPr>
        <w:t>arge tumor size, G2, lymphovascular invasion, mesoappendiceal invasion</w:t>
      </w:r>
      <w:r>
        <w:rPr>
          <w:rFonts w:hint="eastAsia" w:ascii="Book Antiqua" w:hAnsi="Book Antiqua" w:cs="Arial"/>
          <w:lang w:eastAsia="zh-CN"/>
        </w:rPr>
        <w:t>.</w:t>
      </w:r>
    </w:p>
    <w:p>
      <w:pPr>
        <w:adjustRightInd w:val="0"/>
        <w:snapToGrid w:val="0"/>
        <w:spacing w:line="360" w:lineRule="auto"/>
        <w:jc w:val="both"/>
        <w:rPr>
          <w:rFonts w:ascii="Book Antiqua" w:hAnsi="Book Antiqua" w:cs="Arial"/>
          <w:color w:val="212121"/>
          <w:shd w:val="clear" w:color="auto" w:fill="FFFFFF"/>
          <w:lang w:eastAsia="zh-CN"/>
        </w:rPr>
      </w:pPr>
      <w:bookmarkStart w:id="77" w:name="OLE_LINK8"/>
      <w:bookmarkStart w:id="78" w:name="OLE_LINK7"/>
      <w:r>
        <w:rPr>
          <w:rFonts w:hint="eastAsia" w:ascii="Book Antiqua" w:hAnsi="Book Antiqua"/>
          <w:lang w:eastAsia="zh-CN"/>
        </w:rPr>
        <w:t>NET: N</w:t>
      </w:r>
      <w:r>
        <w:rPr>
          <w:rFonts w:ascii="Book Antiqua" w:hAnsi="Book Antiqua"/>
          <w:lang w:eastAsia="zh-CN"/>
        </w:rPr>
        <w:t>euroendocrine tumor</w:t>
      </w:r>
      <w:r>
        <w:rPr>
          <w:rFonts w:hint="eastAsia" w:ascii="Book Antiqua" w:hAnsi="Book Antiqua"/>
          <w:lang w:eastAsia="zh-CN"/>
        </w:rPr>
        <w:t>;</w:t>
      </w:r>
      <w:bookmarkEnd w:id="77"/>
      <w:bookmarkEnd w:id="78"/>
      <w:r>
        <w:rPr>
          <w:rFonts w:hint="eastAsia" w:ascii="Book Antiqua" w:hAnsi="Book Antiqua"/>
          <w:lang w:eastAsia="zh-CN"/>
        </w:rPr>
        <w:t xml:space="preserve"> </w:t>
      </w:r>
      <w:r>
        <w:rPr>
          <w:rFonts w:ascii="Book Antiqua" w:hAnsi="Book Antiqua" w:cs="Arial"/>
        </w:rPr>
        <w:t xml:space="preserve">EUS: </w:t>
      </w:r>
      <w:r>
        <w:rPr>
          <w:rFonts w:hint="eastAsia" w:ascii="Book Antiqua" w:hAnsi="Book Antiqua" w:cs="Arial"/>
          <w:lang w:eastAsia="zh-CN"/>
        </w:rPr>
        <w:t>E</w:t>
      </w:r>
      <w:r>
        <w:rPr>
          <w:rFonts w:ascii="Book Antiqua" w:hAnsi="Book Antiqua" w:cs="Arial"/>
        </w:rPr>
        <w:t>ndoscopic ultrasound; EGD</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E</w:t>
      </w:r>
      <w:r>
        <w:rPr>
          <w:rFonts w:ascii="Book Antiqua" w:hAnsi="Book Antiqua" w:cs="Arial"/>
        </w:rPr>
        <w:t>sophagogastroduodenoscopy; GEP-NENs</w:t>
      </w:r>
      <w:r>
        <w:rPr>
          <w:rFonts w:hint="eastAsia" w:ascii="Book Antiqua" w:hAnsi="Book Antiqua" w:cs="Arial"/>
          <w:lang w:eastAsia="zh-CN"/>
        </w:rPr>
        <w:t>:</w:t>
      </w:r>
      <w:r>
        <w:rPr>
          <w:rFonts w:ascii="Book Antiqua" w:hAnsi="Book Antiqua" w:cs="Arial"/>
        </w:rPr>
        <w:t xml:space="preserve"> Gastroenteropancreatic neuroendocrine neoplasms; </w:t>
      </w:r>
      <w:bookmarkStart w:id="79" w:name="OLE_LINK446"/>
      <w:bookmarkStart w:id="80" w:name="OLE_LINK445"/>
      <w:bookmarkStart w:id="81" w:name="OLE_LINK427"/>
      <w:bookmarkStart w:id="82" w:name="OLE_LINK428"/>
      <w:r>
        <w:rPr>
          <w:rFonts w:hint="eastAsia" w:ascii="Book Antiqua" w:hAnsi="Book Antiqua" w:cs="Arial"/>
          <w:lang w:eastAsia="zh-CN"/>
        </w:rPr>
        <w:t xml:space="preserve">PET: </w:t>
      </w:r>
      <w:r>
        <w:rPr>
          <w:rFonts w:hint="eastAsia" w:ascii="Book Antiqua" w:hAnsi="Book Antiqua" w:cs="Book Antiqua"/>
          <w:color w:val="000000"/>
          <w:lang w:eastAsia="zh-CN"/>
        </w:rPr>
        <w:t>P</w:t>
      </w:r>
      <w:r>
        <w:rPr>
          <w:rFonts w:ascii="Book Antiqua" w:hAnsi="Book Antiqua" w:eastAsia="Book Antiqua" w:cs="Book Antiqua"/>
          <w:color w:val="000000"/>
        </w:rPr>
        <w:t>ositron emission tomography</w:t>
      </w:r>
      <w:r>
        <w:rPr>
          <w:rFonts w:hint="eastAsia" w:ascii="Book Antiqua" w:hAnsi="Book Antiqua" w:cs="Arial"/>
          <w:lang w:eastAsia="zh-CN"/>
        </w:rPr>
        <w:t>;</w:t>
      </w:r>
      <w:bookmarkEnd w:id="79"/>
      <w:bookmarkEnd w:id="80"/>
      <w:r>
        <w:rPr>
          <w:rFonts w:hint="eastAsia" w:ascii="Book Antiqua" w:hAnsi="Book Antiqua" w:cs="Arial"/>
          <w:lang w:eastAsia="zh-CN"/>
        </w:rPr>
        <w:t xml:space="preserve"> </w:t>
      </w:r>
      <w:r>
        <w:rPr>
          <w:rFonts w:ascii="Book Antiqua" w:hAnsi="Book Antiqua" w:cs="Arial"/>
        </w:rPr>
        <w:t>CT</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C</w:t>
      </w:r>
      <w:r>
        <w:rPr>
          <w:rFonts w:ascii="Book Antiqua" w:hAnsi="Book Antiqua" w:cs="Arial"/>
        </w:rPr>
        <w:t>omputed tomography; MRI</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M</w:t>
      </w:r>
      <w:r>
        <w:rPr>
          <w:rFonts w:ascii="Book Antiqua" w:hAnsi="Book Antiqua" w:cs="Arial"/>
        </w:rPr>
        <w:t>agnetic resonance imaging</w:t>
      </w:r>
      <w:r>
        <w:rPr>
          <w:rFonts w:hint="eastAsia" w:ascii="Book Antiqua" w:hAnsi="Book Antiqua" w:cs="Arial"/>
          <w:lang w:eastAsia="zh-CN"/>
        </w:rPr>
        <w:t xml:space="preserve">; HIAA: </w:t>
      </w:r>
      <w:bookmarkStart w:id="83" w:name="OLE_LINK441"/>
      <w:bookmarkStart w:id="84" w:name="OLE_LINK442"/>
      <w:r>
        <w:rPr>
          <w:rFonts w:hint="eastAsia" w:ascii="Book Antiqua" w:hAnsi="Book Antiqua" w:cs="Book Antiqua"/>
          <w:color w:val="000000"/>
          <w:lang w:eastAsia="zh-CN"/>
        </w:rPr>
        <w:t>H</w:t>
      </w:r>
      <w:r>
        <w:rPr>
          <w:rFonts w:ascii="Book Antiqua" w:hAnsi="Book Antiqua" w:eastAsia="Book Antiqua" w:cs="Book Antiqua"/>
          <w:color w:val="000000"/>
        </w:rPr>
        <w:t>ydroxyindoleacetic acid</w:t>
      </w:r>
      <w:bookmarkEnd w:id="83"/>
      <w:bookmarkEnd w:id="84"/>
      <w:r>
        <w:rPr>
          <w:rFonts w:hint="eastAsia" w:ascii="Book Antiqua" w:hAnsi="Book Antiqua" w:cs="Book Antiqua"/>
          <w:color w:val="000000"/>
          <w:lang w:eastAsia="zh-CN"/>
        </w:rPr>
        <w:t>.</w:t>
      </w:r>
    </w:p>
    <w:bookmarkEnd w:id="81"/>
    <w:bookmarkEnd w:id="82"/>
    <w:p>
      <w:pPr>
        <w:adjustRightInd w:val="0"/>
        <w:snapToGrid w:val="0"/>
        <w:spacing w:line="360" w:lineRule="auto"/>
        <w:jc w:val="both"/>
        <w:rPr>
          <w:rFonts w:ascii="Book Antiqua" w:hAnsi="Book Antiqua" w:cs="Arial"/>
          <w:b/>
          <w:vertAlign w:val="superscript"/>
          <w:lang w:eastAsia="zh-CN"/>
        </w:rPr>
      </w:pPr>
      <w:r>
        <w:rPr>
          <w:rFonts w:ascii="Book Antiqua" w:hAnsi="Book Antiqua" w:cs="Arial"/>
        </w:rPr>
        <w:br w:type="page"/>
      </w:r>
      <w:r>
        <w:rPr>
          <w:rFonts w:ascii="Book Antiqua" w:hAnsi="Book Antiqua" w:cs="Arial"/>
          <w:b/>
        </w:rPr>
        <w:t xml:space="preserve">Table 6 Diagnosing </w:t>
      </w:r>
      <w:r>
        <w:rPr>
          <w:rFonts w:hint="eastAsia" w:ascii="Book Antiqua" w:hAnsi="Book Antiqua" w:cs="Arial"/>
          <w:b/>
          <w:lang w:eastAsia="zh-CN"/>
        </w:rPr>
        <w:t>p</w:t>
      </w:r>
      <w:r>
        <w:rPr>
          <w:rFonts w:ascii="Book Antiqua" w:hAnsi="Book Antiqua" w:cs="Arial"/>
          <w:b/>
        </w:rPr>
        <w:t xml:space="preserve">ancreatic </w:t>
      </w:r>
      <w:bookmarkStart w:id="85" w:name="OLE_LINK433"/>
      <w:r>
        <w:rPr>
          <w:rFonts w:ascii="Book Antiqua" w:hAnsi="Book Antiqua" w:cs="Arial"/>
          <w:b/>
        </w:rPr>
        <w:t>neuroendocrine tumor</w:t>
      </w:r>
      <w:bookmarkEnd w:id="85"/>
      <w:r>
        <w:rPr>
          <w:rFonts w:ascii="Book Antiqua" w:hAnsi="Book Antiqua" w:cs="Arial"/>
          <w:b/>
        </w:rPr>
        <w:t>s</w:t>
      </w:r>
      <w:r>
        <w:rPr>
          <w:rFonts w:ascii="Book Antiqua" w:hAnsi="Book Antiqua" w:cs="Arial"/>
          <w:b/>
          <w:vertAlign w:val="superscript"/>
        </w:rPr>
        <w:t>[136,174]</w:t>
      </w:r>
    </w:p>
    <w:tbl>
      <w:tblPr>
        <w:tblStyle w:val="7"/>
        <w:tblW w:w="9355"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82"/>
        <w:gridCol w:w="717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bottom w:val="single" w:color="auto" w:sz="4" w:space="0"/>
            </w:tcBorders>
          </w:tcPr>
          <w:p>
            <w:pPr>
              <w:adjustRightInd w:val="0"/>
              <w:snapToGrid w:val="0"/>
              <w:spacing w:line="360" w:lineRule="auto"/>
              <w:jc w:val="both"/>
              <w:rPr>
                <w:rFonts w:ascii="Book Antiqua" w:hAnsi="Book Antiqua" w:cs="Arial"/>
                <w:b/>
              </w:rPr>
            </w:pPr>
          </w:p>
        </w:tc>
        <w:tc>
          <w:tcPr>
            <w:tcW w:w="0" w:type="auto"/>
            <w:tcBorders>
              <w:top w:val="single" w:color="auto" w:sz="4" w:space="0"/>
              <w:bottom w:val="single" w:color="auto" w:sz="4" w:space="0"/>
            </w:tcBorders>
          </w:tcPr>
          <w:p>
            <w:pPr>
              <w:adjustRightInd w:val="0"/>
              <w:snapToGrid w:val="0"/>
              <w:spacing w:line="360" w:lineRule="auto"/>
              <w:jc w:val="both"/>
              <w:rPr>
                <w:rFonts w:ascii="Book Antiqua" w:hAnsi="Book Antiqua" w:cs="Arial"/>
                <w:b/>
              </w:rPr>
            </w:pPr>
            <w:r>
              <w:rPr>
                <w:rFonts w:ascii="Book Antiqua" w:hAnsi="Book Antiqua" w:cs="Arial"/>
                <w:b/>
              </w:rPr>
              <w:t>Diagnostic evaluation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restart"/>
            <w:tcBorders>
              <w:top w:val="single" w:color="auto" w:sz="4" w:space="0"/>
            </w:tcBorders>
          </w:tcPr>
          <w:p>
            <w:pPr>
              <w:adjustRightInd w:val="0"/>
              <w:snapToGrid w:val="0"/>
              <w:spacing w:line="360" w:lineRule="auto"/>
              <w:jc w:val="both"/>
              <w:rPr>
                <w:rFonts w:ascii="Book Antiqua" w:hAnsi="Book Antiqua" w:cs="Arial"/>
              </w:rPr>
            </w:pPr>
            <w:r>
              <w:rPr>
                <w:rFonts w:ascii="Book Antiqua" w:hAnsi="Book Antiqua" w:cs="Arial"/>
              </w:rPr>
              <w:t>All pancreatic NET</w:t>
            </w:r>
          </w:p>
        </w:tc>
        <w:tc>
          <w:tcPr>
            <w:tcW w:w="0" w:type="auto"/>
            <w:tcBorders>
              <w:top w:val="single" w:color="auto" w:sz="4" w:space="0"/>
              <w:bottom w:val="nil"/>
            </w:tcBorders>
          </w:tcPr>
          <w:p>
            <w:pPr>
              <w:adjustRightInd w:val="0"/>
              <w:snapToGrid w:val="0"/>
              <w:spacing w:line="360" w:lineRule="auto"/>
              <w:jc w:val="both"/>
              <w:rPr>
                <w:rFonts w:ascii="Book Antiqua" w:hAnsi="Book Antiqua" w:cs="Arial"/>
                <w:lang w:eastAsia="zh-CN"/>
              </w:rPr>
            </w:pPr>
            <w:r>
              <w:rPr>
                <w:rFonts w:ascii="Book Antiqua" w:hAnsi="Book Antiqua" w:cs="Arial"/>
              </w:rPr>
              <w:t>Multiphasic CT/MRI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cs="Arial"/>
              </w:rPr>
            </w:pPr>
          </w:p>
        </w:tc>
        <w:tc>
          <w:tcPr>
            <w:tcW w:w="0" w:type="auto"/>
            <w:tcBorders>
              <w:top w:val="nil"/>
            </w:tcBorders>
          </w:tcPr>
          <w:p>
            <w:pPr>
              <w:adjustRightInd w:val="0"/>
              <w:snapToGrid w:val="0"/>
              <w:spacing w:line="360" w:lineRule="auto"/>
              <w:jc w:val="both"/>
              <w:rPr>
                <w:rFonts w:ascii="Book Antiqua" w:hAnsi="Book Antiqua" w:cs="Arial"/>
              </w:rPr>
            </w:pPr>
            <w:bookmarkStart w:id="86" w:name="OLE_LINK426"/>
            <w:bookmarkStart w:id="87" w:name="OLE_LINK425"/>
            <w:r>
              <w:rPr>
                <w:rFonts w:ascii="Book Antiqua" w:hAnsi="Book Antiqua" w:cs="Arial"/>
              </w:rPr>
              <w:t>If results impact management, gallium DOTATATE PET</w:t>
            </w:r>
            <w:r>
              <w:rPr>
                <w:rFonts w:hint="eastAsia" w:ascii="Book Antiqua" w:hAnsi="Book Antiqua" w:cs="Arial"/>
                <w:lang w:eastAsia="zh-CN"/>
              </w:rPr>
              <w:t xml:space="preserve"> </w:t>
            </w:r>
            <w:r>
              <w:rPr>
                <w:rFonts w:ascii="Book Antiqua" w:hAnsi="Book Antiqua" w:cs="Arial"/>
              </w:rPr>
              <w:t>CT</w:t>
            </w:r>
          </w:p>
          <w:bookmarkEnd w:id="86"/>
          <w:bookmarkEnd w:id="87"/>
          <w:p>
            <w:pPr>
              <w:adjustRightInd w:val="0"/>
              <w:snapToGrid w:val="0"/>
              <w:spacing w:line="360" w:lineRule="auto"/>
              <w:jc w:val="both"/>
              <w:rPr>
                <w:rFonts w:ascii="Book Antiqua" w:hAnsi="Book Antiqua" w:cs="Arial"/>
              </w:rPr>
            </w:pPr>
            <w:r>
              <w:rPr>
                <w:rFonts w:ascii="Book Antiqua" w:hAnsi="Book Antiqua" w:cs="Arial"/>
              </w:rPr>
              <w:t>EUS with biopsy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restart"/>
          </w:tcPr>
          <w:p>
            <w:pPr>
              <w:adjustRightInd w:val="0"/>
              <w:snapToGrid w:val="0"/>
              <w:spacing w:line="360" w:lineRule="auto"/>
              <w:jc w:val="both"/>
              <w:rPr>
                <w:rFonts w:ascii="Book Antiqua" w:hAnsi="Book Antiqua" w:cs="Arial"/>
              </w:rPr>
            </w:pPr>
            <w:r>
              <w:rPr>
                <w:rFonts w:ascii="Book Antiqua" w:hAnsi="Book Antiqua" w:cs="Arial"/>
              </w:rPr>
              <w:t>Insulinoma</w:t>
            </w:r>
          </w:p>
        </w:tc>
        <w:tc>
          <w:tcPr>
            <w:tcW w:w="0" w:type="auto"/>
          </w:tcPr>
          <w:p>
            <w:pPr>
              <w:adjustRightInd w:val="0"/>
              <w:snapToGrid w:val="0"/>
              <w:spacing w:line="360" w:lineRule="auto"/>
              <w:jc w:val="both"/>
              <w:rPr>
                <w:rFonts w:ascii="Book Antiqua" w:hAnsi="Book Antiqua" w:cs="Arial"/>
                <w:lang w:eastAsia="zh-CN"/>
              </w:rPr>
            </w:pPr>
            <w:r>
              <w:rPr>
                <w:rFonts w:ascii="Book Antiqua" w:hAnsi="Book Antiqua" w:cs="Arial"/>
              </w:rPr>
              <w:t>72</w:t>
            </w:r>
            <w:r>
              <w:rPr>
                <w:rFonts w:hint="eastAsia" w:ascii="Book Antiqua" w:hAnsi="Book Antiqua" w:cs="Arial"/>
                <w:lang w:eastAsia="zh-CN"/>
              </w:rPr>
              <w:t xml:space="preserve"> </w:t>
            </w:r>
            <w:r>
              <w:rPr>
                <w:rFonts w:ascii="Book Antiqua" w:hAnsi="Book Antiqua" w:cs="Arial"/>
              </w:rPr>
              <w:t xml:space="preserve">h fast test: </w:t>
            </w:r>
            <w:r>
              <w:rPr>
                <w:rFonts w:hint="eastAsia" w:ascii="Book Antiqua" w:hAnsi="Book Antiqua" w:cs="Arial"/>
                <w:lang w:eastAsia="zh-CN"/>
              </w:rPr>
              <w:t>H</w:t>
            </w:r>
            <w:r>
              <w:rPr>
                <w:rFonts w:ascii="Book Antiqua" w:hAnsi="Book Antiqua" w:cs="Arial"/>
              </w:rPr>
              <w:t>ypoglycemia with elevated insulin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cs="Arial"/>
              </w:rPr>
            </w:pPr>
          </w:p>
        </w:tc>
        <w:tc>
          <w:tcPr>
            <w:tcW w:w="0" w:type="auto"/>
          </w:tcPr>
          <w:p>
            <w:pPr>
              <w:adjustRightInd w:val="0"/>
              <w:snapToGrid w:val="0"/>
              <w:spacing w:line="360" w:lineRule="auto"/>
              <w:jc w:val="both"/>
              <w:rPr>
                <w:rFonts w:ascii="Book Antiqua" w:hAnsi="Book Antiqua" w:cs="Arial"/>
              </w:rPr>
            </w:pPr>
            <w:r>
              <w:rPr>
                <w:rFonts w:ascii="Book Antiqua" w:hAnsi="Book Antiqua" w:cs="Arial"/>
              </w:rPr>
              <w:t xml:space="preserve">Oral glucose tolerance test: </w:t>
            </w:r>
            <w:r>
              <w:rPr>
                <w:rFonts w:hint="eastAsia" w:ascii="Book Antiqua" w:hAnsi="Book Antiqua" w:cs="Arial"/>
                <w:lang w:eastAsia="zh-CN"/>
              </w:rPr>
              <w:t>M</w:t>
            </w:r>
            <w:r>
              <w:rPr>
                <w:rFonts w:ascii="Book Antiqua" w:hAnsi="Book Antiqua" w:cs="Arial"/>
              </w:rPr>
              <w:t>ay be necessary in minority with only postprandial hypoglycemia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restart"/>
          </w:tcPr>
          <w:p>
            <w:pPr>
              <w:adjustRightInd w:val="0"/>
              <w:snapToGrid w:val="0"/>
              <w:spacing w:line="360" w:lineRule="auto"/>
              <w:jc w:val="both"/>
              <w:rPr>
                <w:rFonts w:ascii="Book Antiqua" w:hAnsi="Book Antiqua" w:cs="Arial"/>
              </w:rPr>
            </w:pPr>
            <w:r>
              <w:rPr>
                <w:rFonts w:ascii="Book Antiqua" w:hAnsi="Book Antiqua" w:cs="Arial"/>
              </w:rPr>
              <w:t>Gastrinoma</w:t>
            </w:r>
          </w:p>
        </w:tc>
        <w:tc>
          <w:tcPr>
            <w:tcW w:w="0" w:type="auto"/>
          </w:tcPr>
          <w:p>
            <w:pPr>
              <w:adjustRightInd w:val="0"/>
              <w:snapToGrid w:val="0"/>
              <w:spacing w:line="360" w:lineRule="auto"/>
              <w:jc w:val="both"/>
              <w:rPr>
                <w:rFonts w:ascii="Book Antiqua" w:hAnsi="Book Antiqua" w:cs="Arial"/>
                <w:lang w:eastAsia="zh-CN"/>
              </w:rPr>
            </w:pPr>
            <w:r>
              <w:rPr>
                <w:rFonts w:ascii="Book Antiqua" w:hAnsi="Book Antiqua" w:cs="Arial"/>
              </w:rPr>
              <w:t>Fasting gastrin 10 times upper limit of normal + gastric pH</w:t>
            </w:r>
            <w:r>
              <w:rPr>
                <w:rFonts w:hint="eastAsia" w:ascii="Book Antiqua" w:hAnsi="Book Antiqua" w:cs="Arial"/>
                <w:lang w:eastAsia="zh-CN"/>
              </w:rPr>
              <w:t xml:space="preserve"> </w:t>
            </w:r>
            <w:r>
              <w:rPr>
                <w:rFonts w:ascii="Book Antiqua" w:hAnsi="Book Antiqua" w:cs="Arial"/>
              </w:rPr>
              <w:t>&lt;</w:t>
            </w:r>
            <w:r>
              <w:rPr>
                <w:rFonts w:hint="eastAsia" w:ascii="Book Antiqua" w:hAnsi="Book Antiqua" w:cs="Arial"/>
                <w:lang w:eastAsia="zh-CN"/>
              </w:rPr>
              <w:t xml:space="preserve"> </w:t>
            </w:r>
            <w:r>
              <w:rPr>
                <w:rFonts w:ascii="Book Antiqua" w:hAnsi="Book Antiqua" w:cs="Arial"/>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cs="Arial"/>
              </w:rPr>
            </w:pPr>
          </w:p>
        </w:tc>
        <w:tc>
          <w:tcPr>
            <w:tcW w:w="0" w:type="auto"/>
          </w:tcPr>
          <w:p>
            <w:pPr>
              <w:adjustRightInd w:val="0"/>
              <w:snapToGrid w:val="0"/>
              <w:spacing w:line="360" w:lineRule="auto"/>
              <w:jc w:val="both"/>
              <w:rPr>
                <w:rFonts w:ascii="Book Antiqua" w:hAnsi="Book Antiqua" w:cs="Arial"/>
                <w:lang w:eastAsia="zh-CN"/>
              </w:rPr>
            </w:pPr>
            <w:r>
              <w:rPr>
                <w:rFonts w:ascii="Book Antiqua" w:hAnsi="Book Antiqua" w:cs="Arial"/>
              </w:rPr>
              <w:t>If gastrin less elevated + gastric pH</w:t>
            </w:r>
            <w:r>
              <w:rPr>
                <w:rFonts w:hint="eastAsia" w:ascii="Book Antiqua" w:hAnsi="Book Antiqua" w:cs="Arial"/>
                <w:lang w:eastAsia="zh-CN"/>
              </w:rPr>
              <w:t xml:space="preserve"> </w:t>
            </w:r>
            <w:r>
              <w:rPr>
                <w:rFonts w:ascii="Book Antiqua" w:hAnsi="Book Antiqua" w:cs="Arial"/>
              </w:rPr>
              <w:t>&lt;</w:t>
            </w:r>
            <w:r>
              <w:rPr>
                <w:rFonts w:hint="eastAsia" w:ascii="Book Antiqua" w:hAnsi="Book Antiqua" w:cs="Arial"/>
                <w:lang w:eastAsia="zh-CN"/>
              </w:rPr>
              <w:t xml:space="preserve"> </w:t>
            </w:r>
            <w:r>
              <w:rPr>
                <w:rFonts w:ascii="Book Antiqua" w:hAnsi="Book Antiqua" w:cs="Arial"/>
              </w:rPr>
              <w:t>2, measure</w:t>
            </w:r>
            <w:r>
              <w:rPr>
                <w:rFonts w:hint="eastAsia" w:ascii="Book Antiqua" w:hAnsi="Book Antiqua" w:cs="Arial"/>
                <w:lang w:eastAsia="zh-CN"/>
              </w:rPr>
              <w:t xml:space="preserve"> </w:t>
            </w:r>
            <w:r>
              <w:rPr>
                <w:rFonts w:ascii="Book Antiqua" w:hAnsi="Book Antiqua" w:cs="Arial"/>
              </w:rPr>
              <w:t>BAO with secretin test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cs="Arial"/>
              </w:rPr>
            </w:pPr>
          </w:p>
        </w:tc>
        <w:tc>
          <w:tcPr>
            <w:tcW w:w="0" w:type="auto"/>
          </w:tcPr>
          <w:p>
            <w:pPr>
              <w:adjustRightInd w:val="0"/>
              <w:snapToGrid w:val="0"/>
              <w:spacing w:line="360" w:lineRule="auto"/>
              <w:jc w:val="both"/>
              <w:rPr>
                <w:rFonts w:ascii="Book Antiqua" w:hAnsi="Book Antiqua" w:cs="Arial"/>
              </w:rPr>
            </w:pPr>
            <w:r>
              <w:rPr>
                <w:rFonts w:ascii="Book Antiqua" w:hAnsi="Book Antiqua" w:cs="Arial"/>
              </w:rPr>
              <w:t>BAO</w:t>
            </w:r>
            <w:r>
              <w:rPr>
                <w:rFonts w:hint="eastAsia" w:ascii="Book Antiqua" w:hAnsi="Book Antiqua" w:cs="Arial"/>
                <w:lang w:eastAsia="zh-CN"/>
              </w:rPr>
              <w:t xml:space="preserve"> </w:t>
            </w:r>
            <w:r>
              <w:rPr>
                <w:rFonts w:ascii="Book Antiqua" w:hAnsi="Book Antiqua" w:cs="Arial"/>
              </w:rPr>
              <w:t>&gt;</w:t>
            </w:r>
            <w:r>
              <w:rPr>
                <w:rFonts w:hint="eastAsia" w:ascii="Book Antiqua" w:hAnsi="Book Antiqua" w:cs="Arial"/>
                <w:lang w:eastAsia="zh-CN"/>
              </w:rPr>
              <w:t xml:space="preserve"> </w:t>
            </w:r>
            <w:r>
              <w:rPr>
                <w:rFonts w:ascii="Book Antiqua" w:hAnsi="Book Antiqua" w:cs="Arial"/>
              </w:rPr>
              <w:t>15 mEq/h or serum gastrin increase &gt;</w:t>
            </w:r>
            <w:r>
              <w:rPr>
                <w:rFonts w:hint="eastAsia" w:ascii="Book Antiqua" w:hAnsi="Book Antiqua" w:cs="Arial"/>
                <w:lang w:eastAsia="zh-CN"/>
              </w:rPr>
              <w:t xml:space="preserve"> </w:t>
            </w:r>
            <w:r>
              <w:rPr>
                <w:rFonts w:ascii="Book Antiqua" w:hAnsi="Book Antiqua" w:cs="Arial"/>
              </w:rPr>
              <w:t>120 pg/mL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djustRightInd w:val="0"/>
              <w:snapToGrid w:val="0"/>
              <w:spacing w:line="360" w:lineRule="auto"/>
              <w:jc w:val="both"/>
              <w:rPr>
                <w:rFonts w:ascii="Book Antiqua" w:hAnsi="Book Antiqua" w:cs="Arial"/>
              </w:rPr>
            </w:pPr>
            <w:r>
              <w:rPr>
                <w:rFonts w:ascii="Book Antiqua" w:hAnsi="Book Antiqua" w:cs="Arial"/>
              </w:rPr>
              <w:t>Glucagonoma</w:t>
            </w:r>
          </w:p>
        </w:tc>
        <w:tc>
          <w:tcPr>
            <w:tcW w:w="0" w:type="auto"/>
          </w:tcPr>
          <w:p>
            <w:pPr>
              <w:adjustRightInd w:val="0"/>
              <w:snapToGrid w:val="0"/>
              <w:spacing w:line="360" w:lineRule="auto"/>
              <w:jc w:val="both"/>
              <w:rPr>
                <w:rFonts w:ascii="Book Antiqua" w:hAnsi="Book Antiqua" w:cs="Arial"/>
              </w:rPr>
            </w:pPr>
            <w:r>
              <w:rPr>
                <w:rFonts w:ascii="Book Antiqua" w:hAnsi="Book Antiqua" w:cs="Arial"/>
              </w:rPr>
              <w:t>Fasting serum glucagon &gt;</w:t>
            </w:r>
            <w:r>
              <w:rPr>
                <w:rFonts w:hint="eastAsia" w:ascii="Book Antiqua" w:hAnsi="Book Antiqua" w:cs="Arial"/>
                <w:lang w:eastAsia="zh-CN"/>
              </w:rPr>
              <w:t xml:space="preserve"> </w:t>
            </w:r>
            <w:r>
              <w:rPr>
                <w:rFonts w:ascii="Book Antiqua" w:hAnsi="Book Antiqua" w:cs="Arial"/>
              </w:rPr>
              <w:t>500 pg/mL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djustRightInd w:val="0"/>
              <w:snapToGrid w:val="0"/>
              <w:spacing w:line="360" w:lineRule="auto"/>
              <w:jc w:val="both"/>
              <w:rPr>
                <w:rFonts w:ascii="Book Antiqua" w:hAnsi="Book Antiqua" w:cs="Arial"/>
              </w:rPr>
            </w:pPr>
            <w:r>
              <w:rPr>
                <w:rFonts w:ascii="Book Antiqua" w:hAnsi="Book Antiqua" w:cs="Arial"/>
              </w:rPr>
              <w:t>Somatostatinoma</w:t>
            </w:r>
          </w:p>
        </w:tc>
        <w:tc>
          <w:tcPr>
            <w:tcW w:w="0" w:type="auto"/>
          </w:tcPr>
          <w:p>
            <w:pPr>
              <w:adjustRightInd w:val="0"/>
              <w:snapToGrid w:val="0"/>
              <w:spacing w:line="360" w:lineRule="auto"/>
              <w:jc w:val="both"/>
              <w:rPr>
                <w:rFonts w:ascii="Book Antiqua" w:hAnsi="Book Antiqua" w:cs="Arial"/>
              </w:rPr>
            </w:pPr>
            <w:r>
              <w:rPr>
                <w:rFonts w:ascii="Book Antiqua" w:hAnsi="Book Antiqua" w:cs="Arial"/>
              </w:rPr>
              <w:t>Fasting plasma somatostatin &gt;</w:t>
            </w:r>
            <w:r>
              <w:rPr>
                <w:rFonts w:hint="eastAsia" w:ascii="Book Antiqua" w:hAnsi="Book Antiqua" w:cs="Arial"/>
                <w:lang w:eastAsia="zh-CN"/>
              </w:rPr>
              <w:t xml:space="preserve"> </w:t>
            </w:r>
            <w:r>
              <w:rPr>
                <w:rFonts w:ascii="Book Antiqua" w:hAnsi="Book Antiqua" w:cs="Arial"/>
              </w:rPr>
              <w:t>30 pg/mL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adjustRightInd w:val="0"/>
              <w:snapToGrid w:val="0"/>
              <w:spacing w:line="360" w:lineRule="auto"/>
              <w:jc w:val="both"/>
              <w:rPr>
                <w:rFonts w:ascii="Book Antiqua" w:hAnsi="Book Antiqua" w:cs="Arial"/>
              </w:rPr>
            </w:pPr>
            <w:r>
              <w:rPr>
                <w:rFonts w:ascii="Book Antiqua" w:hAnsi="Book Antiqua" w:cs="Arial"/>
              </w:rPr>
              <w:t>VIPoma</w:t>
            </w:r>
          </w:p>
        </w:tc>
        <w:tc>
          <w:tcPr>
            <w:tcW w:w="0" w:type="auto"/>
          </w:tcPr>
          <w:p>
            <w:pPr>
              <w:adjustRightInd w:val="0"/>
              <w:snapToGrid w:val="0"/>
              <w:spacing w:line="360" w:lineRule="auto"/>
              <w:jc w:val="both"/>
              <w:rPr>
                <w:rFonts w:ascii="Book Antiqua" w:hAnsi="Book Antiqua" w:cs="Arial"/>
              </w:rPr>
            </w:pPr>
            <w:r>
              <w:rPr>
                <w:rFonts w:ascii="Book Antiqua" w:hAnsi="Book Antiqua" w:cs="Arial"/>
              </w:rPr>
              <w:t>Large volume diarrhea + serum VIP &gt;</w:t>
            </w:r>
            <w:r>
              <w:rPr>
                <w:rFonts w:hint="eastAsia" w:ascii="Book Antiqua" w:hAnsi="Book Antiqua" w:cs="Arial"/>
                <w:lang w:eastAsia="zh-CN"/>
              </w:rPr>
              <w:t xml:space="preserve"> </w:t>
            </w:r>
            <w:r>
              <w:rPr>
                <w:rFonts w:ascii="Book Antiqua" w:hAnsi="Book Antiqua" w:cs="Arial"/>
              </w:rPr>
              <w:t>75 pg/mL</w:t>
            </w:r>
          </w:p>
        </w:tc>
      </w:tr>
    </w:tbl>
    <w:p>
      <w:pPr>
        <w:adjustRightInd w:val="0"/>
        <w:snapToGrid w:val="0"/>
        <w:spacing w:line="360" w:lineRule="auto"/>
        <w:jc w:val="both"/>
        <w:rPr>
          <w:rFonts w:hint="eastAsia" w:ascii="Book Antiqua" w:hAnsi="Book Antiqua" w:cs="Arial"/>
          <w:lang w:eastAsia="zh-CN"/>
        </w:rPr>
      </w:pPr>
      <w:bookmarkStart w:id="88" w:name="OLE_LINK435"/>
      <w:bookmarkStart w:id="89" w:name="OLE_LINK434"/>
      <w:bookmarkStart w:id="90" w:name="OLE_LINK438"/>
      <w:r>
        <w:rPr>
          <w:rFonts w:hint="eastAsia" w:ascii="Book Antiqua" w:hAnsi="Book Antiqua"/>
          <w:lang w:eastAsia="zh-CN"/>
        </w:rPr>
        <w:t>NET: N</w:t>
      </w:r>
      <w:r>
        <w:rPr>
          <w:rFonts w:ascii="Book Antiqua" w:hAnsi="Book Antiqua"/>
          <w:lang w:eastAsia="zh-CN"/>
        </w:rPr>
        <w:t>euroendocrine tumor</w:t>
      </w:r>
      <w:r>
        <w:rPr>
          <w:rFonts w:hint="eastAsia" w:ascii="Book Antiqua" w:hAnsi="Book Antiqua"/>
          <w:lang w:eastAsia="zh-CN"/>
        </w:rPr>
        <w:t>;</w:t>
      </w:r>
      <w:bookmarkEnd w:id="88"/>
      <w:bookmarkEnd w:id="89"/>
      <w:bookmarkEnd w:id="90"/>
      <w:r>
        <w:rPr>
          <w:rFonts w:hint="eastAsia" w:ascii="Book Antiqua" w:hAnsi="Book Antiqua"/>
          <w:lang w:eastAsia="zh-CN"/>
        </w:rPr>
        <w:t xml:space="preserve"> </w:t>
      </w:r>
      <w:r>
        <w:rPr>
          <w:rFonts w:ascii="Book Antiqua" w:hAnsi="Book Antiqua" w:cs="Arial"/>
        </w:rPr>
        <w:t>CT</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C</w:t>
      </w:r>
      <w:r>
        <w:rPr>
          <w:rFonts w:ascii="Book Antiqua" w:hAnsi="Book Antiqua" w:cs="Arial"/>
        </w:rPr>
        <w:t>omputed tomography; MRI</w:t>
      </w:r>
      <w:r>
        <w:rPr>
          <w:rFonts w:hint="eastAsia" w:ascii="Book Antiqua" w:hAnsi="Book Antiqua" w:cs="Arial"/>
          <w:lang w:eastAsia="zh-CN"/>
        </w:rPr>
        <w:t>:</w:t>
      </w:r>
      <w:r>
        <w:rPr>
          <w:rFonts w:ascii="Book Antiqua" w:hAnsi="Book Antiqua" w:cs="Arial"/>
        </w:rPr>
        <w:t xml:space="preserve"> </w:t>
      </w:r>
      <w:r>
        <w:rPr>
          <w:rFonts w:hint="eastAsia" w:ascii="Book Antiqua" w:hAnsi="Book Antiqua" w:cs="Arial"/>
          <w:lang w:eastAsia="zh-CN"/>
        </w:rPr>
        <w:t>M</w:t>
      </w:r>
      <w:r>
        <w:rPr>
          <w:rFonts w:ascii="Book Antiqua" w:hAnsi="Book Antiqua" w:cs="Arial"/>
        </w:rPr>
        <w:t>agnetic resonance imaging</w:t>
      </w:r>
      <w:r>
        <w:rPr>
          <w:rFonts w:hint="eastAsia" w:ascii="Book Antiqua" w:hAnsi="Book Antiqua" w:cs="Arial"/>
          <w:lang w:eastAsia="zh-CN"/>
        </w:rPr>
        <w:t xml:space="preserve">; </w:t>
      </w:r>
      <w:bookmarkStart w:id="91" w:name="OLE_LINK437"/>
      <w:bookmarkStart w:id="92" w:name="OLE_LINK436"/>
      <w:r>
        <w:rPr>
          <w:rFonts w:hint="eastAsia" w:ascii="Book Antiqua" w:hAnsi="Book Antiqua" w:cs="Arial"/>
          <w:lang w:eastAsia="zh-CN"/>
        </w:rPr>
        <w:t xml:space="preserve">PET: </w:t>
      </w:r>
      <w:r>
        <w:rPr>
          <w:rFonts w:hint="eastAsia" w:ascii="Book Antiqua" w:hAnsi="Book Antiqua" w:cs="Book Antiqua"/>
          <w:color w:val="000000"/>
          <w:lang w:eastAsia="zh-CN"/>
        </w:rPr>
        <w:t>P</w:t>
      </w:r>
      <w:r>
        <w:rPr>
          <w:rFonts w:ascii="Book Antiqua" w:hAnsi="Book Antiqua" w:eastAsia="Book Antiqua" w:cs="Book Antiqua"/>
          <w:color w:val="000000"/>
        </w:rPr>
        <w:t>ositron emission tomography</w:t>
      </w:r>
      <w:r>
        <w:rPr>
          <w:rFonts w:hint="eastAsia" w:ascii="Book Antiqua" w:hAnsi="Book Antiqua" w:cs="Arial"/>
          <w:lang w:eastAsia="zh-CN"/>
        </w:rPr>
        <w:t>;</w:t>
      </w:r>
      <w:bookmarkEnd w:id="91"/>
      <w:bookmarkEnd w:id="92"/>
      <w:r>
        <w:rPr>
          <w:rFonts w:hint="eastAsia" w:ascii="Book Antiqua" w:hAnsi="Book Antiqua" w:cs="Arial"/>
          <w:lang w:eastAsia="zh-CN"/>
        </w:rPr>
        <w:t xml:space="preserve"> EUS: </w:t>
      </w:r>
      <w:r>
        <w:rPr>
          <w:rFonts w:hint="eastAsia" w:ascii="Book Antiqua" w:hAnsi="Book Antiqua" w:cs="Book Antiqua"/>
          <w:color w:val="000000"/>
          <w:lang w:eastAsia="zh-CN"/>
        </w:rPr>
        <w:t>E</w:t>
      </w:r>
      <w:r>
        <w:rPr>
          <w:rFonts w:ascii="Book Antiqua" w:hAnsi="Book Antiqua" w:eastAsia="Book Antiqua" w:cs="Book Antiqua"/>
          <w:color w:val="000000"/>
        </w:rPr>
        <w:t>ndoscopic ultrasound</w:t>
      </w:r>
      <w:r>
        <w:rPr>
          <w:rFonts w:hint="eastAsia" w:ascii="Book Antiqua" w:hAnsi="Book Antiqua" w:cs="Arial"/>
          <w:lang w:eastAsia="zh-CN"/>
        </w:rPr>
        <w:t xml:space="preserve">; </w:t>
      </w:r>
      <w:r>
        <w:rPr>
          <w:rFonts w:hint="eastAsia" w:ascii="Book Antiqua" w:hAnsi="Book Antiqua"/>
          <w:lang w:eastAsia="zh-CN"/>
        </w:rPr>
        <w:t xml:space="preserve">BAO: </w:t>
      </w:r>
      <w:r>
        <w:rPr>
          <w:rFonts w:hint="eastAsia" w:ascii="Book Antiqua" w:hAnsi="Book Antiqua" w:cs="Arial"/>
          <w:lang w:eastAsia="zh-CN"/>
        </w:rPr>
        <w:t>B</w:t>
      </w:r>
      <w:r>
        <w:rPr>
          <w:rFonts w:ascii="Book Antiqua" w:hAnsi="Book Antiqua" w:cs="Arial"/>
        </w:rPr>
        <w:t>asal acid output</w:t>
      </w:r>
      <w:r>
        <w:rPr>
          <w:rFonts w:hint="eastAsia" w:ascii="Book Antiqua" w:hAnsi="Book Antiqua" w:cs="Arial"/>
          <w:lang w:eastAsia="zh-CN"/>
        </w:rPr>
        <w:t>.</w:t>
      </w:r>
    </w:p>
    <w:p>
      <w:pPr>
        <w:adjustRightInd w:val="0"/>
        <w:snapToGrid w:val="0"/>
        <w:spacing w:line="360" w:lineRule="auto"/>
        <w:jc w:val="both"/>
        <w:rPr>
          <w:rFonts w:hint="eastAsia" w:ascii="Book Antiqua" w:hAnsi="Book Antiqua" w:cs="Arial"/>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hint="eastAsia" w:ascii="Book Antiqua" w:hAnsi="Book Antiqua" w:cs="Arial"/>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4425043"/>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51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22BDD"/>
    <w:rsid w:val="000235B6"/>
    <w:rsid w:val="0006399C"/>
    <w:rsid w:val="00096693"/>
    <w:rsid w:val="000E254D"/>
    <w:rsid w:val="000F150F"/>
    <w:rsid w:val="00145505"/>
    <w:rsid w:val="00153871"/>
    <w:rsid w:val="00163CB2"/>
    <w:rsid w:val="0016604C"/>
    <w:rsid w:val="0016615C"/>
    <w:rsid w:val="0017286D"/>
    <w:rsid w:val="001852D8"/>
    <w:rsid w:val="00185C50"/>
    <w:rsid w:val="001A796F"/>
    <w:rsid w:val="001B794E"/>
    <w:rsid w:val="001D6987"/>
    <w:rsid w:val="001D6D7A"/>
    <w:rsid w:val="001E7D2A"/>
    <w:rsid w:val="002015CE"/>
    <w:rsid w:val="00212D00"/>
    <w:rsid w:val="00221D8A"/>
    <w:rsid w:val="002443F3"/>
    <w:rsid w:val="00244E35"/>
    <w:rsid w:val="00246E49"/>
    <w:rsid w:val="00276BCE"/>
    <w:rsid w:val="00287DC2"/>
    <w:rsid w:val="002962EC"/>
    <w:rsid w:val="002D7976"/>
    <w:rsid w:val="002E4118"/>
    <w:rsid w:val="002E6473"/>
    <w:rsid w:val="002F06D0"/>
    <w:rsid w:val="002F491B"/>
    <w:rsid w:val="0035748E"/>
    <w:rsid w:val="003929FD"/>
    <w:rsid w:val="003A32D1"/>
    <w:rsid w:val="003B11F4"/>
    <w:rsid w:val="003B2CEB"/>
    <w:rsid w:val="003E1B35"/>
    <w:rsid w:val="003E3CE1"/>
    <w:rsid w:val="00424E96"/>
    <w:rsid w:val="0043484F"/>
    <w:rsid w:val="004724D6"/>
    <w:rsid w:val="004750DB"/>
    <w:rsid w:val="004A0619"/>
    <w:rsid w:val="004A4C37"/>
    <w:rsid w:val="004C0116"/>
    <w:rsid w:val="004C4C35"/>
    <w:rsid w:val="004E355D"/>
    <w:rsid w:val="004F1076"/>
    <w:rsid w:val="004F54DE"/>
    <w:rsid w:val="004F69BD"/>
    <w:rsid w:val="005053A0"/>
    <w:rsid w:val="00520009"/>
    <w:rsid w:val="00522535"/>
    <w:rsid w:val="00544687"/>
    <w:rsid w:val="0054721F"/>
    <w:rsid w:val="0055061D"/>
    <w:rsid w:val="005812DC"/>
    <w:rsid w:val="005904D2"/>
    <w:rsid w:val="005E055A"/>
    <w:rsid w:val="005E06DD"/>
    <w:rsid w:val="0061517E"/>
    <w:rsid w:val="006762CD"/>
    <w:rsid w:val="006B41DE"/>
    <w:rsid w:val="006D1E91"/>
    <w:rsid w:val="006D502A"/>
    <w:rsid w:val="007160DD"/>
    <w:rsid w:val="00716D46"/>
    <w:rsid w:val="00722936"/>
    <w:rsid w:val="00723DB7"/>
    <w:rsid w:val="00733BB2"/>
    <w:rsid w:val="00737780"/>
    <w:rsid w:val="007422C0"/>
    <w:rsid w:val="00747788"/>
    <w:rsid w:val="00751A14"/>
    <w:rsid w:val="0078180B"/>
    <w:rsid w:val="00795DCB"/>
    <w:rsid w:val="007B43ED"/>
    <w:rsid w:val="007C2178"/>
    <w:rsid w:val="007C58E4"/>
    <w:rsid w:val="007D0482"/>
    <w:rsid w:val="007E0EB5"/>
    <w:rsid w:val="007E29EA"/>
    <w:rsid w:val="007F145A"/>
    <w:rsid w:val="007F1B2A"/>
    <w:rsid w:val="007F3CAD"/>
    <w:rsid w:val="0081684A"/>
    <w:rsid w:val="0082651E"/>
    <w:rsid w:val="00827625"/>
    <w:rsid w:val="00841FEE"/>
    <w:rsid w:val="00890D99"/>
    <w:rsid w:val="00894710"/>
    <w:rsid w:val="008B1772"/>
    <w:rsid w:val="008B1828"/>
    <w:rsid w:val="008B26EF"/>
    <w:rsid w:val="008B76D3"/>
    <w:rsid w:val="00901827"/>
    <w:rsid w:val="00901FE7"/>
    <w:rsid w:val="00910C37"/>
    <w:rsid w:val="009130BC"/>
    <w:rsid w:val="009543C2"/>
    <w:rsid w:val="00956A78"/>
    <w:rsid w:val="00966661"/>
    <w:rsid w:val="00981B2E"/>
    <w:rsid w:val="009A198A"/>
    <w:rsid w:val="009E0FDB"/>
    <w:rsid w:val="00A30D23"/>
    <w:rsid w:val="00A40D6A"/>
    <w:rsid w:val="00A75399"/>
    <w:rsid w:val="00A77B3E"/>
    <w:rsid w:val="00A814C7"/>
    <w:rsid w:val="00AC38B3"/>
    <w:rsid w:val="00AE6288"/>
    <w:rsid w:val="00AF37BE"/>
    <w:rsid w:val="00AF4AC4"/>
    <w:rsid w:val="00B06D02"/>
    <w:rsid w:val="00B158F4"/>
    <w:rsid w:val="00B46B8F"/>
    <w:rsid w:val="00B64CD7"/>
    <w:rsid w:val="00B72E0C"/>
    <w:rsid w:val="00B9749F"/>
    <w:rsid w:val="00BA7F6C"/>
    <w:rsid w:val="00BF75D2"/>
    <w:rsid w:val="00C2203C"/>
    <w:rsid w:val="00C309B2"/>
    <w:rsid w:val="00C8115E"/>
    <w:rsid w:val="00C91099"/>
    <w:rsid w:val="00CA2A55"/>
    <w:rsid w:val="00CA7739"/>
    <w:rsid w:val="00CC6A28"/>
    <w:rsid w:val="00CD7249"/>
    <w:rsid w:val="00CE02A4"/>
    <w:rsid w:val="00CE439A"/>
    <w:rsid w:val="00D12679"/>
    <w:rsid w:val="00D367A1"/>
    <w:rsid w:val="00D41486"/>
    <w:rsid w:val="00D42CC4"/>
    <w:rsid w:val="00D46CB7"/>
    <w:rsid w:val="00D5259A"/>
    <w:rsid w:val="00D643FE"/>
    <w:rsid w:val="00D74FDF"/>
    <w:rsid w:val="00D96C6C"/>
    <w:rsid w:val="00DA287B"/>
    <w:rsid w:val="00DB204D"/>
    <w:rsid w:val="00DB7638"/>
    <w:rsid w:val="00DD1224"/>
    <w:rsid w:val="00E25EF0"/>
    <w:rsid w:val="00E30481"/>
    <w:rsid w:val="00E32822"/>
    <w:rsid w:val="00E42A13"/>
    <w:rsid w:val="00E50FF0"/>
    <w:rsid w:val="00E555EB"/>
    <w:rsid w:val="00E81549"/>
    <w:rsid w:val="00E84CCA"/>
    <w:rsid w:val="00EA7CF0"/>
    <w:rsid w:val="00EC23D4"/>
    <w:rsid w:val="00ED2DF3"/>
    <w:rsid w:val="00F339E5"/>
    <w:rsid w:val="00F564F7"/>
    <w:rsid w:val="00F56A86"/>
    <w:rsid w:val="00F64F21"/>
    <w:rsid w:val="00F73DC6"/>
    <w:rsid w:val="00F74339"/>
    <w:rsid w:val="00F80742"/>
    <w:rsid w:val="00FA3FE7"/>
    <w:rsid w:val="00FB6084"/>
    <w:rsid w:val="00FD0AF4"/>
    <w:rsid w:val="00FD7CAB"/>
    <w:rsid w:val="00FF5FD7"/>
    <w:rsid w:val="04355D26"/>
    <w:rsid w:val="332831F7"/>
    <w:rsid w:val="44EF4C89"/>
    <w:rsid w:val="7D555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table" w:styleId="7">
    <w:name w:val="Table Grid"/>
    <w:basedOn w:val="6"/>
    <w:uiPriority w:val="39"/>
    <w:rPr>
      <w:rFonts w:asciiTheme="minorHAnsi" w:hAnsiTheme="minorHAnsi" w:cstheme="minorBid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0"/>
    <w:rPr>
      <w:sz w:val="18"/>
      <w:szCs w:val="18"/>
    </w:rPr>
  </w:style>
  <w:style w:type="character" w:customStyle="1" w:styleId="10">
    <w:name w:val="页脚 字符"/>
    <w:basedOn w:val="8"/>
    <w:link w:val="3"/>
    <w:qFormat/>
    <w:uiPriority w:val="99"/>
    <w:rPr>
      <w:sz w:val="18"/>
      <w:szCs w:val="18"/>
    </w:rPr>
  </w:style>
  <w:style w:type="character" w:customStyle="1" w:styleId="11">
    <w:name w:val="dx-vam"/>
    <w:basedOn w:val="8"/>
    <w:qFormat/>
    <w:uiPriority w:val="0"/>
  </w:style>
  <w:style w:type="paragraph" w:styleId="12">
    <w:name w:val="List Paragraph"/>
    <w:basedOn w:val="1"/>
    <w:qFormat/>
    <w:uiPriority w:val="34"/>
    <w:pPr>
      <w:ind w:left="720"/>
      <w:contextualSpacing/>
    </w:pPr>
    <w:rPr>
      <w:rFonts w:asciiTheme="minorHAnsi" w:hAnsiTheme="minorHAnsi" w:eastAsiaTheme="minorHAnsi" w:cstheme="minorBidi"/>
    </w:rPr>
  </w:style>
  <w:style w:type="character" w:customStyle="1" w:styleId="13">
    <w:name w:val="批注框文本 字符"/>
    <w:basedOn w:val="8"/>
    <w:link w:val="2"/>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84310-BE79-4C05-AECF-63CA49456A2C}">
  <ds:schemaRefs/>
</ds:datastoreItem>
</file>

<file path=docProps/app.xml><?xml version="1.0" encoding="utf-8"?>
<Properties xmlns="http://schemas.openxmlformats.org/officeDocument/2006/extended-properties" xmlns:vt="http://schemas.openxmlformats.org/officeDocument/2006/docPropsVTypes">
  <Template>Normal</Template>
  <Pages>74</Pages>
  <Words>16184</Words>
  <Characters>97578</Characters>
  <Lines>803</Lines>
  <Paragraphs>226</Paragraphs>
  <TotalTime>4</TotalTime>
  <ScaleCrop>false</ScaleCrop>
  <LinksUpToDate>false</LinksUpToDate>
  <CharactersWithSpaces>113344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2022-04-21T07:31:00Z</dcterms:created>
  <dc:creator>张晗</dc:creator>
  <cp:lastModifiedBy>超级喜欢粉红色</cp:lastModifiedBy>
  <dcterms:modified xsi:type="dcterms:W3CDTF">2022-05-10T08:23:26Z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eyJoZGlkIjoiNDRhN2M2YWMzNzI3OTI5OThhNTE3MGI4NGJlMTJhNDAifQ==</vt:lpwstr>
  </property>
  <property fmtid="{D5CDD505-2E9C-101B-9397-08002B2CF9AE}" pid="3" name="KSOProductBuildVer">
    <vt:lpwstr>2052-11.1.0.11636</vt:lpwstr>
  </property>
  <property fmtid="{D5CDD505-2E9C-101B-9397-08002B2CF9AE}" pid="4" name="ICV">
    <vt:lpwstr>5F51D56580024A6CAC2DDA77FF46CDD4</vt:lpwstr>
  </property>
</Properties>
</file>