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74665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bookmarkStart w:id="0" w:name="OLE_LINK52"/>
      <w:bookmarkStart w:id="1" w:name="OLE_LINK51"/>
      <w:r>
        <w:rPr>
          <w:rFonts w:ascii="Book Antiqua" w:hAnsi="Book Antiqua" w:eastAsia="Book Antiqua" w:cs="Book Antiqua"/>
          <w:b/>
          <w:color w:val="000000"/>
        </w:rPr>
        <w:t xml:space="preserve">Early </w:t>
      </w:r>
      <w:r>
        <w:rPr>
          <w:rFonts w:hint="eastAsia" w:ascii="Book Antiqua" w:hAnsi="Book Antiqua" w:cs="Book Antiqua"/>
          <w:b/>
          <w:color w:val="000000"/>
          <w:lang w:eastAsia="zh-CN"/>
        </w:rPr>
        <w:t>d</w:t>
      </w:r>
      <w:r>
        <w:rPr>
          <w:rFonts w:ascii="Book Antiqua" w:hAnsi="Book Antiqua" w:eastAsia="Book Antiqua" w:cs="Book Antiqua"/>
          <w:b/>
          <w:color w:val="000000"/>
        </w:rPr>
        <w:t xml:space="preserve">etection of circulating tumor DNA and successful treatment with osimertinib in thr790met-positive leptomeningeal metastatic lung cancer: A case report </w:t>
      </w:r>
      <w:bookmarkEnd w:id="0"/>
      <w:bookmarkEnd w:id="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lang w:eastAsia="zh-CN"/>
        </w:rPr>
        <w:t xml:space="preserve">Xu LQ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Successful treatment with osimertinib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lang w:eastAsia="zh-CN"/>
        </w:rPr>
        <w:t>L</w:t>
      </w:r>
      <w:r>
        <w:rPr>
          <w:rFonts w:ascii="Book Antiqua" w:hAnsi="Book Antiqua" w:eastAsia="Book Antiqua" w:cs="Book Antiqua"/>
          <w:color w:val="000000"/>
        </w:rPr>
        <w:t>i</w:t>
      </w:r>
      <w:r>
        <w:rPr>
          <w:rFonts w:ascii="Book Antiqua" w:hAnsi="Book Antiqua" w:cs="Book Antiqua"/>
          <w:color w:val="000000"/>
          <w:lang w:eastAsia="zh-CN"/>
        </w:rPr>
        <w:t>-Q</w:t>
      </w:r>
      <w:r>
        <w:rPr>
          <w:rFonts w:ascii="Book Antiqua" w:hAnsi="Book Antiqua" w:eastAsia="Book Antiqua" w:cs="Book Antiqua"/>
          <w:color w:val="000000"/>
        </w:rPr>
        <w:t xml:space="preserve">ing </w:t>
      </w:r>
      <w:r>
        <w:rPr>
          <w:rFonts w:ascii="Book Antiqua" w:hAnsi="Book Antiqua" w:cs="Book Antiqua"/>
          <w:color w:val="000000"/>
          <w:lang w:eastAsia="zh-CN"/>
        </w:rPr>
        <w:t>X</w:t>
      </w:r>
      <w:r>
        <w:rPr>
          <w:rFonts w:ascii="Book Antiqua" w:hAnsi="Book Antiqua" w:eastAsia="Book Antiqua" w:cs="Book Antiqua"/>
          <w:color w:val="000000"/>
        </w:rPr>
        <w:t>u, Ying</w:t>
      </w:r>
      <w:r>
        <w:rPr>
          <w:rFonts w:hint="eastAsia" w:ascii="Book Antiqua" w:hAnsi="Book Antiqua" w:cs="Book Antiqua"/>
          <w:color w:val="000000"/>
          <w:lang w:eastAsia="zh-CN"/>
        </w:rPr>
        <w:t>-J</w:t>
      </w:r>
      <w:r>
        <w:rPr>
          <w:rFonts w:ascii="Book Antiqua" w:hAnsi="Book Antiqua" w:eastAsia="Book Antiqua" w:cs="Book Antiqua"/>
          <w:color w:val="000000"/>
        </w:rPr>
        <w:t xml:space="preserve">in </w:t>
      </w:r>
      <w:r>
        <w:rPr>
          <w:rFonts w:hint="eastAsia" w:ascii="Book Antiqua" w:hAnsi="Book Antiqua" w:cs="Book Antiqua"/>
          <w:color w:val="000000"/>
          <w:lang w:eastAsia="zh-CN"/>
        </w:rPr>
        <w:t>W</w:t>
      </w:r>
      <w:r>
        <w:rPr>
          <w:rFonts w:ascii="Book Antiqua" w:hAnsi="Book Antiqua" w:eastAsia="Book Antiqua" w:cs="Book Antiqua"/>
          <w:color w:val="000000"/>
        </w:rPr>
        <w:t xml:space="preserve">ang, </w:t>
      </w:r>
      <w:r>
        <w:rPr>
          <w:rFonts w:hint="eastAsia" w:ascii="Book Antiqua" w:hAnsi="Book Antiqua" w:cs="Book Antiqua"/>
          <w:color w:val="000000"/>
          <w:lang w:eastAsia="zh-CN"/>
        </w:rPr>
        <w:t>S</w:t>
      </w:r>
      <w:r>
        <w:rPr>
          <w:rFonts w:ascii="Book Antiqua" w:hAnsi="Book Antiqua" w:eastAsia="Book Antiqua" w:cs="Book Antiqua"/>
          <w:color w:val="000000"/>
        </w:rPr>
        <w:t>heng</w:t>
      </w:r>
      <w:r>
        <w:rPr>
          <w:rFonts w:hint="eastAsia" w:ascii="Book Antiqua" w:hAnsi="Book Antiqua" w:cs="Book Antiqua"/>
          <w:color w:val="000000"/>
          <w:lang w:eastAsia="zh-CN"/>
        </w:rPr>
        <w:t>-L</w:t>
      </w:r>
      <w:r>
        <w:rPr>
          <w:rFonts w:ascii="Book Antiqua" w:hAnsi="Book Antiqua" w:eastAsia="Book Antiqua" w:cs="Book Antiqua"/>
          <w:color w:val="000000"/>
        </w:rPr>
        <w:t xml:space="preserve">i </w:t>
      </w:r>
      <w:r>
        <w:rPr>
          <w:rFonts w:hint="eastAsia" w:ascii="Book Antiqua" w:hAnsi="Book Antiqua" w:cs="Book Antiqua"/>
          <w:color w:val="000000"/>
          <w:lang w:eastAsia="zh-CN"/>
        </w:rPr>
        <w:t>S</w:t>
      </w:r>
      <w:r>
        <w:rPr>
          <w:rFonts w:ascii="Book Antiqua" w:hAnsi="Book Antiqua" w:eastAsia="Book Antiqua" w:cs="Book Antiqua"/>
          <w:color w:val="000000"/>
        </w:rPr>
        <w:t xml:space="preserve">hen, </w:t>
      </w:r>
      <w:r>
        <w:rPr>
          <w:rFonts w:hint="eastAsia" w:ascii="Book Antiqua" w:hAnsi="Book Antiqua" w:cs="Book Antiqua"/>
          <w:color w:val="000000"/>
          <w:lang w:eastAsia="zh-CN"/>
        </w:rPr>
        <w:t>Y</w:t>
      </w:r>
      <w:r>
        <w:rPr>
          <w:rFonts w:ascii="Book Antiqua" w:hAnsi="Book Antiqua" w:eastAsia="Book Antiqua" w:cs="Book Antiqua"/>
          <w:color w:val="000000"/>
        </w:rPr>
        <w:t xml:space="preserve">ao </w:t>
      </w:r>
      <w:r>
        <w:rPr>
          <w:rFonts w:hint="eastAsia" w:ascii="Book Antiqua" w:hAnsi="Book Antiqua" w:cs="Book Antiqua"/>
          <w:color w:val="000000"/>
          <w:lang w:eastAsia="zh-CN"/>
        </w:rPr>
        <w:t>W</w:t>
      </w:r>
      <w:r>
        <w:rPr>
          <w:rFonts w:ascii="Book Antiqua" w:hAnsi="Book Antiqua" w:eastAsia="Book Antiqua" w:cs="Book Antiqua"/>
          <w:color w:val="000000"/>
        </w:rPr>
        <w:t xml:space="preserve">u, </w:t>
      </w:r>
      <w:r>
        <w:rPr>
          <w:rFonts w:hint="eastAsia" w:ascii="Book Antiqua" w:hAnsi="Book Antiqua" w:cs="Book Antiqua"/>
          <w:color w:val="000000"/>
          <w:lang w:eastAsia="zh-CN"/>
        </w:rPr>
        <w:t>H</w:t>
      </w:r>
      <w:r>
        <w:rPr>
          <w:rFonts w:ascii="Book Antiqua" w:hAnsi="Book Antiqua" w:eastAsia="Book Antiqua" w:cs="Book Antiqua"/>
          <w:color w:val="000000"/>
        </w:rPr>
        <w:t>ong</w:t>
      </w:r>
      <w:r>
        <w:rPr>
          <w:rFonts w:hint="eastAsia" w:ascii="Book Antiqua" w:hAnsi="Book Antiqua" w:cs="Book Antiqua"/>
          <w:color w:val="000000"/>
          <w:lang w:eastAsia="zh-CN"/>
        </w:rPr>
        <w:t>-Z</w:t>
      </w:r>
      <w:r>
        <w:rPr>
          <w:rFonts w:ascii="Book Antiqua" w:hAnsi="Book Antiqua" w:eastAsia="Book Antiqua" w:cs="Book Antiqua"/>
          <w:color w:val="000000"/>
        </w:rPr>
        <w:t xml:space="preserve">hou </w:t>
      </w:r>
      <w:r>
        <w:rPr>
          <w:rFonts w:hint="eastAsia" w:ascii="Book Antiqua" w:hAnsi="Book Antiqua" w:cs="Book Antiqua"/>
          <w:color w:val="000000"/>
          <w:lang w:eastAsia="zh-CN"/>
        </w:rPr>
        <w:t>D</w:t>
      </w:r>
      <w:r>
        <w:rPr>
          <w:rFonts w:ascii="Book Antiqua" w:hAnsi="Book Antiqua" w:eastAsia="Book Antiqua" w:cs="Book Antiqua"/>
          <w:color w:val="000000"/>
        </w:rPr>
        <w:t>uan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lang w:eastAsia="zh-CN"/>
        </w:rPr>
        <w:t>L</w:t>
      </w:r>
      <w:r>
        <w:rPr>
          <w:rFonts w:ascii="Book Antiqua" w:hAnsi="Book Antiqua" w:eastAsia="Book Antiqua" w:cs="Book Antiqua"/>
          <w:b/>
          <w:bCs/>
          <w:color w:val="000000"/>
        </w:rPr>
        <w:t>i</w:t>
      </w:r>
      <w:r>
        <w:rPr>
          <w:rFonts w:ascii="Book Antiqua" w:hAnsi="Book Antiqua" w:cs="Book Antiqua"/>
          <w:b/>
          <w:bCs/>
          <w:color w:val="000000"/>
          <w:lang w:eastAsia="zh-CN"/>
        </w:rPr>
        <w:t>-Q</w:t>
      </w:r>
      <w:r>
        <w:rPr>
          <w:rFonts w:ascii="Book Antiqua" w:hAnsi="Book Antiqua" w:eastAsia="Book Antiqua" w:cs="Book Antiqua"/>
          <w:b/>
          <w:bCs/>
          <w:color w:val="000000"/>
        </w:rPr>
        <w:t xml:space="preserve">ing </w:t>
      </w:r>
      <w:r>
        <w:rPr>
          <w:rFonts w:ascii="Book Antiqua" w:hAnsi="Book Antiqua" w:cs="Book Antiqua"/>
          <w:b/>
          <w:bCs/>
          <w:color w:val="000000"/>
          <w:lang w:eastAsia="zh-CN"/>
        </w:rPr>
        <w:t>X</w:t>
      </w:r>
      <w:r>
        <w:rPr>
          <w:rFonts w:ascii="Book Antiqua" w:hAnsi="Book Antiqua" w:eastAsia="Book Antiqua" w:cs="Book Antiqua"/>
          <w:b/>
          <w:bCs/>
          <w:color w:val="000000"/>
        </w:rPr>
        <w:t>u, Ying</w:t>
      </w:r>
      <w:r>
        <w:rPr>
          <w:rFonts w:hint="eastAsia" w:ascii="Book Antiqua" w:hAnsi="Book Antiqua" w:eastAsia="Book Antiqua" w:cs="Book Antiqua"/>
          <w:b/>
          <w:bCs/>
          <w:color w:val="000000"/>
        </w:rPr>
        <w:t>-J</w:t>
      </w:r>
      <w:r>
        <w:rPr>
          <w:rFonts w:ascii="Book Antiqua" w:hAnsi="Book Antiqua" w:eastAsia="Book Antiqua" w:cs="Book Antiqua"/>
          <w:b/>
          <w:bCs/>
          <w:color w:val="000000"/>
        </w:rPr>
        <w:t xml:space="preserve">in </w:t>
      </w:r>
      <w:r>
        <w:rPr>
          <w:rFonts w:hint="eastAsia" w:ascii="Book Antiqua" w:hAnsi="Book Antiqua" w:eastAsia="Book Antiqua" w:cs="Book Antiqua"/>
          <w:b/>
          <w:bCs/>
          <w:color w:val="000000"/>
        </w:rPr>
        <w:t>W</w:t>
      </w:r>
      <w:r>
        <w:rPr>
          <w:rFonts w:ascii="Book Antiqua" w:hAnsi="Book Antiqua" w:eastAsia="Book Antiqua" w:cs="Book Antiqua"/>
          <w:b/>
          <w:bCs/>
          <w:color w:val="000000"/>
        </w:rPr>
        <w:t xml:space="preserve">ang, </w:t>
      </w:r>
      <w:r>
        <w:rPr>
          <w:rFonts w:hint="eastAsia" w:ascii="Book Antiqua" w:hAnsi="Book Antiqua" w:eastAsia="Book Antiqua" w:cs="Book Antiqua"/>
          <w:b/>
          <w:bCs/>
          <w:color w:val="000000"/>
        </w:rPr>
        <w:t>S</w:t>
      </w:r>
      <w:r>
        <w:rPr>
          <w:rFonts w:ascii="Book Antiqua" w:hAnsi="Book Antiqua" w:eastAsia="Book Antiqua" w:cs="Book Antiqua"/>
          <w:b/>
          <w:bCs/>
          <w:color w:val="000000"/>
        </w:rPr>
        <w:t>heng</w:t>
      </w:r>
      <w:r>
        <w:rPr>
          <w:rFonts w:hint="eastAsia" w:ascii="Book Antiqua" w:hAnsi="Book Antiqua" w:eastAsia="Book Antiqua" w:cs="Book Antiqua"/>
          <w:b/>
          <w:bCs/>
          <w:color w:val="000000"/>
        </w:rPr>
        <w:t>-L</w:t>
      </w:r>
      <w:r>
        <w:rPr>
          <w:rFonts w:ascii="Book Antiqua" w:hAnsi="Book Antiqua" w:eastAsia="Book Antiqua" w:cs="Book Antiqua"/>
          <w:b/>
          <w:bCs/>
          <w:color w:val="000000"/>
        </w:rPr>
        <w:t xml:space="preserve">i </w:t>
      </w:r>
      <w:r>
        <w:rPr>
          <w:rFonts w:hint="eastAsia" w:ascii="Book Antiqua" w:hAnsi="Book Antiqua" w:eastAsia="Book Antiqua" w:cs="Book Antiqua"/>
          <w:b/>
          <w:bCs/>
          <w:color w:val="000000"/>
        </w:rPr>
        <w:t>S</w:t>
      </w:r>
      <w:r>
        <w:rPr>
          <w:rFonts w:ascii="Book Antiqua" w:hAnsi="Book Antiqua" w:eastAsia="Book Antiqua" w:cs="Book Antiqua"/>
          <w:b/>
          <w:bCs/>
          <w:color w:val="000000"/>
        </w:rPr>
        <w:t xml:space="preserve">hen, </w:t>
      </w:r>
      <w:r>
        <w:rPr>
          <w:rFonts w:hint="eastAsia" w:ascii="Book Antiqua" w:hAnsi="Book Antiqua" w:eastAsia="Book Antiqua" w:cs="Book Antiqua"/>
          <w:b/>
          <w:bCs/>
          <w:color w:val="000000"/>
        </w:rPr>
        <w:t>Y</w:t>
      </w:r>
      <w:r>
        <w:rPr>
          <w:rFonts w:ascii="Book Antiqua" w:hAnsi="Book Antiqua" w:eastAsia="Book Antiqua" w:cs="Book Antiqua"/>
          <w:b/>
          <w:bCs/>
          <w:color w:val="000000"/>
        </w:rPr>
        <w:t xml:space="preserve">ao </w:t>
      </w:r>
      <w:r>
        <w:rPr>
          <w:rFonts w:hint="eastAsia" w:ascii="Book Antiqua" w:hAnsi="Book Antiqua" w:eastAsia="Book Antiqua" w:cs="Book Antiqua"/>
          <w:b/>
          <w:bCs/>
          <w:color w:val="000000"/>
        </w:rPr>
        <w:t>W</w:t>
      </w:r>
      <w:r>
        <w:rPr>
          <w:rFonts w:ascii="Book Antiqua" w:hAnsi="Book Antiqua" w:eastAsia="Book Antiqua" w:cs="Book Antiqua"/>
          <w:b/>
          <w:bCs/>
          <w:color w:val="000000"/>
        </w:rPr>
        <w:t xml:space="preserve">u, </w:t>
      </w:r>
      <w:r>
        <w:rPr>
          <w:rFonts w:hint="eastAsia" w:ascii="Book Antiqua" w:hAnsi="Book Antiqua" w:eastAsia="Book Antiqua" w:cs="Book Antiqua"/>
          <w:b/>
          <w:bCs/>
          <w:color w:val="000000"/>
        </w:rPr>
        <w:t>H</w:t>
      </w:r>
      <w:r>
        <w:rPr>
          <w:rFonts w:ascii="Book Antiqua" w:hAnsi="Book Antiqua" w:eastAsia="Book Antiqua" w:cs="Book Antiqua"/>
          <w:b/>
          <w:bCs/>
          <w:color w:val="000000"/>
        </w:rPr>
        <w:t>ong</w:t>
      </w:r>
      <w:r>
        <w:rPr>
          <w:rFonts w:hint="eastAsia" w:ascii="Book Antiqua" w:hAnsi="Book Antiqua" w:eastAsia="Book Antiqua" w:cs="Book Antiqua"/>
          <w:b/>
          <w:bCs/>
          <w:color w:val="000000"/>
        </w:rPr>
        <w:t>-Z</w:t>
      </w:r>
      <w:r>
        <w:rPr>
          <w:rFonts w:ascii="Book Antiqua" w:hAnsi="Book Antiqua" w:eastAsia="Book Antiqua" w:cs="Book Antiqua"/>
          <w:b/>
          <w:bCs/>
          <w:color w:val="000000"/>
        </w:rPr>
        <w:t xml:space="preserve">hou </w:t>
      </w:r>
      <w:r>
        <w:rPr>
          <w:rFonts w:hint="eastAsia" w:ascii="Book Antiqua" w:hAnsi="Book Antiqua" w:eastAsia="Book Antiqua" w:cs="Book Antiqua"/>
          <w:b/>
          <w:bCs/>
          <w:color w:val="000000"/>
        </w:rPr>
        <w:t>D</w:t>
      </w:r>
      <w:r>
        <w:rPr>
          <w:rFonts w:ascii="Book Antiqua" w:hAnsi="Book Antiqua" w:eastAsia="Book Antiqua" w:cs="Book Antiqua"/>
          <w:b/>
          <w:bCs/>
          <w:color w:val="000000"/>
        </w:rPr>
        <w:t xml:space="preserve">uan, </w:t>
      </w:r>
      <w:r>
        <w:rPr>
          <w:rFonts w:ascii="Book Antiqua" w:hAnsi="Book Antiqua" w:eastAsia="Book Antiqua" w:cs="Book Antiqua"/>
          <w:color w:val="000000"/>
        </w:rPr>
        <w:t>Department of Neurosurgery, Peking University First Hospital, Beijing 100034,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Xu LQ</w:t>
      </w:r>
      <w:r>
        <w:t xml:space="preserve"> </w:t>
      </w:r>
      <w:r>
        <w:rPr>
          <w:rFonts w:hint="eastAsia" w:ascii="Book Antiqua" w:hAnsi="Book Antiqua" w:eastAsia="Book Antiqua" w:cs="Book Antiqua"/>
          <w:bCs/>
          <w:color w:val="000000"/>
          <w:lang w:eastAsia="zh-CN"/>
        </w:rPr>
        <w:t>c</w:t>
      </w:r>
      <w:r>
        <w:rPr>
          <w:rFonts w:ascii="Book Antiqua" w:hAnsi="Book Antiqua" w:eastAsia="Book Antiqua" w:cs="Book Antiqua"/>
          <w:bCs/>
          <w:color w:val="000000"/>
        </w:rPr>
        <w:t>onceived the article</w:t>
      </w:r>
      <w:r>
        <w:rPr>
          <w:rFonts w:hint="eastAsia" w:ascii="Book Antiqua" w:hAnsi="Book Antiqua" w:cs="Book Antiqua"/>
          <w:bCs/>
          <w:color w:val="000000"/>
          <w:lang w:eastAsia="zh-CN"/>
        </w:rPr>
        <w:t>;</w:t>
      </w:r>
      <w:r>
        <w:rPr>
          <w:rFonts w:ascii="Book Antiqua" w:hAnsi="Book Antiqua" w:eastAsia="Book Antiqua" w:cs="Book Antiqua"/>
          <w:bCs/>
          <w:color w:val="000000"/>
        </w:rPr>
        <w:t xml:space="preserve"> Xu LQ and Wang YJ collected the data</w:t>
      </w:r>
      <w:r>
        <w:rPr>
          <w:rFonts w:hint="eastAsia" w:ascii="Book Antiqua" w:hAnsi="Book Antiqua" w:cs="Book Antiqua"/>
          <w:bCs/>
          <w:color w:val="000000"/>
          <w:lang w:eastAsia="zh-CN"/>
        </w:rPr>
        <w:t>;</w:t>
      </w:r>
      <w:r>
        <w:rPr>
          <w:rFonts w:ascii="Book Antiqua" w:hAnsi="Book Antiqua" w:eastAsia="Book Antiqua" w:cs="Book Antiqua"/>
          <w:bCs/>
          <w:color w:val="000000"/>
        </w:rPr>
        <w:t xml:space="preserve"> </w:t>
      </w:r>
      <w:r>
        <w:rPr>
          <w:rFonts w:hint="eastAsia" w:ascii="Book Antiqua" w:hAnsi="Book Antiqua" w:eastAsia="Book Antiqua" w:cs="Book Antiqua"/>
          <w:bCs/>
          <w:color w:val="000000"/>
          <w:lang w:eastAsia="zh-CN"/>
        </w:rPr>
        <w:t>Wang</w:t>
      </w:r>
      <w:r>
        <w:rPr>
          <w:rFonts w:ascii="Book Antiqua" w:hAnsi="Book Antiqua" w:eastAsia="Book Antiqua" w:cs="Book Antiqua"/>
          <w:bCs/>
          <w:color w:val="000000"/>
          <w:lang w:eastAsia="zh-CN"/>
        </w:rPr>
        <w:t xml:space="preserve"> </w:t>
      </w:r>
      <w:r>
        <w:rPr>
          <w:rFonts w:hint="eastAsia" w:ascii="Book Antiqua" w:hAnsi="Book Antiqua" w:eastAsia="Book Antiqua" w:cs="Book Antiqua"/>
          <w:bCs/>
          <w:color w:val="000000"/>
          <w:lang w:eastAsia="zh-CN"/>
        </w:rPr>
        <w:t>YJ</w:t>
      </w:r>
      <w:r>
        <w:rPr>
          <w:rFonts w:ascii="Book Antiqua" w:hAnsi="Book Antiqua" w:eastAsia="Book Antiqua" w:cs="Book Antiqua"/>
          <w:bCs/>
          <w:color w:val="000000"/>
          <w:lang w:eastAsia="zh-CN"/>
        </w:rPr>
        <w:t xml:space="preserve"> </w:t>
      </w:r>
      <w:r>
        <w:rPr>
          <w:rFonts w:hint="eastAsia" w:ascii="Book Antiqua" w:hAnsi="Book Antiqua" w:eastAsia="Book Antiqua" w:cs="Book Antiqua"/>
          <w:bCs/>
          <w:color w:val="000000"/>
          <w:lang w:eastAsia="zh-CN"/>
        </w:rPr>
        <w:t>asse</w:t>
      </w:r>
      <w:r>
        <w:rPr>
          <w:rFonts w:ascii="Book Antiqua" w:hAnsi="Book Antiqua" w:eastAsia="Book Antiqua" w:cs="Book Antiqua"/>
          <w:bCs/>
          <w:color w:val="000000"/>
          <w:lang w:eastAsia="zh-CN"/>
        </w:rPr>
        <w:t>mbled the data</w:t>
      </w:r>
      <w:r>
        <w:rPr>
          <w:rFonts w:hint="eastAsia" w:ascii="Book Antiqua" w:hAnsi="Book Antiqua" w:cs="Book Antiqua"/>
          <w:bCs/>
          <w:color w:val="000000"/>
          <w:lang w:eastAsia="zh-CN"/>
        </w:rPr>
        <w:t>;</w:t>
      </w:r>
      <w:r>
        <w:rPr>
          <w:rFonts w:ascii="Book Antiqua" w:hAnsi="Book Antiqua" w:eastAsia="Book Antiqua" w:cs="Book Antiqua"/>
          <w:bCs/>
          <w:color w:val="000000"/>
          <w:lang w:eastAsia="zh-CN"/>
        </w:rPr>
        <w:t xml:space="preserve"> </w:t>
      </w:r>
      <w:r>
        <w:rPr>
          <w:rFonts w:ascii="Book Antiqua" w:hAnsi="Book Antiqua" w:eastAsia="Book Antiqua" w:cs="Book Antiqua"/>
          <w:bCs/>
          <w:color w:val="000000"/>
        </w:rPr>
        <w:t>Xu LQ, Wang YJ, Shen SL, Wu Y</w:t>
      </w:r>
      <w:r>
        <w:rPr>
          <w:rFonts w:hint="eastAsia" w:ascii="Book Antiqua" w:hAnsi="Book Antiqua" w:cs="Book Antiqua"/>
          <w:bCs/>
          <w:color w:val="000000"/>
          <w:lang w:eastAsia="zh-CN"/>
        </w:rPr>
        <w:t xml:space="preserve"> and </w:t>
      </w:r>
      <w:r>
        <w:rPr>
          <w:rFonts w:ascii="Book Antiqua" w:hAnsi="Book Antiqua" w:eastAsia="Book Antiqua" w:cs="Book Antiqua"/>
          <w:bCs/>
          <w:color w:val="000000"/>
        </w:rPr>
        <w:t xml:space="preserve">Duan HZ provided the study materials, write the manuscript and </w:t>
      </w:r>
      <w:r>
        <w:rPr>
          <w:rFonts w:hint="eastAsia" w:ascii="Book Antiqua" w:hAnsi="Book Antiqua" w:eastAsia="Book Antiqua" w:cs="Book Antiqua"/>
          <w:bCs/>
          <w:color w:val="000000"/>
          <w:lang w:eastAsia="zh-CN"/>
        </w:rPr>
        <w:t>a</w:t>
      </w:r>
      <w:r>
        <w:rPr>
          <w:rFonts w:ascii="Book Antiqua" w:hAnsi="Book Antiqua" w:eastAsia="Book Antiqua" w:cs="Book Antiqua"/>
          <w:bCs/>
          <w:color w:val="000000"/>
          <w:lang w:eastAsia="zh-CN"/>
        </w:rPr>
        <w:t>pproved the manuscript.</w:t>
      </w:r>
      <w:r>
        <w:rPr>
          <w:rFonts w:ascii="Book Antiqua" w:hAnsi="Book Antiqua" w:eastAsia="Book Antiqua" w:cs="Book Antiqua"/>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t>
      </w:r>
      <w:r>
        <w:rPr>
          <w:rFonts w:hint="eastAsia" w:ascii="Book Antiqua" w:hAnsi="Book Antiqua" w:eastAsia="Book Antiqua" w:cs="Book Antiqua"/>
          <w:b/>
          <w:bCs/>
          <w:color w:val="000000"/>
        </w:rPr>
        <w:t>H</w:t>
      </w:r>
      <w:r>
        <w:rPr>
          <w:rFonts w:ascii="Book Antiqua" w:hAnsi="Book Antiqua" w:eastAsia="Book Antiqua" w:cs="Book Antiqua"/>
          <w:b/>
          <w:bCs/>
          <w:color w:val="000000"/>
        </w:rPr>
        <w:t>ong</w:t>
      </w:r>
      <w:r>
        <w:rPr>
          <w:rFonts w:hint="eastAsia" w:ascii="Book Antiqua" w:hAnsi="Book Antiqua" w:eastAsia="Book Antiqua" w:cs="Book Antiqua"/>
          <w:b/>
          <w:bCs/>
          <w:color w:val="000000"/>
        </w:rPr>
        <w:t>-Z</w:t>
      </w:r>
      <w:r>
        <w:rPr>
          <w:rFonts w:ascii="Book Antiqua" w:hAnsi="Book Antiqua" w:eastAsia="Book Antiqua" w:cs="Book Antiqua"/>
          <w:b/>
          <w:bCs/>
          <w:color w:val="000000"/>
        </w:rPr>
        <w:t xml:space="preserve">hou </w:t>
      </w:r>
      <w:r>
        <w:rPr>
          <w:rFonts w:hint="eastAsia" w:ascii="Book Antiqua" w:hAnsi="Book Antiqua" w:eastAsia="Book Antiqua" w:cs="Book Antiqua"/>
          <w:b/>
          <w:bCs/>
          <w:color w:val="000000"/>
        </w:rPr>
        <w:t>D</w:t>
      </w:r>
      <w:r>
        <w:rPr>
          <w:rFonts w:ascii="Book Antiqua" w:hAnsi="Book Antiqua" w:eastAsia="Book Antiqua" w:cs="Book Antiqua"/>
          <w:b/>
          <w:bCs/>
          <w:color w:val="000000"/>
        </w:rPr>
        <w:t xml:space="preserve">uan, Doctor, PhD, Chief Doctor, </w:t>
      </w:r>
      <w:r>
        <w:rPr>
          <w:rFonts w:ascii="Book Antiqua" w:hAnsi="Book Antiqua" w:eastAsia="Book Antiqua" w:cs="Book Antiqua"/>
          <w:color w:val="000000"/>
        </w:rPr>
        <w:t>Department of Neurosurgery, Peking University First Hospital, No.</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8 Xishiku Street, Xicheng District, Beijing 100034, </w:t>
      </w:r>
      <w:r>
        <w:rPr>
          <w:rFonts w:ascii="Book Antiqua" w:hAnsi="Book Antiqua" w:cs="Book Antiqua"/>
          <w:color w:val="000000"/>
          <w:lang w:eastAsia="zh-CN"/>
        </w:rPr>
        <w:t>China</w:t>
      </w:r>
      <w:r>
        <w:rPr>
          <w:rFonts w:ascii="Book Antiqua" w:hAnsi="Book Antiqua" w:eastAsia="Book Antiqua" w:cs="Book Antiqua"/>
          <w:color w:val="000000"/>
        </w:rPr>
        <w:t>. duanhongzhou@126.com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June 2,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June 21,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August 6,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bookmarkStart w:id="2" w:name="_SAM_I_001"/>
      <w:r>
        <w:rPr>
          <w:rFonts w:ascii="Book Antiqua" w:hAnsi="Book Antiqua" w:eastAsia="Book Antiqua" w:cs="Book Antiqua"/>
          <w:color w:val="000000"/>
        </w:rPr>
        <w:t>Patients diagnosed with non-small-cell lung cancer with activated epidermal growth factor receptor mutations are more likely to develop leptomeningeal (LM) metastasis than other types of lung cancers and have a poor prognosis.</w:t>
      </w:r>
      <w:bookmarkEnd w:id="2"/>
      <w:r>
        <w:rPr>
          <w:rFonts w:ascii="Book Antiqua" w:hAnsi="Book Antiqua" w:eastAsia="Book Antiqua" w:cs="Book Antiqua"/>
          <w:color w:val="000000"/>
        </w:rPr>
        <w:t xml:space="preserve"> Early diagnosis and effective treatment of leptomeningeal carcinoma can improve the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 55-year-old female with a progressive headache and vomiting for one month was admitted to Peking University First Hospital. She was diagnosed with lung adenocarcinoma with osseous metastasis 10 months prior to admittance. epidermal growth factor receptor (EGFR) mutation was detected by genomic examination, so she was first treated with gefitinib for 10 months before acquiring resistance. </w:t>
      </w:r>
      <w:bookmarkStart w:id="3" w:name="_SAM_I_005"/>
      <w:r>
        <w:rPr>
          <w:rFonts w:hint="eastAsia" w:ascii="Book Antiqua" w:hAnsi="Book Antiqua" w:cs="Book Antiqua"/>
          <w:color w:val="000000"/>
          <w:lang w:eastAsia="zh-CN"/>
        </w:rPr>
        <w:t>C</w:t>
      </w:r>
      <w:r>
        <w:rPr>
          <w:rFonts w:ascii="Book Antiqua" w:hAnsi="Book Antiqua" w:eastAsia="Book Antiqua" w:cs="Book Antiqua"/>
          <w:color w:val="000000"/>
        </w:rPr>
        <w:t>ell-free cerebrospinal fluid (CSF) circulating tumor DNA detection by next-generation sequencing was conducted and indicated the EGFR-Thr790Met mutation, while biopsy and cytology from the patient’s CSF and the first enhanced cranial magnetic resonance imaging (MRI) showed no positive findings.</w:t>
      </w:r>
      <w:bookmarkEnd w:id="3"/>
      <w:r>
        <w:rPr>
          <w:rFonts w:ascii="Book Antiqua" w:hAnsi="Book Antiqua" w:eastAsia="Book Antiqua" w:cs="Book Antiqua"/>
          <w:color w:val="000000"/>
        </w:rPr>
        <w:t xml:space="preserve"> A month later, the enhanced MRI showed linear leptomeningeal enhancement, and the cytology and biochemical examination in CSF remained negative. Therefore, osimertinib (80</w:t>
      </w:r>
      <w:r>
        <w:rPr>
          <w:rFonts w:eastAsia="Book Antiqua"/>
          <w:color w:val="000000"/>
        </w:rPr>
        <w:t> </w:t>
      </w:r>
      <w:r>
        <w:rPr>
          <w:rFonts w:ascii="Book Antiqua" w:hAnsi="Book Antiqua" w:eastAsia="Book Antiqua" w:cs="Book Antiqua"/>
          <w:color w:val="000000"/>
        </w:rPr>
        <w:t xml:space="preserve"> mg/d) was initiated as a second-line treatment, resulting in a good response within a month.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cs="Book Antiqua"/>
          <w:color w:val="000000"/>
          <w:lang w:eastAsia="zh-CN"/>
        </w:rPr>
      </w:pPr>
      <w:bookmarkStart w:id="4" w:name="OLE_LINK5"/>
      <w:bookmarkStart w:id="5" w:name="OLE_LINK6"/>
      <w:r>
        <w:rPr>
          <w:rFonts w:ascii="Book Antiqua" w:hAnsi="Book Antiqua" w:eastAsia="Book Antiqua" w:cs="Book Antiqua"/>
          <w:color w:val="000000"/>
        </w:rPr>
        <w:t>This report suggests clinical benefit of osimertinib in LM patients with positive detection of the EGFR-Thr790Met mutation in CSF and proposes that the positive findings of CSF circulating tumor DNA as a liquid biopsy technology based on the detection of cancer-associated gene mutations may appear earlier than the imaging and CSF findings and may thus be helpful for therapy. Moreover, the routine screening of chest CT with the novel coronavirus may provide unexpected benefits.</w:t>
      </w:r>
      <w:bookmarkEnd w:id="4"/>
      <w:bookmarkEnd w:id="5"/>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hint="eastAsia" w:ascii="Book Antiqua" w:hAnsi="Book Antiqua"/>
          <w:lang w:eastAsia="zh-CN"/>
        </w:rPr>
        <w:t>N</w:t>
      </w:r>
      <w:r>
        <w:rPr>
          <w:rFonts w:ascii="Book Antiqua" w:hAnsi="Book Antiqua"/>
        </w:rPr>
        <w:t>on-small cell lung cancer</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E</w:t>
      </w:r>
      <w:r>
        <w:rPr>
          <w:rFonts w:ascii="Book Antiqua" w:hAnsi="Book Antiqua"/>
        </w:rPr>
        <w:t>pidermal growth factor receptor</w:t>
      </w:r>
      <w:r>
        <w:rPr>
          <w:rFonts w:hint="eastAsia" w:ascii="Book Antiqua" w:hAnsi="Book Antiqua"/>
          <w:lang w:eastAsia="zh-CN"/>
        </w:rPr>
        <w:t xml:space="preserve"> </w:t>
      </w:r>
      <w:r>
        <w:rPr>
          <w:rFonts w:ascii="Book Antiqua" w:hAnsi="Book Antiqua"/>
        </w:rPr>
        <w:t>mutation</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C</w:t>
      </w:r>
      <w:r>
        <w:rPr>
          <w:rFonts w:ascii="Book Antiqua" w:hAnsi="Book Antiqua"/>
        </w:rPr>
        <w:t>irculating tumor DNA detection</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L</w:t>
      </w:r>
      <w:r>
        <w:rPr>
          <w:rFonts w:ascii="Book Antiqua" w:hAnsi="Book Antiqua"/>
        </w:rPr>
        <w:t>eptomeningeal carcinomatosis</w:t>
      </w:r>
      <w:r>
        <w:rPr>
          <w:rFonts w:hint="eastAsia" w:ascii="Book Antiqua" w:hAnsi="Book Antiqua"/>
          <w:lang w:eastAsia="zh-CN"/>
        </w:rPr>
        <w:t>;</w:t>
      </w:r>
      <w:r>
        <w:rPr>
          <w:rFonts w:ascii="Book Antiqua" w:hAnsi="Book Antiqua"/>
        </w:rPr>
        <w:t xml:space="preserve"> Osimertinib</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C</w:t>
      </w:r>
      <w:r>
        <w:rPr>
          <w:rFonts w:ascii="Book Antiqua" w:hAnsi="Book Antiqua"/>
        </w:rPr>
        <w:t>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hint="eastAsia" w:ascii="Book Antiqua" w:hAnsi="Book Antiqua" w:cs="Book Antiqua"/>
          <w:color w:val="000000"/>
          <w:lang w:eastAsia="zh-CN"/>
        </w:rPr>
        <w:t>X</w:t>
      </w:r>
      <w:r>
        <w:rPr>
          <w:rFonts w:ascii="Book Antiqua" w:hAnsi="Book Antiqua" w:eastAsia="Book Antiqua" w:cs="Book Antiqua"/>
          <w:color w:val="000000"/>
        </w:rPr>
        <w:t xml:space="preserve">u LQ, </w:t>
      </w:r>
      <w:r>
        <w:rPr>
          <w:rFonts w:hint="eastAsia" w:ascii="Book Antiqua" w:hAnsi="Book Antiqua" w:cs="Book Antiqua"/>
          <w:color w:val="000000"/>
          <w:lang w:eastAsia="zh-CN"/>
        </w:rPr>
        <w:t>W</w:t>
      </w:r>
      <w:r>
        <w:rPr>
          <w:rFonts w:ascii="Book Antiqua" w:hAnsi="Book Antiqua" w:eastAsia="Book Antiqua" w:cs="Book Antiqua"/>
          <w:color w:val="000000"/>
        </w:rPr>
        <w:t>ang Y</w:t>
      </w:r>
      <w:r>
        <w:rPr>
          <w:rFonts w:hint="eastAsia" w:ascii="Book Antiqua" w:hAnsi="Book Antiqua" w:cs="Book Antiqua"/>
          <w:color w:val="000000"/>
          <w:lang w:eastAsia="zh-CN"/>
        </w:rPr>
        <w:t>J</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hen S</w:t>
      </w:r>
      <w:r>
        <w:rPr>
          <w:rFonts w:hint="eastAsia" w:ascii="Book Antiqua" w:hAnsi="Book Antiqua" w:cs="Book Antiqua"/>
          <w:color w:val="000000"/>
          <w:lang w:eastAsia="zh-CN"/>
        </w:rPr>
        <w:t>L</w:t>
      </w:r>
      <w:r>
        <w:rPr>
          <w:rFonts w:ascii="Book Antiqua" w:hAnsi="Book Antiqua" w:eastAsia="Book Antiqua" w:cs="Book Antiqua"/>
          <w:color w:val="000000"/>
        </w:rPr>
        <w:t xml:space="preserve">, </w:t>
      </w:r>
      <w:r>
        <w:rPr>
          <w:rFonts w:hint="eastAsia" w:ascii="Book Antiqua" w:hAnsi="Book Antiqua" w:cs="Book Antiqua"/>
          <w:color w:val="000000"/>
          <w:lang w:eastAsia="zh-CN"/>
        </w:rPr>
        <w:t>W</w:t>
      </w:r>
      <w:r>
        <w:rPr>
          <w:rFonts w:ascii="Book Antiqua" w:hAnsi="Book Antiqua" w:eastAsia="Book Antiqua" w:cs="Book Antiqua"/>
          <w:color w:val="000000"/>
        </w:rPr>
        <w:t xml:space="preserve">u Y, </w:t>
      </w:r>
      <w:r>
        <w:rPr>
          <w:rFonts w:hint="eastAsia" w:ascii="Book Antiqua" w:hAnsi="Book Antiqua" w:cs="Book Antiqua"/>
          <w:color w:val="000000"/>
          <w:lang w:eastAsia="zh-CN"/>
        </w:rPr>
        <w:t>D</w:t>
      </w:r>
      <w:r>
        <w:rPr>
          <w:rFonts w:ascii="Book Antiqua" w:hAnsi="Book Antiqua" w:eastAsia="Book Antiqua" w:cs="Book Antiqua"/>
          <w:color w:val="000000"/>
        </w:rPr>
        <w:t>uan H</w:t>
      </w:r>
      <w:r>
        <w:rPr>
          <w:rFonts w:hint="eastAsia" w:ascii="Book Antiqua" w:hAnsi="Book Antiqua" w:cs="Book Antiqua"/>
          <w:color w:val="000000"/>
          <w:lang w:eastAsia="zh-CN"/>
        </w:rPr>
        <w:t>Z</w:t>
      </w:r>
      <w:r>
        <w:rPr>
          <w:rFonts w:ascii="Book Antiqua" w:hAnsi="Book Antiqua" w:eastAsia="Book Antiqua" w:cs="Book Antiqua"/>
          <w:color w:val="000000"/>
        </w:rPr>
        <w:t xml:space="preserve">. Early detection of circulating tumor DNA and successful treatment with osimertinib in thr790met-positive leptomeningeal metastatic lung cancer: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7968-7972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7968</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7968</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cs="Times New Roman Regular"/>
          <w:lang w:eastAsia="zh-CN"/>
        </w:rPr>
      </w:pPr>
      <w:r>
        <w:rPr>
          <w:rFonts w:ascii="Book Antiqua" w:hAnsi="Book Antiqua" w:eastAsia="Book Antiqua" w:cs="Book Antiqua"/>
          <w:b/>
          <w:bCs/>
          <w:color w:val="000000"/>
        </w:rPr>
        <w:t xml:space="preserve">Core Tip: </w:t>
      </w:r>
      <w:bookmarkStart w:id="6" w:name="OLE_LINK28"/>
      <w:bookmarkStart w:id="7" w:name="OLE_LINK27"/>
      <w:r>
        <w:rPr>
          <w:rFonts w:ascii="Book Antiqua" w:hAnsi="Book Antiqua" w:cs="Times New Roman Regular"/>
        </w:rPr>
        <w:t>Examination of circulating tumor DNA</w:t>
      </w:r>
      <w:r>
        <w:rPr>
          <w:rFonts w:hint="eastAsia" w:ascii="Book Antiqua" w:hAnsi="Book Antiqua" w:cs="Times New Roman Regular"/>
          <w:lang w:eastAsia="zh-CN"/>
        </w:rPr>
        <w:t xml:space="preserve"> </w:t>
      </w:r>
      <w:r>
        <w:rPr>
          <w:rFonts w:ascii="Book Antiqua" w:hAnsi="Book Antiqua" w:cs="Times New Roman Regular"/>
        </w:rPr>
        <w:t>in cell-free cell-free cerebrospinal fluid (CSF) has been shown to be useful for detecting the genomic mutations of tumors in</w:t>
      </w:r>
      <w:r>
        <w:rPr>
          <w:rFonts w:ascii="Book Antiqua" w:hAnsi="Book Antiqua" w:eastAsia="宋体" w:cs="Times New Roman Regular"/>
        </w:rPr>
        <w:t xml:space="preserve"> the</w:t>
      </w:r>
      <w:r>
        <w:rPr>
          <w:rFonts w:ascii="Book Antiqua" w:hAnsi="Book Antiqua" w:cs="Times New Roman Regular"/>
        </w:rPr>
        <w:t xml:space="preserve"> central nervous system</w:t>
      </w:r>
      <w:r>
        <w:rPr>
          <w:rFonts w:ascii="Book Antiqua" w:hAnsi="Book Antiqua" w:eastAsia="宋体" w:cs="Times New Roman Regular"/>
        </w:rPr>
        <w:t>,</w:t>
      </w:r>
      <w:r>
        <w:rPr>
          <w:rFonts w:ascii="Book Antiqua" w:hAnsi="Book Antiqua" w:cs="Times New Roman Regular"/>
        </w:rPr>
        <w:t xml:space="preserve"> and </w:t>
      </w:r>
      <w:r>
        <w:rPr>
          <w:rFonts w:ascii="Book Antiqua" w:hAnsi="Book Antiqua" w:eastAsia="宋体" w:cs="Times New Roman Regular"/>
        </w:rPr>
        <w:t>osimertinib</w:t>
      </w:r>
      <w:r>
        <w:rPr>
          <w:rFonts w:ascii="Book Antiqua" w:hAnsi="Book Antiqua" w:cs="Times New Roman Regular"/>
        </w:rPr>
        <w:t xml:space="preserve"> is considered to be a recent standardized treatment for epidermal growth factor receptor (EGFR) Thr790Met-mutant non-small-cell lung cancer (NSCLC). Hence, we report a patient with EGFR Thr790Met-mutant NSCLC with meningeal carcinomatosis and </w:t>
      </w:r>
      <w:r>
        <w:rPr>
          <w:rFonts w:ascii="Book Antiqua" w:hAnsi="Book Antiqua" w:eastAsia="宋体" w:cs="Times New Roman Regular"/>
        </w:rPr>
        <w:t>resistance to gefitinib</w:t>
      </w:r>
      <w:r>
        <w:rPr>
          <w:rFonts w:ascii="Book Antiqua" w:hAnsi="Book Antiqua" w:cs="Times New Roman Bold"/>
        </w:rPr>
        <w:t xml:space="preserve"> and </w:t>
      </w:r>
      <w:r>
        <w:rPr>
          <w:rFonts w:ascii="Book Antiqua" w:hAnsi="Book Antiqua" w:cs="Times New Roman Regular"/>
        </w:rPr>
        <w:t xml:space="preserve">propose that the positive findings of CSF circulating tumor DNA as a liquid biopsy technology based on the detection of cancer-associated gene mutations that may </w:t>
      </w:r>
      <w:r>
        <w:rPr>
          <w:rFonts w:ascii="Book Antiqua" w:hAnsi="Book Antiqua" w:eastAsia="宋体" w:cs="Times New Roman Regular"/>
        </w:rPr>
        <w:t>appear</w:t>
      </w:r>
      <w:r>
        <w:rPr>
          <w:rFonts w:ascii="Book Antiqua" w:hAnsi="Book Antiqua" w:cs="Times New Roman Regular"/>
        </w:rPr>
        <w:t xml:space="preserve"> earlier than the imaging and CSF findings and thus be helpful </w:t>
      </w:r>
      <w:r>
        <w:rPr>
          <w:rFonts w:ascii="Book Antiqua" w:hAnsi="Book Antiqua" w:eastAsia="宋体" w:cs="Times New Roman Regular"/>
        </w:rPr>
        <w:t xml:space="preserve">for </w:t>
      </w:r>
      <w:r>
        <w:rPr>
          <w:rFonts w:ascii="Book Antiqua" w:hAnsi="Book Antiqua" w:cs="Times New Roman Regular"/>
        </w:rPr>
        <w:t>therapy.</w:t>
      </w:r>
      <w:bookmarkEnd w:id="6"/>
      <w:bookmarkEnd w:id="7"/>
    </w:p>
    <w:p>
      <w:pPr>
        <w:spacing w:line="360" w:lineRule="auto"/>
        <w:jc w:val="both"/>
        <w:rPr>
          <w:rFonts w:ascii="Book Antiqua" w:hAnsi="Book Antiqua" w:cs="Times New Roman Regular"/>
          <w:lang w:eastAsia="zh-CN"/>
        </w:rPr>
      </w:pPr>
    </w:p>
    <w:p>
      <w:pPr>
        <w:spacing w:line="360" w:lineRule="auto"/>
        <w:jc w:val="both"/>
        <w:rPr>
          <w:rFonts w:ascii="Book Antiqua" w:hAnsi="Book Antiqua"/>
        </w:rPr>
      </w:pPr>
      <w:r>
        <w:rPr>
          <w:rFonts w:ascii="Book Antiqua" w:hAnsi="Book Antiqua" w:cs="Times New Roman Regular"/>
          <w:lang w:eastAsia="zh-CN"/>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Patients diagnosed with non-small-cell lung cancer (NSCLC) with activated epidermal growth factor receptor (EGFR) mutations are more apt to develop leptomeningeal (LM) metastasis than other types of lung cancers</w:t>
      </w:r>
      <w:r>
        <w:rPr>
          <w:rFonts w:ascii="Book Antiqua" w:hAnsi="Book Antiqua" w:eastAsia="Book Antiqua" w:cs="Book Antiqua"/>
          <w:color w:val="000000"/>
          <w:vertAlign w:val="superscript"/>
        </w:rPr>
        <w:t>[1]</w:t>
      </w:r>
      <w:r>
        <w:rPr>
          <w:rFonts w:ascii="Book Antiqua" w:hAnsi="Book Antiqua" w:eastAsia="Book Antiqua" w:cs="Book Antiqua"/>
          <w:color w:val="000000"/>
        </w:rPr>
        <w:t>. According to previous studies, patients with NSCLC with LM carcinoma have a poor prognosis</w:t>
      </w:r>
      <w:r>
        <w:rPr>
          <w:rFonts w:ascii="Book Antiqua" w:hAnsi="Book Antiqua" w:eastAsia="Book Antiqua" w:cs="Book Antiqua"/>
          <w:color w:val="000000"/>
          <w:vertAlign w:val="superscript"/>
        </w:rPr>
        <w:t>[2]</w:t>
      </w:r>
      <w:r>
        <w:rPr>
          <w:rFonts w:ascii="Book Antiqua" w:hAnsi="Book Antiqua" w:eastAsia="Book Antiqua" w:cs="Book Antiqua"/>
          <w:color w:val="000000"/>
        </w:rPr>
        <w:t>. Early diagnosis and effective treatment of LM carcinoma can improve the prognosis. Circulating tumor DNA (ctDNA) is composed of short, double-stranded DNA fragments from tumor cells. Examination of ctDNA in cell-free cerebrospinal fluid (CSF) has been shown to be useful in detecting the genomic mutations of tumors in the central nervous system (CNS) and has also been used to monitor tumor progression and evaluate the response to treatments</w:t>
      </w:r>
      <w:r>
        <w:rPr>
          <w:rFonts w:ascii="Book Antiqua" w:hAnsi="Book Antiqua" w:eastAsia="Book Antiqua" w:cs="Book Antiqua"/>
          <w:color w:val="000000"/>
          <w:vertAlign w:val="superscript"/>
        </w:rPr>
        <w:t>[3-5]</w:t>
      </w:r>
      <w:r>
        <w:rPr>
          <w:rFonts w:ascii="Book Antiqua" w:hAnsi="Book Antiqua" w:eastAsia="Book Antiqua" w:cs="Book Antiqua"/>
          <w:color w:val="000000"/>
        </w:rPr>
        <w:t>. However, it is unclear whether ctDNA detection in CSF can provide valuable clinical guidance for the treatment of meningeal metastases. Molecular targeted drugs such as EGFR tyrosine kinase inhibitors (TKIs) have been shown to be effective for patients with NSCLC and LM carcinoma who carry target oncogenes</w:t>
      </w:r>
      <w:r>
        <w:rPr>
          <w:rFonts w:ascii="Book Antiqua" w:hAnsi="Book Antiqua" w:eastAsia="Book Antiqua" w:cs="Book Antiqua"/>
          <w:color w:val="000000"/>
          <w:vertAlign w:val="superscript"/>
        </w:rPr>
        <w:t>[6]</w:t>
      </w:r>
      <w:r>
        <w:rPr>
          <w:rFonts w:ascii="Book Antiqua" w:hAnsi="Book Antiqua" w:eastAsia="Book Antiqua" w:cs="Book Antiqua"/>
          <w:color w:val="000000"/>
        </w:rPr>
        <w:t>. Osimertinib, a third-generation EGFR TKI, is considered to be a recent standardized treatment for EGFR Thr790Met-mutant NSCLC because of its good efficacy in both systemic and CNS metastasis</w:t>
      </w:r>
      <w:r>
        <w:rPr>
          <w:rFonts w:ascii="Book Antiqua" w:hAnsi="Book Antiqua" w:eastAsia="Book Antiqua" w:cs="Book Antiqua"/>
          <w:color w:val="000000"/>
          <w:vertAlign w:val="superscript"/>
        </w:rPr>
        <w:t>[7]</w:t>
      </w:r>
      <w:r>
        <w:rPr>
          <w:rFonts w:ascii="Book Antiqua" w:hAnsi="Book Antiqua" w:eastAsia="Book Antiqua" w:cs="Book Antiqua"/>
          <w:color w:val="000000"/>
        </w:rPr>
        <w:t>. However, relevant information about the effectiveness of osimertinib in EGFR Thr790Met-mutant meningeal carcinomatosis is limited. Here, we report a case of patient with EGFR Thr790Met-mutant NSCLC with meningeal carcinomatosis, which is resistant to gefitinib.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55-year-old female experiencing a progressive headache and vomiting for one month was admitted to our hospital.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 xml:space="preserve"> 55-year-old female experiencing a progressive headache and vomiting for one month was admitted to our hospital. She was diagnosed with lung adenocarcinoma (Figure 1A) with osseous metastasis 10 mo prior to admittance. EGFR mutation was detected upon genomic examination, so she was first treated with gefitinib for 10 mo before acquiring resistance. A previous enhanced cerebral magnetic resonance imaging (MRI) and PET-CT one month prior showed that there was no obvious abnormality in the CNS. Lumbar puncture showed an increased intracranial pressure (+ACY-gt+ADs-330 mmH2O) without positive cytology and biochemical examination findings in the CSF. However, further CSF ctDNA detection by next-generation sequencing showed an EGFR-Thr790Met mutation. After the patient was admitted, a second enhanced MRI was performed and showed comprehensive linear leptomeningeal enhancement in the cerebral sulcus (Figure 1B). A second cytology and biochemical examination of the CSF remained negative.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 patient had no special history of past illness other than a hysterectomy procedure for fibroids 10 years prior.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had no special history of past illness other than a hysterectomy procedure for fibroids 10 years prior.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Neurological and pulmonary examination of the patient showed no obvious abnormalities.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Lumbar puncture showed an increased intracranial pressure (&gt; 330 mmH2O) without positive cytology and biochemical examination findings in CSF. However, further CSF ctDNA detection by next-generation sequencing showed an EGFR-Thr790Met mutation, and the variation frequency was 11.7%.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w:t>
      </w:r>
      <w:r>
        <w:rPr>
          <w:rFonts w:hint="eastAsia" w:ascii="Book Antiqua" w:hAnsi="Book Antiqua" w:cs="Book Antiqua"/>
          <w:color w:val="000000"/>
          <w:lang w:eastAsia="zh-CN"/>
        </w:rPr>
        <w:t>1</w:t>
      </w:r>
      <w:r>
        <w:rPr>
          <w:rFonts w:ascii="Book Antiqua" w:hAnsi="Book Antiqua" w:eastAsia="Book Antiqua" w:cs="Book Antiqua"/>
          <w:color w:val="000000"/>
        </w:rPr>
        <w:t>) Chest CT image at admission shows a lesion in the lingual segment of the upper lobe of the left lung (arrows)</w:t>
      </w:r>
      <w:r>
        <w:rPr>
          <w:rFonts w:hint="eastAsia" w:ascii="Book Antiqua" w:hAnsi="Book Antiqua" w:cs="Book Antiqua"/>
          <w:color w:val="000000"/>
          <w:lang w:eastAsia="zh-CN"/>
        </w:rPr>
        <w:t>; and</w:t>
      </w:r>
      <w:r>
        <w:rPr>
          <w:rFonts w:ascii="Book Antiqua" w:hAnsi="Book Antiqua" w:eastAsia="Book Antiqua" w:cs="Book Antiqua"/>
          <w:color w:val="000000"/>
        </w:rPr>
        <w:t xml:space="preserve"> (</w:t>
      </w:r>
      <w:r>
        <w:rPr>
          <w:rFonts w:hint="eastAsia" w:ascii="Book Antiqua" w:hAnsi="Book Antiqua" w:cs="Book Antiqua"/>
          <w:color w:val="000000"/>
          <w:lang w:eastAsia="zh-CN"/>
        </w:rPr>
        <w:t>2</w:t>
      </w:r>
      <w:r>
        <w:rPr>
          <w:rFonts w:ascii="Book Antiqua" w:hAnsi="Book Antiqua" w:eastAsia="Book Antiqua" w:cs="Book Antiqua"/>
          <w:color w:val="000000"/>
        </w:rPr>
        <w:t>) A follow-up cerebral contrast-enhanced MRI shows diffuse and linear enhancement along the surface of the cerebrum (arrows).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Based on these findings, a diagnosis of LM carcinomatosis of EGFR-Thr790Met-positive lung adenocarcinoma (cT3N3M1b: stage IVA) was established.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Neither surgery nor chemotherapy was applied to the patient due to osseous metastasis. In addition, surgery could not achieve a radical cure. Hence, osimertinib (80</w:t>
      </w:r>
      <w:r>
        <w:rPr>
          <w:rFonts w:eastAsia="Book Antiqua"/>
          <w:color w:val="000000"/>
        </w:rPr>
        <w:t> </w:t>
      </w:r>
      <w:r>
        <w:rPr>
          <w:rFonts w:ascii="Book Antiqua" w:hAnsi="Book Antiqua" w:eastAsia="Book Antiqua" w:cs="Book Antiqua"/>
          <w:color w:val="000000"/>
        </w:rPr>
        <w:t xml:space="preserve"> mg/d) was given as a second-line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 patient showed a good response within a month. What’s more, the patient’s headache and symptoms of intracranial hypertension disappeared rapidly after 3 days of osimertinib treatment. After discharge, osimertinib (80 mg/d) was continued, and the patient was closely followed-up. There were no obvious toxic or adverse side effects except for diarrhea and leukopenia. The lung lesion continued to shrink by the 6-month follow-up CT, and the intracranial pressure returned to normal without the patient experiencing a headache.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Patients with NSCLC and LM carcinoma have a poor prognosis. Early diagnosis and an appropriate treatment regimen are important to improve the prognosis. The analysis of ctDNA in CSF can be used to detect nervous system tumors and their drug resistance mechanism</w:t>
      </w:r>
      <w:r>
        <w:rPr>
          <w:rFonts w:ascii="Book Antiqua" w:hAnsi="Book Antiqua" w:eastAsia="Book Antiqua" w:cs="Book Antiqua"/>
          <w:color w:val="000000"/>
          <w:vertAlign w:val="superscript"/>
        </w:rPr>
        <w:t>[8]</w:t>
      </w:r>
      <w:r>
        <w:rPr>
          <w:rFonts w:ascii="Book Antiqua" w:hAnsi="Book Antiqua" w:eastAsia="Book Antiqua" w:cs="Book Antiqua"/>
          <w:color w:val="000000"/>
        </w:rPr>
        <w:t>. According to previous studies, EGFR-TKIs are effective in patients diagnosed with NSCLC and LM carcinoma with positive EGFR mutations</w:t>
      </w:r>
      <w:r>
        <w:rPr>
          <w:rFonts w:ascii="Book Antiqua" w:hAnsi="Book Antiqua" w:eastAsia="Book Antiqua" w:cs="Book Antiqua"/>
          <w:color w:val="000000"/>
          <w:vertAlign w:val="superscript"/>
        </w:rPr>
        <w:t>[9]</w:t>
      </w:r>
      <w:r>
        <w:rPr>
          <w:rFonts w:ascii="Book Antiqua" w:hAnsi="Book Antiqua" w:eastAsia="Book Antiqua" w:cs="Book Antiqua"/>
          <w:color w:val="000000"/>
        </w:rPr>
        <w:t>. Osimertinib has been reported to be more effective due to its better blood-brain barrier permeability</w:t>
      </w:r>
      <w:r>
        <w:rPr>
          <w:rFonts w:ascii="Book Antiqua" w:hAnsi="Book Antiqua" w:eastAsia="Book Antiqua" w:cs="Book Antiqua"/>
          <w:color w:val="000000"/>
          <w:vertAlign w:val="superscript"/>
        </w:rPr>
        <w:t>[7]</w:t>
      </w:r>
      <w:r>
        <w:rPr>
          <w:rFonts w:ascii="Book Antiqua" w:hAnsi="Book Antiqua" w:eastAsia="Book Antiqua" w:cs="Book Antiqua"/>
          <w:color w:val="000000"/>
        </w:rPr>
        <w:t>. This report shows a great clinical benefit of osimertinib in LM patients with positive detection of the EGFR-Thr790Met mutation in their CSF. Interestingly, the cytology in CSF and neuroimaging were all negative at the beginning, and when the patient's imaging turned positive, the result of CSF cytology examination was still negative one month after the EGFR-Thr790Met mutation was detected in CSF. Hence, we propose that the positive findings of CSF ctDNA as a liquid biopsy technology based on the detection of cancer-associated gene mutations may appear earlier than the imaging findings and the CSF findings and could thus be more helpful for therapy. Moreover, the character of this report is that headache is the chief complaint of the patient with lung cancer. The patient's initial outpatient cranial MRI and lumbar puncture showed no abnormalities in CSF biochemistry and cytology, except for elevated intracranial pressure. The patient's lung lesion was found due to the routine screening of chest CT with novel coronavirus. Just as the old saying goes, 'there is no great loss without some small gain'.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This report shows a great clinical benefit of osimertinib in LM patients with positive detection of the EGFR-Thr790Met mutation in CSF and proposes that the positive findings of CSF circulating tumor DNA as a liquid biopsy technology based on the detection of cancer-associated gene mutations may appear earlier than the imaging findings, and the CSF findings and could thus be helpful for therapy. Moreover, the routine screening of chest CT with the novel coronavirus may provide unexpected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Mok TS,</w:t>
      </w:r>
      <w:r>
        <w:rPr>
          <w:rFonts w:ascii="Book Antiqua" w:hAnsi="Book Antiqua" w:eastAsia="Book Antiqua" w:cs="Book Antiqua"/>
          <w:color w:val="000000"/>
        </w:rPr>
        <w:t xml:space="preserve"> Wu Y-L, Ahn M-J, et al Osimertinib or Platinum-Pemetrexed in EGFR T790M-Positive Lung Cancer. </w:t>
      </w:r>
      <w:r>
        <w:rPr>
          <w:rFonts w:ascii="Book Antiqua" w:hAnsi="Book Antiqua" w:eastAsia="Book Antiqua" w:cs="Book Antiqua"/>
          <w:i/>
          <w:color w:val="000000"/>
        </w:rPr>
        <w:t>N Engl J Med</w:t>
      </w:r>
      <w:r>
        <w:rPr>
          <w:rFonts w:hint="eastAsia" w:ascii="Book Antiqua" w:hAnsi="Book Antiqua" w:cs="Book Antiqua"/>
          <w:color w:val="000000"/>
          <w:lang w:eastAsia="zh-CN"/>
        </w:rPr>
        <w:t xml:space="preserve"> </w:t>
      </w:r>
      <w:r>
        <w:rPr>
          <w:rFonts w:ascii="Book Antiqua" w:hAnsi="Book Antiqua" w:eastAsia="Book Antiqua" w:cs="Book Antiqua"/>
          <w:color w:val="000000"/>
        </w:rPr>
        <w:t>2017;</w:t>
      </w:r>
      <w:r>
        <w:rPr>
          <w:rFonts w:hint="eastAsia" w:ascii="Book Antiqua" w:hAnsi="Book Antiqua" w:cs="Book Antiqua"/>
          <w:color w:val="000000"/>
          <w:lang w:eastAsia="zh-CN"/>
        </w:rPr>
        <w:t xml:space="preserve"> </w:t>
      </w:r>
      <w:r>
        <w:rPr>
          <w:rFonts w:ascii="Book Antiqua" w:hAnsi="Book Antiqua" w:eastAsia="Book Antiqua" w:cs="Book Antiqua"/>
          <w:b/>
          <w:color w:val="000000"/>
        </w:rPr>
        <w:t>376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629-640</w:t>
      </w:r>
      <w:r>
        <w:rPr>
          <w:rFonts w:hint="eastAsia" w:ascii="Book Antiqua" w:hAnsi="Book Antiqua" w:cs="Book Antiqua"/>
          <w:color w:val="000000"/>
          <w:lang w:eastAsia="zh-CN"/>
        </w:rPr>
        <w:t xml:space="preserve"> </w:t>
      </w:r>
      <w:r>
        <w:rPr>
          <w:rFonts w:ascii="Book Antiqua" w:hAnsi="Book Antiqua" w:eastAsia="Book Antiqua" w:cs="Book Antiqua"/>
          <w:color w:val="000000"/>
        </w:rPr>
        <w:t>[PMID: 27959700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10.1056/NEJMoa1612674]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Umemura S</w:t>
      </w:r>
      <w:r>
        <w:rPr>
          <w:rFonts w:ascii="Book Antiqua" w:hAnsi="Book Antiqua" w:eastAsia="Book Antiqua" w:cs="Book Antiqua"/>
          <w:color w:val="000000"/>
        </w:rPr>
        <w:t xml:space="preserve">, Tsubouchi K, Yoshioka H, Hotta K, Takigawa N, Fujiwara K, Horita N, Segawa Y, Hamada N, Takata I, Yamane H, Kamei H, Kiura K, Tanimoto M. Clinical outcome in patients with leptomeningeal metastasis from non-small cell lung cancer: Okayama Lung Cancer Study Group. </w:t>
      </w:r>
      <w:r>
        <w:rPr>
          <w:rFonts w:ascii="Book Antiqua" w:hAnsi="Book Antiqua" w:eastAsia="Book Antiqua" w:cs="Book Antiqua"/>
          <w:i/>
          <w:iCs/>
          <w:color w:val="000000"/>
        </w:rPr>
        <w:t>Lung Cancer</w:t>
      </w:r>
      <w:r>
        <w:rPr>
          <w:rFonts w:ascii="Book Antiqua" w:hAnsi="Book Antiqua" w:eastAsia="Book Antiqua" w:cs="Book Antiqua"/>
          <w:color w:val="000000"/>
        </w:rPr>
        <w:t xml:space="preserve"> 2012; </w:t>
      </w:r>
      <w:r>
        <w:rPr>
          <w:rFonts w:ascii="Book Antiqua" w:hAnsi="Book Antiqua" w:eastAsia="Book Antiqua" w:cs="Book Antiqua"/>
          <w:b/>
          <w:bCs/>
          <w:color w:val="000000"/>
        </w:rPr>
        <w:t>77</w:t>
      </w:r>
      <w:r>
        <w:rPr>
          <w:rFonts w:ascii="Book Antiqua" w:hAnsi="Book Antiqua" w:eastAsia="Book Antiqua" w:cs="Book Antiqua"/>
          <w:color w:val="000000"/>
        </w:rPr>
        <w:t>: 134-139 [PMID: 22487432 DOI: 10.1016/j.lungcan.2012.03.002]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De Mattos-Arruda L</w:t>
      </w:r>
      <w:r>
        <w:rPr>
          <w:rFonts w:ascii="Book Antiqua" w:hAnsi="Book Antiqua" w:eastAsia="Book Antiqua" w:cs="Book Antiqua"/>
          <w:color w:val="000000"/>
        </w:rPr>
        <w:t xml:space="preserve">, Mayor R, Ng CKY, Weigelt B, Martínez-Ricarte F, Torrejon D, Oliveira M, Arias A, Raventos C, Tang J, Guerini-Rocco E, Martínez-Sáez E, Lois S, Marín O, de la Cruz X, Piscuoglio S, Towers R, Vivancos A, Peg V, Ramon y Cajal S, Carles J, Rodon J, González-Cao M, Tabernero J, Felip E, Sahuquillo J, Berger MF, Cortes J, Reis-Filho JS, Seoane J. Cerebrospinal fluid-derived circulating tumour DNA better represents the genomic alterations of brain tumours than plasma.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2015; </w:t>
      </w:r>
      <w:r>
        <w:rPr>
          <w:rFonts w:ascii="Book Antiqua" w:hAnsi="Book Antiqua" w:eastAsia="Book Antiqua" w:cs="Book Antiqua"/>
          <w:b/>
          <w:bCs/>
          <w:color w:val="000000"/>
        </w:rPr>
        <w:t>6</w:t>
      </w:r>
      <w:r>
        <w:rPr>
          <w:rFonts w:ascii="Book Antiqua" w:hAnsi="Book Antiqua" w:eastAsia="Book Antiqua" w:cs="Book Antiqua"/>
          <w:color w:val="000000"/>
        </w:rPr>
        <w:t>: 8839 [PMID: 26554728 DOI: 10.1038/ncomms9839]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Zhao Y</w:t>
      </w:r>
      <w:r>
        <w:rPr>
          <w:rFonts w:ascii="Book Antiqua" w:hAnsi="Book Antiqua" w:eastAsia="Book Antiqua" w:cs="Book Antiqua"/>
          <w:color w:val="000000"/>
        </w:rPr>
        <w:t xml:space="preserve">, He JY, Zou YL, Guo XS, Cui JZ, Guo L, Bu H. Evaluating the cerebrospinal fluid ctDNA detection by next-generation sequencing in the diagnosis of meningeal Carcinomatosis. </w:t>
      </w:r>
      <w:r>
        <w:rPr>
          <w:rFonts w:ascii="Book Antiqua" w:hAnsi="Book Antiqua" w:eastAsia="Book Antiqua" w:cs="Book Antiqua"/>
          <w:i/>
          <w:iCs/>
          <w:color w:val="000000"/>
        </w:rPr>
        <w:t>BMC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331 [PMID: 31856745 DOI: 10.1186/s12883-019-1554-5]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De Mattos-Arruda L</w:t>
      </w:r>
      <w:r>
        <w:rPr>
          <w:rFonts w:ascii="Book Antiqua" w:hAnsi="Book Antiqua" w:eastAsia="Book Antiqua" w:cs="Book Antiqua"/>
          <w:color w:val="000000"/>
        </w:rPr>
        <w:t xml:space="preserve">, Weigelt B, Cortes J, Won HH, Ng CKY, Nuciforo P, Bidard FC, Aura C, Saura C, Peg V, Piscuoglio S, Oliveira M, Smolders Y, Patel P, Norton L, Tabernero J, Berger MF, Seoane J, Reis-Filho JS. Capturing intra-tumor genetic heterogeneity by de novo mutation profiling of circulating cell-free tumor DNA: a proof-of-principle.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25</w:t>
      </w:r>
      <w:r>
        <w:rPr>
          <w:rFonts w:ascii="Book Antiqua" w:hAnsi="Book Antiqua" w:eastAsia="Book Antiqua" w:cs="Book Antiqua"/>
          <w:color w:val="000000"/>
        </w:rPr>
        <w:t>: 1729-1735 [PMID: 25009010 DOI: 10.1093/annonc/mdx804]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Cheng H</w:t>
      </w:r>
      <w:r>
        <w:rPr>
          <w:rFonts w:ascii="Book Antiqua" w:hAnsi="Book Antiqua" w:eastAsia="Book Antiqua" w:cs="Book Antiqua"/>
          <w:color w:val="000000"/>
        </w:rPr>
        <w:t xml:space="preserve">, Perez-Soler R. Leptomeningeal metastases in non-small-cell lung cancer.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e43-e55 [PMID: 29304362 DOI: 10.1016/S1470-2045(17)30689-7]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Yang JCH</w:t>
      </w:r>
      <w:r>
        <w:rPr>
          <w:rFonts w:ascii="Book Antiqua" w:hAnsi="Book Antiqua" w:eastAsia="Book Antiqua" w:cs="Book Antiqua"/>
          <w:color w:val="000000"/>
        </w:rPr>
        <w:t xml:space="preserve">, Kim SW, Kim DW, Lee JS, Cho BC, Ahn JS, Lee DH, Kim TM, Goldman JW, Natale RB, Brown AP, Collins B, Chmielecki J, Vishwanathan K, Mendoza-Naranjo A, Ahn MJ. Osimertinib in Patients With Epidermal Growth Factor Receptor Mutation-Positive Non-Small-Cell Lung Cancer and Leptomeningeal Metastases: The BLOOM Study.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538-547 [PMID: 31809241 DOI: 10.1200/JCO.19.00457]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Zavodna M</w:t>
      </w:r>
      <w:r>
        <w:rPr>
          <w:rFonts w:ascii="Book Antiqua" w:hAnsi="Book Antiqua" w:eastAsia="Book Antiqua" w:cs="Book Antiqua"/>
          <w:color w:val="000000"/>
        </w:rPr>
        <w:t xml:space="preserve">, Bagshaw A, Brauning R, Gemmell NJ. The accuracy, feasibility and challenges of sequencing short tandem repeats using next-generation sequencing platforms.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e113862 [PMID: 25436869 DOI: 10.1371/journal.pone.0113862]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Saboundji K</w:t>
      </w:r>
      <w:r>
        <w:rPr>
          <w:rFonts w:ascii="Book Antiqua" w:hAnsi="Book Antiqua" w:eastAsia="Book Antiqua" w:cs="Book Antiqua"/>
          <w:color w:val="000000"/>
        </w:rPr>
        <w:t xml:space="preserve">, Auliac JB, Pérol M, François G, Janicot H, Marcq M, Dubos-Arvis C, Renault A, Guisier F, Odier L, Gervais R, Chouaïd C. Efficacy of Osimertinib in EGFR-Mutated Non-Small Cell Lung Cancer with Leptomeningeal Metastases Pretreated with EGFR-Tyrosine Kinase Inhibitors. </w:t>
      </w:r>
      <w:r>
        <w:rPr>
          <w:rFonts w:ascii="Book Antiqua" w:hAnsi="Book Antiqua" w:eastAsia="Book Antiqua" w:cs="Book Antiqua"/>
          <w:i/>
          <w:iCs/>
          <w:color w:val="000000"/>
        </w:rPr>
        <w:t>Target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501-507 [PMID: 30039345 DOI: 10.1007/s11523-018-0581-2]</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for publication of this report and any accompanying images in October 20,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lang w:eastAsia="zh-CN"/>
        </w:rPr>
        <w:t>All</w:t>
      </w:r>
      <w:r>
        <w:rPr>
          <w:rFonts w:ascii="Book Antiqua" w:hAnsi="Book Antiqua" w:eastAsia="Book Antiqua" w:cs="Book Antiqua"/>
          <w:color w:val="000000"/>
        </w:rPr>
        <w:t xml:space="preserve"> authors declare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30,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21,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Medicine, research and experimental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lang w:eastAsia="zh-CN"/>
        </w:rPr>
      </w:pPr>
      <w:r>
        <w:rPr>
          <w:rFonts w:ascii="Book Antiqua" w:hAnsi="Book Antiqua" w:eastAsia="Book Antiqua" w:cs="Book Antiqua"/>
          <w:color w:val="000000"/>
        </w:rPr>
        <w:t>Grade A (Excellent): A</w:t>
      </w:r>
      <w:r>
        <w:rPr>
          <w:rFonts w:hint="eastAsia" w:ascii="Book Antiqua" w:hAnsi="Book Antiqua" w:cs="Book Antiqua"/>
          <w:color w:val="000000"/>
          <w:lang w:eastAsia="zh-CN"/>
        </w:rPr>
        <w: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lang w:eastAsia="zh-CN"/>
        </w:rPr>
      </w:pPr>
      <w:r>
        <w:rPr>
          <w:rFonts w:ascii="Book Antiqua" w:hAnsi="Book Antiqua" w:eastAsia="Book Antiqua" w:cs="Book Antiqua"/>
          <w:color w:val="000000"/>
        </w:rPr>
        <w:t>Grade E (Poor): E</w:t>
      </w:r>
      <w:r>
        <w:rPr>
          <w:rFonts w:hint="eastAsia" w:ascii="Book Antiqua" w:hAnsi="Book Antiqua" w:cs="Book Antiqua"/>
          <w:color w:val="000000"/>
          <w:lang w:eastAsia="zh-CN"/>
        </w:rPr>
        <w:t>, E</w:t>
      </w:r>
    </w:p>
    <w:p>
      <w:pPr>
        <w:spacing w:line="360" w:lineRule="auto"/>
        <w:jc w:val="both"/>
        <w:rPr>
          <w:rFonts w:ascii="Book Antiqua" w:hAnsi="Book Antiqua"/>
        </w:rPr>
      </w:pPr>
    </w:p>
    <w:p>
      <w:pPr>
        <w:spacing w:line="360" w:lineRule="auto"/>
        <w:jc w:val="both"/>
        <w:rPr>
          <w:rFonts w:hint="default" w:ascii="Book Antiqua" w:hAnsi="Book Antiqua"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Abdalla AN, Saudi Arabia; Kung WM, Taiwan; Sugimura H, Japan</w:t>
      </w:r>
      <w:r>
        <w:rPr>
          <w:rFonts w:ascii="Book Antiqua" w:hAnsi="Book Antiqua" w:eastAsia="Book Antiqua" w:cs="Book Antiqua"/>
          <w:b/>
          <w:color w:val="000000"/>
        </w:rPr>
        <w:t xml:space="preserve"> S-Editor: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w:t>
      </w:r>
      <w:r>
        <w:rPr>
          <w:rFonts w:hint="eastAsia" w:ascii="Book Antiqua" w:hAnsi="Book Antiqua" w:cs="Book Antiqua"/>
          <w:color w:val="000000"/>
          <w:lang w:eastAsia="zh-CN"/>
        </w:rPr>
        <w:t xml:space="preserve"> Wang LL</w:t>
      </w:r>
      <w:r>
        <w:rPr>
          <w:rFonts w:hint="eastAsia" w:ascii="Book Antiqua" w:hAnsi="Book Antiqua" w:cs="Book Antiqua"/>
          <w:color w:val="000000"/>
          <w:lang w:val="en-US" w:eastAsia="zh-CN"/>
        </w:rPr>
        <w:t>.</w:t>
      </w:r>
      <w:bookmarkStart w:id="8" w:name="_GoBack"/>
      <w:bookmarkEnd w:id="8"/>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4100830" cy="1929130"/>
            <wp:effectExtent l="0" t="0" r="13970" b="6350"/>
            <wp:docPr id="1" name="图片 1" descr="WJCC-10-796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7968-g001"/>
                    <pic:cNvPicPr>
                      <a:picLocks noChangeAspect="1"/>
                    </pic:cNvPicPr>
                  </pic:nvPicPr>
                  <pic:blipFill>
                    <a:blip r:embed="rId5"/>
                    <a:stretch>
                      <a:fillRect/>
                    </a:stretch>
                  </pic:blipFill>
                  <pic:spPr>
                    <a:xfrm>
                      <a:off x="0" y="0"/>
                      <a:ext cx="4100830" cy="1929130"/>
                    </a:xfrm>
                    <a:prstGeom prst="rect">
                      <a:avLst/>
                    </a:prstGeom>
                  </pic:spPr>
                </pic:pic>
              </a:graphicData>
            </a:graphic>
          </wp:inline>
        </w:drawing>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Chest computed tomography</w:t>
      </w:r>
      <w:r>
        <w:rPr>
          <w:rFonts w:hint="eastAsia" w:ascii="Book Antiqua" w:hAnsi="Book Antiqua" w:cs="Book Antiqua"/>
          <w:b/>
          <w:color w:val="000000"/>
          <w:lang w:eastAsia="zh-CN"/>
        </w:rPr>
        <w:t>.</w:t>
      </w:r>
      <w:r>
        <w:rPr>
          <w:rFonts w:ascii="Book Antiqua" w:hAnsi="Book Antiqua" w:eastAsia="Book Antiqua" w:cs="Book Antiqua"/>
          <w:color w:val="000000"/>
        </w:rPr>
        <w:t xml:space="preserve"> A</w:t>
      </w:r>
      <w:r>
        <w:rPr>
          <w:rFonts w:hint="eastAsia" w:ascii="Book Antiqua" w:hAnsi="Book Antiqua" w:cs="Book Antiqua"/>
          <w:color w:val="000000"/>
          <w:lang w:eastAsia="zh-CN"/>
        </w:rPr>
        <w:t>:</w:t>
      </w:r>
      <w:r>
        <w:rPr>
          <w:rFonts w:ascii="Book Antiqua" w:hAnsi="Book Antiqua" w:eastAsia="Book Antiqua" w:cs="Book Antiqua"/>
          <w:color w:val="000000"/>
        </w:rPr>
        <w:t xml:space="preserve"> Chest computed tomography image at admission shows a lesion in the lingual segment of the upper lobe of the left lung (arrows)</w:t>
      </w:r>
      <w:r>
        <w:rPr>
          <w:rFonts w:hint="eastAsia" w:ascii="Book Antiqua" w:hAnsi="Book Antiqua" w:cs="Book Antiqua"/>
          <w:color w:val="000000"/>
          <w:lang w:eastAsia="zh-CN"/>
        </w:rPr>
        <w:t xml:space="preserve">; </w:t>
      </w:r>
      <w:r>
        <w:rPr>
          <w:rFonts w:ascii="Book Antiqua" w:hAnsi="Book Antiqua" w:eastAsia="Book Antiqua" w:cs="Book Antiqua"/>
          <w:color w:val="000000"/>
        </w:rPr>
        <w:t>B</w:t>
      </w:r>
      <w:r>
        <w:rPr>
          <w:rFonts w:hint="eastAsia" w:ascii="Book Antiqua" w:hAnsi="Book Antiqua" w:cs="Book Antiqua"/>
          <w:color w:val="000000"/>
          <w:lang w:eastAsia="zh-CN"/>
        </w:rPr>
        <w:t>:</w:t>
      </w:r>
      <w:r>
        <w:rPr>
          <w:rFonts w:ascii="Book Antiqua" w:hAnsi="Book Antiqua" w:eastAsia="Book Antiqua" w:cs="Book Antiqua"/>
          <w:color w:val="000000"/>
        </w:rPr>
        <w:t xml:space="preserve"> A follow-up cerebral contrast-enhanced magnetic resonance imaging shows diffuse and linear enhancement along the surface of the cerebrum (arrows).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 New Roman Regular">
    <w:altName w:val="Times New Roman"/>
    <w:panose1 w:val="00000000000000000000"/>
    <w:charset w:val="00"/>
    <w:family w:val="auto"/>
    <w:pitch w:val="default"/>
    <w:sig w:usb0="00000000" w:usb1="00000000" w:usb2="00000001" w:usb3="00000000" w:csb0="400001BF" w:csb1="DFF70000"/>
  </w:font>
  <w:font w:name="Times New Roman Bold">
    <w:altName w:val="Times New Roman"/>
    <w:panose1 w:val="02020803070505020304"/>
    <w:charset w:val="00"/>
    <w:family w:val="auto"/>
    <w:pitch w:val="default"/>
    <w:sig w:usb0="00000000" w:usb1="00000000" w:usb2="00000001" w:usb3="00000000" w:csb0="400001BF" w:csb1="DFF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12</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61988"/>
    <w:rsid w:val="00090D10"/>
    <w:rsid w:val="000E5053"/>
    <w:rsid w:val="0011154A"/>
    <w:rsid w:val="00120DC9"/>
    <w:rsid w:val="001D6CA8"/>
    <w:rsid w:val="001F0983"/>
    <w:rsid w:val="002273A7"/>
    <w:rsid w:val="0028078E"/>
    <w:rsid w:val="00284EE3"/>
    <w:rsid w:val="002E1C7C"/>
    <w:rsid w:val="00312429"/>
    <w:rsid w:val="00367645"/>
    <w:rsid w:val="003B30F2"/>
    <w:rsid w:val="003B3870"/>
    <w:rsid w:val="00450154"/>
    <w:rsid w:val="00474991"/>
    <w:rsid w:val="004F59B1"/>
    <w:rsid w:val="00521D54"/>
    <w:rsid w:val="00561E83"/>
    <w:rsid w:val="00584CD8"/>
    <w:rsid w:val="005E27BE"/>
    <w:rsid w:val="005F1830"/>
    <w:rsid w:val="006B0772"/>
    <w:rsid w:val="006B2DFF"/>
    <w:rsid w:val="00760A82"/>
    <w:rsid w:val="007655E1"/>
    <w:rsid w:val="007802E2"/>
    <w:rsid w:val="00790464"/>
    <w:rsid w:val="00797B48"/>
    <w:rsid w:val="007B51A3"/>
    <w:rsid w:val="007F0FC4"/>
    <w:rsid w:val="00810A16"/>
    <w:rsid w:val="00835C99"/>
    <w:rsid w:val="0084509D"/>
    <w:rsid w:val="00895ABF"/>
    <w:rsid w:val="008B694B"/>
    <w:rsid w:val="00962D19"/>
    <w:rsid w:val="00A6531F"/>
    <w:rsid w:val="00A77B3E"/>
    <w:rsid w:val="00AC4C5D"/>
    <w:rsid w:val="00AD4620"/>
    <w:rsid w:val="00B25528"/>
    <w:rsid w:val="00B90555"/>
    <w:rsid w:val="00BB290D"/>
    <w:rsid w:val="00C34D30"/>
    <w:rsid w:val="00C63792"/>
    <w:rsid w:val="00C90B8F"/>
    <w:rsid w:val="00CA2A55"/>
    <w:rsid w:val="00CD3DCC"/>
    <w:rsid w:val="00D271F5"/>
    <w:rsid w:val="00D61A41"/>
    <w:rsid w:val="00DA6568"/>
    <w:rsid w:val="00E4542E"/>
    <w:rsid w:val="00F07C9A"/>
    <w:rsid w:val="00F721AC"/>
    <w:rsid w:val="00FA0407"/>
    <w:rsid w:val="2280350C"/>
    <w:rsid w:val="4D7A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style>
  <w:style w:type="paragraph" w:styleId="3">
    <w:name w:val="Balloon Text"/>
    <w:basedOn w:val="1"/>
    <w:link w:val="11"/>
    <w:uiPriority w:val="0"/>
    <w:rPr>
      <w:sz w:val="18"/>
      <w:szCs w:val="18"/>
    </w:rPr>
  </w:style>
  <w:style w:type="paragraph" w:styleId="4">
    <w:name w:val="footer"/>
    <w:basedOn w:val="1"/>
    <w:link w:val="17"/>
    <w:qFormat/>
    <w:uiPriority w:val="0"/>
    <w:pPr>
      <w:tabs>
        <w:tab w:val="center" w:pos="4153"/>
        <w:tab w:val="right" w:pos="8306"/>
      </w:tabs>
      <w:snapToGrid w:val="0"/>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Hyperlink"/>
    <w:uiPriority w:val="99"/>
    <w:rPr>
      <w:rFonts w:cs="Times New Roman"/>
      <w:color w:val="0000FF"/>
      <w:u w:val="single"/>
    </w:rPr>
  </w:style>
  <w:style w:type="character" w:styleId="10">
    <w:name w:val="annotation reference"/>
    <w:basedOn w:val="8"/>
    <w:uiPriority w:val="0"/>
    <w:rPr>
      <w:sz w:val="21"/>
      <w:szCs w:val="21"/>
    </w:rPr>
  </w:style>
  <w:style w:type="character" w:customStyle="1" w:styleId="11">
    <w:name w:val="批注框文本 字符"/>
    <w:basedOn w:val="8"/>
    <w:link w:val="3"/>
    <w:qFormat/>
    <w:uiPriority w:val="0"/>
    <w:rPr>
      <w:sz w:val="18"/>
      <w:szCs w:val="18"/>
    </w:rPr>
  </w:style>
  <w:style w:type="character" w:customStyle="1" w:styleId="12">
    <w:name w:val="批注文字 字符"/>
    <w:basedOn w:val="8"/>
    <w:link w:val="2"/>
    <w:qFormat/>
    <w:uiPriority w:val="99"/>
    <w:rPr>
      <w:sz w:val="24"/>
      <w:szCs w:val="24"/>
    </w:rPr>
  </w:style>
  <w:style w:type="character" w:customStyle="1" w:styleId="13">
    <w:name w:val="批注主题 字符"/>
    <w:basedOn w:val="12"/>
    <w:link w:val="6"/>
    <w:uiPriority w:val="0"/>
    <w:rPr>
      <w:b/>
      <w:bCs/>
      <w:sz w:val="24"/>
      <w:szCs w:val="24"/>
    </w:rPr>
  </w:style>
  <w:style w:type="character" w:customStyle="1" w:styleId="14">
    <w:name w:val="纯文本 Char"/>
    <w:link w:val="15"/>
    <w:uiPriority w:val="0"/>
    <w:rPr>
      <w:rFonts w:ascii="宋体" w:hAnsi="Courier New" w:cs="Courier New"/>
      <w:szCs w:val="21"/>
    </w:rPr>
  </w:style>
  <w:style w:type="paragraph" w:customStyle="1" w:styleId="15">
    <w:name w:val="Plain Text1"/>
    <w:basedOn w:val="1"/>
    <w:link w:val="14"/>
    <w:uiPriority w:val="0"/>
    <w:pPr>
      <w:widowControl w:val="0"/>
      <w:jc w:val="both"/>
    </w:pPr>
    <w:rPr>
      <w:rFonts w:ascii="宋体" w:hAnsi="Courier New" w:cs="Courier New"/>
      <w:sz w:val="20"/>
      <w:szCs w:val="21"/>
    </w:rPr>
  </w:style>
  <w:style w:type="character" w:customStyle="1" w:styleId="16">
    <w:name w:val="页眉 字符"/>
    <w:basedOn w:val="8"/>
    <w:link w:val="5"/>
    <w:qFormat/>
    <w:uiPriority w:val="0"/>
    <w:rPr>
      <w:sz w:val="18"/>
      <w:szCs w:val="18"/>
    </w:rPr>
  </w:style>
  <w:style w:type="character" w:customStyle="1" w:styleId="17">
    <w:name w:val="页脚 字符"/>
    <w:basedOn w:val="8"/>
    <w:link w:val="4"/>
    <w:qFormat/>
    <w:uiPriority w:val="0"/>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2333</Words>
  <Characters>13781</Characters>
  <Lines>111</Lines>
  <Paragraphs>31</Paragraphs>
  <TotalTime>0</TotalTime>
  <ScaleCrop>false</ScaleCrop>
  <LinksUpToDate>false</LinksUpToDate>
  <CharactersWithSpaces>16028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2022-06-21T02:25:00Z</dcterms:created>
  <dc:creator>Lian-Sheng Ma</dc:creator>
  <cp:lastModifiedBy>晓晨</cp:lastModifiedBy>
  <dcterms:modified xsi:type="dcterms:W3CDTF">2022-07-21T09:47:09Z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881D0DAD6BC143B69ABB3FC73BD1A833</vt:lpwstr>
  </property>
</Properties>
</file>