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4F54"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9802BD2"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74702</w:t>
      </w:r>
    </w:p>
    <w:p w14:paraId="251DFD1E"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A843BF9" w14:textId="77777777" w:rsidR="00540D55" w:rsidRDefault="00540D55">
      <w:pPr>
        <w:spacing w:line="360" w:lineRule="auto"/>
        <w:jc w:val="both"/>
        <w:rPr>
          <w:rFonts w:ascii="Book Antiqua" w:hAnsi="Book Antiqua"/>
        </w:rPr>
      </w:pPr>
    </w:p>
    <w:p w14:paraId="0DFD6B4B" w14:textId="77777777" w:rsidR="00540D55" w:rsidRDefault="00624241">
      <w:pPr>
        <w:spacing w:line="360" w:lineRule="auto"/>
        <w:jc w:val="both"/>
        <w:rPr>
          <w:rFonts w:ascii="Book Antiqua" w:hAnsi="Book Antiqua"/>
        </w:rPr>
      </w:pPr>
      <w:r>
        <w:rPr>
          <w:rFonts w:ascii="Book Antiqua" w:eastAsia="Book Antiqua" w:hAnsi="Book Antiqua" w:cs="Book Antiqua"/>
          <w:b/>
          <w:i/>
          <w:color w:val="000000"/>
        </w:rPr>
        <w:t>Retrospective Study</w:t>
      </w:r>
    </w:p>
    <w:p w14:paraId="4E09D9B0"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DNA and RNA oxidative damage in hepatocellular carcinoma patients and mortality during the first year of liver transplantation</w:t>
      </w:r>
    </w:p>
    <w:p w14:paraId="6AF10CAD" w14:textId="77777777" w:rsidR="00540D55" w:rsidRDefault="00540D55">
      <w:pPr>
        <w:spacing w:line="360" w:lineRule="auto"/>
        <w:jc w:val="both"/>
        <w:rPr>
          <w:rFonts w:ascii="Book Antiqua" w:hAnsi="Book Antiqua"/>
        </w:rPr>
      </w:pPr>
    </w:p>
    <w:p w14:paraId="3C803D96"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Lorente </w:t>
      </w:r>
      <w:r>
        <w:rPr>
          <w:rFonts w:ascii="Book Antiqua" w:hAnsi="Book Antiqua" w:cs="Book Antiqua"/>
          <w:color w:val="000000"/>
          <w:lang w:eastAsia="zh-CN"/>
        </w:rPr>
        <w:t xml:space="preserve">L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DNA damage and mortality in liver transplantation</w:t>
      </w:r>
    </w:p>
    <w:p w14:paraId="1EC77D55" w14:textId="77777777" w:rsidR="00540D55" w:rsidRDefault="00540D55">
      <w:pPr>
        <w:spacing w:line="360" w:lineRule="auto"/>
        <w:jc w:val="both"/>
        <w:rPr>
          <w:rFonts w:ascii="Book Antiqua" w:hAnsi="Book Antiqua"/>
        </w:rPr>
      </w:pPr>
    </w:p>
    <w:p w14:paraId="661FF78C"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Leonardo Lorente, Sergio T Rodriguez, Pablo Sanz, Agustín F González-Rivero, Antonia Pérez-Cejas, Javier Padilla, Dácil Díaz, Antonio González, María M Martín, Alejandro Jiménez, Purificación Cerro, Julián Portero, Manuel A Barrera</w:t>
      </w:r>
    </w:p>
    <w:p w14:paraId="7368B59C" w14:textId="77777777" w:rsidR="00540D55" w:rsidRDefault="00540D55">
      <w:pPr>
        <w:spacing w:line="360" w:lineRule="auto"/>
        <w:jc w:val="both"/>
        <w:rPr>
          <w:rFonts w:ascii="Book Antiqua" w:hAnsi="Book Antiqua"/>
        </w:rPr>
      </w:pPr>
    </w:p>
    <w:p w14:paraId="130C1643"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Leonardo Lorente,</w:t>
      </w:r>
      <w:r>
        <w:rPr>
          <w:rFonts w:ascii="Book Antiqua" w:eastAsia="Book Antiqua" w:hAnsi="Book Antiqua" w:cs="Book Antiqua"/>
          <w:color w:val="000000"/>
        </w:rPr>
        <w:t xml:space="preserve"> 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Intensive Care, Hospital Universitario de Canarias, La Laguna 38320, Tenerife, Spain</w:t>
      </w:r>
    </w:p>
    <w:p w14:paraId="51BED417" w14:textId="77777777" w:rsidR="00540D55" w:rsidRDefault="00540D55">
      <w:pPr>
        <w:spacing w:line="360" w:lineRule="auto"/>
        <w:jc w:val="both"/>
        <w:rPr>
          <w:rFonts w:ascii="Book Antiqua" w:hAnsi="Book Antiqua"/>
        </w:rPr>
      </w:pPr>
    </w:p>
    <w:p w14:paraId="20DB68B3"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Sergio T Rodriguez, María M Martín, </w:t>
      </w:r>
      <w:r>
        <w:rPr>
          <w:rFonts w:ascii="Book Antiqua" w:eastAsia="Book Antiqua" w:hAnsi="Book Antiqua" w:cs="Book Antiqua"/>
          <w:color w:val="000000"/>
        </w:rPr>
        <w:t xml:space="preserve">Intensive Care Unit, Hospital Universitario Nuestra Señora Candelaria, Santa Cruz de Tenerife 38010, Spain </w:t>
      </w:r>
    </w:p>
    <w:p w14:paraId="1C4C558D" w14:textId="77777777" w:rsidR="00540D55" w:rsidRDefault="00540D55">
      <w:pPr>
        <w:spacing w:line="360" w:lineRule="auto"/>
        <w:jc w:val="both"/>
        <w:rPr>
          <w:rFonts w:ascii="Book Antiqua" w:hAnsi="Book Antiqua"/>
        </w:rPr>
      </w:pPr>
    </w:p>
    <w:p w14:paraId="377AB061"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Pablo Sanz, Javier Padilla, Manuel A Barrera, </w:t>
      </w:r>
      <w:r>
        <w:rPr>
          <w:rFonts w:ascii="Book Antiqua" w:eastAsia="Book Antiqua" w:hAnsi="Book Antiqua" w:cs="Book Antiqua"/>
          <w:color w:val="000000"/>
        </w:rPr>
        <w:t>Department of Surgery, Hospital Universitario Nuestra Señora de Candelaria, Santa Cruz de Tenerife 38010, Spain</w:t>
      </w:r>
    </w:p>
    <w:p w14:paraId="78CD4EE1" w14:textId="77777777" w:rsidR="00540D55" w:rsidRDefault="00540D55">
      <w:pPr>
        <w:spacing w:line="360" w:lineRule="auto"/>
        <w:jc w:val="both"/>
        <w:rPr>
          <w:rFonts w:ascii="Book Antiqua" w:hAnsi="Book Antiqua"/>
        </w:rPr>
      </w:pPr>
    </w:p>
    <w:p w14:paraId="7757FF2D"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Agustín F González-Rivero, Antonia Pérez-Cejas,</w:t>
      </w:r>
      <w:r>
        <w:rPr>
          <w:rFonts w:ascii="Book Antiqua" w:eastAsia="Book Antiqua" w:hAnsi="Book Antiqua" w:cs="Book Antiqua"/>
          <w:color w:val="000000"/>
        </w:rPr>
        <w:t xml:space="preserve"> Department</w:t>
      </w:r>
      <w:r>
        <w:rPr>
          <w:rFonts w:ascii="Book Antiqua" w:eastAsia="Book Antiqua" w:hAnsi="Book Antiqua" w:cs="Book Antiqua"/>
          <w:bCs/>
          <w:color w:val="000000"/>
        </w:rPr>
        <w:t xml:space="preserve"> </w:t>
      </w:r>
      <w:r>
        <w:rPr>
          <w:rFonts w:ascii="Book Antiqua" w:hAnsi="Book Antiqua" w:cs="Book Antiqua"/>
          <w:bCs/>
          <w:color w:val="000000"/>
          <w:lang w:eastAsia="zh-CN"/>
        </w:rPr>
        <w:t xml:space="preserve">of </w:t>
      </w:r>
      <w:r>
        <w:rPr>
          <w:rFonts w:ascii="Book Antiqua" w:eastAsia="Book Antiqua" w:hAnsi="Book Antiqua" w:cs="Book Antiqua"/>
          <w:color w:val="000000"/>
        </w:rPr>
        <w:t>Laboratory, Hospital Universitario de Canarias, La Laguna 38320, Spain</w:t>
      </w:r>
    </w:p>
    <w:p w14:paraId="05E561DB" w14:textId="77777777" w:rsidR="00540D55" w:rsidRDefault="00540D55">
      <w:pPr>
        <w:spacing w:line="360" w:lineRule="auto"/>
        <w:jc w:val="both"/>
        <w:rPr>
          <w:rFonts w:ascii="Book Antiqua" w:hAnsi="Book Antiqua"/>
        </w:rPr>
      </w:pPr>
    </w:p>
    <w:p w14:paraId="4BE7AF74"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Dácil Díaz, Antonio González, </w:t>
      </w:r>
      <w:r>
        <w:rPr>
          <w:rFonts w:ascii="Book Antiqua" w:eastAsia="Book Antiqua" w:hAnsi="Book Antiqua" w:cs="Book Antiqua"/>
          <w:color w:val="000000"/>
        </w:rPr>
        <w:t>Department of Digestive, Hospital Universitario Nuestra Señora de Candelaria, Santa Cruz de Tenerife 38010, Spain</w:t>
      </w:r>
    </w:p>
    <w:p w14:paraId="1242C504" w14:textId="77777777" w:rsidR="00540D55" w:rsidRDefault="00540D55">
      <w:pPr>
        <w:spacing w:line="360" w:lineRule="auto"/>
        <w:jc w:val="both"/>
        <w:rPr>
          <w:rFonts w:ascii="Book Antiqua" w:hAnsi="Book Antiqua"/>
        </w:rPr>
      </w:pPr>
    </w:p>
    <w:p w14:paraId="268CF60F"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lastRenderedPageBreak/>
        <w:t xml:space="preserve">Alejandro Jiménez, </w:t>
      </w:r>
      <w:r>
        <w:rPr>
          <w:rFonts w:ascii="Book Antiqua" w:eastAsia="Book Antiqua" w:hAnsi="Book Antiqua" w:cs="Book Antiqua"/>
          <w:color w:val="000000"/>
        </w:rPr>
        <w:t>Research Unit, Hospital Universitario de Canarias, La Laguna 38320, Spain</w:t>
      </w:r>
    </w:p>
    <w:p w14:paraId="08C85B7E" w14:textId="77777777" w:rsidR="00540D55" w:rsidRDefault="00540D55">
      <w:pPr>
        <w:spacing w:line="360" w:lineRule="auto"/>
        <w:jc w:val="both"/>
        <w:rPr>
          <w:rFonts w:ascii="Book Antiqua" w:hAnsi="Book Antiqua"/>
        </w:rPr>
      </w:pPr>
    </w:p>
    <w:p w14:paraId="096AB38A"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Purificación Cerro, </w:t>
      </w:r>
      <w:r>
        <w:rPr>
          <w:rFonts w:ascii="Book Antiqua" w:eastAsia="Book Antiqua" w:hAnsi="Book Antiqua" w:cs="Book Antiqua"/>
          <w:color w:val="000000"/>
        </w:rPr>
        <w:t>Transplant Unit, Hospital Universitario Nuestra Señora Candelaria, Santa Cruz de Tenerife 38010, Spain</w:t>
      </w:r>
    </w:p>
    <w:p w14:paraId="5D76628A" w14:textId="77777777" w:rsidR="00540D55" w:rsidRDefault="00540D55">
      <w:pPr>
        <w:spacing w:line="360" w:lineRule="auto"/>
        <w:jc w:val="both"/>
        <w:rPr>
          <w:rFonts w:ascii="Book Antiqua" w:hAnsi="Book Antiqua"/>
        </w:rPr>
      </w:pPr>
    </w:p>
    <w:p w14:paraId="21AF24D2"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Julián Portero, </w:t>
      </w:r>
      <w:r>
        <w:rPr>
          <w:rFonts w:ascii="Book Antiqua" w:eastAsia="Book Antiqua" w:hAnsi="Book Antiqua" w:cs="Book Antiqua"/>
          <w:color w:val="000000"/>
        </w:rPr>
        <w:t>Department of Radiology, Hospital Universitario Nuestra Señora Candelaria, Santa Cruz de Tenerife 38010, Spain</w:t>
      </w:r>
    </w:p>
    <w:p w14:paraId="57245A37" w14:textId="77777777" w:rsidR="00540D55" w:rsidRDefault="00540D55">
      <w:pPr>
        <w:spacing w:line="360" w:lineRule="auto"/>
        <w:jc w:val="both"/>
        <w:rPr>
          <w:rFonts w:ascii="Book Antiqua" w:hAnsi="Book Antiqua"/>
        </w:rPr>
      </w:pPr>
    </w:p>
    <w:p w14:paraId="28A5C63A"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Lorente L was responsible for conception, design and coordination of the study, made substantial contributions to acquisition of data and analysis and interpretation of data and drafted the manuscript</w:t>
      </w:r>
      <w:r>
        <w:rPr>
          <w:rFonts w:ascii="Book Antiqua" w:hAnsi="Book Antiqua" w:cs="Book Antiqua"/>
          <w:color w:val="000000"/>
          <w:lang w:eastAsia="zh-CN"/>
        </w:rPr>
        <w:t>;</w:t>
      </w:r>
      <w:r>
        <w:rPr>
          <w:rFonts w:ascii="Book Antiqua" w:eastAsia="Book Antiqua" w:hAnsi="Book Antiqua" w:cs="Book Antiqua"/>
          <w:color w:val="000000"/>
        </w:rPr>
        <w:t xml:space="preserve"> Rodriguez ST, Sanz P, Portero J, Díaz D, González A, Martín MM, Cerro P, Portero J and Barrera MA made substantial contributions to acquisition of data and provided useful suggestions</w:t>
      </w:r>
      <w:r>
        <w:rPr>
          <w:rFonts w:ascii="Book Antiqua" w:hAnsi="Book Antiqua" w:cs="Book Antiqua"/>
          <w:color w:val="000000"/>
          <w:lang w:eastAsia="zh-CN"/>
        </w:rPr>
        <w:t>;</w:t>
      </w:r>
      <w:r>
        <w:rPr>
          <w:rFonts w:ascii="Book Antiqua" w:eastAsia="Book Antiqua" w:hAnsi="Book Antiqua" w:cs="Book Antiqua"/>
          <w:color w:val="000000"/>
        </w:rPr>
        <w:t xml:space="preserve"> González-Rivero AF and Pérez-Cejas A participated in blood determination levels</w:t>
      </w:r>
      <w:r>
        <w:rPr>
          <w:rFonts w:ascii="Book Antiqua" w:hAnsi="Book Antiqua" w:cs="Book Antiqua"/>
          <w:color w:val="000000"/>
          <w:lang w:eastAsia="zh-CN"/>
        </w:rPr>
        <w:t>;</w:t>
      </w:r>
      <w:r>
        <w:rPr>
          <w:rFonts w:ascii="Book Antiqua" w:eastAsia="Book Antiqua" w:hAnsi="Book Antiqua" w:cs="Book Antiqua"/>
          <w:color w:val="000000"/>
        </w:rPr>
        <w:t xml:space="preserve"> Jiménez A made substantial contributions to analysis and interpretation of data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ll authors critically read and approved the manuscript and agree to be accountable for all aspects of the work in ensuring that questions related to the accuracy or integrity of any part of the work are appropriately investigated and resolved.</w:t>
      </w:r>
    </w:p>
    <w:p w14:paraId="7AB2552A" w14:textId="77777777" w:rsidR="00540D55" w:rsidRDefault="00540D55">
      <w:pPr>
        <w:spacing w:line="360" w:lineRule="auto"/>
        <w:jc w:val="both"/>
        <w:rPr>
          <w:rFonts w:ascii="Book Antiqua" w:hAnsi="Book Antiqua"/>
        </w:rPr>
      </w:pPr>
    </w:p>
    <w:p w14:paraId="267A3202"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Corresponding author: Leonardo Lorente, MD, PhD, Attending Doctor, Medical Assistant,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Intensive Care, Hospital Universitario de Canarias, Ofra, s/n., La Laguna 38320, Tenerife, Spain. lorentemartin@msn.com</w:t>
      </w:r>
    </w:p>
    <w:p w14:paraId="38DD330B" w14:textId="77777777" w:rsidR="00540D55" w:rsidRDefault="00540D55">
      <w:pPr>
        <w:spacing w:line="360" w:lineRule="auto"/>
        <w:jc w:val="both"/>
        <w:rPr>
          <w:rFonts w:ascii="Book Antiqua" w:hAnsi="Book Antiqua"/>
        </w:rPr>
      </w:pPr>
    </w:p>
    <w:p w14:paraId="18FC0F4E"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2022</w:t>
      </w:r>
    </w:p>
    <w:p w14:paraId="18E3E2CE"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28, 2022</w:t>
      </w:r>
    </w:p>
    <w:p w14:paraId="7980A68A"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May 22, 2022</w:t>
      </w:r>
    </w:p>
    <w:p w14:paraId="5781F4B1" w14:textId="77777777" w:rsidR="00540D55" w:rsidRDefault="00624241">
      <w:pPr>
        <w:spacing w:line="360" w:lineRule="auto"/>
        <w:jc w:val="both"/>
        <w:rPr>
          <w:rFonts w:ascii="Book Antiqua" w:eastAsia="宋体" w:hAnsi="Book Antiqua"/>
          <w:lang w:eastAsia="zh-CN"/>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shd w:val="clear" w:color="auto" w:fill="FFFFFF"/>
        </w:rPr>
        <w:t>June 27, 2022</w:t>
      </w:r>
    </w:p>
    <w:p w14:paraId="2F950E2E" w14:textId="77777777" w:rsidR="00540D55" w:rsidRDefault="00624241">
      <w:pPr>
        <w:rPr>
          <w:rFonts w:ascii="Book Antiqua" w:eastAsia="Book Antiqua" w:hAnsi="Book Antiqua" w:cs="Book Antiqua"/>
          <w:b/>
          <w:color w:val="000000"/>
        </w:rPr>
      </w:pPr>
      <w:r>
        <w:rPr>
          <w:rFonts w:ascii="Book Antiqua" w:eastAsia="Book Antiqua" w:hAnsi="Book Antiqua" w:cs="Book Antiqua"/>
          <w:b/>
          <w:color w:val="000000"/>
        </w:rPr>
        <w:br w:type="page"/>
      </w:r>
    </w:p>
    <w:p w14:paraId="044DD96D"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99ACE7D"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BACKGROUND</w:t>
      </w:r>
    </w:p>
    <w:p w14:paraId="02F06B7A"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Oxidative damage of DNA and RNA has been associated with mortality of patients with different diseases. However, there is no published data on the potential use of DNA and RNA oxidative damage to predict the prognosis of patients with hepatocellular carcinoma (HCC) undergoing liver transplantation (LT).</w:t>
      </w:r>
    </w:p>
    <w:p w14:paraId="5C57E788" w14:textId="77777777" w:rsidR="00540D55" w:rsidRDefault="00540D55">
      <w:pPr>
        <w:spacing w:line="360" w:lineRule="auto"/>
        <w:jc w:val="both"/>
        <w:rPr>
          <w:rFonts w:ascii="Book Antiqua" w:hAnsi="Book Antiqua"/>
        </w:rPr>
      </w:pPr>
    </w:p>
    <w:p w14:paraId="335A3FCD"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AIM</w:t>
      </w:r>
    </w:p>
    <w:p w14:paraId="284E5B77"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To determine whether patients with increased DNA and RNA oxidative damage prior to LT for HCC have a poor LT prognosis.</w:t>
      </w:r>
    </w:p>
    <w:p w14:paraId="61179C5A" w14:textId="77777777" w:rsidR="00540D55" w:rsidRDefault="00540D55">
      <w:pPr>
        <w:spacing w:line="360" w:lineRule="auto"/>
        <w:jc w:val="both"/>
        <w:rPr>
          <w:rFonts w:ascii="Book Antiqua" w:hAnsi="Book Antiqua"/>
        </w:rPr>
      </w:pPr>
    </w:p>
    <w:p w14:paraId="61D60468"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METHODS</w:t>
      </w:r>
    </w:p>
    <w:p w14:paraId="6A73F035"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Patients with HCC who underwent LT were included in this observational and retrospective study. Serum levels of all </w:t>
      </w:r>
      <w:r>
        <w:rPr>
          <w:rFonts w:ascii="Book Antiqua" w:eastAsia="Book Antiqua" w:hAnsi="Book Antiqua" w:cs="Book Antiqua"/>
          <w:color w:val="000000"/>
          <w:shd w:val="clear" w:color="auto" w:fill="FFFFFF"/>
        </w:rPr>
        <w:t xml:space="preserve">three oxidized guanine species (OGS) were measured prior to LT since guanine is the nucleobase that forms DNA and RNA most prone to oxidation. </w:t>
      </w:r>
      <w:r>
        <w:rPr>
          <w:rFonts w:ascii="Book Antiqua" w:eastAsia="Book Antiqua" w:hAnsi="Book Antiqua" w:cs="Book Antiqua"/>
          <w:color w:val="000000"/>
        </w:rPr>
        <w:t>LT mortality at 1 year was the end-point study.</w:t>
      </w:r>
    </w:p>
    <w:p w14:paraId="7CD306B4" w14:textId="77777777" w:rsidR="00540D55" w:rsidRDefault="00540D55">
      <w:pPr>
        <w:spacing w:line="360" w:lineRule="auto"/>
        <w:jc w:val="both"/>
        <w:rPr>
          <w:rFonts w:ascii="Book Antiqua" w:hAnsi="Book Antiqua"/>
        </w:rPr>
      </w:pPr>
    </w:p>
    <w:p w14:paraId="46B52558"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RESULTS</w:t>
      </w:r>
    </w:p>
    <w:p w14:paraId="2E6687D9"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Surviving patients (</w:t>
      </w:r>
      <w:r>
        <w:rPr>
          <w:rFonts w:ascii="Book Antiqua" w:eastAsia="Book Antiqua" w:hAnsi="Book Antiqua" w:cs="Book Antiqua"/>
          <w:i/>
          <w:iCs/>
          <w:color w:val="000000"/>
        </w:rPr>
        <w:t>n</w:t>
      </w:r>
      <w:r>
        <w:rPr>
          <w:rFonts w:ascii="Book Antiqua" w:hAnsi="Book Antiqua" w:cs="Book Antiqua"/>
          <w:color w:val="000000"/>
          <w:lang w:eastAsia="zh-CN"/>
        </w:rPr>
        <w:t xml:space="preserve"> </w:t>
      </w:r>
      <w:r>
        <w:rPr>
          <w:rFonts w:ascii="Book Antiqua" w:eastAsia="Book Antiqua" w:hAnsi="Book Antiqua" w:cs="Book Antiqua"/>
          <w:color w:val="000000"/>
        </w:rPr>
        <w:t>= 101) showed lower serum OGS levels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0.01) and lower age of the liver donor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0.03) than non-surviving patients (</w:t>
      </w:r>
      <w:r>
        <w:rPr>
          <w:rFonts w:ascii="Book Antiqua" w:eastAsia="Book Antiqua" w:hAnsi="Book Antiqua" w:cs="Book Antiqua"/>
          <w:i/>
          <w:iCs/>
          <w:color w:val="000000"/>
        </w:rPr>
        <w:t>n</w:t>
      </w:r>
      <w:r>
        <w:rPr>
          <w:rFonts w:ascii="Book Antiqua" w:hAnsi="Book Antiqua" w:cs="Book Antiqua"/>
          <w:color w:val="000000"/>
          <w:lang w:eastAsia="zh-CN"/>
        </w:rPr>
        <w:t xml:space="preserve"> </w:t>
      </w:r>
      <w:r>
        <w:rPr>
          <w:rFonts w:ascii="Book Antiqua" w:eastAsia="Book Antiqua" w:hAnsi="Book Antiqua" w:cs="Book Antiqua"/>
          <w:color w:val="000000"/>
        </w:rPr>
        <w:t>= 13). An association between serum OGS levels prior to LT and 1-year LT (</w:t>
      </w:r>
      <w:r>
        <w:rPr>
          <w:rFonts w:ascii="Book Antiqua" w:hAnsi="Book Antiqua" w:cs="Book Antiqua"/>
          <w:color w:val="000000"/>
          <w:lang w:eastAsia="zh-CN"/>
        </w:rPr>
        <w:t>o</w:t>
      </w:r>
      <w:r>
        <w:rPr>
          <w:rFonts w:ascii="Book Antiqua" w:eastAsia="Book Antiqua" w:hAnsi="Book Antiqua" w:cs="Book Antiqua"/>
          <w:color w:val="000000"/>
        </w:rPr>
        <w:t xml:space="preserve">dds </w:t>
      </w:r>
      <w:r>
        <w:rPr>
          <w:rFonts w:ascii="Book Antiqua" w:hAnsi="Book Antiqua" w:cs="Book Antiqua"/>
          <w:color w:val="000000"/>
          <w:lang w:eastAsia="zh-CN"/>
        </w:rPr>
        <w:t>r</w:t>
      </w:r>
      <w:r>
        <w:rPr>
          <w:rFonts w:ascii="Book Antiqua" w:eastAsia="Book Antiqua" w:hAnsi="Book Antiqua" w:cs="Book Antiqua"/>
          <w:color w:val="000000"/>
        </w:rPr>
        <w:t>atio</w:t>
      </w:r>
      <w:r>
        <w:rPr>
          <w:rFonts w:ascii="Book Antiqua" w:hAnsi="Book Antiqua" w:cs="Book Antiqua"/>
          <w:color w:val="000000"/>
          <w:lang w:eastAsia="zh-CN"/>
        </w:rPr>
        <w:t xml:space="preserve"> </w:t>
      </w:r>
      <w:r>
        <w:rPr>
          <w:rFonts w:ascii="Book Antiqua" w:eastAsia="Book Antiqua" w:hAnsi="Book Antiqua" w:cs="Book Antiqua"/>
          <w:color w:val="000000"/>
        </w:rPr>
        <w:t>= 2.079; 95%</w:t>
      </w:r>
      <w:r>
        <w:rPr>
          <w:rFonts w:ascii="Book Antiqua" w:hAnsi="Book Antiqua"/>
          <w:lang w:eastAsia="zh-CN"/>
        </w:rPr>
        <w:t xml:space="preserve"> c</w:t>
      </w:r>
      <w:r>
        <w:rPr>
          <w:rFonts w:ascii="Book Antiqua" w:hAnsi="Book Antiqua"/>
        </w:rPr>
        <w:t xml:space="preserve">onfidence </w:t>
      </w:r>
      <w:r>
        <w:rPr>
          <w:rFonts w:ascii="Book Antiqua" w:hAnsi="Book Antiqua"/>
          <w:lang w:eastAsia="zh-CN"/>
        </w:rPr>
        <w:t>i</w:t>
      </w:r>
      <w:r>
        <w:rPr>
          <w:rFonts w:ascii="Book Antiqua" w:hAnsi="Book Antiqua"/>
        </w:rPr>
        <w:t>nterval</w:t>
      </w:r>
      <w:r>
        <w:rPr>
          <w:rFonts w:ascii="Book Antiqua" w:eastAsia="Book Antiqua" w:hAnsi="Book Antiqua" w:cs="Book Antiqua"/>
          <w:color w:val="000000"/>
        </w:rPr>
        <w:t xml:space="preserve"> = 1.356-3.189;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0.001) was found in the logistic regression analysis.</w:t>
      </w:r>
    </w:p>
    <w:p w14:paraId="2E76525F" w14:textId="77777777" w:rsidR="00540D55" w:rsidRDefault="00540D55">
      <w:pPr>
        <w:spacing w:line="360" w:lineRule="auto"/>
        <w:jc w:val="both"/>
        <w:rPr>
          <w:rFonts w:ascii="Book Antiqua" w:hAnsi="Book Antiqua"/>
        </w:rPr>
      </w:pPr>
    </w:p>
    <w:p w14:paraId="0C42C561"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CONCLUSION</w:t>
      </w:r>
    </w:p>
    <w:p w14:paraId="789ADCEC"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The main new finding was that high serum OGS concentration prior to LT was associated with the mortality 1 year after LT in HCC patients.</w:t>
      </w:r>
    </w:p>
    <w:p w14:paraId="681A3CE6" w14:textId="77777777" w:rsidR="00540D55" w:rsidRDefault="00540D55">
      <w:pPr>
        <w:spacing w:line="360" w:lineRule="auto"/>
        <w:jc w:val="both"/>
        <w:rPr>
          <w:rFonts w:ascii="Book Antiqua" w:hAnsi="Book Antiqua"/>
        </w:rPr>
      </w:pPr>
    </w:p>
    <w:p w14:paraId="519F2470" w14:textId="77777777" w:rsidR="00540D55" w:rsidRDefault="00624241">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DNA oxidative damage; </w:t>
      </w:r>
      <w:r>
        <w:rPr>
          <w:rFonts w:ascii="Book Antiqua" w:hAnsi="Book Antiqua" w:cs="Book Antiqua"/>
          <w:color w:val="000000"/>
          <w:lang w:eastAsia="zh-CN"/>
        </w:rPr>
        <w:t>H</w:t>
      </w:r>
      <w:r>
        <w:rPr>
          <w:rFonts w:ascii="Book Antiqua" w:eastAsia="Book Antiqua" w:hAnsi="Book Antiqua" w:cs="Book Antiqua"/>
          <w:color w:val="000000"/>
        </w:rPr>
        <w:t xml:space="preserve">epatocellular carcinoma; </w:t>
      </w:r>
      <w:r>
        <w:rPr>
          <w:rFonts w:ascii="Book Antiqua" w:hAnsi="Book Antiqua" w:cs="Book Antiqua"/>
          <w:color w:val="000000"/>
          <w:lang w:eastAsia="zh-CN"/>
        </w:rPr>
        <w:t>L</w:t>
      </w:r>
      <w:r>
        <w:rPr>
          <w:rFonts w:ascii="Book Antiqua" w:eastAsia="Book Antiqua" w:hAnsi="Book Antiqua" w:cs="Book Antiqua"/>
          <w:color w:val="000000"/>
        </w:rPr>
        <w:t xml:space="preserve">iver transplantation; </w:t>
      </w:r>
      <w:r>
        <w:rPr>
          <w:rFonts w:ascii="Book Antiqua" w:hAnsi="Book Antiqua" w:cs="Book Antiqua"/>
          <w:color w:val="000000"/>
          <w:lang w:eastAsia="zh-CN"/>
        </w:rPr>
        <w:t>M</w:t>
      </w:r>
      <w:r>
        <w:rPr>
          <w:rFonts w:ascii="Book Antiqua" w:eastAsia="Book Antiqua" w:hAnsi="Book Antiqua" w:cs="Book Antiqua"/>
          <w:color w:val="000000"/>
        </w:rPr>
        <w:t>ortality</w:t>
      </w:r>
      <w:r>
        <w:rPr>
          <w:rFonts w:ascii="Book Antiqua" w:hAnsi="Book Antiqua" w:cs="Book Antiqua"/>
          <w:color w:val="000000"/>
          <w:lang w:eastAsia="zh-CN"/>
        </w:rPr>
        <w:t xml:space="preserve">; </w:t>
      </w:r>
      <w:r>
        <w:rPr>
          <w:rFonts w:ascii="Book Antiqua" w:hAnsi="Book Antiqua" w:cs="Book Antiqua"/>
          <w:color w:val="000000"/>
          <w:shd w:val="clear" w:color="auto" w:fill="FFFFFF"/>
          <w:lang w:eastAsia="zh-CN"/>
        </w:rPr>
        <w:t>O</w:t>
      </w:r>
      <w:r>
        <w:rPr>
          <w:rFonts w:ascii="Book Antiqua" w:eastAsia="Book Antiqua" w:hAnsi="Book Antiqua" w:cs="Book Antiqua"/>
          <w:color w:val="000000"/>
          <w:shd w:val="clear" w:color="auto" w:fill="FFFFFF"/>
        </w:rPr>
        <w:t>xidized guanine species</w:t>
      </w:r>
    </w:p>
    <w:p w14:paraId="6145B134" w14:textId="0ED95A89" w:rsidR="00540D55" w:rsidRDefault="00540D55">
      <w:pPr>
        <w:spacing w:line="360" w:lineRule="auto"/>
        <w:jc w:val="both"/>
        <w:rPr>
          <w:rFonts w:ascii="Book Antiqua" w:hAnsi="Book Antiqua"/>
        </w:rPr>
      </w:pPr>
    </w:p>
    <w:p w14:paraId="638DB601" w14:textId="77777777" w:rsidR="00070214" w:rsidRDefault="00070214" w:rsidP="00070214">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372F616" w14:textId="77777777" w:rsidR="00070214" w:rsidRDefault="00070214">
      <w:pPr>
        <w:spacing w:line="360" w:lineRule="auto"/>
        <w:jc w:val="both"/>
        <w:rPr>
          <w:rFonts w:ascii="Book Antiqua" w:hAnsi="Book Antiqua"/>
        </w:rPr>
      </w:pPr>
    </w:p>
    <w:p w14:paraId="2A9779A7" w14:textId="1630F976" w:rsidR="00AB2581" w:rsidRDefault="00AB2581">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624241">
        <w:rPr>
          <w:rFonts w:ascii="Book Antiqua" w:eastAsia="Book Antiqua" w:hAnsi="Book Antiqua" w:cs="Book Antiqua"/>
          <w:color w:val="000000"/>
        </w:rPr>
        <w:t xml:space="preserve">Lorente L, Rodriguez ST, Sanz P, González-Rivero AF, Pérez-Cejas A, Padilla J, Díaz D, González A, Martín MM, Jiménez A, Cerro P, Portero J, Barrera MA. DNA and RNA oxidative damage in hepatocellular carcinoma patients and mortality during the first year of liver transplantation. </w:t>
      </w:r>
      <w:r w:rsidR="00624241">
        <w:rPr>
          <w:rFonts w:ascii="Book Antiqua" w:eastAsia="Book Antiqua" w:hAnsi="Book Antiqua" w:cs="Book Antiqua"/>
          <w:i/>
          <w:iCs/>
          <w:color w:val="000000"/>
        </w:rPr>
        <w:t>World J Hepatol</w:t>
      </w:r>
      <w:r w:rsidR="00624241">
        <w:rPr>
          <w:rFonts w:ascii="Book Antiqua" w:eastAsia="Book Antiqua" w:hAnsi="Book Antiqua" w:cs="Book Antiqua"/>
          <w:color w:val="000000"/>
        </w:rPr>
        <w:t xml:space="preserve"> 2022; </w:t>
      </w:r>
      <w:r w:rsidR="00624241">
        <w:rPr>
          <w:rFonts w:ascii="Book Antiqua" w:eastAsia="Book Antiqua" w:hAnsi="Book Antiqua" w:cs="Book Antiqua" w:hint="eastAsia"/>
          <w:color w:val="000000"/>
        </w:rPr>
        <w:t xml:space="preserve">14(6): </w:t>
      </w:r>
      <w:r>
        <w:rPr>
          <w:rFonts w:ascii="Book Antiqua" w:eastAsia="Book Antiqua" w:hAnsi="Book Antiqua" w:cs="Book Antiqua"/>
          <w:color w:val="000000"/>
        </w:rPr>
        <w:t>1182</w:t>
      </w:r>
      <w:r w:rsidR="00624241">
        <w:rPr>
          <w:rFonts w:ascii="Book Antiqua" w:eastAsia="Book Antiqua" w:hAnsi="Book Antiqua" w:cs="Book Antiqua" w:hint="eastAsia"/>
          <w:color w:val="000000"/>
        </w:rPr>
        <w:t>-</w:t>
      </w:r>
      <w:r>
        <w:rPr>
          <w:rFonts w:ascii="Book Antiqua" w:eastAsia="Book Antiqua" w:hAnsi="Book Antiqua" w:cs="Book Antiqua"/>
          <w:color w:val="000000"/>
        </w:rPr>
        <w:t>1189</w:t>
      </w:r>
      <w:r w:rsidR="00624241">
        <w:rPr>
          <w:rFonts w:ascii="Book Antiqua" w:eastAsia="Book Antiqua" w:hAnsi="Book Antiqua" w:cs="Book Antiqua" w:hint="eastAsia"/>
          <w:color w:val="000000"/>
        </w:rPr>
        <w:t xml:space="preserve"> </w:t>
      </w:r>
    </w:p>
    <w:p w14:paraId="23D5C8DB" w14:textId="44F852FE" w:rsidR="00AB2581" w:rsidRPr="00AB2581" w:rsidRDefault="00624241">
      <w:pPr>
        <w:spacing w:line="360" w:lineRule="auto"/>
        <w:jc w:val="both"/>
        <w:rPr>
          <w:rFonts w:ascii="Book Antiqua" w:eastAsia="Book Antiqua" w:hAnsi="Book Antiqua" w:cs="Book Antiqua"/>
        </w:rPr>
      </w:pPr>
      <w:r w:rsidRPr="00AB2581">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6" w:history="1">
        <w:r w:rsidR="00AB2581" w:rsidRPr="00AB2581">
          <w:rPr>
            <w:rStyle w:val="aa"/>
            <w:rFonts w:ascii="Book Antiqua" w:eastAsia="Book Antiqua" w:hAnsi="Book Antiqua" w:cs="Book Antiqua" w:hint="eastAsia"/>
            <w:color w:val="auto"/>
            <w:u w:val="none"/>
          </w:rPr>
          <w:t>https://www.wjgnet.com/1948-5182/full/v14/i6/</w:t>
        </w:r>
        <w:r w:rsidR="00AB2581" w:rsidRPr="00AB2581">
          <w:rPr>
            <w:rStyle w:val="aa"/>
            <w:rFonts w:ascii="Book Antiqua" w:eastAsia="Book Antiqua" w:hAnsi="Book Antiqua" w:cs="Book Antiqua"/>
            <w:color w:val="auto"/>
            <w:u w:val="none"/>
          </w:rPr>
          <w:t>1182</w:t>
        </w:r>
        <w:r w:rsidR="00AB2581" w:rsidRPr="00AB2581">
          <w:rPr>
            <w:rStyle w:val="aa"/>
            <w:rFonts w:ascii="Book Antiqua" w:eastAsia="Book Antiqua" w:hAnsi="Book Antiqua" w:cs="Book Antiqua" w:hint="eastAsia"/>
            <w:color w:val="auto"/>
            <w:u w:val="none"/>
          </w:rPr>
          <w:t>.htm</w:t>
        </w:r>
      </w:hyperlink>
      <w:r w:rsidRPr="00AB2581">
        <w:rPr>
          <w:rFonts w:ascii="Book Antiqua" w:eastAsia="Book Antiqua" w:hAnsi="Book Antiqua" w:cs="Book Antiqua" w:hint="eastAsia"/>
        </w:rPr>
        <w:t xml:space="preserve"> </w:t>
      </w:r>
    </w:p>
    <w:p w14:paraId="49AC13E6" w14:textId="7CD4C523" w:rsidR="00540D55" w:rsidRDefault="00624241">
      <w:pPr>
        <w:spacing w:line="360" w:lineRule="auto"/>
        <w:jc w:val="both"/>
        <w:rPr>
          <w:rFonts w:ascii="Book Antiqua" w:eastAsia="Book Antiqua" w:hAnsi="Book Antiqua" w:cs="Book Antiqua"/>
          <w:color w:val="000000"/>
        </w:rPr>
      </w:pPr>
      <w:r w:rsidRPr="00AB2581">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AB2581">
        <w:rPr>
          <w:rFonts w:ascii="Book Antiqua" w:eastAsia="Book Antiqua" w:hAnsi="Book Antiqua" w:cs="Book Antiqua"/>
          <w:color w:val="000000"/>
        </w:rPr>
        <w:t>1182</w:t>
      </w:r>
    </w:p>
    <w:p w14:paraId="698429A1" w14:textId="77777777" w:rsidR="00540D55" w:rsidRDefault="00540D55">
      <w:pPr>
        <w:spacing w:line="360" w:lineRule="auto"/>
        <w:jc w:val="both"/>
        <w:rPr>
          <w:rFonts w:ascii="Book Antiqua" w:hAnsi="Book Antiqua"/>
        </w:rPr>
      </w:pPr>
    </w:p>
    <w:p w14:paraId="0E3E05D8"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potential use of DNA and RNA oxidative damage to predict prognosis of patients with hepatocellular carcinoma who underwent liver transplantation is unknown. In this retrospective study serum levels of the three oxidized guanine species before liver transplantation in 114 patients were measured. One-year survivor patients showed lower serum oxidized guanine specie levels than non-survivor patients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0.01). These preliminary results could induce studies to clarify the potential role of oxidative damage in the prognosis of liver transplantation patients due to hepatocellular carcinoma and to explore the use of antioxidant agents to reduce oxidative stress in those patients.</w:t>
      </w:r>
    </w:p>
    <w:p w14:paraId="7C72E8B6" w14:textId="77777777" w:rsidR="00540D55" w:rsidRDefault="00540D55">
      <w:pPr>
        <w:spacing w:line="360" w:lineRule="auto"/>
        <w:jc w:val="both"/>
        <w:rPr>
          <w:rFonts w:ascii="Book Antiqua" w:hAnsi="Book Antiqua"/>
        </w:rPr>
      </w:pPr>
    </w:p>
    <w:p w14:paraId="5F5685A0" w14:textId="77777777" w:rsidR="00540D55" w:rsidRDefault="0062424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551408A"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Liver transplantation (LT) could be the treatment of choice in some patients with hepatocellular carcinoma (HCC)</w:t>
      </w:r>
      <w:r>
        <w:rPr>
          <w:rFonts w:ascii="Book Antiqua" w:eastAsia="Book Antiqua" w:hAnsi="Book Antiqua" w:cs="Book Antiqua"/>
          <w:color w:val="000000"/>
          <w:vertAlign w:val="superscript"/>
        </w:rPr>
        <w:t>[1-4]</w:t>
      </w:r>
      <w:r>
        <w:rPr>
          <w:rFonts w:ascii="Book Antiqua" w:eastAsia="Book Antiqua" w:hAnsi="Book Antiqua" w:cs="Book Antiqua"/>
          <w:color w:val="000000"/>
        </w:rPr>
        <w:t>, which is the most common malignant liver tumor and is responsible for many deaths. LT may be an appropriate choice because it treats liver failure</w:t>
      </w:r>
      <w:r>
        <w:rPr>
          <w:rFonts w:ascii="Book Antiqua" w:hAnsi="Book Antiqua" w:cs="Book Antiqua"/>
          <w:color w:val="000000"/>
          <w:lang w:eastAsia="zh-CN"/>
        </w:rPr>
        <w:t xml:space="preserve"> </w:t>
      </w:r>
      <w:r>
        <w:rPr>
          <w:rFonts w:ascii="Book Antiqua" w:eastAsia="Book Antiqua" w:hAnsi="Book Antiqua" w:cs="Book Antiqua"/>
          <w:color w:val="000000"/>
        </w:rPr>
        <w:t>and removes the liver tumor</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6925B9CF" w14:textId="77777777" w:rsidR="00540D55" w:rsidRDefault="00624241">
      <w:pPr>
        <w:spacing w:line="360" w:lineRule="auto"/>
        <w:ind w:firstLineChars="200" w:firstLine="480"/>
        <w:jc w:val="both"/>
        <w:rPr>
          <w:rFonts w:ascii="Book Antiqua" w:hAnsi="Book Antiqua"/>
        </w:rPr>
      </w:pPr>
      <w:r>
        <w:rPr>
          <w:rFonts w:ascii="Book Antiqua" w:eastAsia="Book Antiqua" w:hAnsi="Book Antiqua" w:cs="Book Antiqua"/>
          <w:color w:val="000000"/>
        </w:rPr>
        <w:t>The possible contribution of the oxidative state in chronic liver disease progression and in hepatocarcinogenesis development has been suggested</w:t>
      </w:r>
      <w:r>
        <w:rPr>
          <w:rFonts w:ascii="Book Antiqua" w:eastAsia="Book Antiqua" w:hAnsi="Book Antiqua" w:cs="Book Antiqua"/>
          <w:color w:val="000000"/>
          <w:vertAlign w:val="superscript"/>
        </w:rPr>
        <w:t>[9-12]</w:t>
      </w:r>
      <w:r>
        <w:rPr>
          <w:rFonts w:ascii="Book Antiqua" w:eastAsia="Book Antiqua" w:hAnsi="Book Antiqua" w:cs="Book Antiqua"/>
          <w:color w:val="000000"/>
        </w:rPr>
        <w:t xml:space="preserve">. RNA, DNA, lipids and proteins could be damaged by reactive oxygen species during oxidative stress. The five types of nucleobases present in RNA and DNA are adenine, guanine, cytosine, uracil </w:t>
      </w:r>
      <w:r>
        <w:rPr>
          <w:rFonts w:ascii="Book Antiqua" w:eastAsia="Book Antiqua" w:hAnsi="Book Antiqua" w:cs="Book Antiqua"/>
          <w:color w:val="000000"/>
        </w:rPr>
        <w:lastRenderedPageBreak/>
        <w:t>and thymine; but only four types of those nucleobases constitute RNA and DNA. In both, RNA and DNA, guanine, adenine and cytosine are present. In addition, uracil is present in RNA and thymine in DNA. Guanine is the nucleobase most prone to oxidation since it has the lowest redox potential</w:t>
      </w:r>
      <w:r>
        <w:rPr>
          <w:rFonts w:ascii="Book Antiqua" w:eastAsia="Book Antiqua" w:hAnsi="Book Antiqua" w:cs="Book Antiqua"/>
          <w:color w:val="000000"/>
          <w:vertAlign w:val="superscript"/>
        </w:rPr>
        <w:t>[13-16]</w:t>
      </w:r>
      <w:r>
        <w:rPr>
          <w:rFonts w:ascii="Book Antiqua" w:eastAsia="Book Antiqua" w:hAnsi="Book Antiqua" w:cs="Book Antiqua"/>
          <w:color w:val="000000"/>
        </w:rPr>
        <w:t>. The three species of oxidized guanine species (OGS) are 8-hydroxyguanine from DNA or RNA, 8-hydroxyguanosine from RNA, and 8-hydroxy-2’-deoxyguanosine from DNA.</w:t>
      </w:r>
    </w:p>
    <w:p w14:paraId="67562592" w14:textId="77777777" w:rsidR="00540D55" w:rsidRDefault="00624241">
      <w:pPr>
        <w:spacing w:line="360" w:lineRule="auto"/>
        <w:ind w:firstLineChars="200" w:firstLine="480"/>
        <w:jc w:val="both"/>
        <w:rPr>
          <w:rFonts w:ascii="Book Antiqua" w:hAnsi="Book Antiqua"/>
        </w:rPr>
      </w:pPr>
      <w:r>
        <w:rPr>
          <w:rFonts w:ascii="Book Antiqua" w:eastAsia="Book Antiqua" w:hAnsi="Book Antiqua" w:cs="Book Antiqua"/>
          <w:color w:val="000000"/>
        </w:rPr>
        <w:t>An association between DNA and RNA oxidative damage and mortality has been found in patients with other diseases such as sepsis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Greater DNA oxidative damage (assessed by concentrations of 8-hydroxy-2’-deoxyguanosine in liver biopsy samples) has been found in patients with chronic hepatic disease with HCC than without it</w:t>
      </w:r>
      <w:r>
        <w:rPr>
          <w:rFonts w:ascii="Book Antiqua" w:eastAsia="Book Antiqua" w:hAnsi="Book Antiqua" w:cs="Book Antiqua"/>
          <w:color w:val="000000"/>
          <w:vertAlign w:val="superscript"/>
        </w:rPr>
        <w:t>[18,19]</w:t>
      </w:r>
      <w:r>
        <w:rPr>
          <w:rFonts w:ascii="Book Antiqua" w:eastAsia="Book Antiqua" w:hAnsi="Book Antiqua" w:cs="Book Antiqua"/>
          <w:color w:val="000000"/>
        </w:rPr>
        <w:t>. However, there is no published data about the potential use of DNA and RNA oxidative damage to predict the prognosis of patients with HCC and who underwent LT. Therefore, the aim in our study was to analyze the potential association between increased oxidative DNA and RNA damage before LT for HCC and poorer LT prognosis.</w:t>
      </w:r>
    </w:p>
    <w:p w14:paraId="6EEC370A" w14:textId="77777777" w:rsidR="00540D55" w:rsidRDefault="00540D55">
      <w:pPr>
        <w:spacing w:line="360" w:lineRule="auto"/>
        <w:jc w:val="both"/>
        <w:rPr>
          <w:rFonts w:ascii="Book Antiqua" w:hAnsi="Book Antiqua"/>
        </w:rPr>
      </w:pPr>
    </w:p>
    <w:p w14:paraId="77087523" w14:textId="77777777" w:rsidR="00540D55" w:rsidRDefault="00624241">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A82BF52" w14:textId="77777777" w:rsidR="00540D55" w:rsidRDefault="00624241">
      <w:pPr>
        <w:spacing w:line="360" w:lineRule="auto"/>
        <w:jc w:val="both"/>
        <w:rPr>
          <w:rFonts w:ascii="Book Antiqua" w:hAnsi="Book Antiqua"/>
          <w:i/>
        </w:rPr>
      </w:pPr>
      <w:r>
        <w:rPr>
          <w:rFonts w:ascii="Book Antiqua" w:eastAsia="Book Antiqua" w:hAnsi="Book Antiqua" w:cs="Book Antiqua"/>
          <w:b/>
          <w:bCs/>
          <w:i/>
          <w:color w:val="000000"/>
        </w:rPr>
        <w:t xml:space="preserve">Design and </w:t>
      </w:r>
      <w:r>
        <w:rPr>
          <w:rFonts w:ascii="Book Antiqua" w:hAnsi="Book Antiqua" w:cs="Book Antiqua"/>
          <w:b/>
          <w:bCs/>
          <w:i/>
          <w:color w:val="000000"/>
          <w:lang w:eastAsia="zh-CN"/>
        </w:rPr>
        <w:t>p</w:t>
      </w:r>
      <w:r>
        <w:rPr>
          <w:rFonts w:ascii="Book Antiqua" w:eastAsia="Book Antiqua" w:hAnsi="Book Antiqua" w:cs="Book Antiqua"/>
          <w:b/>
          <w:bCs/>
          <w:i/>
          <w:color w:val="000000"/>
        </w:rPr>
        <w:t>atients</w:t>
      </w:r>
    </w:p>
    <w:p w14:paraId="24F26D28"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We included patients who underwent LT due to HCC between May 2001 to May 2017. LT were carried out in the Hospital Universitario Nuestra Señora de Candelaria (Santa Cruz de Tenerife, Spain). This observational and retrospective study was performed after the approval by the Institutional Review Board. Patients were included after the written informed consent was obtained by the LT recipient or a family member. All LT donors were brain dead. Serum samples were obtained before LT and frozen at -80</w:t>
      </w:r>
      <w:r>
        <w:rPr>
          <w:rFonts w:ascii="Book Antiqua" w:hAnsi="Book Antiqua" w:cs="Book Antiqua"/>
          <w:color w:val="000000"/>
          <w:lang w:eastAsia="zh-CN"/>
        </w:rPr>
        <w:t xml:space="preserve"> </w:t>
      </w:r>
      <w:r>
        <w:rPr>
          <w:rFonts w:ascii="Book Antiqua" w:eastAsia="Book Antiqua" w:hAnsi="Book Antiqua" w:cs="Book Antiqua"/>
          <w:color w:val="000000"/>
        </w:rPr>
        <w:t>ºC, and serum concentrations of 8-hydroxy-2’-deoxyguanosine were determined in those samples.</w:t>
      </w:r>
    </w:p>
    <w:p w14:paraId="03524C23" w14:textId="77777777" w:rsidR="00540D55" w:rsidRDefault="00540D55">
      <w:pPr>
        <w:spacing w:line="360" w:lineRule="auto"/>
        <w:jc w:val="both"/>
        <w:rPr>
          <w:rFonts w:ascii="Book Antiqua" w:hAnsi="Book Antiqua"/>
        </w:rPr>
      </w:pPr>
    </w:p>
    <w:p w14:paraId="073F7B76" w14:textId="77777777" w:rsidR="00540D55" w:rsidRDefault="00624241">
      <w:pPr>
        <w:spacing w:line="360" w:lineRule="auto"/>
        <w:jc w:val="both"/>
        <w:rPr>
          <w:rFonts w:ascii="Book Antiqua" w:hAnsi="Book Antiqua"/>
          <w:i/>
        </w:rPr>
      </w:pPr>
      <w:r>
        <w:rPr>
          <w:rFonts w:ascii="Book Antiqua" w:eastAsia="Book Antiqua" w:hAnsi="Book Antiqua" w:cs="Book Antiqua"/>
          <w:b/>
          <w:bCs/>
          <w:i/>
          <w:color w:val="000000"/>
        </w:rPr>
        <w:t xml:space="preserve">Variables </w:t>
      </w:r>
    </w:p>
    <w:p w14:paraId="29701FCF"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Sex, age, nodule size, degree of tumor differentiation, Child-Pugh score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infiltration, serum alpha-fetoprotein level, macrovascular invasion, multinodular tumor, portal hypertension (determined either by clinical data or by hepatic venous pressure gradient), </w:t>
      </w:r>
      <w:r>
        <w:rPr>
          <w:rFonts w:ascii="Book Antiqua" w:eastAsia="Book Antiqua" w:hAnsi="Book Antiqua" w:cs="Book Antiqua"/>
          <w:color w:val="000000"/>
        </w:rPr>
        <w:lastRenderedPageBreak/>
        <w:t>microvascular invasion,</w:t>
      </w:r>
      <w:r>
        <w:rPr>
          <w:rFonts w:ascii="Book Antiqua" w:hAnsi="Book Antiqua" w:cs="Book Antiqua"/>
          <w:color w:val="000000"/>
          <w:lang w:eastAsia="zh-CN"/>
        </w:rPr>
        <w:t xml:space="preserve"> </w:t>
      </w:r>
      <w:r>
        <w:rPr>
          <w:rFonts w:ascii="Book Antiqua" w:eastAsia="Book Antiqua" w:hAnsi="Book Antiqua" w:cs="Book Antiqua"/>
          <w:color w:val="000000"/>
        </w:rPr>
        <w:t>model for end-stage</w:t>
      </w:r>
      <w:r>
        <w:rPr>
          <w:rFonts w:ascii="Book Antiqua" w:hAnsi="Book Antiqua" w:cs="Book Antiqua"/>
          <w:color w:val="000000"/>
          <w:lang w:eastAsia="zh-CN"/>
        </w:rPr>
        <w:t xml:space="preserve"> </w:t>
      </w:r>
      <w:r>
        <w:rPr>
          <w:rFonts w:ascii="Book Antiqua" w:eastAsia="Book Antiqua" w:hAnsi="Book Antiqua" w:cs="Book Antiqua"/>
          <w:color w:val="000000"/>
        </w:rPr>
        <w:t>liver disease score</w:t>
      </w:r>
      <w:r>
        <w:rPr>
          <w:rFonts w:ascii="Book Antiqua" w:eastAsia="Book Antiqua" w:hAnsi="Book Antiqua" w:cs="Book Antiqua"/>
          <w:color w:val="000000"/>
          <w:vertAlign w:val="superscript"/>
        </w:rPr>
        <w:t>[21]</w:t>
      </w:r>
      <w:r>
        <w:rPr>
          <w:rFonts w:ascii="Book Antiqua" w:hAnsi="Book Antiqua" w:cs="Book Antiqua"/>
          <w:color w:val="000000"/>
          <w:lang w:eastAsia="zh-CN"/>
        </w:rPr>
        <w:t xml:space="preserve"> </w:t>
      </w:r>
      <w:r>
        <w:rPr>
          <w:rFonts w:ascii="Book Antiqua" w:eastAsia="Book Antiqua" w:hAnsi="Book Antiqua" w:cs="Book Antiqua"/>
          <w:color w:val="000000"/>
        </w:rPr>
        <w:t>by hepatic function,</w:t>
      </w:r>
      <w:r>
        <w:rPr>
          <w:rFonts w:ascii="Book Antiqua" w:hAnsi="Book Antiqua" w:cs="Book Antiqua"/>
          <w:color w:val="000000"/>
          <w:lang w:eastAsia="zh-CN"/>
        </w:rPr>
        <w:t xml:space="preserve"> </w:t>
      </w:r>
      <w:r>
        <w:rPr>
          <w:rFonts w:ascii="Book Antiqua" w:eastAsia="Book Antiqua" w:hAnsi="Book Antiqua" w:cs="Book Antiqua"/>
          <w:color w:val="000000"/>
        </w:rPr>
        <w:t>treatment before LT, LT technique and inside Milan criteria</w:t>
      </w:r>
      <w:r>
        <w:rPr>
          <w:rFonts w:ascii="Book Antiqua" w:eastAsia="Book Antiqua" w:hAnsi="Book Antiqua" w:cs="Book Antiqua"/>
          <w:color w:val="000000"/>
          <w:vertAlign w:val="superscript"/>
        </w:rPr>
        <w:t>[22]</w:t>
      </w:r>
      <w:r>
        <w:rPr>
          <w:rFonts w:ascii="Book Antiqua" w:hAnsi="Book Antiqua" w:cs="Book Antiqua"/>
          <w:color w:val="000000"/>
          <w:lang w:eastAsia="zh-CN"/>
        </w:rPr>
        <w:t xml:space="preserve"> </w:t>
      </w:r>
      <w:r>
        <w:rPr>
          <w:rFonts w:ascii="Book Antiqua" w:eastAsia="Book Antiqua" w:hAnsi="Book Antiqua" w:cs="Book Antiqua"/>
          <w:color w:val="000000"/>
        </w:rPr>
        <w:t>before and after LT were registered. In addition, age of LT donor was registered. One-year LT survival was considered our end-point study.</w:t>
      </w:r>
    </w:p>
    <w:p w14:paraId="4D810CAC" w14:textId="77777777" w:rsidR="00540D55" w:rsidRDefault="00540D55">
      <w:pPr>
        <w:spacing w:line="360" w:lineRule="auto"/>
        <w:jc w:val="both"/>
        <w:rPr>
          <w:rFonts w:ascii="Book Antiqua" w:hAnsi="Book Antiqua"/>
          <w:lang w:eastAsia="zh-CN"/>
        </w:rPr>
      </w:pPr>
    </w:p>
    <w:p w14:paraId="6AD01430" w14:textId="77777777" w:rsidR="00540D55" w:rsidRDefault="00624241">
      <w:pPr>
        <w:spacing w:line="360" w:lineRule="auto"/>
        <w:jc w:val="both"/>
        <w:rPr>
          <w:rFonts w:ascii="Book Antiqua" w:hAnsi="Book Antiqua"/>
          <w:i/>
        </w:rPr>
      </w:pPr>
      <w:r>
        <w:rPr>
          <w:rFonts w:ascii="Book Antiqua" w:eastAsia="Book Antiqua" w:hAnsi="Book Antiqua" w:cs="Book Antiqua"/>
          <w:b/>
          <w:bCs/>
          <w:i/>
          <w:color w:val="000000"/>
        </w:rPr>
        <w:t>Serum samples and determination of OGS concentrations</w:t>
      </w:r>
    </w:p>
    <w:p w14:paraId="4BA35499"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Serum samples were taken about 2 h before LT. Afterwards samples were placed in a -80</w:t>
      </w:r>
      <w:r>
        <w:rPr>
          <w:rFonts w:ascii="Book Antiqua" w:hAnsi="Book Antiqua" w:cs="Book Antiqua"/>
          <w:color w:val="000000"/>
          <w:lang w:eastAsia="zh-CN"/>
        </w:rPr>
        <w:t xml:space="preserve"> </w:t>
      </w:r>
      <w:r>
        <w:rPr>
          <w:rFonts w:ascii="Book Antiqua" w:eastAsia="Book Antiqua" w:hAnsi="Book Antiqua" w:cs="Book Antiqua"/>
          <w:color w:val="000000"/>
        </w:rPr>
        <w:t xml:space="preserve">ºC freezer. We had previously determined serum caspase-3 </w:t>
      </w:r>
      <w:r>
        <w:rPr>
          <w:rFonts w:ascii="Book Antiqua" w:hAnsi="Book Antiqua" w:cs="Book Antiqua"/>
          <w:color w:val="000000"/>
          <w:lang w:eastAsia="zh-CN"/>
        </w:rPr>
        <w:t>l</w:t>
      </w:r>
      <w:r>
        <w:rPr>
          <w:rFonts w:ascii="Book Antiqua" w:eastAsia="Book Antiqua" w:hAnsi="Book Antiqua" w:cs="Book Antiqua"/>
          <w:color w:val="000000"/>
        </w:rPr>
        <w:t>evels in some of these patients</w:t>
      </w:r>
      <w:r>
        <w:rPr>
          <w:rFonts w:ascii="Book Antiqua" w:eastAsia="Book Antiqua" w:hAnsi="Book Antiqua" w:cs="Book Antiqua"/>
          <w:color w:val="000000"/>
          <w:vertAlign w:val="superscript"/>
        </w:rPr>
        <w:t>[23]</w:t>
      </w:r>
      <w:r>
        <w:rPr>
          <w:rFonts w:ascii="Book Antiqua" w:eastAsia="Book Antiqua" w:hAnsi="Book Antiqua" w:cs="Book Antiqua"/>
          <w:color w:val="000000"/>
        </w:rPr>
        <w:t>, and in this research we determined serum OGS levels. We used kits called DNA/RNA Oxidative Damage ELIS</w:t>
      </w:r>
      <w:r>
        <w:rPr>
          <w:rFonts w:ascii="Book Antiqua" w:eastAsia="Book Antiqua" w:hAnsi="Book Antiqua" w:cs="Book Antiqua"/>
          <w:caps/>
          <w:color w:val="000000"/>
        </w:rPr>
        <w:t>a k</w:t>
      </w:r>
      <w:r>
        <w:rPr>
          <w:rFonts w:ascii="Book Antiqua" w:eastAsia="Book Antiqua" w:hAnsi="Book Antiqua" w:cs="Book Antiqua"/>
          <w:color w:val="000000"/>
        </w:rPr>
        <w:t>it</w:t>
      </w:r>
      <w:r>
        <w:rPr>
          <w:rFonts w:ascii="Book Antiqua" w:eastAsia="Book Antiqua" w:hAnsi="Book Antiqua" w:cs="Book Antiqua"/>
          <w:color w:val="000000"/>
          <w:vertAlign w:val="superscript"/>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(by </w:t>
      </w:r>
      <w:bookmarkStart w:id="0" w:name="OLE_LINK1"/>
      <w:r>
        <w:rPr>
          <w:rFonts w:ascii="Book Antiqua" w:eastAsia="Book Antiqua" w:hAnsi="Book Antiqua" w:cs="Book Antiqua"/>
          <w:color w:val="000000"/>
        </w:rPr>
        <w:t>Cayman Chemical Corporation in Ann Arbor</w:t>
      </w:r>
      <w:bookmarkEnd w:id="0"/>
      <w:r>
        <w:rPr>
          <w:rFonts w:ascii="Book Antiqua" w:eastAsia="Book Antiqua" w:hAnsi="Book Antiqua" w:cs="Book Antiqua"/>
          <w:color w:val="000000"/>
        </w:rPr>
        <w:t>, U</w:t>
      </w:r>
      <w:r>
        <w:rPr>
          <w:rFonts w:ascii="Book Antiqua" w:hAnsi="Book Antiqua" w:cs="Book Antiqua"/>
          <w:color w:val="000000"/>
          <w:lang w:eastAsia="zh-CN"/>
        </w:rPr>
        <w:t>nited States</w:t>
      </w:r>
      <w:r>
        <w:rPr>
          <w:rFonts w:ascii="Book Antiqua" w:eastAsia="Book Antiqua" w:hAnsi="Book Antiqua" w:cs="Book Antiqua"/>
          <w:color w:val="000000"/>
        </w:rPr>
        <w:t>) to determine serum OGS concentrations. The detection limit of these kits was 0.45 ng/mL. All determinations were carried out in the same Laboratory Department blinded to clinical data.</w:t>
      </w:r>
    </w:p>
    <w:p w14:paraId="53F13F6E" w14:textId="77777777" w:rsidR="00540D55" w:rsidRDefault="00540D55">
      <w:pPr>
        <w:spacing w:line="360" w:lineRule="auto"/>
        <w:jc w:val="both"/>
        <w:rPr>
          <w:rFonts w:ascii="Book Antiqua" w:hAnsi="Book Antiqua"/>
        </w:rPr>
      </w:pPr>
    </w:p>
    <w:p w14:paraId="691B5499" w14:textId="77777777" w:rsidR="00540D55" w:rsidRDefault="00624241">
      <w:pPr>
        <w:spacing w:line="360" w:lineRule="auto"/>
        <w:jc w:val="both"/>
        <w:rPr>
          <w:rFonts w:ascii="Book Antiqua" w:hAnsi="Book Antiqua"/>
          <w:i/>
        </w:rPr>
      </w:pPr>
      <w:r>
        <w:rPr>
          <w:rFonts w:ascii="Book Antiqua" w:eastAsia="Book Antiqua" w:hAnsi="Book Antiqua" w:cs="Book Antiqua"/>
          <w:b/>
          <w:bCs/>
          <w:i/>
          <w:color w:val="000000"/>
        </w:rPr>
        <w:t xml:space="preserve">Statistical </w:t>
      </w:r>
      <w:r>
        <w:rPr>
          <w:rFonts w:ascii="Book Antiqua" w:hAnsi="Book Antiqua" w:cs="Book Antiqua"/>
          <w:b/>
          <w:bCs/>
          <w:i/>
          <w:color w:val="000000"/>
          <w:lang w:eastAsia="zh-CN"/>
        </w:rPr>
        <w:t>m</w:t>
      </w:r>
      <w:r>
        <w:rPr>
          <w:rFonts w:ascii="Book Antiqua" w:eastAsia="Book Antiqua" w:hAnsi="Book Antiqua" w:cs="Book Antiqua"/>
          <w:b/>
          <w:bCs/>
          <w:i/>
          <w:color w:val="000000"/>
        </w:rPr>
        <w:t>ethods</w:t>
      </w:r>
    </w:p>
    <w:p w14:paraId="5889522A"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Categorical variables, presented as frequency (percentage), were compared using the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Continuous variables, presented as median (percentiles 25 and 75), were compared using the test of Mann-Whitney. The ability of serum OGS concentrations prior to LT to predict 1-year LT mortality was analyzed using receiver operating characteristic curve. The Kaplan-Meier 1-year LT survival curves were constructed with a serum OGS concentration cut-off (3.3 ng/mL) selected on the basis of Youden’s J-index. The association between serum OGS levels and 1-year LT controlling for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serum caspase-3 </w:t>
      </w:r>
      <w:r>
        <w:rPr>
          <w:rFonts w:ascii="Book Antiqua" w:hAnsi="Book Antiqua" w:cs="Book Antiqua"/>
          <w:color w:val="000000"/>
          <w:lang w:eastAsia="zh-CN"/>
        </w:rPr>
        <w:t>l</w:t>
      </w:r>
      <w:r>
        <w:rPr>
          <w:rFonts w:ascii="Book Antiqua" w:eastAsia="Book Antiqua" w:hAnsi="Book Antiqua" w:cs="Book Antiqua"/>
          <w:color w:val="000000"/>
        </w:rPr>
        <w:t>evels and age of liver donor was analyzed using the logistic regression analysis. MedCal 15.2.1 (Ostend, Belgium) and SPSS 17.0 (by SPSS Inc. in Chicago, IL, U</w:t>
      </w:r>
      <w:r>
        <w:rPr>
          <w:rFonts w:ascii="Book Antiqua" w:hAnsi="Book Antiqua" w:cs="Book Antiqua"/>
          <w:color w:val="000000"/>
          <w:lang w:eastAsia="zh-CN"/>
        </w:rPr>
        <w:t>nited States</w:t>
      </w:r>
      <w:r>
        <w:rPr>
          <w:rFonts w:ascii="Book Antiqua" w:eastAsia="Book Antiqua" w:hAnsi="Book Antiqua" w:cs="Book Antiqua"/>
          <w:color w:val="000000"/>
        </w:rPr>
        <w:t>) were used to perform the statistical analyses.</w:t>
      </w:r>
    </w:p>
    <w:p w14:paraId="2721F445" w14:textId="77777777" w:rsidR="00540D55" w:rsidRDefault="00540D55">
      <w:pPr>
        <w:spacing w:line="360" w:lineRule="auto"/>
        <w:jc w:val="both"/>
        <w:rPr>
          <w:rFonts w:ascii="Book Antiqua" w:hAnsi="Book Antiqua"/>
        </w:rPr>
      </w:pPr>
    </w:p>
    <w:p w14:paraId="5CA4BAD4" w14:textId="77777777" w:rsidR="00540D55" w:rsidRDefault="0062424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6A046F6"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We included 114 patients in the study, of which 101 remained alive 1 year after LT and 13 died during the first year after LT. Surviving LT patients in comparison to non-</w:t>
      </w:r>
      <w:r>
        <w:rPr>
          <w:rFonts w:ascii="Book Antiqua" w:eastAsia="Book Antiqua" w:hAnsi="Book Antiqua" w:cs="Book Antiqua"/>
          <w:color w:val="000000"/>
        </w:rPr>
        <w:lastRenderedPageBreak/>
        <w:t>surviving patients showed lower serum OGS concentrations prior to LT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0.01) and lower liver donor age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0.03) (Table 1). No significant differences between surviving and non-surviving patients regarding sex, liver receptor age, nodule size, serum alpha-fetoprotein levels, degree of tumor differentiation, microvascular invasion, multinodular tumor, infiltration, macrovascular invasion, Child-Pugh score, model for end-stage</w:t>
      </w:r>
      <w:r>
        <w:rPr>
          <w:rFonts w:ascii="Book Antiqua" w:hAnsi="Book Antiqua" w:cs="Book Antiqua"/>
          <w:color w:val="000000"/>
          <w:lang w:eastAsia="zh-CN"/>
        </w:rPr>
        <w:t xml:space="preserve"> </w:t>
      </w:r>
      <w:r>
        <w:rPr>
          <w:rFonts w:ascii="Book Antiqua" w:eastAsia="Book Antiqua" w:hAnsi="Book Antiqua" w:cs="Book Antiqua"/>
          <w:color w:val="000000"/>
        </w:rPr>
        <w:t>liver disease score, portal hypertension, treatment prior to LT, LT technique and inside Milan criteria before and after LT were observed (Table 1).</w:t>
      </w:r>
      <w:r>
        <w:rPr>
          <w:rFonts w:ascii="Book Antiqua" w:hAnsi="Book Antiqua" w:cs="Book Antiqua"/>
          <w:color w:val="000000"/>
          <w:lang w:eastAsia="zh-CN"/>
        </w:rPr>
        <w:t xml:space="preserve"> </w:t>
      </w:r>
      <w:r>
        <w:rPr>
          <w:rFonts w:ascii="Book Antiqua" w:eastAsia="Book Antiqua" w:hAnsi="Book Antiqua" w:cs="Book Antiqua"/>
          <w:color w:val="000000"/>
        </w:rPr>
        <w:t>Significant differences were not found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0.20) in serum OGS concentrations in regard to the cause of death: 8 (61.5%) sepsis, 3 (23.1%) multiple organ failure, 1 (7.7%) recurrence of hepatitis C virus infection and 1 (7.7%) recurrence of HCC.</w:t>
      </w:r>
    </w:p>
    <w:p w14:paraId="3DCF0D14" w14:textId="77777777" w:rsidR="00540D55" w:rsidRDefault="0062424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logistic analysis, an association was found between serum OGS and 1-year LT mortality, controlling for serum caspase-3 and liver donor age </w:t>
      </w:r>
      <w:r>
        <w:rPr>
          <w:rFonts w:ascii="Book Antiqua" w:hAnsi="Book Antiqua" w:cs="Book Antiqua" w:hint="eastAsia"/>
          <w:color w:val="000000"/>
          <w:lang w:eastAsia="zh-CN"/>
        </w:rPr>
        <w:t>[</w:t>
      </w:r>
      <w:r>
        <w:rPr>
          <w:rFonts w:ascii="Book Antiqua" w:hAnsi="Book Antiqua" w:cs="Book Antiqua"/>
          <w:color w:val="000000"/>
          <w:lang w:eastAsia="zh-CN"/>
        </w:rPr>
        <w:t>o</w:t>
      </w:r>
      <w:r>
        <w:rPr>
          <w:rFonts w:ascii="Book Antiqua" w:eastAsia="Book Antiqua" w:hAnsi="Book Antiqua" w:cs="Book Antiqua"/>
          <w:color w:val="000000"/>
        </w:rPr>
        <w:t xml:space="preserve">dds </w:t>
      </w:r>
      <w:r>
        <w:rPr>
          <w:rFonts w:ascii="Book Antiqua" w:hAnsi="Book Antiqua" w:cs="Book Antiqua"/>
          <w:color w:val="000000"/>
          <w:lang w:eastAsia="zh-CN"/>
        </w:rPr>
        <w:t>r</w:t>
      </w:r>
      <w:r>
        <w:rPr>
          <w:rFonts w:ascii="Book Antiqua" w:eastAsia="Book Antiqua" w:hAnsi="Book Antiqua" w:cs="Book Antiqua"/>
          <w:color w:val="000000"/>
        </w:rPr>
        <w:t>atio</w:t>
      </w:r>
      <w:r>
        <w:rPr>
          <w:rFonts w:ascii="Book Antiqua" w:hAnsi="Book Antiqua" w:cs="Book Antiqua"/>
          <w:color w:val="000000"/>
          <w:lang w:eastAsia="zh-CN"/>
        </w:rPr>
        <w:t xml:space="preserve"> </w:t>
      </w:r>
      <w:r>
        <w:rPr>
          <w:rFonts w:ascii="Book Antiqua" w:eastAsia="Book Antiqua" w:hAnsi="Book Antiqua" w:cs="Book Antiqua"/>
          <w:color w:val="000000"/>
        </w:rPr>
        <w:t>= 2.079; 95%</w:t>
      </w:r>
      <w:r>
        <w:rPr>
          <w:rFonts w:ascii="Book Antiqua" w:hAnsi="Book Antiqua" w:cs="Book Antiqua"/>
          <w:color w:val="000000"/>
          <w:lang w:eastAsia="zh-CN"/>
        </w:rPr>
        <w:t xml:space="preserve"> </w:t>
      </w:r>
      <w:r>
        <w:rPr>
          <w:rFonts w:ascii="Book Antiqua" w:hAnsi="Book Antiqua"/>
          <w:lang w:eastAsia="zh-CN"/>
        </w:rPr>
        <w:t>c</w:t>
      </w:r>
      <w:r>
        <w:rPr>
          <w:rFonts w:ascii="Book Antiqua" w:hAnsi="Book Antiqua"/>
        </w:rPr>
        <w:t xml:space="preserve">onfidence </w:t>
      </w:r>
      <w:r>
        <w:rPr>
          <w:rFonts w:ascii="Book Antiqua" w:hAnsi="Book Antiqua"/>
          <w:lang w:eastAsia="zh-CN"/>
        </w:rPr>
        <w:t>i</w:t>
      </w:r>
      <w:r>
        <w:rPr>
          <w:rFonts w:ascii="Book Antiqua" w:hAnsi="Book Antiqua"/>
        </w:rPr>
        <w:t>nterval</w:t>
      </w:r>
      <w:r>
        <w:rPr>
          <w:rFonts w:ascii="Book Antiqua" w:hAnsi="Book Antiqua" w:hint="eastAsia"/>
          <w:lang w:eastAsia="zh-CN"/>
        </w:rPr>
        <w:t xml:space="preserve"> (CI)</w:t>
      </w:r>
      <w:r>
        <w:rPr>
          <w:rFonts w:ascii="Book Antiqua" w:hAnsi="Book Antiqua" w:cs="Book Antiqua"/>
          <w:color w:val="000000"/>
          <w:lang w:eastAsia="zh-CN"/>
        </w:rPr>
        <w:t>:</w:t>
      </w:r>
      <w:r>
        <w:rPr>
          <w:rFonts w:ascii="Book Antiqua" w:eastAsia="Book Antiqua" w:hAnsi="Book Antiqua" w:cs="Book Antiqua"/>
          <w:color w:val="000000"/>
        </w:rPr>
        <w:t xml:space="preserve"> 1.356-3.189;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0.001</w:t>
      </w:r>
      <w:r>
        <w:rPr>
          <w:rFonts w:ascii="Book Antiqua" w:hAnsi="Book Antiqua" w:cs="Book Antiqua" w:hint="eastAsia"/>
          <w:color w:val="000000"/>
          <w:lang w:eastAsia="zh-CN"/>
        </w:rPr>
        <w:t>]</w:t>
      </w:r>
      <w:r>
        <w:rPr>
          <w:rFonts w:ascii="Book Antiqua" w:eastAsia="Book Antiqua" w:hAnsi="Book Antiqua" w:cs="Book Antiqua"/>
          <w:color w:val="000000"/>
        </w:rPr>
        <w:t xml:space="preserve"> (Table 2). On the receiver operating characteristic analysis, the area under the curve of pre-LT serum OGS concentrations for predicting 1-year LT mortality was found to be 71% (95%</w:t>
      </w:r>
      <w:r>
        <w:rPr>
          <w:rFonts w:ascii="Book Antiqua" w:hAnsi="Book Antiqua" w:hint="eastAsia"/>
          <w:lang w:eastAsia="zh-CN"/>
        </w:rPr>
        <w:t>CI</w:t>
      </w:r>
      <w:r>
        <w:rPr>
          <w:rFonts w:ascii="Book Antiqua" w:hAnsi="Book Antiqua" w:cs="Book Antiqua"/>
          <w:color w:val="000000"/>
          <w:lang w:eastAsia="zh-CN"/>
        </w:rPr>
        <w:t>:</w:t>
      </w:r>
      <w:r>
        <w:rPr>
          <w:rFonts w:ascii="Book Antiqua" w:eastAsia="Book Antiqua" w:hAnsi="Book Antiqua" w:cs="Book Antiqua"/>
          <w:color w:val="000000"/>
        </w:rPr>
        <w:t xml:space="preserve"> 55%-88%;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0.009) (Figure 1).</w:t>
      </w:r>
    </w:p>
    <w:p w14:paraId="4B359D91" w14:textId="77777777" w:rsidR="00540D55" w:rsidRDefault="00624241">
      <w:pPr>
        <w:spacing w:line="360" w:lineRule="auto"/>
        <w:ind w:firstLineChars="200" w:firstLine="480"/>
        <w:jc w:val="both"/>
        <w:rPr>
          <w:rFonts w:ascii="Book Antiqua" w:hAnsi="Book Antiqua"/>
        </w:rPr>
      </w:pPr>
      <w:r>
        <w:rPr>
          <w:rFonts w:ascii="Book Antiqua" w:eastAsia="Book Antiqua" w:hAnsi="Book Antiqua" w:cs="Book Antiqua"/>
          <w:color w:val="000000"/>
        </w:rPr>
        <w:t>Serum OGS levels with a cut-off point of 3.3 ng/mL showed a sensitivity of 69% (39%-91%), specificity of 66% (56%-74%), positive likelihood ratio of 2.1 (1.3-3.2), negative likelihood ratio of 0.5 (0.2-1.1), positive predictive value of 21% (14%-29%) and negative predictive value of 94% (88%-98%) for 1-year LT mortality prediction. The Kaplan-Meier survival analysis showed a higher 1-year LT mortality risk in patients with serum OGS levels prior to LT above 3.3 ng/mL (</w:t>
      </w:r>
      <w:r>
        <w:rPr>
          <w:rFonts w:ascii="Book Antiqua" w:hAnsi="Book Antiqua" w:cs="Book Antiqua"/>
          <w:color w:val="000000"/>
          <w:lang w:eastAsia="zh-CN"/>
        </w:rPr>
        <w:t>h</w:t>
      </w:r>
      <w:r>
        <w:rPr>
          <w:rFonts w:ascii="Book Antiqua" w:eastAsia="Book Antiqua" w:hAnsi="Book Antiqua" w:cs="Book Antiqua"/>
          <w:color w:val="000000"/>
        </w:rPr>
        <w:t xml:space="preserve">azard </w:t>
      </w:r>
      <w:r>
        <w:rPr>
          <w:rFonts w:ascii="Book Antiqua" w:hAnsi="Book Antiqua" w:cs="Book Antiqua"/>
          <w:color w:val="000000"/>
          <w:lang w:eastAsia="zh-CN"/>
        </w:rPr>
        <w:t>r</w:t>
      </w:r>
      <w:r>
        <w:rPr>
          <w:rFonts w:ascii="Book Antiqua" w:eastAsia="Book Antiqua" w:hAnsi="Book Antiqua" w:cs="Book Antiqua"/>
          <w:color w:val="000000"/>
        </w:rPr>
        <w:t>atio</w:t>
      </w:r>
      <w:r>
        <w:rPr>
          <w:rFonts w:ascii="Book Antiqua" w:hAnsi="Book Antiqua" w:cs="Book Antiqua"/>
          <w:color w:val="000000"/>
          <w:lang w:eastAsia="zh-CN"/>
        </w:rPr>
        <w:t xml:space="preserve"> </w:t>
      </w:r>
      <w:r>
        <w:rPr>
          <w:rFonts w:ascii="Book Antiqua" w:eastAsia="Book Antiqua" w:hAnsi="Book Antiqua" w:cs="Book Antiqua"/>
          <w:color w:val="000000"/>
        </w:rPr>
        <w:t>= 4.2; 95%</w:t>
      </w:r>
      <w:r>
        <w:rPr>
          <w:rFonts w:ascii="Book Antiqua" w:hAnsi="Book Antiqua" w:hint="eastAsia"/>
          <w:lang w:eastAsia="zh-CN"/>
        </w:rPr>
        <w:t>CI</w:t>
      </w:r>
      <w:r>
        <w:rPr>
          <w:rFonts w:ascii="Book Antiqua" w:hAnsi="Book Antiqua" w:cs="Book Antiqua"/>
          <w:color w:val="000000"/>
          <w:lang w:eastAsia="zh-CN"/>
        </w:rPr>
        <w:t>:</w:t>
      </w:r>
      <w:r>
        <w:rPr>
          <w:rFonts w:ascii="Book Antiqua" w:eastAsia="Book Antiqua" w:hAnsi="Book Antiqua" w:cs="Book Antiqua"/>
          <w:color w:val="000000"/>
        </w:rPr>
        <w:t xml:space="preserve"> 1.36-13.11;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0.01) (Figure 2).</w:t>
      </w:r>
    </w:p>
    <w:p w14:paraId="62EAB3B1" w14:textId="77777777" w:rsidR="00540D55" w:rsidRDefault="00540D55">
      <w:pPr>
        <w:spacing w:line="360" w:lineRule="auto"/>
        <w:jc w:val="both"/>
        <w:rPr>
          <w:rFonts w:ascii="Book Antiqua" w:hAnsi="Book Antiqua"/>
        </w:rPr>
      </w:pPr>
    </w:p>
    <w:p w14:paraId="60FC7C58" w14:textId="77777777" w:rsidR="00540D55" w:rsidRDefault="0062424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13B1D26"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To our knowledge, our study is the first reporting data about the determination of DNA and RNA oxidative damage to predict prognosis of patients with HCC who underwent LT. The main finding was that high serum OGS prior to LT was associated with the mortality 1 year after LT. Greater oxidative DNA damage (assessed by 8-hydroxy-2’-</w:t>
      </w:r>
      <w:r>
        <w:rPr>
          <w:rFonts w:ascii="Book Antiqua" w:eastAsia="Book Antiqua" w:hAnsi="Book Antiqua" w:cs="Book Antiqua"/>
          <w:color w:val="000000"/>
        </w:rPr>
        <w:lastRenderedPageBreak/>
        <w:t>deoxyguanosine concentration in liver biopsy specimens) has been found in patients with chronic liver disease with HCC compared to those without</w:t>
      </w:r>
      <w:r>
        <w:rPr>
          <w:rFonts w:ascii="Book Antiqua" w:eastAsia="Book Antiqua" w:hAnsi="Book Antiqua" w:cs="Book Antiqua"/>
          <w:color w:val="000000"/>
          <w:vertAlign w:val="superscript"/>
        </w:rPr>
        <w:t>[18,19]</w:t>
      </w:r>
      <w:r>
        <w:rPr>
          <w:rFonts w:ascii="Book Antiqua" w:eastAsia="Book Antiqua" w:hAnsi="Book Antiqua" w:cs="Book Antiqua"/>
          <w:color w:val="000000"/>
        </w:rPr>
        <w:t>. However, the association between serum OGS concentration and LT mortality is a new finding of our study.</w:t>
      </w:r>
    </w:p>
    <w:p w14:paraId="63DA2B32" w14:textId="77777777" w:rsidR="00540D55" w:rsidRDefault="00624241">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These higher serum OGS levels found in non-surviving LT patients are in line with those found in patients with other diseases, such as sepsis</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could be in relation with a higher oxidative status that could favor multiple organ dysfunction and death of patients.</w:t>
      </w:r>
    </w:p>
    <w:p w14:paraId="43B808B0" w14:textId="77777777" w:rsidR="00540D55" w:rsidRDefault="0062424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were some limitations of our study. First, we have not determined serum 8-hydroxy-2’-deoxyguanosine change after LT to explore which is a better serum marker for prognosis (before or after LT). Second, we have not determined serum 8-hydroxy-2’-deoxyguanosine in healthy controls or chronic liver patients without HCC. However, the objective of our study was to determine whether patients with increased oxidative DNA and RNA damage before undergoing LT for HCC have poorer LT prognosis. Third, we have not determined other markers of oxidative stress for nucleic acids, such as </w:t>
      </w:r>
      <w:r>
        <w:rPr>
          <w:rFonts w:ascii="Book Antiqua" w:eastAsia="Book Antiqua" w:hAnsi="Book Antiqua" w:cs="Book Antiqua"/>
          <w:color w:val="000000"/>
          <w:shd w:val="clear" w:color="auto" w:fill="FFFFFF"/>
        </w:rPr>
        <w:t xml:space="preserve">abasic sites or 8-nitroguanosine 3’,5’-cyclic monophosphate. Fourth, we have not determined </w:t>
      </w:r>
      <w:r>
        <w:rPr>
          <w:rFonts w:ascii="Book Antiqua" w:eastAsia="Book Antiqua" w:hAnsi="Book Antiqua" w:cs="Book Antiqua"/>
          <w:color w:val="000000"/>
        </w:rPr>
        <w:t>8-hydroxy-2’-deoxyguanosine in the liver to explore its correlation with serum levels.</w:t>
      </w:r>
      <w:r>
        <w:rPr>
          <w:rFonts w:ascii="Book Antiqua" w:hAnsi="Book Antiqua" w:cs="Book Antiqua"/>
          <w:color w:val="000000"/>
          <w:lang w:eastAsia="zh-CN"/>
        </w:rPr>
        <w:t xml:space="preserve"> </w:t>
      </w:r>
      <w:r>
        <w:rPr>
          <w:rFonts w:ascii="Book Antiqua" w:eastAsia="Book Antiqua" w:hAnsi="Book Antiqua" w:cs="Book Antiqua"/>
          <w:color w:val="000000"/>
        </w:rPr>
        <w:t>Fifth, the regres</w:t>
      </w:r>
      <w:r>
        <w:rPr>
          <w:rFonts w:ascii="Book Antiqua" w:eastAsia="Book Antiqua" w:hAnsi="Book Antiqua" w:cs="Book Antiqua"/>
          <w:color w:val="000000"/>
          <w:shd w:val="clear" w:color="auto" w:fill="FFFFFF"/>
        </w:rPr>
        <w:t xml:space="preserve">sion analysis did not allow the introduction of more variables due to </w:t>
      </w:r>
      <w:r>
        <w:rPr>
          <w:rFonts w:ascii="Book Antiqua" w:eastAsia="Book Antiqua" w:hAnsi="Book Antiqua" w:cs="Book Antiqua"/>
          <w:color w:val="000000"/>
        </w:rPr>
        <w:t>the low number of deceased patients</w:t>
      </w:r>
      <w:r>
        <w:rPr>
          <w:rFonts w:ascii="Book Antiqua" w:eastAsia="Book Antiqua" w:hAnsi="Book Antiqua" w:cs="Book Antiqua"/>
          <w:color w:val="000000"/>
          <w:shd w:val="clear" w:color="auto" w:fill="FFFFFF"/>
        </w:rPr>
        <w:t xml:space="preserve">. However, one </w:t>
      </w:r>
      <w:r>
        <w:rPr>
          <w:rFonts w:ascii="Book Antiqua" w:eastAsia="Book Antiqua" w:hAnsi="Book Antiqua" w:cs="Book Antiqua"/>
          <w:color w:val="000000"/>
        </w:rPr>
        <w:t>strength of our study was that the association between mortality and serum OGS has been also previously found in patients with other diseases such as sepsis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6321485" w14:textId="77777777" w:rsidR="00540D55" w:rsidRDefault="00624241">
      <w:pPr>
        <w:spacing w:line="360" w:lineRule="auto"/>
        <w:ind w:firstLineChars="200" w:firstLine="480"/>
        <w:jc w:val="both"/>
        <w:rPr>
          <w:rFonts w:ascii="Book Antiqua" w:hAnsi="Book Antiqua"/>
        </w:rPr>
      </w:pPr>
      <w:r>
        <w:rPr>
          <w:rFonts w:ascii="Book Antiqua" w:eastAsia="Book Antiqua" w:hAnsi="Book Antiqua" w:cs="Book Antiqua"/>
          <w:color w:val="000000"/>
        </w:rPr>
        <w:t>The possible contribution of an oxidative state in chronic liver disease progression and in hepatocarcinogenesis development has been suggested. In addition, the potential use of antioxidant agents in patients with chronic liver diseases has also been suggested</w:t>
      </w:r>
      <w:r>
        <w:rPr>
          <w:rFonts w:ascii="Book Antiqua" w:eastAsia="Book Antiqua" w:hAnsi="Book Antiqua" w:cs="Book Antiqua"/>
          <w:color w:val="000000"/>
          <w:vertAlign w:val="superscript"/>
        </w:rPr>
        <w:t>[9-12]</w:t>
      </w:r>
      <w:r>
        <w:rPr>
          <w:rFonts w:ascii="Book Antiqua" w:eastAsia="Book Antiqua" w:hAnsi="Book Antiqua" w:cs="Book Antiqua"/>
          <w:color w:val="000000"/>
        </w:rPr>
        <w:t>. Therefore, these preliminary results could induce studies to clarify the potential role of oxidative damage in the prognosis of LT patients due to HCC and to explore the use of antioxidant agents to reduce oxidative stress in those patients.</w:t>
      </w:r>
    </w:p>
    <w:p w14:paraId="4A49D7DB" w14:textId="77777777" w:rsidR="00540D55" w:rsidRDefault="00540D55">
      <w:pPr>
        <w:spacing w:line="360" w:lineRule="auto"/>
        <w:jc w:val="both"/>
        <w:rPr>
          <w:rFonts w:ascii="Book Antiqua" w:hAnsi="Book Antiqua"/>
        </w:rPr>
      </w:pPr>
    </w:p>
    <w:p w14:paraId="0DEAC67A" w14:textId="77777777" w:rsidR="00540D55" w:rsidRDefault="0062424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2CCE89A"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lastRenderedPageBreak/>
        <w:t>The main new finding was that high serum OGS concentrations prior to LT were associated with mortality 1 year after LT in HCC patients.</w:t>
      </w:r>
    </w:p>
    <w:p w14:paraId="0A040ADB" w14:textId="77777777" w:rsidR="00540D55" w:rsidRDefault="00540D55">
      <w:pPr>
        <w:spacing w:line="360" w:lineRule="auto"/>
        <w:jc w:val="both"/>
        <w:rPr>
          <w:rFonts w:ascii="Book Antiqua" w:hAnsi="Book Antiqua"/>
        </w:rPr>
      </w:pPr>
    </w:p>
    <w:p w14:paraId="58211BCC" w14:textId="77777777" w:rsidR="00540D55" w:rsidRDefault="00624241">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9344056" w14:textId="77777777" w:rsidR="00540D55" w:rsidRDefault="00624241">
      <w:pPr>
        <w:spacing w:line="360" w:lineRule="auto"/>
        <w:jc w:val="both"/>
        <w:rPr>
          <w:rFonts w:ascii="Book Antiqua" w:hAnsi="Book Antiqua"/>
        </w:rPr>
      </w:pPr>
      <w:r>
        <w:rPr>
          <w:rFonts w:ascii="Book Antiqua" w:eastAsia="Book Antiqua" w:hAnsi="Book Antiqua" w:cs="Book Antiqua"/>
          <w:b/>
          <w:i/>
          <w:color w:val="000000"/>
        </w:rPr>
        <w:t>Research background</w:t>
      </w:r>
    </w:p>
    <w:p w14:paraId="3494E8A0"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Oxidative damage of DNA and RNA has been associated with mortality of patients with various diseases.</w:t>
      </w:r>
    </w:p>
    <w:p w14:paraId="4FAD239B" w14:textId="77777777" w:rsidR="00540D55" w:rsidRDefault="00540D55">
      <w:pPr>
        <w:spacing w:line="360" w:lineRule="auto"/>
        <w:jc w:val="both"/>
        <w:rPr>
          <w:rFonts w:ascii="Book Antiqua" w:hAnsi="Book Antiqua"/>
        </w:rPr>
      </w:pPr>
    </w:p>
    <w:p w14:paraId="403BD736" w14:textId="77777777" w:rsidR="00540D55" w:rsidRDefault="00624241">
      <w:pPr>
        <w:spacing w:line="360" w:lineRule="auto"/>
        <w:jc w:val="both"/>
        <w:rPr>
          <w:rFonts w:ascii="Book Antiqua" w:hAnsi="Book Antiqua"/>
        </w:rPr>
      </w:pPr>
      <w:r>
        <w:rPr>
          <w:rFonts w:ascii="Book Antiqua" w:eastAsia="Book Antiqua" w:hAnsi="Book Antiqua" w:cs="Book Antiqua"/>
          <w:b/>
          <w:i/>
          <w:color w:val="000000"/>
        </w:rPr>
        <w:t>Research motivation</w:t>
      </w:r>
    </w:p>
    <w:p w14:paraId="52BC0DA7"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There is no published data on the potential use of DNA and RNA oxidative damage to predict the prognosis of patients with liver transplantation (LT) due to hepatocellular carcinoma (HCC).</w:t>
      </w:r>
    </w:p>
    <w:p w14:paraId="1364B41C" w14:textId="77777777" w:rsidR="00540D55" w:rsidRDefault="00540D55">
      <w:pPr>
        <w:spacing w:line="360" w:lineRule="auto"/>
        <w:jc w:val="both"/>
        <w:rPr>
          <w:rFonts w:ascii="Book Antiqua" w:hAnsi="Book Antiqua"/>
        </w:rPr>
      </w:pPr>
    </w:p>
    <w:p w14:paraId="195E53FE" w14:textId="77777777" w:rsidR="00540D55" w:rsidRDefault="00624241">
      <w:pPr>
        <w:spacing w:line="360" w:lineRule="auto"/>
        <w:jc w:val="both"/>
        <w:rPr>
          <w:rFonts w:ascii="Book Antiqua" w:hAnsi="Book Antiqua"/>
        </w:rPr>
      </w:pPr>
      <w:r>
        <w:rPr>
          <w:rFonts w:ascii="Book Antiqua" w:eastAsia="Book Antiqua" w:hAnsi="Book Antiqua" w:cs="Book Antiqua"/>
          <w:b/>
          <w:i/>
          <w:color w:val="000000"/>
        </w:rPr>
        <w:t>Research objectives</w:t>
      </w:r>
    </w:p>
    <w:p w14:paraId="52C8E521"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The aim in our study was to analyze the potential association between increased oxidative DNA and RNA damage before LT due to HCC and poorer LT prognosis.</w:t>
      </w:r>
    </w:p>
    <w:p w14:paraId="000B0320" w14:textId="77777777" w:rsidR="00540D55" w:rsidRDefault="00540D55">
      <w:pPr>
        <w:spacing w:line="360" w:lineRule="auto"/>
        <w:jc w:val="both"/>
        <w:rPr>
          <w:rFonts w:ascii="Book Antiqua" w:hAnsi="Book Antiqua"/>
        </w:rPr>
      </w:pPr>
    </w:p>
    <w:p w14:paraId="418397D3" w14:textId="77777777" w:rsidR="00540D55" w:rsidRDefault="00624241">
      <w:pPr>
        <w:spacing w:line="360" w:lineRule="auto"/>
        <w:jc w:val="both"/>
        <w:rPr>
          <w:rFonts w:ascii="Book Antiqua" w:hAnsi="Book Antiqua"/>
        </w:rPr>
      </w:pPr>
      <w:r>
        <w:rPr>
          <w:rFonts w:ascii="Book Antiqua" w:eastAsia="Book Antiqua" w:hAnsi="Book Antiqua" w:cs="Book Antiqua"/>
          <w:b/>
          <w:i/>
          <w:color w:val="000000"/>
        </w:rPr>
        <w:t>Research methods</w:t>
      </w:r>
    </w:p>
    <w:p w14:paraId="70645224"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In this observational, retrospective study, patients with HCC who underwent LT were included. Serum levels of all three oxidized guanine species (OGS) were measured prior to LT because guanine is the nucleobase with a higher risk of oxidation. LT mortality at 1 year was the end point of the study.</w:t>
      </w:r>
    </w:p>
    <w:p w14:paraId="53B02A69" w14:textId="77777777" w:rsidR="00540D55" w:rsidRDefault="00540D55">
      <w:pPr>
        <w:spacing w:line="360" w:lineRule="auto"/>
        <w:jc w:val="both"/>
        <w:rPr>
          <w:rFonts w:ascii="Book Antiqua" w:hAnsi="Book Antiqua"/>
        </w:rPr>
      </w:pPr>
    </w:p>
    <w:p w14:paraId="2857D763" w14:textId="77777777" w:rsidR="00540D55" w:rsidRDefault="00624241">
      <w:pPr>
        <w:spacing w:line="360" w:lineRule="auto"/>
        <w:jc w:val="both"/>
        <w:rPr>
          <w:rFonts w:ascii="Book Antiqua" w:hAnsi="Book Antiqua"/>
        </w:rPr>
      </w:pPr>
      <w:r>
        <w:rPr>
          <w:rFonts w:ascii="Book Antiqua" w:eastAsia="Book Antiqua" w:hAnsi="Book Antiqua" w:cs="Book Antiqua"/>
          <w:b/>
          <w:i/>
          <w:color w:val="000000"/>
        </w:rPr>
        <w:t>Research results</w:t>
      </w:r>
    </w:p>
    <w:p w14:paraId="4CEEB141"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Surviving patients (</w:t>
      </w:r>
      <w:r>
        <w:rPr>
          <w:rFonts w:ascii="Book Antiqua" w:eastAsia="Book Antiqua" w:hAnsi="Book Antiqua" w:cs="Book Antiqua"/>
          <w:i/>
          <w:iCs/>
          <w:color w:val="000000"/>
        </w:rPr>
        <w:t>n</w:t>
      </w:r>
      <w:r>
        <w:rPr>
          <w:rFonts w:ascii="Book Antiqua" w:hAnsi="Book Antiqua" w:cs="Book Antiqua"/>
          <w:color w:val="000000"/>
          <w:lang w:eastAsia="zh-CN"/>
        </w:rPr>
        <w:t xml:space="preserve"> </w:t>
      </w:r>
      <w:r>
        <w:rPr>
          <w:rFonts w:ascii="Book Antiqua" w:eastAsia="Book Antiqua" w:hAnsi="Book Antiqua" w:cs="Book Antiqua"/>
          <w:color w:val="000000"/>
        </w:rPr>
        <w:t>= 101) showed lower serum OGS levels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0.01) and lower age of liver donor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0.03) than non-surviving patients (</w:t>
      </w:r>
      <w:r>
        <w:rPr>
          <w:rFonts w:ascii="Book Antiqua" w:eastAsia="Book Antiqua" w:hAnsi="Book Antiqua" w:cs="Book Antiqua"/>
          <w:i/>
          <w:iCs/>
          <w:color w:val="000000"/>
        </w:rPr>
        <w:t>n</w:t>
      </w:r>
      <w:r>
        <w:rPr>
          <w:rFonts w:ascii="Book Antiqua" w:hAnsi="Book Antiqua" w:cs="Book Antiqua"/>
          <w:color w:val="000000"/>
          <w:lang w:eastAsia="zh-CN"/>
        </w:rPr>
        <w:t xml:space="preserve"> </w:t>
      </w:r>
      <w:r>
        <w:rPr>
          <w:rFonts w:ascii="Book Antiqua" w:eastAsia="Book Antiqua" w:hAnsi="Book Antiqua" w:cs="Book Antiqua"/>
          <w:color w:val="000000"/>
        </w:rPr>
        <w:t>= 13). An association between serum OGS prior to LT and 1-year LT (</w:t>
      </w:r>
      <w:r>
        <w:rPr>
          <w:rFonts w:ascii="Book Antiqua" w:hAnsi="Book Antiqua" w:cs="Book Antiqua"/>
          <w:color w:val="000000"/>
          <w:lang w:eastAsia="zh-CN"/>
        </w:rPr>
        <w:t>o</w:t>
      </w:r>
      <w:r>
        <w:rPr>
          <w:rFonts w:ascii="Book Antiqua" w:eastAsia="Book Antiqua" w:hAnsi="Book Antiqua" w:cs="Book Antiqua"/>
          <w:color w:val="000000"/>
        </w:rPr>
        <w:t xml:space="preserve">dds </w:t>
      </w:r>
      <w:r>
        <w:rPr>
          <w:rFonts w:ascii="Book Antiqua" w:hAnsi="Book Antiqua" w:cs="Book Antiqua"/>
          <w:color w:val="000000"/>
          <w:lang w:eastAsia="zh-CN"/>
        </w:rPr>
        <w:t>r</w:t>
      </w:r>
      <w:r>
        <w:rPr>
          <w:rFonts w:ascii="Book Antiqua" w:eastAsia="Book Antiqua" w:hAnsi="Book Antiqua" w:cs="Book Antiqua"/>
          <w:color w:val="000000"/>
        </w:rPr>
        <w:t>atio</w:t>
      </w:r>
      <w:r>
        <w:rPr>
          <w:rFonts w:ascii="Book Antiqua" w:hAnsi="Book Antiqua" w:cs="Book Antiqua"/>
          <w:color w:val="000000"/>
          <w:lang w:eastAsia="zh-CN"/>
        </w:rPr>
        <w:t xml:space="preserve"> </w:t>
      </w:r>
      <w:r>
        <w:rPr>
          <w:rFonts w:ascii="Book Antiqua" w:eastAsia="Book Antiqua" w:hAnsi="Book Antiqua" w:cs="Book Antiqua"/>
          <w:color w:val="000000"/>
        </w:rPr>
        <w:t>= 2.079; 95%</w:t>
      </w:r>
      <w:r>
        <w:rPr>
          <w:rFonts w:ascii="Book Antiqua" w:hAnsi="Book Antiqua"/>
          <w:lang w:eastAsia="zh-CN"/>
        </w:rPr>
        <w:t xml:space="preserve"> c</w:t>
      </w:r>
      <w:r>
        <w:rPr>
          <w:rFonts w:ascii="Book Antiqua" w:hAnsi="Book Antiqua"/>
        </w:rPr>
        <w:t xml:space="preserve">onfidence </w:t>
      </w:r>
      <w:r>
        <w:rPr>
          <w:rFonts w:ascii="Book Antiqua" w:hAnsi="Book Antiqua"/>
          <w:lang w:eastAsia="zh-CN"/>
        </w:rPr>
        <w:t>i</w:t>
      </w:r>
      <w:r>
        <w:rPr>
          <w:rFonts w:ascii="Book Antiqua" w:hAnsi="Book Antiqua"/>
        </w:rPr>
        <w:t>nterval</w:t>
      </w:r>
      <w:r>
        <w:rPr>
          <w:rFonts w:ascii="Book Antiqua" w:hAnsi="Book Antiqua" w:cs="Book Antiqua"/>
          <w:color w:val="000000"/>
          <w:lang w:eastAsia="zh-CN"/>
        </w:rPr>
        <w:t>:</w:t>
      </w:r>
      <w:r>
        <w:rPr>
          <w:rFonts w:ascii="Book Antiqua" w:eastAsia="Book Antiqua" w:hAnsi="Book Antiqua" w:cs="Book Antiqua"/>
          <w:color w:val="000000"/>
        </w:rPr>
        <w:t xml:space="preserve"> 1.356-3.189;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 0.001) was found in the logistic regression analysis.</w:t>
      </w:r>
    </w:p>
    <w:p w14:paraId="7C12DE9B" w14:textId="77777777" w:rsidR="00540D55" w:rsidRDefault="00540D55">
      <w:pPr>
        <w:spacing w:line="360" w:lineRule="auto"/>
        <w:jc w:val="both"/>
        <w:rPr>
          <w:rFonts w:ascii="Book Antiqua" w:hAnsi="Book Antiqua"/>
        </w:rPr>
      </w:pPr>
    </w:p>
    <w:p w14:paraId="7AF2D1E6" w14:textId="77777777" w:rsidR="00540D55" w:rsidRDefault="00624241">
      <w:pPr>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506B4C7B"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The main new finding was that high serum OGS concentration prior to LT was associated with 1-year LT mortality.</w:t>
      </w:r>
    </w:p>
    <w:p w14:paraId="3F61E220" w14:textId="77777777" w:rsidR="00540D55" w:rsidRDefault="00540D55">
      <w:pPr>
        <w:spacing w:line="360" w:lineRule="auto"/>
        <w:jc w:val="both"/>
        <w:rPr>
          <w:rFonts w:ascii="Book Antiqua" w:hAnsi="Book Antiqua"/>
        </w:rPr>
      </w:pPr>
    </w:p>
    <w:p w14:paraId="292CBE7E" w14:textId="77777777" w:rsidR="00540D55" w:rsidRDefault="00624241">
      <w:pPr>
        <w:spacing w:line="360" w:lineRule="auto"/>
        <w:jc w:val="both"/>
        <w:rPr>
          <w:rFonts w:ascii="Book Antiqua" w:hAnsi="Book Antiqua"/>
        </w:rPr>
      </w:pPr>
      <w:r>
        <w:rPr>
          <w:rFonts w:ascii="Book Antiqua" w:eastAsia="Book Antiqua" w:hAnsi="Book Antiqua" w:cs="Book Antiqua"/>
          <w:b/>
          <w:i/>
          <w:color w:val="000000"/>
        </w:rPr>
        <w:t>Research perspectives</w:t>
      </w:r>
    </w:p>
    <w:p w14:paraId="3494AB96"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These preliminary results could induce studies to clarify the potential role of oxidative damage in the prognosis of LT patients due to HCC and to explore the use of antioxidant agents to reduce oxidative stress in those patients.</w:t>
      </w:r>
    </w:p>
    <w:p w14:paraId="46875BBB" w14:textId="77777777" w:rsidR="00540D55" w:rsidRDefault="00540D55">
      <w:pPr>
        <w:spacing w:line="360" w:lineRule="auto"/>
        <w:jc w:val="both"/>
        <w:rPr>
          <w:rFonts w:ascii="Book Antiqua" w:hAnsi="Book Antiqua"/>
          <w:lang w:eastAsia="zh-CN"/>
        </w:rPr>
      </w:pPr>
    </w:p>
    <w:p w14:paraId="51D6DE4A"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REFERENCES</w:t>
      </w:r>
    </w:p>
    <w:p w14:paraId="3B1A900E"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European Association for Study of Liver</w:t>
      </w:r>
      <w:r>
        <w:rPr>
          <w:rFonts w:ascii="Book Antiqua" w:eastAsia="Book Antiqua" w:hAnsi="Book Antiqua" w:cs="Book Antiqua"/>
          <w:color w:val="000000"/>
        </w:rPr>
        <w:t xml:space="preserve">; European Organisation for Research and Treatment of Cancer. EASL-EORTC clinical practice guidelines: management of hepatocellular carcinoma.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599-641 [PMID: 22424278 DOI: 10.1016/j.ejca.2011.12.021]</w:t>
      </w:r>
    </w:p>
    <w:p w14:paraId="05153465"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Clavien PA</w:t>
      </w:r>
      <w:r>
        <w:rPr>
          <w:rFonts w:ascii="Book Antiqua" w:eastAsia="Book Antiqua" w:hAnsi="Book Antiqua" w:cs="Book Antiqua"/>
          <w:color w:val="000000"/>
        </w:rPr>
        <w:t xml:space="preserve">, Lesurtel M, Bossuyt PM, Gores GJ, Langer B, Perrier A; OLT for HCC Consensus Group. Recommendations for liver transplantation for hepatocellular carcinoma: an international consensus conference report.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e11-e22 [PMID: 22047762 DOI: 10.1016/S1470-2045(11)70175-9]</w:t>
      </w:r>
    </w:p>
    <w:p w14:paraId="1987A8DD"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Verslype C</w:t>
      </w:r>
      <w:r>
        <w:rPr>
          <w:rFonts w:ascii="Book Antiqua" w:eastAsia="Book Antiqua" w:hAnsi="Book Antiqua" w:cs="Book Antiqua"/>
          <w:color w:val="000000"/>
        </w:rPr>
        <w:t xml:space="preserve">, Rosmorduc O, Rougier P; ESMO Guidelines Working Group. Hepatocellular carcinoma: ESMO-ESDO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 Suppl 7</w:t>
      </w:r>
      <w:r>
        <w:rPr>
          <w:rFonts w:ascii="Book Antiqua" w:eastAsia="Book Antiqua" w:hAnsi="Book Antiqua" w:cs="Book Antiqua"/>
          <w:color w:val="000000"/>
        </w:rPr>
        <w:t>: vii41-vii48 [PMID: 22997453 DOI: 10.1093/annonc/mds225]</w:t>
      </w:r>
    </w:p>
    <w:p w14:paraId="0465D32C"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Cescon M</w:t>
      </w:r>
      <w:r>
        <w:rPr>
          <w:rFonts w:ascii="Book Antiqua" w:eastAsia="Book Antiqua" w:hAnsi="Book Antiqua" w:cs="Book Antiqua"/>
          <w:color w:val="000000"/>
        </w:rPr>
        <w:t xml:space="preserve">, Bertuzzo VR, Ercolani G, Ravaioli M, Odaldi F, Pinna AD. Liver transplantation for hepatocellular carcinoma: role of inflammatory and immunological state on recurrence and prognosis.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9174-9182 [PMID: 24409045 DOI: 10.3748/wjg.v19.i48.9174]</w:t>
      </w:r>
    </w:p>
    <w:p w14:paraId="5162EAE4"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Bodzin AS</w:t>
      </w:r>
      <w:r>
        <w:rPr>
          <w:rFonts w:ascii="Book Antiqua" w:eastAsia="Book Antiqua" w:hAnsi="Book Antiqua" w:cs="Book Antiqua"/>
          <w:color w:val="000000"/>
        </w:rPr>
        <w:t xml:space="preserve">, Busuttil RW. Hepatocellular carcinoma: Advances in diagnosis, management, and long term outcome.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1157-1167 [PMID: 26019732 DOI: 10.4254/wjh.v7.i9.1157]</w:t>
      </w:r>
    </w:p>
    <w:p w14:paraId="5ADA179A"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Toyoda H</w:t>
      </w:r>
      <w:r>
        <w:rPr>
          <w:rFonts w:ascii="Book Antiqua" w:eastAsia="Book Antiqua" w:hAnsi="Book Antiqua" w:cs="Book Antiqua"/>
          <w:color w:val="000000"/>
        </w:rPr>
        <w:t xml:space="preserve">, Kumada T, Tada T, Sone Y, Kaneoka Y, Maeda A. Tumor Markers for Hepatocellular Carcinoma: Simple and Significant Predictors of Outcome in Patients with HCC.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126-136 [PMID: 26020034 DOI: 10.1159/000367735]</w:t>
      </w:r>
    </w:p>
    <w:p w14:paraId="7BC84290"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Guerrero-Misas M</w:t>
      </w:r>
      <w:r>
        <w:rPr>
          <w:rFonts w:ascii="Book Antiqua" w:eastAsia="Book Antiqua" w:hAnsi="Book Antiqua" w:cs="Book Antiqua"/>
          <w:color w:val="000000"/>
        </w:rPr>
        <w:t xml:space="preserve">, Rodríguez-Perálvarez M, De la Mata M. Strategies to improve outcome of patients with hepatocellular carcinoma receiving a liver transplantation.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649-661 [PMID: 25866602 DOI: 10.4254/wjh.v7.i4.649]</w:t>
      </w:r>
    </w:p>
    <w:p w14:paraId="4CAE836D"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Slotta JE</w:t>
      </w:r>
      <w:r>
        <w:rPr>
          <w:rFonts w:ascii="Book Antiqua" w:eastAsia="Book Antiqua" w:hAnsi="Book Antiqua" w:cs="Book Antiqua"/>
          <w:color w:val="000000"/>
        </w:rPr>
        <w:t xml:space="preserve">, Kollmar O, Ellenrieder V, Ghadimi BM, Homayounfar K. Hepatocellular carcinoma: Surgeon's view on latest findings and future perspectives.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1168-1183 [PMID: 26019733 DOI: 10.4254/wjh.v7.i9.1168]</w:t>
      </w:r>
    </w:p>
    <w:p w14:paraId="5DF4C2D7"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Takaki A</w:t>
      </w:r>
      <w:r>
        <w:rPr>
          <w:rFonts w:ascii="Book Antiqua" w:eastAsia="Book Antiqua" w:hAnsi="Book Antiqua" w:cs="Book Antiqua"/>
          <w:color w:val="000000"/>
        </w:rPr>
        <w:t xml:space="preserve">, Yamamoto K. Control of oxidative stress in hepatocellular carcinoma: Helpful or harmful?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968-979 [PMID: 25954479 DOI: 10.4254/wjh.v7.i7.968]</w:t>
      </w:r>
    </w:p>
    <w:p w14:paraId="11E38E92"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Choi J</w:t>
      </w:r>
      <w:r>
        <w:rPr>
          <w:rFonts w:ascii="Book Antiqua" w:eastAsia="Book Antiqua" w:hAnsi="Book Antiqua" w:cs="Book Antiqua"/>
          <w:color w:val="000000"/>
        </w:rPr>
        <w:t xml:space="preserve">, Corder NL, Koduru B, Wang Y. Oxidative stress and hepatic Nox proteins in chronic hepatitis C and hepatocellular carcinoma.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72</w:t>
      </w:r>
      <w:r>
        <w:rPr>
          <w:rFonts w:ascii="Book Antiqua" w:eastAsia="Book Antiqua" w:hAnsi="Book Antiqua" w:cs="Book Antiqua"/>
          <w:color w:val="000000"/>
        </w:rPr>
        <w:t>: 267-284 [PMID: 24816297 DOI: 10.1016/j.freeradbiomed.2014.04.020]</w:t>
      </w:r>
    </w:p>
    <w:p w14:paraId="61E1300F"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Marra M</w:t>
      </w:r>
      <w:r>
        <w:rPr>
          <w:rFonts w:ascii="Book Antiqua" w:eastAsia="Book Antiqua" w:hAnsi="Book Antiqua" w:cs="Book Antiqua"/>
          <w:color w:val="000000"/>
        </w:rPr>
        <w:t xml:space="preserve">, Sordelli IM, Lombardi A, Lamberti M, Tarantino L, Giudice A, Stiuso P, Abbruzzese A, Sperlongano R, Accardo M, Agresti M, Caraglia M, Sperlongano P. Molecular targets and oxidative stress biomarkers in hepatocellular carcinoma: an overview.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171 [PMID: 21985599 DOI: 10.1186/1479-5876-9-171]</w:t>
      </w:r>
    </w:p>
    <w:p w14:paraId="16FD920F"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Hoshida Y</w:t>
      </w:r>
      <w:r>
        <w:rPr>
          <w:rFonts w:ascii="Book Antiqua" w:eastAsia="Book Antiqua" w:hAnsi="Book Antiqua" w:cs="Book Antiqua"/>
          <w:color w:val="000000"/>
        </w:rPr>
        <w:t xml:space="preserve">. Molecular signatures and prognosis of hepatocellular carcinoma. </w:t>
      </w:r>
      <w:r>
        <w:rPr>
          <w:rFonts w:ascii="Book Antiqua" w:eastAsia="Book Antiqua" w:hAnsi="Book Antiqua" w:cs="Book Antiqua"/>
          <w:i/>
          <w:iCs/>
          <w:color w:val="000000"/>
        </w:rPr>
        <w:t>Minerva Gastroenterol Dietol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311-322 [PMID: 21769080]</w:t>
      </w:r>
    </w:p>
    <w:p w14:paraId="18D8FE6D"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Ba X</w:t>
      </w:r>
      <w:r>
        <w:rPr>
          <w:rFonts w:ascii="Book Antiqua" w:eastAsia="Book Antiqua" w:hAnsi="Book Antiqua" w:cs="Book Antiqua"/>
          <w:color w:val="000000"/>
        </w:rPr>
        <w:t xml:space="preserve">, Boldogh I. 8-Oxoguanine DNA glycosylase 1: Beyond repair of the oxidatively modified base lesions.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669-678 [PMID: 29175754 DOI: 10.1016/j.redox.2017.11.008]</w:t>
      </w:r>
    </w:p>
    <w:p w14:paraId="57A55F2F"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Markkanen E</w:t>
      </w:r>
      <w:r>
        <w:rPr>
          <w:rFonts w:ascii="Book Antiqua" w:eastAsia="Book Antiqua" w:hAnsi="Book Antiqua" w:cs="Book Antiqua"/>
          <w:color w:val="000000"/>
        </w:rPr>
        <w:t xml:space="preserve">. Not breathing is not an option: How to deal with oxidative DNA damage. </w:t>
      </w:r>
      <w:r>
        <w:rPr>
          <w:rFonts w:ascii="Book Antiqua" w:eastAsia="Book Antiqua" w:hAnsi="Book Antiqua" w:cs="Book Antiqua"/>
          <w:i/>
          <w:iCs/>
          <w:color w:val="000000"/>
        </w:rPr>
        <w:t>DNA Repair (Amst)</w:t>
      </w:r>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82-105 [PMID: 28963982 DOI: 10.1016/j.dnarep.2017.09.007]</w:t>
      </w:r>
    </w:p>
    <w:p w14:paraId="7E4161C4"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Kino K</w:t>
      </w:r>
      <w:r>
        <w:rPr>
          <w:rFonts w:ascii="Book Antiqua" w:eastAsia="Book Antiqua" w:hAnsi="Book Antiqua" w:cs="Book Antiqua"/>
          <w:color w:val="000000"/>
        </w:rPr>
        <w:t xml:space="preserve">, Hirao-Suzuki M, Morikawa M, Sakaga A, Miyazawa H. Generation, repair and replication of guanine oxidation products. </w:t>
      </w:r>
      <w:r>
        <w:rPr>
          <w:rFonts w:ascii="Book Antiqua" w:eastAsia="Book Antiqua" w:hAnsi="Book Antiqua" w:cs="Book Antiqua"/>
          <w:i/>
          <w:iCs/>
          <w:color w:val="000000"/>
        </w:rPr>
        <w:t>Genes Environ</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21 [PMID: 28781714 DOI: 10.1186/s41021-017-0081-0]</w:t>
      </w:r>
    </w:p>
    <w:p w14:paraId="2D509849"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AbdulSalam SF</w:t>
      </w:r>
      <w:r>
        <w:rPr>
          <w:rFonts w:ascii="Book Antiqua" w:eastAsia="Book Antiqua" w:hAnsi="Book Antiqua" w:cs="Book Antiqua"/>
          <w:color w:val="000000"/>
        </w:rPr>
        <w:t xml:space="preserve">, Thowfeik FS, Merino EJ. Excessive Reactive Oxygen Species and Exotic DNA Lesions as an Exploitable Liability.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5341-5352 [PMID: 27582430 DOI: 10.1021/acs.biochem.6b00703]</w:t>
      </w:r>
    </w:p>
    <w:p w14:paraId="07EEFA92"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Lorente L</w:t>
      </w:r>
      <w:r>
        <w:rPr>
          <w:rFonts w:ascii="Book Antiqua" w:eastAsia="Book Antiqua" w:hAnsi="Book Antiqua" w:cs="Book Antiqua"/>
          <w:color w:val="000000"/>
        </w:rPr>
        <w:t xml:space="preserve">, Martín MM, González-Rivero AF, Pérez-Cejas A, Abreu-González P, Ortiz-López R, Ferreres J, Solé-Violán J, Labarta L, Díaz C, Palmero S, Jiménez A. Association between DNA and RNA oxidative damage and mortality in septic patients.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94-98 [PMID: 31401543 DOI: 10.1016/j.jcrc.2019.08.008]</w:t>
      </w:r>
    </w:p>
    <w:p w14:paraId="760F628A"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Schwarz KB</w:t>
      </w:r>
      <w:r>
        <w:rPr>
          <w:rFonts w:ascii="Book Antiqua" w:eastAsia="Book Antiqua" w:hAnsi="Book Antiqua" w:cs="Book Antiqua"/>
          <w:color w:val="000000"/>
        </w:rPr>
        <w:t xml:space="preserve">, Kew M, Klein A, Abrams RA, Sitzmann J, Jones L, Sharma S, Britton RS, Di Bisceglie AM, Groopman J. Increased hepatic oxidative DNA damage in patients with hepatocellular 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46</w:t>
      </w:r>
      <w:r>
        <w:rPr>
          <w:rFonts w:ascii="Book Antiqua" w:eastAsia="Book Antiqua" w:hAnsi="Book Antiqua" w:cs="Book Antiqua"/>
          <w:color w:val="000000"/>
        </w:rPr>
        <w:t>: 2173-2178 [PMID: 11680593 DOI: 10.1023/a:1011958814371]</w:t>
      </w:r>
    </w:p>
    <w:p w14:paraId="47444E7B"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Tanaka H</w:t>
      </w:r>
      <w:r>
        <w:rPr>
          <w:rFonts w:ascii="Book Antiqua" w:eastAsia="Book Antiqua" w:hAnsi="Book Antiqua" w:cs="Book Antiqua"/>
          <w:color w:val="000000"/>
        </w:rPr>
        <w:t xml:space="preserve">, Fujita N, Sugimoto R, Urawa N, Horiike S, Kobayashi Y, Iwasa M, Ma N, Kawanishi S, Watanabe S, Kaito M, Takei Y. Hepatic oxidative DNA damage is associated with increased risk for hepatocellular carcinoma in chronic hepatitis C.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98</w:t>
      </w:r>
      <w:r>
        <w:rPr>
          <w:rFonts w:ascii="Book Antiqua" w:eastAsia="Book Antiqua" w:hAnsi="Book Antiqua" w:cs="Book Antiqua"/>
          <w:color w:val="000000"/>
        </w:rPr>
        <w:t>: 580-586 [PMID: 18231107 DOI: 10.1038/sj.bjc.6604204]</w:t>
      </w:r>
    </w:p>
    <w:p w14:paraId="22839263"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Pugh RN</w:t>
      </w:r>
      <w:r>
        <w:rPr>
          <w:rFonts w:ascii="Book Antiqua" w:eastAsia="Book Antiqua" w:hAnsi="Book Antiqua" w:cs="Book Antiqua"/>
          <w:color w:val="000000"/>
        </w:rPr>
        <w:t xml:space="preserve">, Murray-Lyon IM, Dawson JL, Pietroni MC, Williams R. Transection of the oesophagus for bleeding oesophageal varices.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1973; </w:t>
      </w:r>
      <w:r>
        <w:rPr>
          <w:rFonts w:ascii="Book Antiqua" w:eastAsia="Book Antiqua" w:hAnsi="Book Antiqua" w:cs="Book Antiqua"/>
          <w:b/>
          <w:bCs/>
          <w:color w:val="000000"/>
        </w:rPr>
        <w:t>60</w:t>
      </w:r>
      <w:r>
        <w:rPr>
          <w:rFonts w:ascii="Book Antiqua" w:eastAsia="Book Antiqua" w:hAnsi="Book Antiqua" w:cs="Book Antiqua"/>
          <w:color w:val="000000"/>
        </w:rPr>
        <w:t>: 646-649 [PMID: 4541913 DOI: 10.1002/bjs.1800600817]</w:t>
      </w:r>
    </w:p>
    <w:p w14:paraId="2C93A14E"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Kamath PS</w:t>
      </w:r>
      <w:r>
        <w:rPr>
          <w:rFonts w:ascii="Book Antiqua" w:eastAsia="Book Antiqua" w:hAnsi="Book Antiqua" w:cs="Book Antiqua"/>
          <w:color w:val="000000"/>
        </w:rPr>
        <w:t xml:space="preserve">, Wiesner RH, Malinchoc M, Kremers W, Therneau TM, Kosberg CL, D'Amico G, Dickson ER, Kim WR. A model to predict survival in patients with end-stage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464-470 [PMID: 11172350 DOI: 10.1053/jhep.2001.22172]</w:t>
      </w:r>
    </w:p>
    <w:p w14:paraId="369FEFCC"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Regalia E, Doci R, Andreola S, Pulvirenti A, Bozzetti F, Montalto F, Ammatuna M, Morabito A, Gennari L. Liver transplantation for the treatment of small hepatocellular carcinomas in patients with cirrhosis.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693-699 [PMID: 8594428 DOI: 10.1056/NEJM199603143341104]</w:t>
      </w:r>
    </w:p>
    <w:p w14:paraId="30BF435F"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Lorente L</w:t>
      </w:r>
      <w:r>
        <w:rPr>
          <w:rFonts w:ascii="Book Antiqua" w:eastAsia="Book Antiqua" w:hAnsi="Book Antiqua" w:cs="Book Antiqua"/>
          <w:color w:val="000000"/>
        </w:rPr>
        <w:t xml:space="preserve">, Rodriguez ST, Sanz P, González-Rivero AF, Pérez-Cejas A, Padilla J, Díaz D, González A, Martín MM, Jiménez A, Cerro P, Portero J, Barrera MA. High serum caspase-3 </w:t>
      </w:r>
      <w:r>
        <w:rPr>
          <w:rFonts w:ascii="Book Antiqua" w:hAnsi="Book Antiqua" w:cs="Book Antiqua"/>
          <w:color w:val="000000"/>
          <w:lang w:eastAsia="zh-CN"/>
        </w:rPr>
        <w:t>l</w:t>
      </w:r>
      <w:r>
        <w:rPr>
          <w:rFonts w:ascii="Book Antiqua" w:eastAsia="Book Antiqua" w:hAnsi="Book Antiqua" w:cs="Book Antiqua"/>
          <w:color w:val="000000"/>
        </w:rPr>
        <w:t xml:space="preserve">evels in hepatocellular carcinoma prior to liver transplantation and high mortality risk during the first year after liver transplantation. </w:t>
      </w:r>
      <w:r>
        <w:rPr>
          <w:rFonts w:ascii="Book Antiqua" w:eastAsia="Book Antiqua" w:hAnsi="Book Antiqua" w:cs="Book Antiqua"/>
          <w:i/>
          <w:iCs/>
          <w:color w:val="000000"/>
        </w:rPr>
        <w:t>Expert Rev Mol Diagn</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635-640 [PMID: 31084510 DOI: 10.1080/14737159.2019.1619549]</w:t>
      </w:r>
    </w:p>
    <w:p w14:paraId="34885A52" w14:textId="77777777" w:rsidR="00540D55" w:rsidRDefault="00540D55">
      <w:pPr>
        <w:spacing w:line="360" w:lineRule="auto"/>
        <w:jc w:val="both"/>
        <w:rPr>
          <w:rFonts w:ascii="Book Antiqua" w:hAnsi="Book Antiqua"/>
        </w:rPr>
        <w:sectPr w:rsidR="00540D55">
          <w:footerReference w:type="default" r:id="rId7"/>
          <w:pgSz w:w="12240" w:h="15840"/>
          <w:pgMar w:top="1440" w:right="1440" w:bottom="1440" w:left="1440" w:header="720" w:footer="720" w:gutter="0"/>
          <w:cols w:space="720"/>
          <w:docGrid w:linePitch="360"/>
        </w:sectPr>
      </w:pPr>
    </w:p>
    <w:p w14:paraId="6DFDC837"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BF6CA4F"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Institutional Board of the Hospital Universitario Nuestra Señora de Candelaria (Santa Cruz de Tenerife, Spain) approved the study protocol.</w:t>
      </w:r>
    </w:p>
    <w:p w14:paraId="05BC1AEF" w14:textId="77777777" w:rsidR="00540D55" w:rsidRDefault="00540D55">
      <w:pPr>
        <w:spacing w:line="360" w:lineRule="auto"/>
        <w:jc w:val="both"/>
        <w:rPr>
          <w:rFonts w:ascii="Book Antiqua" w:hAnsi="Book Antiqua"/>
          <w:lang w:eastAsia="zh-CN"/>
        </w:rPr>
      </w:pPr>
    </w:p>
    <w:p w14:paraId="1C61FB53" w14:textId="77777777" w:rsidR="00540D55" w:rsidRDefault="00624241">
      <w:pPr>
        <w:pStyle w:val="a9"/>
        <w:spacing w:before="0" w:beforeAutospacing="0" w:after="0" w:afterAutospacing="0" w:line="360" w:lineRule="auto"/>
        <w:jc w:val="both"/>
        <w:rPr>
          <w:rFonts w:ascii="Book Antiqua" w:hAnsi="Book Antiqua"/>
        </w:rPr>
      </w:pPr>
      <w:r>
        <w:rPr>
          <w:rFonts w:ascii="Book Antiqua" w:hAnsi="Book Antiqua"/>
          <w:b/>
          <w:bCs/>
        </w:rPr>
        <w:t xml:space="preserve">Informed consent statement: </w:t>
      </w:r>
      <w:r>
        <w:rPr>
          <w:rFonts w:ascii="Book Antiqua" w:hAnsi="Book Antiqua"/>
        </w:rPr>
        <w:t>All study participants or their legal guardian provided informed written consent about personal and medical data collection prior to study enrolment.</w:t>
      </w:r>
    </w:p>
    <w:p w14:paraId="75F350FA" w14:textId="77777777" w:rsidR="00540D55" w:rsidRDefault="00540D55">
      <w:pPr>
        <w:spacing w:line="360" w:lineRule="auto"/>
        <w:jc w:val="both"/>
        <w:rPr>
          <w:rFonts w:ascii="Book Antiqua" w:hAnsi="Book Antiqua"/>
          <w:lang w:eastAsia="zh-CN"/>
        </w:rPr>
      </w:pPr>
    </w:p>
    <w:p w14:paraId="12767F02"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hint="eastAsia"/>
          <w:bCs/>
          <w:color w:val="000000"/>
        </w:rPr>
        <w:t>All the</w:t>
      </w:r>
      <w:r>
        <w:rPr>
          <w:rFonts w:ascii="Book Antiqua" w:hAnsi="Book Antiqua" w:cs="Book Antiqua" w:hint="eastAsia"/>
          <w:b/>
          <w:bCs/>
          <w:color w:val="000000"/>
        </w:rPr>
        <w:t xml:space="preserve"> </w:t>
      </w:r>
      <w:r>
        <w:rPr>
          <w:rFonts w:ascii="Book Antiqua" w:hAnsi="Book Antiqua" w:cs="Book Antiqua" w:hint="eastAsia"/>
          <w:color w:val="000000"/>
        </w:rPr>
        <w:t>a</w:t>
      </w:r>
      <w:r>
        <w:rPr>
          <w:rFonts w:ascii="Book Antiqua" w:eastAsia="Book Antiqua" w:hAnsi="Book Antiqua" w:cs="Book Antiqua"/>
          <w:color w:val="000000"/>
        </w:rPr>
        <w:t xml:space="preserve">uthors </w:t>
      </w:r>
      <w:r>
        <w:rPr>
          <w:rFonts w:ascii="Book Antiqua" w:hAnsi="Book Antiqua" w:cs="Book Antiqua" w:hint="eastAsia"/>
          <w:color w:val="000000"/>
        </w:rPr>
        <w:t>report</w:t>
      </w:r>
      <w:r>
        <w:rPr>
          <w:rFonts w:ascii="Book Antiqua" w:eastAsia="Book Antiqua" w:hAnsi="Book Antiqua" w:cs="Book Antiqua"/>
          <w:color w:val="000000"/>
        </w:rPr>
        <w:t xml:space="preserve"> no </w:t>
      </w:r>
      <w:r>
        <w:rPr>
          <w:rFonts w:ascii="Book Antiqua" w:hAnsi="Book Antiqua" w:cs="Book Antiqua" w:hint="eastAsia"/>
          <w:color w:val="000000"/>
        </w:rPr>
        <w:t xml:space="preserve">relevant </w:t>
      </w:r>
      <w:r>
        <w:rPr>
          <w:rFonts w:ascii="Book Antiqua" w:eastAsia="Book Antiqua" w:hAnsi="Book Antiqua" w:cs="Book Antiqua"/>
          <w:color w:val="000000"/>
        </w:rPr>
        <w:t>conflict</w:t>
      </w:r>
      <w:r>
        <w:rPr>
          <w:rFonts w:ascii="Book Antiqua" w:hAnsi="Book Antiqua" w:cs="Book Antiqua" w:hint="eastAsia"/>
          <w:color w:val="000000"/>
        </w:rPr>
        <w:t>s</w:t>
      </w:r>
      <w:r>
        <w:rPr>
          <w:rFonts w:ascii="Book Antiqua" w:eastAsia="Book Antiqua" w:hAnsi="Book Antiqua" w:cs="Book Antiqua"/>
          <w:color w:val="000000"/>
        </w:rPr>
        <w:t xml:space="preserve"> of interest for this article.</w:t>
      </w:r>
    </w:p>
    <w:p w14:paraId="66F330B0" w14:textId="77777777" w:rsidR="00540D55" w:rsidRDefault="00540D55">
      <w:pPr>
        <w:spacing w:line="360" w:lineRule="auto"/>
        <w:jc w:val="both"/>
        <w:rPr>
          <w:rFonts w:ascii="Book Antiqua" w:hAnsi="Book Antiqua"/>
        </w:rPr>
      </w:pPr>
    </w:p>
    <w:p w14:paraId="1A9FBC49"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during the current study are available from the corresponding author on reasonable request.</w:t>
      </w:r>
    </w:p>
    <w:p w14:paraId="7D070905" w14:textId="77777777" w:rsidR="00540D55" w:rsidRDefault="00540D55">
      <w:pPr>
        <w:spacing w:line="360" w:lineRule="auto"/>
        <w:jc w:val="both"/>
        <w:rPr>
          <w:rFonts w:ascii="Book Antiqua" w:hAnsi="Book Antiqua"/>
        </w:rPr>
      </w:pPr>
    </w:p>
    <w:p w14:paraId="11F1F01E" w14:textId="77777777" w:rsidR="00540D55" w:rsidRDefault="0062424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956693" w14:textId="77777777" w:rsidR="00540D55" w:rsidRDefault="00540D55">
      <w:pPr>
        <w:spacing w:line="360" w:lineRule="auto"/>
        <w:jc w:val="both"/>
        <w:rPr>
          <w:rFonts w:ascii="Book Antiqua" w:hAnsi="Book Antiqua"/>
        </w:rPr>
      </w:pPr>
    </w:p>
    <w:p w14:paraId="438CC74E" w14:textId="77777777" w:rsidR="00540D55" w:rsidRDefault="0062424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AC6D421" w14:textId="77777777" w:rsidR="00540D55" w:rsidRDefault="00540D55">
      <w:pPr>
        <w:spacing w:line="360" w:lineRule="auto"/>
        <w:jc w:val="both"/>
        <w:rPr>
          <w:rFonts w:ascii="Book Antiqua" w:hAnsi="Book Antiqua"/>
          <w:lang w:eastAsia="zh-CN"/>
        </w:rPr>
      </w:pPr>
    </w:p>
    <w:p w14:paraId="08C4B2D5"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D0D5BBC" w14:textId="77777777" w:rsidR="00540D55" w:rsidRDefault="00540D55">
      <w:pPr>
        <w:spacing w:line="360" w:lineRule="auto"/>
        <w:jc w:val="both"/>
        <w:rPr>
          <w:rFonts w:ascii="Book Antiqua" w:hAnsi="Book Antiqua"/>
        </w:rPr>
      </w:pPr>
    </w:p>
    <w:p w14:paraId="04852AA5"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2022</w:t>
      </w:r>
    </w:p>
    <w:p w14:paraId="03C1AC6D"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24, 2022</w:t>
      </w:r>
    </w:p>
    <w:p w14:paraId="380072B7"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22, 2022</w:t>
      </w:r>
    </w:p>
    <w:p w14:paraId="043DBB43" w14:textId="77777777" w:rsidR="00540D55" w:rsidRDefault="00540D55">
      <w:pPr>
        <w:spacing w:line="360" w:lineRule="auto"/>
        <w:jc w:val="both"/>
        <w:rPr>
          <w:rFonts w:ascii="Book Antiqua" w:hAnsi="Book Antiqua"/>
        </w:rPr>
      </w:pPr>
    </w:p>
    <w:p w14:paraId="4F45B894" w14:textId="77777777" w:rsidR="00540D55" w:rsidRDefault="00540D55">
      <w:pPr>
        <w:spacing w:line="360" w:lineRule="auto"/>
        <w:jc w:val="both"/>
        <w:rPr>
          <w:rFonts w:ascii="Book Antiqua" w:hAnsi="Book Antiqua"/>
        </w:rPr>
      </w:pPr>
    </w:p>
    <w:p w14:paraId="40C6EB4B"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2A3D7ACF"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39D1385" w14:textId="77777777" w:rsidR="00540D55" w:rsidRDefault="0062424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C029143"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Grade A (Excellent): 0</w:t>
      </w:r>
    </w:p>
    <w:p w14:paraId="598B76CE"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Grade B (Very good): 0</w:t>
      </w:r>
    </w:p>
    <w:p w14:paraId="565990E8"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Grade C (Good): C</w:t>
      </w:r>
    </w:p>
    <w:p w14:paraId="4518E67A"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Grade D (Fair): D</w:t>
      </w:r>
    </w:p>
    <w:p w14:paraId="674EBA1F" w14:textId="77777777" w:rsidR="00540D55" w:rsidRDefault="00624241">
      <w:pPr>
        <w:spacing w:line="360" w:lineRule="auto"/>
        <w:jc w:val="both"/>
        <w:rPr>
          <w:rFonts w:ascii="Book Antiqua" w:hAnsi="Book Antiqua"/>
        </w:rPr>
      </w:pPr>
      <w:r>
        <w:rPr>
          <w:rFonts w:ascii="Book Antiqua" w:eastAsia="Book Antiqua" w:hAnsi="Book Antiqua" w:cs="Book Antiqua"/>
          <w:color w:val="000000"/>
        </w:rPr>
        <w:t>Grade E (Poor): 0</w:t>
      </w:r>
    </w:p>
    <w:p w14:paraId="5247355E" w14:textId="77777777" w:rsidR="00540D55" w:rsidRDefault="00540D55">
      <w:pPr>
        <w:spacing w:line="360" w:lineRule="auto"/>
        <w:jc w:val="both"/>
        <w:rPr>
          <w:rFonts w:ascii="Book Antiqua" w:hAnsi="Book Antiqua"/>
        </w:rPr>
      </w:pPr>
    </w:p>
    <w:p w14:paraId="10D72587" w14:textId="77777777" w:rsidR="00540D55" w:rsidRDefault="0062424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Son TQ, Viet Nam; Tanaka Y, Japan</w:t>
      </w:r>
      <w:r>
        <w:rPr>
          <w:rFonts w:ascii="Book Antiqua" w:eastAsia="Book Antiqua" w:hAnsi="Book Antiqua" w:cs="Book Antiqua"/>
          <w:b/>
          <w:color w:val="000000"/>
        </w:rPr>
        <w:t xml:space="preserve"> A-Editor: </w:t>
      </w:r>
      <w:r>
        <w:rPr>
          <w:rFonts w:ascii="Book Antiqua" w:hAnsi="Book Antiqua"/>
        </w:rPr>
        <w:t>Yao (Online Science Editor) QG,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Pr>
          <w:rFonts w:ascii="Book Antiqua" w:eastAsia="Book Antiqua" w:hAnsi="Book Antiqua" w:cs="Book Antiqua"/>
          <w:color w:val="000000"/>
        </w:rPr>
        <w:t xml:space="preserve"> Fan JR</w:t>
      </w:r>
    </w:p>
    <w:p w14:paraId="28C75F5F" w14:textId="77777777" w:rsidR="00540D55" w:rsidRDefault="00540D55">
      <w:pPr>
        <w:spacing w:line="360" w:lineRule="auto"/>
        <w:jc w:val="both"/>
        <w:rPr>
          <w:rFonts w:ascii="Book Antiqua" w:hAnsi="Book Antiqua" w:cs="Book Antiqua"/>
          <w:b/>
          <w:color w:val="000000"/>
          <w:lang w:eastAsia="zh-CN"/>
        </w:rPr>
      </w:pPr>
    </w:p>
    <w:p w14:paraId="03A28340" w14:textId="77777777" w:rsidR="00540D55" w:rsidRDefault="00624241">
      <w:pPr>
        <w:rPr>
          <w:rFonts w:ascii="Book Antiqua" w:eastAsia="Book Antiqua" w:hAnsi="Book Antiqua" w:cs="Book Antiqua"/>
          <w:b/>
          <w:color w:val="000000"/>
        </w:rPr>
      </w:pPr>
      <w:r>
        <w:rPr>
          <w:rFonts w:ascii="Book Antiqua" w:eastAsia="Book Antiqua" w:hAnsi="Book Antiqua" w:cs="Book Antiqua"/>
          <w:b/>
          <w:color w:val="000000"/>
        </w:rPr>
        <w:br w:type="page"/>
      </w:r>
    </w:p>
    <w:p w14:paraId="0C91E986" w14:textId="77777777" w:rsidR="00540D55" w:rsidRDefault="0062424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4B860CB" w14:textId="38DDB158" w:rsidR="00540D55" w:rsidRDefault="001E5FB5">
      <w:pPr>
        <w:spacing w:line="360" w:lineRule="auto"/>
        <w:jc w:val="both"/>
        <w:rPr>
          <w:rFonts w:ascii="Book Antiqua" w:hAnsi="Book Antiqua"/>
          <w:lang w:eastAsia="zh-CN"/>
        </w:rPr>
      </w:pPr>
      <w:r>
        <w:rPr>
          <w:noProof/>
        </w:rPr>
        <w:drawing>
          <wp:inline distT="0" distB="0" distL="0" distR="0" wp14:anchorId="3D53B942" wp14:editId="017321A0">
            <wp:extent cx="2717800" cy="28003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0" cy="2800350"/>
                    </a:xfrm>
                    <a:prstGeom prst="rect">
                      <a:avLst/>
                    </a:prstGeom>
                    <a:noFill/>
                    <a:ln>
                      <a:noFill/>
                    </a:ln>
                  </pic:spPr>
                </pic:pic>
              </a:graphicData>
            </a:graphic>
          </wp:inline>
        </w:drawing>
      </w:r>
    </w:p>
    <w:p w14:paraId="40661E8B" w14:textId="77777777" w:rsidR="00540D55" w:rsidRDefault="00624241">
      <w:pPr>
        <w:spacing w:line="360" w:lineRule="auto"/>
        <w:jc w:val="both"/>
        <w:rPr>
          <w:rFonts w:ascii="Book Antiqua" w:hAnsi="Book Antiqua"/>
          <w:lang w:eastAsia="zh-CN"/>
        </w:rPr>
      </w:pPr>
      <w:r>
        <w:rPr>
          <w:rFonts w:ascii="Book Antiqua" w:eastAsia="Book Antiqua" w:hAnsi="Book Antiqua" w:cs="Book Antiqua"/>
          <w:b/>
          <w:color w:val="000000"/>
        </w:rPr>
        <w:t xml:space="preserve">Figure 1 On the receiver operating characteristic analysis, the area under the curve of pre-liver transplantation serum </w:t>
      </w:r>
      <w:r>
        <w:rPr>
          <w:rFonts w:ascii="Book Antiqua" w:eastAsia="Book Antiqua" w:hAnsi="Book Antiqua" w:cs="Book Antiqua"/>
          <w:b/>
          <w:color w:val="000000"/>
          <w:shd w:val="clear" w:color="auto" w:fill="FFFFFF"/>
        </w:rPr>
        <w:t>oxidized guanine species</w:t>
      </w:r>
      <w:r>
        <w:rPr>
          <w:rFonts w:ascii="Book Antiqua" w:eastAsia="Book Antiqua" w:hAnsi="Book Antiqua" w:cs="Book Antiqua"/>
          <w:b/>
          <w:color w:val="000000"/>
        </w:rPr>
        <w:t xml:space="preserve"> concentrations for predicting 1-yr liver transplantation mortality was found to be 71% (95%</w:t>
      </w:r>
      <w:r>
        <w:rPr>
          <w:rFonts w:ascii="Book Antiqua" w:hAnsi="Book Antiqua"/>
          <w:b/>
          <w:lang w:eastAsia="zh-CN"/>
        </w:rPr>
        <w:t xml:space="preserve"> c</w:t>
      </w:r>
      <w:r>
        <w:rPr>
          <w:rFonts w:ascii="Book Antiqua" w:hAnsi="Book Antiqua"/>
          <w:b/>
        </w:rPr>
        <w:t xml:space="preserve">onfidence </w:t>
      </w:r>
      <w:r>
        <w:rPr>
          <w:rFonts w:ascii="Book Antiqua" w:hAnsi="Book Antiqua"/>
          <w:b/>
          <w:lang w:eastAsia="zh-CN"/>
        </w:rPr>
        <w:t>i</w:t>
      </w:r>
      <w:r>
        <w:rPr>
          <w:rFonts w:ascii="Book Antiqua" w:hAnsi="Book Antiqua"/>
          <w:b/>
        </w:rPr>
        <w:t>nterval</w:t>
      </w:r>
      <w:r>
        <w:rPr>
          <w:rFonts w:ascii="Book Antiqua" w:hAnsi="Book Antiqua" w:cs="Book Antiqua"/>
          <w:b/>
          <w:color w:val="000000"/>
          <w:lang w:eastAsia="zh-CN"/>
        </w:rPr>
        <w:t>:</w:t>
      </w:r>
      <w:r>
        <w:rPr>
          <w:rFonts w:ascii="Book Antiqua" w:eastAsia="Book Antiqua" w:hAnsi="Book Antiqua" w:cs="Book Antiqua"/>
          <w:b/>
          <w:color w:val="000000"/>
        </w:rPr>
        <w:t xml:space="preserve"> 55%-88%; </w:t>
      </w:r>
      <w:r>
        <w:rPr>
          <w:rFonts w:ascii="Book Antiqua" w:eastAsia="Book Antiqua" w:hAnsi="Book Antiqua" w:cs="Book Antiqua"/>
          <w:b/>
          <w:i/>
          <w:iCs/>
          <w:color w:val="000000"/>
        </w:rPr>
        <w:t>P</w:t>
      </w:r>
      <w:r>
        <w:rPr>
          <w:rFonts w:ascii="Book Antiqua" w:eastAsia="Book Antiqua" w:hAnsi="Book Antiqua" w:cs="Book Antiqua"/>
          <w:b/>
          <w:color w:val="000000"/>
        </w:rPr>
        <w:t xml:space="preserve"> = 0.009).</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OGS: </w:t>
      </w:r>
      <w:r>
        <w:rPr>
          <w:rFonts w:ascii="Book Antiqua" w:hAnsi="Book Antiqua" w:cs="Book Antiqua"/>
          <w:color w:val="000000"/>
          <w:shd w:val="clear" w:color="auto" w:fill="FFFFFF"/>
          <w:lang w:eastAsia="zh-CN"/>
        </w:rPr>
        <w:t>O</w:t>
      </w:r>
      <w:r>
        <w:rPr>
          <w:rFonts w:ascii="Book Antiqua" w:eastAsia="Book Antiqua" w:hAnsi="Book Antiqua" w:cs="Book Antiqua"/>
          <w:color w:val="000000"/>
          <w:shd w:val="clear" w:color="auto" w:fill="FFFFFF"/>
        </w:rPr>
        <w:t>xidized guanine species</w:t>
      </w:r>
      <w:r>
        <w:rPr>
          <w:rFonts w:ascii="Book Antiqua" w:hAnsi="Book Antiqua" w:cs="Book Antiqua"/>
          <w:color w:val="000000"/>
          <w:shd w:val="clear" w:color="auto" w:fill="FFFFFF"/>
          <w:lang w:eastAsia="zh-CN"/>
        </w:rPr>
        <w:t xml:space="preserve">; </w:t>
      </w:r>
      <w:r>
        <w:rPr>
          <w:rFonts w:ascii="Book Antiqua" w:hAnsi="Book Antiqua"/>
          <w:lang w:eastAsia="zh-CN"/>
        </w:rPr>
        <w:t>CI: C</w:t>
      </w:r>
      <w:r>
        <w:rPr>
          <w:rFonts w:ascii="Book Antiqua" w:hAnsi="Book Antiqua"/>
        </w:rPr>
        <w:t xml:space="preserve">onfidence </w:t>
      </w:r>
      <w:r>
        <w:rPr>
          <w:rFonts w:ascii="Book Antiqua" w:hAnsi="Book Antiqua"/>
          <w:lang w:eastAsia="zh-CN"/>
        </w:rPr>
        <w:t>i</w:t>
      </w:r>
      <w:r>
        <w:rPr>
          <w:rFonts w:ascii="Book Antiqua" w:hAnsi="Book Antiqua"/>
        </w:rPr>
        <w:t>nterval; AUC: Area under the curve</w:t>
      </w:r>
      <w:r>
        <w:rPr>
          <w:rFonts w:ascii="Book Antiqua" w:hAnsi="Book Antiqua"/>
          <w:lang w:eastAsia="zh-CN"/>
        </w:rPr>
        <w:t>.</w:t>
      </w:r>
    </w:p>
    <w:p w14:paraId="28AE8953" w14:textId="77777777" w:rsidR="00540D55" w:rsidRDefault="00624241">
      <w:pPr>
        <w:rPr>
          <w:rFonts w:ascii="Book Antiqua" w:hAnsi="Book Antiqua"/>
          <w:b/>
          <w:lang w:eastAsia="zh-CN"/>
        </w:rPr>
      </w:pPr>
      <w:r>
        <w:rPr>
          <w:rFonts w:ascii="Book Antiqua" w:hAnsi="Book Antiqua"/>
          <w:b/>
          <w:lang w:eastAsia="zh-CN"/>
        </w:rPr>
        <w:br w:type="page"/>
      </w:r>
    </w:p>
    <w:p w14:paraId="4AD6EBED" w14:textId="43E51FB0" w:rsidR="00540D55" w:rsidRDefault="001E5FB5">
      <w:pPr>
        <w:spacing w:line="360" w:lineRule="auto"/>
        <w:jc w:val="both"/>
        <w:rPr>
          <w:rFonts w:ascii="Book Antiqua" w:hAnsi="Book Antiqua"/>
          <w:b/>
          <w:lang w:eastAsia="zh-CN"/>
        </w:rPr>
      </w:pPr>
      <w:r>
        <w:rPr>
          <w:noProof/>
        </w:rPr>
        <w:lastRenderedPageBreak/>
        <w:drawing>
          <wp:inline distT="0" distB="0" distL="0" distR="0" wp14:anchorId="1695D007" wp14:editId="37048813">
            <wp:extent cx="2609850" cy="26416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641600"/>
                    </a:xfrm>
                    <a:prstGeom prst="rect">
                      <a:avLst/>
                    </a:prstGeom>
                    <a:noFill/>
                    <a:ln>
                      <a:noFill/>
                    </a:ln>
                  </pic:spPr>
                </pic:pic>
              </a:graphicData>
            </a:graphic>
          </wp:inline>
        </w:drawing>
      </w:r>
    </w:p>
    <w:p w14:paraId="3225B479" w14:textId="77777777" w:rsidR="00540D55" w:rsidRDefault="00624241">
      <w:pPr>
        <w:spacing w:line="360" w:lineRule="auto"/>
        <w:jc w:val="both"/>
        <w:rPr>
          <w:rFonts w:ascii="Book Antiqua" w:hAnsi="Book Antiqua"/>
          <w:lang w:eastAsia="zh-CN"/>
        </w:rPr>
      </w:pPr>
      <w:r>
        <w:rPr>
          <w:rFonts w:ascii="Book Antiqua" w:eastAsia="Book Antiqua" w:hAnsi="Book Antiqua" w:cs="Book Antiqua"/>
          <w:b/>
          <w:color w:val="000000"/>
        </w:rPr>
        <w:t xml:space="preserve">Figure 2 The Kaplan-Meier survival analysis showed a higher 1-yr liver transplantation mortality risk in patients with increased serum </w:t>
      </w:r>
      <w:r>
        <w:rPr>
          <w:rFonts w:ascii="Book Antiqua" w:eastAsia="Book Antiqua" w:hAnsi="Book Antiqua" w:cs="Book Antiqua"/>
          <w:b/>
          <w:color w:val="000000"/>
          <w:shd w:val="clear" w:color="auto" w:fill="FFFFFF"/>
        </w:rPr>
        <w:t>oxidized guanine species</w:t>
      </w:r>
      <w:r>
        <w:rPr>
          <w:rFonts w:ascii="Book Antiqua" w:eastAsia="Book Antiqua" w:hAnsi="Book Antiqua" w:cs="Book Antiqua"/>
          <w:b/>
          <w:color w:val="000000"/>
        </w:rPr>
        <w:t xml:space="preserve"> levels prior to liver transplantation (</w:t>
      </w:r>
      <w:r>
        <w:rPr>
          <w:rFonts w:ascii="Book Antiqua" w:hAnsi="Book Antiqua" w:cs="Book Antiqua"/>
          <w:b/>
          <w:color w:val="000000"/>
          <w:lang w:eastAsia="zh-CN"/>
        </w:rPr>
        <w:t>h</w:t>
      </w:r>
      <w:r>
        <w:rPr>
          <w:rFonts w:ascii="Book Antiqua" w:eastAsia="Book Antiqua" w:hAnsi="Book Antiqua" w:cs="Book Antiqua"/>
          <w:b/>
          <w:color w:val="000000"/>
        </w:rPr>
        <w:t xml:space="preserve">azard </w:t>
      </w:r>
      <w:r>
        <w:rPr>
          <w:rFonts w:ascii="Book Antiqua" w:hAnsi="Book Antiqua" w:cs="Book Antiqua"/>
          <w:b/>
          <w:color w:val="000000"/>
          <w:lang w:eastAsia="zh-CN"/>
        </w:rPr>
        <w:t>r</w:t>
      </w:r>
      <w:r>
        <w:rPr>
          <w:rFonts w:ascii="Book Antiqua" w:eastAsia="Book Antiqua" w:hAnsi="Book Antiqua" w:cs="Book Antiqua"/>
          <w:b/>
          <w:color w:val="000000"/>
        </w:rPr>
        <w:t>atio</w:t>
      </w:r>
      <w:r>
        <w:rPr>
          <w:rFonts w:ascii="Book Antiqua" w:hAnsi="Book Antiqua" w:cs="Book Antiqua"/>
          <w:b/>
          <w:color w:val="000000"/>
          <w:lang w:eastAsia="zh-CN"/>
        </w:rPr>
        <w:t xml:space="preserve"> </w:t>
      </w:r>
      <w:r>
        <w:rPr>
          <w:rFonts w:ascii="Book Antiqua" w:eastAsia="Book Antiqua" w:hAnsi="Book Antiqua" w:cs="Book Antiqua"/>
          <w:b/>
          <w:color w:val="000000"/>
        </w:rPr>
        <w:t>= 4.2; 95%</w:t>
      </w:r>
      <w:r>
        <w:rPr>
          <w:rFonts w:ascii="Book Antiqua" w:hAnsi="Book Antiqua"/>
          <w:b/>
          <w:lang w:eastAsia="zh-CN"/>
        </w:rPr>
        <w:t xml:space="preserve"> c</w:t>
      </w:r>
      <w:r>
        <w:rPr>
          <w:rFonts w:ascii="Book Antiqua" w:hAnsi="Book Antiqua"/>
          <w:b/>
        </w:rPr>
        <w:t xml:space="preserve">onfidence </w:t>
      </w:r>
      <w:r>
        <w:rPr>
          <w:rFonts w:ascii="Book Antiqua" w:hAnsi="Book Antiqua"/>
          <w:b/>
          <w:lang w:eastAsia="zh-CN"/>
        </w:rPr>
        <w:t>i</w:t>
      </w:r>
      <w:r>
        <w:rPr>
          <w:rFonts w:ascii="Book Antiqua" w:hAnsi="Book Antiqua"/>
          <w:b/>
        </w:rPr>
        <w:t>nterval</w:t>
      </w:r>
      <w:r>
        <w:rPr>
          <w:rFonts w:ascii="Book Antiqua" w:hAnsi="Book Antiqua" w:cs="Book Antiqua"/>
          <w:b/>
          <w:color w:val="000000"/>
          <w:lang w:eastAsia="zh-CN"/>
        </w:rPr>
        <w:t>:</w:t>
      </w:r>
      <w:r>
        <w:rPr>
          <w:rFonts w:ascii="Book Antiqua" w:eastAsia="Book Antiqua" w:hAnsi="Book Antiqua" w:cs="Book Antiqua"/>
          <w:b/>
          <w:color w:val="000000"/>
        </w:rPr>
        <w:t xml:space="preserve"> 1.36-13.11; </w:t>
      </w:r>
      <w:r>
        <w:rPr>
          <w:rFonts w:ascii="Book Antiqua" w:eastAsia="Book Antiqua" w:hAnsi="Book Antiqua" w:cs="Book Antiqua"/>
          <w:b/>
          <w:i/>
          <w:iCs/>
          <w:color w:val="000000"/>
        </w:rPr>
        <w:t>P</w:t>
      </w:r>
      <w:r>
        <w:rPr>
          <w:rFonts w:ascii="Book Antiqua" w:eastAsia="Book Antiqua" w:hAnsi="Book Antiqua" w:cs="Book Antiqua"/>
          <w:b/>
          <w:color w:val="000000"/>
        </w:rPr>
        <w:t xml:space="preserve"> = 0.01).</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OGS: </w:t>
      </w:r>
      <w:r>
        <w:rPr>
          <w:rFonts w:ascii="Book Antiqua" w:hAnsi="Book Antiqua" w:cs="Book Antiqua"/>
          <w:color w:val="000000"/>
          <w:shd w:val="clear" w:color="auto" w:fill="FFFFFF"/>
          <w:lang w:eastAsia="zh-CN"/>
        </w:rPr>
        <w:t>O</w:t>
      </w:r>
      <w:r>
        <w:rPr>
          <w:rFonts w:ascii="Book Antiqua" w:eastAsia="Book Antiqua" w:hAnsi="Book Antiqua" w:cs="Book Antiqua"/>
          <w:color w:val="000000"/>
          <w:shd w:val="clear" w:color="auto" w:fill="FFFFFF"/>
        </w:rPr>
        <w:t>xidized guanine species</w:t>
      </w:r>
      <w:r>
        <w:rPr>
          <w:rFonts w:ascii="Book Antiqua" w:hAnsi="Book Antiqua" w:cs="Book Antiqua"/>
          <w:color w:val="000000"/>
          <w:shd w:val="clear" w:color="auto" w:fill="FFFFFF"/>
          <w:lang w:eastAsia="zh-CN"/>
        </w:rPr>
        <w:t xml:space="preserve">; </w:t>
      </w:r>
      <w:r>
        <w:rPr>
          <w:rFonts w:ascii="Book Antiqua" w:hAnsi="Book Antiqua"/>
          <w:lang w:eastAsia="zh-CN"/>
        </w:rPr>
        <w:t>CI: C</w:t>
      </w:r>
      <w:r>
        <w:rPr>
          <w:rFonts w:ascii="Book Antiqua" w:hAnsi="Book Antiqua"/>
        </w:rPr>
        <w:t xml:space="preserve">onfidence </w:t>
      </w:r>
      <w:r>
        <w:rPr>
          <w:rFonts w:ascii="Book Antiqua" w:hAnsi="Book Antiqua"/>
          <w:lang w:eastAsia="zh-CN"/>
        </w:rPr>
        <w:t>i</w:t>
      </w:r>
      <w:r>
        <w:rPr>
          <w:rFonts w:ascii="Book Antiqua" w:hAnsi="Book Antiqua"/>
        </w:rPr>
        <w:t>nterval</w:t>
      </w:r>
      <w:r>
        <w:rPr>
          <w:rFonts w:ascii="Book Antiqua" w:hAnsi="Book Antiqua"/>
          <w:lang w:eastAsia="zh-CN"/>
        </w:rPr>
        <w:t>.</w:t>
      </w:r>
    </w:p>
    <w:p w14:paraId="6B894379" w14:textId="77777777" w:rsidR="00540D55" w:rsidRDefault="00540D55">
      <w:pPr>
        <w:spacing w:line="360" w:lineRule="auto"/>
        <w:jc w:val="both"/>
        <w:rPr>
          <w:rFonts w:ascii="Book Antiqua" w:hAnsi="Book Antiqua" w:cs="Book Antiqua"/>
          <w:color w:val="000000"/>
          <w:shd w:val="clear" w:color="auto" w:fill="FFFFFF"/>
          <w:lang w:eastAsia="zh-CN"/>
        </w:rPr>
      </w:pPr>
    </w:p>
    <w:p w14:paraId="0BEE57AB" w14:textId="77777777" w:rsidR="00540D55" w:rsidRDefault="00624241">
      <w:pPr>
        <w:rPr>
          <w:rFonts w:ascii="Book Antiqua" w:hAnsi="Book Antiqua"/>
          <w:b/>
          <w:bCs/>
        </w:rPr>
      </w:pPr>
      <w:r>
        <w:rPr>
          <w:rFonts w:ascii="Book Antiqua" w:hAnsi="Book Antiqua"/>
          <w:b/>
          <w:bCs/>
        </w:rPr>
        <w:br w:type="page"/>
      </w:r>
    </w:p>
    <w:p w14:paraId="51A60560" w14:textId="77777777" w:rsidR="00540D55" w:rsidRDefault="00624241">
      <w:pPr>
        <w:spacing w:line="360" w:lineRule="auto"/>
        <w:jc w:val="both"/>
        <w:rPr>
          <w:rFonts w:ascii="Book Antiqua" w:hAnsi="Book Antiqua"/>
          <w:b/>
        </w:rPr>
      </w:pPr>
      <w:r>
        <w:rPr>
          <w:rFonts w:ascii="Book Antiqua" w:hAnsi="Book Antiqua"/>
          <w:b/>
          <w:bCs/>
        </w:rPr>
        <w:lastRenderedPageBreak/>
        <w:t>Table 1</w:t>
      </w:r>
      <w:r>
        <w:rPr>
          <w:rFonts w:ascii="Book Antiqua" w:hAnsi="Book Antiqua"/>
          <w:b/>
        </w:rPr>
        <w:t xml:space="preserve"> Clinical and biochemical characteristics of 1-y</w:t>
      </w:r>
      <w:r>
        <w:rPr>
          <w:rFonts w:ascii="Book Antiqua" w:hAnsi="Book Antiqua" w:hint="eastAsia"/>
          <w:b/>
          <w:lang w:eastAsia="zh-CN"/>
        </w:rPr>
        <w:t>ea</w:t>
      </w:r>
      <w:r>
        <w:rPr>
          <w:rFonts w:ascii="Book Antiqua" w:hAnsi="Book Antiqua"/>
          <w:b/>
        </w:rPr>
        <w:t>r liver transplantation</w:t>
      </w:r>
      <w:r>
        <w:rPr>
          <w:rFonts w:ascii="Book Antiqua" w:hAnsi="Book Antiqua"/>
          <w:b/>
          <w:lang w:eastAsia="zh-CN"/>
        </w:rPr>
        <w:t xml:space="preserve"> </w:t>
      </w:r>
      <w:r>
        <w:rPr>
          <w:rFonts w:ascii="Book Antiqua" w:hAnsi="Book Antiqua"/>
          <w:b/>
        </w:rPr>
        <w:t>survivor and non-survivor patients</w:t>
      </w:r>
    </w:p>
    <w:tbl>
      <w:tblPr>
        <w:tblW w:w="10632" w:type="dxa"/>
        <w:tblInd w:w="-318" w:type="dxa"/>
        <w:tblBorders>
          <w:top w:val="single" w:sz="4" w:space="0" w:color="auto"/>
          <w:bottom w:val="single" w:sz="4" w:space="0" w:color="auto"/>
        </w:tblBorders>
        <w:tblLayout w:type="fixed"/>
        <w:tblLook w:val="04A0" w:firstRow="1" w:lastRow="0" w:firstColumn="1" w:lastColumn="0" w:noHBand="0" w:noVBand="1"/>
      </w:tblPr>
      <w:tblGrid>
        <w:gridCol w:w="4962"/>
        <w:gridCol w:w="2268"/>
        <w:gridCol w:w="2268"/>
        <w:gridCol w:w="1134"/>
      </w:tblGrid>
      <w:tr w:rsidR="00540D55" w14:paraId="4D9FA835" w14:textId="77777777">
        <w:trPr>
          <w:trHeight w:val="227"/>
        </w:trPr>
        <w:tc>
          <w:tcPr>
            <w:tcW w:w="4962" w:type="dxa"/>
            <w:tcBorders>
              <w:top w:val="single" w:sz="4" w:space="0" w:color="auto"/>
              <w:bottom w:val="single" w:sz="4" w:space="0" w:color="auto"/>
            </w:tcBorders>
          </w:tcPr>
          <w:p w14:paraId="69290DF0" w14:textId="77777777" w:rsidR="00540D55" w:rsidRDefault="00540D55">
            <w:pPr>
              <w:pStyle w:val="MDPI42tablebody"/>
              <w:spacing w:line="360" w:lineRule="auto"/>
              <w:jc w:val="both"/>
              <w:rPr>
                <w:rFonts w:ascii="Book Antiqua" w:hAnsi="Book Antiqua" w:cs="Times New Roman"/>
                <w:b/>
                <w:color w:val="auto"/>
                <w:sz w:val="24"/>
                <w:szCs w:val="24"/>
              </w:rPr>
            </w:pPr>
          </w:p>
        </w:tc>
        <w:tc>
          <w:tcPr>
            <w:tcW w:w="2268" w:type="dxa"/>
            <w:tcBorders>
              <w:top w:val="single" w:sz="4" w:space="0" w:color="auto"/>
              <w:bottom w:val="single" w:sz="4" w:space="0" w:color="auto"/>
            </w:tcBorders>
          </w:tcPr>
          <w:p w14:paraId="670896C3" w14:textId="77777777" w:rsidR="00540D55" w:rsidRDefault="00624241">
            <w:pPr>
              <w:spacing w:line="360" w:lineRule="auto"/>
              <w:jc w:val="both"/>
              <w:rPr>
                <w:rFonts w:ascii="Book Antiqua" w:hAnsi="Book Antiqua"/>
                <w:b/>
              </w:rPr>
            </w:pPr>
            <w:r>
              <w:rPr>
                <w:rFonts w:ascii="Book Antiqua" w:hAnsi="Book Antiqua"/>
                <w:b/>
              </w:rPr>
              <w:t>1 yr</w:t>
            </w:r>
            <w:r>
              <w:rPr>
                <w:rFonts w:ascii="Book Antiqua" w:hAnsi="Book Antiqua"/>
                <w:b/>
                <w:lang w:eastAsia="zh-CN"/>
              </w:rPr>
              <w:t xml:space="preserve"> </w:t>
            </w:r>
            <w:r>
              <w:rPr>
                <w:rFonts w:ascii="Book Antiqua" w:hAnsi="Book Antiqua"/>
                <w:b/>
              </w:rPr>
              <w:t>survivor patients,</w:t>
            </w:r>
            <w:r>
              <w:rPr>
                <w:rFonts w:ascii="Book Antiqua" w:hAnsi="Book Antiqua"/>
                <w:b/>
                <w:lang w:eastAsia="zh-CN"/>
              </w:rPr>
              <w:t xml:space="preserve"> </w:t>
            </w:r>
            <w:r>
              <w:rPr>
                <w:rFonts w:ascii="Book Antiqua" w:hAnsi="Book Antiqua"/>
                <w:b/>
                <w:i/>
              </w:rPr>
              <w:t>n</w:t>
            </w:r>
            <w:r>
              <w:rPr>
                <w:rFonts w:ascii="Book Antiqua" w:hAnsi="Book Antiqua"/>
                <w:b/>
                <w:lang w:eastAsia="zh-CN"/>
              </w:rPr>
              <w:t xml:space="preserve"> </w:t>
            </w:r>
            <w:r>
              <w:rPr>
                <w:rFonts w:ascii="Book Antiqua" w:hAnsi="Book Antiqua"/>
                <w:b/>
              </w:rPr>
              <w:t>=</w:t>
            </w:r>
            <w:r>
              <w:rPr>
                <w:rFonts w:ascii="Book Antiqua" w:hAnsi="Book Antiqua"/>
                <w:b/>
                <w:lang w:eastAsia="zh-CN"/>
              </w:rPr>
              <w:t xml:space="preserve"> </w:t>
            </w:r>
            <w:r>
              <w:rPr>
                <w:rFonts w:ascii="Book Antiqua" w:hAnsi="Book Antiqua"/>
                <w:b/>
              </w:rPr>
              <w:t>101</w:t>
            </w:r>
          </w:p>
        </w:tc>
        <w:tc>
          <w:tcPr>
            <w:tcW w:w="2268" w:type="dxa"/>
            <w:tcBorders>
              <w:top w:val="single" w:sz="4" w:space="0" w:color="auto"/>
              <w:bottom w:val="single" w:sz="4" w:space="0" w:color="auto"/>
            </w:tcBorders>
          </w:tcPr>
          <w:p w14:paraId="4F8CAA3B" w14:textId="77777777" w:rsidR="00540D55" w:rsidRDefault="00624241">
            <w:pPr>
              <w:spacing w:line="360" w:lineRule="auto"/>
              <w:jc w:val="both"/>
              <w:rPr>
                <w:rFonts w:ascii="Book Antiqua" w:hAnsi="Book Antiqua"/>
                <w:b/>
              </w:rPr>
            </w:pPr>
            <w:r>
              <w:rPr>
                <w:rFonts w:ascii="Book Antiqua" w:hAnsi="Book Antiqua"/>
                <w:b/>
              </w:rPr>
              <w:t>1 yr</w:t>
            </w:r>
            <w:r>
              <w:rPr>
                <w:rFonts w:ascii="Book Antiqua" w:hAnsi="Book Antiqua"/>
                <w:b/>
                <w:lang w:eastAsia="zh-CN"/>
              </w:rPr>
              <w:t xml:space="preserve"> </w:t>
            </w:r>
            <w:r>
              <w:rPr>
                <w:rFonts w:ascii="Book Antiqua" w:hAnsi="Book Antiqua"/>
                <w:b/>
              </w:rPr>
              <w:t>non-survivor</w:t>
            </w:r>
            <w:r>
              <w:rPr>
                <w:rFonts w:ascii="Book Antiqua" w:hAnsi="Book Antiqua"/>
                <w:b/>
                <w:lang w:eastAsia="zh-CN"/>
              </w:rPr>
              <w:t xml:space="preserve"> </w:t>
            </w:r>
            <w:r>
              <w:rPr>
                <w:rFonts w:ascii="Book Antiqua" w:hAnsi="Book Antiqua"/>
                <w:b/>
              </w:rPr>
              <w:t xml:space="preserve">patients, </w:t>
            </w:r>
            <w:r>
              <w:rPr>
                <w:rFonts w:ascii="Book Antiqua" w:hAnsi="Book Antiqua"/>
                <w:b/>
                <w:i/>
              </w:rPr>
              <w:t>n</w:t>
            </w:r>
            <w:r>
              <w:rPr>
                <w:rFonts w:ascii="Book Antiqua" w:hAnsi="Book Antiqua"/>
                <w:b/>
                <w:lang w:eastAsia="zh-CN"/>
              </w:rPr>
              <w:t xml:space="preserve"> </w:t>
            </w:r>
            <w:r>
              <w:rPr>
                <w:rFonts w:ascii="Book Antiqua" w:hAnsi="Book Antiqua"/>
                <w:b/>
              </w:rPr>
              <w:t>=</w:t>
            </w:r>
            <w:r>
              <w:rPr>
                <w:rFonts w:ascii="Book Antiqua" w:hAnsi="Book Antiqua"/>
                <w:b/>
                <w:lang w:eastAsia="zh-CN"/>
              </w:rPr>
              <w:t xml:space="preserve"> </w:t>
            </w:r>
            <w:r>
              <w:rPr>
                <w:rFonts w:ascii="Book Antiqua" w:hAnsi="Book Antiqua"/>
                <w:b/>
              </w:rPr>
              <w:t>13</w:t>
            </w:r>
          </w:p>
        </w:tc>
        <w:tc>
          <w:tcPr>
            <w:tcW w:w="1134" w:type="dxa"/>
            <w:tcBorders>
              <w:top w:val="single" w:sz="4" w:space="0" w:color="auto"/>
              <w:bottom w:val="single" w:sz="4" w:space="0" w:color="auto"/>
            </w:tcBorders>
          </w:tcPr>
          <w:p w14:paraId="626B68C8" w14:textId="77777777" w:rsidR="00540D55" w:rsidRDefault="00624241">
            <w:pPr>
              <w:pStyle w:val="MDPI42tablebody"/>
              <w:spacing w:line="360" w:lineRule="auto"/>
              <w:jc w:val="both"/>
              <w:rPr>
                <w:rFonts w:ascii="Book Antiqua" w:hAnsi="Book Antiqua" w:cs="Times New Roman"/>
                <w:b/>
                <w:color w:val="auto"/>
                <w:sz w:val="24"/>
                <w:szCs w:val="24"/>
              </w:rPr>
            </w:pPr>
            <w:r>
              <w:rPr>
                <w:rFonts w:ascii="Book Antiqua" w:eastAsiaTheme="minorEastAsia" w:hAnsi="Book Antiqua" w:cs="Times New Roman"/>
                <w:b/>
                <w:i/>
                <w:color w:val="auto"/>
                <w:sz w:val="24"/>
                <w:szCs w:val="24"/>
              </w:rPr>
              <w:t>P</w:t>
            </w:r>
            <w:r>
              <w:rPr>
                <w:rFonts w:ascii="Book Antiqua" w:eastAsiaTheme="minorEastAsia" w:hAnsi="Book Antiqua" w:cs="Times New Roman"/>
                <w:b/>
                <w:color w:val="auto"/>
                <w:sz w:val="24"/>
                <w:szCs w:val="24"/>
              </w:rPr>
              <w:t xml:space="preserve"> value</w:t>
            </w:r>
            <w:r>
              <w:rPr>
                <w:rFonts w:ascii="Book Antiqua" w:hAnsi="Book Antiqua" w:cs="Times New Roman"/>
                <w:b/>
                <w:color w:val="auto"/>
                <w:sz w:val="24"/>
                <w:szCs w:val="24"/>
              </w:rPr>
              <w:t xml:space="preserve"> </w:t>
            </w:r>
          </w:p>
        </w:tc>
      </w:tr>
      <w:tr w:rsidR="00540D55" w14:paraId="73B8509A" w14:textId="77777777">
        <w:trPr>
          <w:trHeight w:val="227"/>
        </w:trPr>
        <w:tc>
          <w:tcPr>
            <w:tcW w:w="4962" w:type="dxa"/>
            <w:tcBorders>
              <w:top w:val="single" w:sz="4" w:space="0" w:color="auto"/>
            </w:tcBorders>
          </w:tcPr>
          <w:p w14:paraId="0104D425"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bCs/>
                <w:color w:val="auto"/>
                <w:sz w:val="24"/>
                <w:szCs w:val="24"/>
              </w:rPr>
              <w:t xml:space="preserve">Serum OGS </w:t>
            </w:r>
            <w:r>
              <w:rPr>
                <w:rFonts w:ascii="Book Antiqua" w:hAnsi="Book Antiqua" w:cs="Times New Roman"/>
                <w:color w:val="auto"/>
                <w:sz w:val="24"/>
                <w:szCs w:val="24"/>
              </w:rPr>
              <w:t>(ng/mL)–median (p 25-75)</w:t>
            </w:r>
          </w:p>
        </w:tc>
        <w:tc>
          <w:tcPr>
            <w:tcW w:w="2268" w:type="dxa"/>
            <w:tcBorders>
              <w:top w:val="single" w:sz="4" w:space="0" w:color="auto"/>
            </w:tcBorders>
          </w:tcPr>
          <w:p w14:paraId="314B4F95"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2.80 (2.20-4.00)</w:t>
            </w:r>
          </w:p>
        </w:tc>
        <w:tc>
          <w:tcPr>
            <w:tcW w:w="2268" w:type="dxa"/>
            <w:tcBorders>
              <w:top w:val="single" w:sz="4" w:space="0" w:color="auto"/>
            </w:tcBorders>
          </w:tcPr>
          <w:p w14:paraId="3138CD30"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4.00 (2.70-10.25)</w:t>
            </w:r>
          </w:p>
        </w:tc>
        <w:tc>
          <w:tcPr>
            <w:tcW w:w="1134" w:type="dxa"/>
            <w:tcBorders>
              <w:top w:val="single" w:sz="4" w:space="0" w:color="auto"/>
            </w:tcBorders>
          </w:tcPr>
          <w:p w14:paraId="6B248968"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0.01</w:t>
            </w:r>
          </w:p>
        </w:tc>
      </w:tr>
      <w:tr w:rsidR="00540D55" w14:paraId="18C64D1A" w14:textId="77777777">
        <w:trPr>
          <w:trHeight w:val="227"/>
        </w:trPr>
        <w:tc>
          <w:tcPr>
            <w:tcW w:w="4962" w:type="dxa"/>
          </w:tcPr>
          <w:p w14:paraId="00F9293F"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Age of liver recipient (yr)-median (p 25-75)</w:t>
            </w:r>
          </w:p>
        </w:tc>
        <w:tc>
          <w:tcPr>
            <w:tcW w:w="2268" w:type="dxa"/>
          </w:tcPr>
          <w:p w14:paraId="71B00EC1"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58 (52-62)</w:t>
            </w:r>
          </w:p>
        </w:tc>
        <w:tc>
          <w:tcPr>
            <w:tcW w:w="2268" w:type="dxa"/>
          </w:tcPr>
          <w:p w14:paraId="0A32FD26"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57 (55-63)</w:t>
            </w:r>
          </w:p>
        </w:tc>
        <w:tc>
          <w:tcPr>
            <w:tcW w:w="1134" w:type="dxa"/>
          </w:tcPr>
          <w:p w14:paraId="6126638F"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0.61</w:t>
            </w:r>
          </w:p>
        </w:tc>
      </w:tr>
      <w:tr w:rsidR="00540D55" w14:paraId="5E985924" w14:textId="77777777">
        <w:trPr>
          <w:trHeight w:val="227"/>
        </w:trPr>
        <w:tc>
          <w:tcPr>
            <w:tcW w:w="4962" w:type="dxa"/>
          </w:tcPr>
          <w:p w14:paraId="0A88A45B"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Serum alpha-fetoprotein (ng/dL)-median (p 25-75)</w:t>
            </w:r>
          </w:p>
        </w:tc>
        <w:tc>
          <w:tcPr>
            <w:tcW w:w="2268" w:type="dxa"/>
          </w:tcPr>
          <w:p w14:paraId="3715FC98"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7.4 (4.0-21.6)</w:t>
            </w:r>
          </w:p>
        </w:tc>
        <w:tc>
          <w:tcPr>
            <w:tcW w:w="2268" w:type="dxa"/>
          </w:tcPr>
          <w:p w14:paraId="61881C46"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8.4 (4.3-130.5)</w:t>
            </w:r>
          </w:p>
        </w:tc>
        <w:tc>
          <w:tcPr>
            <w:tcW w:w="1134" w:type="dxa"/>
          </w:tcPr>
          <w:p w14:paraId="3DB18717"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0.62</w:t>
            </w:r>
          </w:p>
        </w:tc>
      </w:tr>
      <w:tr w:rsidR="00540D55" w14:paraId="20CC31DD" w14:textId="77777777">
        <w:trPr>
          <w:trHeight w:val="227"/>
        </w:trPr>
        <w:tc>
          <w:tcPr>
            <w:tcW w:w="4962" w:type="dxa"/>
          </w:tcPr>
          <w:p w14:paraId="15A0A77A"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Protein (g/dL)-median (p 25-75)</w:t>
            </w:r>
          </w:p>
        </w:tc>
        <w:tc>
          <w:tcPr>
            <w:tcW w:w="2268" w:type="dxa"/>
          </w:tcPr>
          <w:p w14:paraId="4F45AE4A"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6.70 (6.10-7.10)</w:t>
            </w:r>
          </w:p>
        </w:tc>
        <w:tc>
          <w:tcPr>
            <w:tcW w:w="2268" w:type="dxa"/>
          </w:tcPr>
          <w:p w14:paraId="3F3C24D9"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6.70 (5.58-7.63)</w:t>
            </w:r>
          </w:p>
        </w:tc>
        <w:tc>
          <w:tcPr>
            <w:tcW w:w="1134" w:type="dxa"/>
          </w:tcPr>
          <w:p w14:paraId="015E7C1E"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0.90</w:t>
            </w:r>
          </w:p>
        </w:tc>
      </w:tr>
      <w:tr w:rsidR="00540D55" w14:paraId="45E970AF" w14:textId="77777777">
        <w:trPr>
          <w:trHeight w:val="227"/>
        </w:trPr>
        <w:tc>
          <w:tcPr>
            <w:tcW w:w="4962" w:type="dxa"/>
          </w:tcPr>
          <w:p w14:paraId="54A1B025"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Leukocytes count–median</w:t>
            </w:r>
            <w:r>
              <w:rPr>
                <w:rFonts w:ascii="Book Antiqua" w:eastAsiaTheme="minorEastAsia" w:hAnsi="Book Antiqua" w:cs="Times New Roman"/>
                <w:color w:val="auto"/>
                <w:sz w:val="24"/>
                <w:szCs w:val="24"/>
              </w:rPr>
              <w:t xml:space="preserve"> </w:t>
            </w:r>
            <w:r>
              <w:rPr>
                <w:rFonts w:ascii="Book Antiqua" w:hAnsi="Book Antiqua" w:cs="Times New Roman"/>
                <w:color w:val="auto"/>
                <w:sz w:val="24"/>
                <w:szCs w:val="24"/>
              </w:rPr>
              <w:t>×</w:t>
            </w:r>
            <w:r>
              <w:rPr>
                <w:rFonts w:ascii="Book Antiqua" w:eastAsiaTheme="minorEastAsia" w:hAnsi="Book Antiqua" w:cs="Times New Roman"/>
                <w:color w:val="auto"/>
                <w:sz w:val="24"/>
                <w:szCs w:val="24"/>
              </w:rPr>
              <w:t xml:space="preserve"> </w:t>
            </w:r>
            <w:r>
              <w:rPr>
                <w:rFonts w:ascii="Book Antiqua" w:hAnsi="Book Antiqua" w:cs="Times New Roman"/>
                <w:color w:val="auto"/>
                <w:sz w:val="24"/>
                <w:szCs w:val="24"/>
              </w:rPr>
              <w:t>10</w:t>
            </w:r>
            <w:r>
              <w:rPr>
                <w:rFonts w:ascii="Book Antiqua" w:hAnsi="Book Antiqua" w:cs="Times New Roman"/>
                <w:color w:val="auto"/>
                <w:sz w:val="24"/>
                <w:szCs w:val="24"/>
                <w:vertAlign w:val="superscript"/>
              </w:rPr>
              <w:t>3</w:t>
            </w:r>
            <w:r>
              <w:rPr>
                <w:rFonts w:ascii="Book Antiqua" w:hAnsi="Book Antiqua" w:cs="Times New Roman"/>
                <w:color w:val="auto"/>
                <w:sz w:val="24"/>
                <w:szCs w:val="24"/>
              </w:rPr>
              <w:t>/mm</w:t>
            </w:r>
            <w:r>
              <w:rPr>
                <w:rFonts w:ascii="Book Antiqua" w:hAnsi="Book Antiqua" w:cs="Times New Roman"/>
                <w:color w:val="auto"/>
                <w:sz w:val="24"/>
                <w:szCs w:val="24"/>
                <w:vertAlign w:val="superscript"/>
              </w:rPr>
              <w:t>3</w:t>
            </w:r>
            <w:r>
              <w:rPr>
                <w:rFonts w:ascii="Book Antiqua" w:hAnsi="Book Antiqua" w:cs="Times New Roman"/>
                <w:color w:val="auto"/>
                <w:sz w:val="24"/>
                <w:szCs w:val="24"/>
              </w:rPr>
              <w:t xml:space="preserve"> (p 25-75)</w:t>
            </w:r>
          </w:p>
        </w:tc>
        <w:tc>
          <w:tcPr>
            <w:tcW w:w="2268" w:type="dxa"/>
          </w:tcPr>
          <w:p w14:paraId="59EF5E02"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4.57 (3.48-6.01)</w:t>
            </w:r>
          </w:p>
        </w:tc>
        <w:tc>
          <w:tcPr>
            <w:tcW w:w="2268" w:type="dxa"/>
          </w:tcPr>
          <w:p w14:paraId="4EF65DB9"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4.52 (3.27-7.77)</w:t>
            </w:r>
          </w:p>
        </w:tc>
        <w:tc>
          <w:tcPr>
            <w:tcW w:w="1134" w:type="dxa"/>
          </w:tcPr>
          <w:p w14:paraId="5C766ABB"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0.89</w:t>
            </w:r>
          </w:p>
        </w:tc>
      </w:tr>
      <w:tr w:rsidR="00540D55" w14:paraId="7C4AE3D6" w14:textId="77777777">
        <w:trPr>
          <w:trHeight w:val="227"/>
        </w:trPr>
        <w:tc>
          <w:tcPr>
            <w:tcW w:w="4962" w:type="dxa"/>
          </w:tcPr>
          <w:p w14:paraId="2794C0DE"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Albumin (g/dL)-median (p 25-75)</w:t>
            </w:r>
          </w:p>
        </w:tc>
        <w:tc>
          <w:tcPr>
            <w:tcW w:w="2268" w:type="dxa"/>
          </w:tcPr>
          <w:p w14:paraId="10B7CF94"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3.29 (2.89-3.99)</w:t>
            </w:r>
          </w:p>
        </w:tc>
        <w:tc>
          <w:tcPr>
            <w:tcW w:w="2268" w:type="dxa"/>
          </w:tcPr>
          <w:p w14:paraId="76A32CD1"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3.47 (3.14-3.93)</w:t>
            </w:r>
          </w:p>
        </w:tc>
        <w:tc>
          <w:tcPr>
            <w:tcW w:w="1134" w:type="dxa"/>
          </w:tcPr>
          <w:p w14:paraId="6CFB35C6"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0.45</w:t>
            </w:r>
          </w:p>
        </w:tc>
      </w:tr>
      <w:tr w:rsidR="00540D55" w14:paraId="3C5F34A8" w14:textId="77777777">
        <w:trPr>
          <w:trHeight w:val="227"/>
        </w:trPr>
        <w:tc>
          <w:tcPr>
            <w:tcW w:w="4962" w:type="dxa"/>
          </w:tcPr>
          <w:p w14:paraId="60139322"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Creatinine (mg/dL)-median (p 25-75)</w:t>
            </w:r>
          </w:p>
        </w:tc>
        <w:tc>
          <w:tcPr>
            <w:tcW w:w="2268" w:type="dxa"/>
          </w:tcPr>
          <w:p w14:paraId="6A006C12"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0.90 (0.78-1.10)</w:t>
            </w:r>
          </w:p>
        </w:tc>
        <w:tc>
          <w:tcPr>
            <w:tcW w:w="2268" w:type="dxa"/>
          </w:tcPr>
          <w:p w14:paraId="2D3EDDE2"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1.02 (0.75-1.10)</w:t>
            </w:r>
          </w:p>
        </w:tc>
        <w:tc>
          <w:tcPr>
            <w:tcW w:w="1134" w:type="dxa"/>
          </w:tcPr>
          <w:p w14:paraId="5FD2FDCB"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0.27</w:t>
            </w:r>
          </w:p>
        </w:tc>
      </w:tr>
      <w:tr w:rsidR="00540D55" w14:paraId="4FFF694B" w14:textId="77777777">
        <w:trPr>
          <w:trHeight w:val="227"/>
        </w:trPr>
        <w:tc>
          <w:tcPr>
            <w:tcW w:w="4962" w:type="dxa"/>
          </w:tcPr>
          <w:p w14:paraId="2B73D7B1"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BMI (kg/m</w:t>
            </w:r>
            <w:r>
              <w:rPr>
                <w:rFonts w:ascii="Book Antiqua" w:hAnsi="Book Antiqua" w:cs="Times New Roman"/>
                <w:color w:val="auto"/>
                <w:sz w:val="24"/>
                <w:szCs w:val="24"/>
                <w:vertAlign w:val="superscript"/>
              </w:rPr>
              <w:t>2</w:t>
            </w:r>
            <w:r>
              <w:rPr>
                <w:rFonts w:ascii="Book Antiqua" w:hAnsi="Book Antiqua" w:cs="Times New Roman"/>
                <w:color w:val="auto"/>
                <w:sz w:val="24"/>
                <w:szCs w:val="24"/>
              </w:rPr>
              <w:t>)-median (p 25-75)</w:t>
            </w:r>
          </w:p>
        </w:tc>
        <w:tc>
          <w:tcPr>
            <w:tcW w:w="2268" w:type="dxa"/>
          </w:tcPr>
          <w:p w14:paraId="16265FCB"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27.3 (24.3-29.7)</w:t>
            </w:r>
          </w:p>
        </w:tc>
        <w:tc>
          <w:tcPr>
            <w:tcW w:w="2268" w:type="dxa"/>
          </w:tcPr>
          <w:p w14:paraId="5935B4F4"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28.7 (24.9-31.8)</w:t>
            </w:r>
          </w:p>
        </w:tc>
        <w:tc>
          <w:tcPr>
            <w:tcW w:w="1134" w:type="dxa"/>
          </w:tcPr>
          <w:p w14:paraId="7C6BD60B"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0.26</w:t>
            </w:r>
          </w:p>
        </w:tc>
      </w:tr>
      <w:tr w:rsidR="00540D55" w14:paraId="49D5C93A" w14:textId="77777777">
        <w:trPr>
          <w:trHeight w:val="227"/>
        </w:trPr>
        <w:tc>
          <w:tcPr>
            <w:tcW w:w="4962" w:type="dxa"/>
          </w:tcPr>
          <w:p w14:paraId="1477417C"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Nodules size (cm)-median (p 25-75)</w:t>
            </w:r>
          </w:p>
        </w:tc>
        <w:tc>
          <w:tcPr>
            <w:tcW w:w="2268" w:type="dxa"/>
          </w:tcPr>
          <w:p w14:paraId="3E17E05A"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2.9 (2.0-3.4)</w:t>
            </w:r>
          </w:p>
        </w:tc>
        <w:tc>
          <w:tcPr>
            <w:tcW w:w="2268" w:type="dxa"/>
          </w:tcPr>
          <w:p w14:paraId="3506C047"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3.2 (1.8-4.9)</w:t>
            </w:r>
          </w:p>
        </w:tc>
        <w:tc>
          <w:tcPr>
            <w:tcW w:w="1134" w:type="dxa"/>
          </w:tcPr>
          <w:p w14:paraId="5F0B26A1"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0.40</w:t>
            </w:r>
          </w:p>
        </w:tc>
      </w:tr>
      <w:tr w:rsidR="00540D55" w14:paraId="19473DA7" w14:textId="77777777">
        <w:trPr>
          <w:trHeight w:val="227"/>
        </w:trPr>
        <w:tc>
          <w:tcPr>
            <w:tcW w:w="4962" w:type="dxa"/>
          </w:tcPr>
          <w:p w14:paraId="29958EA3"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MELD score-median (p 25-75)</w:t>
            </w:r>
          </w:p>
        </w:tc>
        <w:tc>
          <w:tcPr>
            <w:tcW w:w="2268" w:type="dxa"/>
          </w:tcPr>
          <w:p w14:paraId="698DD183"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15 (11-18)</w:t>
            </w:r>
          </w:p>
        </w:tc>
        <w:tc>
          <w:tcPr>
            <w:tcW w:w="2268" w:type="dxa"/>
          </w:tcPr>
          <w:p w14:paraId="00AB87AE"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15 (13-17)</w:t>
            </w:r>
          </w:p>
        </w:tc>
        <w:tc>
          <w:tcPr>
            <w:tcW w:w="1134" w:type="dxa"/>
          </w:tcPr>
          <w:p w14:paraId="4F80BFB4"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0.77</w:t>
            </w:r>
          </w:p>
        </w:tc>
      </w:tr>
      <w:tr w:rsidR="00540D55" w14:paraId="5CE314D1" w14:textId="77777777">
        <w:trPr>
          <w:trHeight w:val="227"/>
        </w:trPr>
        <w:tc>
          <w:tcPr>
            <w:tcW w:w="4962" w:type="dxa"/>
          </w:tcPr>
          <w:p w14:paraId="5D14E5C4"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Age of liver donor (yr)-median (p 25-75)</w:t>
            </w:r>
          </w:p>
        </w:tc>
        <w:tc>
          <w:tcPr>
            <w:tcW w:w="2268" w:type="dxa"/>
          </w:tcPr>
          <w:p w14:paraId="05BF6F97"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51 (35-62)</w:t>
            </w:r>
          </w:p>
        </w:tc>
        <w:tc>
          <w:tcPr>
            <w:tcW w:w="2268" w:type="dxa"/>
          </w:tcPr>
          <w:p w14:paraId="1C28B01A"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62 (49-72)</w:t>
            </w:r>
          </w:p>
        </w:tc>
        <w:tc>
          <w:tcPr>
            <w:tcW w:w="1134" w:type="dxa"/>
          </w:tcPr>
          <w:p w14:paraId="5FF88A6B"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0.03</w:t>
            </w:r>
          </w:p>
        </w:tc>
      </w:tr>
      <w:tr w:rsidR="00540D55" w14:paraId="4A932A62" w14:textId="77777777">
        <w:trPr>
          <w:trHeight w:val="227"/>
        </w:trPr>
        <w:tc>
          <w:tcPr>
            <w:tcW w:w="4962" w:type="dxa"/>
          </w:tcPr>
          <w:p w14:paraId="0EA28FFD" w14:textId="77777777" w:rsidR="00540D55" w:rsidRDefault="00624241">
            <w:pPr>
              <w:suppressAutoHyphens/>
              <w:spacing w:line="360" w:lineRule="auto"/>
              <w:jc w:val="both"/>
              <w:rPr>
                <w:rFonts w:ascii="Book Antiqua" w:eastAsia="宋体" w:hAnsi="Book Antiqua"/>
              </w:rPr>
            </w:pPr>
            <w:r>
              <w:rPr>
                <w:rFonts w:ascii="Book Antiqua" w:hAnsi="Book Antiqua"/>
              </w:rPr>
              <w:t>Gender female</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2268" w:type="dxa"/>
          </w:tcPr>
          <w:p w14:paraId="0D7A8C45" w14:textId="77777777" w:rsidR="00540D55" w:rsidRDefault="00624241">
            <w:pPr>
              <w:suppressAutoHyphens/>
              <w:spacing w:line="360" w:lineRule="auto"/>
              <w:jc w:val="both"/>
              <w:rPr>
                <w:rFonts w:ascii="Book Antiqua" w:eastAsia="宋体" w:hAnsi="Book Antiqua"/>
              </w:rPr>
            </w:pPr>
            <w:r>
              <w:rPr>
                <w:rFonts w:ascii="Book Antiqua" w:hAnsi="Book Antiqua"/>
              </w:rPr>
              <w:t>19 (18.8)</w:t>
            </w:r>
          </w:p>
        </w:tc>
        <w:tc>
          <w:tcPr>
            <w:tcW w:w="2268" w:type="dxa"/>
          </w:tcPr>
          <w:p w14:paraId="3163DEC0" w14:textId="77777777" w:rsidR="00540D55" w:rsidRDefault="00624241">
            <w:pPr>
              <w:suppressAutoHyphens/>
              <w:spacing w:line="360" w:lineRule="auto"/>
              <w:jc w:val="both"/>
              <w:rPr>
                <w:rFonts w:ascii="Book Antiqua" w:eastAsia="宋体" w:hAnsi="Book Antiqua"/>
              </w:rPr>
            </w:pPr>
            <w:r>
              <w:rPr>
                <w:rFonts w:ascii="Book Antiqua" w:hAnsi="Book Antiqua"/>
              </w:rPr>
              <w:t>0</w:t>
            </w:r>
          </w:p>
        </w:tc>
        <w:tc>
          <w:tcPr>
            <w:tcW w:w="1134" w:type="dxa"/>
          </w:tcPr>
          <w:p w14:paraId="5F65419E" w14:textId="77777777" w:rsidR="00540D55" w:rsidRDefault="00624241">
            <w:pPr>
              <w:suppressAutoHyphens/>
              <w:spacing w:line="360" w:lineRule="auto"/>
              <w:jc w:val="both"/>
              <w:rPr>
                <w:rFonts w:ascii="Book Antiqua" w:eastAsia="宋体" w:hAnsi="Book Antiqua"/>
              </w:rPr>
            </w:pPr>
            <w:r>
              <w:rPr>
                <w:rFonts w:ascii="Book Antiqua" w:hAnsi="Book Antiqua"/>
              </w:rPr>
              <w:t>0.12</w:t>
            </w:r>
          </w:p>
        </w:tc>
      </w:tr>
      <w:tr w:rsidR="00540D55" w14:paraId="4568BBCE" w14:textId="77777777">
        <w:trPr>
          <w:trHeight w:val="227"/>
        </w:trPr>
        <w:tc>
          <w:tcPr>
            <w:tcW w:w="4962" w:type="dxa"/>
          </w:tcPr>
          <w:p w14:paraId="0ACDBF3B" w14:textId="77777777" w:rsidR="00540D55" w:rsidRDefault="00624241">
            <w:pPr>
              <w:suppressAutoHyphens/>
              <w:spacing w:line="360" w:lineRule="auto"/>
              <w:jc w:val="both"/>
              <w:rPr>
                <w:rFonts w:ascii="Book Antiqua" w:eastAsia="宋体" w:hAnsi="Book Antiqua"/>
                <w:bCs/>
              </w:rPr>
            </w:pPr>
            <w:r>
              <w:rPr>
                <w:rFonts w:ascii="Book Antiqua" w:hAnsi="Book Antiqua"/>
                <w:bCs/>
              </w:rPr>
              <w:t>Child-Pugh score</w:t>
            </w:r>
            <w:r>
              <w:rPr>
                <w:rFonts w:ascii="Book Antiqua" w:hAnsi="Book Antiqua"/>
                <w:bCs/>
                <w:lang w:eastAsia="zh-CN"/>
              </w:rPr>
              <w:t>,</w:t>
            </w:r>
            <w:r>
              <w:rPr>
                <w:rFonts w:ascii="Book Antiqua" w:hAnsi="Book Antiqua"/>
                <w:bCs/>
              </w:rPr>
              <w:t xml:space="preserve"> </w:t>
            </w:r>
            <w:r>
              <w:rPr>
                <w:rFonts w:ascii="Book Antiqua" w:hAnsi="Book Antiqua"/>
                <w:bCs/>
                <w:i/>
              </w:rPr>
              <w:t>n</w:t>
            </w:r>
            <w:r>
              <w:rPr>
                <w:rFonts w:ascii="Book Antiqua" w:hAnsi="Book Antiqua"/>
                <w:bCs/>
              </w:rPr>
              <w:t xml:space="preserve"> (%)</w:t>
            </w:r>
          </w:p>
        </w:tc>
        <w:tc>
          <w:tcPr>
            <w:tcW w:w="2268" w:type="dxa"/>
          </w:tcPr>
          <w:p w14:paraId="122DF4CE" w14:textId="77777777" w:rsidR="00540D55" w:rsidRDefault="00540D55">
            <w:pPr>
              <w:suppressAutoHyphens/>
              <w:snapToGrid w:val="0"/>
              <w:spacing w:line="360" w:lineRule="auto"/>
              <w:jc w:val="both"/>
              <w:rPr>
                <w:rFonts w:ascii="Book Antiqua" w:eastAsia="宋体" w:hAnsi="Book Antiqua"/>
              </w:rPr>
            </w:pPr>
          </w:p>
        </w:tc>
        <w:tc>
          <w:tcPr>
            <w:tcW w:w="2268" w:type="dxa"/>
          </w:tcPr>
          <w:p w14:paraId="0815496C" w14:textId="77777777" w:rsidR="00540D55" w:rsidRDefault="00540D55">
            <w:pPr>
              <w:suppressAutoHyphens/>
              <w:snapToGrid w:val="0"/>
              <w:spacing w:line="360" w:lineRule="auto"/>
              <w:jc w:val="both"/>
              <w:rPr>
                <w:rFonts w:ascii="Book Antiqua" w:eastAsia="宋体" w:hAnsi="Book Antiqua"/>
              </w:rPr>
            </w:pPr>
          </w:p>
        </w:tc>
        <w:tc>
          <w:tcPr>
            <w:tcW w:w="1134" w:type="dxa"/>
          </w:tcPr>
          <w:p w14:paraId="33AE6BC2" w14:textId="77777777" w:rsidR="00540D55" w:rsidRDefault="00624241">
            <w:pPr>
              <w:suppressAutoHyphens/>
              <w:spacing w:line="360" w:lineRule="auto"/>
              <w:jc w:val="both"/>
              <w:rPr>
                <w:rFonts w:ascii="Book Antiqua" w:eastAsia="宋体" w:hAnsi="Book Antiqua"/>
              </w:rPr>
            </w:pPr>
            <w:r>
              <w:rPr>
                <w:rFonts w:ascii="Book Antiqua" w:hAnsi="Book Antiqua"/>
              </w:rPr>
              <w:t>0.06</w:t>
            </w:r>
          </w:p>
        </w:tc>
      </w:tr>
      <w:tr w:rsidR="00540D55" w14:paraId="4C0D915C" w14:textId="77777777">
        <w:trPr>
          <w:trHeight w:val="227"/>
        </w:trPr>
        <w:tc>
          <w:tcPr>
            <w:tcW w:w="4962" w:type="dxa"/>
          </w:tcPr>
          <w:p w14:paraId="5DF9AEDE" w14:textId="77777777" w:rsidR="00540D55" w:rsidRDefault="00624241">
            <w:pPr>
              <w:suppressAutoHyphens/>
              <w:spacing w:line="360" w:lineRule="auto"/>
              <w:jc w:val="both"/>
              <w:rPr>
                <w:rFonts w:ascii="Book Antiqua" w:eastAsia="宋体" w:hAnsi="Book Antiqua"/>
              </w:rPr>
            </w:pPr>
            <w:r>
              <w:rPr>
                <w:rFonts w:ascii="Book Antiqua" w:hAnsi="Book Antiqua"/>
              </w:rPr>
              <w:t>A</w:t>
            </w:r>
          </w:p>
        </w:tc>
        <w:tc>
          <w:tcPr>
            <w:tcW w:w="2268" w:type="dxa"/>
          </w:tcPr>
          <w:p w14:paraId="4EB65D1B" w14:textId="77777777" w:rsidR="00540D55" w:rsidRDefault="00624241">
            <w:pPr>
              <w:suppressAutoHyphens/>
              <w:spacing w:line="360" w:lineRule="auto"/>
              <w:jc w:val="both"/>
              <w:rPr>
                <w:rFonts w:ascii="Book Antiqua" w:eastAsia="宋体" w:hAnsi="Book Antiqua"/>
              </w:rPr>
            </w:pPr>
            <w:r>
              <w:rPr>
                <w:rFonts w:ascii="Book Antiqua" w:hAnsi="Book Antiqua"/>
              </w:rPr>
              <w:t>46 (45.5)</w:t>
            </w:r>
          </w:p>
        </w:tc>
        <w:tc>
          <w:tcPr>
            <w:tcW w:w="2268" w:type="dxa"/>
          </w:tcPr>
          <w:p w14:paraId="451EA236" w14:textId="77777777" w:rsidR="00540D55" w:rsidRDefault="00624241">
            <w:pPr>
              <w:suppressAutoHyphens/>
              <w:spacing w:line="360" w:lineRule="auto"/>
              <w:jc w:val="both"/>
              <w:rPr>
                <w:rFonts w:ascii="Book Antiqua" w:eastAsia="宋体" w:hAnsi="Book Antiqua"/>
              </w:rPr>
            </w:pPr>
            <w:r>
              <w:rPr>
                <w:rFonts w:ascii="Book Antiqua" w:hAnsi="Book Antiqua"/>
              </w:rPr>
              <w:t>10 (76.9)</w:t>
            </w:r>
          </w:p>
        </w:tc>
        <w:tc>
          <w:tcPr>
            <w:tcW w:w="1134" w:type="dxa"/>
          </w:tcPr>
          <w:p w14:paraId="4341BD72" w14:textId="77777777" w:rsidR="00540D55" w:rsidRDefault="00540D55">
            <w:pPr>
              <w:suppressAutoHyphens/>
              <w:snapToGrid w:val="0"/>
              <w:spacing w:line="360" w:lineRule="auto"/>
              <w:jc w:val="both"/>
              <w:rPr>
                <w:rFonts w:ascii="Book Antiqua" w:eastAsia="宋体" w:hAnsi="Book Antiqua"/>
              </w:rPr>
            </w:pPr>
          </w:p>
        </w:tc>
      </w:tr>
      <w:tr w:rsidR="00540D55" w14:paraId="3A2F99CA" w14:textId="77777777">
        <w:trPr>
          <w:trHeight w:val="227"/>
        </w:trPr>
        <w:tc>
          <w:tcPr>
            <w:tcW w:w="4962" w:type="dxa"/>
          </w:tcPr>
          <w:p w14:paraId="3F8E532F" w14:textId="77777777" w:rsidR="00540D55" w:rsidRDefault="00624241">
            <w:pPr>
              <w:suppressAutoHyphens/>
              <w:spacing w:line="360" w:lineRule="auto"/>
              <w:jc w:val="both"/>
              <w:rPr>
                <w:rFonts w:ascii="Book Antiqua" w:eastAsia="宋体" w:hAnsi="Book Antiqua"/>
              </w:rPr>
            </w:pPr>
            <w:r>
              <w:rPr>
                <w:rFonts w:ascii="Book Antiqua" w:hAnsi="Book Antiqua"/>
              </w:rPr>
              <w:t>B</w:t>
            </w:r>
          </w:p>
        </w:tc>
        <w:tc>
          <w:tcPr>
            <w:tcW w:w="2268" w:type="dxa"/>
          </w:tcPr>
          <w:p w14:paraId="521A06F8" w14:textId="77777777" w:rsidR="00540D55" w:rsidRDefault="00624241">
            <w:pPr>
              <w:suppressAutoHyphens/>
              <w:spacing w:line="360" w:lineRule="auto"/>
              <w:jc w:val="both"/>
              <w:rPr>
                <w:rFonts w:ascii="Book Antiqua" w:eastAsia="宋体" w:hAnsi="Book Antiqua"/>
              </w:rPr>
            </w:pPr>
            <w:r>
              <w:rPr>
                <w:rFonts w:ascii="Book Antiqua" w:hAnsi="Book Antiqua"/>
              </w:rPr>
              <w:t>29 (28.7)</w:t>
            </w:r>
          </w:p>
        </w:tc>
        <w:tc>
          <w:tcPr>
            <w:tcW w:w="2268" w:type="dxa"/>
          </w:tcPr>
          <w:p w14:paraId="4B8A2A37" w14:textId="77777777" w:rsidR="00540D55" w:rsidRDefault="00624241">
            <w:pPr>
              <w:suppressAutoHyphens/>
              <w:spacing w:line="360" w:lineRule="auto"/>
              <w:jc w:val="both"/>
              <w:rPr>
                <w:rFonts w:ascii="Book Antiqua" w:eastAsia="宋体" w:hAnsi="Book Antiqua"/>
              </w:rPr>
            </w:pPr>
            <w:r>
              <w:rPr>
                <w:rFonts w:ascii="Book Antiqua" w:hAnsi="Book Antiqua"/>
              </w:rPr>
              <w:t>3 (23.1)</w:t>
            </w:r>
          </w:p>
        </w:tc>
        <w:tc>
          <w:tcPr>
            <w:tcW w:w="1134" w:type="dxa"/>
          </w:tcPr>
          <w:p w14:paraId="0E825CD2" w14:textId="77777777" w:rsidR="00540D55" w:rsidRDefault="00540D55">
            <w:pPr>
              <w:suppressAutoHyphens/>
              <w:snapToGrid w:val="0"/>
              <w:spacing w:line="360" w:lineRule="auto"/>
              <w:jc w:val="both"/>
              <w:rPr>
                <w:rFonts w:ascii="Book Antiqua" w:eastAsia="宋体" w:hAnsi="Book Antiqua"/>
              </w:rPr>
            </w:pPr>
          </w:p>
        </w:tc>
      </w:tr>
      <w:tr w:rsidR="00540D55" w14:paraId="3CE073EF" w14:textId="77777777">
        <w:trPr>
          <w:trHeight w:val="227"/>
        </w:trPr>
        <w:tc>
          <w:tcPr>
            <w:tcW w:w="4962" w:type="dxa"/>
          </w:tcPr>
          <w:p w14:paraId="4F2BA862" w14:textId="77777777" w:rsidR="00540D55" w:rsidRDefault="00624241">
            <w:pPr>
              <w:suppressAutoHyphens/>
              <w:spacing w:line="360" w:lineRule="auto"/>
              <w:jc w:val="both"/>
              <w:rPr>
                <w:rFonts w:ascii="Book Antiqua" w:eastAsia="宋体" w:hAnsi="Book Antiqua"/>
              </w:rPr>
            </w:pPr>
            <w:r>
              <w:rPr>
                <w:rFonts w:ascii="Book Antiqua" w:hAnsi="Book Antiqua"/>
              </w:rPr>
              <w:t>C</w:t>
            </w:r>
          </w:p>
        </w:tc>
        <w:tc>
          <w:tcPr>
            <w:tcW w:w="2268" w:type="dxa"/>
          </w:tcPr>
          <w:p w14:paraId="58E794D0" w14:textId="77777777" w:rsidR="00540D55" w:rsidRDefault="00624241">
            <w:pPr>
              <w:suppressAutoHyphens/>
              <w:spacing w:line="360" w:lineRule="auto"/>
              <w:jc w:val="both"/>
              <w:rPr>
                <w:rFonts w:ascii="Book Antiqua" w:eastAsia="宋体" w:hAnsi="Book Antiqua"/>
              </w:rPr>
            </w:pPr>
            <w:r>
              <w:rPr>
                <w:rFonts w:ascii="Book Antiqua" w:hAnsi="Book Antiqua"/>
              </w:rPr>
              <w:t>26 (25.7)</w:t>
            </w:r>
          </w:p>
        </w:tc>
        <w:tc>
          <w:tcPr>
            <w:tcW w:w="2268" w:type="dxa"/>
          </w:tcPr>
          <w:p w14:paraId="4744C7E7" w14:textId="77777777" w:rsidR="00540D55" w:rsidRDefault="00624241">
            <w:pPr>
              <w:suppressAutoHyphens/>
              <w:spacing w:line="360" w:lineRule="auto"/>
              <w:jc w:val="both"/>
              <w:rPr>
                <w:rFonts w:ascii="Book Antiqua" w:eastAsia="宋体" w:hAnsi="Book Antiqua"/>
              </w:rPr>
            </w:pPr>
            <w:r>
              <w:rPr>
                <w:rFonts w:ascii="Book Antiqua" w:hAnsi="Book Antiqua"/>
              </w:rPr>
              <w:t>0</w:t>
            </w:r>
          </w:p>
        </w:tc>
        <w:tc>
          <w:tcPr>
            <w:tcW w:w="1134" w:type="dxa"/>
          </w:tcPr>
          <w:p w14:paraId="34B5C8AD" w14:textId="77777777" w:rsidR="00540D55" w:rsidRDefault="00540D55">
            <w:pPr>
              <w:suppressAutoHyphens/>
              <w:snapToGrid w:val="0"/>
              <w:spacing w:line="360" w:lineRule="auto"/>
              <w:jc w:val="both"/>
              <w:rPr>
                <w:rFonts w:ascii="Book Antiqua" w:eastAsia="宋体" w:hAnsi="Book Antiqua"/>
              </w:rPr>
            </w:pPr>
          </w:p>
        </w:tc>
      </w:tr>
      <w:tr w:rsidR="00540D55" w14:paraId="420207C8" w14:textId="77777777">
        <w:trPr>
          <w:trHeight w:val="227"/>
        </w:trPr>
        <w:tc>
          <w:tcPr>
            <w:tcW w:w="4962" w:type="dxa"/>
          </w:tcPr>
          <w:p w14:paraId="09CC5E8F" w14:textId="77777777" w:rsidR="00540D55" w:rsidRDefault="00624241">
            <w:pPr>
              <w:suppressAutoHyphens/>
              <w:spacing w:line="360" w:lineRule="auto"/>
              <w:jc w:val="both"/>
              <w:rPr>
                <w:rFonts w:ascii="Book Antiqua" w:eastAsia="宋体" w:hAnsi="Book Antiqua"/>
              </w:rPr>
            </w:pPr>
            <w:r>
              <w:rPr>
                <w:rFonts w:ascii="Book Antiqua" w:hAnsi="Book Antiqua"/>
              </w:rPr>
              <w:t>Infiltration</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2268" w:type="dxa"/>
          </w:tcPr>
          <w:p w14:paraId="00545969" w14:textId="77777777" w:rsidR="00540D55" w:rsidRDefault="00624241">
            <w:pPr>
              <w:suppressAutoHyphens/>
              <w:spacing w:line="360" w:lineRule="auto"/>
              <w:jc w:val="both"/>
              <w:rPr>
                <w:rFonts w:ascii="Book Antiqua" w:eastAsia="宋体" w:hAnsi="Book Antiqua"/>
              </w:rPr>
            </w:pPr>
            <w:r>
              <w:rPr>
                <w:rFonts w:ascii="Book Antiqua" w:hAnsi="Book Antiqua"/>
              </w:rPr>
              <w:t>32 (31.7)</w:t>
            </w:r>
          </w:p>
        </w:tc>
        <w:tc>
          <w:tcPr>
            <w:tcW w:w="2268" w:type="dxa"/>
          </w:tcPr>
          <w:p w14:paraId="3EF6D33B" w14:textId="77777777" w:rsidR="00540D55" w:rsidRDefault="00624241">
            <w:pPr>
              <w:suppressAutoHyphens/>
              <w:spacing w:line="360" w:lineRule="auto"/>
              <w:jc w:val="both"/>
              <w:rPr>
                <w:rFonts w:ascii="Book Antiqua" w:eastAsia="宋体" w:hAnsi="Book Antiqua"/>
              </w:rPr>
            </w:pPr>
            <w:r>
              <w:rPr>
                <w:rFonts w:ascii="Book Antiqua" w:hAnsi="Book Antiqua"/>
              </w:rPr>
              <w:t>3 (23.1)</w:t>
            </w:r>
          </w:p>
        </w:tc>
        <w:tc>
          <w:tcPr>
            <w:tcW w:w="1134" w:type="dxa"/>
          </w:tcPr>
          <w:p w14:paraId="1E126038" w14:textId="77777777" w:rsidR="00540D55" w:rsidRDefault="00624241">
            <w:pPr>
              <w:suppressAutoHyphens/>
              <w:spacing w:line="360" w:lineRule="auto"/>
              <w:jc w:val="both"/>
              <w:rPr>
                <w:rFonts w:ascii="Book Antiqua" w:eastAsia="宋体" w:hAnsi="Book Antiqua"/>
              </w:rPr>
            </w:pPr>
            <w:r>
              <w:rPr>
                <w:rFonts w:ascii="Book Antiqua" w:hAnsi="Book Antiqua"/>
              </w:rPr>
              <w:t>0.75</w:t>
            </w:r>
          </w:p>
        </w:tc>
      </w:tr>
      <w:tr w:rsidR="00540D55" w14:paraId="6AFE457E" w14:textId="77777777">
        <w:trPr>
          <w:trHeight w:val="227"/>
        </w:trPr>
        <w:tc>
          <w:tcPr>
            <w:tcW w:w="4962" w:type="dxa"/>
          </w:tcPr>
          <w:p w14:paraId="62F1496A" w14:textId="77777777" w:rsidR="00540D55" w:rsidRDefault="00624241">
            <w:pPr>
              <w:suppressAutoHyphens/>
              <w:spacing w:line="360" w:lineRule="auto"/>
              <w:jc w:val="both"/>
              <w:rPr>
                <w:rFonts w:ascii="Book Antiqua" w:eastAsia="宋体" w:hAnsi="Book Antiqua"/>
              </w:rPr>
            </w:pPr>
            <w:r>
              <w:rPr>
                <w:rFonts w:ascii="Book Antiqua" w:hAnsi="Book Antiqua"/>
              </w:rPr>
              <w:t>Macrovascular invasion</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2268" w:type="dxa"/>
          </w:tcPr>
          <w:p w14:paraId="5D9A4577" w14:textId="77777777" w:rsidR="00540D55" w:rsidRDefault="00624241">
            <w:pPr>
              <w:suppressAutoHyphens/>
              <w:spacing w:line="360" w:lineRule="auto"/>
              <w:jc w:val="both"/>
              <w:rPr>
                <w:rFonts w:ascii="Book Antiqua" w:eastAsia="宋体" w:hAnsi="Book Antiqua"/>
              </w:rPr>
            </w:pPr>
            <w:r>
              <w:rPr>
                <w:rFonts w:ascii="Book Antiqua" w:hAnsi="Book Antiqua"/>
              </w:rPr>
              <w:t>4 (4.0)</w:t>
            </w:r>
          </w:p>
        </w:tc>
        <w:tc>
          <w:tcPr>
            <w:tcW w:w="2268" w:type="dxa"/>
          </w:tcPr>
          <w:p w14:paraId="0267DDE5" w14:textId="77777777" w:rsidR="00540D55" w:rsidRDefault="00624241">
            <w:pPr>
              <w:suppressAutoHyphens/>
              <w:spacing w:line="360" w:lineRule="auto"/>
              <w:jc w:val="both"/>
              <w:rPr>
                <w:rFonts w:ascii="Book Antiqua" w:eastAsia="宋体" w:hAnsi="Book Antiqua"/>
              </w:rPr>
            </w:pPr>
            <w:r>
              <w:rPr>
                <w:rFonts w:ascii="Book Antiqua" w:hAnsi="Book Antiqua"/>
              </w:rPr>
              <w:t>0</w:t>
            </w:r>
          </w:p>
        </w:tc>
        <w:tc>
          <w:tcPr>
            <w:tcW w:w="1134" w:type="dxa"/>
          </w:tcPr>
          <w:p w14:paraId="65B850BD" w14:textId="77777777" w:rsidR="00540D55" w:rsidRDefault="00624241">
            <w:pPr>
              <w:suppressAutoHyphens/>
              <w:spacing w:line="360" w:lineRule="auto"/>
              <w:jc w:val="both"/>
              <w:rPr>
                <w:rFonts w:ascii="Book Antiqua" w:eastAsia="宋体" w:hAnsi="Book Antiqua"/>
              </w:rPr>
            </w:pPr>
            <w:r>
              <w:rPr>
                <w:rFonts w:ascii="Book Antiqua" w:hAnsi="Book Antiqua"/>
              </w:rPr>
              <w:t>0.99</w:t>
            </w:r>
          </w:p>
        </w:tc>
      </w:tr>
      <w:tr w:rsidR="00540D55" w14:paraId="2445EAC4" w14:textId="77777777">
        <w:trPr>
          <w:trHeight w:val="227"/>
        </w:trPr>
        <w:tc>
          <w:tcPr>
            <w:tcW w:w="4962" w:type="dxa"/>
          </w:tcPr>
          <w:p w14:paraId="37BCD3A8" w14:textId="77777777" w:rsidR="00540D55" w:rsidRDefault="00624241">
            <w:pPr>
              <w:suppressAutoHyphens/>
              <w:spacing w:line="360" w:lineRule="auto"/>
              <w:jc w:val="both"/>
              <w:rPr>
                <w:rFonts w:ascii="Book Antiqua" w:eastAsia="宋体" w:hAnsi="Book Antiqua"/>
              </w:rPr>
            </w:pPr>
            <w:r>
              <w:rPr>
                <w:rFonts w:ascii="Book Antiqua" w:hAnsi="Book Antiqua"/>
              </w:rPr>
              <w:t>Microvascular invasion</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2268" w:type="dxa"/>
          </w:tcPr>
          <w:p w14:paraId="6210A8A0" w14:textId="77777777" w:rsidR="00540D55" w:rsidRDefault="00624241">
            <w:pPr>
              <w:suppressAutoHyphens/>
              <w:spacing w:line="360" w:lineRule="auto"/>
              <w:jc w:val="both"/>
              <w:rPr>
                <w:rFonts w:ascii="Book Antiqua" w:eastAsia="宋体" w:hAnsi="Book Antiqua"/>
              </w:rPr>
            </w:pPr>
            <w:r>
              <w:rPr>
                <w:rFonts w:ascii="Book Antiqua" w:hAnsi="Book Antiqua"/>
              </w:rPr>
              <w:t>19 (18.8)</w:t>
            </w:r>
          </w:p>
        </w:tc>
        <w:tc>
          <w:tcPr>
            <w:tcW w:w="2268" w:type="dxa"/>
          </w:tcPr>
          <w:p w14:paraId="3421DEBD" w14:textId="77777777" w:rsidR="00540D55" w:rsidRDefault="00624241">
            <w:pPr>
              <w:suppressAutoHyphens/>
              <w:spacing w:line="360" w:lineRule="auto"/>
              <w:jc w:val="both"/>
              <w:rPr>
                <w:rFonts w:ascii="Book Antiqua" w:eastAsia="宋体" w:hAnsi="Book Antiqua"/>
              </w:rPr>
            </w:pPr>
            <w:r>
              <w:rPr>
                <w:rFonts w:ascii="Book Antiqua" w:hAnsi="Book Antiqua"/>
              </w:rPr>
              <w:t>2 (15.4)</w:t>
            </w:r>
          </w:p>
        </w:tc>
        <w:tc>
          <w:tcPr>
            <w:tcW w:w="1134" w:type="dxa"/>
          </w:tcPr>
          <w:p w14:paraId="126ABF9F" w14:textId="77777777" w:rsidR="00540D55" w:rsidRDefault="00624241">
            <w:pPr>
              <w:suppressAutoHyphens/>
              <w:spacing w:line="360" w:lineRule="auto"/>
              <w:jc w:val="both"/>
              <w:rPr>
                <w:rFonts w:ascii="Book Antiqua" w:eastAsia="宋体" w:hAnsi="Book Antiqua"/>
              </w:rPr>
            </w:pPr>
            <w:r>
              <w:rPr>
                <w:rFonts w:ascii="Book Antiqua" w:hAnsi="Book Antiqua"/>
              </w:rPr>
              <w:t>0.99</w:t>
            </w:r>
          </w:p>
        </w:tc>
      </w:tr>
      <w:tr w:rsidR="00540D55" w14:paraId="775C6FD2" w14:textId="77777777">
        <w:trPr>
          <w:trHeight w:val="227"/>
        </w:trPr>
        <w:tc>
          <w:tcPr>
            <w:tcW w:w="4962" w:type="dxa"/>
          </w:tcPr>
          <w:p w14:paraId="294C16EE" w14:textId="77777777" w:rsidR="00540D55" w:rsidRDefault="00624241">
            <w:pPr>
              <w:suppressAutoHyphens/>
              <w:spacing w:line="360" w:lineRule="auto"/>
              <w:jc w:val="both"/>
              <w:rPr>
                <w:rFonts w:ascii="Book Antiqua" w:eastAsia="宋体" w:hAnsi="Book Antiqua"/>
              </w:rPr>
            </w:pPr>
            <w:r>
              <w:rPr>
                <w:rFonts w:ascii="Book Antiqua" w:hAnsi="Book Antiqua"/>
              </w:rPr>
              <w:t>Multinodular tumor</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2268" w:type="dxa"/>
          </w:tcPr>
          <w:p w14:paraId="67186500" w14:textId="77777777" w:rsidR="00540D55" w:rsidRDefault="00624241">
            <w:pPr>
              <w:suppressAutoHyphens/>
              <w:spacing w:line="360" w:lineRule="auto"/>
              <w:jc w:val="both"/>
              <w:rPr>
                <w:rFonts w:ascii="Book Antiqua" w:eastAsia="宋体" w:hAnsi="Book Antiqua"/>
              </w:rPr>
            </w:pPr>
            <w:r>
              <w:rPr>
                <w:rFonts w:ascii="Book Antiqua" w:hAnsi="Book Antiqua"/>
              </w:rPr>
              <w:t>27 (26.7)</w:t>
            </w:r>
          </w:p>
        </w:tc>
        <w:tc>
          <w:tcPr>
            <w:tcW w:w="2268" w:type="dxa"/>
          </w:tcPr>
          <w:p w14:paraId="2DE7A836" w14:textId="77777777" w:rsidR="00540D55" w:rsidRDefault="00624241">
            <w:pPr>
              <w:suppressAutoHyphens/>
              <w:spacing w:line="360" w:lineRule="auto"/>
              <w:jc w:val="both"/>
              <w:rPr>
                <w:rFonts w:ascii="Book Antiqua" w:eastAsia="宋体" w:hAnsi="Book Antiqua"/>
              </w:rPr>
            </w:pPr>
            <w:r>
              <w:rPr>
                <w:rFonts w:ascii="Book Antiqua" w:hAnsi="Book Antiqua"/>
              </w:rPr>
              <w:t>4 (30.8)</w:t>
            </w:r>
          </w:p>
        </w:tc>
        <w:tc>
          <w:tcPr>
            <w:tcW w:w="1134" w:type="dxa"/>
          </w:tcPr>
          <w:p w14:paraId="2B2CF915"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0.75</w:t>
            </w:r>
          </w:p>
        </w:tc>
      </w:tr>
      <w:tr w:rsidR="00540D55" w14:paraId="5C47B3E6" w14:textId="77777777">
        <w:trPr>
          <w:trHeight w:val="227"/>
        </w:trPr>
        <w:tc>
          <w:tcPr>
            <w:tcW w:w="4962" w:type="dxa"/>
          </w:tcPr>
          <w:p w14:paraId="303AB949" w14:textId="77777777" w:rsidR="00540D55" w:rsidRDefault="00624241">
            <w:pPr>
              <w:suppressAutoHyphens/>
              <w:spacing w:line="360" w:lineRule="auto"/>
              <w:jc w:val="both"/>
              <w:rPr>
                <w:rFonts w:ascii="Book Antiqua" w:eastAsia="宋体" w:hAnsi="Book Antiqua"/>
              </w:rPr>
            </w:pPr>
            <w:r>
              <w:rPr>
                <w:rFonts w:ascii="Book Antiqua" w:hAnsi="Book Antiqua"/>
              </w:rPr>
              <w:t>Portal hypertension</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2268" w:type="dxa"/>
          </w:tcPr>
          <w:p w14:paraId="57E2F1DF" w14:textId="77777777" w:rsidR="00540D55" w:rsidRDefault="00624241">
            <w:pPr>
              <w:suppressAutoHyphens/>
              <w:spacing w:line="360" w:lineRule="auto"/>
              <w:jc w:val="both"/>
              <w:rPr>
                <w:rFonts w:ascii="Book Antiqua" w:eastAsia="宋体" w:hAnsi="Book Antiqua"/>
              </w:rPr>
            </w:pPr>
            <w:r>
              <w:rPr>
                <w:rFonts w:ascii="Book Antiqua" w:hAnsi="Book Antiqua"/>
              </w:rPr>
              <w:t>64 (63.4)</w:t>
            </w:r>
          </w:p>
        </w:tc>
        <w:tc>
          <w:tcPr>
            <w:tcW w:w="2268" w:type="dxa"/>
          </w:tcPr>
          <w:p w14:paraId="3865D560" w14:textId="77777777" w:rsidR="00540D55" w:rsidRDefault="00624241">
            <w:pPr>
              <w:suppressAutoHyphens/>
              <w:spacing w:line="360" w:lineRule="auto"/>
              <w:jc w:val="both"/>
              <w:rPr>
                <w:rFonts w:ascii="Book Antiqua" w:eastAsia="宋体" w:hAnsi="Book Antiqua"/>
              </w:rPr>
            </w:pPr>
            <w:r>
              <w:rPr>
                <w:rFonts w:ascii="Book Antiqua" w:hAnsi="Book Antiqua"/>
              </w:rPr>
              <w:t>9 (69.2)</w:t>
            </w:r>
          </w:p>
        </w:tc>
        <w:tc>
          <w:tcPr>
            <w:tcW w:w="1134" w:type="dxa"/>
          </w:tcPr>
          <w:p w14:paraId="35B783CA" w14:textId="77777777" w:rsidR="00540D55" w:rsidRDefault="00624241">
            <w:pPr>
              <w:suppressAutoHyphens/>
              <w:spacing w:line="360" w:lineRule="auto"/>
              <w:jc w:val="both"/>
              <w:rPr>
                <w:rFonts w:ascii="Book Antiqua" w:eastAsia="宋体" w:hAnsi="Book Antiqua"/>
              </w:rPr>
            </w:pPr>
            <w:r>
              <w:rPr>
                <w:rFonts w:ascii="Book Antiqua" w:hAnsi="Book Antiqua"/>
              </w:rPr>
              <w:t>0.77</w:t>
            </w:r>
          </w:p>
        </w:tc>
      </w:tr>
      <w:tr w:rsidR="00540D55" w14:paraId="04F0498D" w14:textId="77777777">
        <w:trPr>
          <w:trHeight w:val="227"/>
        </w:trPr>
        <w:tc>
          <w:tcPr>
            <w:tcW w:w="4962" w:type="dxa"/>
          </w:tcPr>
          <w:p w14:paraId="45CD5E63" w14:textId="77777777" w:rsidR="00540D55" w:rsidRDefault="00624241">
            <w:pPr>
              <w:suppressAutoHyphens/>
              <w:spacing w:line="360" w:lineRule="auto"/>
              <w:jc w:val="both"/>
              <w:rPr>
                <w:rFonts w:ascii="Book Antiqua" w:eastAsia="宋体" w:hAnsi="Book Antiqua"/>
              </w:rPr>
            </w:pPr>
            <w:r>
              <w:rPr>
                <w:rFonts w:ascii="Book Antiqua" w:hAnsi="Book Antiqua"/>
              </w:rPr>
              <w:t>Treatment previously to LT</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2268" w:type="dxa"/>
          </w:tcPr>
          <w:p w14:paraId="72AAE204" w14:textId="77777777" w:rsidR="00540D55" w:rsidRDefault="00624241">
            <w:pPr>
              <w:suppressAutoHyphens/>
              <w:spacing w:line="360" w:lineRule="auto"/>
              <w:jc w:val="both"/>
              <w:rPr>
                <w:rFonts w:ascii="Book Antiqua" w:eastAsia="宋体" w:hAnsi="Book Antiqua"/>
              </w:rPr>
            </w:pPr>
            <w:r>
              <w:rPr>
                <w:rFonts w:ascii="Book Antiqua" w:hAnsi="Book Antiqua"/>
              </w:rPr>
              <w:t>56 (55.4)</w:t>
            </w:r>
          </w:p>
        </w:tc>
        <w:tc>
          <w:tcPr>
            <w:tcW w:w="2268" w:type="dxa"/>
          </w:tcPr>
          <w:p w14:paraId="20AD9C6E" w14:textId="77777777" w:rsidR="00540D55" w:rsidRDefault="00624241">
            <w:pPr>
              <w:suppressAutoHyphens/>
              <w:spacing w:line="360" w:lineRule="auto"/>
              <w:jc w:val="both"/>
              <w:rPr>
                <w:rFonts w:ascii="Book Antiqua" w:eastAsia="宋体" w:hAnsi="Book Antiqua"/>
              </w:rPr>
            </w:pPr>
            <w:r>
              <w:rPr>
                <w:rFonts w:ascii="Book Antiqua" w:hAnsi="Book Antiqua"/>
              </w:rPr>
              <w:t>8 (61.5)</w:t>
            </w:r>
          </w:p>
        </w:tc>
        <w:tc>
          <w:tcPr>
            <w:tcW w:w="1134" w:type="dxa"/>
          </w:tcPr>
          <w:p w14:paraId="3F56EDDF" w14:textId="77777777" w:rsidR="00540D55" w:rsidRDefault="00624241">
            <w:pPr>
              <w:suppressAutoHyphens/>
              <w:spacing w:line="360" w:lineRule="auto"/>
              <w:jc w:val="both"/>
              <w:rPr>
                <w:rFonts w:ascii="Book Antiqua" w:eastAsia="宋体" w:hAnsi="Book Antiqua"/>
              </w:rPr>
            </w:pPr>
            <w:r>
              <w:rPr>
                <w:rFonts w:ascii="Book Antiqua" w:hAnsi="Book Antiqua"/>
              </w:rPr>
              <w:t>0.77</w:t>
            </w:r>
          </w:p>
        </w:tc>
      </w:tr>
      <w:tr w:rsidR="00540D55" w14:paraId="74BA1C2D" w14:textId="77777777">
        <w:trPr>
          <w:trHeight w:val="227"/>
        </w:trPr>
        <w:tc>
          <w:tcPr>
            <w:tcW w:w="4962" w:type="dxa"/>
          </w:tcPr>
          <w:p w14:paraId="114248EB"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PEI</w:t>
            </w:r>
            <w:r>
              <w:rPr>
                <w:rFonts w:ascii="Book Antiqua" w:hAnsi="Book Antiqua"/>
                <w:color w:val="auto"/>
                <w:sz w:val="24"/>
                <w:szCs w:val="24"/>
              </w:rPr>
              <w:t xml:space="preserve">, </w:t>
            </w:r>
            <w:r>
              <w:rPr>
                <w:rFonts w:ascii="Book Antiqua" w:hAnsi="Book Antiqua"/>
                <w:i/>
                <w:color w:val="auto"/>
                <w:sz w:val="24"/>
                <w:szCs w:val="24"/>
              </w:rPr>
              <w:t>n</w:t>
            </w:r>
            <w:r>
              <w:rPr>
                <w:rFonts w:ascii="Book Antiqua" w:hAnsi="Book Antiqua"/>
                <w:color w:val="auto"/>
                <w:sz w:val="24"/>
                <w:szCs w:val="24"/>
              </w:rPr>
              <w:t xml:space="preserve"> (%)</w:t>
            </w:r>
          </w:p>
        </w:tc>
        <w:tc>
          <w:tcPr>
            <w:tcW w:w="2268" w:type="dxa"/>
          </w:tcPr>
          <w:p w14:paraId="36F416AB"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26 (25.7)</w:t>
            </w:r>
          </w:p>
        </w:tc>
        <w:tc>
          <w:tcPr>
            <w:tcW w:w="2268" w:type="dxa"/>
          </w:tcPr>
          <w:p w14:paraId="4D1679E8"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5 (38.5)</w:t>
            </w:r>
          </w:p>
        </w:tc>
        <w:tc>
          <w:tcPr>
            <w:tcW w:w="1134" w:type="dxa"/>
          </w:tcPr>
          <w:p w14:paraId="724FA6AC"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0.33</w:t>
            </w:r>
          </w:p>
        </w:tc>
      </w:tr>
      <w:tr w:rsidR="00540D55" w14:paraId="2651A62A" w14:textId="77777777">
        <w:trPr>
          <w:trHeight w:val="227"/>
        </w:trPr>
        <w:tc>
          <w:tcPr>
            <w:tcW w:w="4962" w:type="dxa"/>
          </w:tcPr>
          <w:p w14:paraId="22D7E8C1"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lastRenderedPageBreak/>
              <w:t>RFA</w:t>
            </w:r>
            <w:r>
              <w:rPr>
                <w:rFonts w:ascii="Book Antiqua" w:hAnsi="Book Antiqua"/>
                <w:color w:val="auto"/>
                <w:sz w:val="24"/>
                <w:szCs w:val="24"/>
              </w:rPr>
              <w:t xml:space="preserve">, </w:t>
            </w:r>
            <w:r>
              <w:rPr>
                <w:rFonts w:ascii="Book Antiqua" w:hAnsi="Book Antiqua"/>
                <w:i/>
                <w:color w:val="auto"/>
                <w:sz w:val="24"/>
                <w:szCs w:val="24"/>
              </w:rPr>
              <w:t>n</w:t>
            </w:r>
            <w:r>
              <w:rPr>
                <w:rFonts w:ascii="Book Antiqua" w:hAnsi="Book Antiqua"/>
                <w:color w:val="auto"/>
                <w:sz w:val="24"/>
                <w:szCs w:val="24"/>
              </w:rPr>
              <w:t xml:space="preserve"> (%)</w:t>
            </w:r>
          </w:p>
        </w:tc>
        <w:tc>
          <w:tcPr>
            <w:tcW w:w="2268" w:type="dxa"/>
          </w:tcPr>
          <w:p w14:paraId="5008F813"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6 (5.9)</w:t>
            </w:r>
          </w:p>
        </w:tc>
        <w:tc>
          <w:tcPr>
            <w:tcW w:w="2268" w:type="dxa"/>
          </w:tcPr>
          <w:p w14:paraId="0321C114"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w:t>
            </w:r>
          </w:p>
        </w:tc>
        <w:tc>
          <w:tcPr>
            <w:tcW w:w="1134" w:type="dxa"/>
          </w:tcPr>
          <w:p w14:paraId="40F8DD61"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0.99</w:t>
            </w:r>
          </w:p>
        </w:tc>
      </w:tr>
      <w:tr w:rsidR="00540D55" w14:paraId="76429431" w14:textId="77777777">
        <w:trPr>
          <w:trHeight w:val="227"/>
        </w:trPr>
        <w:tc>
          <w:tcPr>
            <w:tcW w:w="4962" w:type="dxa"/>
          </w:tcPr>
          <w:p w14:paraId="25604E29"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TACE</w:t>
            </w:r>
            <w:r>
              <w:rPr>
                <w:rFonts w:ascii="Book Antiqua" w:hAnsi="Book Antiqua"/>
                <w:color w:val="auto"/>
                <w:sz w:val="24"/>
                <w:szCs w:val="24"/>
              </w:rPr>
              <w:t xml:space="preserve">, </w:t>
            </w:r>
            <w:r>
              <w:rPr>
                <w:rFonts w:ascii="Book Antiqua" w:hAnsi="Book Antiqua"/>
                <w:i/>
                <w:color w:val="auto"/>
                <w:sz w:val="24"/>
                <w:szCs w:val="24"/>
              </w:rPr>
              <w:t>n</w:t>
            </w:r>
            <w:r>
              <w:rPr>
                <w:rFonts w:ascii="Book Antiqua" w:hAnsi="Book Antiqua"/>
                <w:color w:val="auto"/>
                <w:sz w:val="24"/>
                <w:szCs w:val="24"/>
              </w:rPr>
              <w:t xml:space="preserve"> (%)</w:t>
            </w:r>
          </w:p>
        </w:tc>
        <w:tc>
          <w:tcPr>
            <w:tcW w:w="2268" w:type="dxa"/>
          </w:tcPr>
          <w:p w14:paraId="7AA33782"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18 (17.8)</w:t>
            </w:r>
          </w:p>
        </w:tc>
        <w:tc>
          <w:tcPr>
            <w:tcW w:w="2268" w:type="dxa"/>
          </w:tcPr>
          <w:p w14:paraId="62957467"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3 (23.1)</w:t>
            </w:r>
          </w:p>
        </w:tc>
        <w:tc>
          <w:tcPr>
            <w:tcW w:w="1134" w:type="dxa"/>
          </w:tcPr>
          <w:p w14:paraId="1A9F8F21"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0.71</w:t>
            </w:r>
          </w:p>
        </w:tc>
      </w:tr>
      <w:tr w:rsidR="00540D55" w14:paraId="6BAA5399" w14:textId="77777777">
        <w:trPr>
          <w:trHeight w:val="227"/>
        </w:trPr>
        <w:tc>
          <w:tcPr>
            <w:tcW w:w="4962" w:type="dxa"/>
          </w:tcPr>
          <w:p w14:paraId="733C0645"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Liver resection</w:t>
            </w:r>
            <w:r>
              <w:rPr>
                <w:rFonts w:ascii="Book Antiqua" w:hAnsi="Book Antiqua"/>
                <w:color w:val="auto"/>
                <w:sz w:val="24"/>
                <w:szCs w:val="24"/>
              </w:rPr>
              <w:t xml:space="preserve">, </w:t>
            </w:r>
            <w:r>
              <w:rPr>
                <w:rFonts w:ascii="Book Antiqua" w:hAnsi="Book Antiqua"/>
                <w:i/>
                <w:color w:val="auto"/>
                <w:sz w:val="24"/>
                <w:szCs w:val="24"/>
              </w:rPr>
              <w:t>n</w:t>
            </w:r>
            <w:r>
              <w:rPr>
                <w:rFonts w:ascii="Book Antiqua" w:hAnsi="Book Antiqua"/>
                <w:color w:val="auto"/>
                <w:sz w:val="24"/>
                <w:szCs w:val="24"/>
              </w:rPr>
              <w:t xml:space="preserve"> (%)</w:t>
            </w:r>
          </w:p>
        </w:tc>
        <w:tc>
          <w:tcPr>
            <w:tcW w:w="2268" w:type="dxa"/>
          </w:tcPr>
          <w:p w14:paraId="60C9899D"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3 (3.0)</w:t>
            </w:r>
          </w:p>
        </w:tc>
        <w:tc>
          <w:tcPr>
            <w:tcW w:w="2268" w:type="dxa"/>
          </w:tcPr>
          <w:p w14:paraId="2EB13250"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w:t>
            </w:r>
          </w:p>
        </w:tc>
        <w:tc>
          <w:tcPr>
            <w:tcW w:w="1134" w:type="dxa"/>
          </w:tcPr>
          <w:p w14:paraId="5EE3FE94"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0.99</w:t>
            </w:r>
          </w:p>
        </w:tc>
      </w:tr>
      <w:tr w:rsidR="00540D55" w14:paraId="5E131197" w14:textId="77777777">
        <w:trPr>
          <w:trHeight w:val="227"/>
        </w:trPr>
        <w:tc>
          <w:tcPr>
            <w:tcW w:w="4962" w:type="dxa"/>
          </w:tcPr>
          <w:p w14:paraId="0055FAA3"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Mixed treatment</w:t>
            </w:r>
            <w:r>
              <w:rPr>
                <w:rFonts w:ascii="Book Antiqua" w:hAnsi="Book Antiqua"/>
                <w:color w:val="auto"/>
                <w:sz w:val="24"/>
                <w:szCs w:val="24"/>
              </w:rPr>
              <w:t xml:space="preserve">, </w:t>
            </w:r>
            <w:r>
              <w:rPr>
                <w:rFonts w:ascii="Book Antiqua" w:hAnsi="Book Antiqua"/>
                <w:i/>
                <w:color w:val="auto"/>
                <w:sz w:val="24"/>
                <w:szCs w:val="24"/>
              </w:rPr>
              <w:t>n</w:t>
            </w:r>
            <w:r>
              <w:rPr>
                <w:rFonts w:ascii="Book Antiqua" w:hAnsi="Book Antiqua"/>
                <w:color w:val="auto"/>
                <w:sz w:val="24"/>
                <w:szCs w:val="24"/>
              </w:rPr>
              <w:t xml:space="preserve"> (%)</w:t>
            </w:r>
          </w:p>
        </w:tc>
        <w:tc>
          <w:tcPr>
            <w:tcW w:w="2268" w:type="dxa"/>
          </w:tcPr>
          <w:p w14:paraId="7D7D01F9"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3 (3.0)</w:t>
            </w:r>
          </w:p>
        </w:tc>
        <w:tc>
          <w:tcPr>
            <w:tcW w:w="2268" w:type="dxa"/>
          </w:tcPr>
          <w:p w14:paraId="3FC1A798" w14:textId="77777777" w:rsidR="00540D55" w:rsidRDefault="00624241">
            <w:pPr>
              <w:pStyle w:val="MDPI42tablebody"/>
              <w:spacing w:line="360" w:lineRule="auto"/>
              <w:jc w:val="both"/>
              <w:rPr>
                <w:rFonts w:ascii="Book Antiqua" w:hAnsi="Book Antiqua" w:cs="Times New Roman"/>
                <w:color w:val="auto"/>
                <w:sz w:val="24"/>
                <w:szCs w:val="24"/>
              </w:rPr>
            </w:pPr>
            <w:r>
              <w:rPr>
                <w:rFonts w:ascii="Book Antiqua" w:hAnsi="Book Antiqua" w:cs="Times New Roman"/>
                <w:color w:val="auto"/>
                <w:sz w:val="24"/>
                <w:szCs w:val="24"/>
              </w:rPr>
              <w:t>0</w:t>
            </w:r>
          </w:p>
        </w:tc>
        <w:tc>
          <w:tcPr>
            <w:tcW w:w="1134" w:type="dxa"/>
          </w:tcPr>
          <w:p w14:paraId="034736EF" w14:textId="77777777" w:rsidR="00540D55" w:rsidRDefault="00624241">
            <w:pPr>
              <w:suppressAutoHyphens/>
              <w:snapToGrid w:val="0"/>
              <w:spacing w:line="360" w:lineRule="auto"/>
              <w:jc w:val="both"/>
              <w:rPr>
                <w:rFonts w:ascii="Book Antiqua" w:eastAsia="宋体" w:hAnsi="Book Antiqua"/>
              </w:rPr>
            </w:pPr>
            <w:r>
              <w:rPr>
                <w:rFonts w:ascii="Book Antiqua" w:hAnsi="Book Antiqua"/>
              </w:rPr>
              <w:t>0.99</w:t>
            </w:r>
          </w:p>
        </w:tc>
      </w:tr>
      <w:tr w:rsidR="00540D55" w14:paraId="43092867" w14:textId="77777777">
        <w:trPr>
          <w:trHeight w:val="227"/>
        </w:trPr>
        <w:tc>
          <w:tcPr>
            <w:tcW w:w="4962" w:type="dxa"/>
          </w:tcPr>
          <w:p w14:paraId="1C96B27D" w14:textId="77777777" w:rsidR="00540D55" w:rsidRDefault="00624241">
            <w:pPr>
              <w:suppressAutoHyphens/>
              <w:spacing w:line="360" w:lineRule="auto"/>
              <w:jc w:val="both"/>
              <w:rPr>
                <w:rFonts w:ascii="Book Antiqua" w:eastAsia="宋体" w:hAnsi="Book Antiqua"/>
                <w:bCs/>
              </w:rPr>
            </w:pPr>
            <w:r>
              <w:rPr>
                <w:rFonts w:ascii="Book Antiqua" w:hAnsi="Book Antiqua"/>
                <w:bCs/>
              </w:rPr>
              <w:t>Transplantation technique</w:t>
            </w:r>
            <w:r>
              <w:rPr>
                <w:rFonts w:ascii="Book Antiqua" w:hAnsi="Book Antiqua"/>
                <w:bCs/>
                <w:lang w:eastAsia="zh-CN"/>
              </w:rPr>
              <w:t>,</w:t>
            </w:r>
            <w:r>
              <w:rPr>
                <w:rFonts w:ascii="Book Antiqua" w:hAnsi="Book Antiqua"/>
                <w:bCs/>
              </w:rPr>
              <w:t xml:space="preserve"> </w:t>
            </w:r>
            <w:r>
              <w:rPr>
                <w:rFonts w:ascii="Book Antiqua" w:hAnsi="Book Antiqua"/>
                <w:bCs/>
                <w:i/>
              </w:rPr>
              <w:t>n</w:t>
            </w:r>
            <w:r>
              <w:rPr>
                <w:rFonts w:ascii="Book Antiqua" w:hAnsi="Book Antiqua"/>
                <w:bCs/>
              </w:rPr>
              <w:t xml:space="preserve"> (%)</w:t>
            </w:r>
          </w:p>
        </w:tc>
        <w:tc>
          <w:tcPr>
            <w:tcW w:w="2268" w:type="dxa"/>
          </w:tcPr>
          <w:p w14:paraId="5C4A2DB7" w14:textId="77777777" w:rsidR="00540D55" w:rsidRDefault="00540D55">
            <w:pPr>
              <w:suppressAutoHyphens/>
              <w:snapToGrid w:val="0"/>
              <w:spacing w:line="360" w:lineRule="auto"/>
              <w:jc w:val="both"/>
              <w:rPr>
                <w:rFonts w:ascii="Book Antiqua" w:eastAsia="宋体" w:hAnsi="Book Antiqua"/>
              </w:rPr>
            </w:pPr>
          </w:p>
        </w:tc>
        <w:tc>
          <w:tcPr>
            <w:tcW w:w="2268" w:type="dxa"/>
          </w:tcPr>
          <w:p w14:paraId="24C8AA30" w14:textId="77777777" w:rsidR="00540D55" w:rsidRDefault="00540D55">
            <w:pPr>
              <w:suppressAutoHyphens/>
              <w:snapToGrid w:val="0"/>
              <w:spacing w:line="360" w:lineRule="auto"/>
              <w:jc w:val="both"/>
              <w:rPr>
                <w:rFonts w:ascii="Book Antiqua" w:eastAsia="宋体" w:hAnsi="Book Antiqua"/>
              </w:rPr>
            </w:pPr>
          </w:p>
        </w:tc>
        <w:tc>
          <w:tcPr>
            <w:tcW w:w="1134" w:type="dxa"/>
          </w:tcPr>
          <w:p w14:paraId="4135ABB5" w14:textId="77777777" w:rsidR="00540D55" w:rsidRDefault="00624241">
            <w:pPr>
              <w:suppressAutoHyphens/>
              <w:spacing w:line="360" w:lineRule="auto"/>
              <w:jc w:val="both"/>
              <w:rPr>
                <w:rFonts w:ascii="Book Antiqua" w:eastAsia="宋体" w:hAnsi="Book Antiqua"/>
              </w:rPr>
            </w:pPr>
            <w:r>
              <w:rPr>
                <w:rFonts w:ascii="Book Antiqua" w:hAnsi="Book Antiqua"/>
              </w:rPr>
              <w:t>0.99</w:t>
            </w:r>
          </w:p>
        </w:tc>
      </w:tr>
      <w:tr w:rsidR="00540D55" w14:paraId="16707EFC" w14:textId="77777777">
        <w:trPr>
          <w:trHeight w:val="227"/>
        </w:trPr>
        <w:tc>
          <w:tcPr>
            <w:tcW w:w="4962" w:type="dxa"/>
          </w:tcPr>
          <w:p w14:paraId="515FD59A" w14:textId="77777777" w:rsidR="00540D55" w:rsidRDefault="00624241">
            <w:pPr>
              <w:suppressAutoHyphens/>
              <w:spacing w:line="360" w:lineRule="auto"/>
              <w:jc w:val="both"/>
              <w:rPr>
                <w:rFonts w:ascii="Book Antiqua" w:eastAsia="宋体" w:hAnsi="Book Antiqua"/>
              </w:rPr>
            </w:pPr>
            <w:r>
              <w:rPr>
                <w:rFonts w:ascii="Book Antiqua" w:hAnsi="Book Antiqua"/>
              </w:rPr>
              <w:t>By-pass</w:t>
            </w:r>
          </w:p>
        </w:tc>
        <w:tc>
          <w:tcPr>
            <w:tcW w:w="2268" w:type="dxa"/>
          </w:tcPr>
          <w:p w14:paraId="64925B25" w14:textId="77777777" w:rsidR="00540D55" w:rsidRDefault="00624241">
            <w:pPr>
              <w:suppressAutoHyphens/>
              <w:spacing w:line="360" w:lineRule="auto"/>
              <w:jc w:val="both"/>
              <w:rPr>
                <w:rFonts w:ascii="Book Antiqua" w:eastAsia="宋体" w:hAnsi="Book Antiqua"/>
              </w:rPr>
            </w:pPr>
            <w:r>
              <w:rPr>
                <w:rFonts w:ascii="Book Antiqua" w:hAnsi="Book Antiqua"/>
              </w:rPr>
              <w:t>44 (43.6)</w:t>
            </w:r>
          </w:p>
        </w:tc>
        <w:tc>
          <w:tcPr>
            <w:tcW w:w="2268" w:type="dxa"/>
          </w:tcPr>
          <w:p w14:paraId="5DBF915A" w14:textId="77777777" w:rsidR="00540D55" w:rsidRDefault="00624241">
            <w:pPr>
              <w:suppressAutoHyphens/>
              <w:spacing w:line="360" w:lineRule="auto"/>
              <w:jc w:val="both"/>
              <w:rPr>
                <w:rFonts w:ascii="Book Antiqua" w:eastAsia="宋体" w:hAnsi="Book Antiqua"/>
              </w:rPr>
            </w:pPr>
            <w:r>
              <w:rPr>
                <w:rFonts w:ascii="Book Antiqua" w:hAnsi="Book Antiqua"/>
              </w:rPr>
              <w:t>6 (46.2)</w:t>
            </w:r>
          </w:p>
        </w:tc>
        <w:tc>
          <w:tcPr>
            <w:tcW w:w="1134" w:type="dxa"/>
          </w:tcPr>
          <w:p w14:paraId="19380DA7" w14:textId="77777777" w:rsidR="00540D55" w:rsidRDefault="00540D55">
            <w:pPr>
              <w:suppressAutoHyphens/>
              <w:snapToGrid w:val="0"/>
              <w:spacing w:line="360" w:lineRule="auto"/>
              <w:jc w:val="both"/>
              <w:rPr>
                <w:rFonts w:ascii="Book Antiqua" w:eastAsia="宋体" w:hAnsi="Book Antiqua"/>
              </w:rPr>
            </w:pPr>
          </w:p>
        </w:tc>
      </w:tr>
      <w:tr w:rsidR="00540D55" w14:paraId="7D8F6F5D" w14:textId="77777777">
        <w:trPr>
          <w:trHeight w:val="227"/>
        </w:trPr>
        <w:tc>
          <w:tcPr>
            <w:tcW w:w="4962" w:type="dxa"/>
          </w:tcPr>
          <w:p w14:paraId="74C44FAD" w14:textId="77777777" w:rsidR="00540D55" w:rsidRDefault="00624241">
            <w:pPr>
              <w:suppressAutoHyphens/>
              <w:spacing w:line="360" w:lineRule="auto"/>
              <w:jc w:val="both"/>
              <w:rPr>
                <w:rFonts w:ascii="Book Antiqua" w:eastAsia="宋体" w:hAnsi="Book Antiqua"/>
              </w:rPr>
            </w:pPr>
            <w:r>
              <w:rPr>
                <w:rFonts w:ascii="Book Antiqua" w:hAnsi="Book Antiqua"/>
              </w:rPr>
              <w:t>Piggy back</w:t>
            </w:r>
          </w:p>
        </w:tc>
        <w:tc>
          <w:tcPr>
            <w:tcW w:w="2268" w:type="dxa"/>
          </w:tcPr>
          <w:p w14:paraId="2A31A0A7" w14:textId="77777777" w:rsidR="00540D55" w:rsidRDefault="00624241">
            <w:pPr>
              <w:suppressAutoHyphens/>
              <w:spacing w:line="360" w:lineRule="auto"/>
              <w:jc w:val="both"/>
              <w:rPr>
                <w:rFonts w:ascii="Book Antiqua" w:eastAsia="宋体" w:hAnsi="Book Antiqua"/>
              </w:rPr>
            </w:pPr>
            <w:r>
              <w:rPr>
                <w:rFonts w:ascii="Book Antiqua" w:hAnsi="Book Antiqua"/>
              </w:rPr>
              <w:t>57 (56.4)</w:t>
            </w:r>
          </w:p>
        </w:tc>
        <w:tc>
          <w:tcPr>
            <w:tcW w:w="2268" w:type="dxa"/>
          </w:tcPr>
          <w:p w14:paraId="4CECE36F" w14:textId="77777777" w:rsidR="00540D55" w:rsidRDefault="00624241">
            <w:pPr>
              <w:suppressAutoHyphens/>
              <w:spacing w:line="360" w:lineRule="auto"/>
              <w:jc w:val="both"/>
              <w:rPr>
                <w:rFonts w:ascii="Book Antiqua" w:eastAsia="宋体" w:hAnsi="Book Antiqua"/>
              </w:rPr>
            </w:pPr>
            <w:r>
              <w:rPr>
                <w:rFonts w:ascii="Book Antiqua" w:hAnsi="Book Antiqua"/>
              </w:rPr>
              <w:t>7 (53.8)</w:t>
            </w:r>
          </w:p>
        </w:tc>
        <w:tc>
          <w:tcPr>
            <w:tcW w:w="1134" w:type="dxa"/>
          </w:tcPr>
          <w:p w14:paraId="36DDFF14" w14:textId="77777777" w:rsidR="00540D55" w:rsidRDefault="00540D55">
            <w:pPr>
              <w:suppressAutoHyphens/>
              <w:snapToGrid w:val="0"/>
              <w:spacing w:line="360" w:lineRule="auto"/>
              <w:jc w:val="both"/>
              <w:rPr>
                <w:rFonts w:ascii="Book Antiqua" w:eastAsia="宋体" w:hAnsi="Book Antiqua"/>
              </w:rPr>
            </w:pPr>
          </w:p>
        </w:tc>
      </w:tr>
      <w:tr w:rsidR="00540D55" w14:paraId="1F39B835" w14:textId="77777777">
        <w:trPr>
          <w:trHeight w:val="227"/>
        </w:trPr>
        <w:tc>
          <w:tcPr>
            <w:tcW w:w="4962" w:type="dxa"/>
          </w:tcPr>
          <w:p w14:paraId="02B03F78" w14:textId="77777777" w:rsidR="00540D55" w:rsidRDefault="00624241">
            <w:pPr>
              <w:suppressAutoHyphens/>
              <w:spacing w:line="360" w:lineRule="auto"/>
              <w:jc w:val="both"/>
              <w:rPr>
                <w:rFonts w:ascii="Book Antiqua" w:eastAsia="宋体" w:hAnsi="Book Antiqua"/>
                <w:bCs/>
              </w:rPr>
            </w:pPr>
            <w:r>
              <w:rPr>
                <w:rFonts w:ascii="Book Antiqua" w:hAnsi="Book Antiqua"/>
                <w:bCs/>
              </w:rPr>
              <w:t>Degree of tumor differentiation</w:t>
            </w:r>
            <w:r>
              <w:rPr>
                <w:rFonts w:ascii="Book Antiqua" w:hAnsi="Book Antiqua"/>
                <w:bCs/>
                <w:lang w:eastAsia="zh-CN"/>
              </w:rPr>
              <w:t>,</w:t>
            </w:r>
            <w:r>
              <w:rPr>
                <w:rFonts w:ascii="Book Antiqua" w:hAnsi="Book Antiqua"/>
                <w:bCs/>
              </w:rPr>
              <w:t xml:space="preserve"> </w:t>
            </w:r>
            <w:r>
              <w:rPr>
                <w:rFonts w:ascii="Book Antiqua" w:hAnsi="Book Antiqua"/>
                <w:bCs/>
                <w:i/>
              </w:rPr>
              <w:t>n</w:t>
            </w:r>
            <w:r>
              <w:rPr>
                <w:rFonts w:ascii="Book Antiqua" w:hAnsi="Book Antiqua"/>
                <w:bCs/>
              </w:rPr>
              <w:t xml:space="preserve"> (%)</w:t>
            </w:r>
          </w:p>
        </w:tc>
        <w:tc>
          <w:tcPr>
            <w:tcW w:w="2268" w:type="dxa"/>
          </w:tcPr>
          <w:p w14:paraId="3E7F9BA9" w14:textId="77777777" w:rsidR="00540D55" w:rsidRDefault="00540D55">
            <w:pPr>
              <w:suppressAutoHyphens/>
              <w:snapToGrid w:val="0"/>
              <w:spacing w:line="360" w:lineRule="auto"/>
              <w:jc w:val="both"/>
              <w:rPr>
                <w:rFonts w:ascii="Book Antiqua" w:eastAsia="宋体" w:hAnsi="Book Antiqua"/>
              </w:rPr>
            </w:pPr>
          </w:p>
        </w:tc>
        <w:tc>
          <w:tcPr>
            <w:tcW w:w="2268" w:type="dxa"/>
          </w:tcPr>
          <w:p w14:paraId="40837DA9" w14:textId="77777777" w:rsidR="00540D55" w:rsidRDefault="00540D55">
            <w:pPr>
              <w:suppressAutoHyphens/>
              <w:snapToGrid w:val="0"/>
              <w:spacing w:line="360" w:lineRule="auto"/>
              <w:jc w:val="both"/>
              <w:rPr>
                <w:rFonts w:ascii="Book Antiqua" w:eastAsia="宋体" w:hAnsi="Book Antiqua"/>
              </w:rPr>
            </w:pPr>
          </w:p>
        </w:tc>
        <w:tc>
          <w:tcPr>
            <w:tcW w:w="1134" w:type="dxa"/>
          </w:tcPr>
          <w:p w14:paraId="0F789005" w14:textId="77777777" w:rsidR="00540D55" w:rsidRDefault="00624241">
            <w:pPr>
              <w:suppressAutoHyphens/>
              <w:spacing w:line="360" w:lineRule="auto"/>
              <w:jc w:val="both"/>
              <w:rPr>
                <w:rFonts w:ascii="Book Antiqua" w:eastAsia="宋体" w:hAnsi="Book Antiqua"/>
              </w:rPr>
            </w:pPr>
            <w:r>
              <w:rPr>
                <w:rFonts w:ascii="Book Antiqua" w:hAnsi="Book Antiqua"/>
              </w:rPr>
              <w:t>0.11</w:t>
            </w:r>
          </w:p>
        </w:tc>
      </w:tr>
      <w:tr w:rsidR="00540D55" w14:paraId="1E1C274A" w14:textId="77777777">
        <w:trPr>
          <w:trHeight w:val="227"/>
        </w:trPr>
        <w:tc>
          <w:tcPr>
            <w:tcW w:w="4962" w:type="dxa"/>
          </w:tcPr>
          <w:p w14:paraId="045C7910" w14:textId="77777777" w:rsidR="00540D55" w:rsidRDefault="00624241">
            <w:pPr>
              <w:suppressAutoHyphens/>
              <w:spacing w:line="360" w:lineRule="auto"/>
              <w:jc w:val="both"/>
              <w:rPr>
                <w:rFonts w:ascii="Book Antiqua" w:eastAsia="宋体" w:hAnsi="Book Antiqua"/>
              </w:rPr>
            </w:pPr>
            <w:r>
              <w:rPr>
                <w:rFonts w:ascii="Book Antiqua" w:hAnsi="Book Antiqua"/>
              </w:rPr>
              <w:t>Well</w:t>
            </w:r>
          </w:p>
        </w:tc>
        <w:tc>
          <w:tcPr>
            <w:tcW w:w="2268" w:type="dxa"/>
          </w:tcPr>
          <w:p w14:paraId="6A9D09F1" w14:textId="77777777" w:rsidR="00540D55" w:rsidRDefault="00624241">
            <w:pPr>
              <w:suppressAutoHyphens/>
              <w:spacing w:line="360" w:lineRule="auto"/>
              <w:jc w:val="both"/>
              <w:rPr>
                <w:rFonts w:ascii="Book Antiqua" w:eastAsia="宋体" w:hAnsi="Book Antiqua"/>
              </w:rPr>
            </w:pPr>
            <w:r>
              <w:rPr>
                <w:rFonts w:ascii="Book Antiqua" w:hAnsi="Book Antiqua"/>
              </w:rPr>
              <w:t>76 (75.2)</w:t>
            </w:r>
          </w:p>
        </w:tc>
        <w:tc>
          <w:tcPr>
            <w:tcW w:w="2268" w:type="dxa"/>
          </w:tcPr>
          <w:p w14:paraId="2593460F" w14:textId="77777777" w:rsidR="00540D55" w:rsidRDefault="00624241">
            <w:pPr>
              <w:suppressAutoHyphens/>
              <w:spacing w:line="360" w:lineRule="auto"/>
              <w:jc w:val="both"/>
              <w:rPr>
                <w:rFonts w:ascii="Book Antiqua" w:eastAsia="宋体" w:hAnsi="Book Antiqua"/>
              </w:rPr>
            </w:pPr>
            <w:r>
              <w:rPr>
                <w:rFonts w:ascii="Book Antiqua" w:hAnsi="Book Antiqua"/>
              </w:rPr>
              <w:t>11 (84.6)</w:t>
            </w:r>
          </w:p>
        </w:tc>
        <w:tc>
          <w:tcPr>
            <w:tcW w:w="1134" w:type="dxa"/>
          </w:tcPr>
          <w:p w14:paraId="1DF36952" w14:textId="77777777" w:rsidR="00540D55" w:rsidRDefault="00540D55">
            <w:pPr>
              <w:suppressAutoHyphens/>
              <w:snapToGrid w:val="0"/>
              <w:spacing w:line="360" w:lineRule="auto"/>
              <w:jc w:val="both"/>
              <w:rPr>
                <w:rFonts w:ascii="Book Antiqua" w:eastAsia="宋体" w:hAnsi="Book Antiqua"/>
              </w:rPr>
            </w:pPr>
          </w:p>
        </w:tc>
      </w:tr>
      <w:tr w:rsidR="00540D55" w14:paraId="678D2F13" w14:textId="77777777">
        <w:trPr>
          <w:trHeight w:val="227"/>
        </w:trPr>
        <w:tc>
          <w:tcPr>
            <w:tcW w:w="4962" w:type="dxa"/>
          </w:tcPr>
          <w:p w14:paraId="391BF3B6" w14:textId="77777777" w:rsidR="00540D55" w:rsidRDefault="00624241">
            <w:pPr>
              <w:suppressAutoHyphens/>
              <w:spacing w:line="360" w:lineRule="auto"/>
              <w:jc w:val="both"/>
              <w:rPr>
                <w:rFonts w:ascii="Book Antiqua" w:eastAsia="宋体" w:hAnsi="Book Antiqua"/>
              </w:rPr>
            </w:pPr>
            <w:r>
              <w:rPr>
                <w:rFonts w:ascii="Book Antiqua" w:hAnsi="Book Antiqua"/>
              </w:rPr>
              <w:t>Moderate</w:t>
            </w:r>
          </w:p>
        </w:tc>
        <w:tc>
          <w:tcPr>
            <w:tcW w:w="2268" w:type="dxa"/>
          </w:tcPr>
          <w:p w14:paraId="00615EF1" w14:textId="77777777" w:rsidR="00540D55" w:rsidRDefault="00624241">
            <w:pPr>
              <w:suppressAutoHyphens/>
              <w:spacing w:line="360" w:lineRule="auto"/>
              <w:jc w:val="both"/>
              <w:rPr>
                <w:rFonts w:ascii="Book Antiqua" w:eastAsia="宋体" w:hAnsi="Book Antiqua"/>
              </w:rPr>
            </w:pPr>
            <w:r>
              <w:rPr>
                <w:rFonts w:ascii="Book Antiqua" w:hAnsi="Book Antiqua"/>
              </w:rPr>
              <w:t>24 (23.8)</w:t>
            </w:r>
          </w:p>
        </w:tc>
        <w:tc>
          <w:tcPr>
            <w:tcW w:w="2268" w:type="dxa"/>
          </w:tcPr>
          <w:p w14:paraId="32840484" w14:textId="77777777" w:rsidR="00540D55" w:rsidRDefault="00624241">
            <w:pPr>
              <w:suppressAutoHyphens/>
              <w:spacing w:line="360" w:lineRule="auto"/>
              <w:jc w:val="both"/>
              <w:rPr>
                <w:rFonts w:ascii="Book Antiqua" w:eastAsia="宋体" w:hAnsi="Book Antiqua"/>
              </w:rPr>
            </w:pPr>
            <w:r>
              <w:rPr>
                <w:rFonts w:ascii="Book Antiqua" w:hAnsi="Book Antiqua"/>
              </w:rPr>
              <w:t>1 (7.7)</w:t>
            </w:r>
          </w:p>
        </w:tc>
        <w:tc>
          <w:tcPr>
            <w:tcW w:w="1134" w:type="dxa"/>
          </w:tcPr>
          <w:p w14:paraId="0DAE01F1" w14:textId="77777777" w:rsidR="00540D55" w:rsidRDefault="00540D55">
            <w:pPr>
              <w:suppressAutoHyphens/>
              <w:snapToGrid w:val="0"/>
              <w:spacing w:line="360" w:lineRule="auto"/>
              <w:jc w:val="both"/>
              <w:rPr>
                <w:rFonts w:ascii="Book Antiqua" w:eastAsia="宋体" w:hAnsi="Book Antiqua"/>
              </w:rPr>
            </w:pPr>
          </w:p>
        </w:tc>
      </w:tr>
      <w:tr w:rsidR="00540D55" w14:paraId="6E365E2C" w14:textId="77777777">
        <w:trPr>
          <w:trHeight w:val="227"/>
        </w:trPr>
        <w:tc>
          <w:tcPr>
            <w:tcW w:w="4962" w:type="dxa"/>
          </w:tcPr>
          <w:p w14:paraId="2E53D268" w14:textId="77777777" w:rsidR="00540D55" w:rsidRDefault="00624241">
            <w:pPr>
              <w:suppressAutoHyphens/>
              <w:spacing w:line="360" w:lineRule="auto"/>
              <w:jc w:val="both"/>
              <w:rPr>
                <w:rFonts w:ascii="Book Antiqua" w:eastAsia="宋体" w:hAnsi="Book Antiqua"/>
              </w:rPr>
            </w:pPr>
            <w:r>
              <w:rPr>
                <w:rFonts w:ascii="Book Antiqua" w:hAnsi="Book Antiqua"/>
              </w:rPr>
              <w:t>Poor</w:t>
            </w:r>
          </w:p>
        </w:tc>
        <w:tc>
          <w:tcPr>
            <w:tcW w:w="2268" w:type="dxa"/>
          </w:tcPr>
          <w:p w14:paraId="60BBA5D6" w14:textId="77777777" w:rsidR="00540D55" w:rsidRDefault="00624241">
            <w:pPr>
              <w:suppressAutoHyphens/>
              <w:spacing w:line="360" w:lineRule="auto"/>
              <w:jc w:val="both"/>
              <w:rPr>
                <w:rFonts w:ascii="Book Antiqua" w:eastAsia="宋体" w:hAnsi="Book Antiqua"/>
              </w:rPr>
            </w:pPr>
            <w:r>
              <w:rPr>
                <w:rFonts w:ascii="Book Antiqua" w:hAnsi="Book Antiqua"/>
              </w:rPr>
              <w:t>1 (1.0)</w:t>
            </w:r>
          </w:p>
        </w:tc>
        <w:tc>
          <w:tcPr>
            <w:tcW w:w="2268" w:type="dxa"/>
          </w:tcPr>
          <w:p w14:paraId="19D5FC94" w14:textId="77777777" w:rsidR="00540D55" w:rsidRDefault="00624241">
            <w:pPr>
              <w:suppressAutoHyphens/>
              <w:spacing w:line="360" w:lineRule="auto"/>
              <w:jc w:val="both"/>
              <w:rPr>
                <w:rFonts w:ascii="Book Antiqua" w:eastAsia="宋体" w:hAnsi="Book Antiqua"/>
              </w:rPr>
            </w:pPr>
            <w:r>
              <w:rPr>
                <w:rFonts w:ascii="Book Antiqua" w:hAnsi="Book Antiqua"/>
              </w:rPr>
              <w:t>1 (7.7)</w:t>
            </w:r>
          </w:p>
        </w:tc>
        <w:tc>
          <w:tcPr>
            <w:tcW w:w="1134" w:type="dxa"/>
          </w:tcPr>
          <w:p w14:paraId="41477A94" w14:textId="77777777" w:rsidR="00540D55" w:rsidRDefault="00540D55">
            <w:pPr>
              <w:suppressAutoHyphens/>
              <w:snapToGrid w:val="0"/>
              <w:spacing w:line="360" w:lineRule="auto"/>
              <w:jc w:val="both"/>
              <w:rPr>
                <w:rFonts w:ascii="Book Antiqua" w:eastAsia="宋体" w:hAnsi="Book Antiqua"/>
              </w:rPr>
            </w:pPr>
          </w:p>
        </w:tc>
      </w:tr>
      <w:tr w:rsidR="00540D55" w14:paraId="557EFEFF" w14:textId="77777777">
        <w:trPr>
          <w:trHeight w:val="227"/>
        </w:trPr>
        <w:tc>
          <w:tcPr>
            <w:tcW w:w="4962" w:type="dxa"/>
          </w:tcPr>
          <w:p w14:paraId="36C7B918" w14:textId="77777777" w:rsidR="00540D55" w:rsidRDefault="00624241">
            <w:pPr>
              <w:suppressAutoHyphens/>
              <w:spacing w:line="360" w:lineRule="auto"/>
              <w:jc w:val="both"/>
              <w:rPr>
                <w:rFonts w:ascii="Book Antiqua" w:eastAsia="宋体" w:hAnsi="Book Antiqua"/>
              </w:rPr>
            </w:pPr>
            <w:r>
              <w:rPr>
                <w:rFonts w:ascii="Book Antiqua" w:hAnsi="Book Antiqua"/>
              </w:rPr>
              <w:t>Inside Milan criteria previously to LT</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2268" w:type="dxa"/>
          </w:tcPr>
          <w:p w14:paraId="271491FB" w14:textId="77777777" w:rsidR="00540D55" w:rsidRDefault="00624241">
            <w:pPr>
              <w:suppressAutoHyphens/>
              <w:spacing w:line="360" w:lineRule="auto"/>
              <w:jc w:val="both"/>
              <w:rPr>
                <w:rFonts w:ascii="Book Antiqua" w:eastAsia="宋体" w:hAnsi="Book Antiqua"/>
              </w:rPr>
            </w:pPr>
            <w:r>
              <w:rPr>
                <w:rFonts w:ascii="Book Antiqua" w:hAnsi="Book Antiqua"/>
              </w:rPr>
              <w:t>96 (95.0)</w:t>
            </w:r>
          </w:p>
        </w:tc>
        <w:tc>
          <w:tcPr>
            <w:tcW w:w="2268" w:type="dxa"/>
          </w:tcPr>
          <w:p w14:paraId="5B310FDE" w14:textId="77777777" w:rsidR="00540D55" w:rsidRDefault="00624241">
            <w:pPr>
              <w:suppressAutoHyphens/>
              <w:spacing w:line="360" w:lineRule="auto"/>
              <w:jc w:val="both"/>
              <w:rPr>
                <w:rFonts w:ascii="Book Antiqua" w:eastAsia="宋体" w:hAnsi="Book Antiqua"/>
              </w:rPr>
            </w:pPr>
            <w:r>
              <w:rPr>
                <w:rFonts w:ascii="Book Antiqua" w:hAnsi="Book Antiqua"/>
              </w:rPr>
              <w:t>12 (92.3)</w:t>
            </w:r>
          </w:p>
        </w:tc>
        <w:tc>
          <w:tcPr>
            <w:tcW w:w="1134" w:type="dxa"/>
          </w:tcPr>
          <w:p w14:paraId="043A8EA5" w14:textId="77777777" w:rsidR="00540D55" w:rsidRDefault="00624241">
            <w:pPr>
              <w:suppressAutoHyphens/>
              <w:spacing w:line="360" w:lineRule="auto"/>
              <w:jc w:val="both"/>
              <w:rPr>
                <w:rFonts w:ascii="Book Antiqua" w:eastAsia="宋体" w:hAnsi="Book Antiqua"/>
              </w:rPr>
            </w:pPr>
            <w:r>
              <w:rPr>
                <w:rFonts w:ascii="Book Antiqua" w:hAnsi="Book Antiqua"/>
              </w:rPr>
              <w:t>0.53</w:t>
            </w:r>
          </w:p>
        </w:tc>
      </w:tr>
      <w:tr w:rsidR="00540D55" w14:paraId="18A02775" w14:textId="77777777">
        <w:trPr>
          <w:trHeight w:val="227"/>
        </w:trPr>
        <w:tc>
          <w:tcPr>
            <w:tcW w:w="4962" w:type="dxa"/>
          </w:tcPr>
          <w:p w14:paraId="0409592D" w14:textId="77777777" w:rsidR="00540D55" w:rsidRDefault="00624241">
            <w:pPr>
              <w:suppressAutoHyphens/>
              <w:spacing w:line="360" w:lineRule="auto"/>
              <w:jc w:val="both"/>
              <w:rPr>
                <w:rFonts w:ascii="Book Antiqua" w:eastAsia="宋体" w:hAnsi="Book Antiqua"/>
              </w:rPr>
            </w:pPr>
            <w:r>
              <w:rPr>
                <w:rFonts w:ascii="Book Antiqua" w:hAnsi="Book Antiqua"/>
              </w:rPr>
              <w:t>Inside Milan criteria after LT</w:t>
            </w:r>
            <w:r>
              <w:rPr>
                <w:rFonts w:ascii="Book Antiqua" w:hAnsi="Book Antiqua"/>
                <w:lang w:eastAsia="zh-CN"/>
              </w:rPr>
              <w:t>,</w:t>
            </w:r>
            <w:r>
              <w:rPr>
                <w:rFonts w:ascii="Book Antiqua" w:hAnsi="Book Antiqua"/>
              </w:rPr>
              <w:t xml:space="preserve"> </w:t>
            </w:r>
            <w:r>
              <w:rPr>
                <w:rFonts w:ascii="Book Antiqua" w:hAnsi="Book Antiqua"/>
                <w:i/>
              </w:rPr>
              <w:t>n</w:t>
            </w:r>
            <w:r>
              <w:rPr>
                <w:rFonts w:ascii="Book Antiqua" w:hAnsi="Book Antiqua"/>
              </w:rPr>
              <w:t xml:space="preserve"> (%)</w:t>
            </w:r>
          </w:p>
        </w:tc>
        <w:tc>
          <w:tcPr>
            <w:tcW w:w="2268" w:type="dxa"/>
          </w:tcPr>
          <w:p w14:paraId="75AED355" w14:textId="77777777" w:rsidR="00540D55" w:rsidRDefault="00624241">
            <w:pPr>
              <w:suppressAutoHyphens/>
              <w:spacing w:line="360" w:lineRule="auto"/>
              <w:jc w:val="both"/>
              <w:rPr>
                <w:rFonts w:ascii="Book Antiqua" w:eastAsia="宋体" w:hAnsi="Book Antiqua"/>
              </w:rPr>
            </w:pPr>
            <w:r>
              <w:rPr>
                <w:rFonts w:ascii="Book Antiqua" w:hAnsi="Book Antiqua"/>
              </w:rPr>
              <w:t>85 (84.2)</w:t>
            </w:r>
          </w:p>
        </w:tc>
        <w:tc>
          <w:tcPr>
            <w:tcW w:w="2268" w:type="dxa"/>
          </w:tcPr>
          <w:p w14:paraId="4EEE68BA" w14:textId="77777777" w:rsidR="00540D55" w:rsidRDefault="00624241">
            <w:pPr>
              <w:suppressAutoHyphens/>
              <w:spacing w:line="360" w:lineRule="auto"/>
              <w:jc w:val="both"/>
              <w:rPr>
                <w:rFonts w:ascii="Book Antiqua" w:eastAsia="宋体" w:hAnsi="Book Antiqua"/>
              </w:rPr>
            </w:pPr>
            <w:r>
              <w:rPr>
                <w:rFonts w:ascii="Book Antiqua" w:hAnsi="Book Antiqua"/>
              </w:rPr>
              <w:t>10 (76.9)</w:t>
            </w:r>
          </w:p>
        </w:tc>
        <w:tc>
          <w:tcPr>
            <w:tcW w:w="1134" w:type="dxa"/>
          </w:tcPr>
          <w:p w14:paraId="2B34835C" w14:textId="77777777" w:rsidR="00540D55" w:rsidRDefault="00624241">
            <w:pPr>
              <w:suppressAutoHyphens/>
              <w:spacing w:line="360" w:lineRule="auto"/>
              <w:jc w:val="both"/>
              <w:rPr>
                <w:rFonts w:ascii="Book Antiqua" w:eastAsia="宋体" w:hAnsi="Book Antiqua"/>
              </w:rPr>
            </w:pPr>
            <w:r>
              <w:rPr>
                <w:rFonts w:ascii="Book Antiqua" w:hAnsi="Book Antiqua"/>
              </w:rPr>
              <w:t>0.45</w:t>
            </w:r>
          </w:p>
        </w:tc>
      </w:tr>
    </w:tbl>
    <w:p w14:paraId="53166E79" w14:textId="77777777" w:rsidR="00540D55" w:rsidRDefault="00624241">
      <w:pPr>
        <w:spacing w:line="360" w:lineRule="auto"/>
        <w:jc w:val="both"/>
        <w:rPr>
          <w:rFonts w:ascii="Book Antiqua" w:hAnsi="Book Antiqua"/>
          <w:lang w:eastAsia="zh-CN"/>
        </w:rPr>
      </w:pPr>
      <w:r>
        <w:rPr>
          <w:rFonts w:ascii="Book Antiqua" w:hAnsi="Book Antiqua"/>
          <w:color w:val="000000"/>
          <w:highlight w:val="white"/>
        </w:rPr>
        <w:t xml:space="preserve">OGS: </w:t>
      </w:r>
      <w:r>
        <w:rPr>
          <w:rFonts w:ascii="Book Antiqua" w:hAnsi="Book Antiqua"/>
          <w:color w:val="000000"/>
          <w:highlight w:val="white"/>
          <w:lang w:eastAsia="zh-CN"/>
        </w:rPr>
        <w:t>O</w:t>
      </w:r>
      <w:r>
        <w:rPr>
          <w:rFonts w:ascii="Book Antiqua" w:hAnsi="Book Antiqua"/>
          <w:color w:val="000000"/>
          <w:highlight w:val="white"/>
        </w:rPr>
        <w:t>xidized guanine species</w:t>
      </w:r>
      <w:r>
        <w:rPr>
          <w:rFonts w:ascii="Book Antiqua" w:hAnsi="Book Antiqua"/>
          <w:color w:val="000000"/>
        </w:rPr>
        <w:t xml:space="preserve">; MELD: </w:t>
      </w:r>
      <w:r>
        <w:rPr>
          <w:rFonts w:ascii="Book Antiqua" w:hAnsi="Book Antiqua"/>
          <w:color w:val="000000"/>
          <w:lang w:eastAsia="zh-CN"/>
        </w:rPr>
        <w:t>M</w:t>
      </w:r>
      <w:r>
        <w:rPr>
          <w:rFonts w:ascii="Book Antiqua" w:hAnsi="Book Antiqua"/>
          <w:color w:val="000000"/>
        </w:rPr>
        <w:t>odel for end-stage liver disease</w:t>
      </w:r>
      <w:r>
        <w:rPr>
          <w:rFonts w:ascii="Book Antiqua" w:hAnsi="Book Antiqua"/>
          <w:color w:val="000000"/>
          <w:lang w:eastAsia="zh-CN"/>
        </w:rPr>
        <w:t xml:space="preserve">; </w:t>
      </w:r>
      <w:r>
        <w:rPr>
          <w:rFonts w:ascii="Book Antiqua" w:hAnsi="Book Antiqua"/>
        </w:rPr>
        <w:t>PEI</w:t>
      </w:r>
      <w:r>
        <w:rPr>
          <w:rFonts w:ascii="Book Antiqua" w:hAnsi="Book Antiqua"/>
          <w:lang w:eastAsia="zh-CN"/>
        </w:rPr>
        <w:t>:</w:t>
      </w:r>
      <w:r>
        <w:rPr>
          <w:rFonts w:ascii="Book Antiqua" w:hAnsi="Book Antiqua"/>
        </w:rPr>
        <w:t xml:space="preserve"> Percutaneous ethanol injection</w:t>
      </w:r>
      <w:r>
        <w:rPr>
          <w:rFonts w:ascii="Book Antiqua" w:hAnsi="Book Antiqua"/>
          <w:lang w:eastAsia="zh-CN"/>
        </w:rPr>
        <w:t xml:space="preserve">; </w:t>
      </w:r>
      <w:r>
        <w:rPr>
          <w:rFonts w:ascii="Book Antiqua" w:hAnsi="Book Antiqua"/>
        </w:rPr>
        <w:t>RFA</w:t>
      </w:r>
      <w:r>
        <w:rPr>
          <w:rFonts w:ascii="Book Antiqua" w:hAnsi="Book Antiqua"/>
          <w:lang w:eastAsia="zh-CN"/>
        </w:rPr>
        <w:t>:</w:t>
      </w:r>
      <w:r>
        <w:rPr>
          <w:rFonts w:ascii="Book Antiqua" w:hAnsi="Book Antiqua"/>
        </w:rPr>
        <w:t xml:space="preserve"> Radiofrequency ablation</w:t>
      </w:r>
      <w:r>
        <w:rPr>
          <w:rFonts w:ascii="Book Antiqua" w:hAnsi="Book Antiqua"/>
          <w:lang w:eastAsia="zh-CN"/>
        </w:rPr>
        <w:t>; LT: L</w:t>
      </w:r>
      <w:r>
        <w:rPr>
          <w:rFonts w:ascii="Book Antiqua" w:hAnsi="Book Antiqua"/>
        </w:rPr>
        <w:t>iver transplantation</w:t>
      </w:r>
      <w:r>
        <w:rPr>
          <w:rFonts w:ascii="Book Antiqua" w:hAnsi="Book Antiqua"/>
          <w:lang w:eastAsia="zh-CN"/>
        </w:rPr>
        <w:t xml:space="preserve">; </w:t>
      </w:r>
      <w:r>
        <w:rPr>
          <w:rFonts w:ascii="Book Antiqua" w:hAnsi="Book Antiqua"/>
        </w:rPr>
        <w:t>TACE</w:t>
      </w:r>
      <w:r>
        <w:rPr>
          <w:rFonts w:ascii="Book Antiqua" w:hAnsi="Book Antiqua"/>
          <w:lang w:eastAsia="zh-CN"/>
        </w:rPr>
        <w:t>:</w:t>
      </w:r>
      <w:r>
        <w:rPr>
          <w:rFonts w:ascii="Book Antiqua" w:hAnsi="Book Antiqua"/>
        </w:rPr>
        <w:t xml:space="preserve"> Transarterial chemoembolization; BMI: Body mass index</w:t>
      </w:r>
      <w:r>
        <w:rPr>
          <w:rFonts w:ascii="Book Antiqua" w:hAnsi="Book Antiqua"/>
          <w:lang w:eastAsia="zh-CN"/>
        </w:rPr>
        <w:t>.</w:t>
      </w:r>
    </w:p>
    <w:p w14:paraId="1E98EFED" w14:textId="77777777" w:rsidR="00540D55" w:rsidRDefault="00540D55">
      <w:pPr>
        <w:spacing w:line="360" w:lineRule="auto"/>
        <w:jc w:val="both"/>
        <w:rPr>
          <w:rFonts w:ascii="Book Antiqua" w:hAnsi="Book Antiqua"/>
          <w:lang w:eastAsia="zh-CN"/>
        </w:rPr>
      </w:pPr>
    </w:p>
    <w:p w14:paraId="6C391403" w14:textId="77777777" w:rsidR="00540D55" w:rsidRDefault="00624241">
      <w:pPr>
        <w:rPr>
          <w:rFonts w:ascii="Book Antiqua" w:hAnsi="Book Antiqua"/>
          <w:b/>
          <w:bCs/>
        </w:rPr>
      </w:pPr>
      <w:r>
        <w:rPr>
          <w:rFonts w:ascii="Book Antiqua" w:hAnsi="Book Antiqua"/>
          <w:b/>
          <w:bCs/>
        </w:rPr>
        <w:br w:type="page"/>
      </w:r>
    </w:p>
    <w:p w14:paraId="64C1AAC7" w14:textId="77777777" w:rsidR="00540D55" w:rsidRDefault="00624241">
      <w:pPr>
        <w:spacing w:line="360" w:lineRule="auto"/>
        <w:jc w:val="both"/>
        <w:rPr>
          <w:rFonts w:ascii="Book Antiqua" w:hAnsi="Book Antiqua"/>
          <w:b/>
        </w:rPr>
      </w:pPr>
      <w:r>
        <w:rPr>
          <w:rFonts w:ascii="Book Antiqua" w:hAnsi="Book Antiqua"/>
          <w:b/>
          <w:bCs/>
        </w:rPr>
        <w:lastRenderedPageBreak/>
        <w:t>Table 2</w:t>
      </w:r>
      <w:r>
        <w:rPr>
          <w:rFonts w:ascii="Book Antiqua" w:hAnsi="Book Antiqua"/>
        </w:rPr>
        <w:t xml:space="preserve"> </w:t>
      </w:r>
      <w:r>
        <w:rPr>
          <w:rFonts w:ascii="Book Antiqua" w:hAnsi="Book Antiqua"/>
          <w:b/>
        </w:rPr>
        <w:t>Logistic regression analysis for the variables associated with 1-y</w:t>
      </w:r>
      <w:r>
        <w:rPr>
          <w:rFonts w:ascii="Book Antiqua" w:hAnsi="Book Antiqua" w:hint="eastAsia"/>
          <w:b/>
          <w:lang w:eastAsia="zh-CN"/>
        </w:rPr>
        <w:t>ea</w:t>
      </w:r>
      <w:r>
        <w:rPr>
          <w:rFonts w:ascii="Book Antiqua" w:hAnsi="Book Antiqua"/>
          <w:b/>
        </w:rPr>
        <w:t>r liver transplantation mortality</w:t>
      </w:r>
    </w:p>
    <w:tbl>
      <w:tblPr>
        <w:tblW w:w="5000" w:type="pct"/>
        <w:tblBorders>
          <w:top w:val="single" w:sz="4" w:space="0" w:color="auto"/>
          <w:bottom w:val="single" w:sz="4" w:space="0" w:color="auto"/>
        </w:tblBorders>
        <w:tblLook w:val="04A0" w:firstRow="1" w:lastRow="0" w:firstColumn="1" w:lastColumn="0" w:noHBand="0" w:noVBand="1"/>
      </w:tblPr>
      <w:tblGrid>
        <w:gridCol w:w="4540"/>
        <w:gridCol w:w="1563"/>
        <w:gridCol w:w="1685"/>
        <w:gridCol w:w="1572"/>
      </w:tblGrid>
      <w:tr w:rsidR="00540D55" w14:paraId="291EE7D8" w14:textId="77777777">
        <w:tc>
          <w:tcPr>
            <w:tcW w:w="2425" w:type="pct"/>
            <w:tcBorders>
              <w:top w:val="single" w:sz="4" w:space="0" w:color="auto"/>
              <w:bottom w:val="single" w:sz="4" w:space="0" w:color="auto"/>
            </w:tcBorders>
          </w:tcPr>
          <w:p w14:paraId="74C17F83" w14:textId="77777777" w:rsidR="00540D55" w:rsidRDefault="00540D55">
            <w:pPr>
              <w:suppressAutoHyphens/>
              <w:snapToGrid w:val="0"/>
              <w:spacing w:line="360" w:lineRule="auto"/>
              <w:jc w:val="both"/>
              <w:rPr>
                <w:rFonts w:ascii="Book Antiqua" w:eastAsia="宋体" w:hAnsi="Book Antiqua"/>
                <w:b/>
              </w:rPr>
            </w:pPr>
          </w:p>
        </w:tc>
        <w:tc>
          <w:tcPr>
            <w:tcW w:w="835" w:type="pct"/>
            <w:tcBorders>
              <w:top w:val="single" w:sz="4" w:space="0" w:color="auto"/>
              <w:bottom w:val="single" w:sz="4" w:space="0" w:color="auto"/>
            </w:tcBorders>
          </w:tcPr>
          <w:p w14:paraId="3E45C205" w14:textId="77777777" w:rsidR="00540D55" w:rsidRDefault="00624241">
            <w:pPr>
              <w:suppressAutoHyphens/>
              <w:spacing w:line="360" w:lineRule="auto"/>
              <w:jc w:val="both"/>
              <w:rPr>
                <w:rFonts w:ascii="Book Antiqua" w:eastAsia="宋体" w:hAnsi="Book Antiqua"/>
                <w:b/>
              </w:rPr>
            </w:pPr>
            <w:r>
              <w:rPr>
                <w:rFonts w:ascii="Book Antiqua" w:hAnsi="Book Antiqua"/>
                <w:b/>
              </w:rPr>
              <w:t xml:space="preserve">Odds </w:t>
            </w:r>
            <w:r>
              <w:rPr>
                <w:rFonts w:ascii="Book Antiqua" w:hAnsi="Book Antiqua"/>
                <w:b/>
                <w:lang w:eastAsia="zh-CN"/>
              </w:rPr>
              <w:t>r</w:t>
            </w:r>
            <w:r>
              <w:rPr>
                <w:rFonts w:ascii="Book Antiqua" w:hAnsi="Book Antiqua"/>
                <w:b/>
              </w:rPr>
              <w:t>atio</w:t>
            </w:r>
          </w:p>
        </w:tc>
        <w:tc>
          <w:tcPr>
            <w:tcW w:w="900" w:type="pct"/>
            <w:tcBorders>
              <w:top w:val="single" w:sz="4" w:space="0" w:color="auto"/>
              <w:bottom w:val="single" w:sz="4" w:space="0" w:color="auto"/>
            </w:tcBorders>
          </w:tcPr>
          <w:p w14:paraId="1531165B" w14:textId="77777777" w:rsidR="00540D55" w:rsidRDefault="00624241">
            <w:pPr>
              <w:suppressAutoHyphens/>
              <w:spacing w:line="360" w:lineRule="auto"/>
              <w:jc w:val="both"/>
              <w:rPr>
                <w:rFonts w:ascii="Book Antiqua" w:eastAsia="宋体" w:hAnsi="Book Antiqua"/>
                <w:b/>
              </w:rPr>
            </w:pPr>
            <w:r>
              <w:rPr>
                <w:rFonts w:ascii="Book Antiqua" w:hAnsi="Book Antiqua"/>
                <w:b/>
              </w:rPr>
              <w:t>95%</w:t>
            </w:r>
            <w:r>
              <w:rPr>
                <w:rFonts w:ascii="Book Antiqua" w:hAnsi="Book Antiqua"/>
                <w:b/>
                <w:lang w:eastAsia="zh-CN"/>
              </w:rPr>
              <w:t>CI</w:t>
            </w:r>
          </w:p>
        </w:tc>
        <w:tc>
          <w:tcPr>
            <w:tcW w:w="840" w:type="pct"/>
            <w:tcBorders>
              <w:top w:val="single" w:sz="4" w:space="0" w:color="auto"/>
              <w:bottom w:val="single" w:sz="4" w:space="0" w:color="auto"/>
            </w:tcBorders>
          </w:tcPr>
          <w:p w14:paraId="1733610D" w14:textId="77777777" w:rsidR="00540D55" w:rsidRDefault="00624241">
            <w:pPr>
              <w:suppressAutoHyphens/>
              <w:spacing w:line="360" w:lineRule="auto"/>
              <w:jc w:val="both"/>
              <w:rPr>
                <w:rFonts w:ascii="Book Antiqua" w:eastAsia="宋体" w:hAnsi="Book Antiqua"/>
                <w:b/>
              </w:rPr>
            </w:pPr>
            <w:r>
              <w:rPr>
                <w:rFonts w:ascii="Book Antiqua" w:hAnsi="Book Antiqua"/>
                <w:b/>
                <w:i/>
                <w:lang w:eastAsia="zh-CN"/>
              </w:rPr>
              <w:t>P</w:t>
            </w:r>
            <w:r>
              <w:rPr>
                <w:rFonts w:ascii="Book Antiqua" w:hAnsi="Book Antiqua"/>
                <w:b/>
                <w:lang w:eastAsia="zh-CN"/>
              </w:rPr>
              <w:t xml:space="preserve"> </w:t>
            </w:r>
            <w:r>
              <w:rPr>
                <w:rFonts w:ascii="Book Antiqua" w:hAnsi="Book Antiqua"/>
                <w:b/>
              </w:rPr>
              <w:t>value</w:t>
            </w:r>
          </w:p>
        </w:tc>
      </w:tr>
      <w:tr w:rsidR="00540D55" w14:paraId="063BF36C" w14:textId="77777777">
        <w:tc>
          <w:tcPr>
            <w:tcW w:w="2425" w:type="pct"/>
            <w:tcBorders>
              <w:top w:val="single" w:sz="4" w:space="0" w:color="auto"/>
            </w:tcBorders>
          </w:tcPr>
          <w:p w14:paraId="21B1252F" w14:textId="77777777" w:rsidR="00540D55" w:rsidRDefault="00624241">
            <w:pPr>
              <w:suppressAutoHyphens/>
              <w:spacing w:line="360" w:lineRule="auto"/>
              <w:jc w:val="both"/>
              <w:rPr>
                <w:rFonts w:ascii="Book Antiqua" w:eastAsia="宋体" w:hAnsi="Book Antiqua"/>
              </w:rPr>
            </w:pPr>
            <w:r>
              <w:rPr>
                <w:rFonts w:ascii="Book Antiqua" w:hAnsi="Book Antiqua"/>
              </w:rPr>
              <w:t>Age of liver donor (age)</w:t>
            </w:r>
          </w:p>
        </w:tc>
        <w:tc>
          <w:tcPr>
            <w:tcW w:w="835" w:type="pct"/>
            <w:tcBorders>
              <w:top w:val="single" w:sz="4" w:space="0" w:color="auto"/>
            </w:tcBorders>
          </w:tcPr>
          <w:p w14:paraId="23EC3C24" w14:textId="77777777" w:rsidR="00540D55" w:rsidRDefault="00624241">
            <w:pPr>
              <w:suppressAutoHyphens/>
              <w:spacing w:line="360" w:lineRule="auto"/>
              <w:jc w:val="both"/>
              <w:rPr>
                <w:rFonts w:ascii="Book Antiqua" w:eastAsia="宋体" w:hAnsi="Book Antiqua"/>
              </w:rPr>
            </w:pPr>
            <w:r>
              <w:rPr>
                <w:rFonts w:ascii="Book Antiqua" w:hAnsi="Book Antiqua"/>
              </w:rPr>
              <w:t>1.087</w:t>
            </w:r>
          </w:p>
        </w:tc>
        <w:tc>
          <w:tcPr>
            <w:tcW w:w="900" w:type="pct"/>
            <w:tcBorders>
              <w:top w:val="single" w:sz="4" w:space="0" w:color="auto"/>
            </w:tcBorders>
          </w:tcPr>
          <w:p w14:paraId="38CBF02B" w14:textId="77777777" w:rsidR="00540D55" w:rsidRDefault="00624241">
            <w:pPr>
              <w:suppressAutoHyphens/>
              <w:spacing w:line="360" w:lineRule="auto"/>
              <w:jc w:val="both"/>
              <w:rPr>
                <w:rFonts w:ascii="Book Antiqua" w:eastAsia="宋体" w:hAnsi="Book Antiqua"/>
              </w:rPr>
            </w:pPr>
            <w:r>
              <w:rPr>
                <w:rFonts w:ascii="Book Antiqua" w:hAnsi="Book Antiqua"/>
              </w:rPr>
              <w:t>1.019-1.160</w:t>
            </w:r>
          </w:p>
        </w:tc>
        <w:tc>
          <w:tcPr>
            <w:tcW w:w="840" w:type="pct"/>
            <w:tcBorders>
              <w:top w:val="single" w:sz="4" w:space="0" w:color="auto"/>
            </w:tcBorders>
          </w:tcPr>
          <w:p w14:paraId="02C97937" w14:textId="77777777" w:rsidR="00540D55" w:rsidRDefault="00624241">
            <w:pPr>
              <w:suppressAutoHyphens/>
              <w:spacing w:line="360" w:lineRule="auto"/>
              <w:jc w:val="both"/>
              <w:rPr>
                <w:rFonts w:ascii="Book Antiqua" w:eastAsia="宋体" w:hAnsi="Book Antiqua"/>
              </w:rPr>
            </w:pPr>
            <w:r>
              <w:rPr>
                <w:rFonts w:ascii="Book Antiqua" w:hAnsi="Book Antiqua"/>
              </w:rPr>
              <w:t>0.01</w:t>
            </w:r>
          </w:p>
        </w:tc>
      </w:tr>
      <w:tr w:rsidR="00540D55" w14:paraId="606FAEB9" w14:textId="77777777">
        <w:tc>
          <w:tcPr>
            <w:tcW w:w="2425" w:type="pct"/>
          </w:tcPr>
          <w:p w14:paraId="44F631CE" w14:textId="77777777" w:rsidR="00540D55" w:rsidRDefault="00624241">
            <w:pPr>
              <w:suppressAutoHyphens/>
              <w:spacing w:line="360" w:lineRule="auto"/>
              <w:jc w:val="both"/>
              <w:rPr>
                <w:rFonts w:ascii="Book Antiqua" w:eastAsia="宋体" w:hAnsi="Book Antiqua"/>
              </w:rPr>
            </w:pPr>
            <w:r>
              <w:rPr>
                <w:rFonts w:ascii="Book Antiqua" w:hAnsi="Book Antiqua"/>
              </w:rPr>
              <w:t xml:space="preserve">Serum </w:t>
            </w:r>
            <w:r>
              <w:rPr>
                <w:rFonts w:ascii="Book Antiqua" w:hAnsi="Book Antiqua"/>
                <w:color w:val="000000"/>
                <w:highlight w:val="white"/>
              </w:rPr>
              <w:t>oxidized guanine species</w:t>
            </w:r>
            <w:r>
              <w:rPr>
                <w:rFonts w:ascii="Book Antiqua" w:hAnsi="Book Antiqua"/>
              </w:rPr>
              <w:t xml:space="preserve"> levels (ng/mL)</w:t>
            </w:r>
          </w:p>
        </w:tc>
        <w:tc>
          <w:tcPr>
            <w:tcW w:w="835" w:type="pct"/>
          </w:tcPr>
          <w:p w14:paraId="33E185D1" w14:textId="77777777" w:rsidR="00540D55" w:rsidRDefault="00624241">
            <w:pPr>
              <w:suppressAutoHyphens/>
              <w:spacing w:line="360" w:lineRule="auto"/>
              <w:jc w:val="both"/>
              <w:rPr>
                <w:rFonts w:ascii="Book Antiqua" w:eastAsia="宋体" w:hAnsi="Book Antiqua"/>
              </w:rPr>
            </w:pPr>
            <w:r>
              <w:rPr>
                <w:rFonts w:ascii="Book Antiqua" w:hAnsi="Book Antiqua"/>
              </w:rPr>
              <w:t>2.079</w:t>
            </w:r>
          </w:p>
        </w:tc>
        <w:tc>
          <w:tcPr>
            <w:tcW w:w="900" w:type="pct"/>
          </w:tcPr>
          <w:p w14:paraId="6DD7733F" w14:textId="77777777" w:rsidR="00540D55" w:rsidRDefault="00624241">
            <w:pPr>
              <w:suppressAutoHyphens/>
              <w:spacing w:line="360" w:lineRule="auto"/>
              <w:jc w:val="both"/>
              <w:rPr>
                <w:rFonts w:ascii="Book Antiqua" w:eastAsia="宋体" w:hAnsi="Book Antiqua"/>
              </w:rPr>
            </w:pPr>
            <w:r>
              <w:rPr>
                <w:rFonts w:ascii="Book Antiqua" w:hAnsi="Book Antiqua"/>
              </w:rPr>
              <w:t>1.356-3.189</w:t>
            </w:r>
          </w:p>
        </w:tc>
        <w:tc>
          <w:tcPr>
            <w:tcW w:w="840" w:type="pct"/>
          </w:tcPr>
          <w:p w14:paraId="7D6D2D4C" w14:textId="77777777" w:rsidR="00540D55" w:rsidRDefault="00624241">
            <w:pPr>
              <w:suppressAutoHyphens/>
              <w:spacing w:line="360" w:lineRule="auto"/>
              <w:jc w:val="both"/>
              <w:rPr>
                <w:rFonts w:ascii="Book Antiqua" w:eastAsia="宋体" w:hAnsi="Book Antiqua"/>
              </w:rPr>
            </w:pPr>
            <w:r>
              <w:rPr>
                <w:rFonts w:ascii="Book Antiqua" w:hAnsi="Book Antiqua"/>
              </w:rPr>
              <w:t>0.001</w:t>
            </w:r>
          </w:p>
        </w:tc>
      </w:tr>
      <w:tr w:rsidR="00540D55" w14:paraId="34611666" w14:textId="77777777">
        <w:tc>
          <w:tcPr>
            <w:tcW w:w="2425" w:type="pct"/>
          </w:tcPr>
          <w:p w14:paraId="378EE1A0" w14:textId="77777777" w:rsidR="00540D55" w:rsidRDefault="00624241">
            <w:pPr>
              <w:suppressAutoHyphens/>
              <w:spacing w:line="360" w:lineRule="auto"/>
              <w:jc w:val="both"/>
              <w:rPr>
                <w:rFonts w:ascii="Book Antiqua" w:eastAsia="宋体" w:hAnsi="Book Antiqua"/>
              </w:rPr>
            </w:pPr>
            <w:r>
              <w:rPr>
                <w:rFonts w:ascii="Book Antiqua" w:hAnsi="Book Antiqua"/>
                <w:color w:val="000000"/>
              </w:rPr>
              <w:t>Serum caspase-3 levels (ng/mL)</w:t>
            </w:r>
          </w:p>
        </w:tc>
        <w:tc>
          <w:tcPr>
            <w:tcW w:w="835" w:type="pct"/>
          </w:tcPr>
          <w:p w14:paraId="7F72789C" w14:textId="77777777" w:rsidR="00540D55" w:rsidRDefault="00624241">
            <w:pPr>
              <w:suppressAutoHyphens/>
              <w:spacing w:line="360" w:lineRule="auto"/>
              <w:jc w:val="both"/>
              <w:rPr>
                <w:rFonts w:ascii="Book Antiqua" w:eastAsia="宋体" w:hAnsi="Book Antiqua"/>
              </w:rPr>
            </w:pPr>
            <w:r>
              <w:rPr>
                <w:rFonts w:ascii="Book Antiqua" w:hAnsi="Book Antiqua"/>
                <w:color w:val="000000"/>
              </w:rPr>
              <w:t>4.178</w:t>
            </w:r>
          </w:p>
        </w:tc>
        <w:tc>
          <w:tcPr>
            <w:tcW w:w="900" w:type="pct"/>
          </w:tcPr>
          <w:p w14:paraId="6589EF6E" w14:textId="77777777" w:rsidR="00540D55" w:rsidRDefault="00624241">
            <w:pPr>
              <w:suppressAutoHyphens/>
              <w:spacing w:line="360" w:lineRule="auto"/>
              <w:jc w:val="both"/>
              <w:rPr>
                <w:rFonts w:ascii="Book Antiqua" w:eastAsia="宋体" w:hAnsi="Book Antiqua"/>
              </w:rPr>
            </w:pPr>
            <w:r>
              <w:rPr>
                <w:rFonts w:ascii="Book Antiqua" w:hAnsi="Book Antiqua"/>
                <w:color w:val="000000"/>
              </w:rPr>
              <w:t>1.709-10.211</w:t>
            </w:r>
          </w:p>
        </w:tc>
        <w:tc>
          <w:tcPr>
            <w:tcW w:w="840" w:type="pct"/>
          </w:tcPr>
          <w:p w14:paraId="77B34B6A" w14:textId="77777777" w:rsidR="00540D55" w:rsidRDefault="00624241">
            <w:pPr>
              <w:suppressAutoHyphens/>
              <w:spacing w:line="360" w:lineRule="auto"/>
              <w:jc w:val="both"/>
              <w:rPr>
                <w:rFonts w:ascii="Book Antiqua" w:eastAsia="宋体" w:hAnsi="Book Antiqua"/>
              </w:rPr>
            </w:pPr>
            <w:r>
              <w:rPr>
                <w:rFonts w:ascii="Book Antiqua" w:hAnsi="Book Antiqua"/>
                <w:color w:val="000000"/>
              </w:rPr>
              <w:t>0.002</w:t>
            </w:r>
          </w:p>
        </w:tc>
      </w:tr>
    </w:tbl>
    <w:p w14:paraId="0BA50852" w14:textId="5A9E892A" w:rsidR="00540D55" w:rsidRDefault="00624241">
      <w:pPr>
        <w:spacing w:line="360" w:lineRule="auto"/>
        <w:jc w:val="both"/>
        <w:rPr>
          <w:rFonts w:ascii="Book Antiqua" w:hAnsi="Book Antiqua"/>
          <w:lang w:eastAsia="zh-CN"/>
        </w:rPr>
      </w:pPr>
      <w:r>
        <w:rPr>
          <w:rFonts w:ascii="Book Antiqua" w:hAnsi="Book Antiqua"/>
          <w:lang w:eastAsia="zh-CN"/>
        </w:rPr>
        <w:t>CI: C</w:t>
      </w:r>
      <w:r>
        <w:rPr>
          <w:rFonts w:ascii="Book Antiqua" w:hAnsi="Book Antiqua"/>
        </w:rPr>
        <w:t xml:space="preserve">onfidence </w:t>
      </w:r>
      <w:r>
        <w:rPr>
          <w:rFonts w:ascii="Book Antiqua" w:hAnsi="Book Antiqua"/>
          <w:lang w:eastAsia="zh-CN"/>
        </w:rPr>
        <w:t>i</w:t>
      </w:r>
      <w:r>
        <w:rPr>
          <w:rFonts w:ascii="Book Antiqua" w:hAnsi="Book Antiqua"/>
        </w:rPr>
        <w:t>nterval</w:t>
      </w:r>
      <w:r>
        <w:rPr>
          <w:rFonts w:ascii="Book Antiqua" w:hAnsi="Book Antiqua"/>
          <w:lang w:eastAsia="zh-CN"/>
        </w:rPr>
        <w:t>.</w:t>
      </w:r>
    </w:p>
    <w:p w14:paraId="0F010526" w14:textId="1D4D6F4A" w:rsidR="003B4019" w:rsidRDefault="003B4019">
      <w:pPr>
        <w:spacing w:line="360" w:lineRule="auto"/>
        <w:jc w:val="both"/>
        <w:rPr>
          <w:rFonts w:ascii="Book Antiqua" w:hAnsi="Book Antiqua"/>
          <w:lang w:eastAsia="zh-CN"/>
        </w:rPr>
      </w:pPr>
    </w:p>
    <w:p w14:paraId="3EB33064" w14:textId="77777777" w:rsidR="003B4019" w:rsidRDefault="003B4019">
      <w:pPr>
        <w:rPr>
          <w:rFonts w:ascii="Book Antiqua" w:hAnsi="Book Antiqua"/>
          <w:lang w:eastAsia="zh-CN"/>
        </w:rPr>
      </w:pPr>
      <w:r>
        <w:rPr>
          <w:rFonts w:ascii="Book Antiqua" w:hAnsi="Book Antiqua"/>
          <w:lang w:eastAsia="zh-CN"/>
        </w:rPr>
        <w:br w:type="page"/>
      </w:r>
    </w:p>
    <w:p w14:paraId="7B54433E" w14:textId="77777777" w:rsidR="003B4019" w:rsidRDefault="003B4019" w:rsidP="003B4019">
      <w:pPr>
        <w:snapToGrid w:val="0"/>
        <w:ind w:leftChars="100" w:left="240"/>
        <w:jc w:val="center"/>
        <w:rPr>
          <w:rFonts w:ascii="Book Antiqua" w:hAnsi="Book Antiqua"/>
        </w:rPr>
      </w:pPr>
    </w:p>
    <w:p w14:paraId="6AA49656" w14:textId="77777777" w:rsidR="003B4019" w:rsidRDefault="003B4019" w:rsidP="003B4019">
      <w:pPr>
        <w:snapToGrid w:val="0"/>
        <w:ind w:leftChars="100" w:left="240"/>
        <w:jc w:val="center"/>
        <w:rPr>
          <w:rFonts w:ascii="Book Antiqua" w:hAnsi="Book Antiqua"/>
        </w:rPr>
      </w:pPr>
    </w:p>
    <w:p w14:paraId="472841F9" w14:textId="77777777" w:rsidR="003B4019" w:rsidRDefault="003B4019" w:rsidP="003B4019">
      <w:pPr>
        <w:snapToGrid w:val="0"/>
        <w:ind w:leftChars="100" w:left="240"/>
        <w:jc w:val="center"/>
        <w:rPr>
          <w:rFonts w:ascii="Book Antiqua" w:hAnsi="Book Antiqua"/>
        </w:rPr>
      </w:pPr>
    </w:p>
    <w:p w14:paraId="6E77DA66" w14:textId="77777777" w:rsidR="003B4019" w:rsidRDefault="003B4019" w:rsidP="003B4019">
      <w:pPr>
        <w:snapToGrid w:val="0"/>
        <w:ind w:leftChars="100" w:left="240"/>
        <w:jc w:val="center"/>
        <w:rPr>
          <w:rFonts w:ascii="Book Antiqua" w:hAnsi="Book Antiqua"/>
        </w:rPr>
      </w:pPr>
    </w:p>
    <w:p w14:paraId="07027F4F" w14:textId="77777777" w:rsidR="003B4019" w:rsidRDefault="003B4019" w:rsidP="003B4019">
      <w:pPr>
        <w:snapToGrid w:val="0"/>
        <w:ind w:leftChars="100" w:left="240"/>
        <w:jc w:val="center"/>
        <w:rPr>
          <w:rFonts w:ascii="Book Antiqua" w:hAnsi="Book Antiqua"/>
        </w:rPr>
      </w:pPr>
      <w:r>
        <w:rPr>
          <w:rFonts w:ascii="Book Antiqua" w:hAnsi="Book Antiqua"/>
          <w:noProof/>
        </w:rPr>
        <w:drawing>
          <wp:inline distT="0" distB="0" distL="0" distR="0" wp14:anchorId="32FFACB8" wp14:editId="1591D04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DA9DBE" w14:textId="77777777" w:rsidR="003B4019" w:rsidRDefault="003B4019" w:rsidP="003B4019">
      <w:pPr>
        <w:snapToGrid w:val="0"/>
        <w:ind w:leftChars="100" w:left="240"/>
        <w:jc w:val="center"/>
        <w:rPr>
          <w:rFonts w:ascii="Book Antiqua" w:hAnsi="Book Antiqua"/>
        </w:rPr>
      </w:pPr>
    </w:p>
    <w:p w14:paraId="2EE243A9" w14:textId="77777777" w:rsidR="003B4019" w:rsidRDefault="003B4019" w:rsidP="003B401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4A88BB" w14:textId="77777777" w:rsidR="003B4019" w:rsidRDefault="003B4019" w:rsidP="003B40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B6C3BB5" w14:textId="77777777" w:rsidR="003B4019" w:rsidRDefault="003B4019" w:rsidP="003B40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3B7D6D" w14:textId="77777777" w:rsidR="003B4019" w:rsidRDefault="003B4019" w:rsidP="003B40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F477D03" w14:textId="77777777" w:rsidR="003B4019" w:rsidRDefault="003B4019" w:rsidP="003B40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93C1B2" w14:textId="77777777" w:rsidR="003B4019" w:rsidRDefault="003B4019" w:rsidP="003B401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7A9FD5" w14:textId="77777777" w:rsidR="003B4019" w:rsidRDefault="003B4019" w:rsidP="003B4019">
      <w:pPr>
        <w:snapToGrid w:val="0"/>
        <w:ind w:leftChars="100" w:left="240"/>
        <w:jc w:val="center"/>
        <w:rPr>
          <w:rFonts w:ascii="Book Antiqua" w:hAnsi="Book Antiqua"/>
        </w:rPr>
      </w:pPr>
    </w:p>
    <w:p w14:paraId="325283E0" w14:textId="77777777" w:rsidR="003B4019" w:rsidRDefault="003B4019" w:rsidP="003B4019">
      <w:pPr>
        <w:snapToGrid w:val="0"/>
        <w:ind w:leftChars="100" w:left="240"/>
        <w:jc w:val="center"/>
        <w:rPr>
          <w:rFonts w:ascii="Book Antiqua" w:hAnsi="Book Antiqua"/>
        </w:rPr>
      </w:pPr>
    </w:p>
    <w:p w14:paraId="2299E585" w14:textId="77777777" w:rsidR="003B4019" w:rsidRDefault="003B4019" w:rsidP="003B4019">
      <w:pPr>
        <w:snapToGrid w:val="0"/>
        <w:ind w:leftChars="100" w:left="240"/>
        <w:jc w:val="center"/>
        <w:rPr>
          <w:rFonts w:ascii="Book Antiqua" w:hAnsi="Book Antiqua"/>
        </w:rPr>
      </w:pPr>
    </w:p>
    <w:p w14:paraId="0506DB30" w14:textId="77777777" w:rsidR="003B4019" w:rsidRDefault="003B4019" w:rsidP="003B4019">
      <w:pPr>
        <w:snapToGrid w:val="0"/>
        <w:ind w:leftChars="100" w:left="240"/>
        <w:jc w:val="center"/>
        <w:rPr>
          <w:rFonts w:ascii="Book Antiqua" w:hAnsi="Book Antiqua"/>
        </w:rPr>
      </w:pPr>
      <w:r>
        <w:rPr>
          <w:rFonts w:ascii="Book Antiqua" w:hAnsi="Book Antiqua"/>
          <w:noProof/>
        </w:rPr>
        <w:drawing>
          <wp:inline distT="0" distB="0" distL="0" distR="0" wp14:anchorId="15EF3D69" wp14:editId="161398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1378EE" w14:textId="77777777" w:rsidR="003B4019" w:rsidRDefault="003B4019" w:rsidP="003B4019">
      <w:pPr>
        <w:snapToGrid w:val="0"/>
        <w:ind w:leftChars="100" w:left="240"/>
        <w:jc w:val="center"/>
        <w:rPr>
          <w:rFonts w:ascii="Book Antiqua" w:hAnsi="Book Antiqua"/>
        </w:rPr>
      </w:pPr>
    </w:p>
    <w:p w14:paraId="4D134104" w14:textId="77777777" w:rsidR="003B4019" w:rsidRDefault="003B4019" w:rsidP="003B4019">
      <w:pPr>
        <w:snapToGrid w:val="0"/>
        <w:ind w:leftChars="100" w:left="240"/>
        <w:jc w:val="center"/>
        <w:rPr>
          <w:rFonts w:ascii="Book Antiqua" w:hAnsi="Book Antiqua"/>
        </w:rPr>
      </w:pPr>
    </w:p>
    <w:p w14:paraId="76B20859" w14:textId="77777777" w:rsidR="003B4019" w:rsidRDefault="003B4019" w:rsidP="003B4019">
      <w:pPr>
        <w:snapToGrid w:val="0"/>
        <w:ind w:leftChars="100" w:left="240"/>
        <w:jc w:val="center"/>
        <w:rPr>
          <w:rFonts w:ascii="Book Antiqua" w:hAnsi="Book Antiqua"/>
        </w:rPr>
      </w:pPr>
    </w:p>
    <w:p w14:paraId="26F72CA1" w14:textId="77777777" w:rsidR="003B4019" w:rsidRDefault="003B4019" w:rsidP="003B4019">
      <w:pPr>
        <w:snapToGrid w:val="0"/>
        <w:ind w:leftChars="100" w:left="240"/>
        <w:jc w:val="center"/>
        <w:rPr>
          <w:rFonts w:ascii="Book Antiqua" w:hAnsi="Book Antiqua"/>
        </w:rPr>
      </w:pPr>
    </w:p>
    <w:p w14:paraId="7377DE59" w14:textId="77777777" w:rsidR="003B4019" w:rsidRDefault="003B4019" w:rsidP="003B4019">
      <w:pPr>
        <w:snapToGrid w:val="0"/>
        <w:ind w:leftChars="100" w:left="240"/>
        <w:jc w:val="center"/>
        <w:rPr>
          <w:rFonts w:ascii="Book Antiqua" w:hAnsi="Book Antiqua"/>
        </w:rPr>
      </w:pPr>
    </w:p>
    <w:p w14:paraId="5899EF92" w14:textId="77777777" w:rsidR="003B4019" w:rsidRDefault="003B4019" w:rsidP="003B4019">
      <w:pPr>
        <w:snapToGrid w:val="0"/>
        <w:ind w:leftChars="100" w:left="240"/>
        <w:jc w:val="center"/>
        <w:rPr>
          <w:rFonts w:ascii="Book Antiqua" w:hAnsi="Book Antiqua"/>
        </w:rPr>
      </w:pPr>
    </w:p>
    <w:p w14:paraId="24889BF7" w14:textId="77777777" w:rsidR="003B4019" w:rsidRDefault="003B4019" w:rsidP="003B4019">
      <w:pPr>
        <w:snapToGrid w:val="0"/>
        <w:ind w:leftChars="100" w:left="240"/>
        <w:jc w:val="center"/>
        <w:rPr>
          <w:rFonts w:ascii="Book Antiqua" w:hAnsi="Book Antiqua"/>
        </w:rPr>
      </w:pPr>
    </w:p>
    <w:p w14:paraId="27D42A19" w14:textId="77777777" w:rsidR="003B4019" w:rsidRDefault="003B4019" w:rsidP="003B4019">
      <w:pPr>
        <w:snapToGrid w:val="0"/>
        <w:ind w:leftChars="100" w:left="240"/>
        <w:jc w:val="center"/>
        <w:rPr>
          <w:rFonts w:ascii="Book Antiqua" w:hAnsi="Book Antiqua"/>
        </w:rPr>
      </w:pPr>
    </w:p>
    <w:p w14:paraId="115FD2FB" w14:textId="77777777" w:rsidR="003B4019" w:rsidRDefault="003B4019" w:rsidP="003B4019">
      <w:pPr>
        <w:snapToGrid w:val="0"/>
        <w:ind w:leftChars="100" w:left="240"/>
        <w:jc w:val="center"/>
        <w:rPr>
          <w:rFonts w:ascii="Book Antiqua" w:hAnsi="Book Antiqua"/>
        </w:rPr>
      </w:pPr>
    </w:p>
    <w:p w14:paraId="242DAF1E" w14:textId="77777777" w:rsidR="003B4019" w:rsidRDefault="003B4019" w:rsidP="003B4019">
      <w:pPr>
        <w:snapToGrid w:val="0"/>
        <w:ind w:leftChars="100" w:left="240"/>
        <w:jc w:val="right"/>
        <w:rPr>
          <w:rFonts w:ascii="Book Antiqua" w:hAnsi="Book Antiqua"/>
          <w:color w:val="000000" w:themeColor="text1"/>
        </w:rPr>
      </w:pPr>
    </w:p>
    <w:p w14:paraId="07A3D3C4" w14:textId="77777777" w:rsidR="003B4019" w:rsidRDefault="003B4019" w:rsidP="003B401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71532208" w14:textId="77777777" w:rsidR="003B4019" w:rsidRPr="003B4019" w:rsidRDefault="003B4019">
      <w:pPr>
        <w:spacing w:line="360" w:lineRule="auto"/>
        <w:jc w:val="both"/>
        <w:rPr>
          <w:rFonts w:ascii="Book Antiqua" w:hAnsi="Book Antiqua"/>
          <w:lang w:eastAsia="zh-CN"/>
        </w:rPr>
      </w:pPr>
    </w:p>
    <w:sectPr w:rsidR="003B4019" w:rsidRPr="003B4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248D" w14:textId="77777777" w:rsidR="009A7AFE" w:rsidRDefault="009A7AFE">
      <w:r>
        <w:separator/>
      </w:r>
    </w:p>
  </w:endnote>
  <w:endnote w:type="continuationSeparator" w:id="0">
    <w:p w14:paraId="4839BB3A" w14:textId="77777777" w:rsidR="009A7AFE" w:rsidRDefault="009A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06830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54A8D760" w14:textId="77777777" w:rsidR="00540D55" w:rsidRDefault="00624241">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sdtContent>
      </w:sdt>
    </w:sdtContent>
  </w:sdt>
  <w:p w14:paraId="6C5B552A" w14:textId="77777777" w:rsidR="00540D55" w:rsidRDefault="00540D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DFAE" w14:textId="77777777" w:rsidR="009A7AFE" w:rsidRDefault="009A7AFE">
      <w:r>
        <w:separator/>
      </w:r>
    </w:p>
  </w:footnote>
  <w:footnote w:type="continuationSeparator" w:id="0">
    <w:p w14:paraId="281F1266" w14:textId="77777777" w:rsidR="009A7AFE" w:rsidRDefault="009A7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13E35"/>
    <w:rsid w:val="00015920"/>
    <w:rsid w:val="00017DBC"/>
    <w:rsid w:val="00026D94"/>
    <w:rsid w:val="00060E17"/>
    <w:rsid w:val="00070214"/>
    <w:rsid w:val="0007112D"/>
    <w:rsid w:val="000970ED"/>
    <w:rsid w:val="000A1F0D"/>
    <w:rsid w:val="000B132B"/>
    <w:rsid w:val="000D53E7"/>
    <w:rsid w:val="000E703F"/>
    <w:rsid w:val="000E713E"/>
    <w:rsid w:val="0010454C"/>
    <w:rsid w:val="001406E1"/>
    <w:rsid w:val="001419A5"/>
    <w:rsid w:val="0014675F"/>
    <w:rsid w:val="00161E5C"/>
    <w:rsid w:val="0018486F"/>
    <w:rsid w:val="001A5041"/>
    <w:rsid w:val="001C653C"/>
    <w:rsid w:val="001E5FB5"/>
    <w:rsid w:val="001F22C4"/>
    <w:rsid w:val="001F6137"/>
    <w:rsid w:val="002426ED"/>
    <w:rsid w:val="0025195C"/>
    <w:rsid w:val="0026709C"/>
    <w:rsid w:val="0028232C"/>
    <w:rsid w:val="00295F30"/>
    <w:rsid w:val="002B7CA0"/>
    <w:rsid w:val="002C184F"/>
    <w:rsid w:val="002C41BA"/>
    <w:rsid w:val="00303475"/>
    <w:rsid w:val="00307FDB"/>
    <w:rsid w:val="003100E5"/>
    <w:rsid w:val="00324E4F"/>
    <w:rsid w:val="003459CA"/>
    <w:rsid w:val="0035513A"/>
    <w:rsid w:val="003723A1"/>
    <w:rsid w:val="00392150"/>
    <w:rsid w:val="003B4019"/>
    <w:rsid w:val="003D3014"/>
    <w:rsid w:val="00421D3C"/>
    <w:rsid w:val="00433BAC"/>
    <w:rsid w:val="00440985"/>
    <w:rsid w:val="004439E0"/>
    <w:rsid w:val="004626AE"/>
    <w:rsid w:val="00487ECD"/>
    <w:rsid w:val="004C572D"/>
    <w:rsid w:val="004D788A"/>
    <w:rsid w:val="005005DC"/>
    <w:rsid w:val="0052239B"/>
    <w:rsid w:val="00531538"/>
    <w:rsid w:val="00540D55"/>
    <w:rsid w:val="00574DDE"/>
    <w:rsid w:val="00587E85"/>
    <w:rsid w:val="005A6C77"/>
    <w:rsid w:val="005D0848"/>
    <w:rsid w:val="005D13A9"/>
    <w:rsid w:val="005E50D6"/>
    <w:rsid w:val="00602267"/>
    <w:rsid w:val="00624241"/>
    <w:rsid w:val="0067571B"/>
    <w:rsid w:val="0068676D"/>
    <w:rsid w:val="00687F9C"/>
    <w:rsid w:val="006972D8"/>
    <w:rsid w:val="006A7C77"/>
    <w:rsid w:val="006B7A0E"/>
    <w:rsid w:val="006E255A"/>
    <w:rsid w:val="006E51D3"/>
    <w:rsid w:val="00712EFA"/>
    <w:rsid w:val="00715368"/>
    <w:rsid w:val="00727384"/>
    <w:rsid w:val="007540E2"/>
    <w:rsid w:val="00757CE7"/>
    <w:rsid w:val="007871A5"/>
    <w:rsid w:val="00787CA5"/>
    <w:rsid w:val="007B2D5B"/>
    <w:rsid w:val="007B4A9B"/>
    <w:rsid w:val="00851091"/>
    <w:rsid w:val="00856F9F"/>
    <w:rsid w:val="008C65E2"/>
    <w:rsid w:val="008E059A"/>
    <w:rsid w:val="008E3E32"/>
    <w:rsid w:val="009023C9"/>
    <w:rsid w:val="00910808"/>
    <w:rsid w:val="00962C90"/>
    <w:rsid w:val="009749BD"/>
    <w:rsid w:val="009A7AFE"/>
    <w:rsid w:val="00A06426"/>
    <w:rsid w:val="00A230F3"/>
    <w:rsid w:val="00A61780"/>
    <w:rsid w:val="00A77711"/>
    <w:rsid w:val="00A77B3E"/>
    <w:rsid w:val="00A97A1D"/>
    <w:rsid w:val="00AB2581"/>
    <w:rsid w:val="00AF159E"/>
    <w:rsid w:val="00AF4088"/>
    <w:rsid w:val="00AF420C"/>
    <w:rsid w:val="00B3524B"/>
    <w:rsid w:val="00B65EC1"/>
    <w:rsid w:val="00B7589C"/>
    <w:rsid w:val="00B92745"/>
    <w:rsid w:val="00BC2399"/>
    <w:rsid w:val="00BD770B"/>
    <w:rsid w:val="00BF6576"/>
    <w:rsid w:val="00C22454"/>
    <w:rsid w:val="00C2637E"/>
    <w:rsid w:val="00C4546F"/>
    <w:rsid w:val="00C94317"/>
    <w:rsid w:val="00CA2A55"/>
    <w:rsid w:val="00CC54CB"/>
    <w:rsid w:val="00CE18C3"/>
    <w:rsid w:val="00D02534"/>
    <w:rsid w:val="00D0417B"/>
    <w:rsid w:val="00D44A02"/>
    <w:rsid w:val="00D57E51"/>
    <w:rsid w:val="00DD4D53"/>
    <w:rsid w:val="00DD7074"/>
    <w:rsid w:val="00DE40EB"/>
    <w:rsid w:val="00E066B8"/>
    <w:rsid w:val="00E142F2"/>
    <w:rsid w:val="00E17CEF"/>
    <w:rsid w:val="00E539C5"/>
    <w:rsid w:val="00E97FA6"/>
    <w:rsid w:val="00EC441A"/>
    <w:rsid w:val="00ED286D"/>
    <w:rsid w:val="00EE4EC7"/>
    <w:rsid w:val="00FB783C"/>
    <w:rsid w:val="00FD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4F18D"/>
  <w15:docId w15:val="{30E48D6C-357A-4B78-BF56-2512B9CB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paragraph" w:customStyle="1" w:styleId="MDPI42tablebody">
    <w:name w:val="MDPI_4.2_table_body"/>
    <w:basedOn w:val="a"/>
    <w:pPr>
      <w:suppressAutoHyphens/>
      <w:snapToGrid w:val="0"/>
    </w:pPr>
    <w:rPr>
      <w:rFonts w:ascii="Palatino Linotype" w:eastAsia="Times New Roman" w:hAnsi="Palatino Linotype" w:cs="宋体"/>
      <w:color w:val="000000"/>
      <w:kern w:val="2"/>
      <w:sz w:val="20"/>
      <w:szCs w:val="20"/>
      <w:lang w:eastAsia="zh-CN"/>
    </w:rPr>
  </w:style>
  <w:style w:type="paragraph" w:customStyle="1" w:styleId="1">
    <w:name w:val="修订1"/>
    <w:hidden/>
    <w:uiPriority w:val="99"/>
    <w:semiHidden/>
    <w:rPr>
      <w:sz w:val="24"/>
      <w:szCs w:val="24"/>
      <w:lang w:eastAsia="en-US"/>
    </w:rPr>
  </w:style>
  <w:style w:type="character" w:styleId="aa">
    <w:name w:val="Hyperlink"/>
    <w:basedOn w:val="a0"/>
    <w:unhideWhenUsed/>
    <w:rsid w:val="00AB2581"/>
    <w:rPr>
      <w:color w:val="0000FF" w:themeColor="hyperlink"/>
      <w:u w:val="single"/>
    </w:rPr>
  </w:style>
  <w:style w:type="character" w:styleId="ab">
    <w:name w:val="Unresolved Mention"/>
    <w:basedOn w:val="a0"/>
    <w:uiPriority w:val="99"/>
    <w:semiHidden/>
    <w:unhideWhenUsed/>
    <w:rsid w:val="00AB2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9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6/1182.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4033</Words>
  <Characters>22994</Characters>
  <Application>Microsoft Office Word</Application>
  <DocSecurity>0</DocSecurity>
  <Lines>191</Lines>
  <Paragraphs>53</Paragraphs>
  <ScaleCrop>false</ScaleCrop>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6</cp:revision>
  <dcterms:created xsi:type="dcterms:W3CDTF">2022-05-21T20:40:00Z</dcterms:created>
  <dcterms:modified xsi:type="dcterms:W3CDTF">2022-06-23T10:59:00Z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3F06808F319D47BF8CD1018DB2D666F8</vt:lpwstr>
  </property>
</Properties>
</file>