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74718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Prospective Study</w:t>
      </w:r>
    </w:p>
    <w:p>
      <w:pPr>
        <w:spacing w:line="360" w:lineRule="auto"/>
        <w:jc w:val="both"/>
        <w:rPr>
          <w:rFonts w:ascii="Book Antiqua" w:hAnsi="Book Antiqua"/>
        </w:rPr>
      </w:pPr>
      <w:r>
        <w:rPr>
          <w:rFonts w:ascii="Book Antiqua" w:hAnsi="Book Antiqua" w:eastAsia="Book Antiqua" w:cs="Book Antiqua"/>
          <w:b/>
          <w:bCs/>
          <w:color w:val="000000"/>
        </w:rPr>
        <w:t xml:space="preserve">Significance of </w:t>
      </w:r>
      <w:r>
        <w:rPr>
          <w:rFonts w:ascii="Book Antiqua" w:hAnsi="Book Antiqua" w:cs="Book Antiqua"/>
          <w:b/>
          <w:bCs/>
          <w:color w:val="000000"/>
          <w:lang w:eastAsia="zh-CN"/>
        </w:rPr>
        <w:t>s</w:t>
      </w:r>
      <w:r>
        <w:rPr>
          <w:rFonts w:ascii="Book Antiqua" w:hAnsi="Book Antiqua" w:eastAsia="Book Antiqua" w:cs="Book Antiqua"/>
          <w:b/>
          <w:bCs/>
          <w:color w:val="000000"/>
        </w:rPr>
        <w:t xml:space="preserve">erum </w:t>
      </w:r>
      <w:r>
        <w:rPr>
          <w:rFonts w:ascii="Book Antiqua" w:hAnsi="Book Antiqua" w:cs="Book Antiqua"/>
          <w:b/>
          <w:bCs/>
          <w:color w:val="000000"/>
          <w:lang w:eastAsia="zh-CN"/>
        </w:rPr>
        <w:t>c</w:t>
      </w:r>
      <w:r>
        <w:rPr>
          <w:rFonts w:ascii="Book Antiqua" w:hAnsi="Book Antiqua" w:eastAsia="Book Antiqua" w:cs="Book Antiqua"/>
          <w:b/>
          <w:bCs/>
          <w:color w:val="000000"/>
        </w:rPr>
        <w:t xml:space="preserve">arcinoembryonic antigen in metastatic breast cancer </w:t>
      </w:r>
      <w:r>
        <w:rPr>
          <w:rFonts w:ascii="Book Antiqua" w:hAnsi="Book Antiqua" w:cs="Book Antiqua"/>
          <w:b/>
          <w:bCs/>
          <w:color w:val="000000"/>
          <w:lang w:eastAsia="zh-CN"/>
        </w:rPr>
        <w:t>p</w:t>
      </w:r>
      <w:r>
        <w:rPr>
          <w:rFonts w:ascii="Book Antiqua" w:hAnsi="Book Antiqua" w:eastAsia="Book Antiqua" w:cs="Book Antiqua"/>
          <w:b/>
          <w:bCs/>
          <w:color w:val="000000"/>
        </w:rPr>
        <w:t>atients</w:t>
      </w:r>
      <w:r>
        <w:rPr>
          <w:rFonts w:ascii="Book Antiqua" w:hAnsi="Book Antiqua" w:cs="Book Antiqua"/>
          <w:b/>
          <w:bCs/>
          <w:color w:val="000000"/>
          <w:lang w:eastAsia="zh-CN"/>
        </w:rPr>
        <w:t xml:space="preserve">: </w:t>
      </w:r>
      <w:r>
        <w:rPr>
          <w:rFonts w:ascii="Book Antiqua" w:hAnsi="Book Antiqua" w:eastAsia="Book Antiqua" w:cs="Book Antiqua"/>
          <w:b/>
          <w:bCs/>
          <w:color w:val="000000"/>
        </w:rPr>
        <w:t>A prospective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Cs/>
          <w:color w:val="000000"/>
        </w:rPr>
        <w:t>Anoop</w:t>
      </w:r>
      <w:r>
        <w:rPr>
          <w:rFonts w:ascii="Book Antiqua" w:hAnsi="Book Antiqua" w:eastAsia="Book Antiqua" w:cs="Book Antiqua"/>
          <w:color w:val="000000"/>
        </w:rPr>
        <w:t xml:space="preserve"> </w:t>
      </w:r>
      <w:r>
        <w:rPr>
          <w:rFonts w:ascii="Book Antiqua" w:hAnsi="Book Antiqua" w:cs="Book Antiqua"/>
          <w:color w:val="000000"/>
          <w:lang w:eastAsia="zh-CN"/>
        </w:rPr>
        <w:t xml:space="preserve">TM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Significance of serum </w:t>
      </w:r>
      <w:r>
        <w:rPr>
          <w:rFonts w:ascii="Book Antiqua" w:hAnsi="Book Antiqua" w:cs="Book Antiqua"/>
          <w:color w:val="000000"/>
          <w:lang w:eastAsia="zh-CN"/>
        </w:rPr>
        <w:t>CEA</w:t>
      </w:r>
      <w:r>
        <w:rPr>
          <w:rFonts w:ascii="Book Antiqua" w:hAnsi="Book Antiqua" w:eastAsia="Book Antiqua" w:cs="Book Antiqua"/>
          <w:color w:val="000000"/>
        </w:rPr>
        <w:t xml:space="preserve"> in metastatic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Cs/>
          <w:color w:val="000000"/>
        </w:rPr>
        <w:t>Thattungal Manoharan Anoop</w:t>
      </w:r>
      <w:r>
        <w:rPr>
          <w:rFonts w:ascii="Book Antiqua" w:hAnsi="Book Antiqua" w:eastAsia="Book Antiqua" w:cs="Book Antiqua"/>
          <w:color w:val="000000"/>
        </w:rPr>
        <w:t>, Rona Joseph P, Saikumar Soman, Steffi Chacko, Mintu Mathew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Thattungal Manoharan Anoop, Rona Joseph P, </w:t>
      </w:r>
      <w:r>
        <w:rPr>
          <w:rFonts w:ascii="Book Antiqua" w:hAnsi="Book Antiqua" w:eastAsia="Book Antiqua" w:cs="Book Antiqua"/>
          <w:b/>
          <w:color w:val="000000"/>
        </w:rPr>
        <w:t>Saikumar Soman,</w:t>
      </w:r>
      <w:r>
        <w:rPr>
          <w:rFonts w:ascii="Book Antiqua" w:hAnsi="Book Antiqua" w:cs="Book Antiqua"/>
          <w:color w:val="000000"/>
          <w:lang w:eastAsia="zh-CN"/>
        </w:rPr>
        <w:t xml:space="preserve"> </w:t>
      </w:r>
      <w:r>
        <w:rPr>
          <w:rFonts w:ascii="Book Antiqua" w:hAnsi="Book Antiqua" w:eastAsia="Book Antiqua" w:cs="Book Antiqua"/>
          <w:b/>
          <w:bCs/>
          <w:color w:val="000000"/>
        </w:rPr>
        <w:t xml:space="preserve">Steffi Chacko, Mintu Mathew, </w:t>
      </w:r>
      <w:r>
        <w:rPr>
          <w:rFonts w:ascii="Book Antiqua" w:hAnsi="Book Antiqua" w:eastAsia="Book Antiqua" w:cs="Book Antiqua"/>
          <w:color w:val="000000"/>
        </w:rPr>
        <w:t xml:space="preserve">Department of Medical Oncology, Regional </w:t>
      </w:r>
      <w:r>
        <w:rPr>
          <w:rFonts w:ascii="Book Antiqua" w:hAnsi="Book Antiqua" w:cs="Book Antiqua"/>
          <w:color w:val="000000"/>
          <w:lang w:eastAsia="zh-CN"/>
        </w:rPr>
        <w:t>C</w:t>
      </w:r>
      <w:r>
        <w:rPr>
          <w:rFonts w:ascii="Book Antiqua" w:hAnsi="Book Antiqua" w:eastAsia="Book Antiqua" w:cs="Book Antiqua"/>
          <w:color w:val="000000"/>
        </w:rPr>
        <w:t xml:space="preserve">ancer </w:t>
      </w:r>
      <w:r>
        <w:rPr>
          <w:rFonts w:ascii="Book Antiqua" w:hAnsi="Book Antiqua" w:cs="Book Antiqua"/>
          <w:color w:val="000000"/>
          <w:lang w:eastAsia="zh-CN"/>
        </w:rPr>
        <w:t>C</w:t>
      </w:r>
      <w:r>
        <w:rPr>
          <w:rFonts w:ascii="Book Antiqua" w:hAnsi="Book Antiqua" w:eastAsia="Book Antiqua" w:cs="Book Antiqua"/>
          <w:color w:val="000000"/>
        </w:rPr>
        <w:t>enter, Trivandrum 695011, Kerala,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Style w:val="12"/>
          <w:rFonts w:ascii="Book Antiqua" w:hAnsi="Book Antiqua" w:eastAsia="Book Antiqua" w:cs="Book Antiqua"/>
          <w:color w:val="000000"/>
        </w:rPr>
        <w:t>Anoop</w:t>
      </w:r>
      <w:r>
        <w:rPr>
          <w:rStyle w:val="12"/>
          <w:rFonts w:ascii="Book Antiqua" w:hAnsi="Book Antiqua" w:cs="Book Antiqua"/>
          <w:color w:val="000000"/>
          <w:lang w:eastAsia="zh-CN"/>
        </w:rPr>
        <w:t xml:space="preserve"> TM</w:t>
      </w:r>
      <w:r>
        <w:rPr>
          <w:rStyle w:val="12"/>
          <w:rFonts w:ascii="Book Antiqua" w:hAnsi="Book Antiqua" w:eastAsia="Book Antiqua" w:cs="Book Antiqua"/>
          <w:color w:val="000000"/>
        </w:rPr>
        <w:t xml:space="preserve"> designed the study, </w:t>
      </w:r>
      <w:r>
        <w:rPr>
          <w:rFonts w:ascii="Book Antiqua" w:hAnsi="Book Antiqua" w:eastAsia="Book Antiqua" w:cs="Book Antiqua"/>
          <w:color w:val="000000"/>
        </w:rPr>
        <w:t xml:space="preserve">drafted the manuscript, and supervised the study and treatment; </w:t>
      </w:r>
      <w:r>
        <w:rPr>
          <w:rStyle w:val="12"/>
          <w:rFonts w:ascii="Book Antiqua" w:hAnsi="Book Antiqua" w:eastAsia="Book Antiqua" w:cs="Book Antiqua"/>
          <w:color w:val="000000"/>
        </w:rPr>
        <w:t>Joseph P</w:t>
      </w:r>
      <w:r>
        <w:rPr>
          <w:rStyle w:val="12"/>
          <w:rFonts w:ascii="Book Antiqua" w:hAnsi="Book Antiqua" w:cs="Book Antiqua"/>
          <w:color w:val="000000"/>
          <w:lang w:eastAsia="zh-CN"/>
        </w:rPr>
        <w:t xml:space="preserve"> R</w:t>
      </w:r>
      <w:r>
        <w:rPr>
          <w:rStyle w:val="12"/>
          <w:rFonts w:ascii="Book Antiqua" w:hAnsi="Book Antiqua" w:eastAsia="Book Antiqua" w:cs="Book Antiqua"/>
          <w:color w:val="000000"/>
        </w:rPr>
        <w:t xml:space="preserve"> </w:t>
      </w:r>
      <w:r>
        <w:rPr>
          <w:rFonts w:ascii="Book Antiqua" w:hAnsi="Book Antiqua" w:eastAsia="Book Antiqua" w:cs="Book Antiqua"/>
          <w:color w:val="000000"/>
        </w:rPr>
        <w:t>participated in the design and supervision of the study and treatment; Chacko</w:t>
      </w:r>
      <w:r>
        <w:rPr>
          <w:rFonts w:ascii="Book Antiqua" w:hAnsi="Book Antiqua" w:cs="Book Antiqua"/>
          <w:color w:val="000000"/>
          <w:lang w:eastAsia="zh-CN"/>
        </w:rPr>
        <w:t xml:space="preserve"> S</w:t>
      </w:r>
      <w:r>
        <w:rPr>
          <w:rFonts w:ascii="Book Antiqua" w:hAnsi="Book Antiqua" w:eastAsia="Book Antiqua" w:cs="Book Antiqua"/>
          <w:color w:val="000000"/>
        </w:rPr>
        <w:t xml:space="preserve"> participated in the design of the study; Soman </w:t>
      </w:r>
      <w:r>
        <w:rPr>
          <w:rFonts w:ascii="Book Antiqua" w:hAnsi="Book Antiqua" w:cs="Book Antiqua"/>
          <w:color w:val="000000"/>
          <w:lang w:eastAsia="zh-CN"/>
        </w:rPr>
        <w:t xml:space="preserve">S was </w:t>
      </w:r>
      <w:r>
        <w:rPr>
          <w:rFonts w:ascii="Book Antiqua" w:hAnsi="Book Antiqua" w:eastAsia="Book Antiqua" w:cs="Book Antiqua"/>
          <w:color w:val="000000"/>
        </w:rPr>
        <w:t>involved in data collection, analysis, and statistics; Mathew</w:t>
      </w:r>
      <w:r>
        <w:rPr>
          <w:rFonts w:ascii="Book Antiqua" w:hAnsi="Book Antiqua" w:cs="Book Antiqua"/>
          <w:color w:val="000000"/>
          <w:lang w:eastAsia="zh-CN"/>
        </w:rPr>
        <w:t xml:space="preserve"> M</w:t>
      </w:r>
      <w:r>
        <w:rPr>
          <w:rFonts w:ascii="Book Antiqua" w:hAnsi="Book Antiqua" w:eastAsia="Book Antiqua" w:cs="Book Antiqua"/>
          <w:color w:val="000000"/>
        </w:rPr>
        <w:t xml:space="preserve"> participated in data collection;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Thattungal Manoharan Anoop, MD, DM, DNB</w:t>
      </w:r>
      <w:r>
        <w:rPr>
          <w:rFonts w:ascii="Book Antiqua" w:hAnsi="Book Antiqua" w:cs="Book Antiqua"/>
          <w:b/>
          <w:bCs/>
          <w:color w:val="000000"/>
          <w:lang w:eastAsia="zh-CN"/>
        </w:rPr>
        <w:t>,</w:t>
      </w:r>
      <w:r>
        <w:rPr>
          <w:rFonts w:ascii="Book Antiqua" w:hAnsi="Book Antiqua" w:eastAsia="Book Antiqua" w:cs="Book Antiqua"/>
          <w:b/>
          <w:bCs/>
          <w:color w:val="000000"/>
        </w:rPr>
        <w:t xml:space="preserve"> Associate Professor, </w:t>
      </w:r>
      <w:r>
        <w:rPr>
          <w:rFonts w:ascii="Book Antiqua" w:hAnsi="Book Antiqua" w:eastAsia="Book Antiqua" w:cs="Book Antiqua"/>
          <w:color w:val="000000"/>
        </w:rPr>
        <w:t xml:space="preserve">Department of Medical Oncology, Regional </w:t>
      </w:r>
      <w:r>
        <w:rPr>
          <w:rFonts w:ascii="Book Antiqua" w:hAnsi="Book Antiqua" w:cs="Book Antiqua"/>
          <w:color w:val="000000"/>
          <w:lang w:eastAsia="zh-CN"/>
        </w:rPr>
        <w:t>C</w:t>
      </w:r>
      <w:r>
        <w:rPr>
          <w:rFonts w:ascii="Book Antiqua" w:hAnsi="Book Antiqua" w:eastAsia="Book Antiqua" w:cs="Book Antiqua"/>
          <w:color w:val="000000"/>
        </w:rPr>
        <w:t xml:space="preserve">ancer </w:t>
      </w:r>
      <w:r>
        <w:rPr>
          <w:rFonts w:ascii="Book Antiqua" w:hAnsi="Book Antiqua" w:cs="Book Antiqua"/>
          <w:color w:val="000000"/>
          <w:lang w:eastAsia="zh-CN"/>
        </w:rPr>
        <w:t>C</w:t>
      </w:r>
      <w:r>
        <w:rPr>
          <w:rFonts w:ascii="Book Antiqua" w:hAnsi="Book Antiqua" w:eastAsia="Book Antiqua" w:cs="Book Antiqua"/>
          <w:color w:val="000000"/>
        </w:rPr>
        <w:t xml:space="preserve">enter, Medical </w:t>
      </w:r>
      <w:r>
        <w:rPr>
          <w:rFonts w:ascii="Book Antiqua" w:hAnsi="Book Antiqua" w:cs="Book Antiqua"/>
          <w:color w:val="000000"/>
          <w:lang w:eastAsia="zh-CN"/>
        </w:rPr>
        <w:t>C</w:t>
      </w:r>
      <w:r>
        <w:rPr>
          <w:rFonts w:ascii="Book Antiqua" w:hAnsi="Book Antiqua" w:eastAsia="Book Antiqua" w:cs="Book Antiqua"/>
          <w:color w:val="000000"/>
        </w:rPr>
        <w:t xml:space="preserve">ollege </w:t>
      </w:r>
      <w:r>
        <w:rPr>
          <w:rFonts w:ascii="Book Antiqua" w:hAnsi="Book Antiqua" w:cs="Book Antiqua"/>
          <w:color w:val="000000"/>
          <w:lang w:eastAsia="zh-CN"/>
        </w:rPr>
        <w:t>C</w:t>
      </w:r>
      <w:r>
        <w:rPr>
          <w:rFonts w:ascii="Book Antiqua" w:hAnsi="Book Antiqua" w:eastAsia="Book Antiqua" w:cs="Book Antiqua"/>
          <w:color w:val="000000"/>
        </w:rPr>
        <w:t>ampus, Trivandrum 695011, Kerala, India. dranooptm@yahoo.co.in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7,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28, 2022</w:t>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June</w:t>
      </w:r>
      <w:r>
        <w:rPr>
          <w:rFonts w:ascii="Book Antiqua" w:hAnsi="Book Antiqua" w:eastAsia="Book Antiqua" w:cs="Book Antiqua"/>
          <w:b w:val="0"/>
          <w:bCs w:val="0"/>
          <w:color w:val="000000"/>
        </w:rPr>
        <w:t xml:space="preserve"> 2</w:t>
      </w:r>
      <w:r>
        <w:rPr>
          <w:rFonts w:hint="eastAsia" w:ascii="Book Antiqua" w:hAnsi="Book Antiqua" w:eastAsia="宋体" w:cs="Book Antiqua"/>
          <w:b w:val="0"/>
          <w:bCs w:val="0"/>
          <w:color w:val="000000"/>
          <w:lang w:val="en-US" w:eastAsia="zh-CN"/>
        </w:rPr>
        <w:t>4</w:t>
      </w:r>
      <w:r>
        <w:rPr>
          <w:rFonts w:ascii="Book Antiqua" w:hAnsi="Book Antiqua" w:eastAsia="Book Antiqua" w:cs="Book Antiqua"/>
          <w:b w:val="0"/>
          <w:bCs w:val="0"/>
          <w:color w:val="000000"/>
        </w:rPr>
        <w:t>, 2022</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Carcinoembryonic antigen (CEA) is an important serum tumour marker with a substantial role in diagnosis and monitoring of various solid tumours. About 36%-70% of breast cancers have elevated serum CEA. </w:t>
      </w:r>
      <w:r>
        <w:rPr>
          <w:rFonts w:ascii="Book Antiqua" w:hAnsi="Book Antiqua" w:cs="Book Antiqua"/>
          <w:color w:val="000000"/>
          <w:lang w:eastAsia="zh-CN"/>
        </w:rPr>
        <w:t>A</w:t>
      </w:r>
      <w:r>
        <w:rPr>
          <w:rFonts w:ascii="Book Antiqua" w:hAnsi="Book Antiqua" w:eastAsia="Book Antiqua" w:cs="Book Antiqua"/>
          <w:color w:val="000000"/>
        </w:rPr>
        <w:t>nd the available studies show discrepancy in addressing the prognostic significance of CEA in advanced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estimate the serum CEA level in our metastatic breast cancer patients and correlate it with response to treatment and clinical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This was a prospective clinical study conducted on 50 metastatic breast cancer patients treated at </w:t>
      </w:r>
      <w:r>
        <w:rPr>
          <w:rFonts w:ascii="Book Antiqua" w:hAnsi="Book Antiqua" w:cs="Book Antiqua"/>
          <w:color w:val="000000"/>
          <w:lang w:eastAsia="zh-CN"/>
        </w:rPr>
        <w:t>b</w:t>
      </w:r>
      <w:r>
        <w:rPr>
          <w:rFonts w:ascii="Book Antiqua" w:hAnsi="Book Antiqua" w:eastAsia="Book Antiqua" w:cs="Book Antiqua"/>
          <w:color w:val="000000"/>
        </w:rPr>
        <w:t xml:space="preserve">reast </w:t>
      </w:r>
      <w:r>
        <w:rPr>
          <w:rFonts w:ascii="Book Antiqua" w:hAnsi="Book Antiqua" w:cs="Book Antiqua"/>
          <w:color w:val="000000"/>
          <w:lang w:eastAsia="zh-CN"/>
        </w:rPr>
        <w:t>c</w:t>
      </w:r>
      <w:r>
        <w:rPr>
          <w:rFonts w:ascii="Book Antiqua" w:hAnsi="Book Antiqua" w:eastAsia="Book Antiqua" w:cs="Book Antiqua"/>
          <w:color w:val="000000"/>
        </w:rPr>
        <w:t xml:space="preserve">linic, with newly diagnosed metastatic breast cancer planned for palliative chemotherapy, targeted therapy, and hormonal treatment. We estimated the proportion of patients with elevated serum CEA level at baseline and after palliative treatment and also studied the association of serum CEA levels with known prognostic factors. The response to treatment was correlated with the serum CEA levels in the context of </w:t>
      </w:r>
      <w:r>
        <w:rPr>
          <w:rFonts w:ascii="Book Antiqua" w:hAnsi="Book Antiqua" w:cs="Book Antiqua"/>
          <w:color w:val="000000"/>
          <w:lang w:eastAsia="zh-CN"/>
        </w:rPr>
        <w:t>r</w:t>
      </w:r>
      <w:r>
        <w:rPr>
          <w:rFonts w:ascii="Book Antiqua" w:hAnsi="Book Antiqua" w:eastAsia="Book Antiqua" w:cs="Book Antiqua"/>
          <w:color w:val="000000"/>
        </w:rPr>
        <w:t>esponders and non-responders.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w:t>
      </w:r>
      <w:r>
        <w:rPr>
          <w:rFonts w:ascii="Book Antiqua" w:hAnsi="Book Antiqua" w:cs="Book Antiqua"/>
          <w:color w:val="000000"/>
          <w:lang w:eastAsia="zh-CN"/>
        </w:rPr>
        <w:t>m</w:t>
      </w:r>
      <w:r>
        <w:rPr>
          <w:rFonts w:ascii="Book Antiqua" w:hAnsi="Book Antiqua" w:eastAsia="Book Antiqua" w:cs="Book Antiqua"/>
          <w:color w:val="000000"/>
        </w:rPr>
        <w:t xml:space="preserve">edian pre-treatment and </w:t>
      </w:r>
      <w:r>
        <w:rPr>
          <w:rFonts w:ascii="Book Antiqua" w:hAnsi="Book Antiqua" w:cs="Book Antiqua"/>
          <w:color w:val="000000"/>
          <w:lang w:eastAsia="zh-CN"/>
        </w:rPr>
        <w:t>p</w:t>
      </w:r>
      <w:r>
        <w:rPr>
          <w:rFonts w:ascii="Book Antiqua" w:hAnsi="Book Antiqua" w:eastAsia="Book Antiqua" w:cs="Book Antiqua"/>
          <w:color w:val="000000"/>
        </w:rPr>
        <w:t>ost-treatment CEA levels were 7.9</w:t>
      </w:r>
      <w:r>
        <w:rPr>
          <w:rFonts w:ascii="Book Antiqua" w:hAnsi="Book Antiqua" w:cs="Book Antiqua"/>
          <w:color w:val="000000"/>
          <w:lang w:eastAsia="zh-CN"/>
        </w:rPr>
        <w:t xml:space="preserve"> </w:t>
      </w:r>
      <w:r>
        <w:rPr>
          <w:rFonts w:ascii="Book Antiqua" w:hAnsi="Book Antiqua" w:eastAsia="Book Antiqua" w:cs="Book Antiqua"/>
          <w:color w:val="000000"/>
        </w:rPr>
        <w:t>(1.8-40.7) ng/mL and 4.39</w:t>
      </w:r>
      <w:r>
        <w:rPr>
          <w:rFonts w:ascii="Book Antiqua" w:hAnsi="Book Antiqua" w:cs="Book Antiqua"/>
          <w:color w:val="000000"/>
          <w:lang w:eastAsia="zh-CN"/>
        </w:rPr>
        <w:t xml:space="preserve"> </w:t>
      </w:r>
      <w:r>
        <w:rPr>
          <w:rFonts w:ascii="Book Antiqua" w:hAnsi="Book Antiqua" w:eastAsia="Book Antiqua" w:cs="Book Antiqua"/>
          <w:color w:val="000000"/>
        </w:rPr>
        <w:t>(1.4-12.15) ng/mL, respectively, in the whole study population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 0.032). No statistically significant difference was seen in baseline </w:t>
      </w:r>
      <w:r>
        <w:rPr>
          <w:rFonts w:ascii="Book Antiqua" w:hAnsi="Book Antiqua" w:cs="Book Antiqua"/>
          <w:color w:val="000000"/>
          <w:lang w:eastAsia="zh-CN"/>
        </w:rPr>
        <w:t>s</w:t>
      </w:r>
      <w:r>
        <w:rPr>
          <w:rFonts w:ascii="Book Antiqua" w:hAnsi="Book Antiqua" w:eastAsia="Book Antiqua" w:cs="Book Antiqua"/>
          <w:color w:val="000000"/>
        </w:rPr>
        <w:t xml:space="preserve">erum CEA between responders and non-responders. Even in the luminal group, pre-treatment </w:t>
      </w:r>
      <w:r>
        <w:rPr>
          <w:rFonts w:ascii="Book Antiqua" w:hAnsi="Book Antiqua" w:cs="Book Antiqua"/>
          <w:color w:val="000000"/>
          <w:lang w:eastAsia="zh-CN"/>
        </w:rPr>
        <w:t>s</w:t>
      </w:r>
      <w:r>
        <w:rPr>
          <w:rFonts w:ascii="Book Antiqua" w:hAnsi="Book Antiqua" w:eastAsia="Book Antiqua" w:cs="Book Antiqua"/>
          <w:color w:val="000000"/>
        </w:rPr>
        <w:t>erum CEA was not a predictor of response, but post</w:t>
      </w:r>
      <w:r>
        <w:rPr>
          <w:rFonts w:ascii="Book Antiqua" w:hAnsi="Book Antiqua" w:cs="Book Antiqua"/>
          <w:color w:val="000000"/>
          <w:lang w:eastAsia="zh-CN"/>
        </w:rPr>
        <w:t>-</w:t>
      </w:r>
      <w:r>
        <w:rPr>
          <w:rFonts w:ascii="Book Antiqua" w:hAnsi="Book Antiqua" w:eastAsia="Book Antiqua" w:cs="Book Antiqua"/>
          <w:color w:val="000000"/>
        </w:rPr>
        <w:t>treatment CEA was a significant predictor of tumour progression.</w:t>
      </w:r>
      <w:r>
        <w:rPr>
          <w:rFonts w:ascii="Book Antiqua" w:hAnsi="Book Antiqua"/>
          <w:lang w:eastAsia="zh-CN"/>
        </w:rPr>
        <w:t xml:space="preserve"> </w:t>
      </w:r>
      <w:r>
        <w:rPr>
          <w:rFonts w:ascii="Book Antiqua" w:hAnsi="Book Antiqua" w:eastAsia="Book Antiqua" w:cs="Book Antiqua"/>
          <w:color w:val="000000"/>
        </w:rPr>
        <w:t>In patients with liver and lung metastases, post</w:t>
      </w:r>
      <w:r>
        <w:rPr>
          <w:rFonts w:ascii="Book Antiqua" w:hAnsi="Book Antiqua" w:cs="Book Antiqua"/>
          <w:color w:val="000000"/>
          <w:lang w:eastAsia="zh-CN"/>
        </w:rPr>
        <w:t>-</w:t>
      </w:r>
      <w:r>
        <w:rPr>
          <w:rFonts w:ascii="Book Antiqua" w:hAnsi="Book Antiqua" w:eastAsia="Book Antiqua" w:cs="Book Antiqua"/>
          <w:color w:val="000000"/>
        </w:rPr>
        <w:t>treatment CEA level difference was not statistically significant in both responders and non-responders though the values were higher in non-responders. Among those with bone metastases, 69.5% had elevated post</w:t>
      </w:r>
      <w:r>
        <w:rPr>
          <w:rFonts w:ascii="Book Antiqua" w:hAnsi="Book Antiqua" w:cs="Book Antiqua"/>
          <w:color w:val="000000"/>
          <w:lang w:eastAsia="zh-CN"/>
        </w:rPr>
        <w:t>-</w:t>
      </w:r>
      <w:r>
        <w:rPr>
          <w:rFonts w:ascii="Book Antiqua" w:hAnsi="Book Antiqua" w:eastAsia="Book Antiqua" w:cs="Book Antiqua"/>
          <w:color w:val="000000"/>
        </w:rPr>
        <w:t>treatment serum CEA, and only 37.5% had elevated serum CEA in those with no bone metastases</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lang w:eastAsia="zh-CN"/>
        </w:rPr>
      </w:pPr>
      <w:r>
        <w:rPr>
          <w:rFonts w:ascii="Book Antiqua" w:hAnsi="Book Antiqua" w:eastAsia="Book Antiqua" w:cs="Book Antiqua"/>
          <w:color w:val="000000"/>
        </w:rPr>
        <w:t>Elevated post-treatment serum CEA levels are associated with disease progression and poor response to therapy. Persistently elevated post</w:t>
      </w:r>
      <w:r>
        <w:rPr>
          <w:rFonts w:ascii="Book Antiqua" w:hAnsi="Book Antiqua" w:cs="Book Antiqua"/>
          <w:color w:val="000000"/>
          <w:lang w:eastAsia="zh-CN"/>
        </w:rPr>
        <w:t>-</w:t>
      </w:r>
      <w:r>
        <w:rPr>
          <w:rFonts w:ascii="Book Antiqua" w:hAnsi="Book Antiqua" w:eastAsia="Book Antiqua" w:cs="Book Antiqua"/>
          <w:color w:val="000000"/>
        </w:rPr>
        <w:t xml:space="preserve">treatment </w:t>
      </w:r>
      <w:r>
        <w:rPr>
          <w:rFonts w:ascii="Book Antiqua" w:hAnsi="Book Antiqua" w:cs="Book Antiqua"/>
          <w:color w:val="000000"/>
          <w:lang w:eastAsia="zh-CN"/>
        </w:rPr>
        <w:t>s</w:t>
      </w:r>
      <w:r>
        <w:rPr>
          <w:rFonts w:ascii="Book Antiqua" w:hAnsi="Book Antiqua" w:eastAsia="Book Antiqua" w:cs="Book Antiqua"/>
          <w:color w:val="000000"/>
        </w:rPr>
        <w:t>erum CEA levels are significantly associated with bone metastases. Elevated serum CEA and hormonal status are significant predictors of treatment response.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Carcinoembryonic antigen; Metastatic breast cancer; Serum tumour marker; Luminal and non-luminal metastatic breast cancer; Palliative chemotherapy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Anoop T</w:t>
      </w:r>
      <w:r>
        <w:rPr>
          <w:rFonts w:ascii="Book Antiqua" w:hAnsi="Book Antiqua" w:cs="Book Antiqua"/>
          <w:color w:val="000000"/>
          <w:lang w:eastAsia="zh-CN"/>
        </w:rPr>
        <w:t>M</w:t>
      </w:r>
      <w:r>
        <w:rPr>
          <w:rFonts w:ascii="Book Antiqua" w:hAnsi="Book Antiqua" w:eastAsia="Book Antiqua" w:cs="Book Antiqua"/>
          <w:color w:val="000000"/>
        </w:rPr>
        <w:t>, Joseph P</w:t>
      </w:r>
      <w:r>
        <w:rPr>
          <w:rFonts w:ascii="Book Antiqua" w:hAnsi="Book Antiqua" w:cs="Book Antiqua"/>
          <w:color w:val="000000"/>
          <w:lang w:eastAsia="zh-CN"/>
        </w:rPr>
        <w:t xml:space="preserve"> R</w:t>
      </w:r>
      <w:r>
        <w:rPr>
          <w:rFonts w:ascii="Book Antiqua" w:hAnsi="Book Antiqua" w:eastAsia="Book Antiqua" w:cs="Book Antiqua"/>
          <w:color w:val="000000"/>
        </w:rPr>
        <w:t xml:space="preserve">, Soman S, Chacko S, Mathew M. </w:t>
      </w:r>
      <w:r>
        <w:rPr>
          <w:rFonts w:ascii="Book Antiqua" w:hAnsi="Book Antiqua" w:eastAsia="Book Antiqua" w:cs="Book Antiqua"/>
          <w:bCs/>
          <w:color w:val="000000"/>
        </w:rPr>
        <w:t xml:space="preserve">Significance of </w:t>
      </w:r>
      <w:r>
        <w:rPr>
          <w:rFonts w:ascii="Book Antiqua" w:hAnsi="Book Antiqua" w:cs="Book Antiqua"/>
          <w:bCs/>
          <w:color w:val="000000"/>
          <w:lang w:eastAsia="zh-CN"/>
        </w:rPr>
        <w:t>s</w:t>
      </w:r>
      <w:r>
        <w:rPr>
          <w:rFonts w:ascii="Book Antiqua" w:hAnsi="Book Antiqua" w:eastAsia="Book Antiqua" w:cs="Book Antiqua"/>
          <w:bCs/>
          <w:color w:val="000000"/>
        </w:rPr>
        <w:t xml:space="preserve">erum </w:t>
      </w:r>
      <w:r>
        <w:rPr>
          <w:rFonts w:ascii="Book Antiqua" w:hAnsi="Book Antiqua" w:cs="Book Antiqua"/>
          <w:bCs/>
          <w:color w:val="000000"/>
          <w:lang w:eastAsia="zh-CN"/>
        </w:rPr>
        <w:t>c</w:t>
      </w:r>
      <w:r>
        <w:rPr>
          <w:rFonts w:ascii="Book Antiqua" w:hAnsi="Book Antiqua" w:eastAsia="Book Antiqua" w:cs="Book Antiqua"/>
          <w:bCs/>
          <w:color w:val="000000"/>
        </w:rPr>
        <w:t xml:space="preserve">arcinoembryonic antigen in metastatic breast cancer </w:t>
      </w:r>
      <w:r>
        <w:rPr>
          <w:rFonts w:ascii="Book Antiqua" w:hAnsi="Book Antiqua" w:cs="Book Antiqua"/>
          <w:bCs/>
          <w:color w:val="000000"/>
          <w:lang w:eastAsia="zh-CN"/>
        </w:rPr>
        <w:t>p</w:t>
      </w:r>
      <w:r>
        <w:rPr>
          <w:rFonts w:ascii="Book Antiqua" w:hAnsi="Book Antiqua" w:eastAsia="Book Antiqua" w:cs="Book Antiqua"/>
          <w:bCs/>
          <w:color w:val="000000"/>
        </w:rPr>
        <w:t>atients</w:t>
      </w:r>
      <w:r>
        <w:rPr>
          <w:rFonts w:ascii="Book Antiqua" w:hAnsi="Book Antiqua" w:cs="Book Antiqua"/>
          <w:bCs/>
          <w:color w:val="000000"/>
          <w:lang w:eastAsia="zh-CN"/>
        </w:rPr>
        <w:t xml:space="preserve">: </w:t>
      </w:r>
      <w:r>
        <w:rPr>
          <w:rFonts w:ascii="Book Antiqua" w:hAnsi="Book Antiqua" w:eastAsia="Book Antiqua" w:cs="Book Antiqua"/>
          <w:bCs/>
          <w:color w:val="000000"/>
        </w:rPr>
        <w:t>A prospective study</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529-539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529</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529</w:t>
      </w:r>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In breast cancer patients, elevated serum </w:t>
      </w:r>
      <w:r>
        <w:rPr>
          <w:rFonts w:ascii="Book Antiqua" w:hAnsi="Book Antiqua" w:cs="Book Antiqua"/>
          <w:color w:val="000000"/>
          <w:lang w:eastAsia="zh-CN"/>
        </w:rPr>
        <w:t>c</w:t>
      </w:r>
      <w:r>
        <w:rPr>
          <w:rFonts w:ascii="Book Antiqua" w:hAnsi="Book Antiqua" w:eastAsia="Book Antiqua" w:cs="Book Antiqua"/>
          <w:color w:val="000000"/>
        </w:rPr>
        <w:t>arcinoembryonic antigen (CEA) levels are particularly noted in advanced disease. Our study suggest</w:t>
      </w:r>
      <w:r>
        <w:rPr>
          <w:rFonts w:ascii="Book Antiqua" w:hAnsi="Book Antiqua" w:cs="Book Antiqua"/>
          <w:color w:val="000000"/>
          <w:lang w:eastAsia="zh-CN"/>
        </w:rPr>
        <w:t>ed</w:t>
      </w:r>
      <w:r>
        <w:rPr>
          <w:rFonts w:ascii="Book Antiqua" w:hAnsi="Book Antiqua" w:eastAsia="Book Antiqua" w:cs="Book Antiqua"/>
          <w:color w:val="000000"/>
        </w:rPr>
        <w:t xml:space="preserve"> that serum CEA has potential clinical value in monitoring the treatment response of metastatic breast cancer patients, especially in those with bone metastasis.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Breast cancer, one of the leading causes of malignancy related morbidity and mortality among women, comprises of a spectrum of clinically and histologically heterogeneous group of diseases with distinct molecular portraits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In spite of increasing awareness, advanced screening, and diagnostic methodologies, we still witness a significant proportion of patients who present with advanced stage disease. Deciding optimal treatment and monitoring strategies for patients with metastatic and recurrent disease remains a diagnostic challenge for physicians.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Carcinoembryonic antigen (CEA) is an important serum tumour marker with a substantial role in diagnosis and monitoring of colorectal cancer. Globally, </w:t>
      </w:r>
      <w:r>
        <w:rPr>
          <w:rFonts w:ascii="Book Antiqua" w:hAnsi="Book Antiqua" w:cs="Book Antiqua"/>
          <w:color w:val="000000"/>
          <w:lang w:eastAsia="zh-CN"/>
        </w:rPr>
        <w:t>c</w:t>
      </w:r>
      <w:r>
        <w:rPr>
          <w:rFonts w:ascii="Book Antiqua" w:hAnsi="Book Antiqua" w:eastAsia="Book Antiqua" w:cs="Book Antiqua"/>
          <w:color w:val="000000"/>
        </w:rPr>
        <w:t>ancer antigen 15-3 (CA15-3) and CEA are used</w:t>
      </w:r>
      <w:r>
        <w:rPr>
          <w:rFonts w:ascii="Book Antiqua" w:hAnsi="Book Antiqua" w:cs="Book Antiqua"/>
          <w:color w:val="000000"/>
          <w:lang w:eastAsia="zh-CN"/>
        </w:rPr>
        <w:t xml:space="preserve"> </w:t>
      </w:r>
      <w:r>
        <w:rPr>
          <w:rFonts w:ascii="Book Antiqua" w:hAnsi="Book Antiqua" w:eastAsia="Book Antiqua" w:cs="Book Antiqua"/>
          <w:color w:val="000000"/>
        </w:rPr>
        <w:t>serum tumor markers in breast cancer</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w:t>
      </w:r>
      <w:r>
        <w:rPr>
          <w:rFonts w:ascii="Book Antiqua" w:hAnsi="Book Antiqua" w:eastAsia="Book Antiqua" w:cs="Book Antiqua"/>
          <w:color w:val="000000"/>
        </w:rPr>
        <w:t>. In breast cancer patients, elevated serum CEA levels are particularly noted in metastatic and recurrent disease. Studies have reported a varying incidence of serum CEA positivity ranging from 36%-70%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w:t>
      </w:r>
      <w:r>
        <w:rPr>
          <w:rFonts w:ascii="Book Antiqua" w:hAnsi="Book Antiqua" w:eastAsia="Book Antiqua" w:cs="Book Antiqua"/>
          <w:color w:val="000000"/>
        </w:rPr>
        <w:t>. Elevated levels are known to positively correlate with tumour burden, grade of tumour, and site of metastasis, and they also translate into poor overall survival (OS) and progression-free survival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clinical utility of serial tumour marker measurements is not indicated in asymptomatic women for surveillance after treatment of breast cancer</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7</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9</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 The main applications are used in metastatic disease monitoring during treatment, especially CA15-3. Among serum tumour markers in breast cancer, CA15–3 and CEA have been the commonly used ones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10</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13</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Hence, serum CEA estimation can be proposed as an auxiliary tool for response assessment, monitoring, and gaining prognostic information. In </w:t>
      </w:r>
      <w:r>
        <w:rPr>
          <w:rFonts w:ascii="Book Antiqua" w:hAnsi="Book Antiqua" w:cs="Book Antiqua"/>
          <w:color w:val="000000"/>
          <w:lang w:eastAsia="zh-CN"/>
        </w:rPr>
        <w:t>s</w:t>
      </w:r>
      <w:r>
        <w:rPr>
          <w:rFonts w:ascii="Book Antiqua" w:hAnsi="Book Antiqua" w:eastAsia="Book Antiqua" w:cs="Book Antiqua"/>
          <w:color w:val="000000"/>
        </w:rPr>
        <w:t>pite of these, due to discordant results, their clinical utility remains unclear</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16</w:t>
      </w:r>
      <w:r>
        <w:rPr>
          <w:rFonts w:ascii="Book Antiqua" w:hAnsi="Book Antiqua" w:cs="Book Antiqua"/>
          <w:color w:val="000000"/>
          <w:vertAlign w:val="superscript"/>
          <w:lang w:eastAsia="zh-CN"/>
        </w:rPr>
        <w:t>]</w:t>
      </w:r>
      <w:r>
        <w:rPr>
          <w:rFonts w:ascii="Book Antiqua" w:hAnsi="Book Antiqua" w:eastAsia="Book Antiqua" w:cs="Book Antiqua"/>
          <w:color w:val="000000"/>
        </w:rPr>
        <w:t>. There are very few studies addressing the prognostic significance of CEA and the available studies show discrepancy. Hence, we conducted this study to estimate the serum CEA level in our metastatic breast cancer (MBC) patients and correlate it with response to treatment and clinical outcome.</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 xml:space="preserve">This was a prospective experimental study conducted on 50 MBC patients treated at Breast Clinic, Department of Medical Oncology during the period December 2019 to November 2020. Patients with newly diagnosed MBC planned for palliative chemotherapy, targeted therapy, and hormonal treatment were included. Routine protocol for MBC work-up included biopsy from breast lump or metastatic lesion, histopathology and immunohistochemistry for oestrogen, progesterone, and </w:t>
      </w:r>
      <w:r>
        <w:rPr>
          <w:rFonts w:ascii="Book Antiqua" w:hAnsi="Book Antiqua" w:cs="Book Antiqua"/>
          <w:color w:val="000000"/>
          <w:lang w:eastAsia="zh-CN"/>
        </w:rPr>
        <w:t>H</w:t>
      </w:r>
      <w:r>
        <w:rPr>
          <w:rFonts w:ascii="Book Antiqua" w:hAnsi="Book Antiqua" w:eastAsia="Book Antiqua" w:cs="Book Antiqua"/>
          <w:color w:val="000000"/>
        </w:rPr>
        <w:t>er2 receptors, compute</w:t>
      </w:r>
      <w:r>
        <w:rPr>
          <w:rFonts w:ascii="Book Antiqua" w:hAnsi="Book Antiqua" w:cs="Book Antiqua"/>
          <w:color w:val="000000"/>
          <w:lang w:eastAsia="zh-CN"/>
        </w:rPr>
        <w:t>d</w:t>
      </w:r>
      <w:r>
        <w:rPr>
          <w:rFonts w:ascii="Book Antiqua" w:hAnsi="Book Antiqua" w:eastAsia="Book Antiqua" w:cs="Book Antiqua"/>
          <w:color w:val="000000"/>
        </w:rPr>
        <w:t xml:space="preserve"> tomography of the chest, abdomen, and pelvis, bone scan, and serum biochemistry. Patients with inflammatory breast cancer and active inflammatory conditions were excluded in this study due to the fact that they could cause elevation of serum CEA levels. Five milliliters of venous blood was drawn from MBC patients who consented for study participation and serum was isolated after centrifugation at 3000 rpm for 10 min, transported into new disposable tubes, and stored at -20</w:t>
      </w:r>
      <w:r>
        <w:rPr>
          <w:rFonts w:ascii="Book Antiqua" w:hAnsi="Book Antiqua" w:cs="Book Antiqua"/>
          <w:color w:val="000000"/>
          <w:lang w:eastAsia="zh-CN"/>
        </w:rPr>
        <w:t xml:space="preserve"> </w:t>
      </w:r>
      <w:r>
        <w:rPr>
          <w:rFonts w:hint="eastAsia" w:ascii="宋体" w:hAnsi="宋体" w:eastAsia="宋体" w:cs="宋体"/>
          <w:color w:val="000000"/>
          <w:lang w:eastAsia="zh-CN"/>
        </w:rPr>
        <w:t>℃</w:t>
      </w:r>
      <w:r>
        <w:rPr>
          <w:rFonts w:ascii="Book Antiqua" w:hAnsi="Book Antiqua" w:eastAsia="Book Antiqua" w:cs="Book Antiqua"/>
          <w:color w:val="000000"/>
        </w:rPr>
        <w:t xml:space="preserve">. In patients with hormone positive MBC with visceral crisis and </w:t>
      </w:r>
      <w:r>
        <w:rPr>
          <w:rFonts w:ascii="Book Antiqua" w:hAnsi="Book Antiqua"/>
          <w:lang w:eastAsia="zh-CN"/>
        </w:rPr>
        <w:t>t</w:t>
      </w:r>
      <w:r>
        <w:rPr>
          <w:rFonts w:ascii="Book Antiqua" w:hAnsi="Book Antiqua"/>
        </w:rPr>
        <w:t>riple negative breast cancer</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TNBC</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patients, sample for serum CEA levels was collected before initiation of first cycle of palliative chemotherapy and after completion of six cycles of chemotherapy. In patients with hormone positive MBC without visceral crisis, serum CEA sample was collected before initiation of endocrine agents and at 6 mo after initiation. In patients with HER2 positive MBC, blood sample was collected before initiation of first cycle of palliative chemotherapy plus trastuzumab and after completion of six cycles of chemotherapy plus trastuzumab.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Concentrations of the serum tumour marker CEA were measured with an automated sandwich ELISA test system using the manufacturer’s recommended kits (ELISA 2010, Roche Company). CEA concentrations were recorded in nanogram </w:t>
      </w:r>
      <w:r>
        <w:rPr>
          <w:rFonts w:ascii="Book Antiqua" w:hAnsi="Book Antiqua" w:eastAsia="Book Antiqua" w:cs="Book Antiqua"/>
          <w:i/>
          <w:color w:val="000000"/>
        </w:rPr>
        <w:t>per</w:t>
      </w:r>
      <w:r>
        <w:rPr>
          <w:rFonts w:ascii="Book Antiqua" w:hAnsi="Book Antiqua" w:eastAsia="Book Antiqua" w:cs="Book Antiqua"/>
          <w:color w:val="000000"/>
        </w:rPr>
        <w:t xml:space="preserve"> millilitre. CEA value more than 3.8 ng/mL was considered positive. Patient treatment and response evaluation were as </w:t>
      </w:r>
      <w:r>
        <w:rPr>
          <w:rFonts w:ascii="Book Antiqua" w:hAnsi="Book Antiqua" w:eastAsia="Book Antiqua" w:cs="Book Antiqua"/>
          <w:i/>
          <w:color w:val="000000"/>
        </w:rPr>
        <w:t xml:space="preserve">per </w:t>
      </w:r>
      <w:r>
        <w:rPr>
          <w:rFonts w:ascii="Book Antiqua" w:hAnsi="Book Antiqua" w:eastAsia="Book Antiqua" w:cs="Book Antiqua"/>
          <w:color w:val="000000"/>
        </w:rPr>
        <w:t>the institutional protocol. Treatment and follow-up details of the patients were noted from the medical case records. We estimated the proportion of patients with elevated serum CEA level in MBC and also studied the association of serum CEA levels with known prognostic factors. The radiological response was assessed using Response Evaluation Criteria in Solid tumours (RECIST1.1). The response to treatment were correlated with the serum CEA levels in the context of responders and non-responders.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Statistical calculations were performed using the SPSS for Windows, version 15.0 (SPSS, Inc., Chicago, U</w:t>
      </w:r>
      <w:r>
        <w:rPr>
          <w:rFonts w:ascii="Book Antiqua" w:hAnsi="Book Antiqua" w:cs="Book Antiqua"/>
          <w:color w:val="000000"/>
          <w:lang w:eastAsia="zh-CN"/>
        </w:rPr>
        <w:t>nited States</w:t>
      </w:r>
      <w:r>
        <w:rPr>
          <w:rFonts w:ascii="Book Antiqua" w:hAnsi="Book Antiqua" w:eastAsia="Book Antiqua" w:cs="Book Antiqua"/>
          <w:color w:val="000000"/>
        </w:rPr>
        <w:t>). Categorical variables are expressed using frequencies and percentages. Continuous variables are presented in terms of the mean and standard deviation. Association between two categorical variables was analyzed using Chi square or fisher's exact test.</w:t>
      </w:r>
      <w:r>
        <w:rPr>
          <w:rFonts w:ascii="Book Antiqua" w:hAnsi="Book Antiqua" w:cs="Book Antiqua"/>
          <w:color w:val="000000"/>
          <w:lang w:eastAsia="zh-CN"/>
        </w:rPr>
        <w:t xml:space="preserve"> </w:t>
      </w:r>
      <w:r>
        <w:rPr>
          <w:rFonts w:ascii="Book Antiqua" w:hAnsi="Book Antiqua" w:eastAsia="Book Antiqua" w:cs="Book Antiqua"/>
          <w:color w:val="000000"/>
          <w:shd w:val="clear" w:color="auto" w:fill="FFFFFF"/>
        </w:rPr>
        <w:t>Non-parametric tests were used for finding the statistical significance. Wilcoxon signed rank test was used for comparing pre</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post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treatment serum CEA in different categories. Comparison of serum CEA in different clinical categories was carried out using Mann-Whitney test and Kruskal-Wallis test.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optimal cut-off values of the CEA were determined using receiver operator characteristic (ROC) curve. A </w:t>
      </w:r>
      <w:r>
        <w:rPr>
          <w:rFonts w:ascii="Book Antiqua" w:hAnsi="Book Antiqua" w:cs="Book Antiqua"/>
          <w:i/>
          <w:color w:val="000000"/>
          <w:lang w:eastAsia="zh-CN"/>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0.05 was considered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median age of diagnosis was 57.5</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(48.7-63.2) years. Median duration of symptoms was 4 (1.75-6.0) mo. About 24% (12/50) of the patients were premenopausal and 76% (38/50) were post-menopausal. The main comorbidities were </w:t>
      </w:r>
      <w:r>
        <w:rPr>
          <w:rFonts w:ascii="Book Antiqua" w:hAnsi="Book Antiqua" w:cs="Book Antiqua"/>
          <w:color w:val="000000"/>
          <w:lang w:eastAsia="zh-CN"/>
        </w:rPr>
        <w:t>d</w:t>
      </w:r>
      <w:r>
        <w:rPr>
          <w:rFonts w:ascii="Book Antiqua" w:hAnsi="Book Antiqua" w:eastAsia="Book Antiqua" w:cs="Book Antiqua"/>
          <w:color w:val="000000"/>
        </w:rPr>
        <w:t xml:space="preserve">iabetes </w:t>
      </w:r>
      <w:r>
        <w:rPr>
          <w:rFonts w:ascii="Book Antiqua" w:hAnsi="Book Antiqua" w:cs="Book Antiqua"/>
          <w:color w:val="000000"/>
          <w:lang w:eastAsia="zh-CN"/>
        </w:rPr>
        <w:t>m</w:t>
      </w:r>
      <w:r>
        <w:rPr>
          <w:rFonts w:ascii="Book Antiqua" w:hAnsi="Book Antiqua" w:eastAsia="Book Antiqua" w:cs="Book Antiqua"/>
          <w:color w:val="000000"/>
        </w:rPr>
        <w:t xml:space="preserve">ellitus (24%; 12/50), </w:t>
      </w:r>
      <w:r>
        <w:rPr>
          <w:rFonts w:ascii="Book Antiqua" w:hAnsi="Book Antiqua" w:cs="Book Antiqua"/>
          <w:color w:val="000000"/>
          <w:lang w:eastAsia="zh-CN"/>
        </w:rPr>
        <w:t>h</w:t>
      </w:r>
      <w:r>
        <w:rPr>
          <w:rFonts w:ascii="Book Antiqua" w:hAnsi="Book Antiqua" w:eastAsia="Book Antiqua" w:cs="Book Antiqua"/>
          <w:color w:val="000000"/>
        </w:rPr>
        <w:t>ypertension</w:t>
      </w:r>
      <w:r>
        <w:rPr>
          <w:rFonts w:ascii="Book Antiqua" w:hAnsi="Book Antiqua" w:cs="Book Antiqua"/>
          <w:color w:val="000000"/>
          <w:lang w:eastAsia="zh-CN"/>
        </w:rPr>
        <w:t xml:space="preserve"> (</w:t>
      </w:r>
      <w:r>
        <w:rPr>
          <w:rFonts w:ascii="Book Antiqua" w:hAnsi="Book Antiqua" w:eastAsia="Book Antiqua" w:cs="Book Antiqua"/>
          <w:color w:val="000000"/>
        </w:rPr>
        <w:t>28%; 14/50), and coronary heart disease (4%; 2/50). About 64% (32/50) of the patients had distant nodal metastases,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50% (25/50) had bone metastases, 72% (36/50) had lung metastases, 36% (18/50) had liver metastases, and 6% (3/50) had oligometastatic diseases. About 96% (48/50) had invasive ductal carcinoma (IDC) and 4% (2/50) had other histology. Approximately 72% (36/50) were hormone positive and 38% (19/50) were </w:t>
      </w:r>
      <w:r>
        <w:rPr>
          <w:rFonts w:ascii="Book Antiqua" w:hAnsi="Book Antiqua" w:cs="Book Antiqua"/>
          <w:color w:val="000000"/>
          <w:lang w:eastAsia="zh-CN"/>
        </w:rPr>
        <w:t>H</w:t>
      </w:r>
      <w:r>
        <w:rPr>
          <w:rFonts w:ascii="Book Antiqua" w:hAnsi="Book Antiqua" w:eastAsia="Book Antiqua" w:cs="Book Antiqua"/>
          <w:color w:val="000000"/>
        </w:rPr>
        <w:t xml:space="preserve">ER2 positive. Grade 2 IDC accounted for 24% (12/50) and grade 3 IDC accounted for 76% (38/50). Among the study population, luminal type was seen in 70% (35/50), HER2 positive type in 8% (4/50), and TNBC in 22% (11). The </w:t>
      </w:r>
      <w:r>
        <w:rPr>
          <w:rFonts w:ascii="Book Antiqua" w:hAnsi="Book Antiqua" w:cs="Book Antiqua"/>
          <w:color w:val="000000"/>
          <w:lang w:eastAsia="zh-CN"/>
        </w:rPr>
        <w:t>p</w:t>
      </w:r>
      <w:r>
        <w:rPr>
          <w:rFonts w:ascii="Book Antiqua" w:hAnsi="Book Antiqua" w:eastAsia="Book Antiqua" w:cs="Book Antiqua"/>
          <w:color w:val="000000"/>
        </w:rPr>
        <w:t>re-chemotherapy CEA levels were more than 3.8 in 72% (36/50) of the patients. About 82% (41/50) were treated with chemotherapy and 18% (9/50) treated with hormonal agents. Anti-</w:t>
      </w:r>
      <w:r>
        <w:rPr>
          <w:rFonts w:ascii="Book Antiqua" w:hAnsi="Book Antiqua" w:cs="Book Antiqua"/>
          <w:color w:val="000000"/>
          <w:lang w:eastAsia="zh-CN"/>
        </w:rPr>
        <w:t>H</w:t>
      </w:r>
      <w:r>
        <w:rPr>
          <w:rFonts w:ascii="Book Antiqua" w:hAnsi="Book Antiqua" w:eastAsia="Book Antiqua" w:cs="Book Antiqua"/>
          <w:color w:val="000000"/>
        </w:rPr>
        <w:t xml:space="preserve">er2 treatment was received by 16% (8/50) of the patients. The median number of cycles of chemotherapy was 6 (4-6). The main palliative chemotherapy agents were docetaxel (68%; 34/50), </w:t>
      </w:r>
      <w:r>
        <w:rPr>
          <w:rFonts w:ascii="Book Antiqua" w:hAnsi="Book Antiqua" w:cs="Book Antiqua"/>
          <w:color w:val="000000"/>
          <w:lang w:eastAsia="zh-CN"/>
        </w:rPr>
        <w:t>p</w:t>
      </w:r>
      <w:r>
        <w:rPr>
          <w:rFonts w:ascii="Book Antiqua" w:hAnsi="Book Antiqua" w:eastAsia="Book Antiqua" w:cs="Book Antiqua"/>
          <w:color w:val="000000"/>
        </w:rPr>
        <w:t>aclitaxel (4%; 2/50), capecitabine (2%; 1/50), doxorubicin plus cyclophosphamide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 1/50), carboplatin (2%; 1/50), and </w:t>
      </w:r>
      <w:r>
        <w:rPr>
          <w:rFonts w:ascii="Book Antiqua" w:hAnsi="Book Antiqua" w:cs="Book Antiqua"/>
          <w:color w:val="000000"/>
          <w:lang w:eastAsia="zh-CN"/>
        </w:rPr>
        <w:t>p</w:t>
      </w:r>
      <w:r>
        <w:rPr>
          <w:rFonts w:ascii="Book Antiqua" w:hAnsi="Book Antiqua" w:eastAsia="Book Antiqua" w:cs="Book Antiqua"/>
          <w:color w:val="000000"/>
        </w:rPr>
        <w:t>aclitaxel plus carboplatin (4%; 2/50). About 6% (3/50) of the patients received palliative radiation to their painful bone metastases.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About 36% (18/50) of the patients progressed on treatment while 64% (32/50) had responded to palliative systemic treatment. Among responders (64%), 2% (1/50) had complete remission,</w:t>
      </w:r>
      <w:r>
        <w:rPr>
          <w:rFonts w:ascii="Book Antiqua" w:hAnsi="Book Antiqua" w:cs="Book Antiqua"/>
          <w:color w:val="000000"/>
          <w:lang w:eastAsia="zh-CN"/>
        </w:rPr>
        <w:t xml:space="preserve"> </w:t>
      </w:r>
      <w:r>
        <w:rPr>
          <w:rFonts w:ascii="Book Antiqua" w:hAnsi="Book Antiqua" w:eastAsia="Book Antiqua" w:cs="Book Antiqua"/>
          <w:color w:val="000000"/>
        </w:rPr>
        <w:t>32% (16/50) had partial response,</w:t>
      </w:r>
      <w:r>
        <w:rPr>
          <w:rFonts w:ascii="Book Antiqua" w:hAnsi="Book Antiqua" w:cs="Book Antiqua"/>
          <w:color w:val="000000"/>
          <w:lang w:eastAsia="zh-CN"/>
        </w:rPr>
        <w:t xml:space="preserve"> and </w:t>
      </w:r>
      <w:r>
        <w:rPr>
          <w:rFonts w:ascii="Book Antiqua" w:hAnsi="Book Antiqua" w:eastAsia="Book Antiqua" w:cs="Book Antiqua"/>
          <w:color w:val="000000"/>
        </w:rPr>
        <w:t>30% (15/50) had stable disease. About 36% (18/50) had progressive disease.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Serum CEA and its correlation with other variables</w:t>
      </w:r>
    </w:p>
    <w:p>
      <w:pPr>
        <w:spacing w:line="360" w:lineRule="auto"/>
        <w:jc w:val="both"/>
        <w:rPr>
          <w:rFonts w:ascii="Book Antiqua" w:hAnsi="Book Antiqua"/>
        </w:rPr>
      </w:pPr>
      <w:r>
        <w:rPr>
          <w:rFonts w:ascii="Book Antiqua" w:hAnsi="Book Antiqua" w:eastAsia="Book Antiqua" w:cs="Book Antiqua"/>
          <w:color w:val="000000"/>
        </w:rPr>
        <w:t>Serum CEA value more than 3.8 ng/mL was considered positive. Baseline serum CEA and its correlation with other variables in MBC are given in Table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 None of the factors like menstrual status, grade of the tumour, number and sites of metastases, presence or absence of metastases, </w:t>
      </w:r>
      <w:r>
        <w:rPr>
          <w:rFonts w:ascii="Book Antiqua" w:hAnsi="Book Antiqua" w:cs="Book Antiqua"/>
          <w:color w:val="000000"/>
          <w:lang w:eastAsia="zh-CN"/>
        </w:rPr>
        <w:t>H</w:t>
      </w:r>
      <w:r>
        <w:rPr>
          <w:rFonts w:ascii="Book Antiqua" w:hAnsi="Book Antiqua" w:eastAsia="Book Antiqua" w:cs="Book Antiqua"/>
          <w:color w:val="000000"/>
        </w:rPr>
        <w:t>ER2 status, and TNBC status showed any statistical significance except luminal type (</w:t>
      </w:r>
      <w:r>
        <w:rPr>
          <w:rFonts w:ascii="Book Antiqua" w:hAnsi="Book Antiqua" w:cs="Book Antiqua"/>
          <w:i/>
          <w:color w:val="000000"/>
          <w:lang w:eastAsia="zh-CN"/>
        </w:rPr>
        <w:t>P</w:t>
      </w:r>
      <w:r>
        <w:rPr>
          <w:rFonts w:ascii="Book Antiqua" w:hAnsi="Book Antiqua" w:eastAsia="Book Antiqua" w:cs="Book Antiqua"/>
          <w:color w:val="000000"/>
        </w:rPr>
        <w:t xml:space="preserve"> = 0.016).</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Serum CEA as a predictor of response to treatment</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ascii="Book Antiqua" w:hAnsi="Book Antiqua" w:cs="Book Antiqua"/>
          <w:color w:val="000000"/>
          <w:lang w:eastAsia="zh-CN"/>
        </w:rPr>
        <w:t>m</w:t>
      </w:r>
      <w:r>
        <w:rPr>
          <w:rFonts w:ascii="Book Antiqua" w:hAnsi="Book Antiqua" w:eastAsia="Book Antiqua" w:cs="Book Antiqua"/>
          <w:color w:val="000000"/>
        </w:rPr>
        <w:t xml:space="preserve">edian pre-treatment and </w:t>
      </w:r>
      <w:r>
        <w:rPr>
          <w:rFonts w:ascii="Book Antiqua" w:hAnsi="Book Antiqua" w:cs="Book Antiqua"/>
          <w:color w:val="000000"/>
          <w:lang w:eastAsia="zh-CN"/>
        </w:rPr>
        <w:t>p</w:t>
      </w:r>
      <w:r>
        <w:rPr>
          <w:rFonts w:ascii="Book Antiqua" w:hAnsi="Book Antiqua" w:eastAsia="Book Antiqua" w:cs="Book Antiqua"/>
          <w:color w:val="000000"/>
        </w:rPr>
        <w:t>ost-treatment CEA levels were 7.9</w:t>
      </w:r>
      <w:r>
        <w:rPr>
          <w:rFonts w:ascii="Book Antiqua" w:hAnsi="Book Antiqua" w:cs="Book Antiqua"/>
          <w:color w:val="000000"/>
          <w:lang w:eastAsia="zh-CN"/>
        </w:rPr>
        <w:t xml:space="preserve"> </w:t>
      </w:r>
      <w:r>
        <w:rPr>
          <w:rFonts w:ascii="Book Antiqua" w:hAnsi="Book Antiqua" w:eastAsia="Book Antiqua" w:cs="Book Antiqua"/>
          <w:color w:val="000000"/>
        </w:rPr>
        <w:t>(1.8-40.7) ng/mL and 4.39</w:t>
      </w:r>
      <w:r>
        <w:rPr>
          <w:rFonts w:ascii="Book Antiqua" w:hAnsi="Book Antiqua" w:cs="Book Antiqua"/>
          <w:color w:val="000000"/>
          <w:lang w:eastAsia="zh-CN"/>
        </w:rPr>
        <w:t xml:space="preserve"> </w:t>
      </w:r>
      <w:r>
        <w:rPr>
          <w:rFonts w:ascii="Book Antiqua" w:hAnsi="Book Antiqua" w:eastAsia="Book Antiqua" w:cs="Book Antiqua"/>
          <w:color w:val="000000"/>
        </w:rPr>
        <w:t>(1.4-12.15) ng/mL, respectively, in the whole study population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 0.032). Serum CEA and response to treatment in </w:t>
      </w:r>
      <w:r>
        <w:rPr>
          <w:rFonts w:ascii="Book Antiqua" w:hAnsi="Book Antiqua" w:cs="Book Antiqua"/>
          <w:color w:val="000000"/>
          <w:lang w:eastAsia="zh-CN"/>
        </w:rPr>
        <w:t>r</w:t>
      </w:r>
      <w:r>
        <w:rPr>
          <w:rFonts w:ascii="Book Antiqua" w:hAnsi="Book Antiqua" w:eastAsia="Book Antiqua" w:cs="Book Antiqua"/>
          <w:color w:val="000000"/>
        </w:rPr>
        <w:t xml:space="preserve">esponders and </w:t>
      </w:r>
      <w:r>
        <w:rPr>
          <w:rFonts w:ascii="Book Antiqua" w:hAnsi="Book Antiqua" w:cs="Book Antiqua"/>
          <w:color w:val="000000"/>
          <w:lang w:eastAsia="zh-CN"/>
        </w:rPr>
        <w:t>n</w:t>
      </w:r>
      <w:r>
        <w:rPr>
          <w:rFonts w:ascii="Book Antiqua" w:hAnsi="Book Antiqua" w:eastAsia="Book Antiqua" w:cs="Book Antiqua"/>
          <w:color w:val="000000"/>
        </w:rPr>
        <w:t>on-</w:t>
      </w:r>
      <w:r>
        <w:rPr>
          <w:rFonts w:ascii="Book Antiqua" w:hAnsi="Book Antiqua" w:cs="Book Antiqua"/>
          <w:color w:val="000000"/>
          <w:lang w:eastAsia="zh-CN"/>
        </w:rPr>
        <w:t>r</w:t>
      </w:r>
      <w:r>
        <w:rPr>
          <w:rFonts w:ascii="Book Antiqua" w:hAnsi="Book Antiqua" w:eastAsia="Book Antiqua" w:cs="Book Antiqua"/>
          <w:color w:val="000000"/>
        </w:rPr>
        <w:t>esponders are given in Table 2. Among responders, median pre-treatment CEA was 8.87</w:t>
      </w:r>
      <w:r>
        <w:rPr>
          <w:rFonts w:ascii="Book Antiqua" w:hAnsi="Book Antiqua" w:cs="Book Antiqua"/>
          <w:color w:val="000000"/>
          <w:lang w:eastAsia="zh-CN"/>
        </w:rPr>
        <w:t xml:space="preserve"> </w:t>
      </w:r>
      <w:r>
        <w:rPr>
          <w:rFonts w:ascii="Book Antiqua" w:hAnsi="Book Antiqua" w:eastAsia="Book Antiqua" w:cs="Book Antiqua"/>
          <w:color w:val="000000"/>
        </w:rPr>
        <w:t>(2-49.6) ng/mL and post</w:t>
      </w:r>
      <w:r>
        <w:rPr>
          <w:rFonts w:ascii="Book Antiqua" w:hAnsi="Book Antiqua" w:cs="Book Antiqua"/>
          <w:color w:val="000000"/>
          <w:lang w:eastAsia="zh-CN"/>
        </w:rPr>
        <w:t>-</w:t>
      </w:r>
      <w:r>
        <w:rPr>
          <w:rFonts w:ascii="Book Antiqua" w:hAnsi="Book Antiqua" w:eastAsia="Book Antiqua" w:cs="Book Antiqua"/>
          <w:color w:val="000000"/>
        </w:rPr>
        <w:t>treatment CEA was 2.07</w:t>
      </w:r>
      <w:r>
        <w:rPr>
          <w:rFonts w:ascii="Book Antiqua" w:hAnsi="Book Antiqua" w:cs="Book Antiqua"/>
          <w:color w:val="000000"/>
          <w:lang w:eastAsia="zh-CN"/>
        </w:rPr>
        <w:t xml:space="preserve"> </w:t>
      </w:r>
      <w:r>
        <w:rPr>
          <w:rFonts w:ascii="Book Antiqua" w:hAnsi="Book Antiqua" w:eastAsia="Book Antiqua" w:cs="Book Antiqua"/>
          <w:color w:val="000000"/>
        </w:rPr>
        <w:t>(1-8.7) ng/mL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0.001). Among non-responders, median pre-treatment CEA was 5.4</w:t>
      </w:r>
      <w:r>
        <w:rPr>
          <w:rFonts w:ascii="Book Antiqua" w:hAnsi="Book Antiqua" w:cs="Book Antiqua"/>
          <w:color w:val="000000"/>
          <w:lang w:eastAsia="zh-CN"/>
        </w:rPr>
        <w:t xml:space="preserve"> </w:t>
      </w:r>
      <w:r>
        <w:rPr>
          <w:rFonts w:ascii="Book Antiqua" w:hAnsi="Book Antiqua" w:eastAsia="Book Antiqua" w:cs="Book Antiqua"/>
          <w:color w:val="000000"/>
        </w:rPr>
        <w:t>(1.7-36.01) ng/mL and post</w:t>
      </w:r>
      <w:r>
        <w:rPr>
          <w:rFonts w:ascii="Book Antiqua" w:hAnsi="Book Antiqua" w:cs="Book Antiqua"/>
          <w:color w:val="000000"/>
          <w:lang w:eastAsia="zh-CN"/>
        </w:rPr>
        <w:t>-</w:t>
      </w:r>
      <w:r>
        <w:rPr>
          <w:rFonts w:ascii="Book Antiqua" w:hAnsi="Book Antiqua" w:eastAsia="Book Antiqua" w:cs="Book Antiqua"/>
          <w:color w:val="000000"/>
        </w:rPr>
        <w:t>treatment CEA was 11</w:t>
      </w:r>
      <w:r>
        <w:rPr>
          <w:rFonts w:ascii="Book Antiqua" w:hAnsi="Book Antiqua" w:cs="Book Antiqua"/>
          <w:color w:val="000000"/>
          <w:lang w:eastAsia="zh-CN"/>
        </w:rPr>
        <w:t xml:space="preserve"> </w:t>
      </w:r>
      <w:r>
        <w:rPr>
          <w:rFonts w:ascii="Book Antiqua" w:hAnsi="Book Antiqua" w:eastAsia="Book Antiqua" w:cs="Book Antiqua"/>
          <w:color w:val="000000"/>
        </w:rPr>
        <w:t>(4.65-22.5) ng/mL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 0.06). Since there was no statistically significant difference between responders and non-responders in baseline </w:t>
      </w:r>
      <w:r>
        <w:rPr>
          <w:rFonts w:ascii="Book Antiqua" w:hAnsi="Book Antiqua" w:cs="Book Antiqua"/>
          <w:color w:val="000000"/>
          <w:lang w:eastAsia="zh-CN"/>
        </w:rPr>
        <w:t>s</w:t>
      </w:r>
      <w:r>
        <w:rPr>
          <w:rFonts w:ascii="Book Antiqua" w:hAnsi="Book Antiqua" w:eastAsia="Book Antiqua" w:cs="Book Antiqua"/>
          <w:color w:val="000000"/>
        </w:rPr>
        <w:t>erum CEA, it cannot be taken as a predictor of response but post</w:t>
      </w:r>
      <w:r>
        <w:rPr>
          <w:rFonts w:ascii="Book Antiqua" w:hAnsi="Book Antiqua" w:cs="Book Antiqua"/>
          <w:color w:val="000000"/>
          <w:lang w:eastAsia="zh-CN"/>
        </w:rPr>
        <w:t>-</w:t>
      </w:r>
      <w:r>
        <w:rPr>
          <w:rFonts w:ascii="Book Antiqua" w:hAnsi="Book Antiqua" w:eastAsia="Book Antiqua" w:cs="Book Antiqua"/>
          <w:color w:val="000000"/>
        </w:rPr>
        <w:t>treatment increase in CEA was associated with non-response or progression.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Pre-treatment and post</w:t>
      </w:r>
      <w:r>
        <w:rPr>
          <w:rFonts w:ascii="Book Antiqua" w:hAnsi="Book Antiqua" w:cs="Book Antiqua"/>
          <w:color w:val="000000"/>
          <w:lang w:eastAsia="zh-CN"/>
        </w:rPr>
        <w:t>-</w:t>
      </w:r>
      <w:r>
        <w:rPr>
          <w:rFonts w:ascii="Book Antiqua" w:hAnsi="Book Antiqua" w:eastAsia="Book Antiqua" w:cs="Book Antiqua"/>
          <w:color w:val="000000"/>
        </w:rPr>
        <w:t xml:space="preserve">treatment ROC curves for the whole study population and </w:t>
      </w:r>
      <w:r>
        <w:rPr>
          <w:rFonts w:ascii="Book Antiqua" w:hAnsi="Book Antiqua" w:cs="Book Antiqua"/>
          <w:color w:val="000000"/>
          <w:lang w:eastAsia="zh-CN"/>
        </w:rPr>
        <w:t>l</w:t>
      </w:r>
      <w:r>
        <w:rPr>
          <w:rFonts w:ascii="Book Antiqua" w:hAnsi="Book Antiqua" w:eastAsia="Book Antiqua" w:cs="Book Antiqua"/>
          <w:color w:val="000000"/>
        </w:rPr>
        <w:t xml:space="preserve">uminal type breast cancer are given in Figure 1. We tried to find optimal pre-treatment cut-off for </w:t>
      </w:r>
      <w:r>
        <w:rPr>
          <w:rFonts w:ascii="Book Antiqua" w:hAnsi="Book Antiqua" w:cs="Book Antiqua"/>
          <w:color w:val="000000"/>
          <w:lang w:eastAsia="zh-CN"/>
        </w:rPr>
        <w:t>s</w:t>
      </w:r>
      <w:r>
        <w:rPr>
          <w:rFonts w:ascii="Book Antiqua" w:hAnsi="Book Antiqua" w:eastAsia="Book Antiqua" w:cs="Book Antiqua"/>
          <w:color w:val="000000"/>
        </w:rPr>
        <w:t xml:space="preserve">erum CEA in luminal breast cancer using ROC </w:t>
      </w:r>
      <w:r>
        <w:rPr>
          <w:rFonts w:ascii="Book Antiqua" w:hAnsi="Book Antiqua" w:cs="Book Antiqua"/>
          <w:color w:val="000000"/>
          <w:lang w:eastAsia="zh-CN"/>
        </w:rPr>
        <w:t>c</w:t>
      </w:r>
      <w:r>
        <w:rPr>
          <w:rFonts w:ascii="Book Antiqua" w:hAnsi="Book Antiqua" w:eastAsia="Book Antiqua" w:cs="Book Antiqua"/>
          <w:color w:val="000000"/>
        </w:rPr>
        <w:t>urve. The cut-off can be taken as 29.7 ng/mL as a predictor of tumour progression, with a sensitivity of 50% and specificity of 64%, but that cut-off was not statistically significant. ROC curve analysis for finding the cut-off for post</w:t>
      </w:r>
      <w:r>
        <w:rPr>
          <w:rFonts w:ascii="Book Antiqua" w:hAnsi="Book Antiqua" w:cs="Book Antiqua"/>
          <w:color w:val="000000"/>
          <w:lang w:eastAsia="zh-CN"/>
        </w:rPr>
        <w:t>-</w:t>
      </w:r>
      <w:r>
        <w:rPr>
          <w:rFonts w:ascii="Book Antiqua" w:hAnsi="Book Antiqua" w:eastAsia="Book Antiqua" w:cs="Book Antiqua"/>
          <w:color w:val="000000"/>
        </w:rPr>
        <w:t>treatment CEA was also done. Post</w:t>
      </w:r>
      <w:r>
        <w:rPr>
          <w:rFonts w:ascii="Book Antiqua" w:hAnsi="Book Antiqua" w:cs="Book Antiqua"/>
          <w:color w:val="000000"/>
          <w:lang w:eastAsia="zh-CN"/>
        </w:rPr>
        <w:t>-</w:t>
      </w:r>
      <w:r>
        <w:rPr>
          <w:rFonts w:ascii="Book Antiqua" w:hAnsi="Book Antiqua" w:eastAsia="Book Antiqua" w:cs="Book Antiqua"/>
          <w:color w:val="000000"/>
        </w:rPr>
        <w:t>treatment CEA for predicting the progression was taken as 2.16 ng/mL, with a sensitivity of 94.1% and specificity of 54.8%. For hormone positive tumours, post</w:t>
      </w:r>
      <w:r>
        <w:rPr>
          <w:rFonts w:ascii="Book Antiqua" w:hAnsi="Book Antiqua" w:cs="Book Antiqua"/>
          <w:color w:val="000000"/>
          <w:lang w:eastAsia="zh-CN"/>
        </w:rPr>
        <w:t>-</w:t>
      </w:r>
      <w:r>
        <w:rPr>
          <w:rFonts w:ascii="Book Antiqua" w:hAnsi="Book Antiqua" w:eastAsia="Book Antiqua" w:cs="Book Antiqua"/>
          <w:color w:val="000000"/>
        </w:rPr>
        <w:t>treatment cut-off can be taken as 9.46 ng/mL with a sensitivity of 88.9% and specificity of 75.9%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0.02). With a cut-off of 9.41, we found statistical significance in the whole group of patients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 0.006).</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Serum CEA and luminal and non-luminal MBC</w:t>
      </w:r>
    </w:p>
    <w:p>
      <w:pPr>
        <w:spacing w:line="360" w:lineRule="auto"/>
        <w:jc w:val="both"/>
        <w:rPr>
          <w:rFonts w:ascii="Book Antiqua" w:hAnsi="Book Antiqua"/>
        </w:rPr>
      </w:pPr>
      <w:r>
        <w:rPr>
          <w:rFonts w:ascii="Book Antiqua" w:hAnsi="Book Antiqua" w:eastAsia="Book Antiqua" w:cs="Book Antiqua"/>
          <w:color w:val="000000"/>
        </w:rPr>
        <w:t xml:space="preserve">Table 3 shows </w:t>
      </w:r>
      <w:r>
        <w:rPr>
          <w:rFonts w:ascii="Book Antiqua" w:hAnsi="Book Antiqua" w:cs="Book Antiqua"/>
          <w:color w:val="000000"/>
          <w:lang w:eastAsia="zh-CN"/>
        </w:rPr>
        <w:t>s</w:t>
      </w:r>
      <w:r>
        <w:rPr>
          <w:rFonts w:ascii="Book Antiqua" w:hAnsi="Book Antiqua" w:eastAsia="Book Antiqua" w:cs="Book Antiqua"/>
          <w:color w:val="000000"/>
        </w:rPr>
        <w:t xml:space="preserve">erum CEA and response to treatment in </w:t>
      </w:r>
      <w:r>
        <w:rPr>
          <w:rFonts w:ascii="Book Antiqua" w:hAnsi="Book Antiqua" w:cs="Book Antiqua"/>
          <w:color w:val="000000"/>
          <w:lang w:eastAsia="zh-CN"/>
        </w:rPr>
        <w:t>r</w:t>
      </w:r>
      <w:r>
        <w:rPr>
          <w:rFonts w:ascii="Book Antiqua" w:hAnsi="Book Antiqua" w:eastAsia="Book Antiqua" w:cs="Book Antiqua"/>
          <w:color w:val="000000"/>
        </w:rPr>
        <w:t xml:space="preserve">esponders and </w:t>
      </w:r>
      <w:r>
        <w:rPr>
          <w:rFonts w:ascii="Book Antiqua" w:hAnsi="Book Antiqua" w:cs="Book Antiqua"/>
          <w:color w:val="000000"/>
          <w:lang w:eastAsia="zh-CN"/>
        </w:rPr>
        <w:t>n</w:t>
      </w:r>
      <w:r>
        <w:rPr>
          <w:rFonts w:ascii="Book Antiqua" w:hAnsi="Book Antiqua" w:eastAsia="Book Antiqua" w:cs="Book Antiqua"/>
          <w:color w:val="000000"/>
        </w:rPr>
        <w:t>on-</w:t>
      </w:r>
      <w:r>
        <w:rPr>
          <w:rFonts w:ascii="Book Antiqua" w:hAnsi="Book Antiqua" w:cs="Book Antiqua"/>
          <w:color w:val="000000"/>
          <w:lang w:eastAsia="zh-CN"/>
        </w:rPr>
        <w:t>r</w:t>
      </w:r>
      <w:r>
        <w:rPr>
          <w:rFonts w:ascii="Book Antiqua" w:hAnsi="Book Antiqua" w:eastAsia="Book Antiqua" w:cs="Book Antiqua"/>
          <w:color w:val="000000"/>
        </w:rPr>
        <w:t>esponders according to breast cancer type. Among responders, median pre-treatment CEA for luminal type was 14.7</w:t>
      </w:r>
      <w:r>
        <w:rPr>
          <w:rFonts w:ascii="Book Antiqua" w:hAnsi="Book Antiqua" w:cs="Book Antiqua"/>
          <w:color w:val="000000"/>
          <w:lang w:eastAsia="zh-CN"/>
        </w:rPr>
        <w:t xml:space="preserve"> </w:t>
      </w:r>
      <w:r>
        <w:rPr>
          <w:rFonts w:ascii="Book Antiqua" w:hAnsi="Book Antiqua" w:eastAsia="Book Antiqua" w:cs="Book Antiqua"/>
          <w:color w:val="000000"/>
        </w:rPr>
        <w:t>(5.4-50.6) ng/mL and post</w:t>
      </w:r>
      <w:r>
        <w:rPr>
          <w:rFonts w:ascii="Book Antiqua" w:hAnsi="Book Antiqua" w:cs="Book Antiqua"/>
          <w:color w:val="000000"/>
          <w:lang w:eastAsia="zh-CN"/>
        </w:rPr>
        <w:t>-</w:t>
      </w:r>
      <w:r>
        <w:rPr>
          <w:rFonts w:ascii="Book Antiqua" w:hAnsi="Book Antiqua" w:eastAsia="Book Antiqua" w:cs="Book Antiqua"/>
          <w:color w:val="000000"/>
        </w:rPr>
        <w:t>treatment CEA was 3.0</w:t>
      </w:r>
      <w:r>
        <w:rPr>
          <w:rFonts w:ascii="Book Antiqua" w:hAnsi="Book Antiqua" w:cs="Book Antiqua"/>
          <w:color w:val="000000"/>
          <w:lang w:eastAsia="zh-CN"/>
        </w:rPr>
        <w:t xml:space="preserve"> </w:t>
      </w:r>
      <w:r>
        <w:rPr>
          <w:rFonts w:ascii="Book Antiqua" w:hAnsi="Book Antiqua" w:eastAsia="Book Antiqua" w:cs="Book Antiqua"/>
          <w:color w:val="000000"/>
        </w:rPr>
        <w:t>(1-10) ng/mL (</w:t>
      </w:r>
      <w:r>
        <w:rPr>
          <w:rFonts w:ascii="Book Antiqua" w:hAnsi="Book Antiqua" w:eastAsia="Book Antiqua" w:cs="Book Antiqua"/>
          <w:i/>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0. 001).</w:t>
      </w:r>
      <w:r>
        <w:rPr>
          <w:rFonts w:ascii="Book Antiqua" w:hAnsi="Book Antiqua" w:cs="Book Antiqua"/>
          <w:color w:val="000000"/>
          <w:lang w:eastAsia="zh-CN"/>
        </w:rPr>
        <w:t xml:space="preserve"> </w:t>
      </w:r>
      <w:r>
        <w:rPr>
          <w:rFonts w:ascii="Book Antiqua" w:hAnsi="Book Antiqua" w:eastAsia="Book Antiqua" w:cs="Book Antiqua"/>
          <w:color w:val="000000"/>
        </w:rPr>
        <w:t xml:space="preserve">Even in the luminal group, pre-treatment </w:t>
      </w:r>
      <w:r>
        <w:rPr>
          <w:rFonts w:ascii="Book Antiqua" w:hAnsi="Book Antiqua" w:cs="Book Antiqua"/>
          <w:color w:val="000000"/>
          <w:lang w:eastAsia="zh-CN"/>
        </w:rPr>
        <w:t>s</w:t>
      </w:r>
      <w:r>
        <w:rPr>
          <w:rFonts w:ascii="Book Antiqua" w:hAnsi="Book Antiqua" w:eastAsia="Book Antiqua" w:cs="Book Antiqua"/>
          <w:color w:val="000000"/>
        </w:rPr>
        <w:t>erum CEA was not a predictor of response, but post</w:t>
      </w:r>
      <w:r>
        <w:rPr>
          <w:rFonts w:ascii="Book Antiqua" w:hAnsi="Book Antiqua" w:cs="Book Antiqua"/>
          <w:color w:val="000000"/>
          <w:lang w:eastAsia="zh-CN"/>
        </w:rPr>
        <w:t>-</w:t>
      </w:r>
      <w:r>
        <w:rPr>
          <w:rFonts w:ascii="Book Antiqua" w:hAnsi="Book Antiqua" w:eastAsia="Book Antiqua" w:cs="Book Antiqua"/>
          <w:color w:val="000000"/>
        </w:rPr>
        <w:t>treatment CEA was a significant predictor of tumour progression (Figure</w:t>
      </w:r>
      <w:r>
        <w:rPr>
          <w:rFonts w:ascii="Book Antiqua" w:hAnsi="Book Antiqua" w:cs="Book Antiqua"/>
          <w:color w:val="000000"/>
          <w:lang w:eastAsia="zh-CN"/>
        </w:rPr>
        <w:t xml:space="preserve"> </w:t>
      </w:r>
      <w:r>
        <w:rPr>
          <w:rFonts w:ascii="Book Antiqua" w:hAnsi="Book Antiqua" w:eastAsia="Book Antiqua" w:cs="Book Antiqua"/>
          <w:color w:val="000000"/>
        </w:rPr>
        <w:t>2</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Association of</w:t>
      </w:r>
      <w:r>
        <w:rPr>
          <w:rFonts w:ascii="Book Antiqua" w:hAnsi="Book Antiqua" w:cs="Book Antiqua"/>
          <w:b/>
          <w:bCs/>
          <w:i/>
          <w:color w:val="000000"/>
          <w:lang w:eastAsia="zh-CN"/>
        </w:rPr>
        <w:t xml:space="preserve"> s</w:t>
      </w:r>
      <w:r>
        <w:rPr>
          <w:rFonts w:ascii="Book Antiqua" w:hAnsi="Book Antiqua" w:eastAsia="Book Antiqua" w:cs="Book Antiqua"/>
          <w:b/>
          <w:bCs/>
          <w:i/>
          <w:color w:val="000000"/>
        </w:rPr>
        <w:t>erum CEA with various sites of MBC</w:t>
      </w:r>
    </w:p>
    <w:p>
      <w:pPr>
        <w:spacing w:line="360" w:lineRule="auto"/>
        <w:jc w:val="both"/>
        <w:rPr>
          <w:rFonts w:ascii="Book Antiqua" w:hAnsi="Book Antiqua"/>
        </w:rPr>
      </w:pPr>
      <w:r>
        <w:rPr>
          <w:rFonts w:ascii="Book Antiqua" w:hAnsi="Book Antiqua" w:eastAsia="Book Antiqua" w:cs="Book Antiqua"/>
          <w:color w:val="000000"/>
        </w:rPr>
        <w:t xml:space="preserve">Figure 3 shows </w:t>
      </w:r>
      <w:r>
        <w:rPr>
          <w:rFonts w:ascii="Book Antiqua" w:hAnsi="Book Antiqua" w:cs="Book Antiqua"/>
          <w:color w:val="000000"/>
          <w:lang w:eastAsia="zh-CN"/>
        </w:rPr>
        <w:t>m</w:t>
      </w:r>
      <w:r>
        <w:rPr>
          <w:rFonts w:ascii="Book Antiqua" w:hAnsi="Book Antiqua" w:eastAsia="Book Antiqua" w:cs="Book Antiqua"/>
          <w:color w:val="000000"/>
        </w:rPr>
        <w:t>edian pre-treatment and post</w:t>
      </w:r>
      <w:r>
        <w:rPr>
          <w:rFonts w:ascii="Book Antiqua" w:hAnsi="Book Antiqua" w:cs="Book Antiqua"/>
          <w:color w:val="000000"/>
          <w:lang w:eastAsia="zh-CN"/>
        </w:rPr>
        <w:t>-</w:t>
      </w:r>
      <w:r>
        <w:rPr>
          <w:rFonts w:ascii="Book Antiqua" w:hAnsi="Book Antiqua" w:eastAsia="Book Antiqua" w:cs="Book Antiqua"/>
          <w:color w:val="000000"/>
        </w:rPr>
        <w:t>treatment serum CEA levels in responders and non-responders according to site of metastasis. Among responders, median pre-treatment serum CEA levels of patients with bone metastases, lung metastases, and liver metastases were 27.2</w:t>
      </w:r>
      <w:r>
        <w:rPr>
          <w:rFonts w:ascii="Book Antiqua" w:hAnsi="Book Antiqua" w:cs="Book Antiqua"/>
          <w:color w:val="000000"/>
          <w:lang w:eastAsia="zh-CN"/>
        </w:rPr>
        <w:t xml:space="preserve"> </w:t>
      </w:r>
      <w:r>
        <w:rPr>
          <w:rFonts w:ascii="Book Antiqua" w:hAnsi="Book Antiqua" w:eastAsia="Book Antiqua" w:cs="Book Antiqua"/>
          <w:color w:val="000000"/>
        </w:rPr>
        <w:t>ng/mL,</w:t>
      </w:r>
      <w:r>
        <w:rPr>
          <w:rFonts w:ascii="Book Antiqua" w:hAnsi="Book Antiqua" w:cs="Book Antiqua"/>
          <w:color w:val="000000"/>
          <w:lang w:eastAsia="zh-CN"/>
        </w:rPr>
        <w:t xml:space="preserve"> </w:t>
      </w:r>
      <w:r>
        <w:rPr>
          <w:rFonts w:ascii="Book Antiqua" w:hAnsi="Book Antiqua" w:eastAsia="Book Antiqua" w:cs="Book Antiqua"/>
          <w:color w:val="000000"/>
        </w:rPr>
        <w:t>8.4</w:t>
      </w:r>
      <w:r>
        <w:rPr>
          <w:rFonts w:ascii="Book Antiqua" w:hAnsi="Book Antiqua" w:cs="Book Antiqua"/>
          <w:color w:val="000000"/>
          <w:lang w:eastAsia="zh-CN"/>
        </w:rPr>
        <w:t xml:space="preserve"> </w:t>
      </w:r>
      <w:r>
        <w:rPr>
          <w:rFonts w:ascii="Book Antiqua" w:hAnsi="Book Antiqua" w:eastAsia="Book Antiqua" w:cs="Book Antiqua"/>
          <w:color w:val="000000"/>
        </w:rPr>
        <w:t>ng/mL, and 24.5</w:t>
      </w:r>
      <w:r>
        <w:rPr>
          <w:rFonts w:ascii="Book Antiqua" w:hAnsi="Book Antiqua" w:cs="Book Antiqua"/>
          <w:color w:val="000000"/>
          <w:lang w:eastAsia="zh-CN"/>
        </w:rPr>
        <w:t xml:space="preserve"> </w:t>
      </w:r>
      <w:r>
        <w:rPr>
          <w:rFonts w:ascii="Book Antiqua" w:hAnsi="Book Antiqua" w:eastAsia="Book Antiqua" w:cs="Book Antiqua"/>
          <w:color w:val="000000"/>
        </w:rPr>
        <w:t>ng/mL respectively. Among non-responders, median post-treatment serum CEA levels of patients with bone metastases, lung metastases, and liver metastases were 12</w:t>
      </w:r>
      <w:r>
        <w:rPr>
          <w:rFonts w:ascii="Book Antiqua" w:hAnsi="Book Antiqua" w:cs="Book Antiqua"/>
          <w:color w:val="000000"/>
          <w:lang w:eastAsia="zh-CN"/>
        </w:rPr>
        <w:t xml:space="preserve"> </w:t>
      </w:r>
      <w:r>
        <w:rPr>
          <w:rFonts w:ascii="Book Antiqua" w:hAnsi="Book Antiqua" w:eastAsia="Book Antiqua" w:cs="Book Antiqua"/>
          <w:color w:val="000000"/>
        </w:rPr>
        <w:t>ng/mL,</w:t>
      </w:r>
      <w:r>
        <w:rPr>
          <w:rFonts w:ascii="Book Antiqua" w:hAnsi="Book Antiqua" w:cs="Book Antiqua"/>
          <w:color w:val="000000"/>
          <w:lang w:eastAsia="zh-CN"/>
        </w:rPr>
        <w:t xml:space="preserve"> </w:t>
      </w:r>
      <w:r>
        <w:rPr>
          <w:rFonts w:ascii="Book Antiqua" w:hAnsi="Book Antiqua" w:eastAsia="Book Antiqua" w:cs="Book Antiqua"/>
          <w:color w:val="000000"/>
        </w:rPr>
        <w:t>11</w:t>
      </w:r>
      <w:r>
        <w:rPr>
          <w:rFonts w:ascii="Book Antiqua" w:hAnsi="Book Antiqua" w:cs="Book Antiqua"/>
          <w:color w:val="000000"/>
          <w:lang w:eastAsia="zh-CN"/>
        </w:rPr>
        <w:t xml:space="preserve"> </w:t>
      </w:r>
      <w:r>
        <w:rPr>
          <w:rFonts w:ascii="Book Antiqua" w:hAnsi="Book Antiqua" w:eastAsia="Book Antiqua" w:cs="Book Antiqua"/>
          <w:color w:val="000000"/>
        </w:rPr>
        <w:t>ng/mL, and 14 ng/mL,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Table 4 shows </w:t>
      </w:r>
      <w:r>
        <w:rPr>
          <w:rFonts w:ascii="Book Antiqua" w:hAnsi="Book Antiqua" w:cs="Book Antiqua"/>
          <w:color w:val="000000"/>
          <w:lang w:eastAsia="zh-CN"/>
        </w:rPr>
        <w:t>s</w:t>
      </w:r>
      <w:r>
        <w:rPr>
          <w:rFonts w:ascii="Book Antiqua" w:hAnsi="Book Antiqua" w:eastAsia="Book Antiqua" w:cs="Book Antiqua"/>
          <w:color w:val="000000"/>
        </w:rPr>
        <w:t xml:space="preserve">erum CEA and response to treatment in </w:t>
      </w:r>
      <w:r>
        <w:rPr>
          <w:rFonts w:ascii="Book Antiqua" w:hAnsi="Book Antiqua" w:cs="Book Antiqua"/>
          <w:color w:val="000000"/>
          <w:lang w:eastAsia="zh-CN"/>
        </w:rPr>
        <w:t>b</w:t>
      </w:r>
      <w:r>
        <w:rPr>
          <w:rFonts w:ascii="Book Antiqua" w:hAnsi="Book Antiqua" w:eastAsia="Book Antiqua" w:cs="Book Antiqua"/>
          <w:color w:val="000000"/>
        </w:rPr>
        <w:t>one, liver, and lung metastases</w:t>
      </w:r>
      <w:r>
        <w:rPr>
          <w:rFonts w:ascii="Book Antiqua" w:hAnsi="Book Antiqua" w:eastAsia="Book Antiqua" w:cs="Book Antiqua"/>
          <w:b/>
          <w:bCs/>
          <w:color w:val="000000"/>
        </w:rPr>
        <w:t xml:space="preserve">. </w:t>
      </w:r>
      <w:r>
        <w:rPr>
          <w:rFonts w:ascii="Book Antiqua" w:hAnsi="Book Antiqua" w:eastAsia="Book Antiqua" w:cs="Book Antiqua"/>
          <w:color w:val="000000"/>
        </w:rPr>
        <w:t>In patients with liver and lung metastases, post</w:t>
      </w:r>
      <w:r>
        <w:rPr>
          <w:rFonts w:ascii="Book Antiqua" w:hAnsi="Book Antiqua" w:cs="Book Antiqua"/>
          <w:color w:val="000000"/>
          <w:lang w:eastAsia="zh-CN"/>
        </w:rPr>
        <w:t>-</w:t>
      </w:r>
      <w:r>
        <w:rPr>
          <w:rFonts w:ascii="Book Antiqua" w:hAnsi="Book Antiqua" w:eastAsia="Book Antiqua" w:cs="Book Antiqua"/>
          <w:color w:val="000000"/>
        </w:rPr>
        <w:t xml:space="preserve">treatment CEA level difference was not statistically significant in both responders and non-responders though the values were higher in non-responders.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non-responders, comparing patients with or without bone metastases, the median post</w:t>
      </w:r>
      <w:r>
        <w:rPr>
          <w:rFonts w:ascii="Book Antiqua" w:hAnsi="Book Antiqua" w:cs="Book Antiqua"/>
          <w:color w:val="000000"/>
          <w:lang w:eastAsia="zh-CN"/>
        </w:rPr>
        <w:t>-</w:t>
      </w:r>
      <w:r>
        <w:rPr>
          <w:rFonts w:ascii="Book Antiqua" w:hAnsi="Book Antiqua" w:eastAsia="Book Antiqua" w:cs="Book Antiqua"/>
          <w:color w:val="000000"/>
        </w:rPr>
        <w:t xml:space="preserve">treatment </w:t>
      </w:r>
      <w:r>
        <w:rPr>
          <w:rFonts w:ascii="Book Antiqua" w:hAnsi="Book Antiqua" w:cs="Book Antiqua"/>
          <w:color w:val="000000"/>
          <w:lang w:eastAsia="zh-CN"/>
        </w:rPr>
        <w:t>s</w:t>
      </w:r>
      <w:r>
        <w:rPr>
          <w:rFonts w:ascii="Book Antiqua" w:hAnsi="Book Antiqua" w:eastAsia="Book Antiqua" w:cs="Book Antiqua"/>
          <w:color w:val="000000"/>
        </w:rPr>
        <w:t xml:space="preserve">erum CEA of patients with bone metastases was 12 ng/dL whereas median </w:t>
      </w:r>
      <w:r>
        <w:rPr>
          <w:rFonts w:ascii="Book Antiqua" w:hAnsi="Book Antiqua" w:cs="Book Antiqua"/>
          <w:color w:val="000000"/>
          <w:lang w:eastAsia="zh-CN"/>
        </w:rPr>
        <w:t>p</w:t>
      </w:r>
      <w:r>
        <w:rPr>
          <w:rFonts w:ascii="Book Antiqua" w:hAnsi="Book Antiqua" w:eastAsia="Book Antiqua" w:cs="Book Antiqua"/>
          <w:color w:val="000000"/>
        </w:rPr>
        <w:t>ost</w:t>
      </w:r>
      <w:r>
        <w:rPr>
          <w:rFonts w:ascii="Book Antiqua" w:hAnsi="Book Antiqua" w:cs="Book Antiqua"/>
          <w:color w:val="000000"/>
          <w:lang w:eastAsia="zh-CN"/>
        </w:rPr>
        <w:t>-</w:t>
      </w:r>
      <w:r>
        <w:rPr>
          <w:rFonts w:ascii="Book Antiqua" w:hAnsi="Book Antiqua" w:eastAsia="Book Antiqua" w:cs="Book Antiqua"/>
          <w:color w:val="000000"/>
        </w:rPr>
        <w:t xml:space="preserve">treatment </w:t>
      </w:r>
      <w:r>
        <w:rPr>
          <w:rFonts w:ascii="Book Antiqua" w:hAnsi="Book Antiqua" w:cs="Book Antiqua"/>
          <w:color w:val="000000"/>
          <w:lang w:eastAsia="zh-CN"/>
        </w:rPr>
        <w:t>s</w:t>
      </w:r>
      <w:r>
        <w:rPr>
          <w:rFonts w:ascii="Book Antiqua" w:hAnsi="Book Antiqua" w:eastAsia="Book Antiqua" w:cs="Book Antiqua"/>
          <w:color w:val="000000"/>
        </w:rPr>
        <w:t>erum CEA in those without bone metastases was 10</w:t>
      </w:r>
      <w:r>
        <w:rPr>
          <w:rFonts w:ascii="Book Antiqua" w:hAnsi="Book Antiqua" w:cs="Book Antiqua"/>
          <w:color w:val="000000"/>
          <w:lang w:eastAsia="zh-CN"/>
        </w:rPr>
        <w:t xml:space="preserve"> </w:t>
      </w:r>
      <w:r>
        <w:rPr>
          <w:rFonts w:ascii="Book Antiqua" w:hAnsi="Book Antiqua" w:eastAsia="Book Antiqua" w:cs="Book Antiqua"/>
          <w:color w:val="000000"/>
        </w:rPr>
        <w:t>ng/mL; post</w:t>
      </w:r>
      <w:r>
        <w:rPr>
          <w:rFonts w:ascii="Book Antiqua" w:hAnsi="Book Antiqua" w:cs="Book Antiqua"/>
          <w:color w:val="000000"/>
          <w:lang w:eastAsia="zh-CN"/>
        </w:rPr>
        <w:t>-</w:t>
      </w:r>
      <w:r>
        <w:rPr>
          <w:rFonts w:ascii="Book Antiqua" w:hAnsi="Book Antiqua" w:eastAsia="Book Antiqua" w:cs="Book Antiqua"/>
          <w:color w:val="000000"/>
        </w:rPr>
        <w:t>treatment CEA level difference was statistically significant (</w:t>
      </w:r>
      <w:r>
        <w:rPr>
          <w:rFonts w:ascii="Book Antiqua" w:hAnsi="Book Antiqua" w:cs="Book Antiqua"/>
          <w:i/>
          <w:color w:val="000000"/>
          <w:lang w:eastAsia="zh-CN"/>
        </w:rPr>
        <w:t>P</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0.063). Among those with bone metastases, 69.5% had elevated post</w:t>
      </w:r>
      <w:r>
        <w:rPr>
          <w:rFonts w:ascii="Book Antiqua" w:hAnsi="Book Antiqua" w:cs="Book Antiqua"/>
          <w:color w:val="000000"/>
          <w:lang w:eastAsia="zh-CN"/>
        </w:rPr>
        <w:t>-</w:t>
      </w:r>
      <w:r>
        <w:rPr>
          <w:rFonts w:ascii="Book Antiqua" w:hAnsi="Book Antiqua" w:eastAsia="Book Antiqua" w:cs="Book Antiqua"/>
          <w:color w:val="000000"/>
        </w:rPr>
        <w:t>treatment serum CEA, and only 37.5% had elevated serum CEA in those with no bone metastases (Figure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measurement of serum tumour marker levels could provide useful information for earlier detection of recurrence or accurate prediction of outcomes after recurrence in various cancers. They are more useful when patients have elevated level at baseline. The commonly studied tumour markers in breast cancer are </w:t>
      </w:r>
      <w:r>
        <w:rPr>
          <w:rFonts w:ascii="Book Antiqua" w:hAnsi="Book Antiqua" w:eastAsia="Book Antiqua" w:cs="Book Antiqua"/>
          <w:color w:val="000000"/>
          <w:shd w:val="clear" w:color="auto" w:fill="FFFFFF"/>
        </w:rPr>
        <w:t xml:space="preserve">CA15-3 and CEA. </w:t>
      </w:r>
      <w:r>
        <w:rPr>
          <w:rFonts w:ascii="Book Antiqua" w:hAnsi="Book Antiqua" w:eastAsia="Book Antiqua" w:cs="Book Antiqua"/>
          <w:color w:val="000000"/>
        </w:rPr>
        <w:t>The significance of these markers remains unclear</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17,18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Even though the prognostic value of CA15-3 in breast cancer had been documented in some studies, </w:t>
      </w:r>
      <w:r>
        <w:rPr>
          <w:rFonts w:ascii="Book Antiqua" w:hAnsi="Book Antiqua" w:cs="Book Antiqua"/>
          <w:color w:val="000000"/>
          <w:lang w:eastAsia="zh-CN"/>
        </w:rPr>
        <w:t>s</w:t>
      </w:r>
      <w:r>
        <w:rPr>
          <w:rFonts w:ascii="Book Antiqua" w:hAnsi="Book Antiqua" w:eastAsia="Book Antiqua" w:cs="Book Antiqua"/>
          <w:color w:val="000000"/>
        </w:rPr>
        <w:t>erum CEA is less widely investigated as a prognostic factor than CA15-3 because of its poor sensitivity and specificity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18,19</w:t>
      </w:r>
      <w:r>
        <w:rPr>
          <w:rFonts w:ascii="Book Antiqua" w:hAnsi="Book Antiqua" w:cs="Book Antiqua"/>
          <w:color w:val="000000"/>
          <w:vertAlign w:val="superscript"/>
          <w:lang w:eastAsia="zh-CN"/>
        </w:rPr>
        <w:t>]</w:t>
      </w:r>
      <w:r>
        <w:rPr>
          <w:rFonts w:ascii="Book Antiqua" w:hAnsi="Book Antiqua" w:eastAsia="Book Antiqua" w:cs="Book Antiqua"/>
          <w:color w:val="000000"/>
        </w:rPr>
        <w:t>. Elevated serum levels of CA15-3 and CEA preoperatively were significantly associated with tumour size, axillary node metastasis, and advanced stage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A recent meta-analysis investigated the prognostic value of these two markers (serum CA15-3 and CEA) in 12993 breast cancer patients and </w:t>
      </w:r>
      <w:r>
        <w:rPr>
          <w:rFonts w:ascii="Book Antiqua" w:hAnsi="Book Antiqua" w:eastAsia="Book Antiqua" w:cs="Book Antiqua"/>
          <w:color w:val="000000"/>
        </w:rPr>
        <w:t xml:space="preserve">indicated that elevated CA15-3 </w:t>
      </w:r>
      <w:r>
        <w:rPr>
          <w:rFonts w:ascii="Book Antiqua" w:hAnsi="Book Antiqua" w:cs="Book Antiqua"/>
          <w:color w:val="000000"/>
          <w:lang w:eastAsia="zh-CN"/>
        </w:rPr>
        <w:t>l</w:t>
      </w:r>
      <w:r>
        <w:rPr>
          <w:rFonts w:ascii="Book Antiqua" w:hAnsi="Book Antiqua" w:eastAsia="Book Antiqua" w:cs="Book Antiqua"/>
          <w:color w:val="000000"/>
        </w:rPr>
        <w:t>evel significantly corresponded with poor disease-free survival and OS of breast cancer</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our study, no clinically meaningful significance was seen in factors like menstrual status, grade of the tumour, number and sites of metastases, presence or absence of metastases, </w:t>
      </w:r>
      <w:r>
        <w:rPr>
          <w:rFonts w:ascii="Book Antiqua" w:hAnsi="Book Antiqua" w:cs="Book Antiqua"/>
          <w:color w:val="000000"/>
          <w:lang w:eastAsia="zh-CN"/>
        </w:rPr>
        <w:t>H</w:t>
      </w:r>
      <w:r>
        <w:rPr>
          <w:rFonts w:ascii="Book Antiqua" w:hAnsi="Book Antiqua" w:eastAsia="Book Antiqua" w:cs="Book Antiqua"/>
          <w:color w:val="000000"/>
        </w:rPr>
        <w:t xml:space="preserve">ER2 status, and TNBC status except luminal type. This finding was consistent with a study by </w:t>
      </w:r>
      <w:r>
        <w:rPr>
          <w:rFonts w:ascii="Book Antiqua" w:hAnsi="Book Antiqua" w:eastAsia="Book Antiqua" w:cs="Book Antiqua"/>
          <w:color w:val="000000"/>
          <w:shd w:val="clear" w:color="auto" w:fill="FFFFFF"/>
        </w:rPr>
        <w:t xml:space="preserve">Geng </w:t>
      </w:r>
      <w:r>
        <w:rPr>
          <w:rFonts w:ascii="Book Antiqua" w:hAnsi="Book Antiqua" w:eastAsia="Book Antiqua" w:cs="Book Antiqua"/>
          <w:i/>
          <w:iCs/>
          <w:color w:val="000000"/>
          <w:shd w:val="clear" w:color="auto" w:fill="FFFFFF"/>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shd w:val="clear" w:color="auto" w:fill="FFFFFF"/>
        </w:rPr>
        <w:t>. Elevated CEA levels were significantly associated with breast cancer molecular subtypes and luminal subtypes exhibited a higher percentage of elevated CEA levels compared to non-luminal subtypes.</w:t>
      </w:r>
      <w:r>
        <w:rPr>
          <w:rFonts w:ascii="Book Antiqua" w:hAnsi="Book Antiqua" w:eastAsia="Book Antiqua" w:cs="Book Antiqua"/>
          <w:color w:val="000000"/>
        </w:rPr>
        <w:t xml:space="preserve"> The reason for this differential expression of CEA is that the </w:t>
      </w:r>
      <w:r>
        <w:rPr>
          <w:rFonts w:ascii="Book Antiqua" w:hAnsi="Book Antiqua" w:eastAsia="Book Antiqua" w:cs="Book Antiqua"/>
          <w:color w:val="000000"/>
          <w:shd w:val="clear" w:color="auto" w:fill="FFFFFF"/>
        </w:rPr>
        <w:t>expression patterns of luminal, H</w:t>
      </w:r>
      <w:r>
        <w:rPr>
          <w:rFonts w:ascii="Book Antiqua" w:hAnsi="Book Antiqua" w:cs="Book Antiqua"/>
          <w:color w:val="000000"/>
          <w:shd w:val="clear" w:color="auto" w:fill="FFFFFF"/>
          <w:lang w:eastAsia="zh-CN"/>
        </w:rPr>
        <w:t>ER</w:t>
      </w:r>
      <w:r>
        <w:rPr>
          <w:rFonts w:ascii="Book Antiqua" w:hAnsi="Book Antiqua" w:eastAsia="Book Antiqua" w:cs="Book Antiqua"/>
          <w:color w:val="000000"/>
          <w:shd w:val="clear" w:color="auto" w:fill="FFFFFF"/>
        </w:rPr>
        <w:t>2 positive, and basal-like tumours are closely associated with their maturation and differentiation. Luminal subtypes have high expression of hormone receptor related genes, whereas H</w:t>
      </w:r>
      <w:r>
        <w:rPr>
          <w:rFonts w:ascii="Book Antiqua" w:hAnsi="Book Antiqua" w:cs="Book Antiqua"/>
          <w:color w:val="000000"/>
          <w:shd w:val="clear" w:color="auto" w:fill="FFFFFF"/>
          <w:lang w:eastAsia="zh-CN"/>
        </w:rPr>
        <w:t>ER</w:t>
      </w:r>
      <w:r>
        <w:rPr>
          <w:rFonts w:ascii="Book Antiqua" w:hAnsi="Book Antiqua" w:eastAsia="Book Antiqua" w:cs="Book Antiqua"/>
          <w:color w:val="000000"/>
          <w:shd w:val="clear" w:color="auto" w:fill="FFFFFF"/>
        </w:rPr>
        <w:t xml:space="preserve">2 positive or basal-like tumours have low expression of hormone receptor related genes, which explains the association between CEA elevation and luminal subtype. </w:t>
      </w:r>
      <w:r>
        <w:rPr>
          <w:rFonts w:ascii="Book Antiqua" w:hAnsi="Book Antiqua" w:eastAsia="Book Antiqua" w:cs="Book Antiqua"/>
          <w:color w:val="000000"/>
        </w:rPr>
        <w:t xml:space="preserve">Our study showed that pre-treatment </w:t>
      </w:r>
      <w:r>
        <w:rPr>
          <w:rFonts w:ascii="Book Antiqua" w:hAnsi="Book Antiqua" w:cs="Book Antiqua"/>
          <w:color w:val="000000"/>
          <w:lang w:eastAsia="zh-CN"/>
        </w:rPr>
        <w:t>s</w:t>
      </w:r>
      <w:r>
        <w:rPr>
          <w:rFonts w:ascii="Book Antiqua" w:hAnsi="Book Antiqua" w:eastAsia="Book Antiqua" w:cs="Book Antiqua"/>
          <w:color w:val="000000"/>
        </w:rPr>
        <w:t>erum CEA cannot be taken as a predictor of response even in luminal subtype but post</w:t>
      </w:r>
      <w:r>
        <w:rPr>
          <w:rFonts w:ascii="Book Antiqua" w:hAnsi="Book Antiqua" w:cs="Book Antiqua"/>
          <w:color w:val="000000"/>
          <w:lang w:eastAsia="zh-CN"/>
        </w:rPr>
        <w:t>-</w:t>
      </w:r>
      <w:r>
        <w:rPr>
          <w:rFonts w:ascii="Book Antiqua" w:hAnsi="Book Antiqua" w:eastAsia="Book Antiqua" w:cs="Book Antiqua"/>
          <w:color w:val="000000"/>
        </w:rPr>
        <w:t>treatment CEA was a significant predictor of tumour progression. Hence, we can conclude that monitoring CEA levels in luminal MBC at the end of treatment is a significant predictor of treatment response.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correlation between tumour marker levels and various metastatic sites in MBC is poorly defined</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24,25</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A study by Yerushalmi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6]</w:t>
      </w:r>
      <w:r>
        <w:rPr>
          <w:rFonts w:ascii="Book Antiqua" w:hAnsi="Book Antiqua" w:eastAsia="Book Antiqua" w:cs="Book Antiqua"/>
          <w:color w:val="000000"/>
        </w:rPr>
        <w:t xml:space="preserve"> identified that tumour marker elevation was</w:t>
      </w:r>
      <w:r>
        <w:rPr>
          <w:rFonts w:ascii="Book Antiqua" w:hAnsi="Book Antiqua" w:eastAsia="Book Antiqua" w:cs="Book Antiqua"/>
          <w:color w:val="000000"/>
          <w:shd w:val="clear" w:color="auto" w:fill="FFFFFF"/>
        </w:rPr>
        <w:t xml:space="preserve"> documented in the majority of patients with </w:t>
      </w:r>
      <w:r>
        <w:rPr>
          <w:rFonts w:ascii="Book Antiqua" w:hAnsi="Book Antiqua" w:eastAsia="Book Antiqua" w:cs="Book Antiqua"/>
          <w:color w:val="000000"/>
        </w:rPr>
        <w:t>MBC</w:t>
      </w:r>
      <w:r>
        <w:rPr>
          <w:rFonts w:ascii="Book Antiqua" w:hAnsi="Book Antiqua" w:eastAsia="Book Antiqua" w:cs="Book Antiqua"/>
          <w:color w:val="000000"/>
          <w:shd w:val="clear" w:color="auto" w:fill="FFFFFF"/>
        </w:rPr>
        <w:t xml:space="preserve"> and luminal subtypes expressed more frequently compared with the non-</w:t>
      </w:r>
      <w:r>
        <w:rPr>
          <w:rFonts w:ascii="Book Antiqua" w:hAnsi="Book Antiqua" w:cs="Book Antiqua"/>
          <w:color w:val="000000"/>
          <w:shd w:val="clear" w:color="auto" w:fill="FFFFFF"/>
          <w:lang w:eastAsia="zh-CN"/>
        </w:rPr>
        <w:t>l</w:t>
      </w:r>
      <w:r>
        <w:rPr>
          <w:rFonts w:ascii="Book Antiqua" w:hAnsi="Book Antiqua" w:eastAsia="Book Antiqua" w:cs="Book Antiqua"/>
          <w:color w:val="000000"/>
          <w:shd w:val="clear" w:color="auto" w:fill="FFFFFF"/>
        </w:rPr>
        <w:t>uminal groups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6]</w:t>
      </w:r>
      <w:r>
        <w:rPr>
          <w:rFonts w:ascii="Book Antiqua" w:hAnsi="Book Antiqua" w:eastAsia="Book Antiqua" w:cs="Book Antiqua"/>
          <w:color w:val="000000"/>
          <w:shd w:val="clear" w:color="auto" w:fill="FFFFFF"/>
        </w:rPr>
        <w:t xml:space="preserve">. CEA elevation was not different between different sites of metastasis. Whereas in our study, in </w:t>
      </w:r>
      <w:r>
        <w:rPr>
          <w:rFonts w:ascii="Book Antiqua" w:hAnsi="Book Antiqua" w:eastAsia="Book Antiqua" w:cs="Book Antiqua"/>
          <w:color w:val="000000"/>
        </w:rPr>
        <w:t>patients with liver and lung metastases, post</w:t>
      </w:r>
      <w:r>
        <w:rPr>
          <w:rFonts w:ascii="Book Antiqua" w:hAnsi="Book Antiqua" w:cs="Book Antiqua"/>
          <w:color w:val="000000"/>
          <w:lang w:eastAsia="zh-CN"/>
        </w:rPr>
        <w:t>-</w:t>
      </w:r>
      <w:r>
        <w:rPr>
          <w:rFonts w:ascii="Book Antiqua" w:hAnsi="Book Antiqua" w:eastAsia="Book Antiqua" w:cs="Book Antiqua"/>
          <w:color w:val="000000"/>
        </w:rPr>
        <w:t xml:space="preserve">treatment CEA level difference was not statistically significant in both responders and non-responders even though the values were higher in non-responders.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shd w:val="clear" w:color="auto" w:fill="FFFFFF"/>
        </w:rPr>
        <w:t xml:space="preserve">A study by Yazdani </w:t>
      </w:r>
      <w:r>
        <w:rPr>
          <w:rFonts w:ascii="Book Antiqua" w:hAnsi="Book Antiqua" w:eastAsia="Book Antiqua" w:cs="Book Antiqua"/>
          <w:i/>
          <w:iCs/>
          <w:color w:val="000000"/>
          <w:shd w:val="clear" w:color="auto" w:fill="FFFFFF"/>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7]</w:t>
      </w:r>
      <w:r>
        <w:rPr>
          <w:rFonts w:ascii="Book Antiqua" w:hAnsi="Book Antiqua" w:eastAsia="Book Antiqua" w:cs="Book Antiqua"/>
          <w:color w:val="000000"/>
          <w:shd w:val="clear" w:color="auto" w:fill="FFFFFF"/>
        </w:rPr>
        <w:t xml:space="preserve"> showed that age, menopausal status, number of axillary lymph node metastases, tumor size, and ALP were identified as prognostic factors for bone metastasis in patients with breast cancer, whereas </w:t>
      </w:r>
      <w:r>
        <w:rPr>
          <w:rFonts w:ascii="Book Antiqua" w:hAnsi="Book Antiqua" w:eastAsia="Book Antiqua" w:cs="Book Antiqua"/>
          <w:color w:val="000000"/>
        </w:rPr>
        <w:t>significantly persistent elevated post</w:t>
      </w:r>
      <w:r>
        <w:rPr>
          <w:rFonts w:ascii="Book Antiqua" w:hAnsi="Book Antiqua" w:cs="Book Antiqua"/>
          <w:color w:val="000000"/>
          <w:lang w:eastAsia="zh-CN"/>
        </w:rPr>
        <w:t>-</w:t>
      </w:r>
      <w:r>
        <w:rPr>
          <w:rFonts w:ascii="Book Antiqua" w:hAnsi="Book Antiqua" w:eastAsia="Book Antiqua" w:cs="Book Antiqua"/>
          <w:color w:val="000000"/>
        </w:rPr>
        <w:t>treatment serum CEA levels were seen with bone metastases in our study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7]</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shd w:val="clear" w:color="auto" w:fill="FFFFFF"/>
        </w:rPr>
        <w:t xml:space="preserve">Kosaka </w:t>
      </w:r>
      <w:r>
        <w:rPr>
          <w:rFonts w:ascii="Book Antiqua" w:hAnsi="Book Antiqua" w:eastAsia="Book Antiqua" w:cs="Book Antiqua"/>
          <w:i/>
          <w:iCs/>
          <w:color w:val="000000"/>
          <w:shd w:val="clear" w:color="auto" w:fill="FFFFFF"/>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8]</w:t>
      </w:r>
      <w:r>
        <w:rPr>
          <w:rFonts w:ascii="Book Antiqua" w:hAnsi="Book Antiqua" w:eastAsia="Book Antiqua" w:cs="Book Antiqua"/>
          <w:color w:val="000000"/>
          <w:shd w:val="clear" w:color="auto" w:fill="FFFFFF"/>
        </w:rPr>
        <w:t xml:space="preserve"> proposed that </w:t>
      </w:r>
      <w:r>
        <w:rPr>
          <w:rFonts w:ascii="Book Antiqua" w:hAnsi="Book Antiqua" w:eastAsia="Book Antiqua" w:cs="Book Antiqua"/>
          <w:color w:val="000000"/>
        </w:rPr>
        <w:t>in hormone receptor positive breast cancer, nodal metastasis and elevated serum CEA were associated with a poor prognosis and there was a significant rate of recurrence in those with high serum CEA levels compared with those with low levels of CEA</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Elevated serum levels of HER2, BCL2, CA15-3, and CEA in breast cancer patients are useful markers for predicting aggressive behaviour and relapse</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29,30</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One</w:t>
      </w:r>
      <w:r>
        <w:rPr>
          <w:rFonts w:ascii="Book Antiqua" w:hAnsi="Book Antiqua" w:eastAsia="Book Antiqua" w:cs="Book Antiqua"/>
          <w:color w:val="000000"/>
        </w:rPr>
        <w:t xml:space="preserve"> major limitation of our study is the small sample size (50 patients) and it limits</w:t>
      </w:r>
      <w:r>
        <w:rPr>
          <w:rFonts w:ascii="Book Antiqua" w:hAnsi="Book Antiqua" w:eastAsia="Book Antiqua" w:cs="Book Antiqua"/>
          <w:color w:val="000000"/>
          <w:shd w:val="clear" w:color="auto" w:fill="FFFFFF"/>
        </w:rPr>
        <w:t xml:space="preserve"> the predictive power of these markers </w:t>
      </w:r>
      <w:r>
        <w:rPr>
          <w:rFonts w:ascii="Book Antiqua" w:hAnsi="Book Antiqua" w:eastAsia="Book Antiqua" w:cs="Book Antiqua"/>
          <w:color w:val="000000"/>
        </w:rPr>
        <w:t>and needs larger studies to confirm the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Pretreatment </w:t>
      </w:r>
      <w:r>
        <w:rPr>
          <w:rFonts w:ascii="Book Antiqua" w:hAnsi="Book Antiqua" w:cs="Book Antiqua"/>
          <w:color w:val="000000"/>
          <w:lang w:eastAsia="zh-CN"/>
        </w:rPr>
        <w:t>s</w:t>
      </w:r>
      <w:r>
        <w:rPr>
          <w:rFonts w:ascii="Book Antiqua" w:hAnsi="Book Antiqua" w:eastAsia="Book Antiqua" w:cs="Book Antiqua"/>
          <w:color w:val="000000"/>
        </w:rPr>
        <w:t xml:space="preserve">erum CEA is elevated in luminal subtype. With treatment, responders have a significant fall in </w:t>
      </w:r>
      <w:r>
        <w:rPr>
          <w:rFonts w:ascii="Book Antiqua" w:hAnsi="Book Antiqua" w:cs="Book Antiqua"/>
          <w:color w:val="000000"/>
          <w:lang w:eastAsia="zh-CN"/>
        </w:rPr>
        <w:t>s</w:t>
      </w:r>
      <w:r>
        <w:rPr>
          <w:rFonts w:ascii="Book Antiqua" w:hAnsi="Book Antiqua" w:eastAsia="Book Antiqua" w:cs="Book Antiqua"/>
          <w:color w:val="000000"/>
        </w:rPr>
        <w:t xml:space="preserve">erum CEA level but it is clinically significant in luminal breast cancer type. Elevated post-treatment </w:t>
      </w:r>
      <w:r>
        <w:rPr>
          <w:rFonts w:ascii="Book Antiqua" w:hAnsi="Book Antiqua" w:cs="Book Antiqua"/>
          <w:color w:val="000000"/>
          <w:lang w:eastAsia="zh-CN"/>
        </w:rPr>
        <w:t>s</w:t>
      </w:r>
      <w:r>
        <w:rPr>
          <w:rFonts w:ascii="Book Antiqua" w:hAnsi="Book Antiqua" w:eastAsia="Book Antiqua" w:cs="Book Antiqua"/>
          <w:color w:val="000000"/>
        </w:rPr>
        <w:t xml:space="preserve">erum CEA levels are associated with disease progression and poor response to therapy. Persistently elevated post treatment </w:t>
      </w:r>
      <w:r>
        <w:rPr>
          <w:rFonts w:ascii="Book Antiqua" w:hAnsi="Book Antiqua" w:cs="Book Antiqua"/>
          <w:color w:val="000000"/>
          <w:lang w:eastAsia="zh-CN"/>
        </w:rPr>
        <w:t>s</w:t>
      </w:r>
      <w:r>
        <w:rPr>
          <w:rFonts w:ascii="Book Antiqua" w:hAnsi="Book Antiqua" w:eastAsia="Book Antiqua" w:cs="Book Antiqua"/>
          <w:color w:val="000000"/>
        </w:rPr>
        <w:t>erum CEA levels are associated with bone metastases. Elevated serum CEA and hormonal status are significant predictors of treatment response.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In breast cancer patients, elevated serum </w:t>
      </w:r>
      <w:r>
        <w:rPr>
          <w:rFonts w:ascii="Book Antiqua" w:hAnsi="Book Antiqua" w:cs="Book Antiqua"/>
          <w:color w:val="000000"/>
          <w:lang w:eastAsia="zh-CN"/>
        </w:rPr>
        <w:t>c</w:t>
      </w:r>
      <w:r>
        <w:rPr>
          <w:rFonts w:ascii="Book Antiqua" w:hAnsi="Book Antiqua" w:eastAsia="Book Antiqua" w:cs="Book Antiqua"/>
          <w:color w:val="000000"/>
        </w:rPr>
        <w:t>arcinoembryonic antigen (CEA) levels are particularly noted in metastatic and recurrent disease and its significance in clinical practice is doubtful.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We aimed to estimate the serum CEA level in our metastatic breast cancer patients and correlate it with response to treatment and clinical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lang w:eastAsia="zh-CN"/>
        </w:rPr>
      </w:pPr>
      <w:r>
        <w:rPr>
          <w:rFonts w:ascii="Book Antiqua" w:hAnsi="Book Antiqua" w:eastAsia="Book Antiqua" w:cs="Book Antiqua"/>
          <w:color w:val="000000"/>
        </w:rPr>
        <w:t>To</w:t>
      </w:r>
      <w:r>
        <w:rPr>
          <w:rFonts w:ascii="Book Antiqua" w:hAnsi="Book Antiqua" w:cs="Book Antiqua"/>
          <w:color w:val="000000"/>
          <w:lang w:eastAsia="zh-CN"/>
        </w:rPr>
        <w:t xml:space="preserve"> </w:t>
      </w:r>
      <w:r>
        <w:rPr>
          <w:rFonts w:ascii="Book Antiqua" w:hAnsi="Book Antiqua" w:eastAsia="Book Antiqua" w:cs="Book Antiqua"/>
          <w:color w:val="000000"/>
        </w:rPr>
        <w:t xml:space="preserve">evaluate the efficacy of </w:t>
      </w:r>
      <w:r>
        <w:rPr>
          <w:rFonts w:ascii="Book Antiqua" w:hAnsi="Book Antiqua" w:cs="Book Antiqua"/>
          <w:color w:val="000000"/>
          <w:lang w:eastAsia="zh-CN"/>
        </w:rPr>
        <w:t>s</w:t>
      </w:r>
      <w:r>
        <w:rPr>
          <w:rFonts w:ascii="Book Antiqua" w:hAnsi="Book Antiqua" w:eastAsia="Book Antiqua" w:cs="Book Antiqua"/>
          <w:color w:val="000000"/>
        </w:rPr>
        <w:t>erum CEA levels as a prognostic marker in metastatic breast cancer patients</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Style w:val="18"/>
          <w:rFonts w:ascii="Book Antiqua" w:hAnsi="Book Antiqua"/>
          <w:lang w:val="en"/>
        </w:rPr>
        <w:t>This is a prospective clinical study of 50 patients with metastatic breast cancer treated at a breast clinic with newly diagnosed metastatic breast cancer planned for palliative chemotherapy, targeted therapy, and hormone therapy.</w:t>
      </w:r>
      <w:r>
        <w:rPr>
          <w:rStyle w:val="17"/>
          <w:rFonts w:ascii="Book Antiqua" w:hAnsi="Book Antiqua"/>
          <w:lang w:val="en"/>
        </w:rPr>
        <w:t xml:space="preserve"> </w:t>
      </w:r>
      <w:r>
        <w:rPr>
          <w:rStyle w:val="18"/>
          <w:rFonts w:ascii="Book Antiqua" w:hAnsi="Book Antiqua"/>
          <w:lang w:val="en"/>
        </w:rPr>
        <w:t>We estimated the proportion of patients with elevated serum CEA levels at baseline and after palliative care, and investigated the association of serum CEA levels with known prognostic factors.</w:t>
      </w:r>
      <w:r>
        <w:rPr>
          <w:rStyle w:val="17"/>
          <w:rFonts w:ascii="Book Antiqua" w:hAnsi="Book Antiqua"/>
          <w:lang w:val="en"/>
        </w:rPr>
        <w:t xml:space="preserve"> </w:t>
      </w:r>
      <w:r>
        <w:rPr>
          <w:rStyle w:val="18"/>
          <w:rFonts w:ascii="Book Antiqua" w:hAnsi="Book Antiqua"/>
          <w:lang w:val="en"/>
        </w:rPr>
        <w:t>Response to treatment was correlated with serum CEA levels in both responders and non-responders.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Pretreatment </w:t>
      </w:r>
      <w:r>
        <w:rPr>
          <w:rFonts w:ascii="Book Antiqua" w:hAnsi="Book Antiqua" w:cs="Book Antiqua"/>
          <w:color w:val="000000"/>
          <w:lang w:eastAsia="zh-CN"/>
        </w:rPr>
        <w:t>s</w:t>
      </w:r>
      <w:r>
        <w:rPr>
          <w:rFonts w:ascii="Book Antiqua" w:hAnsi="Book Antiqua" w:eastAsia="Book Antiqua" w:cs="Book Antiqua"/>
          <w:color w:val="000000"/>
        </w:rPr>
        <w:t xml:space="preserve">erum CEA was elevated in luminal subtype. With treatment, responders had a significant fall in </w:t>
      </w:r>
      <w:r>
        <w:rPr>
          <w:rFonts w:ascii="Book Antiqua" w:hAnsi="Book Antiqua" w:cs="Book Antiqua"/>
          <w:color w:val="000000"/>
          <w:lang w:eastAsia="zh-CN"/>
        </w:rPr>
        <w:t>s</w:t>
      </w:r>
      <w:r>
        <w:rPr>
          <w:rFonts w:ascii="Book Antiqua" w:hAnsi="Book Antiqua" w:eastAsia="Book Antiqua" w:cs="Book Antiqua"/>
          <w:color w:val="000000"/>
        </w:rPr>
        <w:t>erum CEA level but it was clinically significant in luminal breast cancer type. Metastatic breast cancer patients with bone metastases had significantly elevated post</w:t>
      </w:r>
      <w:r>
        <w:rPr>
          <w:rFonts w:ascii="Book Antiqua" w:hAnsi="Book Antiqua" w:cs="Book Antiqua"/>
          <w:color w:val="000000"/>
          <w:lang w:eastAsia="zh-CN"/>
        </w:rPr>
        <w:t>-</w:t>
      </w:r>
      <w:r>
        <w:rPr>
          <w:rFonts w:ascii="Book Antiqua" w:hAnsi="Book Antiqua" w:eastAsia="Book Antiqua" w:cs="Book Antiqua"/>
          <w:color w:val="000000"/>
        </w:rPr>
        <w:t xml:space="preserve">treatment </w:t>
      </w:r>
      <w:r>
        <w:rPr>
          <w:rFonts w:ascii="Book Antiqua" w:hAnsi="Book Antiqua" w:cs="Book Antiqua"/>
          <w:color w:val="000000"/>
          <w:lang w:eastAsia="zh-CN"/>
        </w:rPr>
        <w:t>s</w:t>
      </w:r>
      <w:r>
        <w:rPr>
          <w:rFonts w:ascii="Book Antiqua" w:hAnsi="Book Antiqua" w:eastAsia="Book Antiqua" w:cs="Book Antiqua"/>
          <w:color w:val="000000"/>
        </w:rPr>
        <w:t>erum CEA levels after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Based on our results, we suggest that serum CEA has potential clinical value in monitoring the treatment response of metastatic breast cancer patients, especially in patients with bone metastasis.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Serum CEA as a tumour marker warrants further studies in metastatic breast cancer especially with bone metastases.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 w:name="OLE_LINK2"/>
      <w:r>
        <w:rPr>
          <w:rFonts w:ascii="Book Antiqua" w:hAnsi="Book Antiqua" w:eastAsia="Book Antiqua" w:cs="Book Antiqua"/>
          <w:color w:val="000000"/>
        </w:rPr>
        <w:t xml:space="preserve">1 </w:t>
      </w:r>
      <w:r>
        <w:rPr>
          <w:rFonts w:ascii="Book Antiqua" w:hAnsi="Book Antiqua" w:eastAsia="Book Antiqua" w:cs="Book Antiqua"/>
          <w:b/>
          <w:bCs/>
          <w:color w:val="000000"/>
        </w:rPr>
        <w:t>Turner KM</w:t>
      </w:r>
      <w:r>
        <w:rPr>
          <w:rFonts w:ascii="Book Antiqua" w:hAnsi="Book Antiqua" w:eastAsia="Book Antiqua" w:cs="Book Antiqua"/>
          <w:color w:val="000000"/>
        </w:rPr>
        <w:t xml:space="preserve">, Yeo SK, Holm TM, Shaughnessy E, Guan JL. Heterogeneity within molecular subtypes of breast cancer. </w:t>
      </w:r>
      <w:r>
        <w:rPr>
          <w:rFonts w:ascii="Book Antiqua" w:hAnsi="Book Antiqua" w:eastAsia="Book Antiqua" w:cs="Book Antiqua"/>
          <w:i/>
          <w:iCs/>
          <w:color w:val="000000"/>
        </w:rPr>
        <w:t>Am J Physiol Cell Physiol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321</w:t>
      </w:r>
      <w:r>
        <w:rPr>
          <w:rFonts w:ascii="Book Antiqua" w:hAnsi="Book Antiqua" w:eastAsia="Book Antiqua" w:cs="Book Antiqua"/>
          <w:color w:val="000000"/>
        </w:rPr>
        <w:t>: C343-C354 [PMID: 34191627 DOI: 10.1152/ajpcell.00109.2021]</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Ma W</w:t>
      </w:r>
      <w:r>
        <w:rPr>
          <w:rFonts w:ascii="Book Antiqua" w:hAnsi="Book Antiqua" w:eastAsia="Book Antiqua" w:cs="Book Antiqua"/>
          <w:color w:val="000000"/>
        </w:rPr>
        <w:t xml:space="preserve">, Wang X, Xu G, Liu Z, Yin Z, Xu Y, Wu H, Baklaushev VP, Peltzer K, Sun H, Kharchenko NV, Qi L, Mao M, Li Y, Liu P, Chekhonin VP, Zhang C. Distant metastasis prediction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a multi-feature fusion model in breast cancer. </w:t>
      </w:r>
      <w:r>
        <w:rPr>
          <w:rFonts w:ascii="Book Antiqua" w:hAnsi="Book Antiqua" w:eastAsia="Book Antiqua" w:cs="Book Antiqua"/>
          <w:i/>
          <w:iCs/>
          <w:color w:val="000000"/>
        </w:rPr>
        <w:t>Aging (Albany NY)</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18151-18162 [PMID: 32989175 DOI: 10.18632/aging.103630]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Imamura M</w:t>
      </w:r>
      <w:r>
        <w:rPr>
          <w:rFonts w:ascii="Book Antiqua" w:hAnsi="Book Antiqua" w:eastAsia="Book Antiqua" w:cs="Book Antiqua"/>
          <w:color w:val="000000"/>
        </w:rPr>
        <w:t xml:space="preserve">, Morimoto T, Nomura T, Michishita S, Nishimukai A, Higuchi T, Fujimoto Y, Miyagawa Y, Kira A, Murase K, Araki K, Takatsuka Y, Oh K, Masai Y, Akazawa K, Miyoshi Y. Independent prognostic impact of preoperative serum carcinoembryonic antigen and cancer antigen 15-3 Levels for early breast cancer subtypes.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26 [PMID: 29433529 DOI: 10.1186/s12957-018-1325-6]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Hing JX</w:t>
      </w:r>
      <w:r>
        <w:rPr>
          <w:rFonts w:ascii="Book Antiqua" w:hAnsi="Book Antiqua" w:eastAsia="Book Antiqua" w:cs="Book Antiqua"/>
          <w:color w:val="000000"/>
        </w:rPr>
        <w:t xml:space="preserve">, Mok CW, Tan PT, Sudhakar SS, Seah CM, Lee WP, Tan SM. Clinical utility of tumour marker velocity of cancer antigen 15-3 (CA 15-3) and carcinoembryonic antigen (CEA) in breast cancer surveillance. </w:t>
      </w:r>
      <w:r>
        <w:rPr>
          <w:rFonts w:ascii="Book Antiqua" w:hAnsi="Book Antiqua" w:eastAsia="Book Antiqua" w:cs="Book Antiqua"/>
          <w:i/>
          <w:iCs/>
          <w:color w:val="000000"/>
        </w:rPr>
        <w:t>Breast</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95-101 [PMID: 32485607 DOI: 10.1016/j.breast.2020.05.005]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Yang Y</w:t>
      </w:r>
      <w:r>
        <w:rPr>
          <w:rFonts w:ascii="Book Antiqua" w:hAnsi="Book Antiqua" w:eastAsia="Book Antiqua" w:cs="Book Antiqua"/>
          <w:color w:val="000000"/>
        </w:rPr>
        <w:t xml:space="preserve">, Zhang H, Zhang M, Meng Q, Cai L, Zhang Q. Elevation of serum CEA and CA15-3 Levels during antitumor therapy predicts poor therapeutic response in advanced breast cancer patients. </w:t>
      </w:r>
      <w:r>
        <w:rPr>
          <w:rFonts w:ascii="Book Antiqua" w:hAnsi="Book Antiqua" w:eastAsia="Book Antiqua" w:cs="Book Antiqua"/>
          <w:i/>
          <w:iCs/>
          <w:color w:val="000000"/>
        </w:rPr>
        <w:t>Oncol Lett</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7549-7556 [PMID: 29344201 DOI: 10.3892/ol.2017.7164]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Khushk M</w:t>
      </w:r>
      <w:r>
        <w:rPr>
          <w:rFonts w:ascii="Book Antiqua" w:hAnsi="Book Antiqua" w:eastAsia="Book Antiqua" w:cs="Book Antiqua"/>
          <w:color w:val="000000"/>
        </w:rPr>
        <w:t xml:space="preserve">, Khan A, Rehman A, Sheraz S, Tunio YM, Rehman K, Rehman D, Ahmed M, Abbas K, Khan ME. The Role of Tumor Markers: Carcinoembryonic Antigen and Cancer Antigen 15-3 in Patients With Breast Cancer.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e16298 [PMID: 34405063 DOI: 10.7759/cureus.16298]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Puglisi F</w:t>
      </w:r>
      <w:r>
        <w:rPr>
          <w:rFonts w:ascii="Book Antiqua" w:hAnsi="Book Antiqua" w:eastAsia="Book Antiqua" w:cs="Book Antiqua"/>
          <w:color w:val="000000"/>
        </w:rPr>
        <w:t xml:space="preserve">, Fontanella C, Numico G, Sini V, Evangelista L, Monetti F, Gori S, Del Mastro L. Follow-up of patients with early breast cancer: is it time to rewrite the story? </w:t>
      </w:r>
      <w:r>
        <w:rPr>
          <w:rFonts w:ascii="Book Antiqua" w:hAnsi="Book Antiqua" w:eastAsia="Book Antiqua" w:cs="Book Antiqua"/>
          <w:i/>
          <w:iCs/>
          <w:color w:val="000000"/>
        </w:rPr>
        <w:t>Crit Rev Oncol Hematol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91</w:t>
      </w:r>
      <w:r>
        <w:rPr>
          <w:rFonts w:ascii="Book Antiqua" w:hAnsi="Book Antiqua" w:eastAsia="Book Antiqua" w:cs="Book Antiqua"/>
          <w:color w:val="000000"/>
        </w:rPr>
        <w:t>: 130-141 [PMID: 24726438 DOI: 10.1016/j.critrevonc.2014.03.001]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Di Gioia D</w:t>
      </w:r>
      <w:r>
        <w:rPr>
          <w:rFonts w:ascii="Book Antiqua" w:hAnsi="Book Antiqua" w:eastAsia="Book Antiqua" w:cs="Book Antiqua"/>
          <w:color w:val="000000"/>
        </w:rPr>
        <w:t xml:space="preserve">, Stieber P, Schmidt GP, Nagel D, Heinemann V, Baur-Melnyk A. Early detection of metastatic disease in asymptomatic breast cancer patients with whole-body imaging and defined tumour marker increase. </w:t>
      </w:r>
      <w:r>
        <w:rPr>
          <w:rFonts w:ascii="Book Antiqua" w:hAnsi="Book Antiqua" w:eastAsia="Book Antiqua" w:cs="Book Antiqua"/>
          <w:i/>
          <w:iCs/>
          <w:color w:val="000000"/>
        </w:rPr>
        <w:t>Br J Cancer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112</w:t>
      </w:r>
      <w:r>
        <w:rPr>
          <w:rFonts w:ascii="Book Antiqua" w:hAnsi="Book Antiqua" w:eastAsia="Book Antiqua" w:cs="Book Antiqua"/>
          <w:color w:val="000000"/>
        </w:rPr>
        <w:t>: 809-818 [PMID: 25647014 DOI: 10.1038/bjc.2015.8]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Rasmy A</w:t>
      </w:r>
      <w:r>
        <w:rPr>
          <w:rFonts w:ascii="Book Antiqua" w:hAnsi="Book Antiqua" w:eastAsia="Book Antiqua" w:cs="Book Antiqua"/>
          <w:color w:val="000000"/>
        </w:rPr>
        <w:t xml:space="preserve">, Abozeed W, Elsamany S, Baiomy ME, Nashwa A, Amrallah A, Hasaan E, Alzahrani A, Faris M, Alsaleh K, AlFaraj A. Correlation of Preoperative Ki67 and Serum CA15.3 Levels with Outcome in Early Breast Cancers a Multi Institutional Study. </w:t>
      </w:r>
      <w:r>
        <w:rPr>
          <w:rFonts w:ascii="Book Antiqua" w:hAnsi="Book Antiqua" w:eastAsia="Book Antiqua" w:cs="Book Antiqua"/>
          <w:i/>
          <w:iCs/>
          <w:color w:val="000000"/>
        </w:rPr>
        <w:t>Asian Pac J Cancer Prev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3595-3600 [PMID: 27510014]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Bhindi B</w:t>
      </w:r>
      <w:r>
        <w:rPr>
          <w:rFonts w:ascii="Book Antiqua" w:hAnsi="Book Antiqua" w:eastAsia="Book Antiqua" w:cs="Book Antiqua"/>
          <w:color w:val="000000"/>
        </w:rPr>
        <w:t xml:space="preserve">, Leibovich BC. Re: Robotic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Level I-II Inferior Vena Cava Thrombectomy: A Matched Group Comparative Analysis: L. Gu, X. Ma, Y. Gao, H. Li, X. Li, L. Chen, B. Wang, Y. Xie, Y. Fan and X. Zhang J Urol 2017;198:1241-1246.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199</w:t>
      </w:r>
      <w:r>
        <w:rPr>
          <w:rFonts w:ascii="Book Antiqua" w:hAnsi="Book Antiqua" w:eastAsia="Book Antiqua" w:cs="Book Antiqua"/>
          <w:color w:val="000000"/>
        </w:rPr>
        <w:t>: 1351-1352 [PMID: 29428635 DOI: 10.1016/j.juro.2017.12.044]</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Stieber P</w:t>
      </w:r>
      <w:r>
        <w:rPr>
          <w:rFonts w:ascii="Book Antiqua" w:hAnsi="Book Antiqua" w:eastAsia="Book Antiqua" w:cs="Book Antiqua"/>
          <w:color w:val="000000"/>
        </w:rPr>
        <w:t xml:space="preserve">, Nagel D, Blankenburg I, Heinemann V, Untch M, Bauerfeind I, Di Gioia D. Diagnostic efficacy of CA 15-3 and CEA in the early detection of metastatic breast cancer-A retrospective analysis of kinetics on 743 breast cancer patients.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2015; </w:t>
      </w:r>
      <w:r>
        <w:rPr>
          <w:rFonts w:ascii="Book Antiqua" w:hAnsi="Book Antiqua" w:eastAsia="Book Antiqua" w:cs="Book Antiqua"/>
          <w:b/>
          <w:bCs/>
          <w:color w:val="000000"/>
        </w:rPr>
        <w:t>448</w:t>
      </w:r>
      <w:r>
        <w:rPr>
          <w:rFonts w:ascii="Book Antiqua" w:hAnsi="Book Antiqua" w:eastAsia="Book Antiqua" w:cs="Book Antiqua"/>
          <w:color w:val="000000"/>
        </w:rPr>
        <w:t>: 228-231 [PMID: 26160053 DOI: 10.1016/j.cca.2015.06.022]</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Maccio G</w:t>
      </w:r>
      <w:r>
        <w:rPr>
          <w:rFonts w:ascii="Book Antiqua" w:hAnsi="Book Antiqua" w:eastAsia="Book Antiqua" w:cs="Book Antiqua"/>
          <w:color w:val="000000"/>
        </w:rPr>
        <w:t xml:space="preserve">, Goussot V, Berriolo-Riedinger A, Riedinger JM. Clinical value of CEA for detection of distant metastases in newly diagnosed breast cancer: comparison with CA 15-3. </w:t>
      </w:r>
      <w:r>
        <w:rPr>
          <w:rFonts w:ascii="Book Antiqua" w:hAnsi="Book Antiqua" w:eastAsia="Book Antiqua" w:cs="Book Antiqua"/>
          <w:i/>
          <w:iCs/>
          <w:color w:val="000000"/>
        </w:rPr>
        <w:t>Ann Biol Clin (Paris)</w:t>
      </w:r>
      <w:r>
        <w:rPr>
          <w:rFonts w:ascii="Book Antiqua" w:hAnsi="Book Antiqua" w:eastAsia="Book Antiqua" w:cs="Book Antiqua"/>
          <w:color w:val="000000"/>
        </w:rPr>
        <w:t xml:space="preserve"> 2017; </w:t>
      </w:r>
      <w:r>
        <w:rPr>
          <w:rFonts w:ascii="Book Antiqua" w:hAnsi="Book Antiqua" w:eastAsia="Book Antiqua" w:cs="Book Antiqua"/>
          <w:b/>
          <w:bCs/>
          <w:color w:val="000000"/>
        </w:rPr>
        <w:t>75</w:t>
      </w:r>
      <w:r>
        <w:rPr>
          <w:rFonts w:ascii="Book Antiqua" w:hAnsi="Book Antiqua" w:eastAsia="Book Antiqua" w:cs="Book Antiqua"/>
          <w:color w:val="000000"/>
        </w:rPr>
        <w:t>: 431-441 [PMID: 28751288 DOI: 10.1684/abc.2017.1258]</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Araz M</w:t>
      </w:r>
      <w:r>
        <w:rPr>
          <w:rFonts w:ascii="Book Antiqua" w:hAnsi="Book Antiqua" w:eastAsia="Book Antiqua" w:cs="Book Antiqua"/>
          <w:color w:val="000000"/>
        </w:rPr>
        <w:t xml:space="preserve">, Beypinar I, Kazan S, Inci F, Celiker M, Uysal M. Are preoperative serum CA15-3 Levels different in breast cancer subgroups? </w:t>
      </w:r>
      <w:r>
        <w:rPr>
          <w:rFonts w:ascii="Book Antiqua" w:hAnsi="Book Antiqua" w:eastAsia="Book Antiqua" w:cs="Book Antiqua"/>
          <w:i/>
          <w:iCs/>
          <w:color w:val="000000"/>
        </w:rPr>
        <w:t>Curr Probl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115-122 [PMID: 30104028 DOI: 10.1016/j.currproblcancer.2018.06.011]</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Li J</w:t>
      </w:r>
      <w:r>
        <w:rPr>
          <w:rFonts w:ascii="Book Antiqua" w:hAnsi="Book Antiqua" w:eastAsia="Book Antiqua" w:cs="Book Antiqua"/>
          <w:color w:val="000000"/>
        </w:rPr>
        <w:t xml:space="preserve">, Liu L, Feng Z, Wang X, Huang Y, Dai H, Zhang L, Song F, Wang D, Zhang P, Ma B, Li H, Zheng H, Song F, Chen K. Tumor markers CA15-3, CA125, CEA and breast cancer survival by molecular subtype: a cohort study. </w:t>
      </w:r>
      <w:r>
        <w:rPr>
          <w:rFonts w:ascii="Book Antiqua" w:hAnsi="Book Antiqua" w:eastAsia="Book Antiqua" w:cs="Book Antiqua"/>
          <w:i/>
          <w:iCs/>
          <w:color w:val="000000"/>
        </w:rPr>
        <w:t>Breast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621-630 [PMID: 32040723 DOI: 10.1007/s12282-020-01058-3]</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Bidard FC</w:t>
      </w:r>
      <w:r>
        <w:rPr>
          <w:rFonts w:ascii="Book Antiqua" w:hAnsi="Book Antiqua" w:eastAsia="Book Antiqua" w:cs="Book Antiqua"/>
          <w:color w:val="000000"/>
        </w:rPr>
        <w:t xml:space="preserve">, Hajage D, Bachelot T, Delaloge S, Brain E, Campone M, Cottu P, Beuzeboc P, Rolland E, Mathiot C, Pierga JY. Assessment of circulating tumor cells and serum markers for progression-free survival prediction in metastatic breast cancer: a prospective observational study. </w:t>
      </w:r>
      <w:r>
        <w:rPr>
          <w:rFonts w:ascii="Book Antiqua" w:hAnsi="Book Antiqua" w:eastAsia="Book Antiqua" w:cs="Book Antiqua"/>
          <w:i/>
          <w:iCs/>
          <w:color w:val="000000"/>
        </w:rPr>
        <w:t>Breast Cancer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14</w:t>
      </w:r>
      <w:r>
        <w:rPr>
          <w:rFonts w:ascii="Book Antiqua" w:hAnsi="Book Antiqua" w:eastAsia="Book Antiqua" w:cs="Book Antiqua"/>
          <w:color w:val="000000"/>
        </w:rPr>
        <w:t>: R29 [PMID: 22330883 DOI: 10.1186/bcr3114]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Nam SE</w:t>
      </w:r>
      <w:r>
        <w:rPr>
          <w:rFonts w:ascii="Book Antiqua" w:hAnsi="Book Antiqua" w:eastAsia="Book Antiqua" w:cs="Book Antiqua"/>
          <w:color w:val="000000"/>
        </w:rPr>
        <w:t xml:space="preserve">, Lim W, Jeong J, Lee S, Choi J, Park H, Jung YS, Jung SP, Bae SY. The prognostic significance of preoperative tumor marker (CEA, CA15-3) elevation in breast cancer patients: data from the Korean Breast Cancer Society Registry. </w:t>
      </w:r>
      <w:r>
        <w:rPr>
          <w:rFonts w:ascii="Book Antiqua" w:hAnsi="Book Antiqua" w:eastAsia="Book Antiqua" w:cs="Book Antiqua"/>
          <w:i/>
          <w:iCs/>
          <w:color w:val="000000"/>
        </w:rPr>
        <w:t>Breast Cancer Res Treat</w:t>
      </w:r>
      <w:r>
        <w:rPr>
          <w:rFonts w:ascii="Book Antiqua" w:hAnsi="Book Antiqua" w:eastAsia="Book Antiqua" w:cs="Book Antiqua"/>
          <w:color w:val="000000"/>
        </w:rPr>
        <w:t xml:space="preserve"> 2019; </w:t>
      </w:r>
      <w:r>
        <w:rPr>
          <w:rFonts w:ascii="Book Antiqua" w:hAnsi="Book Antiqua" w:eastAsia="Book Antiqua" w:cs="Book Antiqua"/>
          <w:b/>
          <w:bCs/>
          <w:color w:val="000000"/>
        </w:rPr>
        <w:t>177</w:t>
      </w:r>
      <w:r>
        <w:rPr>
          <w:rFonts w:ascii="Book Antiqua" w:hAnsi="Book Antiqua" w:eastAsia="Book Antiqua" w:cs="Book Antiqua"/>
          <w:color w:val="000000"/>
        </w:rPr>
        <w:t>: 669-678 [PMID: 31312932 DOI: 10.1007/s10549-019-05357-y]</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Falzarano R</w:t>
      </w:r>
      <w:r>
        <w:rPr>
          <w:rFonts w:ascii="Book Antiqua" w:hAnsi="Book Antiqua" w:eastAsia="Book Antiqua" w:cs="Book Antiqua"/>
          <w:color w:val="000000"/>
        </w:rPr>
        <w:t xml:space="preserve">, Viggiani V, Michienzi S, Longo F, Tudini S, Frati L, Anastasi E. Evaluation of a CLEIA automated assay system for the detection of a panel of tumor markers. </w:t>
      </w:r>
      <w:r>
        <w:rPr>
          <w:rFonts w:ascii="Book Antiqua" w:hAnsi="Book Antiqua" w:eastAsia="Book Antiqua" w:cs="Book Antiqua"/>
          <w:i/>
          <w:iCs/>
          <w:color w:val="000000"/>
        </w:rPr>
        <w:t>Tumour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3093-3100 [PMID: 23775009 DOI: 10.1007/s13277-013-0877-x]</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Guadagni F</w:t>
      </w:r>
      <w:r>
        <w:rPr>
          <w:rFonts w:ascii="Book Antiqua" w:hAnsi="Book Antiqua" w:eastAsia="Book Antiqua" w:cs="Book Antiqua"/>
          <w:color w:val="000000"/>
        </w:rPr>
        <w:t xml:space="preserve">, Ferroni P, Carlini S, Mariotti S, Spila A, Aloe S, D'Alessandro R, Carone MD, Cicchetti A, Ricciotti A, Venturo I, Perri P, Di Filippo F, Cognetti F, Botti C, Roselli M. A re-evaluation of carcinoembryonic antigen (CEA) as a serum marker for breast cancer: a prospective longitudinal study.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2001; </w:t>
      </w:r>
      <w:r>
        <w:rPr>
          <w:rFonts w:ascii="Book Antiqua" w:hAnsi="Book Antiqua" w:eastAsia="Book Antiqua" w:cs="Book Antiqua"/>
          <w:b/>
          <w:bCs/>
          <w:color w:val="000000"/>
        </w:rPr>
        <w:t>7</w:t>
      </w:r>
      <w:r>
        <w:rPr>
          <w:rFonts w:ascii="Book Antiqua" w:hAnsi="Book Antiqua" w:eastAsia="Book Antiqua" w:cs="Book Antiqua"/>
          <w:color w:val="000000"/>
        </w:rPr>
        <w:t>: 2357-2362 [PMID: 11489813]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Wang W</w:t>
      </w:r>
      <w:r>
        <w:rPr>
          <w:rFonts w:ascii="Book Antiqua" w:hAnsi="Book Antiqua" w:eastAsia="Book Antiqua" w:cs="Book Antiqua"/>
          <w:color w:val="000000"/>
        </w:rPr>
        <w:t xml:space="preserve">, Xu X, Tian B, Wang Y, Du L, Sun T, Shi Y, Zhao X, Jing J. The diagnostic value of serum tumor markers CEA, CA19-9, CA125, CA15-3, and TPS in metastatic breast cancer.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2017; </w:t>
      </w:r>
      <w:r>
        <w:rPr>
          <w:rFonts w:ascii="Book Antiqua" w:hAnsi="Book Antiqua" w:eastAsia="Book Antiqua" w:cs="Book Antiqua"/>
          <w:b/>
          <w:bCs/>
          <w:color w:val="000000"/>
        </w:rPr>
        <w:t>470</w:t>
      </w:r>
      <w:r>
        <w:rPr>
          <w:rFonts w:ascii="Book Antiqua" w:hAnsi="Book Antiqua" w:eastAsia="Book Antiqua" w:cs="Book Antiqua"/>
          <w:color w:val="000000"/>
        </w:rPr>
        <w:t>: 51-55 [PMID: 28457854 DOI: 10.1016/j.cca.2017.04.023]</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Albuquerque KV</w:t>
      </w:r>
      <w:r>
        <w:rPr>
          <w:rFonts w:ascii="Book Antiqua" w:hAnsi="Book Antiqua" w:eastAsia="Book Antiqua" w:cs="Book Antiqua"/>
          <w:color w:val="000000"/>
        </w:rPr>
        <w:t xml:space="preserve">, Price MR, Badley RA, Jonrup I, Pearson D, Blamey RW, Robertson JF. Pre-treatment serum levels of tumour markers in metastatic breast cancer: a prospective assessment of their role in predicting response to therapy and survival.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1995; </w:t>
      </w:r>
      <w:r>
        <w:rPr>
          <w:rFonts w:ascii="Book Antiqua" w:hAnsi="Book Antiqua" w:eastAsia="Book Antiqua" w:cs="Book Antiqua"/>
          <w:b/>
          <w:bCs/>
          <w:color w:val="000000"/>
        </w:rPr>
        <w:t>21</w:t>
      </w:r>
      <w:r>
        <w:rPr>
          <w:rFonts w:ascii="Book Antiqua" w:hAnsi="Book Antiqua" w:eastAsia="Book Antiqua" w:cs="Book Antiqua"/>
          <w:color w:val="000000"/>
        </w:rPr>
        <w:t>: 504-509 [PMID: 7589594 DOI: 10.1016/s0748-7983(95)96935-7]</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Lee JS</w:t>
      </w:r>
      <w:r>
        <w:rPr>
          <w:rFonts w:ascii="Book Antiqua" w:hAnsi="Book Antiqua" w:eastAsia="Book Antiqua" w:cs="Book Antiqua"/>
          <w:color w:val="000000"/>
        </w:rPr>
        <w:t xml:space="preserve">, Park S, Park JM, Cho JH, Kim SI, Park BW. Elevated levels of preoperative CA 15-3 and CEA serum levels have independently poor prognostic significance in breast cancer.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1225-1231 [PMID: 23230137 DOI: 10.1093/annonc/mds604]</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Shao Y</w:t>
      </w:r>
      <w:r>
        <w:rPr>
          <w:rFonts w:ascii="Book Antiqua" w:hAnsi="Book Antiqua" w:eastAsia="Book Antiqua" w:cs="Book Antiqua"/>
          <w:color w:val="000000"/>
        </w:rPr>
        <w:t xml:space="preserve">, Sun X, He Y, Liu C, Liu H. Elevated Levels of Serum Tumor Markers CEA and CA15-3 Are Prognostic Parameters for Different Molecular Subtypes of Breast Cancer.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e0133830 [PMID: 26207909 DOI: 10.1371/journal.pone.0133830]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Geng B</w:t>
      </w:r>
      <w:r>
        <w:rPr>
          <w:rFonts w:ascii="Book Antiqua" w:hAnsi="Book Antiqua" w:eastAsia="Book Antiqua" w:cs="Book Antiqua"/>
          <w:color w:val="000000"/>
        </w:rPr>
        <w:t xml:space="preserve">, Liang MM, Ye XB, Zhao WY. Association of CA 15-3 and CEA with clinicopathological parameters in patients with metastatic breast cancer. </w:t>
      </w:r>
      <w:r>
        <w:rPr>
          <w:rFonts w:ascii="Book Antiqua" w:hAnsi="Book Antiqua" w:eastAsia="Book Antiqua" w:cs="Book Antiqua"/>
          <w:i/>
          <w:iCs/>
          <w:color w:val="000000"/>
        </w:rPr>
        <w:t>Mol Clin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232-236 [PMID: 25469301 DOI: 10.3892/mco.2014.419]</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Li X</w:t>
      </w:r>
      <w:r>
        <w:rPr>
          <w:rFonts w:ascii="Book Antiqua" w:hAnsi="Book Antiqua" w:eastAsia="Book Antiqua" w:cs="Book Antiqua"/>
          <w:color w:val="000000"/>
        </w:rPr>
        <w:t xml:space="preserve">, Dai D, Chen B, Tang H, Xie X, Wei W. Clinicopathological and Prognostic Significance of Cancer Antigen 15-3 and Carcinoembryonic Antigen in Breast Cancer: A Meta-Analysis including 12,993 Patients. </w:t>
      </w:r>
      <w:r>
        <w:rPr>
          <w:rFonts w:ascii="Book Antiqua" w:hAnsi="Book Antiqua" w:eastAsia="Book Antiqua" w:cs="Book Antiqua"/>
          <w:i/>
          <w:iCs/>
          <w:color w:val="000000"/>
        </w:rPr>
        <w:t>Dis Markers</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9863092 [PMID: 29854028 DOI: 10.1155/2018/9863092]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Zhang J</w:t>
      </w:r>
      <w:r>
        <w:rPr>
          <w:rFonts w:ascii="Book Antiqua" w:hAnsi="Book Antiqua" w:eastAsia="Book Antiqua" w:cs="Book Antiqua"/>
          <w:color w:val="000000"/>
        </w:rPr>
        <w:t xml:space="preserve">, Wei Q, Dong D, Ren L. The role of TPS, CA125, CA15-3 and CEA in prediction of distant metastasis of breast cancer.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2021; </w:t>
      </w:r>
      <w:r>
        <w:rPr>
          <w:rFonts w:ascii="Book Antiqua" w:hAnsi="Book Antiqua" w:eastAsia="Book Antiqua" w:cs="Book Antiqua"/>
          <w:b/>
          <w:bCs/>
          <w:color w:val="000000"/>
        </w:rPr>
        <w:t>523</w:t>
      </w:r>
      <w:r>
        <w:rPr>
          <w:rFonts w:ascii="Book Antiqua" w:hAnsi="Book Antiqua" w:eastAsia="Book Antiqua" w:cs="Book Antiqua"/>
          <w:color w:val="000000"/>
        </w:rPr>
        <w:t>: 19-25 [PMID: 34454906 DOI: 10.1016/j.cca.2021.08.027]</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Yerushalmi R</w:t>
      </w:r>
      <w:r>
        <w:rPr>
          <w:rFonts w:ascii="Book Antiqua" w:hAnsi="Book Antiqua" w:eastAsia="Book Antiqua" w:cs="Book Antiqua"/>
          <w:color w:val="000000"/>
        </w:rPr>
        <w:t xml:space="preserve">, Tyldesley S, Kennecke H, Speers C, Woods R, Knight B, Gelmon KA. Tumor markers in metastatic breast cancer subtypes: frequency of elevation and correlation with outcome.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23</w:t>
      </w:r>
      <w:r>
        <w:rPr>
          <w:rFonts w:ascii="Book Antiqua" w:hAnsi="Book Antiqua" w:eastAsia="Book Antiqua" w:cs="Book Antiqua"/>
          <w:color w:val="000000"/>
        </w:rPr>
        <w:t>: 338-345 [PMID: 21543625 DOI: 10.1093/annonc/mdr154]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Yazdani A</w:t>
      </w:r>
      <w:r>
        <w:rPr>
          <w:rFonts w:ascii="Book Antiqua" w:hAnsi="Book Antiqua" w:eastAsia="Book Antiqua" w:cs="Book Antiqua"/>
          <w:color w:val="000000"/>
        </w:rPr>
        <w:t xml:space="preserve">, Dorri S, Atashi A, Shirafkan H, Zabolinezhad H. Bone Metastasis Prognostic Factors in Breast Cancer. </w:t>
      </w:r>
      <w:r>
        <w:rPr>
          <w:rFonts w:ascii="Book Antiqua" w:hAnsi="Book Antiqua" w:eastAsia="Book Antiqua" w:cs="Book Antiqua"/>
          <w:i/>
          <w:iCs/>
          <w:color w:val="000000"/>
        </w:rPr>
        <w:t>Breast Cancer (Auckl)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1178223419830978 [PMID: 30828246 DOI: 10.1177/1178223419830978]</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Kosaka Y</w:t>
      </w:r>
      <w:r>
        <w:rPr>
          <w:rFonts w:ascii="Book Antiqua" w:hAnsi="Book Antiqua" w:eastAsia="Book Antiqua" w:cs="Book Antiqua"/>
          <w:color w:val="000000"/>
        </w:rPr>
        <w:t xml:space="preserve">, Minatani N, Tanaka Y, Shida A, Kikuchi M, Nishimiya H, Waraya M, Katoh H, Sato T, Sengoku N, Tanino H, Yamashita K, Watanabe M. Lymph node metastasis and high serum CEA are important prognostic factors in hormone receptor positive and HER2 negative breast cancer. </w:t>
      </w:r>
      <w:r>
        <w:rPr>
          <w:rFonts w:ascii="Book Antiqua" w:hAnsi="Book Antiqua" w:eastAsia="Book Antiqua" w:cs="Book Antiqua"/>
          <w:i/>
          <w:iCs/>
          <w:color w:val="000000"/>
        </w:rPr>
        <w:t>Mol Clin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566-574 [PMID: 30402236 DOI: 10.3892/mco.2018.1716]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Samy N</w:t>
      </w:r>
      <w:r>
        <w:rPr>
          <w:rFonts w:ascii="Book Antiqua" w:hAnsi="Book Antiqua" w:eastAsia="Book Antiqua" w:cs="Book Antiqua"/>
          <w:color w:val="000000"/>
        </w:rPr>
        <w:t xml:space="preserve">, Ragab HM, El Maksoud NA, Shaalan M. Prognostic significance of serum Her2/neu, BCL2, CA15-3 and CEA in breast cancer patients: a short follow-up. </w:t>
      </w:r>
      <w:r>
        <w:rPr>
          <w:rFonts w:ascii="Book Antiqua" w:hAnsi="Book Antiqua" w:eastAsia="Book Antiqua" w:cs="Book Antiqua"/>
          <w:i/>
          <w:iCs/>
          <w:color w:val="000000"/>
        </w:rPr>
        <w:t>Cancer Biomark</w:t>
      </w:r>
      <w:r>
        <w:rPr>
          <w:rFonts w:ascii="Book Antiqua" w:hAnsi="Book Antiqua" w:eastAsia="Book Antiqua" w:cs="Book Antiqua"/>
          <w:color w:val="000000"/>
        </w:rPr>
        <w:t xml:space="preserve"> 2010; </w:t>
      </w:r>
      <w:r>
        <w:rPr>
          <w:rFonts w:ascii="Book Antiqua" w:hAnsi="Book Antiqua" w:eastAsia="Book Antiqua" w:cs="Book Antiqua"/>
          <w:b/>
          <w:bCs/>
          <w:color w:val="000000"/>
        </w:rPr>
        <w:t>6</w:t>
      </w:r>
      <w:r>
        <w:rPr>
          <w:rFonts w:ascii="Book Antiqua" w:hAnsi="Book Antiqua" w:eastAsia="Book Antiqua" w:cs="Book Antiqua"/>
          <w:color w:val="000000"/>
        </w:rPr>
        <w:t>: 63-72 [PMID: 20571232 DOI: 10.3233/CBM-2009-0119]</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Oloomi M</w:t>
      </w:r>
      <w:r>
        <w:rPr>
          <w:rFonts w:ascii="Book Antiqua" w:hAnsi="Book Antiqua" w:eastAsia="Book Antiqua" w:cs="Book Antiqua"/>
          <w:color w:val="000000"/>
        </w:rPr>
        <w:t xml:space="preserve">, Moazzezy N, Bouzari S. Comparing blood </w:t>
      </w:r>
      <w:r>
        <w:rPr>
          <w:rFonts w:ascii="Book Antiqua" w:hAnsi="Book Antiqua" w:eastAsia="Book Antiqua" w:cs="Book Antiqua"/>
          <w:i/>
          <w:iCs/>
          <w:color w:val="000000"/>
        </w:rPr>
        <w:t>vs</w:t>
      </w:r>
      <w:r>
        <w:rPr>
          <w:rFonts w:ascii="Book Antiqua" w:hAnsi="Book Antiqua" w:eastAsia="Book Antiqua" w:cs="Book Antiqua"/>
          <w:color w:val="000000"/>
        </w:rPr>
        <w:t xml:space="preserve"> tissue-based biomarkers expression in breast cancer patients. </w:t>
      </w:r>
      <w:r>
        <w:rPr>
          <w:rFonts w:ascii="Book Antiqua" w:hAnsi="Book Antiqua" w:eastAsia="Book Antiqua" w:cs="Book Antiqua"/>
          <w:i/>
          <w:iCs/>
          <w:color w:val="000000"/>
        </w:rPr>
        <w:t>Heliyon</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e03728 [PMID: 32274439 DOI: 10.1016/j.heliyon.2020.e03728]</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bookmarkEnd w:id="1"/>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Institutional Review Board/EC according to the ethical norms and regulations.</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bCs/>
          <w:color w:val="000000"/>
        </w:rPr>
        <w:t xml:space="preserve">Data </w:t>
      </w:r>
      <w:r>
        <w:rPr>
          <w:rFonts w:ascii="Book Antiqua" w:hAnsi="Book Antiqua" w:eastAsia="Book Antiqua" w:cs="Book Antiqua"/>
          <w:color w:val="000000"/>
        </w:rPr>
        <w:t>are available from the corresponding author upon reasonable request.</w:t>
      </w:r>
    </w:p>
    <w:p>
      <w:pPr>
        <w:spacing w:line="360" w:lineRule="auto"/>
        <w:jc w:val="both"/>
        <w:rPr>
          <w:rFonts w:ascii="Book Antiqua" w:hAnsi="Book Antiqua"/>
          <w:lang w:eastAsia="zh-CN"/>
        </w:rPr>
      </w:pPr>
    </w:p>
    <w:p>
      <w:pPr>
        <w:pStyle w:val="6"/>
        <w:spacing w:before="0" w:beforeAutospacing="0" w:after="0" w:afterAutospacing="0" w:line="360" w:lineRule="auto"/>
        <w:jc w:val="both"/>
        <w:rPr>
          <w:rFonts w:ascii="Book Antiqua" w:hAnsi="Book Antiqua"/>
        </w:rPr>
      </w:pPr>
      <w:r>
        <w:rPr>
          <w:rFonts w:ascii="Book Antiqua" w:hAnsi="Book Antiqua"/>
          <w:b/>
          <w:bCs/>
        </w:rPr>
        <w:t xml:space="preserve">CONSORT 2010 statement: </w:t>
      </w:r>
      <w:r>
        <w:rPr>
          <w:rFonts w:ascii="Book Antiqua" w:hAnsi="Book Antiqua"/>
        </w:rPr>
        <w:t>The authors have read the CONSORT 2010 Statement, and the manuscript was prepared and revised according to the CONSORT 2010 Statement.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 w:name="_Hlk66813953"/>
      <w:r>
        <w:rPr>
          <w:rFonts w:ascii="Book Antiqua" w:hAnsi="Book Antiqua" w:eastAsia="微软雅黑" w:cs="宋体"/>
        </w:rPr>
        <w:t>Oncology</w:t>
      </w:r>
      <w:bookmarkEnd w:id="2"/>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Liang Z, China; Wang J, China</w:t>
      </w:r>
      <w:r>
        <w:rPr>
          <w:rFonts w:ascii="Book Antiqua" w:hAnsi="Book Antiqua" w:eastAsia="Book Antiqua" w:cs="Book Antiqua"/>
          <w:b/>
          <w:color w:val="000000"/>
        </w:rPr>
        <w:t xml:space="preserve"> </w:t>
      </w:r>
      <w:r>
        <w:rPr>
          <w:rFonts w:ascii="Book Antiqua" w:hAnsi="Book Antiqua"/>
          <w:b/>
          <w:bCs/>
        </w:rPr>
        <w:t xml:space="preserve">A-Editor: </w:t>
      </w:r>
      <w:r>
        <w:rPr>
          <w:rFonts w:ascii="Book Antiqua" w:hAnsi="Book Antiqua"/>
        </w:rPr>
        <w:t xml:space="preserve">Liu </w:t>
      </w:r>
      <w:del w:id="0" w:author="千" w:date="2022-06-22T09:33:48Z">
        <w:r>
          <w:rPr>
            <w:rFonts w:ascii="Book Antiqua" w:hAnsi="Book Antiqua"/>
          </w:rPr>
          <w:delText>(Online Science Editor</w:delText>
        </w:r>
      </w:del>
      <w:r>
        <w:rPr>
          <w:rFonts w:hint="eastAsia" w:ascii="Book Antiqua" w:hAnsi="Book Antiqua"/>
          <w:lang w:val="en-US" w:eastAsia="zh-CN"/>
        </w:rPr>
        <w:t xml:space="preserve"> </w:t>
      </w:r>
      <w:r>
        <w:rPr>
          <w:rFonts w:ascii="Book Antiqua" w:hAnsi="Book Antiqua"/>
        </w:rPr>
        <w:t>X</w:t>
      </w:r>
      <w:del w:id="1" w:author="千" w:date="2022-06-22T09:33:52Z">
        <w:r>
          <w:rPr>
            <w:rFonts w:ascii="Book Antiqua" w:hAnsi="Book Antiqua"/>
          </w:rPr>
          <w:delText>)</w:delText>
        </w:r>
      </w:del>
      <w:r>
        <w:rPr>
          <w:rFonts w:ascii="Book Antiqua" w:hAnsi="Book Antiqua" w:eastAsia="Book Antiqua" w:cs="Book Antiqua"/>
          <w:color w:val="000000"/>
        </w:rPr>
        <w:t>,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Qi WW</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162550" cy="4475480"/>
            <wp:effectExtent l="0" t="0" r="3810" b="5080"/>
            <wp:docPr id="9" name="图片 9" descr="WJCO-13-52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O-13-529-g001"/>
                    <pic:cNvPicPr>
                      <a:picLocks noChangeAspect="1"/>
                    </pic:cNvPicPr>
                  </pic:nvPicPr>
                  <pic:blipFill>
                    <a:blip r:embed="rId5"/>
                    <a:stretch>
                      <a:fillRect/>
                    </a:stretch>
                  </pic:blipFill>
                  <pic:spPr>
                    <a:xfrm>
                      <a:off x="0" y="0"/>
                      <a:ext cx="5162550" cy="447548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w:t>
      </w:r>
      <w:r>
        <w:rPr>
          <w:rFonts w:ascii="Book Antiqua" w:hAnsi="Book Antiqua" w:cs="Book Antiqua"/>
          <w:b/>
          <w:color w:val="000000"/>
          <w:lang w:eastAsia="zh-CN"/>
        </w:rPr>
        <w:t xml:space="preserve"> R</w:t>
      </w:r>
      <w:r>
        <w:rPr>
          <w:rFonts w:ascii="Book Antiqua" w:hAnsi="Book Antiqua" w:eastAsia="Book Antiqua" w:cs="Book Antiqua"/>
          <w:b/>
          <w:color w:val="000000"/>
        </w:rPr>
        <w:t xml:space="preserve">eceiver operator characteristic </w:t>
      </w:r>
      <w:r>
        <w:rPr>
          <w:rFonts w:ascii="Book Antiqua" w:hAnsi="Book Antiqua" w:cs="Book Antiqua"/>
          <w:b/>
          <w:color w:val="000000"/>
          <w:lang w:eastAsia="zh-CN"/>
        </w:rPr>
        <w:t>c</w:t>
      </w:r>
      <w:r>
        <w:rPr>
          <w:rFonts w:ascii="Book Antiqua" w:hAnsi="Book Antiqua" w:eastAsia="Book Antiqua" w:cs="Book Antiqua"/>
          <w:b/>
          <w:color w:val="000000"/>
        </w:rPr>
        <w:t>urves</w:t>
      </w:r>
      <w:r>
        <w:rPr>
          <w:rFonts w:ascii="Book Antiqua" w:hAnsi="Book Antiqua" w:cs="Book Antiqua"/>
          <w:b/>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color w:val="000000"/>
        </w:rPr>
        <w:t>A:</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Pre-treatment receiver operator characteristic </w:t>
      </w:r>
      <w:r>
        <w:rPr>
          <w:rFonts w:ascii="Book Antiqua" w:hAnsi="Book Antiqua" w:cs="Book Antiqua"/>
          <w:color w:val="000000"/>
          <w:lang w:eastAsia="zh-CN"/>
        </w:rPr>
        <w:t>(</w:t>
      </w:r>
      <w:r>
        <w:rPr>
          <w:rFonts w:ascii="Book Antiqua" w:hAnsi="Book Antiqua" w:eastAsia="Book Antiqua" w:cs="Book Antiqua"/>
          <w:color w:val="000000"/>
        </w:rPr>
        <w:t>ROC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urve for whole study population</w:t>
      </w:r>
      <w:r>
        <w:rPr>
          <w:rFonts w:ascii="Book Antiqua" w:hAnsi="Book Antiqua" w:cs="Book Antiqua"/>
          <w:color w:val="000000"/>
          <w:lang w:eastAsia="zh-CN"/>
        </w:rPr>
        <w:t xml:space="preserve">; </w:t>
      </w:r>
      <w:r>
        <w:rPr>
          <w:rFonts w:ascii="Book Antiqua" w:hAnsi="Book Antiqua" w:eastAsia="Book Antiqua" w:cs="Book Antiqua"/>
          <w:color w:val="000000"/>
        </w:rPr>
        <w:t>B:</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Pre-treatment ROC curve for </w:t>
      </w:r>
      <w:r>
        <w:rPr>
          <w:rFonts w:ascii="Book Antiqua" w:hAnsi="Book Antiqua" w:cs="Book Antiqua"/>
          <w:color w:val="000000"/>
          <w:lang w:eastAsia="zh-CN"/>
        </w:rPr>
        <w:t>l</w:t>
      </w:r>
      <w:r>
        <w:rPr>
          <w:rFonts w:ascii="Book Antiqua" w:hAnsi="Book Antiqua" w:eastAsia="Book Antiqua" w:cs="Book Antiqua"/>
          <w:color w:val="000000"/>
        </w:rPr>
        <w:t>uminal type</w:t>
      </w:r>
      <w:r>
        <w:rPr>
          <w:rFonts w:ascii="Book Antiqua" w:hAnsi="Book Antiqua" w:cs="Book Antiqua"/>
          <w:color w:val="000000"/>
          <w:lang w:eastAsia="zh-CN"/>
        </w:rPr>
        <w:t>;</w:t>
      </w:r>
      <w:r>
        <w:rPr>
          <w:rFonts w:ascii="Book Antiqua" w:hAnsi="Book Antiqua" w:eastAsia="Book Antiqua" w:cs="Book Antiqua"/>
          <w:color w:val="000000"/>
        </w:rPr>
        <w:t xml:space="preserve"> C:</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Post-treatment ROC </w:t>
      </w:r>
      <w:r>
        <w:rPr>
          <w:rFonts w:ascii="Book Antiqua" w:hAnsi="Book Antiqua" w:cs="Book Antiqua"/>
          <w:color w:val="000000"/>
          <w:lang w:eastAsia="zh-CN"/>
        </w:rPr>
        <w:t>c</w:t>
      </w:r>
      <w:r>
        <w:rPr>
          <w:rFonts w:ascii="Book Antiqua" w:hAnsi="Book Antiqua" w:eastAsia="Book Antiqua" w:cs="Book Antiqua"/>
          <w:color w:val="000000"/>
        </w:rPr>
        <w:t>urve for whole study population</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 Post-treatment ROC curve for </w:t>
      </w:r>
      <w:r>
        <w:rPr>
          <w:rFonts w:ascii="Book Antiqua" w:hAnsi="Book Antiqua" w:cs="Book Antiqua"/>
          <w:color w:val="000000"/>
          <w:lang w:eastAsia="zh-CN"/>
        </w:rPr>
        <w:t>l</w:t>
      </w:r>
      <w:r>
        <w:rPr>
          <w:rFonts w:ascii="Book Antiqua" w:hAnsi="Book Antiqua" w:eastAsia="Book Antiqua" w:cs="Book Antiqua"/>
          <w:color w:val="000000"/>
        </w:rPr>
        <w:t>uminal type</w:t>
      </w:r>
      <w:r>
        <w:rPr>
          <w:rFonts w:ascii="Book Antiqua" w:hAnsi="Book Antiqua" w:cs="Book Antiqua"/>
          <w:color w:val="000000"/>
          <w:lang w:eastAsia="zh-CN"/>
        </w:rPr>
        <w:t xml:space="preserve">. </w:t>
      </w:r>
      <w:r>
        <w:rPr>
          <w:rFonts w:ascii="Book Antiqua" w:hAnsi="Book Antiqua" w:eastAsia="Book Antiqua" w:cs="Book Antiqua"/>
          <w:color w:val="000000"/>
        </w:rPr>
        <w:t>ROC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eceiver operator characteristic</w:t>
      </w:r>
      <w:r>
        <w:rPr>
          <w:rFonts w:ascii="Book Antiqua" w:hAnsi="Book Antiqua" w:cs="Book Antiqua"/>
          <w:color w:val="000000"/>
          <w:lang w:eastAsia="zh-CN"/>
        </w:rPr>
        <w:t xml:space="preserve">; CEA: </w:t>
      </w:r>
      <w:r>
        <w:rPr>
          <w:rFonts w:ascii="Book Antiqua" w:hAnsi="Book Antiqua" w:eastAsia="Book Antiqua" w:cs="Book Antiqua"/>
          <w:color w:val="000000"/>
        </w:rPr>
        <w:t>Carcinoembryonic antigen</w:t>
      </w:r>
      <w:r>
        <w:rPr>
          <w:rFonts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114300" distR="114300">
            <wp:extent cx="4266565" cy="7847965"/>
            <wp:effectExtent l="0" t="0" r="635" b="635"/>
            <wp:docPr id="10" name="图片 10" descr="WJCO-13-52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O-13-529-g002"/>
                    <pic:cNvPicPr>
                      <a:picLocks noChangeAspect="1"/>
                    </pic:cNvPicPr>
                  </pic:nvPicPr>
                  <pic:blipFill>
                    <a:blip r:embed="rId6"/>
                    <a:stretch>
                      <a:fillRect/>
                    </a:stretch>
                  </pic:blipFill>
                  <pic:spPr>
                    <a:xfrm>
                      <a:off x="0" y="0"/>
                      <a:ext cx="4266565" cy="7847965"/>
                    </a:xfrm>
                    <a:prstGeom prst="rect">
                      <a:avLst/>
                    </a:prstGeom>
                  </pic:spPr>
                </pic:pic>
              </a:graphicData>
            </a:graphic>
          </wp:inline>
        </w:drawing>
      </w:r>
      <w:r>
        <w:rPr>
          <w:rFonts w:ascii="Book Antiqua" w:hAnsi="Book Antiqua"/>
          <w:lang w:eastAsia="zh-CN"/>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 Treatment response</w:t>
      </w:r>
      <w:r>
        <w:rPr>
          <w:rFonts w:ascii="Book Antiqua" w:hAnsi="Book Antiqua" w:cs="Book Antiqua"/>
          <w:b/>
          <w:color w:val="000000"/>
          <w:lang w:eastAsia="zh-CN"/>
        </w:rPr>
        <w:t>.</w:t>
      </w:r>
      <w:r>
        <w:rPr>
          <w:rFonts w:ascii="Book Antiqua" w:hAnsi="Book Antiqua" w:eastAsia="Book Antiqua" w:cs="Book Antiqua"/>
          <w:color w:val="000000"/>
        </w:rPr>
        <w:t xml:space="preserve"> A</w:t>
      </w:r>
      <w:r>
        <w:rPr>
          <w:rFonts w:ascii="Book Antiqua" w:hAnsi="Book Antiqua" w:cs="Book Antiqua"/>
          <w:color w:val="000000"/>
          <w:lang w:eastAsia="zh-CN"/>
        </w:rPr>
        <w:t>:</w:t>
      </w:r>
      <w:r>
        <w:rPr>
          <w:rFonts w:ascii="Book Antiqua" w:hAnsi="Book Antiqua" w:eastAsia="Book Antiqua" w:cs="Book Antiqua"/>
          <w:color w:val="000000"/>
        </w:rPr>
        <w:t xml:space="preserve"> Association of treatment response with </w:t>
      </w:r>
      <w:r>
        <w:rPr>
          <w:rFonts w:ascii="Book Antiqua" w:hAnsi="Book Antiqua" w:cs="Book Antiqua"/>
          <w:color w:val="000000"/>
          <w:lang w:eastAsia="zh-CN"/>
        </w:rPr>
        <w:t>s</w:t>
      </w:r>
      <w:r>
        <w:rPr>
          <w:rFonts w:ascii="Book Antiqua" w:hAnsi="Book Antiqua" w:eastAsia="Book Antiqua" w:cs="Book Antiqua"/>
          <w:color w:val="000000"/>
        </w:rPr>
        <w:t xml:space="preserve">erum </w:t>
      </w:r>
      <w:r>
        <w:rPr>
          <w:rFonts w:ascii="Book Antiqua" w:hAnsi="Book Antiqua" w:cs="Book Antiqua"/>
          <w:color w:val="000000"/>
          <w:lang w:eastAsia="zh-CN"/>
        </w:rPr>
        <w:t>c</w:t>
      </w:r>
      <w:r>
        <w:rPr>
          <w:rFonts w:ascii="Book Antiqua" w:hAnsi="Book Antiqua" w:eastAsia="Book Antiqua" w:cs="Book Antiqua"/>
          <w:color w:val="000000"/>
        </w:rPr>
        <w:t xml:space="preserve">arcinoembryonic antigen </w:t>
      </w:r>
      <w:r>
        <w:rPr>
          <w:rFonts w:ascii="Book Antiqua" w:hAnsi="Book Antiqua" w:cs="Book Antiqua"/>
          <w:color w:val="000000"/>
          <w:lang w:eastAsia="zh-CN"/>
        </w:rPr>
        <w:t>(</w:t>
      </w:r>
      <w:r>
        <w:rPr>
          <w:rFonts w:ascii="Book Antiqua" w:hAnsi="Book Antiqua" w:eastAsia="Book Antiqua" w:cs="Book Antiqua"/>
          <w:color w:val="000000"/>
        </w:rPr>
        <w:t>CEA</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p</w:t>
      </w:r>
      <w:r>
        <w:rPr>
          <w:rFonts w:ascii="Book Antiqua" w:hAnsi="Book Antiqua" w:eastAsia="Book Antiqua" w:cs="Book Antiqua"/>
          <w:color w:val="000000"/>
        </w:rPr>
        <w:t>re-treatment and post</w:t>
      </w:r>
      <w:r>
        <w:rPr>
          <w:rFonts w:ascii="Book Antiqua" w:hAnsi="Book Antiqua" w:cs="Book Antiqua"/>
          <w:color w:val="000000"/>
          <w:lang w:eastAsia="zh-CN"/>
        </w:rPr>
        <w:t>-</w:t>
      </w:r>
      <w:r>
        <w:rPr>
          <w:rFonts w:ascii="Book Antiqua" w:hAnsi="Book Antiqua" w:eastAsia="Book Antiqua" w:cs="Book Antiqua"/>
          <w:color w:val="000000"/>
        </w:rPr>
        <w:t xml:space="preserve">treatment) in </w:t>
      </w:r>
      <w:r>
        <w:rPr>
          <w:rFonts w:ascii="Book Antiqua" w:hAnsi="Book Antiqua" w:cs="Book Antiqua"/>
          <w:color w:val="000000"/>
          <w:lang w:eastAsia="zh-CN"/>
        </w:rPr>
        <w:t>w</w:t>
      </w:r>
      <w:r>
        <w:rPr>
          <w:rFonts w:ascii="Book Antiqua" w:hAnsi="Book Antiqua" w:eastAsia="Book Antiqua" w:cs="Book Antiqua"/>
          <w:color w:val="000000"/>
        </w:rPr>
        <w:t>hole study population</w:t>
      </w:r>
      <w:r>
        <w:rPr>
          <w:rFonts w:ascii="Book Antiqua" w:hAnsi="Book Antiqua" w:cs="Book Antiqua"/>
          <w:color w:val="000000"/>
          <w:lang w:eastAsia="zh-CN"/>
        </w:rPr>
        <w:t>;</w:t>
      </w:r>
      <w:r>
        <w:rPr>
          <w:rFonts w:ascii="Book Antiqua" w:hAnsi="Book Antiqua" w:eastAsia="Book Antiqua" w:cs="Book Antiqua"/>
          <w:color w:val="000000"/>
        </w:rPr>
        <w:t xml:space="preserve"> B</w:t>
      </w:r>
      <w:r>
        <w:rPr>
          <w:rFonts w:ascii="Book Antiqua" w:hAnsi="Book Antiqua" w:cs="Book Antiqua"/>
          <w:color w:val="000000"/>
          <w:lang w:eastAsia="zh-CN"/>
        </w:rPr>
        <w:t>:</w:t>
      </w:r>
      <w:r>
        <w:rPr>
          <w:rFonts w:ascii="Book Antiqua" w:hAnsi="Book Antiqua" w:eastAsia="Book Antiqua" w:cs="Book Antiqua"/>
          <w:color w:val="000000"/>
        </w:rPr>
        <w:t xml:space="preserve"> Association of treatment response with </w:t>
      </w:r>
      <w:r>
        <w:rPr>
          <w:rFonts w:ascii="Book Antiqua" w:hAnsi="Book Antiqua" w:cs="Book Antiqua"/>
          <w:color w:val="000000"/>
          <w:lang w:eastAsia="zh-CN"/>
        </w:rPr>
        <w:t>s</w:t>
      </w:r>
      <w:r>
        <w:rPr>
          <w:rFonts w:ascii="Book Antiqua" w:hAnsi="Book Antiqua" w:eastAsia="Book Antiqua" w:cs="Book Antiqua"/>
          <w:color w:val="000000"/>
        </w:rPr>
        <w:t>erum CEA in non-</w:t>
      </w:r>
      <w:r>
        <w:rPr>
          <w:rFonts w:ascii="Book Antiqua" w:hAnsi="Book Antiqua" w:cs="Book Antiqua"/>
          <w:color w:val="000000"/>
          <w:lang w:eastAsia="zh-CN"/>
        </w:rPr>
        <w:t>l</w:t>
      </w:r>
      <w:r>
        <w:rPr>
          <w:rFonts w:ascii="Book Antiqua" w:hAnsi="Book Antiqua" w:eastAsia="Book Antiqua" w:cs="Book Antiqua"/>
          <w:color w:val="000000"/>
        </w:rPr>
        <w:t>uminal type</w:t>
      </w:r>
      <w:r>
        <w:rPr>
          <w:rFonts w:ascii="Book Antiqua" w:hAnsi="Book Antiqua" w:cs="Book Antiqua"/>
          <w:color w:val="000000"/>
          <w:lang w:eastAsia="zh-CN"/>
        </w:rPr>
        <w:t>;</w:t>
      </w:r>
      <w:r>
        <w:rPr>
          <w:rFonts w:ascii="Book Antiqua" w:hAnsi="Book Antiqua" w:eastAsia="Book Antiqua" w:cs="Book Antiqua"/>
          <w:color w:val="000000"/>
        </w:rPr>
        <w:t xml:space="preserve"> C</w:t>
      </w:r>
      <w:r>
        <w:rPr>
          <w:rFonts w:ascii="Book Antiqua" w:hAnsi="Book Antiqua" w:cs="Book Antiqua"/>
          <w:color w:val="000000"/>
          <w:lang w:eastAsia="zh-CN"/>
        </w:rPr>
        <w:t>:</w:t>
      </w:r>
      <w:r>
        <w:rPr>
          <w:rFonts w:ascii="Book Antiqua" w:hAnsi="Book Antiqua" w:eastAsia="Book Antiqua" w:cs="Book Antiqua"/>
          <w:color w:val="000000"/>
        </w:rPr>
        <w:t xml:space="preserve"> Association of treatment response with </w:t>
      </w:r>
      <w:r>
        <w:rPr>
          <w:rFonts w:ascii="Book Antiqua" w:hAnsi="Book Antiqua" w:cs="Book Antiqua"/>
          <w:color w:val="000000"/>
          <w:lang w:eastAsia="zh-CN"/>
        </w:rPr>
        <w:t>s</w:t>
      </w:r>
      <w:r>
        <w:rPr>
          <w:rFonts w:ascii="Book Antiqua" w:hAnsi="Book Antiqua" w:eastAsia="Book Antiqua" w:cs="Book Antiqua"/>
          <w:color w:val="000000"/>
        </w:rPr>
        <w:t xml:space="preserve">erum CEA in </w:t>
      </w:r>
      <w:r>
        <w:rPr>
          <w:rFonts w:ascii="Book Antiqua" w:hAnsi="Book Antiqua" w:cs="Book Antiqua"/>
          <w:color w:val="000000"/>
          <w:lang w:eastAsia="zh-CN"/>
        </w:rPr>
        <w:t>l</w:t>
      </w:r>
      <w:r>
        <w:rPr>
          <w:rFonts w:ascii="Book Antiqua" w:hAnsi="Book Antiqua" w:eastAsia="Book Antiqua" w:cs="Book Antiqua"/>
          <w:color w:val="000000"/>
        </w:rPr>
        <w:t>uminal type</w:t>
      </w:r>
      <w:r>
        <w:rPr>
          <w:rFonts w:ascii="Book Antiqua" w:hAnsi="Book Antiqua" w:cs="Book Antiqua"/>
          <w:color w:val="000000"/>
          <w:lang w:eastAsia="zh-CN"/>
        </w:rPr>
        <w:t xml:space="preserve">. CEA: </w:t>
      </w:r>
      <w:r>
        <w:rPr>
          <w:rFonts w:ascii="Book Antiqua" w:hAnsi="Book Antiqua" w:eastAsia="Book Antiqua" w:cs="Book Antiqua"/>
          <w:color w:val="000000"/>
        </w:rPr>
        <w:t>Carcinoembryonic antigen</w:t>
      </w:r>
      <w:r>
        <w:rPr>
          <w:rFonts w:ascii="Book Antiqua" w:hAnsi="Book Antiqua" w:cs="Book Antiqua"/>
          <w:color w:val="000000"/>
          <w:lang w:eastAsia="zh-CN"/>
        </w:rPr>
        <w:t>.</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114300" distR="114300">
            <wp:extent cx="5627370" cy="2239010"/>
            <wp:effectExtent l="0" t="0" r="11430" b="1270"/>
            <wp:docPr id="11" name="图片 11" descr="WJCO-13-52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O-13-529-g003"/>
                    <pic:cNvPicPr>
                      <a:picLocks noChangeAspect="1"/>
                    </pic:cNvPicPr>
                  </pic:nvPicPr>
                  <pic:blipFill>
                    <a:blip r:embed="rId7"/>
                    <a:stretch>
                      <a:fillRect/>
                    </a:stretch>
                  </pic:blipFill>
                  <pic:spPr>
                    <a:xfrm>
                      <a:off x="0" y="0"/>
                      <a:ext cx="5627370" cy="223901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3 Median pre-treatment and post</w:t>
      </w:r>
      <w:r>
        <w:rPr>
          <w:rFonts w:ascii="Book Antiqua" w:hAnsi="Book Antiqua" w:cs="Book Antiqua"/>
          <w:b/>
          <w:color w:val="000000"/>
          <w:lang w:eastAsia="zh-CN"/>
        </w:rPr>
        <w:t>-</w:t>
      </w:r>
      <w:r>
        <w:rPr>
          <w:rFonts w:ascii="Book Antiqua" w:hAnsi="Book Antiqua" w:eastAsia="Book Antiqua" w:cs="Book Antiqua"/>
          <w:b/>
          <w:color w:val="000000"/>
        </w:rPr>
        <w:t xml:space="preserve">treatment serum </w:t>
      </w:r>
      <w:r>
        <w:rPr>
          <w:rFonts w:ascii="Book Antiqua" w:hAnsi="Book Antiqua" w:cs="Book Antiqua"/>
          <w:b/>
          <w:color w:val="000000"/>
          <w:lang w:eastAsia="zh-CN"/>
        </w:rPr>
        <w:t>c</w:t>
      </w:r>
      <w:r>
        <w:rPr>
          <w:rFonts w:ascii="Book Antiqua" w:hAnsi="Book Antiqua" w:eastAsia="Book Antiqua" w:cs="Book Antiqua"/>
          <w:b/>
          <w:color w:val="000000"/>
        </w:rPr>
        <w:t xml:space="preserve">arcinoembryonic antigen levels in </w:t>
      </w:r>
      <w:r>
        <w:rPr>
          <w:rFonts w:ascii="Book Antiqua" w:hAnsi="Book Antiqua" w:cs="Book Antiqua"/>
          <w:b/>
          <w:color w:val="000000"/>
          <w:lang w:eastAsia="zh-CN"/>
        </w:rPr>
        <w:t>r</w:t>
      </w:r>
      <w:r>
        <w:rPr>
          <w:rFonts w:ascii="Book Antiqua" w:hAnsi="Book Antiqua" w:eastAsia="Book Antiqua" w:cs="Book Antiqua"/>
          <w:b/>
          <w:color w:val="000000"/>
        </w:rPr>
        <w:t>esponders and non-responders according to various sites of metastasis.</w:t>
      </w:r>
      <w:r>
        <w:rPr>
          <w:rFonts w:ascii="Book Antiqua" w:hAnsi="Book Antiqua" w:cs="Book Antiqua"/>
          <w:color w:val="000000"/>
          <w:lang w:eastAsia="zh-CN"/>
        </w:rPr>
        <w:t xml:space="preserve"> A: </w:t>
      </w:r>
      <w:r>
        <w:rPr>
          <w:rFonts w:ascii="Book Antiqua" w:hAnsi="Book Antiqua" w:eastAsia="Book Antiqua" w:cs="Book Antiqua"/>
          <w:color w:val="000000"/>
        </w:rPr>
        <w:t xml:space="preserve">Median pre-treatment serum </w:t>
      </w:r>
      <w:r>
        <w:rPr>
          <w:rFonts w:ascii="Book Antiqua" w:hAnsi="Book Antiqua" w:cs="Book Antiqua"/>
          <w:color w:val="000000"/>
          <w:lang w:eastAsia="zh-CN"/>
        </w:rPr>
        <w:t>c</w:t>
      </w:r>
      <w:r>
        <w:rPr>
          <w:rFonts w:ascii="Book Antiqua" w:hAnsi="Book Antiqua" w:eastAsia="Book Antiqua" w:cs="Book Antiqua"/>
          <w:color w:val="000000"/>
        </w:rPr>
        <w:t xml:space="preserve">arcinoembryonic antigen </w:t>
      </w:r>
      <w:r>
        <w:rPr>
          <w:rFonts w:ascii="Book Antiqua" w:hAnsi="Book Antiqua" w:cs="Book Antiqua"/>
          <w:color w:val="000000"/>
          <w:lang w:eastAsia="zh-CN"/>
        </w:rPr>
        <w:t>(</w:t>
      </w:r>
      <w:r>
        <w:rPr>
          <w:rFonts w:ascii="Book Antiqua" w:hAnsi="Book Antiqua" w:eastAsia="Book Antiqua" w:cs="Book Antiqua"/>
          <w:color w:val="000000"/>
        </w:rPr>
        <w:t>CEA</w:t>
      </w:r>
      <w:r>
        <w:rPr>
          <w:rFonts w:ascii="Book Antiqua" w:hAnsi="Book Antiqua" w:cs="Book Antiqua"/>
          <w:color w:val="000000"/>
          <w:lang w:eastAsia="zh-CN"/>
        </w:rPr>
        <w:t>)</w:t>
      </w:r>
      <w:r>
        <w:rPr>
          <w:rFonts w:ascii="Book Antiqua" w:hAnsi="Book Antiqua" w:eastAsia="Book Antiqua" w:cs="Book Antiqua"/>
          <w:color w:val="000000"/>
        </w:rPr>
        <w:t xml:space="preserve"> level</w:t>
      </w:r>
      <w:r>
        <w:rPr>
          <w:rFonts w:ascii="Book Antiqua" w:hAnsi="Book Antiqua" w:cs="Book Antiqua"/>
          <w:color w:val="000000"/>
          <w:lang w:eastAsia="zh-CN"/>
        </w:rPr>
        <w:t xml:space="preserve">; B: </w:t>
      </w:r>
      <w:r>
        <w:rPr>
          <w:rFonts w:ascii="Book Antiqua" w:hAnsi="Book Antiqua" w:eastAsia="Book Antiqua" w:cs="Book Antiqua"/>
          <w:color w:val="000000"/>
        </w:rPr>
        <w:t>Median p</w:t>
      </w:r>
      <w:r>
        <w:rPr>
          <w:rFonts w:ascii="Book Antiqua" w:hAnsi="Book Antiqua" w:cs="Book Antiqua"/>
          <w:color w:val="000000"/>
          <w:lang w:eastAsia="zh-CN"/>
        </w:rPr>
        <w:t>ost</w:t>
      </w:r>
      <w:r>
        <w:rPr>
          <w:rFonts w:ascii="Book Antiqua" w:hAnsi="Book Antiqua" w:eastAsia="Book Antiqua" w:cs="Book Antiqua"/>
          <w:color w:val="000000"/>
        </w:rPr>
        <w:t>-treatment serum CEA level</w:t>
      </w:r>
      <w:r>
        <w:rPr>
          <w:rFonts w:ascii="Book Antiqua" w:hAnsi="Book Antiqua" w:cs="Book Antiqua"/>
          <w:color w:val="000000"/>
          <w:lang w:eastAsia="zh-CN"/>
        </w:rPr>
        <w:t xml:space="preserve">. CEA: </w:t>
      </w:r>
      <w:r>
        <w:rPr>
          <w:rFonts w:ascii="Book Antiqua" w:hAnsi="Book Antiqua" w:eastAsia="Book Antiqua" w:cs="Book Antiqua"/>
          <w:color w:val="000000"/>
        </w:rPr>
        <w:t>Carcinoembryonic antigen</w:t>
      </w:r>
      <w:r>
        <w:rPr>
          <w:rFonts w:ascii="Book Antiqua" w:hAnsi="Book Antiqua" w:cs="Book Antiqua"/>
          <w:color w:val="000000"/>
          <w:lang w:eastAsia="zh-CN"/>
        </w:rPr>
        <w:t>.</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114300" distR="114300">
            <wp:extent cx="5010785" cy="2072005"/>
            <wp:effectExtent l="0" t="0" r="3175" b="635"/>
            <wp:docPr id="12" name="图片 12" descr="WJCO-13-529-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O-13-529-g004"/>
                    <pic:cNvPicPr>
                      <a:picLocks noChangeAspect="1"/>
                    </pic:cNvPicPr>
                  </pic:nvPicPr>
                  <pic:blipFill>
                    <a:blip r:embed="rId8"/>
                    <a:stretch>
                      <a:fillRect/>
                    </a:stretch>
                  </pic:blipFill>
                  <pic:spPr>
                    <a:xfrm>
                      <a:off x="0" y="0"/>
                      <a:ext cx="5010785" cy="2072005"/>
                    </a:xfrm>
                    <a:prstGeom prst="rect">
                      <a:avLst/>
                    </a:prstGeom>
                  </pic:spPr>
                </pic:pic>
              </a:graphicData>
            </a:graphic>
          </wp:inline>
        </w:drawing>
      </w:r>
      <w:bookmarkStart w:id="7" w:name="_GoBack"/>
      <w:bookmarkEnd w:id="7"/>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4 Association of post</w:t>
      </w:r>
      <w:r>
        <w:rPr>
          <w:rFonts w:ascii="Book Antiqua" w:hAnsi="Book Antiqua" w:cs="Book Antiqua"/>
          <w:b/>
          <w:color w:val="000000"/>
          <w:lang w:eastAsia="zh-CN"/>
        </w:rPr>
        <w:t>-</w:t>
      </w:r>
      <w:r>
        <w:rPr>
          <w:rFonts w:ascii="Book Antiqua" w:hAnsi="Book Antiqua" w:eastAsia="Book Antiqua" w:cs="Book Antiqua"/>
          <w:b/>
          <w:color w:val="000000"/>
        </w:rPr>
        <w:t xml:space="preserve">treatment </w:t>
      </w:r>
      <w:r>
        <w:rPr>
          <w:rFonts w:ascii="Book Antiqua" w:hAnsi="Book Antiqua" w:cs="Book Antiqua"/>
          <w:b/>
          <w:color w:val="000000"/>
          <w:lang w:eastAsia="zh-CN"/>
        </w:rPr>
        <w:t>s</w:t>
      </w:r>
      <w:r>
        <w:rPr>
          <w:rFonts w:ascii="Book Antiqua" w:hAnsi="Book Antiqua" w:eastAsia="Book Antiqua" w:cs="Book Antiqua"/>
          <w:b/>
          <w:color w:val="000000"/>
        </w:rPr>
        <w:t xml:space="preserve">erum </w:t>
      </w:r>
      <w:r>
        <w:rPr>
          <w:rFonts w:ascii="Book Antiqua" w:hAnsi="Book Antiqua" w:cs="Book Antiqua"/>
          <w:b/>
          <w:color w:val="000000"/>
          <w:lang w:eastAsia="zh-CN"/>
        </w:rPr>
        <w:t>c</w:t>
      </w:r>
      <w:r>
        <w:rPr>
          <w:rFonts w:ascii="Book Antiqua" w:hAnsi="Book Antiqua" w:eastAsia="Book Antiqua" w:cs="Book Antiqua"/>
          <w:b/>
          <w:color w:val="000000"/>
        </w:rPr>
        <w:t xml:space="preserve">arcinoembryonic antigen with </w:t>
      </w:r>
      <w:r>
        <w:rPr>
          <w:rFonts w:ascii="Book Antiqua" w:hAnsi="Book Antiqua" w:cs="Book Antiqua"/>
          <w:b/>
          <w:color w:val="000000"/>
          <w:lang w:eastAsia="zh-CN"/>
        </w:rPr>
        <w:t>b</w:t>
      </w:r>
      <w:r>
        <w:rPr>
          <w:rFonts w:ascii="Book Antiqua" w:hAnsi="Book Antiqua" w:eastAsia="Book Antiqua" w:cs="Book Antiqua"/>
          <w:b/>
          <w:color w:val="000000"/>
        </w:rPr>
        <w:t>one metastases</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CEA: </w:t>
      </w:r>
      <w:r>
        <w:rPr>
          <w:rFonts w:ascii="Book Antiqua" w:hAnsi="Book Antiqua"/>
        </w:rPr>
        <w:t>Carcinoembryonic antigen</w:t>
      </w:r>
      <w:r>
        <w:rPr>
          <w:rFonts w:ascii="Book Antiqua" w:hAnsi="Book Antiqua" w:cs="Book Antiqua"/>
          <w:color w:val="000000"/>
          <w:lang w:eastAsia="zh-CN"/>
        </w:rPr>
        <w:t>.</w:t>
      </w:r>
    </w:p>
    <w:p>
      <w:pPr>
        <w:spacing w:line="360" w:lineRule="auto"/>
        <w:jc w:val="both"/>
        <w:rPr>
          <w:rFonts w:ascii="Book Antiqua" w:hAnsi="Book Antiqua"/>
          <w:b/>
          <w:bCs/>
          <w:lang w:eastAsia="zh-CN"/>
        </w:rPr>
      </w:pPr>
      <w:r>
        <w:rPr>
          <w:rFonts w:ascii="Book Antiqua" w:hAnsi="Book Antiqua" w:cs="Book Antiqua"/>
          <w:b/>
          <w:color w:val="000000"/>
          <w:lang w:eastAsia="zh-CN"/>
        </w:rPr>
        <w:br w:type="page"/>
      </w:r>
      <w:r>
        <w:rPr>
          <w:rFonts w:ascii="Book Antiqua" w:hAnsi="Book Antiqua"/>
          <w:b/>
          <w:bCs/>
        </w:rPr>
        <w:t xml:space="preserve">Table 1 Association of baseline </w:t>
      </w:r>
      <w:r>
        <w:rPr>
          <w:rFonts w:ascii="Book Antiqua" w:hAnsi="Book Antiqua"/>
          <w:b/>
          <w:bCs/>
          <w:lang w:eastAsia="zh-CN"/>
        </w:rPr>
        <w:t>s</w:t>
      </w:r>
      <w:r>
        <w:rPr>
          <w:rFonts w:ascii="Book Antiqua" w:hAnsi="Book Antiqua"/>
          <w:b/>
          <w:bCs/>
        </w:rPr>
        <w:t xml:space="preserve">erum </w:t>
      </w:r>
      <w:r>
        <w:rPr>
          <w:rFonts w:ascii="Book Antiqua" w:hAnsi="Book Antiqua"/>
          <w:b/>
          <w:lang w:eastAsia="zh-CN"/>
        </w:rPr>
        <w:t>c</w:t>
      </w:r>
      <w:r>
        <w:rPr>
          <w:rFonts w:ascii="Book Antiqua" w:hAnsi="Book Antiqua"/>
          <w:b/>
        </w:rPr>
        <w:t>arcinoembryonic antigen</w:t>
      </w:r>
      <w:r>
        <w:rPr>
          <w:rFonts w:ascii="Book Antiqua" w:hAnsi="Book Antiqua"/>
          <w:b/>
          <w:bCs/>
        </w:rPr>
        <w:t xml:space="preserve"> with other variables in study population</w:t>
      </w:r>
    </w:p>
    <w:tbl>
      <w:tblPr>
        <w:tblStyle w:val="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8"/>
        <w:gridCol w:w="1722"/>
        <w:gridCol w:w="2383"/>
        <w:gridCol w:w="23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sz w:val="24"/>
                <w:szCs w:val="24"/>
              </w:rPr>
            </w:pPr>
            <w:bookmarkStart w:id="3" w:name="_Hlk89630626"/>
            <w:r>
              <w:rPr>
                <w:rFonts w:ascii="Book Antiqua" w:hAnsi="Book Antiqua" w:cs="Times New Roman"/>
                <w:b/>
                <w:sz w:val="24"/>
                <w:szCs w:val="24"/>
              </w:rPr>
              <w:t xml:space="preserve">CEA </w:t>
            </w:r>
            <w:bookmarkEnd w:id="3"/>
            <w:r>
              <w:rPr>
                <w:rFonts w:ascii="Book Antiqua" w:hAnsi="Book Antiqua" w:cs="Times New Roman"/>
                <w:b/>
                <w:sz w:val="24"/>
                <w:szCs w:val="24"/>
              </w:rPr>
              <w:t>level</w:t>
            </w:r>
          </w:p>
        </w:tc>
        <w:tc>
          <w:tcPr>
            <w:tcW w:w="899"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sz w:val="24"/>
                <w:szCs w:val="24"/>
              </w:rPr>
            </w:pPr>
            <w:r>
              <w:rPr>
                <w:rFonts w:ascii="Book Antiqua" w:hAnsi="Book Antiqua" w:cs="Times New Roman"/>
                <w:b/>
                <w:sz w:val="24"/>
                <w:szCs w:val="24"/>
              </w:rPr>
              <w:t>Less than or equal to 3.8</w:t>
            </w:r>
          </w:p>
        </w:tc>
        <w:tc>
          <w:tcPr>
            <w:tcW w:w="1244"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sz w:val="24"/>
                <w:szCs w:val="24"/>
              </w:rPr>
            </w:pPr>
            <w:r>
              <w:rPr>
                <w:rFonts w:ascii="Book Antiqua" w:hAnsi="Book Antiqua" w:cs="Times New Roman"/>
                <w:b/>
                <w:sz w:val="24"/>
                <w:szCs w:val="24"/>
              </w:rPr>
              <w:t>More than 3.8</w:t>
            </w:r>
          </w:p>
        </w:tc>
        <w:tc>
          <w:tcPr>
            <w:tcW w:w="1244"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sz w:val="24"/>
                <w:szCs w:val="24"/>
              </w:rPr>
            </w:pPr>
            <w:r>
              <w:rPr>
                <w:rFonts w:ascii="Book Antiqua" w:hAnsi="Book Antiqua" w:cs="Times New Roman" w:eastAsiaTheme="minorEastAsia"/>
                <w:b/>
                <w:i/>
                <w:sz w:val="24"/>
                <w:szCs w:val="24"/>
                <w:lang w:eastAsia="zh-CN"/>
              </w:rPr>
              <w:t xml:space="preserve">P </w:t>
            </w:r>
            <w:r>
              <w:rPr>
                <w:rFonts w:ascii="Book Antiqua" w:hAnsi="Book Antiqua" w:cs="Times New Roman"/>
                <w:b/>
                <w:sz w:val="24"/>
                <w:szCs w:val="24"/>
              </w:rPr>
              <w:t xml:space="preserve">value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12"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Pre-menopausal</w:t>
            </w:r>
          </w:p>
        </w:tc>
        <w:tc>
          <w:tcPr>
            <w:tcW w:w="899"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3</w:t>
            </w:r>
          </w:p>
        </w:tc>
        <w:tc>
          <w:tcPr>
            <w:tcW w:w="1244"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9</w:t>
            </w:r>
          </w:p>
        </w:tc>
        <w:tc>
          <w:tcPr>
            <w:tcW w:w="1244" w:type="pct"/>
            <w:vMerge w:val="restar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Post-menopausal</w:t>
            </w:r>
          </w:p>
        </w:tc>
        <w:tc>
          <w:tcPr>
            <w:tcW w:w="899"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11</w:t>
            </w:r>
          </w:p>
        </w:tc>
        <w:tc>
          <w:tcPr>
            <w:tcW w:w="1244"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27</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Grade</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2</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3</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9</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Grade</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3</w:t>
            </w:r>
          </w:p>
        </w:tc>
        <w:tc>
          <w:tcPr>
            <w:tcW w:w="899"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11</w:t>
            </w:r>
          </w:p>
        </w:tc>
        <w:tc>
          <w:tcPr>
            <w:tcW w:w="1244"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27</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Luminal</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6</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30</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Her2 Neu</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1</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2</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b/>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bookmarkStart w:id="4" w:name="_Hlk89630659"/>
            <w:r>
              <w:rPr>
                <w:rFonts w:ascii="Book Antiqua" w:hAnsi="Book Antiqua" w:cs="Times New Roman"/>
                <w:sz w:val="24"/>
                <w:szCs w:val="24"/>
              </w:rPr>
              <w:t>TNBC</w:t>
            </w:r>
            <w:bookmarkEnd w:id="4"/>
          </w:p>
        </w:tc>
        <w:tc>
          <w:tcPr>
            <w:tcW w:w="899"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7</w:t>
            </w:r>
          </w:p>
        </w:tc>
        <w:tc>
          <w:tcPr>
            <w:tcW w:w="1244"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4</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b/>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Luminal</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6</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30</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Non luminal</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8</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6</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Bone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6</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19</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0.682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No bone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7</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17</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Lung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11</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25</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No lung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2</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11</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Liver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3</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15</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0.392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No liver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10</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21</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Less than 5 metastases</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1</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2</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More than 5</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12</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34</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PR/SD/CR</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9</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sz w:val="24"/>
                <w:szCs w:val="24"/>
              </w:rPr>
              <w:t>23</w:t>
            </w:r>
          </w:p>
        </w:tc>
        <w:tc>
          <w:tcPr>
            <w:tcW w:w="1244" w:type="pct"/>
            <w:vMerge w:val="restar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2"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Progression</w:t>
            </w:r>
          </w:p>
        </w:tc>
        <w:tc>
          <w:tcPr>
            <w:tcW w:w="899"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5</w:t>
            </w:r>
          </w:p>
        </w:tc>
        <w:tc>
          <w:tcPr>
            <w:tcW w:w="1244" w:type="pct"/>
          </w:tcPr>
          <w:p>
            <w:pPr>
              <w:pStyle w:val="16"/>
              <w:autoSpaceDE w:val="0"/>
              <w:autoSpaceDN w:val="0"/>
              <w:adjustRightInd w:val="0"/>
              <w:spacing w:after="0" w:line="360" w:lineRule="auto"/>
              <w:ind w:left="0"/>
              <w:jc w:val="both"/>
              <w:rPr>
                <w:rFonts w:ascii="Book Antiqua" w:hAnsi="Book Antiqua" w:cs="Times New Roman" w:eastAsiaTheme="minorEastAsia"/>
                <w:sz w:val="24"/>
                <w:szCs w:val="24"/>
                <w:lang w:eastAsia="zh-CN"/>
              </w:rPr>
            </w:pPr>
            <w:r>
              <w:rPr>
                <w:rFonts w:ascii="Book Antiqua" w:hAnsi="Book Antiqua" w:cs="Times New Roman" w:eastAsiaTheme="minorEastAsia"/>
                <w:sz w:val="24"/>
                <w:szCs w:val="24"/>
                <w:lang w:eastAsia="zh-CN"/>
              </w:rPr>
              <w:t>13</w:t>
            </w:r>
          </w:p>
        </w:tc>
        <w:tc>
          <w:tcPr>
            <w:tcW w:w="1244" w:type="pct"/>
            <w:vMerge w:val="continue"/>
          </w:tcPr>
          <w:p>
            <w:pPr>
              <w:pStyle w:val="16"/>
              <w:autoSpaceDE w:val="0"/>
              <w:autoSpaceDN w:val="0"/>
              <w:adjustRightInd w:val="0"/>
              <w:spacing w:after="0" w:line="360" w:lineRule="auto"/>
              <w:ind w:left="0"/>
              <w:jc w:val="both"/>
              <w:rPr>
                <w:rFonts w:ascii="Book Antiqua" w:hAnsi="Book Antiqua" w:cs="Times New Roman"/>
                <w:sz w:val="24"/>
                <w:szCs w:val="24"/>
              </w:rPr>
            </w:pPr>
          </w:p>
        </w:tc>
      </w:tr>
    </w:tbl>
    <w:p>
      <w:pPr>
        <w:spacing w:line="360" w:lineRule="auto"/>
        <w:jc w:val="both"/>
        <w:rPr>
          <w:rFonts w:ascii="Book Antiqua" w:hAnsi="Book Antiqua"/>
          <w:lang w:eastAsia="zh-CN"/>
        </w:rPr>
      </w:pPr>
      <w:r>
        <w:rPr>
          <w:rFonts w:ascii="Book Antiqua" w:hAnsi="Book Antiqua"/>
        </w:rPr>
        <w:t>CEA</w:t>
      </w:r>
      <w:r>
        <w:rPr>
          <w:rFonts w:ascii="Book Antiqua" w:hAnsi="Book Antiqua"/>
          <w:lang w:eastAsia="zh-CN"/>
        </w:rPr>
        <w:t>:</w:t>
      </w:r>
      <w:r>
        <w:rPr>
          <w:rFonts w:ascii="Book Antiqua" w:hAnsi="Book Antiqua"/>
        </w:rPr>
        <w:t xml:space="preserve"> Carcinoembryonic antigen</w:t>
      </w:r>
      <w:r>
        <w:rPr>
          <w:rFonts w:ascii="Book Antiqua" w:hAnsi="Book Antiqua"/>
          <w:lang w:eastAsia="zh-CN"/>
        </w:rPr>
        <w:t>;</w:t>
      </w:r>
      <w:r>
        <w:rPr>
          <w:rFonts w:ascii="Book Antiqua" w:hAnsi="Book Antiqua"/>
        </w:rPr>
        <w:t xml:space="preserve"> TNBC</w:t>
      </w:r>
      <w:r>
        <w:rPr>
          <w:rFonts w:ascii="Book Antiqua" w:hAnsi="Book Antiqua"/>
          <w:lang w:eastAsia="zh-CN"/>
        </w:rPr>
        <w:t xml:space="preserve">: </w:t>
      </w:r>
      <w:r>
        <w:rPr>
          <w:rFonts w:ascii="Book Antiqua" w:hAnsi="Book Antiqua"/>
        </w:rPr>
        <w:t>Triple negative breast cancer</w:t>
      </w:r>
      <w:r>
        <w:rPr>
          <w:rFonts w:ascii="Book Antiqua" w:hAnsi="Book Antiqua"/>
          <w:lang w:eastAsia="zh-CN"/>
        </w:rPr>
        <w:t>;</w:t>
      </w:r>
      <w:r>
        <w:rPr>
          <w:rFonts w:ascii="Book Antiqua" w:hAnsi="Book Antiqua"/>
        </w:rPr>
        <w:t xml:space="preserve"> PR/SD/CR</w:t>
      </w:r>
      <w:r>
        <w:rPr>
          <w:rFonts w:ascii="Book Antiqua" w:hAnsi="Book Antiqua"/>
          <w:lang w:eastAsia="zh-CN"/>
        </w:rPr>
        <w:t>: P</w:t>
      </w:r>
      <w:r>
        <w:rPr>
          <w:rFonts w:ascii="Book Antiqua" w:hAnsi="Book Antiqua"/>
        </w:rPr>
        <w:t>artial response/</w:t>
      </w:r>
      <w:r>
        <w:rPr>
          <w:rFonts w:ascii="Book Antiqua" w:hAnsi="Book Antiqua"/>
          <w:lang w:eastAsia="zh-CN"/>
        </w:rPr>
        <w:t>s</w:t>
      </w:r>
      <w:r>
        <w:rPr>
          <w:rFonts w:ascii="Book Antiqua" w:hAnsi="Book Antiqua"/>
        </w:rPr>
        <w:t>table disease/</w:t>
      </w:r>
      <w:r>
        <w:rPr>
          <w:rFonts w:ascii="Book Antiqua" w:hAnsi="Book Antiqua"/>
          <w:lang w:eastAsia="zh-CN"/>
        </w:rPr>
        <w:t>c</w:t>
      </w:r>
      <w:r>
        <w:rPr>
          <w:rFonts w:ascii="Book Antiqua" w:hAnsi="Book Antiqua"/>
        </w:rPr>
        <w:t>omplete response</w:t>
      </w:r>
      <w:r>
        <w:rPr>
          <w:rFonts w:ascii="Book Antiqua" w:hAnsi="Book Antiqua"/>
          <w:lang w:eastAsia="zh-CN"/>
        </w:rPr>
        <w:t>.</w:t>
      </w:r>
    </w:p>
    <w:p>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 xml:space="preserve">Table 2 Serum </w:t>
      </w:r>
      <w:r>
        <w:rPr>
          <w:rFonts w:ascii="Book Antiqua" w:hAnsi="Book Antiqua"/>
          <w:b/>
          <w:lang w:eastAsia="zh-CN"/>
        </w:rPr>
        <w:t>c</w:t>
      </w:r>
      <w:r>
        <w:rPr>
          <w:rFonts w:ascii="Book Antiqua" w:hAnsi="Book Antiqua"/>
          <w:b/>
        </w:rPr>
        <w:t>arcinoembryonic antigen</w:t>
      </w:r>
      <w:r>
        <w:rPr>
          <w:rFonts w:ascii="Book Antiqua" w:hAnsi="Book Antiqua"/>
          <w:b/>
          <w:bCs/>
        </w:rPr>
        <w:t xml:space="preserve"> and response to treatment in </w:t>
      </w:r>
      <w:r>
        <w:rPr>
          <w:rFonts w:ascii="Book Antiqua" w:hAnsi="Book Antiqua"/>
          <w:b/>
          <w:bCs/>
          <w:lang w:eastAsia="zh-CN"/>
        </w:rPr>
        <w:t>r</w:t>
      </w:r>
      <w:r>
        <w:rPr>
          <w:rFonts w:ascii="Book Antiqua" w:hAnsi="Book Antiqua"/>
          <w:b/>
          <w:bCs/>
        </w:rPr>
        <w:t xml:space="preserve">esponders and </w:t>
      </w:r>
      <w:r>
        <w:rPr>
          <w:rFonts w:ascii="Book Antiqua" w:hAnsi="Book Antiqua"/>
          <w:b/>
          <w:bCs/>
          <w:lang w:eastAsia="zh-CN"/>
        </w:rPr>
        <w:t>n</w:t>
      </w:r>
      <w:r>
        <w:rPr>
          <w:rFonts w:ascii="Book Antiqua" w:hAnsi="Book Antiqua"/>
          <w:b/>
          <w:bCs/>
        </w:rPr>
        <w:t>on-</w:t>
      </w:r>
      <w:r>
        <w:rPr>
          <w:rFonts w:ascii="Book Antiqua" w:hAnsi="Book Antiqua"/>
          <w:b/>
          <w:bCs/>
          <w:lang w:eastAsia="zh-CN"/>
        </w:rPr>
        <w:t>r</w:t>
      </w:r>
      <w:r>
        <w:rPr>
          <w:rFonts w:ascii="Book Antiqua" w:hAnsi="Book Antiqua"/>
          <w:b/>
          <w:bCs/>
        </w:rPr>
        <w:t>esponders</w:t>
      </w:r>
    </w:p>
    <w:tbl>
      <w:tblPr>
        <w:tblStyle w:val="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9"/>
        <w:gridCol w:w="1829"/>
        <w:gridCol w:w="2806"/>
        <w:gridCol w:w="15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759"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bCs/>
                <w:sz w:val="24"/>
                <w:szCs w:val="24"/>
              </w:rPr>
            </w:pPr>
            <w:r>
              <w:rPr>
                <w:rFonts w:ascii="Book Antiqua" w:hAnsi="Book Antiqua" w:cs="Times New Roman"/>
                <w:b/>
                <w:bCs/>
                <w:sz w:val="24"/>
                <w:szCs w:val="24"/>
              </w:rPr>
              <w:t>Serum CEA</w:t>
            </w:r>
          </w:p>
        </w:tc>
        <w:tc>
          <w:tcPr>
            <w:tcW w:w="955"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bCs/>
                <w:sz w:val="24"/>
                <w:szCs w:val="24"/>
              </w:rPr>
            </w:pPr>
            <w:bookmarkStart w:id="5" w:name="_Hlk89638033"/>
            <w:r>
              <w:rPr>
                <w:rFonts w:ascii="Book Antiqua" w:hAnsi="Book Antiqua" w:cs="Times New Roman"/>
                <w:b/>
                <w:bCs/>
                <w:sz w:val="24"/>
                <w:szCs w:val="24"/>
              </w:rPr>
              <w:t>Responders</w:t>
            </w:r>
            <w:bookmarkEnd w:id="5"/>
          </w:p>
        </w:tc>
        <w:tc>
          <w:tcPr>
            <w:tcW w:w="1465"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bCs/>
                <w:sz w:val="24"/>
                <w:szCs w:val="24"/>
              </w:rPr>
            </w:pPr>
            <w:bookmarkStart w:id="6" w:name="_Hlk89638043"/>
            <w:r>
              <w:rPr>
                <w:rFonts w:ascii="Book Antiqua" w:hAnsi="Book Antiqua" w:cs="Times New Roman"/>
                <w:b/>
                <w:bCs/>
                <w:sz w:val="24"/>
                <w:szCs w:val="24"/>
              </w:rPr>
              <w:t>Non-</w:t>
            </w:r>
            <w:r>
              <w:rPr>
                <w:rFonts w:ascii="Book Antiqua" w:hAnsi="Book Antiqua" w:cs="Times New Roman" w:eastAsiaTheme="minorEastAsia"/>
                <w:b/>
                <w:bCs/>
                <w:sz w:val="24"/>
                <w:szCs w:val="24"/>
                <w:lang w:eastAsia="zh-CN"/>
              </w:rPr>
              <w:t>r</w:t>
            </w:r>
            <w:r>
              <w:rPr>
                <w:rFonts w:ascii="Book Antiqua" w:hAnsi="Book Antiqua" w:cs="Times New Roman"/>
                <w:b/>
                <w:bCs/>
                <w:sz w:val="24"/>
                <w:szCs w:val="24"/>
              </w:rPr>
              <w:t>esponders</w:t>
            </w:r>
            <w:bookmarkEnd w:id="6"/>
          </w:p>
        </w:tc>
        <w:tc>
          <w:tcPr>
            <w:tcW w:w="821" w:type="pct"/>
            <w:tcBorders>
              <w:top w:val="single" w:color="auto" w:sz="4" w:space="0"/>
              <w:bottom w:val="single" w:color="auto" w:sz="4" w:space="0"/>
            </w:tcBorders>
          </w:tcPr>
          <w:p>
            <w:pPr>
              <w:pStyle w:val="16"/>
              <w:autoSpaceDE w:val="0"/>
              <w:autoSpaceDN w:val="0"/>
              <w:adjustRightInd w:val="0"/>
              <w:spacing w:after="0" w:line="360" w:lineRule="auto"/>
              <w:ind w:left="0"/>
              <w:jc w:val="both"/>
              <w:rPr>
                <w:rFonts w:ascii="Book Antiqua" w:hAnsi="Book Antiqua" w:cs="Times New Roman"/>
                <w:b/>
                <w:bCs/>
                <w:sz w:val="24"/>
                <w:szCs w:val="24"/>
              </w:rPr>
            </w:pPr>
            <w:r>
              <w:rPr>
                <w:rFonts w:ascii="Book Antiqua" w:hAnsi="Book Antiqua" w:cs="Times New Roman" w:eastAsiaTheme="minorEastAsia"/>
                <w:b/>
                <w:bCs/>
                <w:i/>
                <w:sz w:val="24"/>
                <w:szCs w:val="24"/>
                <w:lang w:eastAsia="zh-CN"/>
              </w:rPr>
              <w:t>P</w:t>
            </w:r>
            <w:r>
              <w:rPr>
                <w:rFonts w:ascii="Book Antiqua" w:hAnsi="Book Antiqua" w:cs="Times New Roman" w:eastAsiaTheme="minorEastAsia"/>
                <w:b/>
                <w:bCs/>
                <w:sz w:val="24"/>
                <w:szCs w:val="24"/>
                <w:lang w:eastAsia="zh-CN"/>
              </w:rPr>
              <w:t xml:space="preserve"> </w:t>
            </w:r>
            <w:r>
              <w:rPr>
                <w:rFonts w:ascii="Book Antiqua" w:hAnsi="Book Antiqua" w:cs="Times New Roman"/>
                <w:b/>
                <w:bCs/>
                <w:sz w:val="24"/>
                <w:szCs w:val="24"/>
              </w:rPr>
              <w:t xml:space="preserve">value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759"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Median </w:t>
            </w:r>
            <w:r>
              <w:rPr>
                <w:rFonts w:ascii="Book Antiqua" w:hAnsi="Book Antiqua" w:cs="Times New Roman" w:eastAsiaTheme="minorEastAsia"/>
                <w:sz w:val="24"/>
                <w:szCs w:val="24"/>
                <w:lang w:eastAsia="zh-CN"/>
              </w:rPr>
              <w:t>p</w:t>
            </w:r>
            <w:r>
              <w:rPr>
                <w:rFonts w:ascii="Book Antiqua" w:hAnsi="Book Antiqua" w:cs="Times New Roman"/>
                <w:sz w:val="24"/>
                <w:szCs w:val="24"/>
              </w:rPr>
              <w:t xml:space="preserve">re-treatment </w:t>
            </w:r>
            <w:r>
              <w:rPr>
                <w:rFonts w:ascii="Book Antiqua" w:hAnsi="Book Antiqua" w:cs="Times New Roman" w:eastAsiaTheme="minorEastAsia"/>
                <w:bCs/>
                <w:sz w:val="24"/>
                <w:szCs w:val="24"/>
                <w:lang w:eastAsia="zh-CN"/>
              </w:rPr>
              <w:t>s</w:t>
            </w:r>
            <w:r>
              <w:rPr>
                <w:rFonts w:ascii="Book Antiqua" w:hAnsi="Book Antiqua" w:cs="Times New Roman"/>
                <w:bCs/>
                <w:sz w:val="24"/>
                <w:szCs w:val="24"/>
              </w:rPr>
              <w:t>erum</w:t>
            </w:r>
            <w:r>
              <w:rPr>
                <w:rFonts w:ascii="Book Antiqua" w:hAnsi="Book Antiqua" w:cs="Times New Roman"/>
                <w:sz w:val="24"/>
                <w:szCs w:val="24"/>
              </w:rPr>
              <w:t xml:space="preserve"> CEA</w:t>
            </w:r>
          </w:p>
        </w:tc>
        <w:tc>
          <w:tcPr>
            <w:tcW w:w="955"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8.87</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(2-49.6)</w:t>
            </w:r>
          </w:p>
        </w:tc>
        <w:tc>
          <w:tcPr>
            <w:tcW w:w="1465"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5.4</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(1.7-36.01)</w:t>
            </w:r>
          </w:p>
        </w:tc>
        <w:tc>
          <w:tcPr>
            <w:tcW w:w="821" w:type="pct"/>
            <w:tcBorders>
              <w:top w:val="single" w:color="auto" w:sz="4" w:space="0"/>
            </w:tcBorders>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0.527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759"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Median </w:t>
            </w:r>
            <w:r>
              <w:rPr>
                <w:rFonts w:ascii="Book Antiqua" w:hAnsi="Book Antiqua" w:cs="Times New Roman" w:eastAsiaTheme="minorEastAsia"/>
                <w:sz w:val="24"/>
                <w:szCs w:val="24"/>
                <w:lang w:eastAsia="zh-CN"/>
              </w:rPr>
              <w:t>p</w:t>
            </w:r>
            <w:r>
              <w:rPr>
                <w:rFonts w:ascii="Book Antiqua" w:hAnsi="Book Antiqua" w:cs="Times New Roman"/>
                <w:sz w:val="24"/>
                <w:szCs w:val="24"/>
              </w:rPr>
              <w:t>ost</w:t>
            </w:r>
            <w:r>
              <w:rPr>
                <w:rFonts w:ascii="Book Antiqua" w:hAnsi="Book Antiqua" w:cs="Times New Roman" w:eastAsiaTheme="minorEastAsia"/>
                <w:sz w:val="24"/>
                <w:szCs w:val="24"/>
                <w:lang w:eastAsia="zh-CN"/>
              </w:rPr>
              <w:t>-</w:t>
            </w:r>
            <w:r>
              <w:rPr>
                <w:rFonts w:ascii="Book Antiqua" w:hAnsi="Book Antiqua" w:cs="Times New Roman"/>
                <w:sz w:val="24"/>
                <w:szCs w:val="24"/>
              </w:rPr>
              <w:t xml:space="preserve">treatment </w:t>
            </w:r>
            <w:r>
              <w:rPr>
                <w:rFonts w:ascii="Book Antiqua" w:hAnsi="Book Antiqua" w:cs="Times New Roman" w:eastAsiaTheme="minorEastAsia"/>
                <w:bCs/>
                <w:sz w:val="24"/>
                <w:szCs w:val="24"/>
                <w:lang w:eastAsia="zh-CN"/>
              </w:rPr>
              <w:t>s</w:t>
            </w:r>
            <w:r>
              <w:rPr>
                <w:rFonts w:ascii="Book Antiqua" w:hAnsi="Book Antiqua" w:cs="Times New Roman"/>
                <w:bCs/>
                <w:sz w:val="24"/>
                <w:szCs w:val="24"/>
              </w:rPr>
              <w:t>erum</w:t>
            </w:r>
            <w:r>
              <w:rPr>
                <w:rFonts w:ascii="Book Antiqua" w:hAnsi="Book Antiqua" w:cs="Times New Roman"/>
                <w:sz w:val="24"/>
                <w:szCs w:val="24"/>
              </w:rPr>
              <w:t xml:space="preserve"> CEA</w:t>
            </w:r>
          </w:p>
        </w:tc>
        <w:tc>
          <w:tcPr>
            <w:tcW w:w="955"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2.07</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(1-8.7)</w:t>
            </w:r>
          </w:p>
        </w:tc>
        <w:tc>
          <w:tcPr>
            <w:tcW w:w="1465"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11</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(4.65-22.5)</w:t>
            </w:r>
          </w:p>
        </w:tc>
        <w:tc>
          <w:tcPr>
            <w:tcW w:w="821"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0.002</w:t>
            </w:r>
          </w:p>
          <w:p>
            <w:pPr>
              <w:pStyle w:val="16"/>
              <w:autoSpaceDE w:val="0"/>
              <w:autoSpaceDN w:val="0"/>
              <w:adjustRightInd w:val="0"/>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759"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eastAsiaTheme="minorEastAsia"/>
                <w:i/>
                <w:sz w:val="24"/>
                <w:szCs w:val="24"/>
                <w:lang w:eastAsia="zh-CN"/>
              </w:rPr>
              <w:t>P</w:t>
            </w:r>
            <w:r>
              <w:rPr>
                <w:rFonts w:ascii="Book Antiqua" w:hAnsi="Book Antiqua" w:cs="Times New Roman" w:eastAsiaTheme="minorEastAsia"/>
                <w:sz w:val="24"/>
                <w:szCs w:val="24"/>
                <w:lang w:eastAsia="zh-CN"/>
              </w:rPr>
              <w:t xml:space="preserve"> </w:t>
            </w:r>
            <w:r>
              <w:rPr>
                <w:rFonts w:ascii="Book Antiqua" w:hAnsi="Book Antiqua" w:cs="Times New Roman"/>
                <w:sz w:val="24"/>
                <w:szCs w:val="24"/>
              </w:rPr>
              <w:t>value</w:t>
            </w:r>
          </w:p>
        </w:tc>
        <w:tc>
          <w:tcPr>
            <w:tcW w:w="955"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0.001</w:t>
            </w:r>
          </w:p>
        </w:tc>
        <w:tc>
          <w:tcPr>
            <w:tcW w:w="1465" w:type="pct"/>
          </w:tcPr>
          <w:p>
            <w:pPr>
              <w:pStyle w:val="16"/>
              <w:autoSpaceDE w:val="0"/>
              <w:autoSpaceDN w:val="0"/>
              <w:adjustRightInd w:val="0"/>
              <w:spacing w:after="0" w:line="360" w:lineRule="auto"/>
              <w:ind w:left="0"/>
              <w:jc w:val="both"/>
              <w:rPr>
                <w:rFonts w:ascii="Book Antiqua" w:hAnsi="Book Antiqua" w:cs="Times New Roman"/>
                <w:sz w:val="24"/>
                <w:szCs w:val="24"/>
              </w:rPr>
            </w:pPr>
            <w:r>
              <w:rPr>
                <w:rFonts w:ascii="Book Antiqua" w:hAnsi="Book Antiqua" w:cs="Times New Roman"/>
                <w:sz w:val="24"/>
                <w:szCs w:val="24"/>
              </w:rPr>
              <w:t>0.06</w:t>
            </w:r>
          </w:p>
        </w:tc>
        <w:tc>
          <w:tcPr>
            <w:tcW w:w="821" w:type="pct"/>
          </w:tcPr>
          <w:p>
            <w:pPr>
              <w:pStyle w:val="16"/>
              <w:autoSpaceDE w:val="0"/>
              <w:autoSpaceDN w:val="0"/>
              <w:adjustRightInd w:val="0"/>
              <w:spacing w:after="0" w:line="360" w:lineRule="auto"/>
              <w:ind w:left="0"/>
              <w:jc w:val="both"/>
              <w:rPr>
                <w:rFonts w:ascii="Book Antiqua" w:hAnsi="Book Antiqua" w:cs="Times New Roman"/>
                <w:sz w:val="24"/>
                <w:szCs w:val="24"/>
              </w:rPr>
            </w:pPr>
          </w:p>
        </w:tc>
      </w:tr>
    </w:tbl>
    <w:p>
      <w:pPr>
        <w:spacing w:line="360" w:lineRule="auto"/>
        <w:jc w:val="both"/>
        <w:rPr>
          <w:rFonts w:ascii="Book Antiqua" w:hAnsi="Book Antiqua"/>
          <w:lang w:eastAsia="zh-CN"/>
        </w:rPr>
      </w:pPr>
      <w:r>
        <w:rPr>
          <w:rFonts w:ascii="Book Antiqua" w:hAnsi="Book Antiqua"/>
        </w:rPr>
        <w:t>CEA</w:t>
      </w:r>
      <w:r>
        <w:rPr>
          <w:rFonts w:ascii="Book Antiqua" w:hAnsi="Book Antiqua"/>
          <w:lang w:eastAsia="zh-CN"/>
        </w:rPr>
        <w:t>:</w:t>
      </w:r>
      <w:r>
        <w:rPr>
          <w:rFonts w:ascii="Book Antiqua" w:hAnsi="Book Antiqua"/>
        </w:rPr>
        <w:t xml:space="preserve"> Carcinoembryonic antigen</w:t>
      </w:r>
      <w:r>
        <w:rPr>
          <w:rFonts w:ascii="Book Antiqua" w:hAnsi="Book Antiqua"/>
          <w:lang w:eastAsia="zh-CN"/>
        </w:rPr>
        <w:t>.</w:t>
      </w:r>
    </w:p>
    <w:p>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 xml:space="preserve">Table 3 Serum </w:t>
      </w:r>
      <w:r>
        <w:rPr>
          <w:rFonts w:ascii="Book Antiqua" w:hAnsi="Book Antiqua"/>
          <w:b/>
          <w:lang w:eastAsia="zh-CN"/>
        </w:rPr>
        <w:t>c</w:t>
      </w:r>
      <w:r>
        <w:rPr>
          <w:rFonts w:ascii="Book Antiqua" w:hAnsi="Book Antiqua"/>
          <w:b/>
        </w:rPr>
        <w:t>arcinoembryonic antigen</w:t>
      </w:r>
      <w:r>
        <w:rPr>
          <w:rFonts w:ascii="Book Antiqua" w:hAnsi="Book Antiqua"/>
          <w:b/>
          <w:bCs/>
        </w:rPr>
        <w:t xml:space="preserve"> and response to treatment in </w:t>
      </w:r>
      <w:r>
        <w:rPr>
          <w:rFonts w:ascii="Book Antiqua" w:hAnsi="Book Antiqua"/>
          <w:b/>
          <w:bCs/>
          <w:lang w:eastAsia="zh-CN"/>
        </w:rPr>
        <w:t>r</w:t>
      </w:r>
      <w:r>
        <w:rPr>
          <w:rFonts w:ascii="Book Antiqua" w:hAnsi="Book Antiqua"/>
          <w:b/>
          <w:bCs/>
        </w:rPr>
        <w:t xml:space="preserve">esponders and </w:t>
      </w:r>
      <w:r>
        <w:rPr>
          <w:rFonts w:ascii="Book Antiqua" w:hAnsi="Book Antiqua"/>
          <w:b/>
          <w:bCs/>
          <w:lang w:eastAsia="zh-CN"/>
        </w:rPr>
        <w:t>n</w:t>
      </w:r>
      <w:r>
        <w:rPr>
          <w:rFonts w:ascii="Book Antiqua" w:hAnsi="Book Antiqua"/>
          <w:b/>
          <w:bCs/>
        </w:rPr>
        <w:t>on-</w:t>
      </w:r>
      <w:r>
        <w:rPr>
          <w:rFonts w:ascii="Book Antiqua" w:hAnsi="Book Antiqua"/>
          <w:b/>
          <w:bCs/>
          <w:lang w:eastAsia="zh-CN"/>
        </w:rPr>
        <w:t>r</w:t>
      </w:r>
      <w:r>
        <w:rPr>
          <w:rFonts w:ascii="Book Antiqua" w:hAnsi="Book Antiqua"/>
          <w:b/>
          <w:bCs/>
        </w:rPr>
        <w:t>esponders according to breast cancer type</w:t>
      </w:r>
    </w:p>
    <w:tbl>
      <w:tblPr>
        <w:tblStyle w:val="8"/>
        <w:tblW w:w="516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48"/>
        <w:gridCol w:w="1135"/>
        <w:gridCol w:w="1230"/>
        <w:gridCol w:w="1230"/>
        <w:gridCol w:w="827"/>
        <w:gridCol w:w="1230"/>
        <w:gridCol w:w="1497"/>
        <w:gridCol w:w="99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84" w:type="pct"/>
            <w:vMerge w:val="restart"/>
            <w:tcBorders>
              <w:top w:val="single" w:color="auto" w:sz="4" w:space="0"/>
              <w:bottom w:val="nil"/>
            </w:tcBorders>
          </w:tcPr>
          <w:p>
            <w:pPr>
              <w:autoSpaceDE w:val="0"/>
              <w:autoSpaceDN w:val="0"/>
              <w:adjustRightInd w:val="0"/>
              <w:spacing w:line="360" w:lineRule="auto"/>
              <w:jc w:val="both"/>
              <w:rPr>
                <w:rFonts w:ascii="Book Antiqua" w:hAnsi="Book Antiqua"/>
                <w:b/>
                <w:bCs/>
              </w:rPr>
            </w:pPr>
            <w:r>
              <w:rPr>
                <w:rFonts w:ascii="Book Antiqua" w:hAnsi="Book Antiqua"/>
                <w:b/>
                <w:bCs/>
                <w:lang w:eastAsia="zh-CN"/>
              </w:rPr>
              <w:t>C</w:t>
            </w:r>
            <w:r>
              <w:rPr>
                <w:rFonts w:ascii="Book Antiqua" w:hAnsi="Book Antiqua"/>
                <w:b/>
                <w:bCs/>
              </w:rPr>
              <w:t>lassification</w:t>
            </w:r>
          </w:p>
        </w:tc>
        <w:tc>
          <w:tcPr>
            <w:tcW w:w="574" w:type="pct"/>
            <w:vMerge w:val="restart"/>
            <w:tcBorders>
              <w:top w:val="single" w:color="auto" w:sz="4" w:space="0"/>
              <w:bottom w:val="nil"/>
            </w:tcBorders>
          </w:tcPr>
          <w:p>
            <w:pPr>
              <w:autoSpaceDE w:val="0"/>
              <w:autoSpaceDN w:val="0"/>
              <w:adjustRightInd w:val="0"/>
              <w:spacing w:line="360" w:lineRule="auto"/>
              <w:jc w:val="both"/>
              <w:rPr>
                <w:rFonts w:ascii="Book Antiqua" w:hAnsi="Book Antiqua"/>
                <w:b/>
                <w:bCs/>
              </w:rPr>
            </w:pPr>
          </w:p>
        </w:tc>
        <w:tc>
          <w:tcPr>
            <w:tcW w:w="1662" w:type="pct"/>
            <w:gridSpan w:val="3"/>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rPr>
            </w:pPr>
            <w:r>
              <w:rPr>
                <w:rFonts w:ascii="Book Antiqua" w:hAnsi="Book Antiqua"/>
                <w:b/>
                <w:bCs/>
              </w:rPr>
              <w:t>Responders</w:t>
            </w:r>
          </w:p>
        </w:tc>
        <w:tc>
          <w:tcPr>
            <w:tcW w:w="1880" w:type="pct"/>
            <w:gridSpan w:val="3"/>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rPr>
            </w:pPr>
            <w:r>
              <w:rPr>
                <w:rFonts w:ascii="Book Antiqua" w:hAnsi="Book Antiqua"/>
                <w:b/>
                <w:bCs/>
              </w:rPr>
              <w:t>Non-</w:t>
            </w:r>
            <w:r>
              <w:rPr>
                <w:rFonts w:ascii="Book Antiqua" w:hAnsi="Book Antiqua"/>
                <w:b/>
                <w:bCs/>
                <w:lang w:eastAsia="zh-CN"/>
              </w:rPr>
              <w:t>r</w:t>
            </w:r>
            <w:r>
              <w:rPr>
                <w:rFonts w:ascii="Book Antiqua" w:hAnsi="Book Antiqua"/>
                <w:b/>
                <w:bCs/>
              </w:rPr>
              <w:t>esponders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884" w:type="pct"/>
            <w:vMerge w:val="continue"/>
            <w:tcBorders>
              <w:top w:val="nil"/>
              <w:bottom w:val="single" w:color="auto" w:sz="4" w:space="0"/>
            </w:tcBorders>
          </w:tcPr>
          <w:p>
            <w:pPr>
              <w:autoSpaceDE w:val="0"/>
              <w:autoSpaceDN w:val="0"/>
              <w:adjustRightInd w:val="0"/>
              <w:spacing w:line="360" w:lineRule="auto"/>
              <w:jc w:val="both"/>
              <w:rPr>
                <w:rFonts w:ascii="Book Antiqua" w:hAnsi="Book Antiqua"/>
                <w:b/>
                <w:bCs/>
              </w:rPr>
            </w:pPr>
          </w:p>
        </w:tc>
        <w:tc>
          <w:tcPr>
            <w:tcW w:w="574" w:type="pct"/>
            <w:vMerge w:val="continue"/>
            <w:tcBorders>
              <w:top w:val="nil"/>
              <w:bottom w:val="single" w:color="auto" w:sz="4" w:space="0"/>
            </w:tcBorders>
          </w:tcPr>
          <w:p>
            <w:pPr>
              <w:autoSpaceDE w:val="0"/>
              <w:autoSpaceDN w:val="0"/>
              <w:adjustRightInd w:val="0"/>
              <w:spacing w:line="360" w:lineRule="auto"/>
              <w:jc w:val="both"/>
              <w:rPr>
                <w:rFonts w:ascii="Book Antiqua" w:hAnsi="Book Antiqua"/>
                <w:b/>
                <w:bCs/>
              </w:rPr>
            </w:pPr>
          </w:p>
        </w:tc>
        <w:tc>
          <w:tcPr>
            <w:tcW w:w="622"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b/>
              </w:rPr>
              <w:t xml:space="preserve">Median </w:t>
            </w:r>
            <w:r>
              <w:rPr>
                <w:rFonts w:ascii="Book Antiqua" w:hAnsi="Book Antiqua"/>
                <w:b/>
                <w:lang w:eastAsia="zh-CN"/>
              </w:rPr>
              <w:t>p</w:t>
            </w:r>
            <w:r>
              <w:rPr>
                <w:rFonts w:ascii="Book Antiqua" w:hAnsi="Book Antiqua"/>
                <w:b/>
              </w:rPr>
              <w:t>re</w:t>
            </w:r>
            <w:r>
              <w:rPr>
                <w:rFonts w:ascii="Book Antiqua" w:hAnsi="Book Antiqua"/>
                <w:b/>
                <w:lang w:eastAsia="zh-CN"/>
              </w:rPr>
              <w:t>-</w:t>
            </w:r>
            <w:r>
              <w:rPr>
                <w:rFonts w:ascii="Book Antiqua" w:hAnsi="Book Antiqua"/>
                <w:b/>
              </w:rPr>
              <w:t>CEA</w:t>
            </w:r>
          </w:p>
        </w:tc>
        <w:tc>
          <w:tcPr>
            <w:tcW w:w="622"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b/>
              </w:rPr>
              <w:t xml:space="preserve">Median </w:t>
            </w:r>
            <w:r>
              <w:rPr>
                <w:rFonts w:ascii="Book Antiqua" w:hAnsi="Book Antiqua"/>
                <w:b/>
                <w:lang w:eastAsia="zh-CN"/>
              </w:rPr>
              <w:t>p</w:t>
            </w:r>
            <w:r>
              <w:rPr>
                <w:rFonts w:ascii="Book Antiqua" w:hAnsi="Book Antiqua"/>
                <w:b/>
              </w:rPr>
              <w:t>ost</w:t>
            </w:r>
            <w:r>
              <w:rPr>
                <w:rFonts w:ascii="Book Antiqua" w:hAnsi="Book Antiqua"/>
                <w:b/>
                <w:lang w:eastAsia="zh-CN"/>
              </w:rPr>
              <w:t>-</w:t>
            </w:r>
            <w:r>
              <w:rPr>
                <w:rFonts w:ascii="Book Antiqua" w:hAnsi="Book Antiqua"/>
                <w:b/>
              </w:rPr>
              <w:t>CEA</w:t>
            </w:r>
          </w:p>
        </w:tc>
        <w:tc>
          <w:tcPr>
            <w:tcW w:w="418"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b/>
                <w:i/>
                <w:lang w:eastAsia="zh-CN"/>
              </w:rPr>
              <w:t>P</w:t>
            </w:r>
            <w:r>
              <w:rPr>
                <w:rFonts w:ascii="Book Antiqua" w:hAnsi="Book Antiqua"/>
                <w:b/>
                <w:lang w:eastAsia="zh-CN"/>
              </w:rPr>
              <w:t xml:space="preserve"> </w:t>
            </w:r>
            <w:r>
              <w:rPr>
                <w:rFonts w:ascii="Book Antiqua" w:hAnsi="Book Antiqua"/>
                <w:b/>
              </w:rPr>
              <w:t>value</w:t>
            </w:r>
          </w:p>
        </w:tc>
        <w:tc>
          <w:tcPr>
            <w:tcW w:w="622"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b/>
              </w:rPr>
              <w:t xml:space="preserve">Median </w:t>
            </w:r>
            <w:r>
              <w:rPr>
                <w:rFonts w:ascii="Book Antiqua" w:hAnsi="Book Antiqua"/>
                <w:b/>
                <w:lang w:eastAsia="zh-CN"/>
              </w:rPr>
              <w:t>p</w:t>
            </w:r>
            <w:r>
              <w:rPr>
                <w:rFonts w:ascii="Book Antiqua" w:hAnsi="Book Antiqua"/>
                <w:b/>
              </w:rPr>
              <w:t>re</w:t>
            </w:r>
            <w:r>
              <w:rPr>
                <w:rFonts w:ascii="Book Antiqua" w:hAnsi="Book Antiqua"/>
                <w:b/>
                <w:lang w:eastAsia="zh-CN"/>
              </w:rPr>
              <w:t>-</w:t>
            </w:r>
            <w:r>
              <w:rPr>
                <w:rFonts w:ascii="Book Antiqua" w:hAnsi="Book Antiqua"/>
                <w:b/>
              </w:rPr>
              <w:t>CEA</w:t>
            </w:r>
          </w:p>
        </w:tc>
        <w:tc>
          <w:tcPr>
            <w:tcW w:w="75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b/>
              </w:rPr>
              <w:t xml:space="preserve">Median </w:t>
            </w:r>
            <w:r>
              <w:rPr>
                <w:rFonts w:ascii="Book Antiqua" w:hAnsi="Book Antiqua"/>
                <w:b/>
                <w:lang w:eastAsia="zh-CN"/>
              </w:rPr>
              <w:t>p</w:t>
            </w:r>
            <w:r>
              <w:rPr>
                <w:rFonts w:ascii="Book Antiqua" w:hAnsi="Book Antiqua"/>
                <w:b/>
              </w:rPr>
              <w:t>ost</w:t>
            </w:r>
            <w:r>
              <w:rPr>
                <w:rFonts w:ascii="Book Antiqua" w:hAnsi="Book Antiqua"/>
                <w:b/>
                <w:lang w:eastAsia="zh-CN"/>
              </w:rPr>
              <w:t>-</w:t>
            </w:r>
            <w:r>
              <w:rPr>
                <w:rFonts w:ascii="Book Antiqua" w:hAnsi="Book Antiqua"/>
                <w:b/>
              </w:rPr>
              <w:t>CEA</w:t>
            </w:r>
          </w:p>
        </w:tc>
        <w:tc>
          <w:tcPr>
            <w:tcW w:w="501"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b/>
                <w:i/>
                <w:lang w:eastAsia="zh-CN"/>
              </w:rPr>
              <w:t>P</w:t>
            </w:r>
            <w:r>
              <w:rPr>
                <w:rFonts w:ascii="Book Antiqua" w:hAnsi="Book Antiqua"/>
                <w:b/>
                <w:lang w:eastAsia="zh-CN"/>
              </w:rPr>
              <w:t xml:space="preserve"> </w:t>
            </w:r>
            <w:r>
              <w:rPr>
                <w:rFonts w:ascii="Book Antiqua" w:hAnsi="Book Antiqua"/>
                <w:b/>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884" w:type="pct"/>
            <w:vMerge w:val="restart"/>
            <w:tcBorders>
              <w:top w:val="single" w:color="auto" w:sz="4" w:space="0"/>
            </w:tcBorders>
          </w:tcPr>
          <w:p>
            <w:pPr>
              <w:autoSpaceDE w:val="0"/>
              <w:autoSpaceDN w:val="0"/>
              <w:adjustRightInd w:val="0"/>
              <w:spacing w:line="360" w:lineRule="auto"/>
              <w:jc w:val="both"/>
              <w:rPr>
                <w:rFonts w:ascii="Book Antiqua" w:hAnsi="Book Antiqua"/>
                <w:bCs/>
              </w:rPr>
            </w:pPr>
            <w:r>
              <w:rPr>
                <w:rFonts w:ascii="Book Antiqua" w:hAnsi="Book Antiqua"/>
                <w:bCs/>
              </w:rPr>
              <w:t>Hormonal classification</w:t>
            </w:r>
          </w:p>
        </w:tc>
        <w:tc>
          <w:tcPr>
            <w:tcW w:w="574" w:type="pct"/>
            <w:tcBorders>
              <w:top w:val="single" w:color="auto" w:sz="4" w:space="0"/>
            </w:tcBorders>
          </w:tcPr>
          <w:p>
            <w:pPr>
              <w:autoSpaceDE w:val="0"/>
              <w:autoSpaceDN w:val="0"/>
              <w:adjustRightInd w:val="0"/>
              <w:spacing w:line="360" w:lineRule="auto"/>
              <w:jc w:val="both"/>
              <w:rPr>
                <w:rFonts w:ascii="Book Antiqua" w:hAnsi="Book Antiqua"/>
                <w:bCs/>
              </w:rPr>
            </w:pPr>
            <w:r>
              <w:rPr>
                <w:rFonts w:ascii="Book Antiqua" w:hAnsi="Book Antiqua"/>
                <w:bCs/>
              </w:rPr>
              <w:t>Luminal</w:t>
            </w:r>
          </w:p>
        </w:tc>
        <w:tc>
          <w:tcPr>
            <w:tcW w:w="622" w:type="pct"/>
            <w:tcBorders>
              <w:top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rPr>
              <w:t>14.7</w:t>
            </w:r>
            <w:r>
              <w:rPr>
                <w:rFonts w:ascii="Book Antiqua" w:hAnsi="Book Antiqua"/>
                <w:lang w:eastAsia="zh-CN"/>
              </w:rPr>
              <w:t xml:space="preserve"> </w:t>
            </w:r>
            <w:r>
              <w:rPr>
                <w:rFonts w:ascii="Book Antiqua" w:hAnsi="Book Antiqua"/>
              </w:rPr>
              <w:t>(5.4-50.6)</w:t>
            </w:r>
          </w:p>
        </w:tc>
        <w:tc>
          <w:tcPr>
            <w:tcW w:w="622" w:type="pct"/>
            <w:tcBorders>
              <w:top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rPr>
              <w:t>3</w:t>
            </w:r>
            <w:r>
              <w:rPr>
                <w:rFonts w:ascii="Book Antiqua" w:hAnsi="Book Antiqua"/>
                <w:lang w:eastAsia="zh-CN"/>
              </w:rPr>
              <w:t xml:space="preserve"> </w:t>
            </w:r>
            <w:r>
              <w:rPr>
                <w:rFonts w:ascii="Book Antiqua" w:hAnsi="Book Antiqua"/>
              </w:rPr>
              <w:t>(1-10)</w:t>
            </w:r>
          </w:p>
        </w:tc>
        <w:tc>
          <w:tcPr>
            <w:tcW w:w="418" w:type="pct"/>
            <w:tcBorders>
              <w:top w:val="single" w:color="auto" w:sz="4" w:space="0"/>
            </w:tcBorders>
          </w:tcPr>
          <w:p>
            <w:pPr>
              <w:autoSpaceDE w:val="0"/>
              <w:autoSpaceDN w:val="0"/>
              <w:adjustRightInd w:val="0"/>
              <w:spacing w:line="360" w:lineRule="auto"/>
              <w:jc w:val="both"/>
              <w:rPr>
                <w:rFonts w:ascii="Book Antiqua" w:hAnsi="Book Antiqua"/>
                <w:bCs/>
              </w:rPr>
            </w:pPr>
            <w:r>
              <w:rPr>
                <w:rFonts w:ascii="Book Antiqua" w:hAnsi="Book Antiqua"/>
                <w:bCs/>
              </w:rPr>
              <w:t>0.001</w:t>
            </w:r>
          </w:p>
        </w:tc>
        <w:tc>
          <w:tcPr>
            <w:tcW w:w="622" w:type="pct"/>
            <w:tcBorders>
              <w:top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rPr>
              <w:t>22.39</w:t>
            </w:r>
            <w:r>
              <w:rPr>
                <w:rFonts w:ascii="Book Antiqua" w:hAnsi="Book Antiqua"/>
                <w:lang w:eastAsia="zh-CN"/>
              </w:rPr>
              <w:t xml:space="preserve"> </w:t>
            </w:r>
            <w:r>
              <w:rPr>
                <w:rFonts w:ascii="Book Antiqua" w:hAnsi="Book Antiqua"/>
              </w:rPr>
              <w:t>(3.9-84.4)</w:t>
            </w:r>
          </w:p>
        </w:tc>
        <w:tc>
          <w:tcPr>
            <w:tcW w:w="757" w:type="pct"/>
            <w:tcBorders>
              <w:top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rPr>
              <w:t>21.00</w:t>
            </w:r>
            <w:r>
              <w:rPr>
                <w:rFonts w:ascii="Book Antiqua" w:hAnsi="Book Antiqua"/>
                <w:lang w:eastAsia="zh-CN"/>
              </w:rPr>
              <w:t xml:space="preserve"> </w:t>
            </w:r>
            <w:r>
              <w:rPr>
                <w:rFonts w:ascii="Book Antiqua" w:hAnsi="Book Antiqua"/>
              </w:rPr>
              <w:t>(10.6-164.15)</w:t>
            </w:r>
          </w:p>
        </w:tc>
        <w:tc>
          <w:tcPr>
            <w:tcW w:w="501" w:type="pct"/>
            <w:tcBorders>
              <w:top w:val="single" w:color="auto" w:sz="4" w:space="0"/>
            </w:tcBorders>
          </w:tcPr>
          <w:p>
            <w:pPr>
              <w:autoSpaceDE w:val="0"/>
              <w:autoSpaceDN w:val="0"/>
              <w:adjustRightInd w:val="0"/>
              <w:spacing w:line="360" w:lineRule="auto"/>
              <w:jc w:val="both"/>
              <w:rPr>
                <w:rFonts w:ascii="Book Antiqua" w:hAnsi="Book Antiqua"/>
                <w:b/>
                <w:bCs/>
              </w:rPr>
            </w:pPr>
            <w:r>
              <w:rPr>
                <w:rFonts w:ascii="Book Antiqua" w:hAnsi="Book Antiqua"/>
              </w:rPr>
              <w:t xml:space="preserve">0.26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884" w:type="pct"/>
            <w:vMerge w:val="continue"/>
          </w:tcPr>
          <w:p>
            <w:pPr>
              <w:autoSpaceDE w:val="0"/>
              <w:autoSpaceDN w:val="0"/>
              <w:adjustRightInd w:val="0"/>
              <w:spacing w:line="360" w:lineRule="auto"/>
              <w:jc w:val="both"/>
              <w:rPr>
                <w:rFonts w:ascii="Book Antiqua" w:hAnsi="Book Antiqua"/>
                <w:bCs/>
              </w:rPr>
            </w:pPr>
          </w:p>
        </w:tc>
        <w:tc>
          <w:tcPr>
            <w:tcW w:w="574" w:type="pct"/>
          </w:tcPr>
          <w:p>
            <w:pPr>
              <w:autoSpaceDE w:val="0"/>
              <w:autoSpaceDN w:val="0"/>
              <w:adjustRightInd w:val="0"/>
              <w:spacing w:line="360" w:lineRule="auto"/>
              <w:jc w:val="both"/>
              <w:rPr>
                <w:rFonts w:ascii="Book Antiqua" w:hAnsi="Book Antiqua"/>
                <w:bCs/>
              </w:rPr>
            </w:pPr>
            <w:r>
              <w:rPr>
                <w:rFonts w:ascii="Book Antiqua" w:hAnsi="Book Antiqua"/>
                <w:bCs/>
              </w:rPr>
              <w:t>Non-luminal</w:t>
            </w:r>
          </w:p>
        </w:tc>
        <w:tc>
          <w:tcPr>
            <w:tcW w:w="622" w:type="pct"/>
          </w:tcPr>
          <w:p>
            <w:pPr>
              <w:autoSpaceDE w:val="0"/>
              <w:autoSpaceDN w:val="0"/>
              <w:adjustRightInd w:val="0"/>
              <w:spacing w:line="360" w:lineRule="auto"/>
              <w:jc w:val="both"/>
              <w:rPr>
                <w:rFonts w:ascii="Book Antiqua" w:hAnsi="Book Antiqua"/>
                <w:b/>
                <w:bCs/>
              </w:rPr>
            </w:pPr>
            <w:r>
              <w:rPr>
                <w:rFonts w:ascii="Book Antiqua" w:hAnsi="Book Antiqua"/>
              </w:rPr>
              <w:t>1.85</w:t>
            </w:r>
            <w:r>
              <w:rPr>
                <w:rFonts w:ascii="Book Antiqua" w:hAnsi="Book Antiqua"/>
                <w:lang w:eastAsia="zh-CN"/>
              </w:rPr>
              <w:t xml:space="preserve"> </w:t>
            </w:r>
            <w:r>
              <w:rPr>
                <w:rFonts w:ascii="Book Antiqua" w:hAnsi="Book Antiqua"/>
              </w:rPr>
              <w:t>(1-3.65)</w:t>
            </w:r>
          </w:p>
        </w:tc>
        <w:tc>
          <w:tcPr>
            <w:tcW w:w="622" w:type="pct"/>
          </w:tcPr>
          <w:p>
            <w:pPr>
              <w:autoSpaceDE w:val="0"/>
              <w:autoSpaceDN w:val="0"/>
              <w:adjustRightInd w:val="0"/>
              <w:spacing w:line="360" w:lineRule="auto"/>
              <w:jc w:val="both"/>
              <w:rPr>
                <w:rFonts w:ascii="Book Antiqua" w:hAnsi="Book Antiqua"/>
                <w:b/>
                <w:bCs/>
              </w:rPr>
            </w:pPr>
            <w:r>
              <w:rPr>
                <w:rFonts w:ascii="Book Antiqua" w:hAnsi="Book Antiqua"/>
              </w:rPr>
              <w:t>1.25</w:t>
            </w:r>
            <w:r>
              <w:rPr>
                <w:rFonts w:ascii="Book Antiqua" w:hAnsi="Book Antiqua"/>
                <w:lang w:eastAsia="zh-CN"/>
              </w:rPr>
              <w:t xml:space="preserve"> </w:t>
            </w:r>
            <w:r>
              <w:rPr>
                <w:rFonts w:ascii="Book Antiqua" w:hAnsi="Book Antiqua"/>
              </w:rPr>
              <w:t>(0.5-3)</w:t>
            </w:r>
          </w:p>
        </w:tc>
        <w:tc>
          <w:tcPr>
            <w:tcW w:w="418" w:type="pct"/>
          </w:tcPr>
          <w:p>
            <w:pPr>
              <w:autoSpaceDE w:val="0"/>
              <w:autoSpaceDN w:val="0"/>
              <w:adjustRightInd w:val="0"/>
              <w:spacing w:line="360" w:lineRule="auto"/>
              <w:jc w:val="both"/>
              <w:rPr>
                <w:rFonts w:ascii="Book Antiqua" w:hAnsi="Book Antiqua"/>
                <w:bCs/>
              </w:rPr>
            </w:pPr>
            <w:r>
              <w:rPr>
                <w:rFonts w:ascii="Book Antiqua" w:hAnsi="Book Antiqua"/>
              </w:rPr>
              <w:t>0.046</w:t>
            </w:r>
          </w:p>
        </w:tc>
        <w:tc>
          <w:tcPr>
            <w:tcW w:w="622" w:type="pct"/>
          </w:tcPr>
          <w:p>
            <w:pPr>
              <w:autoSpaceDE w:val="0"/>
              <w:autoSpaceDN w:val="0"/>
              <w:adjustRightInd w:val="0"/>
              <w:spacing w:line="360" w:lineRule="auto"/>
              <w:jc w:val="both"/>
              <w:rPr>
                <w:rFonts w:ascii="Book Antiqua" w:hAnsi="Book Antiqua"/>
                <w:b/>
                <w:bCs/>
              </w:rPr>
            </w:pPr>
            <w:r>
              <w:rPr>
                <w:rFonts w:ascii="Book Antiqua" w:hAnsi="Book Antiqua"/>
              </w:rPr>
              <w:t>4.15</w:t>
            </w:r>
            <w:r>
              <w:rPr>
                <w:rFonts w:ascii="Book Antiqua" w:hAnsi="Book Antiqua"/>
                <w:lang w:eastAsia="zh-CN"/>
              </w:rPr>
              <w:t xml:space="preserve"> </w:t>
            </w:r>
            <w:r>
              <w:rPr>
                <w:rFonts w:ascii="Book Antiqua" w:hAnsi="Book Antiqua"/>
              </w:rPr>
              <w:t>(0.85-10.17)</w:t>
            </w:r>
          </w:p>
        </w:tc>
        <w:tc>
          <w:tcPr>
            <w:tcW w:w="757" w:type="pct"/>
          </w:tcPr>
          <w:p>
            <w:pPr>
              <w:autoSpaceDE w:val="0"/>
              <w:autoSpaceDN w:val="0"/>
              <w:adjustRightInd w:val="0"/>
              <w:spacing w:line="360" w:lineRule="auto"/>
              <w:jc w:val="both"/>
              <w:rPr>
                <w:rFonts w:ascii="Book Antiqua" w:hAnsi="Book Antiqua"/>
                <w:b/>
                <w:bCs/>
              </w:rPr>
            </w:pPr>
            <w:r>
              <w:rPr>
                <w:rFonts w:ascii="Book Antiqua" w:hAnsi="Book Antiqua"/>
              </w:rPr>
              <w:t>5.65</w:t>
            </w:r>
            <w:r>
              <w:rPr>
                <w:rFonts w:ascii="Book Antiqua" w:hAnsi="Book Antiqua"/>
                <w:lang w:eastAsia="zh-CN"/>
              </w:rPr>
              <w:t xml:space="preserve"> </w:t>
            </w:r>
            <w:r>
              <w:rPr>
                <w:rFonts w:ascii="Book Antiqua" w:hAnsi="Book Antiqua"/>
              </w:rPr>
              <w:t>(2.65-12.05)</w:t>
            </w:r>
          </w:p>
        </w:tc>
        <w:tc>
          <w:tcPr>
            <w:tcW w:w="501" w:type="pct"/>
          </w:tcPr>
          <w:p>
            <w:pPr>
              <w:autoSpaceDE w:val="0"/>
              <w:autoSpaceDN w:val="0"/>
              <w:adjustRightInd w:val="0"/>
              <w:spacing w:line="360" w:lineRule="auto"/>
              <w:jc w:val="both"/>
              <w:rPr>
                <w:rFonts w:ascii="Book Antiqua" w:hAnsi="Book Antiqua"/>
                <w:b/>
                <w:bCs/>
              </w:rPr>
            </w:pPr>
            <w:r>
              <w:rPr>
                <w:rFonts w:ascii="Book Antiqua" w:hAnsi="Book Antiqua"/>
              </w:rPr>
              <w:t>0.161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84" w:type="pct"/>
            <w:vMerge w:val="restart"/>
          </w:tcPr>
          <w:p>
            <w:pPr>
              <w:autoSpaceDE w:val="0"/>
              <w:autoSpaceDN w:val="0"/>
              <w:adjustRightInd w:val="0"/>
              <w:spacing w:line="360" w:lineRule="auto"/>
              <w:jc w:val="both"/>
              <w:rPr>
                <w:rFonts w:ascii="Book Antiqua" w:hAnsi="Book Antiqua"/>
                <w:bCs/>
              </w:rPr>
            </w:pPr>
            <w:r>
              <w:rPr>
                <w:rFonts w:ascii="Book Antiqua" w:hAnsi="Book Antiqua"/>
                <w:bCs/>
              </w:rPr>
              <w:t>Genomic classification</w:t>
            </w:r>
          </w:p>
        </w:tc>
        <w:tc>
          <w:tcPr>
            <w:tcW w:w="574" w:type="pct"/>
          </w:tcPr>
          <w:p>
            <w:pPr>
              <w:autoSpaceDE w:val="0"/>
              <w:autoSpaceDN w:val="0"/>
              <w:adjustRightInd w:val="0"/>
              <w:spacing w:line="360" w:lineRule="auto"/>
              <w:jc w:val="both"/>
              <w:rPr>
                <w:rFonts w:ascii="Book Antiqua" w:hAnsi="Book Antiqua"/>
                <w:bCs/>
              </w:rPr>
            </w:pPr>
            <w:r>
              <w:rPr>
                <w:rFonts w:ascii="Book Antiqua" w:hAnsi="Book Antiqua"/>
                <w:bCs/>
              </w:rPr>
              <w:t>Luminal</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14.7</w:t>
            </w:r>
            <w:r>
              <w:rPr>
                <w:rFonts w:ascii="Book Antiqua" w:hAnsi="Book Antiqua"/>
                <w:lang w:eastAsia="zh-CN"/>
              </w:rPr>
              <w:t xml:space="preserve"> </w:t>
            </w:r>
            <w:r>
              <w:rPr>
                <w:rFonts w:ascii="Book Antiqua" w:hAnsi="Book Antiqua"/>
              </w:rPr>
              <w:t>(5.4-50.6)</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3</w:t>
            </w:r>
            <w:r>
              <w:rPr>
                <w:rFonts w:ascii="Book Antiqua" w:hAnsi="Book Antiqua"/>
                <w:lang w:eastAsia="zh-CN"/>
              </w:rPr>
              <w:t xml:space="preserve"> </w:t>
            </w:r>
            <w:r>
              <w:rPr>
                <w:rFonts w:ascii="Book Antiqua" w:hAnsi="Book Antiqua"/>
              </w:rPr>
              <w:t xml:space="preserve">(1-10) </w:t>
            </w:r>
          </w:p>
        </w:tc>
        <w:tc>
          <w:tcPr>
            <w:tcW w:w="418" w:type="pct"/>
          </w:tcPr>
          <w:p>
            <w:pPr>
              <w:autoSpaceDE w:val="0"/>
              <w:autoSpaceDN w:val="0"/>
              <w:adjustRightInd w:val="0"/>
              <w:spacing w:line="360" w:lineRule="auto"/>
              <w:jc w:val="both"/>
              <w:rPr>
                <w:rFonts w:ascii="Book Antiqua" w:hAnsi="Book Antiqua"/>
                <w:bCs/>
              </w:rPr>
            </w:pPr>
            <w:r>
              <w:rPr>
                <w:rFonts w:ascii="Book Antiqua" w:hAnsi="Book Antiqua"/>
                <w:bCs/>
              </w:rPr>
              <w:t xml:space="preserve">0.001 </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22.39</w:t>
            </w:r>
            <w:r>
              <w:rPr>
                <w:rFonts w:ascii="Book Antiqua" w:hAnsi="Book Antiqua"/>
                <w:lang w:eastAsia="zh-CN"/>
              </w:rPr>
              <w:t xml:space="preserve"> </w:t>
            </w:r>
            <w:r>
              <w:rPr>
                <w:rFonts w:ascii="Book Antiqua" w:hAnsi="Book Antiqua"/>
              </w:rPr>
              <w:t xml:space="preserve">(3.9-84.47) </w:t>
            </w:r>
          </w:p>
        </w:tc>
        <w:tc>
          <w:tcPr>
            <w:tcW w:w="757" w:type="pct"/>
          </w:tcPr>
          <w:p>
            <w:pPr>
              <w:autoSpaceDE w:val="0"/>
              <w:autoSpaceDN w:val="0"/>
              <w:adjustRightInd w:val="0"/>
              <w:spacing w:line="360" w:lineRule="auto"/>
              <w:jc w:val="both"/>
              <w:rPr>
                <w:rFonts w:ascii="Book Antiqua" w:hAnsi="Book Antiqua"/>
              </w:rPr>
            </w:pPr>
            <w:r>
              <w:rPr>
                <w:rFonts w:ascii="Book Antiqua" w:hAnsi="Book Antiqua"/>
              </w:rPr>
              <w:t>20.67</w:t>
            </w:r>
            <w:r>
              <w:rPr>
                <w:rFonts w:ascii="Book Antiqua" w:hAnsi="Book Antiqua"/>
                <w:lang w:eastAsia="zh-CN"/>
              </w:rPr>
              <w:t xml:space="preserve"> </w:t>
            </w:r>
            <w:r>
              <w:rPr>
                <w:rFonts w:ascii="Book Antiqua" w:hAnsi="Book Antiqua"/>
              </w:rPr>
              <w:t xml:space="preserve">(10.6-164.17) </w:t>
            </w:r>
          </w:p>
        </w:tc>
        <w:tc>
          <w:tcPr>
            <w:tcW w:w="501" w:type="pct"/>
          </w:tcPr>
          <w:p>
            <w:pPr>
              <w:autoSpaceDE w:val="0"/>
              <w:autoSpaceDN w:val="0"/>
              <w:adjustRightInd w:val="0"/>
              <w:spacing w:line="360" w:lineRule="auto"/>
              <w:jc w:val="both"/>
              <w:rPr>
                <w:rFonts w:ascii="Book Antiqua" w:hAnsi="Book Antiqua"/>
              </w:rPr>
            </w:pPr>
            <w:r>
              <w:rPr>
                <w:rFonts w:ascii="Book Antiqua" w:hAnsi="Book Antiqua"/>
              </w:rPr>
              <w:t xml:space="preserve">0.260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884" w:type="pct"/>
            <w:vMerge w:val="continue"/>
          </w:tcPr>
          <w:p>
            <w:pPr>
              <w:autoSpaceDE w:val="0"/>
              <w:autoSpaceDN w:val="0"/>
              <w:adjustRightInd w:val="0"/>
              <w:spacing w:line="360" w:lineRule="auto"/>
              <w:jc w:val="both"/>
              <w:rPr>
                <w:rFonts w:ascii="Book Antiqua" w:hAnsi="Book Antiqua"/>
                <w:b/>
                <w:bCs/>
              </w:rPr>
            </w:pPr>
          </w:p>
        </w:tc>
        <w:tc>
          <w:tcPr>
            <w:tcW w:w="574" w:type="pct"/>
          </w:tcPr>
          <w:p>
            <w:pPr>
              <w:autoSpaceDE w:val="0"/>
              <w:autoSpaceDN w:val="0"/>
              <w:adjustRightInd w:val="0"/>
              <w:spacing w:line="360" w:lineRule="auto"/>
              <w:jc w:val="both"/>
              <w:rPr>
                <w:rFonts w:ascii="Book Antiqua" w:hAnsi="Book Antiqua"/>
                <w:bCs/>
              </w:rPr>
            </w:pPr>
            <w:r>
              <w:rPr>
                <w:rFonts w:ascii="Book Antiqua" w:hAnsi="Book Antiqua"/>
                <w:bCs/>
              </w:rPr>
              <w:t>HER2</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4</w:t>
            </w:r>
            <w:r>
              <w:rPr>
                <w:rFonts w:ascii="Book Antiqua" w:hAnsi="Book Antiqua"/>
                <w:lang w:eastAsia="zh-CN"/>
              </w:rPr>
              <w:t xml:space="preserve"> </w:t>
            </w:r>
            <w:r>
              <w:rPr>
                <w:rFonts w:ascii="Book Antiqua" w:hAnsi="Book Antiqua"/>
              </w:rPr>
              <w:t>(1.2-4)</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3.25</w:t>
            </w:r>
            <w:r>
              <w:rPr>
                <w:rFonts w:ascii="Book Antiqua" w:hAnsi="Book Antiqua"/>
                <w:lang w:eastAsia="zh-CN"/>
              </w:rPr>
              <w:t xml:space="preserve"> </w:t>
            </w:r>
            <w:r>
              <w:rPr>
                <w:rFonts w:ascii="Book Antiqua" w:hAnsi="Book Antiqua"/>
              </w:rPr>
              <w:t>(0.5-3.25)</w:t>
            </w:r>
          </w:p>
        </w:tc>
        <w:tc>
          <w:tcPr>
            <w:tcW w:w="418" w:type="pct"/>
          </w:tcPr>
          <w:p>
            <w:pPr>
              <w:autoSpaceDE w:val="0"/>
              <w:autoSpaceDN w:val="0"/>
              <w:adjustRightInd w:val="0"/>
              <w:spacing w:line="360" w:lineRule="auto"/>
              <w:jc w:val="both"/>
              <w:rPr>
                <w:rFonts w:ascii="Book Antiqua" w:hAnsi="Book Antiqua"/>
              </w:rPr>
            </w:pPr>
            <w:r>
              <w:rPr>
                <w:rFonts w:ascii="Book Antiqua" w:hAnsi="Book Antiqua"/>
              </w:rPr>
              <w:t xml:space="preserve">0.18 </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11.7</w:t>
            </w:r>
          </w:p>
        </w:tc>
        <w:tc>
          <w:tcPr>
            <w:tcW w:w="757" w:type="pct"/>
          </w:tcPr>
          <w:p>
            <w:pPr>
              <w:autoSpaceDE w:val="0"/>
              <w:autoSpaceDN w:val="0"/>
              <w:adjustRightInd w:val="0"/>
              <w:spacing w:line="360" w:lineRule="auto"/>
              <w:jc w:val="both"/>
              <w:rPr>
                <w:rFonts w:ascii="Book Antiqua" w:hAnsi="Book Antiqua"/>
              </w:rPr>
            </w:pPr>
            <w:r>
              <w:rPr>
                <w:rFonts w:ascii="Book Antiqua" w:hAnsi="Book Antiqua"/>
              </w:rPr>
              <w:t>13</w:t>
            </w:r>
          </w:p>
        </w:tc>
        <w:tc>
          <w:tcPr>
            <w:tcW w:w="501" w:type="pct"/>
          </w:tcPr>
          <w:p>
            <w:pPr>
              <w:autoSpaceDE w:val="0"/>
              <w:autoSpaceDN w:val="0"/>
              <w:adjustRightInd w:val="0"/>
              <w:spacing w:line="360" w:lineRule="auto"/>
              <w:jc w:val="both"/>
              <w:rPr>
                <w:rFonts w:ascii="Book Antiqua" w:hAnsi="Book Antiqua"/>
                <w:lang w:eastAsia="zh-CN"/>
              </w:rPr>
            </w:pPr>
            <w:r>
              <w:rPr>
                <w:rFonts w:hint="eastAsia" w:ascii="Book Antiqua" w:hAnsi="Book Antiqua"/>
                <w:lang w:eastAsia="zh-CN"/>
              </w:rPr>
              <w:t>_</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884" w:type="pct"/>
            <w:vMerge w:val="continue"/>
          </w:tcPr>
          <w:p>
            <w:pPr>
              <w:autoSpaceDE w:val="0"/>
              <w:autoSpaceDN w:val="0"/>
              <w:adjustRightInd w:val="0"/>
              <w:spacing w:line="360" w:lineRule="auto"/>
              <w:jc w:val="both"/>
              <w:rPr>
                <w:rFonts w:ascii="Book Antiqua" w:hAnsi="Book Antiqua"/>
                <w:b/>
                <w:bCs/>
              </w:rPr>
            </w:pPr>
          </w:p>
        </w:tc>
        <w:tc>
          <w:tcPr>
            <w:tcW w:w="574" w:type="pct"/>
          </w:tcPr>
          <w:p>
            <w:pPr>
              <w:autoSpaceDE w:val="0"/>
              <w:autoSpaceDN w:val="0"/>
              <w:adjustRightInd w:val="0"/>
              <w:spacing w:line="360" w:lineRule="auto"/>
              <w:jc w:val="both"/>
              <w:rPr>
                <w:rFonts w:ascii="Book Antiqua" w:hAnsi="Book Antiqua"/>
                <w:bCs/>
              </w:rPr>
            </w:pPr>
            <w:r>
              <w:rPr>
                <w:rFonts w:ascii="Book Antiqua" w:hAnsi="Book Antiqua"/>
                <w:bCs/>
              </w:rPr>
              <w:t>TNBC</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1.85</w:t>
            </w:r>
            <w:r>
              <w:rPr>
                <w:rFonts w:ascii="Book Antiqua" w:hAnsi="Book Antiqua"/>
                <w:lang w:eastAsia="zh-CN"/>
              </w:rPr>
              <w:t xml:space="preserve"> </w:t>
            </w:r>
            <w:r>
              <w:rPr>
                <w:rFonts w:ascii="Book Antiqua" w:hAnsi="Book Antiqua"/>
              </w:rPr>
              <w:t>(0.74-2.4)</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1.25</w:t>
            </w:r>
            <w:r>
              <w:rPr>
                <w:rFonts w:ascii="Book Antiqua" w:hAnsi="Book Antiqua"/>
                <w:lang w:eastAsia="zh-CN"/>
              </w:rPr>
              <w:t xml:space="preserve"> </w:t>
            </w:r>
            <w:r>
              <w:rPr>
                <w:rFonts w:ascii="Book Antiqua" w:hAnsi="Book Antiqua"/>
              </w:rPr>
              <w:t>(0.67-1.88)</w:t>
            </w:r>
          </w:p>
        </w:tc>
        <w:tc>
          <w:tcPr>
            <w:tcW w:w="418" w:type="pct"/>
          </w:tcPr>
          <w:p>
            <w:pPr>
              <w:autoSpaceDE w:val="0"/>
              <w:autoSpaceDN w:val="0"/>
              <w:adjustRightInd w:val="0"/>
              <w:spacing w:line="360" w:lineRule="auto"/>
              <w:jc w:val="both"/>
              <w:rPr>
                <w:rFonts w:ascii="Book Antiqua" w:hAnsi="Book Antiqua"/>
              </w:rPr>
            </w:pPr>
            <w:r>
              <w:rPr>
                <w:rFonts w:ascii="Book Antiqua" w:hAnsi="Book Antiqua"/>
              </w:rPr>
              <w:t>0.144</w:t>
            </w:r>
          </w:p>
        </w:tc>
        <w:tc>
          <w:tcPr>
            <w:tcW w:w="622" w:type="pct"/>
          </w:tcPr>
          <w:p>
            <w:pPr>
              <w:autoSpaceDE w:val="0"/>
              <w:autoSpaceDN w:val="0"/>
              <w:adjustRightInd w:val="0"/>
              <w:spacing w:line="360" w:lineRule="auto"/>
              <w:jc w:val="both"/>
              <w:rPr>
                <w:rFonts w:ascii="Book Antiqua" w:hAnsi="Book Antiqua"/>
              </w:rPr>
            </w:pPr>
            <w:r>
              <w:rPr>
                <w:rFonts w:ascii="Book Antiqua" w:hAnsi="Book Antiqua"/>
              </w:rPr>
              <w:t>4</w:t>
            </w:r>
            <w:r>
              <w:rPr>
                <w:rFonts w:ascii="Book Antiqua" w:hAnsi="Book Antiqua"/>
                <w:lang w:eastAsia="zh-CN"/>
              </w:rPr>
              <w:t xml:space="preserve"> </w:t>
            </w:r>
            <w:r>
              <w:rPr>
                <w:rFonts w:ascii="Book Antiqua" w:hAnsi="Book Antiqua"/>
              </w:rPr>
              <w:t xml:space="preserve">(0.5-5.6) </w:t>
            </w:r>
          </w:p>
        </w:tc>
        <w:tc>
          <w:tcPr>
            <w:tcW w:w="757" w:type="pct"/>
          </w:tcPr>
          <w:p>
            <w:pPr>
              <w:autoSpaceDE w:val="0"/>
              <w:autoSpaceDN w:val="0"/>
              <w:adjustRightInd w:val="0"/>
              <w:spacing w:line="360" w:lineRule="auto"/>
              <w:jc w:val="both"/>
              <w:rPr>
                <w:rFonts w:ascii="Book Antiqua" w:hAnsi="Book Antiqua"/>
              </w:rPr>
            </w:pPr>
            <w:r>
              <w:rPr>
                <w:rFonts w:ascii="Book Antiqua" w:hAnsi="Book Antiqua"/>
              </w:rPr>
              <w:t>5.3</w:t>
            </w:r>
            <w:r>
              <w:rPr>
                <w:rFonts w:ascii="Book Antiqua" w:hAnsi="Book Antiqua"/>
                <w:lang w:eastAsia="zh-CN"/>
              </w:rPr>
              <w:t xml:space="preserve"> </w:t>
            </w:r>
            <w:r>
              <w:rPr>
                <w:rFonts w:ascii="Book Antiqua" w:hAnsi="Book Antiqua"/>
              </w:rPr>
              <w:t xml:space="preserve">(2.2-9.2) </w:t>
            </w:r>
          </w:p>
        </w:tc>
        <w:tc>
          <w:tcPr>
            <w:tcW w:w="501" w:type="pct"/>
          </w:tcPr>
          <w:p>
            <w:pPr>
              <w:autoSpaceDE w:val="0"/>
              <w:autoSpaceDN w:val="0"/>
              <w:adjustRightInd w:val="0"/>
              <w:spacing w:line="360" w:lineRule="auto"/>
              <w:jc w:val="both"/>
              <w:rPr>
                <w:rFonts w:ascii="Book Antiqua" w:hAnsi="Book Antiqua"/>
              </w:rPr>
            </w:pPr>
            <w:r>
              <w:rPr>
                <w:rFonts w:ascii="Book Antiqua" w:hAnsi="Book Antiqua"/>
              </w:rPr>
              <w:t xml:space="preserve">0.237 </w:t>
            </w:r>
          </w:p>
        </w:tc>
      </w:tr>
    </w:tbl>
    <w:p>
      <w:pPr>
        <w:spacing w:line="360" w:lineRule="auto"/>
        <w:jc w:val="both"/>
        <w:rPr>
          <w:rFonts w:ascii="Book Antiqua" w:hAnsi="Book Antiqua"/>
          <w:lang w:eastAsia="zh-CN"/>
        </w:rPr>
      </w:pPr>
      <w:r>
        <w:rPr>
          <w:rFonts w:ascii="Book Antiqua" w:hAnsi="Book Antiqua"/>
        </w:rPr>
        <w:t>TNBC</w:t>
      </w:r>
      <w:r>
        <w:rPr>
          <w:rFonts w:ascii="Book Antiqua" w:hAnsi="Book Antiqua"/>
          <w:lang w:eastAsia="zh-CN"/>
        </w:rPr>
        <w:t xml:space="preserve">: </w:t>
      </w:r>
      <w:r>
        <w:rPr>
          <w:rFonts w:ascii="Book Antiqua" w:hAnsi="Book Antiqua"/>
        </w:rPr>
        <w:t>Triple negative breast cancer</w:t>
      </w:r>
      <w:r>
        <w:rPr>
          <w:rFonts w:ascii="Book Antiqua" w:hAnsi="Book Antiqua"/>
          <w:lang w:eastAsia="zh-CN"/>
        </w:rPr>
        <w:t>;</w:t>
      </w:r>
      <w:r>
        <w:rPr>
          <w:rFonts w:ascii="Book Antiqua" w:hAnsi="Book Antiqua"/>
        </w:rPr>
        <w:t xml:space="preserve"> CEA</w:t>
      </w:r>
      <w:r>
        <w:rPr>
          <w:rFonts w:ascii="Book Antiqua" w:hAnsi="Book Antiqua"/>
          <w:lang w:eastAsia="zh-CN"/>
        </w:rPr>
        <w:t>:</w:t>
      </w:r>
      <w:r>
        <w:rPr>
          <w:rFonts w:ascii="Book Antiqua" w:hAnsi="Book Antiqua"/>
        </w:rPr>
        <w:t xml:space="preserve"> Carcinoembryonic antigen</w:t>
      </w:r>
      <w:r>
        <w:rPr>
          <w:rFonts w:ascii="Book Antiqua" w:hAnsi="Book Antiqua"/>
          <w:lang w:eastAsia="zh-CN"/>
        </w:rPr>
        <w:t>.</w:t>
      </w:r>
    </w:p>
    <w:p>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 xml:space="preserve">Table 4 Serum </w:t>
      </w:r>
      <w:r>
        <w:rPr>
          <w:rFonts w:ascii="Book Antiqua" w:hAnsi="Book Antiqua"/>
          <w:b/>
          <w:lang w:eastAsia="zh-CN"/>
        </w:rPr>
        <w:t>c</w:t>
      </w:r>
      <w:r>
        <w:rPr>
          <w:rFonts w:ascii="Book Antiqua" w:hAnsi="Book Antiqua"/>
          <w:b/>
        </w:rPr>
        <w:t>arcinoembryonic antigen</w:t>
      </w:r>
      <w:r>
        <w:rPr>
          <w:rFonts w:ascii="Book Antiqua" w:hAnsi="Book Antiqua"/>
          <w:b/>
          <w:bCs/>
        </w:rPr>
        <w:t xml:space="preserve"> and response to treatment in </w:t>
      </w:r>
      <w:r>
        <w:rPr>
          <w:rFonts w:ascii="Book Antiqua" w:hAnsi="Book Antiqua"/>
          <w:b/>
          <w:bCs/>
          <w:lang w:eastAsia="zh-CN"/>
        </w:rPr>
        <w:t>b</w:t>
      </w:r>
      <w:r>
        <w:rPr>
          <w:rFonts w:ascii="Book Antiqua" w:hAnsi="Book Antiqua"/>
          <w:b/>
          <w:bCs/>
        </w:rPr>
        <w:t>one, liver, and lung metastases</w:t>
      </w:r>
    </w:p>
    <w:tbl>
      <w:tblPr>
        <w:tblStyle w:val="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58"/>
        <w:gridCol w:w="2107"/>
        <w:gridCol w:w="2561"/>
        <w:gridCol w:w="14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806" w:type="pct"/>
            <w:tcBorders>
              <w:top w:val="single" w:color="auto" w:sz="4" w:space="0"/>
              <w:bottom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EastAsia"/>
                <w:b/>
                <w:bCs/>
                <w:lang w:val="en-IN" w:eastAsia="zh-CN" w:bidi="hi-IN"/>
              </w:rPr>
              <w:t>Serum CEA (ng/mL)</w:t>
            </w:r>
          </w:p>
        </w:tc>
        <w:tc>
          <w:tcPr>
            <w:tcW w:w="1100" w:type="pct"/>
            <w:tcBorders>
              <w:top w:val="single" w:color="auto" w:sz="4" w:space="0"/>
              <w:bottom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EastAsia"/>
                <w:b/>
                <w:bCs/>
                <w:lang w:val="en-IN" w:eastAsia="zh-CN" w:bidi="hi-IN"/>
              </w:rPr>
              <w:t>Bone metastases</w:t>
            </w:r>
          </w:p>
        </w:tc>
        <w:tc>
          <w:tcPr>
            <w:tcW w:w="1337" w:type="pct"/>
            <w:tcBorders>
              <w:top w:val="single" w:color="auto" w:sz="4" w:space="0"/>
              <w:bottom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EastAsia"/>
                <w:b/>
                <w:bCs/>
                <w:lang w:val="en-IN" w:eastAsia="zh-CN" w:bidi="hi-IN"/>
              </w:rPr>
              <w:t xml:space="preserve">No bone metastases </w:t>
            </w:r>
          </w:p>
        </w:tc>
        <w:tc>
          <w:tcPr>
            <w:tcW w:w="758" w:type="pct"/>
            <w:tcBorders>
              <w:top w:val="single" w:color="auto" w:sz="4" w:space="0"/>
              <w:bottom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EastAsia"/>
                <w:b/>
                <w:bCs/>
                <w:i/>
                <w:lang w:val="en-IN" w:eastAsia="zh-CN" w:bidi="hi-IN"/>
              </w:rPr>
              <w:t>P</w:t>
            </w:r>
            <w:r>
              <w:rPr>
                <w:rFonts w:ascii="Book Antiqua" w:hAnsi="Book Antiqua" w:cs="Times New Roman" w:eastAsiaTheme="minorEastAsia"/>
                <w:b/>
                <w:bCs/>
                <w:lang w:val="en-IN" w:eastAsia="zh-CN" w:bidi="hi-I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806" w:type="pct"/>
            <w:tcBorders>
              <w:top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 xml:space="preserve">Median </w:t>
            </w:r>
            <w:r>
              <w:rPr>
                <w:rFonts w:ascii="Book Antiqua" w:hAnsi="Book Antiqua" w:cs="Times New Roman" w:eastAsiaTheme="minorEastAsia"/>
                <w:lang w:val="en-IN" w:eastAsia="zh-CN"/>
              </w:rPr>
              <w:t>p</w:t>
            </w:r>
            <w:r>
              <w:rPr>
                <w:rFonts w:ascii="Book Antiqua" w:hAnsi="Book Antiqua" w:cs="Times New Roman" w:eastAsiaTheme="minorHAnsi"/>
                <w:lang w:val="en-IN"/>
              </w:rPr>
              <w:t xml:space="preserve">re-treatment </w:t>
            </w:r>
            <w:r>
              <w:rPr>
                <w:rFonts w:ascii="Book Antiqua" w:hAnsi="Book Antiqua" w:cs="Times New Roman" w:eastAsiaTheme="minorEastAsia"/>
                <w:bCs/>
                <w:lang w:val="en-IN" w:eastAsia="zh-CN"/>
              </w:rPr>
              <w:t>s</w:t>
            </w:r>
            <w:r>
              <w:rPr>
                <w:rFonts w:ascii="Book Antiqua" w:hAnsi="Book Antiqua" w:cs="Times New Roman" w:eastAsiaTheme="minorHAnsi"/>
                <w:bCs/>
                <w:lang w:val="en-IN"/>
              </w:rPr>
              <w:t>erum</w:t>
            </w:r>
            <w:r>
              <w:rPr>
                <w:rFonts w:ascii="Book Antiqua" w:hAnsi="Book Antiqua" w:cs="Times New Roman" w:eastAsiaTheme="minorHAnsi"/>
                <w:lang w:val="en-IN"/>
              </w:rPr>
              <w:t xml:space="preserve"> CEA</w:t>
            </w:r>
          </w:p>
        </w:tc>
        <w:tc>
          <w:tcPr>
            <w:tcW w:w="1100" w:type="pct"/>
            <w:tcBorders>
              <w:top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11.7</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(2.9-48.4)</w:t>
            </w:r>
          </w:p>
        </w:tc>
        <w:tc>
          <w:tcPr>
            <w:tcW w:w="1337" w:type="pct"/>
            <w:tcBorders>
              <w:top w:val="single" w:color="auto" w:sz="4" w:space="0"/>
            </w:tcBorders>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6.8</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(2-32.3)</w:t>
            </w:r>
          </w:p>
        </w:tc>
        <w:tc>
          <w:tcPr>
            <w:tcW w:w="758" w:type="pct"/>
            <w:tcBorders>
              <w:top w:val="single" w:color="auto" w:sz="4" w:space="0"/>
            </w:tcBorders>
          </w:tcPr>
          <w:p>
            <w:pPr>
              <w:autoSpaceDE w:val="0"/>
              <w:autoSpaceDN w:val="0"/>
              <w:adjustRightInd w:val="0"/>
              <w:spacing w:line="360" w:lineRule="auto"/>
              <w:contextualSpacing/>
              <w:jc w:val="both"/>
              <w:rPr>
                <w:rFonts w:ascii="Book Antiqua" w:hAnsi="Book Antiqua" w:cs="Times New Roman" w:eastAsiaTheme="minorEastAsia"/>
                <w:lang w:val="en-IN" w:eastAsia="zh-CN"/>
              </w:rPr>
            </w:pPr>
            <w:r>
              <w:rPr>
                <w:rFonts w:ascii="Book Antiqua" w:hAnsi="Book Antiqua" w:cs="Times New Roman" w:eastAsiaTheme="minorHAnsi"/>
                <w:lang w:val="en-IN"/>
              </w:rPr>
              <w:t xml:space="preserve">0.788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 xml:space="preserve">Median </w:t>
            </w:r>
            <w:r>
              <w:rPr>
                <w:rFonts w:ascii="Book Antiqua" w:hAnsi="Book Antiqua" w:cs="Times New Roman" w:eastAsiaTheme="minorEastAsia"/>
                <w:lang w:val="en-IN" w:eastAsia="zh-CN"/>
              </w:rPr>
              <w:t>p</w:t>
            </w:r>
            <w:r>
              <w:rPr>
                <w:rFonts w:ascii="Book Antiqua" w:hAnsi="Book Antiqua" w:cs="Times New Roman" w:eastAsiaTheme="minorHAnsi"/>
                <w:lang w:val="en-IN"/>
              </w:rPr>
              <w:t>ost</w:t>
            </w:r>
            <w:r>
              <w:rPr>
                <w:rFonts w:ascii="Book Antiqua" w:hAnsi="Book Antiqua" w:cs="Times New Roman" w:eastAsiaTheme="minorEastAsia"/>
                <w:lang w:val="en-IN" w:eastAsia="zh-CN"/>
              </w:rPr>
              <w:t>-</w:t>
            </w:r>
            <w:r>
              <w:rPr>
                <w:rFonts w:ascii="Book Antiqua" w:hAnsi="Book Antiqua" w:cs="Times New Roman" w:eastAsiaTheme="minorHAnsi"/>
                <w:lang w:val="en-IN"/>
              </w:rPr>
              <w:t xml:space="preserve">treatment </w:t>
            </w:r>
            <w:r>
              <w:rPr>
                <w:rFonts w:ascii="Book Antiqua" w:hAnsi="Book Antiqua" w:cs="Times New Roman" w:eastAsiaTheme="minorEastAsia"/>
                <w:bCs/>
                <w:lang w:val="en-IN" w:eastAsia="zh-CN"/>
              </w:rPr>
              <w:t>s</w:t>
            </w:r>
            <w:r>
              <w:rPr>
                <w:rFonts w:ascii="Book Antiqua" w:hAnsi="Book Antiqua" w:cs="Times New Roman" w:eastAsiaTheme="minorHAnsi"/>
                <w:bCs/>
                <w:lang w:val="en-IN"/>
              </w:rPr>
              <w:t>erum</w:t>
            </w:r>
            <w:r>
              <w:rPr>
                <w:rFonts w:ascii="Book Antiqua" w:hAnsi="Book Antiqua" w:cs="Times New Roman" w:eastAsiaTheme="minorHAnsi"/>
                <w:lang w:val="en-IN"/>
              </w:rPr>
              <w:t xml:space="preserve"> CEA</w:t>
            </w:r>
          </w:p>
        </w:tc>
        <w:tc>
          <w:tcPr>
            <w:tcW w:w="1100" w:type="pct"/>
          </w:tcPr>
          <w:p>
            <w:pPr>
              <w:spacing w:line="360" w:lineRule="auto"/>
              <w:jc w:val="both"/>
              <w:rPr>
                <w:rFonts w:ascii="Book Antiqua" w:hAnsi="Book Antiqua" w:cs="Times New Roman" w:eastAsiaTheme="minorEastAsia"/>
                <w:lang w:val="en-IN" w:eastAsia="zh-CN"/>
              </w:rPr>
            </w:pPr>
            <w:r>
              <w:rPr>
                <w:rFonts w:ascii="Book Antiqua" w:hAnsi="Book Antiqua" w:cs="Times New Roman" w:eastAsiaTheme="minorHAnsi"/>
                <w:lang w:val="en-IN"/>
              </w:rPr>
              <w:t>9</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(2-20)</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2</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(1-9)</w:t>
            </w:r>
          </w:p>
        </w:tc>
        <w:tc>
          <w:tcPr>
            <w:tcW w:w="758"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0.063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p>
        </w:tc>
        <w:tc>
          <w:tcPr>
            <w:tcW w:w="1100" w:type="pct"/>
          </w:tcPr>
          <w:p>
            <w:pPr>
              <w:spacing w:line="360" w:lineRule="auto"/>
              <w:jc w:val="both"/>
              <w:rPr>
                <w:rFonts w:ascii="Book Antiqua" w:hAnsi="Book Antiqua" w:cs="Times New Roman" w:eastAsiaTheme="minorEastAsia"/>
                <w:b/>
                <w:bCs/>
                <w:lang w:val="en-IN" w:eastAsia="zh-CN"/>
              </w:rPr>
            </w:pPr>
            <w:r>
              <w:rPr>
                <w:rFonts w:ascii="Book Antiqua" w:hAnsi="Book Antiqua" w:cs="Times New Roman" w:eastAsiaTheme="minorHAnsi"/>
                <w:b/>
                <w:bCs/>
                <w:lang w:val="en-IN"/>
              </w:rPr>
              <w:t xml:space="preserve">Liver </w:t>
            </w:r>
            <w:r>
              <w:rPr>
                <w:rFonts w:ascii="Book Antiqua" w:hAnsi="Book Antiqua" w:cs="Times New Roman" w:eastAsiaTheme="minorEastAsia"/>
                <w:b/>
                <w:bCs/>
                <w:lang w:val="en-IN" w:eastAsia="zh-CN"/>
              </w:rPr>
              <w:t>m</w:t>
            </w:r>
            <w:r>
              <w:rPr>
                <w:rFonts w:ascii="Book Antiqua" w:hAnsi="Book Antiqua" w:cs="Times New Roman" w:eastAsiaTheme="minorHAnsi"/>
                <w:b/>
                <w:bCs/>
                <w:lang w:val="en-IN"/>
              </w:rPr>
              <w:t>etastases</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b/>
                <w:bCs/>
                <w:lang w:val="en-IN"/>
              </w:rPr>
              <w:t xml:space="preserve">No </w:t>
            </w:r>
            <w:r>
              <w:rPr>
                <w:rFonts w:ascii="Book Antiqua" w:hAnsi="Book Antiqua" w:cs="Times New Roman" w:eastAsiaTheme="minorEastAsia"/>
                <w:b/>
                <w:bCs/>
                <w:lang w:val="en-IN" w:eastAsia="zh-CN"/>
              </w:rPr>
              <w:t>l</w:t>
            </w:r>
            <w:r>
              <w:rPr>
                <w:rFonts w:ascii="Book Antiqua" w:hAnsi="Book Antiqua" w:cs="Times New Roman" w:eastAsiaTheme="minorHAnsi"/>
                <w:b/>
                <w:bCs/>
                <w:lang w:val="en-IN"/>
              </w:rPr>
              <w:t>iver metastases</w:t>
            </w:r>
          </w:p>
        </w:tc>
        <w:tc>
          <w:tcPr>
            <w:tcW w:w="758" w:type="pct"/>
          </w:tcPr>
          <w:p>
            <w:pPr>
              <w:spacing w:line="360" w:lineRule="auto"/>
              <w:jc w:val="both"/>
              <w:rPr>
                <w:rFonts w:ascii="Book Antiqua" w:hAnsi="Book Antiqua" w:cs="Times New Roman" w:eastAsiaTheme="minorEastAsia"/>
                <w:b/>
                <w:bCs/>
                <w:lang w:val="en-IN" w:eastAsia="zh-CN" w:bidi="hi-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 xml:space="preserve">Median </w:t>
            </w:r>
            <w:r>
              <w:rPr>
                <w:rFonts w:ascii="Book Antiqua" w:hAnsi="Book Antiqua" w:cs="Times New Roman" w:eastAsiaTheme="minorEastAsia"/>
                <w:lang w:val="en-IN" w:eastAsia="zh-CN"/>
              </w:rPr>
              <w:t>p</w:t>
            </w:r>
            <w:r>
              <w:rPr>
                <w:rFonts w:ascii="Book Antiqua" w:hAnsi="Book Antiqua" w:cs="Times New Roman" w:eastAsiaTheme="minorHAnsi"/>
                <w:lang w:val="en-IN"/>
              </w:rPr>
              <w:t xml:space="preserve">re-treatment </w:t>
            </w:r>
            <w:r>
              <w:rPr>
                <w:rFonts w:ascii="Book Antiqua" w:hAnsi="Book Antiqua" w:cs="Times New Roman" w:eastAsiaTheme="minorEastAsia"/>
                <w:bCs/>
                <w:lang w:val="en-IN" w:eastAsia="zh-CN"/>
              </w:rPr>
              <w:t>s</w:t>
            </w:r>
            <w:r>
              <w:rPr>
                <w:rFonts w:ascii="Book Antiqua" w:hAnsi="Book Antiqua" w:cs="Times New Roman" w:eastAsiaTheme="minorHAnsi"/>
                <w:bCs/>
                <w:lang w:val="en-IN"/>
              </w:rPr>
              <w:t>erum</w:t>
            </w:r>
            <w:r>
              <w:rPr>
                <w:rFonts w:ascii="Book Antiqua" w:hAnsi="Book Antiqua" w:cs="Times New Roman" w:eastAsiaTheme="minorHAnsi"/>
                <w:lang w:val="en-IN"/>
              </w:rPr>
              <w:t xml:space="preserve"> CEA</w:t>
            </w:r>
          </w:p>
        </w:tc>
        <w:tc>
          <w:tcPr>
            <w:tcW w:w="1100" w:type="pct"/>
          </w:tcPr>
          <w:p>
            <w:pPr>
              <w:spacing w:line="360" w:lineRule="auto"/>
              <w:jc w:val="both"/>
              <w:rPr>
                <w:rFonts w:ascii="Book Antiqua" w:hAnsi="Book Antiqua" w:cs="Times New Roman" w:eastAsiaTheme="minorEastAsia"/>
                <w:lang w:val="en-IN" w:eastAsia="zh-CN"/>
              </w:rPr>
            </w:pPr>
            <w:r>
              <w:rPr>
                <w:rFonts w:ascii="Book Antiqua" w:hAnsi="Book Antiqua" w:cs="Times New Roman" w:eastAsiaTheme="minorHAnsi"/>
                <w:lang w:val="en-IN"/>
              </w:rPr>
              <w:t>11.7</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(4.4-62.7)</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6.8</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(1.9-22.7)</w:t>
            </w:r>
          </w:p>
        </w:tc>
        <w:tc>
          <w:tcPr>
            <w:tcW w:w="758"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0.244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 xml:space="preserve">Median </w:t>
            </w:r>
            <w:r>
              <w:rPr>
                <w:rFonts w:ascii="Book Antiqua" w:hAnsi="Book Antiqua" w:cs="Times New Roman" w:eastAsiaTheme="minorEastAsia"/>
                <w:lang w:val="en-IN" w:eastAsia="zh-CN"/>
              </w:rPr>
              <w:t>p</w:t>
            </w:r>
            <w:r>
              <w:rPr>
                <w:rFonts w:ascii="Book Antiqua" w:hAnsi="Book Antiqua" w:cs="Times New Roman" w:eastAsiaTheme="minorHAnsi"/>
                <w:lang w:val="en-IN"/>
              </w:rPr>
              <w:t>ost</w:t>
            </w:r>
            <w:r>
              <w:rPr>
                <w:rFonts w:ascii="Book Antiqua" w:hAnsi="Book Antiqua" w:cs="Times New Roman" w:eastAsiaTheme="minorEastAsia"/>
                <w:lang w:val="en-IN" w:eastAsia="zh-CN"/>
              </w:rPr>
              <w:t>-</w:t>
            </w:r>
            <w:r>
              <w:rPr>
                <w:rFonts w:ascii="Book Antiqua" w:hAnsi="Book Antiqua" w:cs="Times New Roman" w:eastAsiaTheme="minorHAnsi"/>
                <w:lang w:val="en-IN"/>
              </w:rPr>
              <w:t xml:space="preserve">treatment </w:t>
            </w:r>
            <w:r>
              <w:rPr>
                <w:rFonts w:ascii="Book Antiqua" w:hAnsi="Book Antiqua" w:cs="Times New Roman" w:eastAsiaTheme="minorEastAsia"/>
                <w:bCs/>
                <w:lang w:val="en-IN" w:eastAsia="zh-CN"/>
              </w:rPr>
              <w:t>s</w:t>
            </w:r>
            <w:r>
              <w:rPr>
                <w:rFonts w:ascii="Book Antiqua" w:hAnsi="Book Antiqua" w:cs="Times New Roman" w:eastAsiaTheme="minorHAnsi"/>
                <w:bCs/>
                <w:lang w:val="en-IN"/>
              </w:rPr>
              <w:t>erum</w:t>
            </w:r>
            <w:r>
              <w:rPr>
                <w:rFonts w:ascii="Book Antiqua" w:hAnsi="Book Antiqua" w:cs="Times New Roman" w:eastAsiaTheme="minorHAnsi"/>
                <w:lang w:val="en-IN"/>
              </w:rPr>
              <w:t xml:space="preserve"> CEA</w:t>
            </w:r>
          </w:p>
        </w:tc>
        <w:tc>
          <w:tcPr>
            <w:tcW w:w="1100" w:type="pct"/>
          </w:tcPr>
          <w:p>
            <w:pPr>
              <w:spacing w:line="360" w:lineRule="auto"/>
              <w:jc w:val="both"/>
              <w:rPr>
                <w:rFonts w:ascii="Book Antiqua" w:hAnsi="Book Antiqua" w:cs="Times New Roman" w:eastAsiaTheme="minorEastAsia"/>
                <w:lang w:val="en-IN" w:eastAsia="zh-CN"/>
              </w:rPr>
            </w:pPr>
            <w:r>
              <w:rPr>
                <w:rFonts w:ascii="Book Antiqua" w:hAnsi="Book Antiqua" w:cs="Times New Roman" w:eastAsiaTheme="minorHAnsi"/>
                <w:lang w:val="en-IN"/>
              </w:rPr>
              <w:t>8</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(1.2-19.75)</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3</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(1.25-11.5)</w:t>
            </w:r>
          </w:p>
        </w:tc>
        <w:tc>
          <w:tcPr>
            <w:tcW w:w="758"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0.352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p>
        </w:tc>
        <w:tc>
          <w:tcPr>
            <w:tcW w:w="1100"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b/>
                <w:bCs/>
                <w:lang w:val="en-IN"/>
              </w:rPr>
              <w:t xml:space="preserve">Lung </w:t>
            </w:r>
            <w:r>
              <w:rPr>
                <w:rFonts w:ascii="Book Antiqua" w:hAnsi="Book Antiqua" w:cs="Times New Roman" w:eastAsiaTheme="minorEastAsia"/>
                <w:b/>
                <w:bCs/>
                <w:lang w:val="en-IN" w:eastAsia="zh-CN"/>
              </w:rPr>
              <w:t>m</w:t>
            </w:r>
            <w:r>
              <w:rPr>
                <w:rFonts w:ascii="Book Antiqua" w:hAnsi="Book Antiqua" w:cs="Times New Roman" w:eastAsiaTheme="minorHAnsi"/>
                <w:b/>
                <w:bCs/>
                <w:lang w:val="en-IN"/>
              </w:rPr>
              <w:t>etastases</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b/>
                <w:bCs/>
                <w:lang w:val="en-IN"/>
              </w:rPr>
              <w:t xml:space="preserve">No </w:t>
            </w:r>
            <w:r>
              <w:rPr>
                <w:rFonts w:ascii="Book Antiqua" w:hAnsi="Book Antiqua" w:cs="Times New Roman" w:eastAsiaTheme="minorEastAsia"/>
                <w:b/>
                <w:bCs/>
                <w:lang w:val="en-IN" w:eastAsia="zh-CN"/>
              </w:rPr>
              <w:t>l</w:t>
            </w:r>
            <w:r>
              <w:rPr>
                <w:rFonts w:ascii="Book Antiqua" w:hAnsi="Book Antiqua" w:cs="Times New Roman" w:eastAsiaTheme="minorHAnsi"/>
                <w:b/>
                <w:bCs/>
                <w:lang w:val="en-IN"/>
              </w:rPr>
              <w:t xml:space="preserve">ung </w:t>
            </w:r>
            <w:r>
              <w:rPr>
                <w:rFonts w:ascii="Book Antiqua" w:hAnsi="Book Antiqua" w:cs="Times New Roman" w:eastAsiaTheme="minorEastAsia"/>
                <w:b/>
                <w:bCs/>
                <w:lang w:val="en-IN" w:eastAsia="zh-CN"/>
              </w:rPr>
              <w:t>m</w:t>
            </w:r>
            <w:r>
              <w:rPr>
                <w:rFonts w:ascii="Book Antiqua" w:hAnsi="Book Antiqua" w:cs="Times New Roman" w:eastAsiaTheme="minorHAnsi"/>
                <w:b/>
                <w:bCs/>
                <w:lang w:val="en-IN"/>
              </w:rPr>
              <w:t>etastases</w:t>
            </w:r>
          </w:p>
        </w:tc>
        <w:tc>
          <w:tcPr>
            <w:tcW w:w="758" w:type="pct"/>
          </w:tcPr>
          <w:p>
            <w:pPr>
              <w:spacing w:line="360" w:lineRule="auto"/>
              <w:jc w:val="both"/>
              <w:rPr>
                <w:rFonts w:ascii="Book Antiqua" w:hAnsi="Book Antiqua" w:cs="Times New Roman" w:eastAsiaTheme="minorEastAsia"/>
                <w:b/>
                <w:bCs/>
                <w:lang w:val="en-IN" w:eastAsia="zh-CN" w:bidi="hi-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 xml:space="preserve">Median </w:t>
            </w:r>
            <w:r>
              <w:rPr>
                <w:rFonts w:ascii="Book Antiqua" w:hAnsi="Book Antiqua" w:cs="Times New Roman" w:eastAsiaTheme="minorEastAsia"/>
                <w:lang w:val="en-IN" w:eastAsia="zh-CN"/>
              </w:rPr>
              <w:t>p</w:t>
            </w:r>
            <w:r>
              <w:rPr>
                <w:rFonts w:ascii="Book Antiqua" w:hAnsi="Book Antiqua" w:cs="Times New Roman" w:eastAsiaTheme="minorHAnsi"/>
                <w:lang w:val="en-IN"/>
              </w:rPr>
              <w:t xml:space="preserve">re-treatment </w:t>
            </w:r>
            <w:r>
              <w:rPr>
                <w:rFonts w:ascii="Book Antiqua" w:hAnsi="Book Antiqua" w:cs="Times New Roman" w:eastAsiaTheme="minorEastAsia"/>
                <w:bCs/>
                <w:lang w:val="en-IN" w:eastAsia="zh-CN"/>
              </w:rPr>
              <w:t>s</w:t>
            </w:r>
            <w:r>
              <w:rPr>
                <w:rFonts w:ascii="Book Antiqua" w:hAnsi="Book Antiqua" w:cs="Times New Roman" w:eastAsiaTheme="minorHAnsi"/>
                <w:bCs/>
                <w:lang w:val="en-IN"/>
              </w:rPr>
              <w:t>erum</w:t>
            </w:r>
            <w:r>
              <w:rPr>
                <w:rFonts w:ascii="Book Antiqua" w:hAnsi="Book Antiqua" w:cs="Times New Roman" w:eastAsiaTheme="minorHAnsi"/>
                <w:lang w:val="en-IN"/>
              </w:rPr>
              <w:t xml:space="preserve"> CEA</w:t>
            </w:r>
          </w:p>
        </w:tc>
        <w:tc>
          <w:tcPr>
            <w:tcW w:w="1100"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7.8</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(1.9-31.3)</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9.78</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(5.15-66.64)</w:t>
            </w:r>
          </w:p>
        </w:tc>
        <w:tc>
          <w:tcPr>
            <w:tcW w:w="758"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0.353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6"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 xml:space="preserve">Median </w:t>
            </w:r>
            <w:r>
              <w:rPr>
                <w:rFonts w:ascii="Book Antiqua" w:hAnsi="Book Antiqua" w:cs="Times New Roman" w:eastAsiaTheme="minorEastAsia"/>
                <w:lang w:val="en-IN" w:eastAsia="zh-CN"/>
              </w:rPr>
              <w:t>p</w:t>
            </w:r>
            <w:r>
              <w:rPr>
                <w:rFonts w:ascii="Book Antiqua" w:hAnsi="Book Antiqua" w:cs="Times New Roman" w:eastAsiaTheme="minorHAnsi"/>
                <w:lang w:val="en-IN"/>
              </w:rPr>
              <w:t>ost</w:t>
            </w:r>
            <w:r>
              <w:rPr>
                <w:rFonts w:ascii="Book Antiqua" w:hAnsi="Book Antiqua" w:cs="Times New Roman" w:eastAsiaTheme="minorEastAsia"/>
                <w:lang w:val="en-IN" w:eastAsia="zh-CN"/>
              </w:rPr>
              <w:t>-</w:t>
            </w:r>
            <w:r>
              <w:rPr>
                <w:rFonts w:ascii="Book Antiqua" w:hAnsi="Book Antiqua" w:cs="Times New Roman" w:eastAsiaTheme="minorHAnsi"/>
                <w:lang w:val="en-IN"/>
              </w:rPr>
              <w:t xml:space="preserve">treatment </w:t>
            </w:r>
            <w:r>
              <w:rPr>
                <w:rFonts w:ascii="Book Antiqua" w:hAnsi="Book Antiqua" w:cs="Times New Roman" w:eastAsiaTheme="minorEastAsia"/>
                <w:bCs/>
                <w:lang w:val="en-IN" w:eastAsia="zh-CN"/>
              </w:rPr>
              <w:t>s</w:t>
            </w:r>
            <w:r>
              <w:rPr>
                <w:rFonts w:ascii="Book Antiqua" w:hAnsi="Book Antiqua" w:cs="Times New Roman" w:eastAsiaTheme="minorHAnsi"/>
                <w:bCs/>
                <w:lang w:val="en-IN"/>
              </w:rPr>
              <w:t>erum</w:t>
            </w:r>
            <w:r>
              <w:rPr>
                <w:rFonts w:ascii="Book Antiqua" w:hAnsi="Book Antiqua" w:cs="Times New Roman" w:eastAsiaTheme="minorHAnsi"/>
                <w:lang w:val="en-IN"/>
              </w:rPr>
              <w:t xml:space="preserve"> CEA</w:t>
            </w:r>
          </w:p>
        </w:tc>
        <w:tc>
          <w:tcPr>
            <w:tcW w:w="1100" w:type="pct"/>
          </w:tcPr>
          <w:p>
            <w:pPr>
              <w:spacing w:line="360" w:lineRule="auto"/>
              <w:jc w:val="both"/>
              <w:rPr>
                <w:rFonts w:ascii="Book Antiqua" w:hAnsi="Book Antiqua" w:cs="Times New Roman" w:eastAsiaTheme="minorEastAsia"/>
                <w:lang w:val="en-IN" w:eastAsia="zh-CN"/>
              </w:rPr>
            </w:pPr>
            <w:r>
              <w:rPr>
                <w:rFonts w:ascii="Book Antiqua" w:hAnsi="Book Antiqua" w:cs="Times New Roman" w:eastAsiaTheme="minorHAnsi"/>
                <w:lang w:val="en-IN"/>
              </w:rPr>
              <w:t>3.5</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(1-13.75</w:t>
            </w:r>
            <w:r>
              <w:rPr>
                <w:rFonts w:ascii="Book Antiqua" w:hAnsi="Book Antiqua" w:cs="Times New Roman" w:eastAsiaTheme="minorEastAsia"/>
                <w:lang w:val="en-IN" w:eastAsia="zh-CN"/>
              </w:rPr>
              <w:t>)</w:t>
            </w:r>
          </w:p>
        </w:tc>
        <w:tc>
          <w:tcPr>
            <w:tcW w:w="1337"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5</w:t>
            </w:r>
            <w:r>
              <w:rPr>
                <w:rFonts w:ascii="Book Antiqua" w:hAnsi="Book Antiqua" w:cs="Times New Roman" w:eastAsiaTheme="minorEastAsia"/>
                <w:lang w:val="en-IN" w:eastAsia="zh-CN"/>
              </w:rPr>
              <w:t xml:space="preserve"> </w:t>
            </w:r>
            <w:r>
              <w:rPr>
                <w:rFonts w:ascii="Book Antiqua" w:hAnsi="Book Antiqua" w:cs="Times New Roman" w:eastAsiaTheme="minorHAnsi"/>
                <w:lang w:val="en-IN"/>
              </w:rPr>
              <w:t>(1.5-10)</w:t>
            </w:r>
          </w:p>
        </w:tc>
        <w:tc>
          <w:tcPr>
            <w:tcW w:w="758" w:type="pct"/>
          </w:tcPr>
          <w:p>
            <w:pPr>
              <w:spacing w:line="360" w:lineRule="auto"/>
              <w:jc w:val="both"/>
              <w:rPr>
                <w:rFonts w:ascii="Book Antiqua" w:hAnsi="Book Antiqua" w:cs="Times New Roman" w:eastAsiaTheme="minorEastAsia"/>
                <w:b/>
                <w:bCs/>
                <w:lang w:val="en-IN" w:eastAsia="zh-CN" w:bidi="hi-IN"/>
              </w:rPr>
            </w:pPr>
            <w:r>
              <w:rPr>
                <w:rFonts w:ascii="Book Antiqua" w:hAnsi="Book Antiqua" w:cs="Times New Roman" w:eastAsiaTheme="minorHAnsi"/>
                <w:lang w:val="en-IN"/>
              </w:rPr>
              <w:t>0.93</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rPr>
        <w:t>CEA</w:t>
      </w:r>
      <w:r>
        <w:rPr>
          <w:rFonts w:ascii="Book Antiqua" w:hAnsi="Book Antiqua"/>
          <w:lang w:eastAsia="zh-CN"/>
        </w:rPr>
        <w:t>:</w:t>
      </w:r>
      <w:r>
        <w:rPr>
          <w:rFonts w:ascii="Book Antiqua" w:hAnsi="Book Antiqua"/>
        </w:rPr>
        <w:t xml:space="preserve"> Carcinoembryonic antigen</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Mangal">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871162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千">
    <w15:presenceInfo w15:providerId="WPS Office" w15:userId="3028273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46FF"/>
    <w:rsid w:val="000057FB"/>
    <w:rsid w:val="00005F6A"/>
    <w:rsid w:val="0000753A"/>
    <w:rsid w:val="00010F74"/>
    <w:rsid w:val="00013144"/>
    <w:rsid w:val="00014879"/>
    <w:rsid w:val="00032A41"/>
    <w:rsid w:val="00034CBD"/>
    <w:rsid w:val="00044DC9"/>
    <w:rsid w:val="000545B6"/>
    <w:rsid w:val="00066CCA"/>
    <w:rsid w:val="00074495"/>
    <w:rsid w:val="00084A9D"/>
    <w:rsid w:val="000A273D"/>
    <w:rsid w:val="000A3175"/>
    <w:rsid w:val="000A4F5D"/>
    <w:rsid w:val="000B5D27"/>
    <w:rsid w:val="000B5E5B"/>
    <w:rsid w:val="000C0BCF"/>
    <w:rsid w:val="000C3C48"/>
    <w:rsid w:val="000D2A42"/>
    <w:rsid w:val="000F5598"/>
    <w:rsid w:val="00101F96"/>
    <w:rsid w:val="0010739B"/>
    <w:rsid w:val="0010744C"/>
    <w:rsid w:val="00114031"/>
    <w:rsid w:val="0012593D"/>
    <w:rsid w:val="00126F82"/>
    <w:rsid w:val="00132C25"/>
    <w:rsid w:val="00135D26"/>
    <w:rsid w:val="001664EA"/>
    <w:rsid w:val="00175954"/>
    <w:rsid w:val="00182F61"/>
    <w:rsid w:val="0018470E"/>
    <w:rsid w:val="00196542"/>
    <w:rsid w:val="001A24D8"/>
    <w:rsid w:val="001A3768"/>
    <w:rsid w:val="001A7902"/>
    <w:rsid w:val="001D799B"/>
    <w:rsid w:val="001F12F5"/>
    <w:rsid w:val="00212807"/>
    <w:rsid w:val="00231C2B"/>
    <w:rsid w:val="00252093"/>
    <w:rsid w:val="00257D4C"/>
    <w:rsid w:val="00262E1D"/>
    <w:rsid w:val="002971EA"/>
    <w:rsid w:val="00297612"/>
    <w:rsid w:val="002B03B7"/>
    <w:rsid w:val="002B3FA9"/>
    <w:rsid w:val="002D269A"/>
    <w:rsid w:val="002D7B1C"/>
    <w:rsid w:val="00302B89"/>
    <w:rsid w:val="00307A33"/>
    <w:rsid w:val="00326758"/>
    <w:rsid w:val="00347F8E"/>
    <w:rsid w:val="0035016C"/>
    <w:rsid w:val="003516DB"/>
    <w:rsid w:val="003652DC"/>
    <w:rsid w:val="00373095"/>
    <w:rsid w:val="00380304"/>
    <w:rsid w:val="00390258"/>
    <w:rsid w:val="003A0825"/>
    <w:rsid w:val="003B54FB"/>
    <w:rsid w:val="003D715C"/>
    <w:rsid w:val="00406D2B"/>
    <w:rsid w:val="00455B2A"/>
    <w:rsid w:val="00457AE5"/>
    <w:rsid w:val="00480973"/>
    <w:rsid w:val="00487837"/>
    <w:rsid w:val="004966F8"/>
    <w:rsid w:val="004B5468"/>
    <w:rsid w:val="004C0F0F"/>
    <w:rsid w:val="004C3DD3"/>
    <w:rsid w:val="004D51F9"/>
    <w:rsid w:val="00516785"/>
    <w:rsid w:val="00522154"/>
    <w:rsid w:val="00525446"/>
    <w:rsid w:val="0052551C"/>
    <w:rsid w:val="00535933"/>
    <w:rsid w:val="005563D4"/>
    <w:rsid w:val="00565EC3"/>
    <w:rsid w:val="00580ADB"/>
    <w:rsid w:val="005824F4"/>
    <w:rsid w:val="005A6929"/>
    <w:rsid w:val="005B1EBA"/>
    <w:rsid w:val="005C3C74"/>
    <w:rsid w:val="00611742"/>
    <w:rsid w:val="00614D99"/>
    <w:rsid w:val="00616640"/>
    <w:rsid w:val="006173D3"/>
    <w:rsid w:val="00621798"/>
    <w:rsid w:val="0067373E"/>
    <w:rsid w:val="006760BB"/>
    <w:rsid w:val="006852F9"/>
    <w:rsid w:val="006862BB"/>
    <w:rsid w:val="006A0E15"/>
    <w:rsid w:val="006C7C1C"/>
    <w:rsid w:val="007013C2"/>
    <w:rsid w:val="0070328B"/>
    <w:rsid w:val="00725EFA"/>
    <w:rsid w:val="0073782B"/>
    <w:rsid w:val="00737940"/>
    <w:rsid w:val="007508BC"/>
    <w:rsid w:val="0075274E"/>
    <w:rsid w:val="007674BE"/>
    <w:rsid w:val="007822AC"/>
    <w:rsid w:val="00797992"/>
    <w:rsid w:val="007B08E7"/>
    <w:rsid w:val="007B4754"/>
    <w:rsid w:val="007B499B"/>
    <w:rsid w:val="007D3DC4"/>
    <w:rsid w:val="007F076F"/>
    <w:rsid w:val="007F1658"/>
    <w:rsid w:val="008001D1"/>
    <w:rsid w:val="0080317E"/>
    <w:rsid w:val="0080753B"/>
    <w:rsid w:val="00807758"/>
    <w:rsid w:val="00820070"/>
    <w:rsid w:val="008416D8"/>
    <w:rsid w:val="0085646B"/>
    <w:rsid w:val="008678A1"/>
    <w:rsid w:val="008932CB"/>
    <w:rsid w:val="008A037C"/>
    <w:rsid w:val="008B35CF"/>
    <w:rsid w:val="008C645B"/>
    <w:rsid w:val="008F3E66"/>
    <w:rsid w:val="00906471"/>
    <w:rsid w:val="009242C6"/>
    <w:rsid w:val="009301C8"/>
    <w:rsid w:val="00950770"/>
    <w:rsid w:val="009620BB"/>
    <w:rsid w:val="009675C8"/>
    <w:rsid w:val="0099794F"/>
    <w:rsid w:val="009C3236"/>
    <w:rsid w:val="00A05EDA"/>
    <w:rsid w:val="00A110CA"/>
    <w:rsid w:val="00A15166"/>
    <w:rsid w:val="00A17E1C"/>
    <w:rsid w:val="00A43455"/>
    <w:rsid w:val="00A50AD8"/>
    <w:rsid w:val="00A6096B"/>
    <w:rsid w:val="00A619B6"/>
    <w:rsid w:val="00A76382"/>
    <w:rsid w:val="00A77B3E"/>
    <w:rsid w:val="00AA65E1"/>
    <w:rsid w:val="00AB793A"/>
    <w:rsid w:val="00AE1EE4"/>
    <w:rsid w:val="00AE3ED8"/>
    <w:rsid w:val="00AE629B"/>
    <w:rsid w:val="00AE6EEC"/>
    <w:rsid w:val="00AF05CC"/>
    <w:rsid w:val="00AF498C"/>
    <w:rsid w:val="00AF54B3"/>
    <w:rsid w:val="00B20A59"/>
    <w:rsid w:val="00B20CC0"/>
    <w:rsid w:val="00B36B0D"/>
    <w:rsid w:val="00B36D61"/>
    <w:rsid w:val="00B45682"/>
    <w:rsid w:val="00B469BA"/>
    <w:rsid w:val="00B55CA1"/>
    <w:rsid w:val="00B56022"/>
    <w:rsid w:val="00B60DBD"/>
    <w:rsid w:val="00B64A00"/>
    <w:rsid w:val="00B71F5D"/>
    <w:rsid w:val="00B875A7"/>
    <w:rsid w:val="00BA3035"/>
    <w:rsid w:val="00BA3EE5"/>
    <w:rsid w:val="00BA4B3C"/>
    <w:rsid w:val="00BB4E2E"/>
    <w:rsid w:val="00BC6817"/>
    <w:rsid w:val="00BD2BD9"/>
    <w:rsid w:val="00BD48B0"/>
    <w:rsid w:val="00BD721F"/>
    <w:rsid w:val="00BE169B"/>
    <w:rsid w:val="00BE72F2"/>
    <w:rsid w:val="00C16401"/>
    <w:rsid w:val="00C26BA5"/>
    <w:rsid w:val="00C649FC"/>
    <w:rsid w:val="00C6753C"/>
    <w:rsid w:val="00C707A6"/>
    <w:rsid w:val="00C70CB4"/>
    <w:rsid w:val="00C716D0"/>
    <w:rsid w:val="00C753D4"/>
    <w:rsid w:val="00C76D64"/>
    <w:rsid w:val="00C80C44"/>
    <w:rsid w:val="00C81D06"/>
    <w:rsid w:val="00C911F6"/>
    <w:rsid w:val="00CA2A55"/>
    <w:rsid w:val="00CA33C0"/>
    <w:rsid w:val="00CA4926"/>
    <w:rsid w:val="00CA497E"/>
    <w:rsid w:val="00CB09B9"/>
    <w:rsid w:val="00CB231A"/>
    <w:rsid w:val="00CC129F"/>
    <w:rsid w:val="00CC69EA"/>
    <w:rsid w:val="00CD362C"/>
    <w:rsid w:val="00CE68CB"/>
    <w:rsid w:val="00D037B8"/>
    <w:rsid w:val="00D06AB9"/>
    <w:rsid w:val="00D20F49"/>
    <w:rsid w:val="00D2556C"/>
    <w:rsid w:val="00D3087E"/>
    <w:rsid w:val="00D479F8"/>
    <w:rsid w:val="00D66D1A"/>
    <w:rsid w:val="00D729E0"/>
    <w:rsid w:val="00D774A7"/>
    <w:rsid w:val="00DB6457"/>
    <w:rsid w:val="00DC1D35"/>
    <w:rsid w:val="00DD4C4D"/>
    <w:rsid w:val="00DD7D43"/>
    <w:rsid w:val="00DE21C0"/>
    <w:rsid w:val="00DE2DE4"/>
    <w:rsid w:val="00DF4F59"/>
    <w:rsid w:val="00DF647F"/>
    <w:rsid w:val="00E01F86"/>
    <w:rsid w:val="00E0349A"/>
    <w:rsid w:val="00E10C1F"/>
    <w:rsid w:val="00E17270"/>
    <w:rsid w:val="00E220C5"/>
    <w:rsid w:val="00E2216C"/>
    <w:rsid w:val="00E27010"/>
    <w:rsid w:val="00E31332"/>
    <w:rsid w:val="00E40C8A"/>
    <w:rsid w:val="00E41D6A"/>
    <w:rsid w:val="00E63BF0"/>
    <w:rsid w:val="00E669D1"/>
    <w:rsid w:val="00E70D9E"/>
    <w:rsid w:val="00E7298C"/>
    <w:rsid w:val="00E85C60"/>
    <w:rsid w:val="00E90C83"/>
    <w:rsid w:val="00E948FD"/>
    <w:rsid w:val="00E95F1C"/>
    <w:rsid w:val="00EA32F3"/>
    <w:rsid w:val="00EA4C01"/>
    <w:rsid w:val="00EC4514"/>
    <w:rsid w:val="00EC510F"/>
    <w:rsid w:val="00ED449E"/>
    <w:rsid w:val="00F174CE"/>
    <w:rsid w:val="00F314F3"/>
    <w:rsid w:val="00F31F82"/>
    <w:rsid w:val="00F33CBF"/>
    <w:rsid w:val="00F50FD0"/>
    <w:rsid w:val="00F515F3"/>
    <w:rsid w:val="00F521DA"/>
    <w:rsid w:val="00F5452E"/>
    <w:rsid w:val="00F615ED"/>
    <w:rsid w:val="00F64F7E"/>
    <w:rsid w:val="00F81FB0"/>
    <w:rsid w:val="00F902D1"/>
    <w:rsid w:val="00F96758"/>
    <w:rsid w:val="00F976D5"/>
    <w:rsid w:val="00FA1ECE"/>
    <w:rsid w:val="00FB0B57"/>
    <w:rsid w:val="00FC1422"/>
    <w:rsid w:val="00FD048A"/>
    <w:rsid w:val="00FD4282"/>
    <w:rsid w:val="00FE1AF6"/>
    <w:rsid w:val="00FE3C34"/>
    <w:rsid w:val="00FF0F0F"/>
    <w:rsid w:val="03320B46"/>
    <w:rsid w:val="03982A00"/>
    <w:rsid w:val="14D47BE8"/>
    <w:rsid w:val="1D7134DB"/>
    <w:rsid w:val="28846AB4"/>
    <w:rsid w:val="5512726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qFormat/>
    <w:uiPriority w:val="0"/>
  </w:style>
  <w:style w:type="paragraph" w:styleId="3">
    <w:name w:val="Balloon Text"/>
    <w:basedOn w:val="1"/>
    <w:link w:val="15"/>
    <w:qFormat/>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20"/>
    <w:qFormat/>
    <w:uiPriority w:val="0"/>
    <w:rPr>
      <w:b/>
      <w:bCs/>
    </w:rPr>
  </w:style>
  <w:style w:type="table" w:styleId="9">
    <w:name w:val="Table Grid"/>
    <w:basedOn w:val="8"/>
    <w:qFormat/>
    <w:uiPriority w:val="39"/>
    <w:rPr>
      <w:rFonts w:asciiTheme="minorHAnsi" w:hAnsiTheme="minorHAnsi" w:eastAsiaTheme="minorHAnsi" w:cstheme="minorBidi"/>
      <w:sz w:val="22"/>
      <w:szCs w:val="22"/>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MsoPageNumber0"/>
    <w:basedOn w:val="10"/>
    <w:qFormat/>
    <w:uiPriority w:val="0"/>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basedOn w:val="10"/>
    <w:link w:val="3"/>
    <w:qFormat/>
    <w:uiPriority w:val="0"/>
    <w:rPr>
      <w:sz w:val="18"/>
      <w:szCs w:val="18"/>
    </w:rPr>
  </w:style>
  <w:style w:type="paragraph" w:styleId="16">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val="en-IN"/>
    </w:rPr>
  </w:style>
  <w:style w:type="character" w:customStyle="1" w:styleId="17">
    <w:name w:val="viiyi"/>
    <w:basedOn w:val="10"/>
    <w:qFormat/>
    <w:uiPriority w:val="0"/>
  </w:style>
  <w:style w:type="character" w:customStyle="1" w:styleId="18">
    <w:name w:val="q4iawc"/>
    <w:basedOn w:val="10"/>
    <w:qFormat/>
    <w:uiPriority w:val="0"/>
  </w:style>
  <w:style w:type="character" w:customStyle="1" w:styleId="19">
    <w:name w:val="批注文字 字符"/>
    <w:basedOn w:val="10"/>
    <w:link w:val="2"/>
    <w:qFormat/>
    <w:uiPriority w:val="0"/>
    <w:rPr>
      <w:sz w:val="24"/>
      <w:szCs w:val="24"/>
    </w:rPr>
  </w:style>
  <w:style w:type="character" w:customStyle="1" w:styleId="20">
    <w:name w:val="批注主题 字符"/>
    <w:basedOn w:val="19"/>
    <w:link w:val="7"/>
    <w:qFormat/>
    <w:uiPriority w:val="0"/>
    <w:rPr>
      <w:b/>
      <w:bCs/>
      <w:sz w:val="24"/>
      <w:szCs w:val="24"/>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5174</Words>
  <Characters>29868</Characters>
  <Lines>248</Lines>
  <Paragraphs>69</Paragraphs>
  <TotalTime>1</TotalTime>
  <ScaleCrop>false</ScaleCrop>
  <LinksUpToDate>false</LinksUpToDate>
  <CharactersWithSpaces>34760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2022-05-28T03:15:00Z</dcterms:created>
  <dc:creator>ibm</dc:creator>
  <cp:lastModifiedBy>千</cp:lastModifiedBy>
  <dcterms:modified xsi:type="dcterms:W3CDTF">2022-06-22T02:04:09Z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2A61555BA70846F5AF3E0D7DC73A45ED</vt:lpwstr>
  </property>
</Properties>
</file>