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74753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Case Control Study</w:t>
      </w:r>
    </w:p>
    <w:p>
      <w:pPr>
        <w:spacing w:line="360" w:lineRule="auto"/>
        <w:jc w:val="both"/>
        <w:rPr>
          <w:rFonts w:ascii="Book Antiqua" w:hAnsi="Book Antiqua"/>
        </w:rPr>
      </w:pPr>
      <w:r>
        <w:rPr>
          <w:rFonts w:ascii="Book Antiqua" w:hAnsi="Book Antiqua" w:eastAsia="Book Antiqua" w:cs="Book Antiqua"/>
          <w:b/>
          <w:color w:val="000000"/>
        </w:rPr>
        <w:t xml:space="preserve">Innovations in </w:t>
      </w:r>
      <w:r>
        <w:rPr>
          <w:rFonts w:hint="eastAsia" w:ascii="Book Antiqua" w:hAnsi="Book Antiqua" w:cs="Book Antiqua"/>
          <w:b/>
          <w:color w:val="000000"/>
          <w:lang w:eastAsia="zh-CN"/>
        </w:rPr>
        <w:t>e</w:t>
      </w:r>
      <w:r>
        <w:rPr>
          <w:rFonts w:ascii="Book Antiqua" w:hAnsi="Book Antiqua" w:eastAsia="Book Antiqua" w:cs="Book Antiqua"/>
          <w:b/>
          <w:color w:val="000000"/>
        </w:rPr>
        <w:t xml:space="preserve">ducation: A prospective study of storytelling narratives to enhance hepatitis </w:t>
      </w:r>
      <w:r>
        <w:rPr>
          <w:rFonts w:hint="eastAsia" w:ascii="Book Antiqua" w:hAnsi="Book Antiqua" w:cs="Book Antiqua"/>
          <w:b/>
          <w:color w:val="000000"/>
          <w:lang w:eastAsia="zh-CN"/>
        </w:rPr>
        <w:t>C</w:t>
      </w:r>
      <w:r>
        <w:rPr>
          <w:rFonts w:ascii="Book Antiqua" w:hAnsi="Book Antiqua" w:eastAsia="Book Antiqua" w:cs="Book Antiqua"/>
          <w:b/>
          <w:color w:val="000000"/>
        </w:rPr>
        <w:t xml:space="preserve"> virus knowledge among substance users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Talal </w:t>
      </w:r>
      <w:r>
        <w:rPr>
          <w:rFonts w:hint="eastAsia" w:ascii="Book Antiqua" w:hAnsi="Book Antiqua" w:cs="Book Antiqua"/>
          <w:color w:val="000000"/>
          <w:lang w:eastAsia="zh-CN"/>
        </w:rPr>
        <w:t xml:space="preserve">AH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Storytelling narratives to enhance HCV </w:t>
      </w:r>
      <w:r>
        <w:rPr>
          <w:rFonts w:hint="eastAsia" w:ascii="Book Antiqua" w:hAnsi="Book Antiqua" w:cs="Book Antiqua"/>
          <w:color w:val="000000"/>
          <w:lang w:eastAsia="zh-CN"/>
        </w:rPr>
        <w:t>k</w:t>
      </w:r>
      <w:r>
        <w:rPr>
          <w:rFonts w:ascii="Book Antiqua" w:hAnsi="Book Antiqua" w:eastAsia="Book Antiqua" w:cs="Book Antiqua"/>
          <w:color w:val="000000"/>
        </w:rPr>
        <w:t>nowledge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Andrew H Talal, Yu</w:t>
      </w:r>
      <w:r>
        <w:rPr>
          <w:rFonts w:hint="eastAsia" w:ascii="Book Antiqua" w:hAnsi="Book Antiqua" w:cs="Book Antiqua"/>
          <w:color w:val="000000"/>
          <w:lang w:eastAsia="zh-CN"/>
        </w:rPr>
        <w:t>-X</w:t>
      </w:r>
      <w:r>
        <w:rPr>
          <w:rFonts w:ascii="Book Antiqua" w:hAnsi="Book Antiqua" w:eastAsia="Book Antiqua" w:cs="Book Antiqua"/>
          <w:color w:val="000000"/>
        </w:rPr>
        <w:t>in Ding, Marianthi Markatou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Andrew H Talal, </w:t>
      </w:r>
      <w:r>
        <w:rPr>
          <w:rFonts w:ascii="Book Antiqua" w:hAnsi="Book Antiqua" w:eastAsia="Book Antiqua" w:cs="Book Antiqua"/>
          <w:color w:val="000000"/>
        </w:rPr>
        <w:t>Department of Medicine, University at Buffalo, State University of New York, Buffalo, NY 14203,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Yu</w:t>
      </w:r>
      <w:r>
        <w:rPr>
          <w:rFonts w:hint="eastAsia" w:ascii="Book Antiqua" w:hAnsi="Book Antiqua" w:cs="Book Antiqua"/>
          <w:b/>
          <w:bCs/>
          <w:color w:val="000000"/>
          <w:lang w:eastAsia="zh-CN"/>
        </w:rPr>
        <w:t>-X</w:t>
      </w:r>
      <w:r>
        <w:rPr>
          <w:rFonts w:ascii="Book Antiqua" w:hAnsi="Book Antiqua" w:eastAsia="Book Antiqua" w:cs="Book Antiqua"/>
          <w:b/>
          <w:bCs/>
          <w:color w:val="000000"/>
        </w:rPr>
        <w:t xml:space="preserve">in Ding, Marianthi Markatou, </w:t>
      </w:r>
      <w:r>
        <w:rPr>
          <w:rFonts w:ascii="Book Antiqua" w:hAnsi="Book Antiqua" w:eastAsia="Book Antiqua" w:cs="Book Antiqua"/>
          <w:color w:val="000000"/>
        </w:rPr>
        <w:t>Department of Biostatistics, University at Buffalo, State University of New York, Buffalo, NY 14214,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aps/>
          <w:color w:val="000000"/>
        </w:rPr>
        <w:t>T</w:t>
      </w:r>
      <w:r>
        <w:rPr>
          <w:rFonts w:ascii="Book Antiqua" w:hAnsi="Book Antiqua" w:eastAsia="Book Antiqua" w:cs="Book Antiqua"/>
          <w:color w:val="000000"/>
        </w:rPr>
        <w:t>alal</w:t>
      </w:r>
      <w:r>
        <w:rPr>
          <w:rFonts w:ascii="Book Antiqua" w:hAnsi="Book Antiqua" w:eastAsia="Book Antiqua" w:cs="Book Antiqua"/>
          <w:caps/>
          <w:color w:val="000000"/>
        </w:rPr>
        <w:t xml:space="preserve"> AH </w:t>
      </w:r>
      <w:r>
        <w:rPr>
          <w:rFonts w:hint="eastAsia" w:ascii="Book Antiqua" w:hAnsi="Book Antiqua" w:cs="Book Antiqua"/>
          <w:color w:val="000000"/>
          <w:lang w:eastAsia="zh-CN"/>
        </w:rPr>
        <w:t>c</w:t>
      </w:r>
      <w:r>
        <w:rPr>
          <w:rFonts w:ascii="Book Antiqua" w:hAnsi="Book Antiqua" w:eastAsia="Book Antiqua" w:cs="Book Antiqua"/>
          <w:color w:val="000000"/>
        </w:rPr>
        <w:t>onceived of the study, obtained funding, supervised data collection, wrote and revised the manuscript</w:t>
      </w:r>
      <w:r>
        <w:rPr>
          <w:rFonts w:hint="eastAsia" w:ascii="Book Antiqua" w:hAnsi="Book Antiqua" w:cs="Book Antiqua"/>
          <w:color w:val="000000"/>
          <w:lang w:eastAsia="zh-CN"/>
        </w:rPr>
        <w:t xml:space="preserve">; </w:t>
      </w:r>
      <w:r>
        <w:rPr>
          <w:rFonts w:ascii="Book Antiqua" w:hAnsi="Book Antiqua" w:eastAsia="Book Antiqua" w:cs="Book Antiqua"/>
          <w:color w:val="000000"/>
        </w:rPr>
        <w:t>Markatou M</w:t>
      </w:r>
      <w:r>
        <w:rPr>
          <w:rFonts w:hint="eastAsia" w:ascii="Book Antiqua" w:hAnsi="Book Antiqua" w:cs="Book Antiqua"/>
          <w:color w:val="000000"/>
          <w:lang w:eastAsia="zh-CN"/>
        </w:rPr>
        <w:t xml:space="preserve"> o</w:t>
      </w:r>
      <w:r>
        <w:rPr>
          <w:rFonts w:ascii="Book Antiqua" w:hAnsi="Book Antiqua" w:eastAsia="Book Antiqua" w:cs="Book Antiqua"/>
          <w:color w:val="000000"/>
        </w:rPr>
        <w:t>btained funding, designed the study and supervised the analysis, wrote and revised the manuscript</w:t>
      </w:r>
      <w:r>
        <w:rPr>
          <w:rFonts w:hint="eastAsia" w:ascii="Book Antiqua" w:hAnsi="Book Antiqua" w:cs="Book Antiqua"/>
          <w:color w:val="000000"/>
          <w:lang w:eastAsia="zh-CN"/>
        </w:rPr>
        <w:t xml:space="preserve">; </w:t>
      </w:r>
      <w:r>
        <w:rPr>
          <w:rFonts w:ascii="Book Antiqua" w:hAnsi="Book Antiqua" w:eastAsia="Book Antiqua" w:cs="Book Antiqua"/>
          <w:color w:val="000000"/>
        </w:rPr>
        <w:t>Ding Y</w:t>
      </w:r>
      <w:r>
        <w:rPr>
          <w:rFonts w:hint="eastAsia" w:ascii="Book Antiqua" w:hAnsi="Book Antiqua" w:cs="Book Antiqua"/>
          <w:color w:val="000000"/>
          <w:lang w:eastAsia="zh-CN"/>
        </w:rPr>
        <w:t xml:space="preserve"> d</w:t>
      </w:r>
      <w:r>
        <w:rPr>
          <w:rFonts w:ascii="Book Antiqua" w:hAnsi="Book Antiqua" w:eastAsia="Book Antiqua" w:cs="Book Antiqua"/>
          <w:color w:val="000000"/>
        </w:rPr>
        <w:t>esigned the study and performed the analysis, wrote and revised the manuscript</w:t>
      </w:r>
      <w:r>
        <w:rPr>
          <w:rFonts w:hint="eastAsia" w:ascii="Book Antiqua" w:hAnsi="Book Antiqua" w:cs="Book Antiqua"/>
          <w:color w:val="000000"/>
          <w:lang w:eastAsia="zh-CN"/>
        </w:rPr>
        <w:t>; a</w:t>
      </w:r>
      <w:r>
        <w:rPr>
          <w:rFonts w:ascii="Book Antiqua" w:hAnsi="Book Antiqua" w:eastAsia="Book Antiqua" w:cs="Book Antiqua"/>
          <w:color w:val="000000"/>
        </w:rPr>
        <w:t xml:space="preserve">ll authors have read and approve the final manuscript. </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Supported by </w:t>
      </w:r>
      <w:r>
        <w:rPr>
          <w:rFonts w:hint="eastAsia" w:ascii="Book Antiqua" w:hAnsi="Book Antiqua" w:cs="Book Antiqua"/>
          <w:color w:val="000000"/>
          <w:lang w:eastAsia="zh-CN"/>
        </w:rPr>
        <w:t>the</w:t>
      </w:r>
      <w:r>
        <w:rPr>
          <w:rFonts w:ascii="Book Antiqua" w:hAnsi="Book Antiqua" w:eastAsia="Book Antiqua" w:cs="Book Antiqua"/>
          <w:color w:val="000000"/>
        </w:rPr>
        <w:t xml:space="preserve"> Investigator-Initiated Grant from Merck Inc</w:t>
      </w:r>
      <w:r>
        <w:rPr>
          <w:rFonts w:hint="eastAsia" w:ascii="Book Antiqua" w:hAnsi="Book Antiqua" w:cs="Book Antiqua"/>
          <w:color w:val="000000"/>
          <w:lang w:eastAsia="zh-CN"/>
        </w:rPr>
        <w:t xml:space="preserve">, No. </w:t>
      </w:r>
      <w:r>
        <w:rPr>
          <w:rFonts w:ascii="Book Antiqua" w:hAnsi="Book Antiqua" w:eastAsia="Book Antiqua" w:cs="Book Antiqua"/>
          <w:color w:val="000000"/>
        </w:rPr>
        <w:t>MISP# 57252</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Troup Fund of the Kaleida Health Foundation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th</w:t>
      </w:r>
      <w:r>
        <w:rPr>
          <w:rFonts w:hint="eastAsia" w:ascii="Book Antiqua" w:hAnsi="Book Antiqua" w:cs="Book Antiqua"/>
          <w:color w:val="000000"/>
          <w:lang w:eastAsia="zh-CN"/>
        </w:rPr>
        <w:t>e</w:t>
      </w:r>
      <w:r>
        <w:rPr>
          <w:rFonts w:ascii="Book Antiqua" w:hAnsi="Book Antiqua" w:eastAsia="Book Antiqua" w:cs="Book Antiqua"/>
          <w:color w:val="000000"/>
        </w:rPr>
        <w:t xml:space="preserve"> Patient-Centered Outcomes Research Institute</w:t>
      </w:r>
      <w:r>
        <w:rPr>
          <w:rFonts w:hint="eastAsia" w:ascii="Book Antiqua" w:hAnsi="Book Antiqua" w:cs="Book Antiqua"/>
          <w:color w:val="000000"/>
          <w:lang w:eastAsia="zh-CN"/>
        </w:rPr>
        <w:t xml:space="preserve"> </w:t>
      </w:r>
      <w:r>
        <w:rPr>
          <w:rFonts w:ascii="Book Antiqua" w:hAnsi="Book Antiqua" w:eastAsia="Book Antiqua" w:cs="Book Antiqua"/>
          <w:color w:val="000000"/>
        </w:rPr>
        <w:t>Award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IHS-1507-31640.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Andrew H Talal, MD, Professor, </w:t>
      </w:r>
      <w:r>
        <w:rPr>
          <w:rFonts w:ascii="Book Antiqua" w:hAnsi="Book Antiqua" w:eastAsia="Book Antiqua" w:cs="Book Antiqua"/>
          <w:color w:val="000000"/>
        </w:rPr>
        <w:t>Department of Medicine, University at Buffalo, State University of New York, 875 Ellicot Street, UB CTRC 6090, Buffalo, NY 14203, United States. ahtalal@buffalo.edu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5,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w:t>
      </w:r>
      <w:r>
        <w:rPr>
          <w:rFonts w:hint="eastAsia" w:ascii="Book Antiqua" w:hAnsi="Book Antiqua" w:cs="Book Antiqua"/>
          <w:bCs/>
          <w:color w:val="000000"/>
          <w:lang w:eastAsia="zh-CN"/>
        </w:rPr>
        <w:t xml:space="preserve"> 21, 2022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20,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Even though</w:t>
      </w:r>
      <w:r>
        <w:rPr>
          <w:rFonts w:ascii="Book Antiqua" w:hAnsi="Book Antiqua" w:eastAsia="Book Antiqua" w:cs="Book Antiqua"/>
          <w:caps/>
          <w:color w:val="000000"/>
        </w:rPr>
        <w:t xml:space="preserve"> </w:t>
      </w:r>
      <w:r>
        <w:rPr>
          <w:rFonts w:ascii="Book Antiqua" w:hAnsi="Book Antiqua" w:eastAsia="Book Antiqua" w:cs="Book Antiqua"/>
          <w:color w:val="000000"/>
        </w:rPr>
        <w:t>substance users have the highest hepatitis C virus (HCV) burden, many lack knowledge about the infection. Lack of knowledge is an important obstacle to pursuing HCV care. Although printed materials are conventionally utilized to disseminate HCV-related knowledge, narrative story-telling videos may be an alternative. Data are extremely limited, however, in the ability of storytelling videos to increase HCV knowledge among substance users. In this study, we hypothesized that a story-telling narrative video would increase substance user’s immediate and 1-month HCV-related knowledge compared to a printed format.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assess immediate and 1-month HCV-related knowledge retention among substance users comparing education delivered </w:t>
      </w:r>
      <w:r>
        <w:rPr>
          <w:rFonts w:ascii="Book Antiqua" w:hAnsi="Book Antiqua" w:eastAsia="Book Antiqua" w:cs="Book Antiqua"/>
          <w:i/>
          <w:iCs/>
          <w:color w:val="000000"/>
        </w:rPr>
        <w:t>via</w:t>
      </w:r>
      <w:r>
        <w:rPr>
          <w:rFonts w:ascii="Book Antiqua" w:hAnsi="Book Antiqua" w:eastAsia="Book Antiqua" w:cs="Book Antiqua"/>
          <w:color w:val="000000"/>
        </w:rPr>
        <w:t xml:space="preserve"> a storytelling narrative video compared to a printed format.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conducted a prospective matched, case-control study among substance users actively prescribed buprenorphine enrolled from two sites. The intervention site received the video and the control site, the brochure. Participants (</w:t>
      </w:r>
      <w:r>
        <w:rPr>
          <w:rFonts w:ascii="Book Antiqua" w:hAnsi="Book Antiqua" w:eastAsia="Book Antiqua" w:cs="Book Antiqua"/>
          <w:i/>
          <w:iCs/>
          <w:color w:val="000000"/>
        </w:rPr>
        <w:t>n</w:t>
      </w:r>
      <w:r>
        <w:rPr>
          <w:rFonts w:ascii="Book Antiqua" w:hAnsi="Book Antiqua" w:eastAsia="Book Antiqua" w:cs="Book Antiqua"/>
          <w:color w:val="000000"/>
        </w:rPr>
        <w:t xml:space="preserve"> = 176) were matched on age, gender, and race. We obtained extensive patient and stakeholder input on the video’s design, validated the video’s content, and developed a recruitment plan to guide participant enrollment. Knowledge was assessed by administration of a 25-item instrument immediately before, immediately after, or one month after the intervention. Data were analyzed using nonparametric and generalized linear mixed-effects models.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We recruited a total of 176 substance users, 90 and 86 individuals, from each site, respectively. One-month follow up occurred in 92% and 94% of enrollees in the control and intervention groups, respectively. In comparison with the pre-intervention scores, immediate knowledge recall increased significantly for both the intervention (</w:t>
      </w:r>
      <w:r>
        <w:rPr>
          <w:rFonts w:ascii="Book Antiqua" w:hAnsi="Book Antiqua" w:eastAsia="Book Antiqua" w:cs="Book Antiqua"/>
          <w:i/>
          <w:color w:val="000000"/>
        </w:rPr>
        <w:t xml:space="preserve">P &lt; </w:t>
      </w:r>
      <w:r>
        <w:rPr>
          <w:rFonts w:ascii="Book Antiqua" w:hAnsi="Book Antiqua" w:eastAsia="Book Antiqua" w:cs="Book Antiqua"/>
          <w:color w:val="000000"/>
        </w:rPr>
        <w:t>0.0001) and control (</w:t>
      </w:r>
      <w:r>
        <w:rPr>
          <w:rFonts w:ascii="Book Antiqua" w:hAnsi="Book Antiqua" w:eastAsia="Book Antiqua" w:cs="Book Antiqua"/>
          <w:i/>
          <w:color w:val="000000"/>
        </w:rPr>
        <w:t xml:space="preserve">P &lt; </w:t>
      </w:r>
      <w:r>
        <w:rPr>
          <w:rFonts w:ascii="Book Antiqua" w:hAnsi="Book Antiqua" w:eastAsia="Book Antiqua" w:cs="Book Antiqua"/>
          <w:color w:val="000000"/>
        </w:rPr>
        <w:t>0.0001) groups. Multivariate modeling revealed a significant improvement in HCV-related knowledge and retention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0.033) among participants who viewed the storytelling video.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Storytelling narratives emphasizing HCV education appear to be an effective method to increase HCV-related knowledge among substance users. They should become an educational cornerstone to promote HCV management among this population.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Hepatitis C virus education; Hepatitis C Virus; Hepatitis C virus knowledge; Persons with opioid use disorder; Decision-making in healthcare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Talal AH, Ding Y</w:t>
      </w:r>
      <w:r>
        <w:rPr>
          <w:rFonts w:hint="eastAsia" w:ascii="Book Antiqua" w:hAnsi="Book Antiqua" w:cs="Book Antiqua"/>
          <w:color w:val="000000"/>
          <w:lang w:eastAsia="zh-CN"/>
        </w:rPr>
        <w:t>X</w:t>
      </w:r>
      <w:r>
        <w:rPr>
          <w:rFonts w:ascii="Book Antiqua" w:hAnsi="Book Antiqua" w:eastAsia="Book Antiqua" w:cs="Book Antiqua"/>
          <w:color w:val="000000"/>
        </w:rPr>
        <w:t xml:space="preserve">, Markatou M. Innovations in education: A prospective study of storytelling narratives to enhance hepatitis C virus knowledge among substance users.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972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983</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972</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https://dx.doi.org/10.4254/wjh.v14.i5.</w:t>
      </w:r>
      <w:r>
        <w:rPr>
          <w:rFonts w:hint="eastAsia" w:ascii="Book Antiqua" w:hAnsi="Book Antiqua" w:eastAsia="宋体" w:cs="Book Antiqua"/>
          <w:color w:val="000000"/>
          <w:lang w:val="en-US" w:eastAsia="zh-CN"/>
        </w:rPr>
        <w:t>972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Despite high hepatitis C virus (HCV) burden, people with opioid use disorder (PWOUD) frequently lack knowledge about HCV. Printed brochures are the conventional method of HCV knowledge dissemination, although storytelling narrative videos have attributes that suggest they may be more effective. In this study, we assessed HCV knowledge improvement among PWOUD comparing a storytelling narrative video to a written brochure. Among 176 PWOUD, we found that immediate HCV-related knowledge recall was significantly increased by both methods. Multivariate modeling revealed a significant improvement in HCV-related knowledge and retention among intervention participants. In conclusion, storytelling narratives effectively improve HCV-related knowledge among PWOUD.</w:t>
      </w:r>
    </w:p>
    <w:p>
      <w:pPr>
        <w:spacing w:line="360" w:lineRule="auto"/>
        <w:jc w:val="both"/>
        <w:rPr>
          <w:rFonts w:ascii="Book Antiqua" w:hAnsi="Book Antiqua"/>
        </w:rPr>
      </w:pPr>
    </w:p>
    <w:p>
      <w:pPr>
        <w:spacing w:line="360" w:lineRule="auto"/>
        <w:jc w:val="both"/>
        <w:rPr>
          <w:rFonts w:ascii="Book Antiqua" w:hAnsi="Book Antiqua" w:cs="Book Antiqua"/>
          <w:b/>
          <w:caps/>
          <w:color w:val="000000"/>
          <w:u w:val="single"/>
          <w:lang w:eastAsia="zh-CN"/>
        </w:rPr>
      </w:pPr>
    </w:p>
    <w:p>
      <w:pPr>
        <w:spacing w:line="360" w:lineRule="auto"/>
        <w:jc w:val="both"/>
        <w:rPr>
          <w:rFonts w:ascii="Book Antiqua" w:hAnsi="Book Antiqua" w:cs="Book Antiqua"/>
          <w:b/>
          <w:caps/>
          <w:color w:val="000000"/>
          <w:u w:val="single"/>
          <w:lang w:eastAsia="zh-CN"/>
        </w:rPr>
      </w:pPr>
    </w:p>
    <w:p>
      <w:pPr>
        <w:spacing w:line="360" w:lineRule="auto"/>
        <w:jc w:val="both"/>
        <w:rPr>
          <w:rFonts w:ascii="Book Antiqua" w:hAnsi="Book Antiqua" w:cs="Book Antiqua"/>
          <w:b/>
          <w:caps/>
          <w:color w:val="000000"/>
          <w:u w:val="single"/>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Hepatitis C virus (HCV) is an extremely common chronic blood-borne virus pathogen and is principally transmitted through injection drug use</w:t>
      </w:r>
      <w:r>
        <w:rPr>
          <w:rFonts w:ascii="Book Antiqua" w:hAnsi="Book Antiqua" w:eastAsia="Book Antiqua" w:cs="Book Antiqua"/>
          <w:color w:val="000000"/>
          <w:vertAlign w:val="superscript"/>
        </w:rPr>
        <w:t>[1]</w:t>
      </w:r>
      <w:r>
        <w:rPr>
          <w:rFonts w:ascii="Book Antiqua" w:hAnsi="Book Antiqua" w:eastAsia="Book Antiqua" w:cs="Book Antiqua"/>
          <w:color w:val="000000"/>
        </w:rPr>
        <w:t>. HCV is a leading cause of morbidity and mortality among persons with opioid use disorder (PWOUD) reaching as high as 80% with an annual incidence ranging from 16% to 42%</w:t>
      </w:r>
      <w:r>
        <w:rPr>
          <w:rFonts w:ascii="Book Antiqua" w:hAnsi="Book Antiqua" w:eastAsia="Book Antiqua" w:cs="Book Antiqua"/>
          <w:color w:val="000000"/>
          <w:vertAlign w:val="superscript"/>
        </w:rPr>
        <w:t>[2,3]</w:t>
      </w:r>
      <w:r>
        <w:rPr>
          <w:rFonts w:ascii="Book Antiqua" w:hAnsi="Book Antiqua" w:eastAsia="Book Antiqua" w:cs="Book Antiqua"/>
          <w:color w:val="000000"/>
        </w:rPr>
        <w:t>. Untreated HCV can progress to cirrhosis, end-stage liver disease and hepatocellular carcinoma. Recently, direct acting antivirals (DAAs) have revolutionized HCV treatment. DAAs are all oral medications, administered for 2 to 3 mo, with nearly universal efficacy and minimal side effects</w:t>
      </w:r>
      <w:r>
        <w:rPr>
          <w:rFonts w:ascii="Book Antiqua" w:hAnsi="Book Antiqua" w:eastAsia="Book Antiqua" w:cs="Book Antiqua"/>
          <w:color w:val="000000"/>
          <w:vertAlign w:val="superscript"/>
        </w:rPr>
        <w:t>[4]</w:t>
      </w:r>
      <w:r>
        <w:rPr>
          <w:rFonts w:ascii="Book Antiqua" w:hAnsi="Book Antiqua" w:eastAsia="Book Antiqua" w:cs="Book Antiqua"/>
          <w:color w:val="000000"/>
        </w:rPr>
        <w:t>. In fact, recent data have documented the importance of simultaneous treatment of opioid use disorder and HCV; treatment for both entities results in improved treatment adherence and a reduction in substance use</w:t>
      </w:r>
      <w:r>
        <w:rPr>
          <w:rFonts w:ascii="Book Antiqua" w:hAnsi="Book Antiqua" w:eastAsia="Book Antiqua" w:cs="Book Antiqua"/>
          <w:color w:val="000000"/>
          <w:vertAlign w:val="superscript"/>
        </w:rPr>
        <w:t>[5,6]</w:t>
      </w:r>
      <w:r>
        <w:rPr>
          <w:rFonts w:ascii="Book Antiqua" w:hAnsi="Book Antiqua" w:eastAsia="Book Antiqua" w:cs="Book Antiqua"/>
          <w:color w:val="000000"/>
        </w:rPr>
        <w:t>. Given the importance and burden of HCV, the US Preventative Services Task Force recently revised HCV screening recommendations</w:t>
      </w:r>
      <w:r>
        <w:rPr>
          <w:rFonts w:ascii="Book Antiqua" w:hAnsi="Book Antiqua" w:eastAsia="Book Antiqua" w:cs="Book Antiqua"/>
          <w:color w:val="000000"/>
          <w:vertAlign w:val="superscript"/>
        </w:rPr>
        <w:t>[7]</w:t>
      </w:r>
      <w:r>
        <w:rPr>
          <w:rFonts w:ascii="Book Antiqua" w:hAnsi="Book Antiqua" w:eastAsia="Book Antiqua" w:cs="Book Antiqua"/>
          <w:color w:val="000000"/>
        </w:rPr>
        <w:t>. Currently, all individuals aged 18 to 79 years should undergo a one-time HCV antibody test with more frequent assessments among high-risk individuals, such as PWOUD. In addition, HCV elimination by 2030 has been promulgated in the United States and globally</w:t>
      </w:r>
      <w:r>
        <w:rPr>
          <w:rFonts w:ascii="Book Antiqua" w:hAnsi="Book Antiqua" w:eastAsia="Book Antiqua" w:cs="Book Antiqua"/>
          <w:color w:val="000000"/>
          <w:vertAlign w:val="superscript"/>
        </w:rPr>
        <w:t>[8,9]</w:t>
      </w:r>
      <w:r>
        <w:rPr>
          <w:rFonts w:ascii="Book Antiqua" w:hAnsi="Book Antiqua" w:eastAsia="Book Antiqua" w:cs="Book Antiqua"/>
          <w:color w:val="000000"/>
        </w:rPr>
        <w:t>. To achieve HCV elimination objectives, however, we need to address HCV knowledge gaps among PWOUD. Only fifty percent of HCV-infected PWOUD know their infection status, and many underestimate the urgent need for HCV treatment</w:t>
      </w:r>
      <w:r>
        <w:rPr>
          <w:rFonts w:ascii="Book Antiqua" w:hAnsi="Book Antiqua" w:eastAsia="Book Antiqua" w:cs="Book Antiqua"/>
          <w:color w:val="000000"/>
          <w:vertAlign w:val="superscript"/>
        </w:rPr>
        <w:t>[10,11]</w:t>
      </w:r>
      <w:r>
        <w:rPr>
          <w:rFonts w:ascii="Book Antiqua" w:hAnsi="Book Antiqua" w:eastAsia="Book Antiqua" w:cs="Book Antiqua"/>
          <w:color w:val="000000"/>
        </w:rPr>
        <w:t>. Furthermore, substance users have recently been shown to have low to moderate health literacy levels</w:t>
      </w:r>
      <w:r>
        <w:rPr>
          <w:rFonts w:ascii="Book Antiqua" w:hAnsi="Book Antiqua" w:eastAsia="Book Antiqua" w:cs="Book Antiqua"/>
          <w:color w:val="000000"/>
          <w:vertAlign w:val="superscript"/>
        </w:rPr>
        <w:t>[12-14]</w:t>
      </w:r>
      <w:r>
        <w:rPr>
          <w:rFonts w:ascii="Book Antiqua" w:hAnsi="Book Antiqua" w:eastAsia="Book Antiqua" w:cs="Book Antiqua"/>
          <w:color w:val="000000"/>
        </w:rPr>
        <w:t>, and health literacy is an extremely important predictor of health status</w:t>
      </w:r>
      <w:r>
        <w:rPr>
          <w:rFonts w:ascii="Book Antiqua" w:hAnsi="Book Antiqua" w:eastAsia="Book Antiqua" w:cs="Book Antiqua"/>
          <w:color w:val="000000"/>
          <w:vertAlign w:val="superscript"/>
        </w:rPr>
        <w:t>[15]</w:t>
      </w:r>
      <w:r>
        <w:rPr>
          <w:rFonts w:ascii="Book Antiqua" w:hAnsi="Book Antiqua" w:eastAsia="Book Antiqua" w:cs="Book Antiqua"/>
          <w:color w:val="000000"/>
        </w:rPr>
        <w:t>. Thus, interventions to increase HCV-related knowledge targeted to PWOUD are required to achieve HCV elimination objectives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Lack of consideration of health literacy status often complicates patient-provider communication especially among low health literacy populations. In terms of written material, a typical method of health knowledge dissemination, readability at an appropriate grade level is an important consideration. One study found that internet-derived liver disease information is written at a higher readability score than is recommended, an important potential source of misinformation among liver disease patients</w:t>
      </w:r>
      <w:r>
        <w:rPr>
          <w:rFonts w:ascii="Book Antiqua" w:hAnsi="Book Antiqua" w:eastAsia="Book Antiqua" w:cs="Book Antiqua"/>
          <w:color w:val="000000"/>
          <w:vertAlign w:val="superscript"/>
        </w:rPr>
        <w:t>[17]</w:t>
      </w:r>
      <w:r>
        <w:rPr>
          <w:rFonts w:ascii="Book Antiqua" w:hAnsi="Book Antiqua" w:eastAsia="Book Antiqua" w:cs="Book Antiqua"/>
          <w:color w:val="000000"/>
        </w:rPr>
        <w:t>. In the area of HCV, several studies, which largely utilized in-person delivery of didactic sessions, have illustrated that educational interventions can improve HCV knowledge</w:t>
      </w:r>
      <w:r>
        <w:rPr>
          <w:rFonts w:ascii="Book Antiqua" w:hAnsi="Book Antiqua" w:eastAsia="Book Antiqua" w:cs="Book Antiqua"/>
          <w:color w:val="000000"/>
          <w:vertAlign w:val="superscript"/>
        </w:rPr>
        <w:t>[18-22]</w:t>
      </w:r>
      <w:r>
        <w:rPr>
          <w:rFonts w:ascii="Book Antiqua" w:hAnsi="Book Antiqua" w:eastAsia="Book Antiqua" w:cs="Book Antiqua"/>
          <w:color w:val="000000"/>
        </w:rPr>
        <w:t>, screening</w:t>
      </w:r>
      <w:r>
        <w:rPr>
          <w:rFonts w:ascii="Book Antiqua" w:hAnsi="Book Antiqua" w:eastAsia="Book Antiqua" w:cs="Book Antiqua"/>
          <w:color w:val="000000"/>
          <w:vertAlign w:val="superscript"/>
        </w:rPr>
        <w:t>[23,24]</w:t>
      </w:r>
      <w:r>
        <w:rPr>
          <w:rFonts w:ascii="Book Antiqua" w:hAnsi="Book Antiqua" w:eastAsia="Book Antiqua" w:cs="Book Antiqua"/>
          <w:color w:val="000000"/>
        </w:rPr>
        <w:t>, and linkage-to-care</w:t>
      </w:r>
      <w:r>
        <w:rPr>
          <w:rFonts w:ascii="Book Antiqua" w:hAnsi="Book Antiqua" w:eastAsia="Book Antiqua" w:cs="Book Antiqua"/>
          <w:color w:val="000000"/>
          <w:vertAlign w:val="superscript"/>
        </w:rPr>
        <w:t>[25,26]</w:t>
      </w:r>
      <w:r>
        <w:rPr>
          <w:rFonts w:ascii="Book Antiqua" w:hAnsi="Book Antiqua" w:eastAsia="Book Antiqua" w:cs="Book Antiqua"/>
          <w:color w:val="000000"/>
        </w:rPr>
        <w:t>. These methods, however, can be burdensome in terms of cost, resources, and time requirements. Alternatively, computerized health platforms appear to facilitate health education dissemination ubiquitously and at a reduced cost compared to in-person lectures</w:t>
      </w:r>
      <w:r>
        <w:rPr>
          <w:rFonts w:ascii="Book Antiqua" w:hAnsi="Book Antiqua" w:eastAsia="Book Antiqua" w:cs="Book Antiqua"/>
          <w:color w:val="000000"/>
          <w:vertAlign w:val="superscript"/>
        </w:rPr>
        <w:t>[27-30]</w:t>
      </w:r>
      <w:r>
        <w:rPr>
          <w:rFonts w:ascii="Book Antiqua" w:hAnsi="Book Antiqua" w:eastAsia="Book Antiqua" w:cs="Book Antiqua"/>
          <w:color w:val="000000"/>
        </w:rPr>
        <w:t xml:space="preserve">. While a few studies have assessed their educational value, these platforms largely disseminate facts or schematics about HCV or liver diseases using an instructional or didactic framework. While informative, these knowledge dissemination methods may not resonate with substance users.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Narrative videos, defined as “first-person stories about experiences with illness and its personal consequences”, have been shown to be more persuasive at behavioral change than written narratives or didactic lectures</w:t>
      </w:r>
      <w:r>
        <w:rPr>
          <w:rFonts w:ascii="Book Antiqua" w:hAnsi="Book Antiqua" w:eastAsia="Book Antiqua" w:cs="Book Antiqua"/>
          <w:color w:val="000000"/>
          <w:vertAlign w:val="superscript"/>
        </w:rPr>
        <w:t>[31,32]</w:t>
      </w:r>
      <w:r>
        <w:rPr>
          <w:rFonts w:ascii="Book Antiqua" w:hAnsi="Book Antiqua" w:eastAsia="Book Antiqua" w:cs="Book Antiqua"/>
          <w:color w:val="000000"/>
        </w:rPr>
        <w:t>. Although data are limited, narratives that address healthcare issues may be a particularly effective method to increase knowledge among PWOUD. A systematic review concluded that videos detailing story-based messages were more persuasive than non-narrative videos</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To improve HCV-related knowledge dissemination to substance users, we sought to develop and to validate an educational intervention targeted to PWOUD utilizing narratives presented in a video format. Virtual communication strategies, such as videos, are easily conductive to storytelling and can employ an expanded repertoire of communication styles in comparison with printed material. As storytelling is a particularly effective pedagogical method amongst PWOUD, our objective was to assess whether a video would improve PWOUD’s immediate information recall and one-month knowledge retention compared with a written brochure.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bCs/>
          <w:i/>
          <w:iCs/>
        </w:rPr>
      </w:pPr>
      <w:r>
        <w:rPr>
          <w:rFonts w:ascii="Book Antiqua" w:hAnsi="Book Antiqua" w:eastAsia="Book Antiqua" w:cs="Book Antiqua"/>
          <w:b/>
          <w:bCs/>
          <w:i/>
          <w:iCs/>
          <w:color w:val="000000"/>
        </w:rPr>
        <w:t>Study design</w:t>
      </w:r>
    </w:p>
    <w:p>
      <w:pPr>
        <w:spacing w:line="360" w:lineRule="auto"/>
        <w:jc w:val="both"/>
        <w:rPr>
          <w:rFonts w:ascii="Book Antiqua" w:hAnsi="Book Antiqua"/>
        </w:rPr>
      </w:pPr>
      <w:r>
        <w:rPr>
          <w:rFonts w:ascii="Book Antiqua" w:hAnsi="Book Antiqua" w:eastAsia="Book Antiqua" w:cs="Book Antiqua"/>
          <w:color w:val="000000"/>
        </w:rPr>
        <w:t>We conducted a prospective case-control study to assess immediate and longer-term knowledge retention comparing two different educational delivery methods. The control arm received an HCV educational brochure, and in the intervention arm, participants viewed a twelve-minute educational video, which contained the same information as was included in the brochure. Participants in each arm also completed the same knowledge assessments at the same time points: prior to reading the brochure or viewing the video, immediately following the interventions (</w:t>
      </w:r>
      <w:r>
        <w:rPr>
          <w:rFonts w:ascii="Book Antiqua" w:hAnsi="Book Antiqua" w:eastAsia="Book Antiqua" w:cs="Book Antiqua"/>
          <w:i/>
          <w:iCs/>
          <w:color w:val="000000"/>
        </w:rPr>
        <w:t>i.e.,</w:t>
      </w:r>
      <w:r>
        <w:rPr>
          <w:rFonts w:ascii="Book Antiqua" w:hAnsi="Book Antiqua" w:eastAsia="Book Antiqua" w:cs="Book Antiqua"/>
          <w:color w:val="000000"/>
        </w:rPr>
        <w:t xml:space="preserve"> brochure or video), and within 30 +/- 14 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of the initial time point.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Participants were recruited according to a recruitment plan (see below) between January and October, 2020 from community health organizations that provide treatment services, specifically buprenorphine, for opioid use disorder. Each site is under the auspices of New York State Office of Addiction Services and Supports (OASAS) and has adopted a harm reduction approach, which refers to policies and programs designed to reduce drug-use associated harm; the goal is harm prevention from drug use rather than prevention of drug use itself</w:t>
      </w:r>
      <w:r>
        <w:rPr>
          <w:rFonts w:ascii="Book Antiqua" w:hAnsi="Book Antiqua" w:eastAsia="Book Antiqua" w:cs="Book Antiqua"/>
          <w:color w:val="000000"/>
          <w:vertAlign w:val="superscript"/>
        </w:rPr>
        <w:t>[33,34]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Participant inclusion criteria included individuals at least 18 years old, who were currently prescribed buprenorphine, and who spoke English as their primary language. </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shd w:val="clear" w:color="auto" w:fill="FFFFFF"/>
        </w:rPr>
        <w:t>Patient consent statement</w:t>
      </w:r>
    </w:p>
    <w:p>
      <w:pPr>
        <w:spacing w:line="360" w:lineRule="auto"/>
        <w:jc w:val="both"/>
        <w:rPr>
          <w:rFonts w:ascii="Book Antiqua" w:hAnsi="Book Antiqua"/>
        </w:rPr>
      </w:pPr>
      <w:r>
        <w:rPr>
          <w:rFonts w:ascii="Book Antiqua" w:hAnsi="Book Antiqua" w:eastAsia="Book Antiqua" w:cs="Book Antiqua"/>
          <w:color w:val="000000"/>
        </w:rPr>
        <w:t xml:space="preserve">The study was approved by the University at Buffalo and the Catholic Health Service Institutional Review Boards, and all patients provided informed consent prior to participating in any study related activities. </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Video, brochure, and knowledge assessments</w:t>
      </w:r>
    </w:p>
    <w:p>
      <w:pPr>
        <w:spacing w:line="360" w:lineRule="auto"/>
        <w:jc w:val="both"/>
        <w:rPr>
          <w:rFonts w:ascii="Book Antiqua" w:hAnsi="Book Antiqua"/>
        </w:rPr>
      </w:pPr>
      <w:r>
        <w:rPr>
          <w:rFonts w:ascii="Book Antiqua" w:hAnsi="Book Antiqua" w:eastAsia="Book Antiqua" w:cs="Book Antiqua"/>
          <w:b/>
          <w:bCs/>
          <w:color w:val="000000"/>
        </w:rPr>
        <w:t>Brochure</w:t>
      </w:r>
      <w:r>
        <w:rPr>
          <w:rFonts w:hint="eastAsia"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As the American Liver Foundation is a principal source for patient-oriented printed materials and handouts on a variety of liver diseases, we utilized their instructional brochure for information about HCV (supplementary material).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Video</w:t>
      </w:r>
      <w:r>
        <w:rPr>
          <w:rFonts w:hint="eastAsia"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Patients provided the initial concept of a video and enabled us to identify important HCV-related knowledge gaps in the areas of diagnosis, pathogenesis, transmission, screening, treatment, and long-term infection consequences. We subsequently reviewed and expanded the identified topics with opioid treatment program staff. Staff also described knowledge dissemination methods for PWOUD, such as emphasizing that visuals are extremely important and that human stories are “priceless”, consistent with prior literature</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narrative within the video contains a storyline with a beginning, middle and an end where the storyline conflict is brought to conclusion</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Based upon acquired feedback, we incorporated visualization strategies into the video, such as emphasizing main points in words or captions strategically situated within the image frame, to underscore the important pedagogical value.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We next reviewed the brochure to ensure that the same information would be presented in both educational formats and subsequently engaged a professional screenwriter to develop the video script. Multiple iterations of the script were reviewed to ensure the accuracy of the educational information. After filming and editing, a draft version of the video was reviewed and finalized by the study team and content validity was assessed as described below. The final video is available at: </w:t>
      </w:r>
      <w:r>
        <w:fldChar w:fldCharType="begin"/>
      </w:r>
      <w:r>
        <w:instrText xml:space="preserve"> HYPERLINK "https://urldefense.proofpoint.com/v2/url?u=https-3A__drive.google.com_file_d_1mrJbXpRl7YrqbhoPH3sUphOTz2TNgc0e_view-3Fusp-3Dsharing&amp;d=DwMFAg&amp;c=4sF48jRmVAe_CH-k9mXYXEGfSnM3bY53YSKuLUQRxhA&amp;r=9pR-BF33voc4T62fdGTZjr7RkEJD6jAIw7Fta5FbCBI&amp;m=T5V3c4tlAWIlPMl1wM3zeHXMViAen7_eWKVi6N_t18c&amp;s=qJSIhSLhhcFzLPY2sQPexcxozMFu5p19CIsuY-tqiW0&amp;e=" </w:instrText>
      </w:r>
      <w:r>
        <w:fldChar w:fldCharType="separate"/>
      </w:r>
      <w:r>
        <w:rPr>
          <w:rFonts w:ascii="Book Antiqua" w:hAnsi="Book Antiqua" w:eastAsia="Book Antiqua" w:cs="Book Antiqua"/>
          <w:color w:val="000000"/>
        </w:rPr>
        <w:t>https://drive.google.com/file/d/1mrJbXpRl7YrqbhoPH3sUphOTz2TNgc0e/view?usp=sharing</w:t>
      </w:r>
      <w:r>
        <w:rPr>
          <w:rFonts w:ascii="Book Antiqua" w:hAnsi="Book Antiqua" w:eastAsia="Book Antiqua" w:cs="Book Antiqua"/>
          <w:color w:val="000000"/>
        </w:rPr>
        <w:fldChar w:fldCharType="end"/>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Knowledge assessment design and assessment of content validity</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Details related to the design of the knowledge assessment and the assessment of its content validity are described in the supplementary material. </w:t>
      </w:r>
    </w:p>
    <w:p>
      <w:pPr>
        <w:spacing w:line="360" w:lineRule="auto"/>
        <w:jc w:val="both"/>
        <w:rPr>
          <w:rFonts w:ascii="Book Antiqua" w:hAnsi="Book Antiqua"/>
          <w:lang w:eastAsia="zh-CN"/>
        </w:rPr>
      </w:pPr>
    </w:p>
    <w:p>
      <w:pPr>
        <w:spacing w:line="360" w:lineRule="auto"/>
        <w:jc w:val="both"/>
        <w:rPr>
          <w:rFonts w:ascii="Book Antiqua" w:hAnsi="Book Antiqua"/>
          <w:b/>
          <w:bCs/>
          <w:i/>
          <w:iCs/>
        </w:rPr>
      </w:pPr>
      <w:r>
        <w:rPr>
          <w:rFonts w:ascii="Book Antiqua" w:hAnsi="Book Antiqua" w:eastAsia="Book Antiqua" w:cs="Book Antiqua"/>
          <w:b/>
          <w:bCs/>
          <w:i/>
          <w:iCs/>
          <w:color w:val="000000"/>
        </w:rPr>
        <w:t xml:space="preserve">Recruitment plan development </w:t>
      </w:r>
    </w:p>
    <w:p>
      <w:pPr>
        <w:spacing w:line="360" w:lineRule="auto"/>
        <w:jc w:val="both"/>
        <w:rPr>
          <w:rFonts w:ascii="Book Antiqua" w:hAnsi="Book Antiqua"/>
        </w:rPr>
      </w:pPr>
      <w:r>
        <w:rPr>
          <w:rFonts w:ascii="Book Antiqua" w:hAnsi="Book Antiqua" w:eastAsia="Book Antiqua" w:cs="Book Antiqua"/>
          <w:color w:val="000000"/>
        </w:rPr>
        <w:t xml:space="preserve">We matched participants recruited from each site on age, gender, and race to control for potentially unmeasured confounding factors. We initially evaluated the demographics of all individuals from both sites. After considering the inclusion criteria and those with complete demographic information, the intervention site had 1647 potential participants and the control site had 526 potential participants. The two sites were randomly assigned to either the intervention or the control.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next used gender, age and race to perform 1:1 exact matching of individuals from the two sites utilizing the “Match” function (R package, version 3.5.3)</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Given the paucity of nonwhite individuals, potential participants were categorized into two groups: white and other races. Age was also classified into two groups: age </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39 or &gt; 39 years. The algorithm identified 7928 exactly matched pairs in which 508 pairs were unique individuals from the control site. According to the distribution of matched individuals, each site was requested to recruit 90 participants according to the proportion in each category (See supplementary material for sample size calculation and Supplementary Table 3 for the recruitment plan).</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Recruitment</w:t>
      </w:r>
    </w:p>
    <w:p>
      <w:pPr>
        <w:spacing w:line="360" w:lineRule="auto"/>
        <w:jc w:val="both"/>
        <w:rPr>
          <w:rFonts w:ascii="Book Antiqua" w:hAnsi="Book Antiqua"/>
        </w:rPr>
      </w:pPr>
      <w:r>
        <w:rPr>
          <w:rFonts w:ascii="Book Antiqua" w:hAnsi="Book Antiqua" w:eastAsia="Book Antiqua" w:cs="Book Antiqua"/>
          <w:color w:val="000000"/>
        </w:rPr>
        <w:t>Site staff initially identified potentially eligible participants on the clinical schedule and then assessed potential participant’s interest in study participation. If interest was affirmed, research staff next obtained informed consent. Afterwards, we verified participant demographics, and they completed the pre-test assessment. Participants then read the brochure or watched the video, and they promptly completed the knowledge assessment a second time (</w:t>
      </w:r>
      <w:r>
        <w:rPr>
          <w:rFonts w:ascii="Book Antiqua" w:hAnsi="Book Antiqua" w:eastAsia="Book Antiqua" w:cs="Book Antiqua"/>
          <w:i/>
          <w:color w:val="000000"/>
        </w:rPr>
        <w:t>i.e.,</w:t>
      </w:r>
      <w:r>
        <w:rPr>
          <w:rFonts w:ascii="Book Antiqua" w:hAnsi="Book Antiqua" w:eastAsia="Book Antiqua" w:cs="Book Antiqua"/>
          <w:color w:val="000000"/>
        </w:rPr>
        <w:t xml:space="preserve"> post-test assessment). Thirty days afterwards, we requested that participants complete the third knowledge assessment (1</w:t>
      </w:r>
      <w:r>
        <w:rPr>
          <w:rFonts w:hint="eastAsia" w:ascii="Book Antiqua" w:hAnsi="Book Antiqua" w:cs="Book Antiqua"/>
          <w:color w:val="000000"/>
          <w:lang w:eastAsia="zh-CN"/>
        </w:rPr>
        <w:t xml:space="preserve"> mo</w:t>
      </w:r>
      <w:r>
        <w:rPr>
          <w:rFonts w:ascii="Book Antiqua" w:hAnsi="Book Antiqua" w:eastAsia="Book Antiqua" w:cs="Book Antiqua"/>
          <w:color w:val="000000"/>
        </w:rPr>
        <w:t xml:space="preserve"> post-test assessment). We compensated participants $40 for completion of all assessments. After the COVID-19 pandemic, we recruited approximately</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20% of participants </w:t>
      </w:r>
      <w:r>
        <w:rPr>
          <w:rFonts w:ascii="Book Antiqua" w:hAnsi="Book Antiqua" w:eastAsia="Book Antiqua" w:cs="Book Antiqua"/>
          <w:i/>
          <w:iCs/>
          <w:color w:val="000000"/>
        </w:rPr>
        <w:t>via</w:t>
      </w:r>
      <w:r>
        <w:rPr>
          <w:rFonts w:ascii="Book Antiqua" w:hAnsi="Book Antiqua" w:eastAsia="Book Antiqua" w:cs="Book Antiqua"/>
          <w:color w:val="000000"/>
        </w:rPr>
        <w:t xml:space="preserve"> telephone.</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 xml:space="preserve">Statistical analysis </w:t>
      </w:r>
    </w:p>
    <w:p>
      <w:pPr>
        <w:spacing w:line="360" w:lineRule="auto"/>
        <w:jc w:val="both"/>
        <w:rPr>
          <w:rFonts w:ascii="Book Antiqua" w:hAnsi="Book Antiqua"/>
        </w:rPr>
      </w:pPr>
      <w:r>
        <w:rPr>
          <w:rFonts w:ascii="Book Antiqua" w:hAnsi="Book Antiqua" w:eastAsia="Book Antiqua" w:cs="Book Antiqua"/>
          <w:color w:val="000000"/>
        </w:rPr>
        <w:t>We performed complete-case analysis since less than 5% of the data were missing. We initially calculated the participants’ response scores obtained on each knowledge assessment; each correctly answered item garnered one credit. The improvement in knowledge attributable to the intervention was defined as the difference in scores between post- and pre- educational intervention assessments. We used the Wilcoxon signed-rank test to compare each participants’ pre- and post-educational intervention scores</w:t>
      </w:r>
      <w:r>
        <w:rPr>
          <w:rFonts w:ascii="Book Antiqua" w:hAnsi="Book Antiqua" w:eastAsia="Book Antiqua" w:cs="Book Antiqua"/>
          <w:color w:val="000000"/>
          <w:vertAlign w:val="superscript"/>
        </w:rPr>
        <w:t>[38]</w:t>
      </w:r>
      <w:r>
        <w:rPr>
          <w:rFonts w:ascii="Book Antiqua" w:hAnsi="Book Antiqua" w:eastAsia="Book Antiqua" w:cs="Book Antiqua"/>
          <w:color w:val="000000"/>
        </w:rPr>
        <w:t>. We applied the Wilcoxon rank sum test to compare the improvements in participants’ scores between post- and pre-educational intervention tests between the two sites. All significance tests were performed by using R version 3.5.3</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Our outcome variable is the number of correct answers provided by each participant. To incorporate the time effect into our analysis and since the outcome data are counts, we used a generalized linear mixed-effects model. The fixed effects include gender, race, educational intervention, timepoint (post-education and one-month follow-up) and clinic by visit interaction with all variables measured on a categorical scale, and we incorporated age in the model. Race was categorized into two levels (white </w:t>
      </w:r>
      <w:r>
        <w:rPr>
          <w:rFonts w:ascii="Book Antiqua" w:hAnsi="Book Antiqua" w:eastAsia="Book Antiqua" w:cs="Book Antiqua"/>
          <w:i/>
          <w:iCs/>
          <w:color w:val="000000"/>
        </w:rPr>
        <w:t>vs</w:t>
      </w:r>
      <w:r>
        <w:rPr>
          <w:rFonts w:ascii="Book Antiqua" w:hAnsi="Book Antiqua" w:eastAsia="Book Antiqua" w:cs="Book Antiqua"/>
          <w:color w:val="000000"/>
        </w:rPr>
        <w:t xml:space="preserve"> other races), considering the small sample size of the nonwhite population. We modeled the pre-education test scores through model inclusion as the baseline (BL) value, X</w:t>
      </w:r>
      <w:r>
        <w:rPr>
          <w:rFonts w:ascii="Book Antiqua" w:hAnsi="Book Antiqua" w:eastAsia="Book Antiqua" w:cs="Book Antiqua"/>
          <w:color w:val="000000"/>
          <w:vertAlign w:val="subscript"/>
        </w:rPr>
        <w:t>BL,i</w:t>
      </w:r>
      <w:r>
        <w:rPr>
          <w:rFonts w:ascii="Book Antiqua" w:hAnsi="Book Antiqua" w:eastAsia="Book Antiqua" w:cs="Book Antiqua"/>
          <w:color w:val="000000"/>
        </w:rPr>
        <w:t>, associated with the i</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study participant to adjust for differences in participants’ educational levels and other potential unmeasured confounders that might have affected baseline scores. The random effects corresponded to unknown subject effects and was captured the within-subject variability. The outcome data were assumed to be Poisson distributed and the ln (log link with base e) was used in the generalized linear mixed-effects model (SAS Version 9.4, SAS Corporation, Cary, NC).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bCs/>
          <w:i/>
          <w:iCs/>
        </w:rPr>
      </w:pPr>
      <w:r>
        <w:rPr>
          <w:rFonts w:ascii="Book Antiqua" w:hAnsi="Book Antiqua" w:eastAsia="Book Antiqua" w:cs="Book Antiqua"/>
          <w:b/>
          <w:bCs/>
          <w:i/>
          <w:iCs/>
          <w:color w:val="000000"/>
        </w:rPr>
        <w:t xml:space="preserve">Demographic characteristics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We recruited 90 and 86 participants from the control and intervention sites, respectively, according to recruitment plan specifications. Participant demographics are illustrated in Table 1. </w:t>
      </w:r>
    </w:p>
    <w:p>
      <w:pPr>
        <w:spacing w:line="360" w:lineRule="auto"/>
        <w:jc w:val="both"/>
        <w:rPr>
          <w:rFonts w:ascii="Book Antiqua" w:hAnsi="Book Antiqua"/>
          <w:lang w:eastAsia="zh-CN"/>
        </w:rPr>
      </w:pPr>
    </w:p>
    <w:p>
      <w:pPr>
        <w:spacing w:line="360" w:lineRule="auto"/>
        <w:jc w:val="both"/>
        <w:rPr>
          <w:rFonts w:ascii="Book Antiqua" w:hAnsi="Book Antiqua"/>
          <w:b/>
          <w:bCs/>
          <w:i/>
          <w:iCs/>
        </w:rPr>
      </w:pPr>
      <w:r>
        <w:rPr>
          <w:rFonts w:ascii="Book Antiqua" w:hAnsi="Book Antiqua" w:eastAsia="Book Antiqua" w:cs="Book Antiqua"/>
          <w:b/>
          <w:bCs/>
          <w:i/>
          <w:iCs/>
          <w:color w:val="000000"/>
        </w:rPr>
        <w:t>Participant questionnaire completion</w:t>
      </w:r>
    </w:p>
    <w:p>
      <w:pPr>
        <w:spacing w:line="360" w:lineRule="auto"/>
        <w:jc w:val="both"/>
        <w:rPr>
          <w:rFonts w:ascii="Book Antiqua" w:hAnsi="Book Antiqua"/>
        </w:rPr>
      </w:pPr>
      <w:r>
        <w:rPr>
          <w:rFonts w:ascii="Book Antiqua" w:hAnsi="Book Antiqua" w:eastAsia="Book Antiqua" w:cs="Book Antiqua"/>
          <w:color w:val="000000"/>
        </w:rPr>
        <w:t xml:space="preserve">We requested that each participant complete a knowledge assessment immediately preceding and upon conclusion of the educational intervention. They also completed the same assessment one-month after the intervention to investigate longer-term knowledge retention. The proposed and actual numbers of study participants who were recruited and their response rates, as assessed by completion of the pre-, post-, and one-month follow up assessments, are illustrated (Supplementary Table 3).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In terms of response rates, all 90 participants in the control and 86 participants in the intervention arms completed both the pre- and post-educational intervention assessments. In terms of one-month follow-up response rates, 7 control and 5 intervention participants did not complete the assessment. </w:t>
      </w:r>
    </w:p>
    <w:p>
      <w:pPr>
        <w:spacing w:line="360" w:lineRule="auto"/>
        <w:jc w:val="both"/>
        <w:rPr>
          <w:rFonts w:ascii="Book Antiqua" w:hAnsi="Book Antiqua"/>
          <w:lang w:eastAsia="zh-CN"/>
        </w:rPr>
      </w:pPr>
    </w:p>
    <w:p>
      <w:pPr>
        <w:spacing w:line="360" w:lineRule="auto"/>
        <w:jc w:val="both"/>
        <w:rPr>
          <w:rFonts w:ascii="Book Antiqua" w:hAnsi="Book Antiqua"/>
          <w:b/>
          <w:bCs/>
          <w:i/>
          <w:iCs/>
          <w:lang w:eastAsia="zh-CN"/>
        </w:rPr>
      </w:pPr>
      <w:r>
        <w:rPr>
          <w:rFonts w:ascii="Book Antiqua" w:hAnsi="Book Antiqua" w:eastAsia="Book Antiqua" w:cs="Book Antiqua"/>
          <w:b/>
          <w:bCs/>
          <w:i/>
          <w:iCs/>
          <w:color w:val="000000"/>
        </w:rPr>
        <w:t>Descriptive and graphical analysis</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Pre- and post-educational intervention results</w:t>
      </w:r>
      <w:r>
        <w:rPr>
          <w:rFonts w:hint="eastAsia"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For participants who observed the video, post-educational intervention scores improved significantly in comparison with pre-intervention scores (the value of the Wilcoxon signed-rank test is V = 2848.5, </w:t>
      </w:r>
      <w:r>
        <w:rPr>
          <w:rFonts w:ascii="Book Antiqua" w:hAnsi="Book Antiqua" w:eastAsia="Book Antiqua" w:cs="Book Antiqua"/>
          <w:i/>
          <w:color w:val="000000"/>
        </w:rPr>
        <w:t xml:space="preserve">P &lt; </w:t>
      </w:r>
      <w:r>
        <w:rPr>
          <w:rFonts w:hint="eastAsia" w:ascii="Book Antiqua" w:hAnsi="Book Antiqua" w:cs="Book Antiqua"/>
          <w:color w:val="000000"/>
          <w:lang w:eastAsia="zh-CN"/>
        </w:rPr>
        <w:t>0</w:t>
      </w:r>
      <w:r>
        <w:rPr>
          <w:rFonts w:ascii="Book Antiqua" w:hAnsi="Book Antiqua" w:eastAsia="Book Antiqua" w:cs="Book Antiqua"/>
          <w:color w:val="000000"/>
        </w:rPr>
        <w:t xml:space="preserve">.0001). For control participants, significant differences between the post- and pre-intervention scores are also observed (V = 2816, </w:t>
      </w:r>
      <w:r>
        <w:rPr>
          <w:rFonts w:ascii="Book Antiqua" w:hAnsi="Book Antiqua" w:eastAsia="Book Antiqua" w:cs="Book Antiqua"/>
          <w:i/>
          <w:color w:val="000000"/>
        </w:rPr>
        <w:t xml:space="preserve">P &lt; </w:t>
      </w:r>
      <w:r>
        <w:rPr>
          <w:rFonts w:hint="eastAsia" w:ascii="Book Antiqua" w:hAnsi="Book Antiqua" w:cs="Book Antiqua"/>
          <w:color w:val="000000"/>
          <w:lang w:eastAsia="zh-CN"/>
        </w:rPr>
        <w:t>0</w:t>
      </w:r>
      <w:r>
        <w:rPr>
          <w:rFonts w:ascii="Book Antiqua" w:hAnsi="Book Antiqua" w:eastAsia="Book Antiqua" w:cs="Book Antiqua"/>
          <w:color w:val="000000"/>
        </w:rPr>
        <w:t xml:space="preserve">.0001). </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Improvement in educational intervention results</w:t>
      </w:r>
      <w:r>
        <w:rPr>
          <w:rFonts w:hint="eastAsia"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We also illustrate the improvements in the scores comparing the post- and pre-intervention assessments graphically (Figure 1). The significant improvement (W = 4817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0.0047) in test scores comparing each intervention is shown</w:t>
      </w:r>
      <w:r>
        <w:rPr>
          <w:rFonts w:ascii="Book Antiqua" w:hAnsi="Book Antiqua" w:eastAsia="Book Antiqua" w:cs="Book Antiqua"/>
          <w:color w:val="000000"/>
          <w:vertAlign w:val="superscript"/>
        </w:rPr>
        <w:t>[39]</w:t>
      </w:r>
      <w:r>
        <w:rPr>
          <w:rFonts w:ascii="Book Antiqua" w:hAnsi="Book Antiqua" w:eastAsia="Book Antiqua" w:cs="Book Antiqua"/>
          <w:color w:val="000000"/>
        </w:rPr>
        <w:t>. The improvement in test scores was greater among participants in the intervention arm as compared to the control arm.</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One-month education retention results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The raw mean of participants’ scores on pre- and post-educational intervention as well as on the one-month follow up assessments are illustrated (Figure 2). We observed substantial improvements from the pre-intervention to the post-intervention assessments in both clinics accompanied by a slight reduction in the scores obtained on the one-month follow-up assessments. The intervention site was observed to have a relatively higher improvement in the post-intervention assessment and improved knowledge retention on the one-month follow-up assessment. </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Impact of COVID-19</w:t>
      </w:r>
    </w:p>
    <w:p>
      <w:pPr>
        <w:spacing w:line="360" w:lineRule="auto"/>
        <w:jc w:val="both"/>
        <w:rPr>
          <w:rFonts w:ascii="Book Antiqua" w:hAnsi="Book Antiqua"/>
        </w:rPr>
      </w:pPr>
      <w:r>
        <w:rPr>
          <w:rFonts w:ascii="Book Antiqua" w:hAnsi="Book Antiqua" w:eastAsia="Book Antiqua" w:cs="Book Antiqua"/>
          <w:color w:val="000000"/>
        </w:rPr>
        <w:t xml:space="preserve">Due to COVID-19-related restrictions, some of the intervention site participants were recruited </w:t>
      </w:r>
      <w:r>
        <w:rPr>
          <w:rFonts w:ascii="Book Antiqua" w:hAnsi="Book Antiqua" w:eastAsia="Book Antiqua" w:cs="Book Antiqua"/>
          <w:i/>
          <w:iCs/>
          <w:color w:val="000000"/>
        </w:rPr>
        <w:t>via</w:t>
      </w:r>
      <w:r>
        <w:rPr>
          <w:rFonts w:ascii="Book Antiqua" w:hAnsi="Book Antiqua" w:eastAsia="Book Antiqua" w:cs="Book Antiqua"/>
          <w:color w:val="000000"/>
        </w:rPr>
        <w:t xml:space="preserve"> phone. Data indicate that pre-education scores are approximately similar comparing participants recruited in-person with those </w:t>
      </w:r>
      <w:r>
        <w:rPr>
          <w:rFonts w:ascii="Book Antiqua" w:hAnsi="Book Antiqua" w:eastAsia="Book Antiqua" w:cs="Book Antiqua"/>
          <w:i/>
          <w:iCs/>
          <w:color w:val="000000"/>
        </w:rPr>
        <w:t>via</w:t>
      </w:r>
      <w:r>
        <w:rPr>
          <w:rFonts w:ascii="Book Antiqua" w:hAnsi="Book Antiqua" w:eastAsia="Book Antiqua" w:cs="Book Antiqua"/>
          <w:color w:val="000000"/>
        </w:rPr>
        <w:t xml:space="preserve"> phone (Table 2). </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Multivariate modeling results</w:t>
      </w:r>
    </w:p>
    <w:p>
      <w:pPr>
        <w:spacing w:line="360" w:lineRule="auto"/>
        <w:jc w:val="both"/>
        <w:rPr>
          <w:rFonts w:ascii="Book Antiqua" w:hAnsi="Book Antiqua"/>
        </w:rPr>
      </w:pPr>
      <w:r>
        <w:rPr>
          <w:rFonts w:ascii="Book Antiqua" w:hAnsi="Book Antiqua" w:eastAsia="Book Antiqua" w:cs="Book Antiqua"/>
          <w:color w:val="000000"/>
        </w:rPr>
        <w:t>We utilized a generalized mixed-effects model to model the data. Table 3 shows the type III tests results for fixed effects, which utilizes the exact F tests. Modeling results revealed that the type of educational intervention, specifically the video, had a significant effect on the improvement in HCV-related knowledge and retention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0.0326) as compared to the brochure (Table 3). The age, gender, race, and the interaction term of the intervention and time point are not significant. The overall time point effect is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 0.0004), and within each clinic, the least square mean differences between one-month follow up and post-education test scores are -0.0634 (</w:t>
      </w:r>
      <w:r>
        <w:rPr>
          <w:rFonts w:ascii="Book Antiqua" w:hAnsi="Book Antiqua" w:eastAsia="Book Antiqua" w:cs="Book Antiqua"/>
          <w:i/>
          <w:iCs/>
          <w:color w:val="000000"/>
        </w:rPr>
        <w:t>P</w:t>
      </w:r>
      <w:r>
        <w:rPr>
          <w:rFonts w:ascii="Book Antiqua" w:hAnsi="Book Antiqua" w:eastAsia="Book Antiqua" w:cs="Book Antiqua"/>
          <w:color w:val="000000"/>
        </w:rPr>
        <w:t xml:space="preserve"> = 0.0357) and-0.0908 (</w:t>
      </w:r>
      <w:r>
        <w:rPr>
          <w:rFonts w:ascii="Book Antiqua" w:hAnsi="Book Antiqua" w:eastAsia="Book Antiqua" w:cs="Book Antiqua"/>
          <w:i/>
          <w:iCs/>
          <w:color w:val="000000"/>
        </w:rPr>
        <w:t>P</w:t>
      </w:r>
      <w:r>
        <w:rPr>
          <w:rFonts w:ascii="Book Antiqua" w:hAnsi="Book Antiqua" w:eastAsia="Book Antiqua" w:cs="Book Antiqua"/>
          <w:color w:val="000000"/>
        </w:rPr>
        <w:t xml:space="preserve"> = 0.0033) for the video and brochure, respectively, which indicates a 0.0634 decrease in test score on the one-month follow-up compared to the post-intervention assessment for the video group and 0.0908 decrease in the brochure group. The baseline score, </w:t>
      </w:r>
      <w:r>
        <w:rPr>
          <w:rFonts w:ascii="Book Antiqua" w:hAnsi="Book Antiqua" w:eastAsia="Book Antiqua" w:cs="Book Antiqua"/>
          <w:i/>
          <w:iCs/>
          <w:color w:val="000000"/>
        </w:rPr>
        <w:t>i.e.,</w:t>
      </w:r>
      <w:r>
        <w:rPr>
          <w:rFonts w:ascii="Book Antiqua" w:hAnsi="Book Antiqua" w:eastAsia="Book Antiqua" w:cs="Book Antiqua"/>
          <w:color w:val="000000"/>
        </w:rPr>
        <w:t xml:space="preserve"> the number of correct responses prior to any educational intervention, has a significant impact on the post-intervention and one-month follow-up test scores with </w:t>
      </w:r>
      <w:r>
        <w:rPr>
          <w:rFonts w:ascii="Book Antiqua" w:hAnsi="Book Antiqua" w:eastAsia="Book Antiqua" w:cs="Book Antiqua"/>
          <w:i/>
          <w:color w:val="000000"/>
        </w:rPr>
        <w:t xml:space="preserve">P &lt; </w:t>
      </w:r>
      <w:r>
        <w:rPr>
          <w:rFonts w:ascii="Book Antiqua" w:hAnsi="Book Antiqua" w:eastAsia="Book Antiqua" w:cs="Book Antiqua"/>
          <w:color w:val="000000"/>
        </w:rPr>
        <w:t xml:space="preserve">0.0001. We refer to this variable as the baseline score; its inclusion in the model adjusts for any pre-existing knowledge differences that might exist between clinics.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In this study, we developed and validated an HCV educational narrative video targeted to PWOUD. Each narrative emphasizes HCV-related knowledge, and we utilized technological enhancements to underscore important points. Utilizing a case-control design, we subsequently enrolled PWOUD on buprenorphine from two separate sites, one received the intervention and the other was a control site. Although both the video and the printed formats increased immediate recall and retention of HCV-related knowledge, gains were significantly greater amongst the participants who viewed the video.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Substance users have a method for information spread amongst themselves, referred to as the “peer pipeline”, that compromised our ability to randomize at the patient level</w:t>
      </w:r>
      <w:r>
        <w:rPr>
          <w:rFonts w:ascii="Book Antiqua" w:hAnsi="Book Antiqua" w:eastAsia="Book Antiqua" w:cs="Book Antiqua"/>
          <w:color w:val="000000"/>
          <w:vertAlign w:val="superscript"/>
        </w:rPr>
        <w:t>[40,41]</w:t>
      </w:r>
      <w:r>
        <w:rPr>
          <w:rFonts w:ascii="Book Antiqua" w:hAnsi="Book Antiqua" w:eastAsia="Book Antiqua" w:cs="Book Antiqua"/>
          <w:color w:val="000000"/>
        </w:rPr>
        <w:t xml:space="preserve">. To minimize bias between the two sites, we matched participants on demographic factors including age, gender, and race. Several attributes between the sites were similar, including staffing ratios, treatment philosophy, and therapeutic approaches, since both sites are under the direction of the same state agency (OASAS), which regulates and funds medications for opioid use disorder (MOUD) dispensed in New York State.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Education about HCV and the benefits of DAAs is essential to promote PWOUD pursuit of HCV treatment and is required to achieve HCV elimination objectives</w:t>
      </w:r>
      <w:r>
        <w:rPr>
          <w:rFonts w:ascii="Book Antiqua" w:hAnsi="Book Antiqua" w:eastAsia="Book Antiqua" w:cs="Book Antiqua"/>
          <w:color w:val="000000"/>
          <w:vertAlign w:val="superscript"/>
        </w:rPr>
        <w:t>[8,9]</w:t>
      </w:r>
      <w:r>
        <w:rPr>
          <w:rFonts w:ascii="Book Antiqua" w:hAnsi="Book Antiqua" w:eastAsia="Book Antiqua" w:cs="Book Antiqua"/>
          <w:color w:val="000000"/>
        </w:rPr>
        <w:t>. Low to moderate health literacy in PWOUD and misinformation concerning basic facets of liver disease among many liver disease patients are important considerations in the design of educational interventions</w:t>
      </w:r>
      <w:r>
        <w:rPr>
          <w:rFonts w:ascii="Book Antiqua" w:hAnsi="Book Antiqua" w:eastAsia="Book Antiqua" w:cs="Book Antiqua"/>
          <w:color w:val="000000"/>
          <w:vertAlign w:val="superscript"/>
        </w:rPr>
        <w:t>[12-14,42]</w:t>
      </w:r>
      <w:r>
        <w:rPr>
          <w:rFonts w:ascii="Book Antiqua" w:hAnsi="Book Antiqua" w:eastAsia="Book Antiqua" w:cs="Book Antiqua"/>
          <w:color w:val="000000"/>
        </w:rPr>
        <w:t>. While several prior studies have shown knowledge increases after HCV education, these studies enrolled different populations; some recruited hospital-based clinic patients while others recruited PWOUD</w:t>
      </w:r>
      <w:r>
        <w:rPr>
          <w:rFonts w:ascii="Book Antiqua" w:hAnsi="Book Antiqua" w:eastAsia="Book Antiqua" w:cs="Book Antiqua"/>
          <w:color w:val="000000"/>
          <w:vertAlign w:val="superscript"/>
        </w:rPr>
        <w:t>[2,20,22,25,28]</w:t>
      </w:r>
      <w:r>
        <w:rPr>
          <w:rFonts w:ascii="Book Antiqua" w:hAnsi="Book Antiqua" w:eastAsia="Book Antiqua" w:cs="Book Antiqua"/>
          <w:color w:val="000000"/>
        </w:rPr>
        <w:t>. In a study conducted in PWOUD, no differences were identified in viral hepatitis-related knowledge between those undergoing a motivational interviewing style compared with standard counseling</w:t>
      </w:r>
      <w:r>
        <w:rPr>
          <w:rFonts w:ascii="Book Antiqua" w:hAnsi="Book Antiqua" w:eastAsia="Book Antiqua" w:cs="Book Antiqua"/>
          <w:color w:val="000000"/>
          <w:vertAlign w:val="superscript"/>
        </w:rPr>
        <w:t>[20]</w:t>
      </w:r>
      <w:r>
        <w:rPr>
          <w:rFonts w:ascii="Book Antiqua" w:hAnsi="Book Antiqua" w:eastAsia="Book Antiqua" w:cs="Book Antiqua"/>
          <w:color w:val="000000"/>
        </w:rPr>
        <w:t>. Another study that reported low health literacy among PWOUD illustrated that personalized educational communication techniques result in increased knowledge</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Addressing HCV-related knowledge gaps requires innovative and targeted educational approaches. Storytelling narrative videos are a potential alternative to conventional in- person instructional lectures, although the latter has been evaluated in most HCV-related published work to date</w:t>
      </w:r>
      <w:r>
        <w:rPr>
          <w:rFonts w:ascii="Book Antiqua" w:hAnsi="Book Antiqua" w:eastAsia="Book Antiqua" w:cs="Book Antiqua"/>
          <w:color w:val="000000"/>
          <w:vertAlign w:val="superscript"/>
        </w:rPr>
        <w:t>[27-30,43]</w:t>
      </w:r>
      <w:r>
        <w:rPr>
          <w:rFonts w:ascii="Book Antiqua" w:hAnsi="Book Antiqua" w:eastAsia="Book Antiqua" w:cs="Book Antiqua"/>
          <w:color w:val="000000"/>
        </w:rPr>
        <w:t>. One study used an I-pad platform to deliver educational instruction about HCV</w:t>
      </w:r>
      <w:r>
        <w:rPr>
          <w:rFonts w:ascii="Book Antiqua" w:hAnsi="Book Antiqua" w:eastAsia="Book Antiqua" w:cs="Book Antiqua"/>
          <w:color w:val="000000"/>
          <w:vertAlign w:val="superscript"/>
        </w:rPr>
        <w:t>[30]</w:t>
      </w:r>
      <w:r>
        <w:rPr>
          <w:rFonts w:ascii="Book Antiqua" w:hAnsi="Book Antiqua" w:eastAsia="Book Antiqua" w:cs="Book Antiqua"/>
          <w:color w:val="000000"/>
        </w:rPr>
        <w:t>. Another study developed a didactic video about liver disease, and a third developed a short didactic video message designed to persuade PWOUD to pursue HCV surveillance</w:t>
      </w:r>
      <w:r>
        <w:rPr>
          <w:rFonts w:ascii="Book Antiqua" w:hAnsi="Book Antiqua" w:eastAsia="Book Antiqua" w:cs="Book Antiqua"/>
          <w:color w:val="000000"/>
          <w:vertAlign w:val="superscript"/>
        </w:rPr>
        <w:t>[27,28]</w:t>
      </w:r>
      <w:r>
        <w:rPr>
          <w:rFonts w:ascii="Book Antiqua" w:hAnsi="Book Antiqua" w:eastAsia="Book Antiqua" w:cs="Book Antiqua"/>
          <w:color w:val="000000"/>
        </w:rPr>
        <w:t xml:space="preserve">. Additionally, Hochstatter </w:t>
      </w:r>
      <w:r>
        <w:rPr>
          <w:rFonts w:ascii="Book Antiqua" w:hAnsi="Book Antiqua" w:eastAsia="Book Antiqua" w:cs="Book Antiqua"/>
          <w:i/>
          <w:iCs/>
          <w:color w:val="000000"/>
        </w:rPr>
        <w:t>et al</w:t>
      </w:r>
      <w:r>
        <w:rPr>
          <w:rFonts w:ascii="Book Antiqua" w:hAnsi="Book Antiqua" w:eastAsia="Book Antiqua" w:cs="Book Antiqua"/>
          <w:color w:val="000000"/>
        </w:rPr>
        <w:t>. identified no differences in HCV testing uptake between intervention and control participants who utilized HCV-related educational content and functionality added to an m-health substance use disorder relapse prevention platform</w:t>
      </w:r>
      <w:r>
        <w:rPr>
          <w:rFonts w:ascii="Book Antiqua" w:hAnsi="Book Antiqua" w:eastAsia="Book Antiqua" w:cs="Book Antiqua"/>
          <w:color w:val="000000"/>
          <w:vertAlign w:val="superscript"/>
        </w:rPr>
        <w:t>[29,43]</w:t>
      </w:r>
      <w:r>
        <w:rPr>
          <w:rFonts w:ascii="Book Antiqua" w:hAnsi="Book Antiqua" w:eastAsia="Book Antiqua" w:cs="Book Antiqua"/>
          <w:color w:val="000000"/>
        </w:rPr>
        <w:t xml:space="preserve">. mHealth systems developed to date designed to educate PWOUD about HCV appear to largely utilize a didactic approach complemented by linkage to community and government-based resources as opposed to narrative stories.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Multiple, as opposed to single, interventions have shown promise to improve health information comprehension by low literacy populations</w:t>
      </w:r>
      <w:r>
        <w:rPr>
          <w:rFonts w:ascii="Book Antiqua" w:hAnsi="Book Antiqua" w:eastAsia="Book Antiqua" w:cs="Book Antiqua"/>
          <w:color w:val="000000"/>
          <w:vertAlign w:val="superscript"/>
        </w:rPr>
        <w:t>[44,45]</w:t>
      </w:r>
      <w:r>
        <w:rPr>
          <w:rFonts w:ascii="Book Antiqua" w:hAnsi="Book Antiqua" w:eastAsia="Book Antiqua" w:cs="Book Antiqua"/>
          <w:color w:val="000000"/>
        </w:rPr>
        <w:t>. Multimodal presentations, combined with storytelling narratives, allow for participant transportation into the narrative, defined as “the audience’s immersion in the imagined world”</w:t>
      </w:r>
      <w:r>
        <w:rPr>
          <w:rFonts w:ascii="Book Antiqua" w:hAnsi="Book Antiqua" w:eastAsia="Book Antiqua" w:cs="Book Antiqua"/>
          <w:color w:val="000000"/>
          <w:vertAlign w:val="superscript"/>
        </w:rPr>
        <w:t>[36,46]</w:t>
      </w:r>
      <w:r>
        <w:rPr>
          <w:rFonts w:ascii="Book Antiqua" w:hAnsi="Book Antiqua" w:eastAsia="Book Antiqua" w:cs="Book Antiqua"/>
          <w:color w:val="000000"/>
        </w:rPr>
        <w:t>. The degree of the viewer’s emotional engagement with the narrative and the identification with the protagonist are important determinants of narrative’s persuasiveness for behavioral modification</w:t>
      </w:r>
      <w:r>
        <w:rPr>
          <w:rFonts w:ascii="Book Antiqua" w:hAnsi="Book Antiqua" w:eastAsia="Book Antiqua" w:cs="Book Antiqua"/>
          <w:color w:val="000000"/>
          <w:vertAlign w:val="superscript"/>
        </w:rPr>
        <w:t>[47,48]</w:t>
      </w:r>
      <w:r>
        <w:rPr>
          <w:rFonts w:ascii="Book Antiqua" w:hAnsi="Book Antiqua" w:eastAsia="Book Antiqua" w:cs="Book Antiqua"/>
          <w:color w:val="000000"/>
        </w:rPr>
        <w:t>. Storytelling is used extensively to promote persuasiveness in healthcare</w:t>
      </w:r>
      <w:r>
        <w:rPr>
          <w:rFonts w:ascii="Book Antiqua" w:hAnsi="Book Antiqua" w:eastAsia="Book Antiqua" w:cs="Book Antiqua"/>
          <w:color w:val="000000"/>
          <w:vertAlign w:val="superscript"/>
        </w:rPr>
        <w:t>[31,49,50]</w:t>
      </w:r>
      <w:r>
        <w:rPr>
          <w:rFonts w:ascii="Book Antiqua" w:hAnsi="Book Antiqua" w:eastAsia="Book Antiqua" w:cs="Book Antiqua"/>
          <w:color w:val="000000"/>
        </w:rPr>
        <w:t>, and video narratives have been shown to be more persuasive at health promotion than written narratives or instructional or didactic videos</w:t>
      </w:r>
      <w:r>
        <w:rPr>
          <w:rFonts w:ascii="Book Antiqua" w:hAnsi="Book Antiqua" w:eastAsia="Book Antiqua" w:cs="Book Antiqua"/>
          <w:color w:val="000000"/>
          <w:vertAlign w:val="superscript"/>
        </w:rPr>
        <w:t>[32,51]</w:t>
      </w:r>
      <w:r>
        <w:rPr>
          <w:rFonts w:ascii="Book Antiqua" w:hAnsi="Book Antiqua" w:eastAsia="Book Antiqua" w:cs="Book Antiqua"/>
          <w:color w:val="000000"/>
        </w:rPr>
        <w:t>. Future investigation should evaluate whether different educational modalities will lead to improvements in PWOUD pursuit of HCV management.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Increasing PWOUD pursuit of HCV diagnosis and treatment can accrue significant benefits. Besides improvements in patient-reported outcomes, such as fatigue</w:t>
      </w:r>
      <w:r>
        <w:rPr>
          <w:rFonts w:ascii="Book Antiqua" w:hAnsi="Book Antiqua" w:eastAsia="Book Antiqua" w:cs="Book Antiqua"/>
          <w:color w:val="000000"/>
          <w:vertAlign w:val="superscript"/>
        </w:rPr>
        <w:t>[52]</w:t>
      </w:r>
      <w:r>
        <w:rPr>
          <w:rFonts w:ascii="Book Antiqua" w:hAnsi="Book Antiqua" w:eastAsia="Book Antiqua" w:cs="Book Antiqua"/>
          <w:color w:val="000000"/>
        </w:rPr>
        <w:t>, an HCV cure decreases the risk of progression to cirrhosis and hepatocellular carcinoma</w:t>
      </w:r>
      <w:r>
        <w:rPr>
          <w:rFonts w:ascii="Book Antiqua" w:hAnsi="Book Antiqua" w:eastAsia="Book Antiqua" w:cs="Book Antiqua"/>
          <w:color w:val="000000"/>
          <w:vertAlign w:val="superscript"/>
        </w:rPr>
        <w:t>[53]</w:t>
      </w:r>
      <w:r>
        <w:rPr>
          <w:rFonts w:ascii="Book Antiqua" w:hAnsi="Book Antiqua" w:eastAsia="Book Antiqua" w:cs="Book Antiqua"/>
          <w:color w:val="000000"/>
        </w:rPr>
        <w:t>. Furthermore, as alcohol intake has been shown to be an independent predictor of hepatic cirrhosis and mortality in HCV-infected individuals</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alcohol cessation education is required for all HCV-infected individuals.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Extensive stakeholder input on the intervention design, the comparison group, the construct validation, and study design are investigative strengths. Additionally, we minimized potential bias by conducting the study in geographically separated sites and through matching participants on available demographics. We were limited by the inability to conduct a randomized trial given the research infrastructure present, the available resources, and the existence of the peer pipeline. We were, unfortunately, unable to collect information on participant’s education levels or on their substance use treatment course. To address these limitations, we included the baseline questionnaire responses as a dependent variable in the multivariate modeling. The inclusion of the pre-education test score controls for differences, for example, in education levels between the two sites.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HCV-related education is critical to promote PWOUD screening and linkage-to-care. PWOUD have the highest HCV prevalence and incidence, and highly-effective DAAs decrease HCV-associated morbidity and mortality</w:t>
      </w:r>
      <w:r>
        <w:rPr>
          <w:rFonts w:ascii="Book Antiqua" w:hAnsi="Book Antiqua" w:eastAsia="Book Antiqua" w:cs="Book Antiqua"/>
          <w:color w:val="000000"/>
          <w:vertAlign w:val="superscript"/>
        </w:rPr>
        <w:t>[4]</w:t>
      </w:r>
      <w:r>
        <w:rPr>
          <w:rFonts w:ascii="Book Antiqua" w:hAnsi="Book Antiqua" w:eastAsia="Book Antiqua" w:cs="Book Antiqua"/>
          <w:color w:val="000000"/>
        </w:rPr>
        <w:t>. HCV treatment has also been shown to diminish or stabilize substance use, to improve retention in OUD treatment and to increase medication adherence</w:t>
      </w:r>
      <w:r>
        <w:rPr>
          <w:rFonts w:ascii="Book Antiqua" w:hAnsi="Book Antiqua" w:eastAsia="Book Antiqua" w:cs="Book Antiqua"/>
          <w:color w:val="000000"/>
          <w:vertAlign w:val="superscript"/>
        </w:rPr>
        <w:t>[6,55]</w:t>
      </w:r>
      <w:r>
        <w:rPr>
          <w:rFonts w:ascii="Book Antiqua" w:hAnsi="Book Antiqua" w:eastAsia="Book Antiqua" w:cs="Book Antiqua"/>
          <w:color w:val="000000"/>
        </w:rPr>
        <w:t>. MOUD also reduces risk of HCV reinfection</w:t>
      </w:r>
      <w:r>
        <w:rPr>
          <w:rFonts w:ascii="Book Antiqua" w:hAnsi="Book Antiqua" w:eastAsia="Book Antiqua" w:cs="Book Antiqua"/>
          <w:color w:val="000000"/>
          <w:vertAlign w:val="superscript"/>
        </w:rPr>
        <w:t>[56]</w:t>
      </w:r>
      <w:r>
        <w:rPr>
          <w:rFonts w:ascii="Book Antiqua" w:hAnsi="Book Antiqua" w:eastAsia="Book Antiqua" w:cs="Book Antiqua"/>
          <w:color w:val="000000"/>
        </w:rPr>
        <w:t>. To maximize the effectiveness of HCV educational interventions targeted to PWOUD, future investigation should evaluate knowledge dissemination and engagement among PWOUD comparing educational formats (</w:t>
      </w:r>
      <w:r>
        <w:rPr>
          <w:rFonts w:ascii="Book Antiqua" w:hAnsi="Book Antiqua" w:eastAsia="Book Antiqua" w:cs="Book Antiqua"/>
          <w:i/>
          <w:color w:val="000000"/>
        </w:rPr>
        <w:t>i.e.,</w:t>
      </w:r>
      <w:r>
        <w:rPr>
          <w:rFonts w:ascii="Book Antiqua" w:hAnsi="Book Antiqua" w:eastAsia="Book Antiqua" w:cs="Book Antiqua"/>
          <w:color w:val="000000"/>
        </w:rPr>
        <w:t xml:space="preserve"> storytelling narratives vs. instructional/didactic formats) that incorporate multimodal technologies.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Education improves HCV-related knowledge among PWOUD. Storytelling narratives significantly improve knowledge retention compared to written instructional brochures. They should become a cornerstone to promote HCV knowledge among PWOUD.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Despite high hepatitis C virus (HCV) incidence and prevalence, many substance users lack basic knowledge about HCV infection and its consequences.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HCV education targeted to persons with opioid use disorder (PWOUD) has largely utilized conventional written approaches through brochures and pamphlets. Innovative approaches, such as storytelling narrative videos, may be more appealing resulting in increased knowledge ascertainment and retention. Data are limited though on the ability of narrative videos to increase knowledge among substance users.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assess immediate and 1</w:t>
      </w:r>
      <w:r>
        <w:rPr>
          <w:rFonts w:hint="eastAsia" w:ascii="Book Antiqua" w:hAnsi="Book Antiqua" w:cs="Book Antiqua"/>
          <w:color w:val="000000"/>
          <w:lang w:eastAsia="zh-CN"/>
        </w:rPr>
        <w:t xml:space="preserve"> mo</w:t>
      </w:r>
      <w:r>
        <w:rPr>
          <w:rFonts w:ascii="Book Antiqua" w:hAnsi="Book Antiqua" w:eastAsia="Book Antiqua" w:cs="Book Antiqua"/>
          <w:color w:val="000000"/>
        </w:rPr>
        <w:t xml:space="preserve"> HCV knowledge recall and retention among substance users comparing education delivered </w:t>
      </w:r>
      <w:r>
        <w:rPr>
          <w:rFonts w:ascii="Book Antiqua" w:hAnsi="Book Antiqua" w:eastAsia="Book Antiqua" w:cs="Book Antiqua"/>
          <w:i/>
          <w:iCs/>
          <w:color w:val="000000"/>
        </w:rPr>
        <w:t>via</w:t>
      </w:r>
      <w:r>
        <w:rPr>
          <w:rFonts w:ascii="Book Antiqua" w:hAnsi="Book Antiqua" w:eastAsia="Book Antiqua" w:cs="Book Antiqua"/>
          <w:color w:val="000000"/>
        </w:rPr>
        <w:t xml:space="preserve"> a storytelling narrative video to a written brochure.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PWOUD on medication for opioid use disorder were prospectively enrolled from two sites, one site reviewed the written brochure and the other site viewed the video. Participants (</w:t>
      </w:r>
      <w:r>
        <w:rPr>
          <w:rFonts w:ascii="Book Antiqua" w:hAnsi="Book Antiqua" w:eastAsia="Book Antiqua" w:cs="Book Antiqua"/>
          <w:i/>
          <w:iCs/>
          <w:color w:val="000000"/>
        </w:rPr>
        <w:t>n</w:t>
      </w:r>
      <w:r>
        <w:rPr>
          <w:rFonts w:ascii="Book Antiqua" w:hAnsi="Book Antiqua" w:eastAsia="Book Antiqua" w:cs="Book Antiqua"/>
          <w:color w:val="000000"/>
        </w:rPr>
        <w:t xml:space="preserve"> = 176), matched on age, race, and gender, completed the same knowledge assessments immediately prior to and upon completion of reading the brochure or watching the video. The same assessment was completed one month later to evaluate longer-term knowledge retention. We utilized generalized linear mixed-effects models to analyze the data.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We observed that both interventions significantly increased immediate and longer-term HCV-related knowledge. Multivariate modeling revealed significant improvements in HCV-related knowledge and retention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0.033) among participants who viewed the storytelling narrative video.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Storytelling narrative videos appear to be an effective strategy to increase HCV-related knowledge among PWOUD. Whether videos are an effective method to change behavior requires further investigation.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Given their ability to include multimodal techniques and their ease of distribution, storytelling narrative videos may do well as an educational cornerstone to disseminate HCV-related knowledge to vulnerable populations, such as PWOUD, as well as to the general public.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We acknowledge the contributions of the administrative, counseling, and clinical staff at University of Rochester Strong Recovery Chemical Dependency for input on the educational topics of interest. We also acknowledge the staff at Catholic Health Services St. Vincent Health Center (Paul Updike MD, Judith Galante, RN, and Martha Gloss) and at Best-Self Behavioral Health (Stacie Capozzi, June Cline, and Amanda Arnone) for their assistance with patient recruitment and data collection. We also acknowledge Justin Bondi, Dr. Joe Huntz, James Huntz, and Dr. Mohammed Tahir for their assistance with designing and production of the instructional video. We also acknowledge Darlene Meyer and Cliff Minter, MPH for assistance with data collection, Joshua Osmanski for assistance with manuscript drafting, and Professor Melanie Green for helpful discussions.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Ly KN</w:t>
      </w:r>
      <w:r>
        <w:rPr>
          <w:rFonts w:ascii="Book Antiqua" w:hAnsi="Book Antiqua" w:eastAsia="Book Antiqua" w:cs="Book Antiqua"/>
          <w:color w:val="000000"/>
        </w:rPr>
        <w:t xml:space="preserve">, Hughes EM, Jiles RB, Holmberg SD. Rising Mortality Associated With Hepatitis C Virus in the United States, 2003-2013.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62</w:t>
      </w:r>
      <w:r>
        <w:rPr>
          <w:rFonts w:ascii="Book Antiqua" w:hAnsi="Book Antiqua" w:eastAsia="Book Antiqua" w:cs="Book Antiqua"/>
          <w:color w:val="000000"/>
        </w:rPr>
        <w:t>: 1287-1288 [PMID: 26936668 DOI: 10.1093/cid/ciw111]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Zeremski M</w:t>
      </w:r>
      <w:r>
        <w:rPr>
          <w:rFonts w:ascii="Book Antiqua" w:hAnsi="Book Antiqua" w:eastAsia="Book Antiqua" w:cs="Book Antiqua"/>
          <w:color w:val="000000"/>
        </w:rPr>
        <w:t xml:space="preserve">, Dimova RB, Zavala R, Kritz S, Lin M, Smith BD, Zibbell JE, Talal AH. Hepatitis C virus-related knowledge and willingness to receive treatment among patients on methadone maintenance. </w:t>
      </w:r>
      <w:r>
        <w:rPr>
          <w:rFonts w:ascii="Book Antiqua" w:hAnsi="Book Antiqua" w:eastAsia="Book Antiqua" w:cs="Book Antiqua"/>
          <w:i/>
          <w:iCs/>
          <w:color w:val="000000"/>
        </w:rPr>
        <w:t>J Addict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249-257 [PMID: 24820257 DOI: 10.1097/adm.0000000000000041]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Amon JJ</w:t>
      </w:r>
      <w:r>
        <w:rPr>
          <w:rFonts w:ascii="Book Antiqua" w:hAnsi="Book Antiqua" w:eastAsia="Book Antiqua" w:cs="Book Antiqua"/>
          <w:color w:val="000000"/>
        </w:rPr>
        <w:t xml:space="preserve">, Garfein RS, Ahdieh-Grant L, Armstrong GL, Ouellet LJ, Latka MH, Vlahov D, Strathdee SA, Hudson SM, Kerndt P, Des Jarlais D, Williams IT. Prevalence of hepatitis C virus infection among injection drug users in the United States, 1994-2004.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2008; </w:t>
      </w:r>
      <w:r>
        <w:rPr>
          <w:rFonts w:ascii="Book Antiqua" w:hAnsi="Book Antiqua" w:eastAsia="Book Antiqua" w:cs="Book Antiqua"/>
          <w:b/>
          <w:bCs/>
          <w:color w:val="000000"/>
        </w:rPr>
        <w:t>46</w:t>
      </w:r>
      <w:r>
        <w:rPr>
          <w:rFonts w:ascii="Book Antiqua" w:hAnsi="Book Antiqua" w:eastAsia="Book Antiqua" w:cs="Book Antiqua"/>
          <w:color w:val="000000"/>
        </w:rPr>
        <w:t>: 1852-1858 [PMID: 18462109 DOI: 10.1086/588297]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Alawad AS</w:t>
      </w:r>
      <w:r>
        <w:rPr>
          <w:rFonts w:ascii="Book Antiqua" w:hAnsi="Book Antiqua" w:eastAsia="Book Antiqua" w:cs="Book Antiqua"/>
          <w:color w:val="000000"/>
        </w:rPr>
        <w:t xml:space="preserve">, Auh S, Suarez D, Ghany MG. Durability of Spontaneous and Treatment-Related Loss of Hepatitis B s Antigen.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700-709.e3 [PMID: 31323381 DOI: 10.1002/hep.31060]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Springer SA</w:t>
      </w:r>
      <w:r>
        <w:rPr>
          <w:rFonts w:ascii="Book Antiqua" w:hAnsi="Book Antiqua" w:eastAsia="Book Antiqua" w:cs="Book Antiqua"/>
          <w:color w:val="000000"/>
        </w:rPr>
        <w:t xml:space="preserve">, Del Rio C. Co-located Opioid Use Disorder and Hepatitis C Virus Treatment Is Not Only Right, But It Is Also the Smart Thing To Do as It Improves Outcomes!.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1723-1725 [PMID: 32011653 DOI: 10.1093/cid/ciaa111]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Rosenthal ES</w:t>
      </w:r>
      <w:r>
        <w:rPr>
          <w:rFonts w:ascii="Book Antiqua" w:hAnsi="Book Antiqua" w:eastAsia="Book Antiqua" w:cs="Book Antiqua"/>
          <w:color w:val="000000"/>
        </w:rPr>
        <w:t xml:space="preserve">, Silk R, Mathur P, Gross C, Eyasu R, Nussdorf L, Hill K, Brokus C, D'Amore A, Sidique N, Bijole P, Jones M, Kier R, McCullough D, Sternberg D, Stafford K, Sun J, Masur H, Kottilil S, Kattakuzhy S. Concurrent Initiation of Hepatitis C and Opioid Use Disorder Treatment in People Who Inject Drugs.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1715-1722 [PMID: 32009165 DOI: 10.1093/cid/ciaa105]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US Preventive Services Task Force</w:t>
      </w:r>
      <w:r>
        <w:rPr>
          <w:rFonts w:hint="eastAsia" w:ascii="Book Antiqua" w:hAnsi="Book Antiqua" w:cs="Book Antiqua"/>
          <w:color w:val="000000"/>
          <w:lang w:eastAsia="zh-CN"/>
        </w:rPr>
        <w:t>;</w:t>
      </w:r>
      <w:r>
        <w:rPr>
          <w:rFonts w:ascii="Book Antiqua" w:hAnsi="Book Antiqua" w:eastAsia="Book Antiqua" w:cs="Book Antiqua"/>
          <w:color w:val="000000"/>
        </w:rPr>
        <w:t xml:space="preserve"> Owens DK, Davidson KW, Krist AH, Barry MJ, Cabana M, Caughey AB, Donahue K, Doubeni CA, Epling JW Jr, Kubik M, Ogedegbe G, Pbert L, Silverstein M, Simon MA, Tseng CW, Wong JB. Screening for Hepatitis C Virus Infection in Adolescents and Adults: US Preventive Services Task Force Recommendation Statement.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970-975 [PMID: 32119076 DOI: 10.1001/jama.2020.1123]</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8 </w:t>
      </w:r>
      <w:r>
        <w:rPr>
          <w:rFonts w:ascii="Book Antiqua" w:hAnsi="Book Antiqua" w:eastAsia="Book Antiqua" w:cs="Book Antiqua"/>
          <w:b/>
          <w:bCs/>
          <w:color w:val="000000"/>
        </w:rPr>
        <w:t>US Department of Health and Human Services</w:t>
      </w:r>
      <w:r>
        <w:rPr>
          <w:rFonts w:ascii="Book Antiqua" w:hAnsi="Book Antiqua" w:eastAsia="Book Antiqua" w:cs="Book Antiqua"/>
          <w:bCs/>
          <w:color w:val="000000"/>
        </w:rPr>
        <w:t>. Viral Hepatitis National Strategic Plan for the United States: a Roadmap to Elimination (2021-2025) Washington,</w:t>
      </w:r>
      <w:r>
        <w:rPr>
          <w:rFonts w:ascii="Book Antiqua" w:hAnsi="Book Antiqua" w:eastAsia="Book Antiqua" w:cs="Book Antiqua"/>
          <w:color w:val="000000"/>
        </w:rPr>
        <w:t xml:space="preserve"> DC.</w:t>
      </w:r>
      <w:r>
        <w:rPr>
          <w:rFonts w:hint="eastAsia" w:ascii="Book Antiqua" w:hAnsi="Book Antiqua" w:cs="Book Antiqua"/>
          <w:color w:val="000000"/>
          <w:lang w:eastAsia="zh-CN"/>
        </w:rPr>
        <w:t xml:space="preserve"> </w:t>
      </w:r>
      <w:r>
        <w:rPr>
          <w:rFonts w:ascii="Book Antiqua" w:hAnsi="Book Antiqua" w:cs="Book Antiqua"/>
          <w:color w:val="000000"/>
          <w:lang w:eastAsia="zh-CN"/>
        </w:rPr>
        <w:t>[cited 20 January 2022]. Available from:</w:t>
      </w:r>
      <w:r>
        <w:rPr>
          <w:rFonts w:hint="eastAsia" w:ascii="Book Antiqua" w:hAnsi="Book Antiqua" w:cs="Book Antiqua"/>
          <w:color w:val="000000"/>
          <w:lang w:eastAsia="zh-CN"/>
        </w:rPr>
        <w:t xml:space="preserve"> </w:t>
      </w:r>
      <w:r>
        <w:rPr>
          <w:rFonts w:ascii="Book Antiqua" w:hAnsi="Book Antiqua" w:eastAsia="Book Antiqua" w:cs="Book Antiqua"/>
          <w:color w:val="000000"/>
        </w:rPr>
        <w:t>https://www.hhs.gov/hepatitis/viral-hepatitis-national-strategic-plan/index.html</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9 </w:t>
      </w:r>
      <w:r>
        <w:rPr>
          <w:rFonts w:ascii="Book Antiqua" w:hAnsi="Book Antiqua" w:eastAsia="Book Antiqua" w:cs="Book Antiqua"/>
          <w:b/>
          <w:bCs/>
          <w:color w:val="000000"/>
        </w:rPr>
        <w:t>World Health Organization</w:t>
      </w:r>
      <w:r>
        <w:rPr>
          <w:rFonts w:ascii="Book Antiqua" w:hAnsi="Book Antiqua" w:eastAsia="Book Antiqua" w:cs="Book Antiqua"/>
          <w:bCs/>
          <w:color w:val="000000"/>
        </w:rPr>
        <w:t>. Combating Hepatitis B and C to Reach Elimination by 2030: Advocacy Brief. Geneva: World Health Organization,</w:t>
      </w:r>
      <w:r>
        <w:rPr>
          <w:rFonts w:ascii="Book Antiqua" w:hAnsi="Book Antiqua" w:eastAsia="Book Antiqua" w:cs="Book Antiqua"/>
          <w:color w:val="000000"/>
        </w:rPr>
        <w:t xml:space="preserve"> 2016 Contract No. WHO/HIV/2016.04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Denniston MM</w:t>
      </w:r>
      <w:r>
        <w:rPr>
          <w:rFonts w:ascii="Book Antiqua" w:hAnsi="Book Antiqua" w:eastAsia="Book Antiqua" w:cs="Book Antiqua"/>
          <w:color w:val="000000"/>
        </w:rPr>
        <w:t xml:space="preserve">, Klevens RM, McQuillan GM, Jiles RB. Awareness of infection, knowledge of hepatitis C, and medical follow-up among individuals testing positive for hepatitis C: National Health and Nutrition Examination Survey 2001-2008.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2012; </w:t>
      </w:r>
      <w:r>
        <w:rPr>
          <w:rFonts w:ascii="Book Antiqua" w:hAnsi="Book Antiqua" w:eastAsia="Book Antiqua" w:cs="Book Antiqua"/>
          <w:b/>
          <w:bCs/>
          <w:color w:val="000000"/>
        </w:rPr>
        <w:t>55</w:t>
      </w:r>
      <w:r>
        <w:rPr>
          <w:rFonts w:ascii="Book Antiqua" w:hAnsi="Book Antiqua" w:eastAsia="Book Antiqua" w:cs="Book Antiqua"/>
          <w:color w:val="000000"/>
        </w:rPr>
        <w:t>: 1652-1661 [PMID: 22213025 DOI: 10.1002/hep.25556]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Barua S</w:t>
      </w:r>
      <w:r>
        <w:rPr>
          <w:rFonts w:ascii="Book Antiqua" w:hAnsi="Book Antiqua" w:eastAsia="Book Antiqua" w:cs="Book Antiqua"/>
          <w:color w:val="000000"/>
        </w:rPr>
        <w:t xml:space="preserve">, Greenwald R, Grebely J, Dore GJ, Swan T, Taylor LE. Restrictions for Medicaid Reimbursement of Sofosbuvir for the Treatment of Hepatitis C Virus Infection in the United States.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163</w:t>
      </w:r>
      <w:r>
        <w:rPr>
          <w:rFonts w:ascii="Book Antiqua" w:hAnsi="Book Antiqua" w:eastAsia="Book Antiqua" w:cs="Book Antiqua"/>
          <w:color w:val="000000"/>
        </w:rPr>
        <w:t>: 215-223 [PMID: 26120969 DOI: 10.7326/m15-0406]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Degan TJ</w:t>
      </w:r>
      <w:r>
        <w:rPr>
          <w:rFonts w:ascii="Book Antiqua" w:hAnsi="Book Antiqua" w:eastAsia="Book Antiqua" w:cs="Book Antiqua"/>
          <w:color w:val="000000"/>
        </w:rPr>
        <w:t xml:space="preserve">, Kelly PJ, Robinson LD, Deane FP. Health literacy in substance use disorder treatment: A latent profile analysis. </w:t>
      </w:r>
      <w:r>
        <w:rPr>
          <w:rFonts w:ascii="Book Antiqua" w:hAnsi="Book Antiqua" w:eastAsia="Book Antiqua" w:cs="Book Antiqua"/>
          <w:i/>
          <w:iCs/>
          <w:color w:val="000000"/>
        </w:rPr>
        <w:t>J Subst Abuse Treat</w:t>
      </w:r>
      <w:r>
        <w:rPr>
          <w:rFonts w:ascii="Book Antiqua" w:hAnsi="Book Antiqua" w:eastAsia="Book Antiqua" w:cs="Book Antiqua"/>
          <w:color w:val="000000"/>
        </w:rPr>
        <w:t xml:space="preserve"> 2019; </w:t>
      </w:r>
      <w:r>
        <w:rPr>
          <w:rFonts w:ascii="Book Antiqua" w:hAnsi="Book Antiqua" w:eastAsia="Book Antiqua" w:cs="Book Antiqua"/>
          <w:b/>
          <w:bCs/>
          <w:color w:val="000000"/>
        </w:rPr>
        <w:t>96</w:t>
      </w:r>
      <w:r>
        <w:rPr>
          <w:rFonts w:ascii="Book Antiqua" w:hAnsi="Book Antiqua" w:eastAsia="Book Antiqua" w:cs="Book Antiqua"/>
          <w:color w:val="000000"/>
        </w:rPr>
        <w:t>: 46-52 [PMID: 30466548 DOI: 10.1016/j.jsat.2018.10.009]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Dahlman D</w:t>
      </w:r>
      <w:r>
        <w:rPr>
          <w:rFonts w:ascii="Book Antiqua" w:hAnsi="Book Antiqua" w:eastAsia="Book Antiqua" w:cs="Book Antiqua"/>
          <w:color w:val="000000"/>
        </w:rPr>
        <w:t xml:space="preserve">, Ekefäll M, Garpenhag L. Health Literacy among Swedish Patients in Opioid Substitution Treatment: A Mixed-Methods Study. </w:t>
      </w:r>
      <w:r>
        <w:rPr>
          <w:rFonts w:ascii="Book Antiqua" w:hAnsi="Book Antiqua" w:eastAsia="Book Antiqua" w:cs="Book Antiqua"/>
          <w:i/>
          <w:iCs/>
          <w:color w:val="000000"/>
        </w:rPr>
        <w:t>Drug Alcohol Depend</w:t>
      </w:r>
      <w:r>
        <w:rPr>
          <w:rFonts w:ascii="Book Antiqua" w:hAnsi="Book Antiqua" w:eastAsia="Book Antiqua" w:cs="Book Antiqua"/>
          <w:color w:val="000000"/>
        </w:rPr>
        <w:t xml:space="preserve"> 2020; </w:t>
      </w:r>
      <w:r>
        <w:rPr>
          <w:rFonts w:ascii="Book Antiqua" w:hAnsi="Book Antiqua" w:eastAsia="Book Antiqua" w:cs="Book Antiqua"/>
          <w:b/>
          <w:bCs/>
          <w:color w:val="000000"/>
        </w:rPr>
        <w:t>214</w:t>
      </w:r>
      <w:r>
        <w:rPr>
          <w:rFonts w:ascii="Book Antiqua" w:hAnsi="Book Antiqua" w:eastAsia="Book Antiqua" w:cs="Book Antiqua"/>
          <w:color w:val="000000"/>
        </w:rPr>
        <w:t>: 108186 [PMID: 32721789 DOI: 10.1016/j.drugalcdep.2020.108186]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Degan TJ</w:t>
      </w:r>
      <w:r>
        <w:rPr>
          <w:rFonts w:ascii="Book Antiqua" w:hAnsi="Book Antiqua" w:eastAsia="Book Antiqua" w:cs="Book Antiqua"/>
          <w:color w:val="000000"/>
        </w:rPr>
        <w:t xml:space="preserve">, Kelly PJ, Robinson LD, Deane FP, Smith AM. Health literacy of people living with mental illness or substance use disorders: A systematic review. </w:t>
      </w:r>
      <w:r>
        <w:rPr>
          <w:rFonts w:ascii="Book Antiqua" w:hAnsi="Book Antiqua" w:eastAsia="Book Antiqua" w:cs="Book Antiqua"/>
          <w:i/>
          <w:iCs/>
          <w:color w:val="000000"/>
        </w:rPr>
        <w:t>Early Interv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1454-1469 [PMID: 33254279 DOI: 10.1111/eip.13090]</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15 </w:t>
      </w:r>
      <w:r>
        <w:rPr>
          <w:rFonts w:ascii="Book Antiqua" w:hAnsi="Book Antiqua" w:eastAsia="Book Antiqua" w:cs="Book Antiqua"/>
          <w:b/>
          <w:bCs/>
          <w:color w:val="000000"/>
        </w:rPr>
        <w:t>Weiss,</w:t>
      </w:r>
      <w:r>
        <w:rPr>
          <w:rFonts w:ascii="Book Antiqua" w:hAnsi="Book Antiqua" w:eastAsia="Book Antiqua" w:cs="Book Antiqua"/>
          <w:color w:val="000000"/>
        </w:rPr>
        <w:t xml:space="preserve"> BD. Health literacy and patient safety: Help patients understand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edition ed. Chicago, IL: American Medical Association; 2007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Scott N</w:t>
      </w:r>
      <w:r>
        <w:rPr>
          <w:rFonts w:ascii="Book Antiqua" w:hAnsi="Book Antiqua" w:eastAsia="Book Antiqua" w:cs="Book Antiqua"/>
          <w:color w:val="000000"/>
        </w:rPr>
        <w:t xml:space="preserve">, Doyle JS, Wilson DP, Wade A, Howell J, Pedrana A, Thompson A, Hellard ME. Reaching hepatitis C virus elimination targets requires health system interventions to enhance the care cascade. </w:t>
      </w:r>
      <w:r>
        <w:rPr>
          <w:rFonts w:ascii="Book Antiqua" w:hAnsi="Book Antiqua" w:eastAsia="Book Antiqua" w:cs="Book Antiqua"/>
          <w:i/>
          <w:iCs/>
          <w:color w:val="000000"/>
        </w:rPr>
        <w:t>Int J Drug Policy</w:t>
      </w:r>
      <w:r>
        <w:rPr>
          <w:rFonts w:ascii="Book Antiqua" w:hAnsi="Book Antiqua" w:eastAsia="Book Antiqua" w:cs="Book Antiqua"/>
          <w:color w:val="000000"/>
        </w:rPr>
        <w:t xml:space="preserve"> 2017; </w:t>
      </w:r>
      <w:r>
        <w:rPr>
          <w:rFonts w:ascii="Book Antiqua" w:hAnsi="Book Antiqua" w:eastAsia="Book Antiqua" w:cs="Book Antiqua"/>
          <w:b/>
          <w:bCs/>
          <w:color w:val="000000"/>
        </w:rPr>
        <w:t>47</w:t>
      </w:r>
      <w:r>
        <w:rPr>
          <w:rFonts w:ascii="Book Antiqua" w:hAnsi="Book Antiqua" w:eastAsia="Book Antiqua" w:cs="Book Antiqua"/>
          <w:color w:val="000000"/>
        </w:rPr>
        <w:t>: 107-116 [PMID: 28797497 DOI: 10.1016/j.drugpo.2017.07.006]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Gulati R</w:t>
      </w:r>
      <w:r>
        <w:rPr>
          <w:rFonts w:ascii="Book Antiqua" w:hAnsi="Book Antiqua" w:eastAsia="Book Antiqua" w:cs="Book Antiqua"/>
          <w:color w:val="000000"/>
        </w:rPr>
        <w:t xml:space="preserve">, Nawaz M, Pyrsopoulos NT. Comparative analysis of online patient education material pertaining to hepatitis and its complications.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28</w:t>
      </w:r>
      <w:r>
        <w:rPr>
          <w:rFonts w:ascii="Book Antiqua" w:hAnsi="Book Antiqua" w:eastAsia="Book Antiqua" w:cs="Book Antiqua"/>
          <w:color w:val="000000"/>
        </w:rPr>
        <w:t>: 558-566 [PMID: 26982338 DOI: 10.1097/MEG.0000000000000588]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Dunn KE</w:t>
      </w:r>
      <w:r>
        <w:rPr>
          <w:rFonts w:ascii="Book Antiqua" w:hAnsi="Book Antiqua" w:eastAsia="Book Antiqua" w:cs="Book Antiqua"/>
          <w:color w:val="000000"/>
        </w:rPr>
        <w:t xml:space="preserve">, Saulsgiver KA, Patrick ME, Heil SH, Higgins ST, Sigmon SC. Characterizing and improving HIV and hepatitis knowledge among primary prescription opioid abusers. </w:t>
      </w:r>
      <w:r>
        <w:rPr>
          <w:rFonts w:ascii="Book Antiqua" w:hAnsi="Book Antiqua" w:eastAsia="Book Antiqua" w:cs="Book Antiqua"/>
          <w:i/>
          <w:iCs/>
          <w:color w:val="000000"/>
        </w:rPr>
        <w:t>Drug Alcohol Depend</w:t>
      </w:r>
      <w:r>
        <w:rPr>
          <w:rFonts w:ascii="Book Antiqua" w:hAnsi="Book Antiqua" w:eastAsia="Book Antiqua" w:cs="Book Antiqua"/>
          <w:color w:val="000000"/>
        </w:rPr>
        <w:t xml:space="preserve"> 2013; </w:t>
      </w:r>
      <w:r>
        <w:rPr>
          <w:rFonts w:ascii="Book Antiqua" w:hAnsi="Book Antiqua" w:eastAsia="Book Antiqua" w:cs="Book Antiqua"/>
          <w:b/>
          <w:bCs/>
          <w:color w:val="000000"/>
        </w:rPr>
        <w:t>133</w:t>
      </w:r>
      <w:r>
        <w:rPr>
          <w:rFonts w:ascii="Book Antiqua" w:hAnsi="Book Antiqua" w:eastAsia="Book Antiqua" w:cs="Book Antiqua"/>
          <w:color w:val="000000"/>
        </w:rPr>
        <w:t>: 625-632 [PMID: 24051063 DOI: 10.1016/j.drugalcdep.2013.08.007]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Zeremski M</w:t>
      </w:r>
      <w:r>
        <w:rPr>
          <w:rFonts w:ascii="Book Antiqua" w:hAnsi="Book Antiqua" w:eastAsia="Book Antiqua" w:cs="Book Antiqua"/>
          <w:color w:val="000000"/>
        </w:rPr>
        <w:t xml:space="preserve">, Zavala R, Dimova RB, Chen Y, Kritz S, Sylvester C, Brown LS Jr, Talal AH. Improvements in HCV-related Knowledge Among Substance Users on Opioid Agonist Therapy After an Educational Intervention. </w:t>
      </w:r>
      <w:r>
        <w:rPr>
          <w:rFonts w:ascii="Book Antiqua" w:hAnsi="Book Antiqua" w:eastAsia="Book Antiqua" w:cs="Book Antiqua"/>
          <w:i/>
          <w:iCs/>
          <w:color w:val="000000"/>
        </w:rPr>
        <w:t>J Addict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104-109 [PMID: 26881485 DOI: 10.1097/adm.0000000000000196]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Larios SE</w:t>
      </w:r>
      <w:r>
        <w:rPr>
          <w:rFonts w:ascii="Book Antiqua" w:hAnsi="Book Antiqua" w:eastAsia="Book Antiqua" w:cs="Book Antiqua"/>
          <w:color w:val="000000"/>
        </w:rPr>
        <w:t xml:space="preserve">, Masson CL, Shopshire MS, Hettema J, Jordan AE, McKnight C, Young C, Khalili M, Seewald RM, Min A, Hengl N, Sorensen JL, Des Jarlais DC, Perlman DC. Education and counseling in the methadone treatment setting improves knowledge of viral hepatitis. </w:t>
      </w:r>
      <w:r>
        <w:rPr>
          <w:rFonts w:ascii="Book Antiqua" w:hAnsi="Book Antiqua" w:eastAsia="Book Antiqua" w:cs="Book Antiqua"/>
          <w:i/>
          <w:iCs/>
          <w:color w:val="000000"/>
        </w:rPr>
        <w:t>J Subst Abuse Treat</w:t>
      </w:r>
      <w:r>
        <w:rPr>
          <w:rFonts w:ascii="Book Antiqua" w:hAnsi="Book Antiqua" w:eastAsia="Book Antiqua" w:cs="Book Antiqua"/>
          <w:color w:val="000000"/>
        </w:rPr>
        <w:t xml:space="preserve"> 2014; </w:t>
      </w:r>
      <w:r>
        <w:rPr>
          <w:rFonts w:ascii="Book Antiqua" w:hAnsi="Book Antiqua" w:eastAsia="Book Antiqua" w:cs="Book Antiqua"/>
          <w:b/>
          <w:bCs/>
          <w:color w:val="000000"/>
        </w:rPr>
        <w:t>46</w:t>
      </w:r>
      <w:r>
        <w:rPr>
          <w:rFonts w:ascii="Book Antiqua" w:hAnsi="Book Antiqua" w:eastAsia="Book Antiqua" w:cs="Book Antiqua"/>
          <w:color w:val="000000"/>
        </w:rPr>
        <w:t>: 528-531 [PMID: 24462241 DOI: 10.1016/j.jsat.2013.10.012]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Marinho RT</w:t>
      </w:r>
      <w:r>
        <w:rPr>
          <w:rFonts w:ascii="Book Antiqua" w:hAnsi="Book Antiqua" w:eastAsia="Book Antiqua" w:cs="Book Antiqua"/>
          <w:color w:val="000000"/>
        </w:rPr>
        <w:t xml:space="preserve">, Costa A, Pires T, Raposo H, Vasconcelos C, Polónia C, Borges J, Soares M, Vilar G, Nogueira AM; LIGUE-C Investigators. A multidimensional education program at substance dependence treatment centers improves patient knowledge and hepatitis C care.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565 [PMID: 27733137 DOI: 10.1186/s12879-016-1883-6]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Surjadi M</w:t>
      </w:r>
      <w:r>
        <w:rPr>
          <w:rFonts w:ascii="Book Antiqua" w:hAnsi="Book Antiqua" w:eastAsia="Book Antiqua" w:cs="Book Antiqua"/>
          <w:color w:val="000000"/>
        </w:rPr>
        <w:t xml:space="preserve">, Torruellas C, Ayala C, Yee HF Jr, Khalili M. Formal patient education improves patient knowledge of hepatitis C in vulnerable populations.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2011; </w:t>
      </w:r>
      <w:r>
        <w:rPr>
          <w:rFonts w:ascii="Book Antiqua" w:hAnsi="Book Antiqua" w:eastAsia="Book Antiqua" w:cs="Book Antiqua"/>
          <w:b/>
          <w:bCs/>
          <w:color w:val="000000"/>
        </w:rPr>
        <w:t>56</w:t>
      </w:r>
      <w:r>
        <w:rPr>
          <w:rFonts w:ascii="Book Antiqua" w:hAnsi="Book Antiqua" w:eastAsia="Book Antiqua" w:cs="Book Antiqua"/>
          <w:color w:val="000000"/>
        </w:rPr>
        <w:t>: 213-219 [PMID: 20972850 DOI: 10.1007/s10620-010-1455-3]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Arain A</w:t>
      </w:r>
      <w:r>
        <w:rPr>
          <w:rFonts w:ascii="Book Antiqua" w:hAnsi="Book Antiqua" w:eastAsia="Book Antiqua" w:cs="Book Antiqua"/>
          <w:color w:val="000000"/>
        </w:rPr>
        <w:t xml:space="preserve">, De Sousa J, Corten K, Verrando R, Thijs H, Mathei C, Buntinx F, Robaeys G. Pilot Study: Combining Formal and Peer Education with FibroScan to Increase HCV Screening and Treatment in Persons who use Drugs. </w:t>
      </w:r>
      <w:r>
        <w:rPr>
          <w:rFonts w:ascii="Book Antiqua" w:hAnsi="Book Antiqua" w:eastAsia="Book Antiqua" w:cs="Book Antiqua"/>
          <w:i/>
          <w:iCs/>
          <w:color w:val="000000"/>
        </w:rPr>
        <w:t>J Subst Abuse Treat</w:t>
      </w:r>
      <w:r>
        <w:rPr>
          <w:rFonts w:ascii="Book Antiqua" w:hAnsi="Book Antiqua" w:eastAsia="Book Antiqua" w:cs="Book Antiqua"/>
          <w:color w:val="000000"/>
        </w:rPr>
        <w:t xml:space="preserve"> 2016; </w:t>
      </w:r>
      <w:r>
        <w:rPr>
          <w:rFonts w:ascii="Book Antiqua" w:hAnsi="Book Antiqua" w:eastAsia="Book Antiqua" w:cs="Book Antiqua"/>
          <w:b/>
          <w:bCs/>
          <w:color w:val="000000"/>
        </w:rPr>
        <w:t>67</w:t>
      </w:r>
      <w:r>
        <w:rPr>
          <w:rFonts w:ascii="Book Antiqua" w:hAnsi="Book Antiqua" w:eastAsia="Book Antiqua" w:cs="Book Antiqua"/>
          <w:color w:val="000000"/>
        </w:rPr>
        <w:t>: 44-49 [PMID: 27296661 DOI: 10.1016/j.jsat.2016.04.001]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Norton BL</w:t>
      </w:r>
      <w:r>
        <w:rPr>
          <w:rFonts w:ascii="Book Antiqua" w:hAnsi="Book Antiqua" w:eastAsia="Book Antiqua" w:cs="Book Antiqua"/>
          <w:color w:val="000000"/>
        </w:rPr>
        <w:t xml:space="preserve">, Voils CI, Timberlake SH, Hecker EJ, Goswami ND, Huffman KM, Landgraf A, Naggie S, Stout JE. Community-based HCV screening: knowledge and attitudes in a high risk urban population.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14</w:t>
      </w:r>
      <w:r>
        <w:rPr>
          <w:rFonts w:ascii="Book Antiqua" w:hAnsi="Book Antiqua" w:eastAsia="Book Antiqua" w:cs="Book Antiqua"/>
          <w:color w:val="000000"/>
        </w:rPr>
        <w:t>: 74 [PMID: 24512462 DOI: 10.1186/1471-2334-14-74]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Gupta K</w:t>
      </w:r>
      <w:r>
        <w:rPr>
          <w:rFonts w:ascii="Book Antiqua" w:hAnsi="Book Antiqua" w:eastAsia="Book Antiqua" w:cs="Book Antiqua"/>
          <w:color w:val="000000"/>
        </w:rPr>
        <w:t xml:space="preserve">, Romney D, Briggs M, Benker K. Effects of a brief educational program on knowledge and willingness to accept treatment among patients with hepatitis C at inner-city hospitals. </w:t>
      </w:r>
      <w:r>
        <w:rPr>
          <w:rFonts w:ascii="Book Antiqua" w:hAnsi="Book Antiqua" w:eastAsia="Book Antiqua" w:cs="Book Antiqua"/>
          <w:i/>
          <w:iCs/>
          <w:color w:val="000000"/>
        </w:rPr>
        <w:t>J Community Health</w:t>
      </w:r>
      <w:r>
        <w:rPr>
          <w:rFonts w:ascii="Book Antiqua" w:hAnsi="Book Antiqua" w:eastAsia="Book Antiqua" w:cs="Book Antiqua"/>
          <w:color w:val="000000"/>
        </w:rPr>
        <w:t xml:space="preserve"> 2007; </w:t>
      </w:r>
      <w:r>
        <w:rPr>
          <w:rFonts w:ascii="Book Antiqua" w:hAnsi="Book Antiqua" w:eastAsia="Book Antiqua" w:cs="Book Antiqua"/>
          <w:b/>
          <w:bCs/>
          <w:color w:val="000000"/>
        </w:rPr>
        <w:t>32</w:t>
      </w:r>
      <w:r>
        <w:rPr>
          <w:rFonts w:ascii="Book Antiqua" w:hAnsi="Book Antiqua" w:eastAsia="Book Antiqua" w:cs="Book Antiqua"/>
          <w:color w:val="000000"/>
        </w:rPr>
        <w:t>: 221-230 [PMID: 17696047 DOI: 10.1007/s10900-007-9046-8]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Lubega S</w:t>
      </w:r>
      <w:r>
        <w:rPr>
          <w:rFonts w:ascii="Book Antiqua" w:hAnsi="Book Antiqua" w:eastAsia="Book Antiqua" w:cs="Book Antiqua"/>
          <w:color w:val="000000"/>
        </w:rPr>
        <w:t xml:space="preserve">, Agbim U, Surjadi M, Mahoney M, Khalili M. Formal hepatitis C education enhances HCV care coordination, expedites HCV treatment and improves antiviral response.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33</w:t>
      </w:r>
      <w:r>
        <w:rPr>
          <w:rFonts w:ascii="Book Antiqua" w:hAnsi="Book Antiqua" w:eastAsia="Book Antiqua" w:cs="Book Antiqua"/>
          <w:color w:val="000000"/>
        </w:rPr>
        <w:t>: 999-1007 [PMID: 23509897 DOI: 10.1111/Liv.12150]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Aronson ID</w:t>
      </w:r>
      <w:r>
        <w:rPr>
          <w:rFonts w:ascii="Book Antiqua" w:hAnsi="Book Antiqua" w:eastAsia="Book Antiqua" w:cs="Book Antiqua"/>
          <w:color w:val="000000"/>
        </w:rPr>
        <w:t xml:space="preserve">, Bennett A, Marsch LA, Bania TC. Mobile Technology to Increase HIV/HCV Testing and Overdose Prevention/Response among People Who Inject Drugs. </w:t>
      </w:r>
      <w:r>
        <w:rPr>
          <w:rFonts w:ascii="Book Antiqua" w:hAnsi="Book Antiqua" w:eastAsia="Book Antiqua" w:cs="Book Antiqua"/>
          <w:i/>
          <w:iCs/>
          <w:color w:val="000000"/>
        </w:rPr>
        <w:t>Front Public Health</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217 [PMID: 28879174 DOI: 10.3389/fpubh.2017.00217]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Goldsworthy MA</w:t>
      </w:r>
      <w:r>
        <w:rPr>
          <w:rFonts w:ascii="Book Antiqua" w:hAnsi="Book Antiqua" w:eastAsia="Book Antiqua" w:cs="Book Antiqua"/>
          <w:color w:val="000000"/>
        </w:rPr>
        <w:t xml:space="preserve">, Fateen W, Thygesen H, Aldersley MA, Rowe IA, Jones RL. Patient understanding of liver cirrhosis and improvement using multimedia education. </w:t>
      </w:r>
      <w:r>
        <w:rPr>
          <w:rFonts w:ascii="Book Antiqua" w:hAnsi="Book Antiqua" w:eastAsia="Book Antiqua" w:cs="Book Antiqua"/>
          <w:i/>
          <w:iCs/>
          <w:color w:val="000000"/>
        </w:rPr>
        <w:t>Frontline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214-219 [PMID: 28706622 DOI: 10.1136/flgastro-2016-100761]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Hochstatter KR</w:t>
      </w:r>
      <w:r>
        <w:rPr>
          <w:rFonts w:ascii="Book Antiqua" w:hAnsi="Book Antiqua" w:eastAsia="Book Antiqua" w:cs="Book Antiqua"/>
          <w:color w:val="000000"/>
        </w:rPr>
        <w:t xml:space="preserve">, Gustafson DH Sr, Landucci G, Pe-Romashko K, Cody O, Maus A, Shah DV, Westergaard RP. Effect of an mHealth Intervention on Hepatitis C Testing Uptake Among People With Opioid Use Disorder: Randomized Controlled Trial. </w:t>
      </w:r>
      <w:r>
        <w:rPr>
          <w:rFonts w:ascii="Book Antiqua" w:hAnsi="Book Antiqua" w:eastAsia="Book Antiqua" w:cs="Book Antiqua"/>
          <w:i/>
          <w:iCs/>
          <w:color w:val="000000"/>
        </w:rPr>
        <w:t>JMIR Mhealth Uhealth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e23080 [PMID: 33616545 DOI: 10.2196/23080]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Ochalek TA</w:t>
      </w:r>
      <w:r>
        <w:rPr>
          <w:rFonts w:ascii="Book Antiqua" w:hAnsi="Book Antiqua" w:eastAsia="Book Antiqua" w:cs="Book Antiqua"/>
          <w:color w:val="000000"/>
        </w:rPr>
        <w:t xml:space="preserve">, Heil SH, Higgins ST, Badger GJ, Sigmon SC. A novel mHealth application for improving HIV and Hepatitis C knowledge in individuals with opioid use disorder: A pilot study. </w:t>
      </w:r>
      <w:r>
        <w:rPr>
          <w:rFonts w:ascii="Book Antiqua" w:hAnsi="Book Antiqua" w:eastAsia="Book Antiqua" w:cs="Book Antiqua"/>
          <w:i/>
          <w:iCs/>
          <w:color w:val="000000"/>
        </w:rPr>
        <w:t>Drug Alcohol Depend</w:t>
      </w:r>
      <w:r>
        <w:rPr>
          <w:rFonts w:ascii="Book Antiqua" w:hAnsi="Book Antiqua" w:eastAsia="Book Antiqua" w:cs="Book Antiqua"/>
          <w:color w:val="000000"/>
        </w:rPr>
        <w:t xml:space="preserve"> 2018; </w:t>
      </w:r>
      <w:r>
        <w:rPr>
          <w:rFonts w:ascii="Book Antiqua" w:hAnsi="Book Antiqua" w:eastAsia="Book Antiqua" w:cs="Book Antiqua"/>
          <w:b/>
          <w:bCs/>
          <w:color w:val="000000"/>
        </w:rPr>
        <w:t>190</w:t>
      </w:r>
      <w:r>
        <w:rPr>
          <w:rFonts w:ascii="Book Antiqua" w:hAnsi="Book Antiqua" w:eastAsia="Book Antiqua" w:cs="Book Antiqua"/>
          <w:color w:val="000000"/>
        </w:rPr>
        <w:t>: 224-228 [PMID: 30056321 DOI: 10.1016/j.drugalcdep.2018.05.032]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Ooms J</w:t>
      </w:r>
      <w:r>
        <w:rPr>
          <w:rFonts w:ascii="Book Antiqua" w:hAnsi="Book Antiqua" w:eastAsia="Book Antiqua" w:cs="Book Antiqua"/>
          <w:color w:val="000000"/>
        </w:rPr>
        <w:t xml:space="preserve">, Hoeks J, Jansen C. "Hey, that could be me": The role of similarity in narrative persuasion.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e0215359 [PMID: 30998694 DOI: 10.1371/journal.pone.0215359]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Shen,</w:t>
      </w:r>
      <w:r>
        <w:rPr>
          <w:rFonts w:ascii="Book Antiqua" w:hAnsi="Book Antiqua" w:eastAsia="Book Antiqua" w:cs="Book Antiqua"/>
          <w:color w:val="000000"/>
        </w:rPr>
        <w:t xml:space="preserve"> F, Sheer VC, Li R. Impact of narratives on persuasion in health communication: a meta-analysis.</w:t>
      </w:r>
      <w:r>
        <w:rPr>
          <w:rFonts w:ascii="Book Antiqua" w:hAnsi="Book Antiqua" w:eastAsia="Book Antiqua" w:cs="Book Antiqua"/>
          <w:i/>
          <w:color w:val="000000"/>
        </w:rPr>
        <w:t xml:space="preserve"> J Advert </w:t>
      </w:r>
      <w:r>
        <w:rPr>
          <w:rFonts w:ascii="Book Antiqua" w:hAnsi="Book Antiqua" w:eastAsia="Book Antiqua" w:cs="Book Antiqua"/>
          <w:color w:val="000000"/>
        </w:rPr>
        <w:t xml:space="preserve">2015; </w:t>
      </w:r>
      <w:r>
        <w:rPr>
          <w:rFonts w:ascii="Book Antiqua" w:hAnsi="Book Antiqua" w:eastAsia="Book Antiqua" w:cs="Book Antiqua"/>
          <w:b/>
          <w:color w:val="000000"/>
        </w:rPr>
        <w:t>44</w:t>
      </w:r>
      <w:r>
        <w:rPr>
          <w:rFonts w:ascii="Book Antiqua" w:hAnsi="Book Antiqua" w:eastAsia="Book Antiqua" w:cs="Book Antiqua"/>
          <w:color w:val="000000"/>
        </w:rPr>
        <w:t>: 105 [DOI: 10.1080/00913367.2015.1018467]</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33 </w:t>
      </w:r>
      <w:r>
        <w:rPr>
          <w:rFonts w:ascii="Book Antiqua" w:hAnsi="Book Antiqua" w:eastAsia="Book Antiqua" w:cs="Book Antiqua"/>
          <w:b/>
          <w:bCs/>
          <w:color w:val="000000"/>
        </w:rPr>
        <w:t>New York State Office of Addiction Services and Supports</w:t>
      </w:r>
      <w:r>
        <w:rPr>
          <w:rFonts w:ascii="Book Antiqua" w:hAnsi="Book Antiqua" w:eastAsia="Book Antiqua" w:cs="Book Antiqua"/>
          <w:bCs/>
          <w:color w:val="000000"/>
        </w:rPr>
        <w:t>. Person-Centered Care Guidance for OASAS Certified Programs Albany,</w:t>
      </w:r>
      <w:r>
        <w:rPr>
          <w:rFonts w:ascii="Book Antiqua" w:hAnsi="Book Antiqua" w:eastAsia="Book Antiqua" w:cs="Book Antiqua"/>
          <w:color w:val="000000"/>
        </w:rPr>
        <w:t xml:space="preserve"> NY: New York State Office of Addiction Services and Supports 2018</w:t>
      </w:r>
      <w:r>
        <w:rPr>
          <w:rFonts w:hint="eastAsia" w:ascii="Book Antiqua" w:hAnsi="Book Antiqua" w:cs="Book Antiqua"/>
          <w:color w:val="000000"/>
          <w:lang w:eastAsia="zh-CN"/>
        </w:rPr>
        <w:t>.</w:t>
      </w:r>
      <w:r>
        <w:rPr>
          <w:rFonts w:ascii="Book Antiqua" w:hAnsi="Book Antiqua" w:eastAsia="Book Antiqua" w:cs="Book Antiqua"/>
          <w:color w:val="000000"/>
        </w:rPr>
        <w:t xml:space="preserve"> [cited 2021 September 9]. Available from: https://oasas.ny.gov/system/files/documents/2020/01/oasasperson-centeredcareguidance.pdf</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34 </w:t>
      </w:r>
      <w:r>
        <w:rPr>
          <w:rFonts w:ascii="Book Antiqua" w:hAnsi="Book Antiqua" w:eastAsia="Book Antiqua" w:cs="Book Antiqua"/>
          <w:b/>
          <w:bCs/>
          <w:color w:val="000000"/>
        </w:rPr>
        <w:t>International Harm Reduction Association</w:t>
      </w:r>
      <w:r>
        <w:rPr>
          <w:rFonts w:ascii="Book Antiqua" w:hAnsi="Book Antiqua" w:eastAsia="Book Antiqua" w:cs="Book Antiqua"/>
          <w:bCs/>
          <w:color w:val="000000"/>
        </w:rPr>
        <w:t>. What is Harm Reduction? A position statement from the International Harm Reduction Association London,</w:t>
      </w:r>
      <w:r>
        <w:rPr>
          <w:rFonts w:ascii="Book Antiqua" w:hAnsi="Book Antiqua" w:eastAsia="Book Antiqua" w:cs="Book Antiqua"/>
          <w:color w:val="000000"/>
        </w:rPr>
        <w:t xml:space="preserve"> UK: International Harm Reduction Association,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2009</w:t>
      </w:r>
      <w:r>
        <w:rPr>
          <w:rFonts w:hint="eastAsia" w:ascii="Book Antiqua" w:hAnsi="Book Antiqua" w:cs="Book Antiqua"/>
          <w:color w:val="000000"/>
          <w:lang w:eastAsia="zh-CN"/>
        </w:rPr>
        <w:t>.</w:t>
      </w:r>
      <w:r>
        <w:rPr>
          <w:rFonts w:ascii="Book Antiqua" w:hAnsi="Book Antiqua" w:eastAsia="Book Antiqua" w:cs="Book Antiqua"/>
          <w:color w:val="000000"/>
        </w:rPr>
        <w:t xml:space="preserve"> [cited 2021 September 9]. Available from: https://www.hri.global/files/2010/05/31/IHRA_HRStatement.pdf</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Abu Abed M</w:t>
      </w:r>
      <w:r>
        <w:rPr>
          <w:rFonts w:ascii="Book Antiqua" w:hAnsi="Book Antiqua" w:eastAsia="Book Antiqua" w:cs="Book Antiqua"/>
          <w:color w:val="000000"/>
        </w:rPr>
        <w:t xml:space="preserve">, Himmel W, Vormfelde S, Koschack J. Video-assisted patient education to modify behavior: a systematic review. </w:t>
      </w:r>
      <w:r>
        <w:rPr>
          <w:rFonts w:ascii="Book Antiqua" w:hAnsi="Book Antiqua" w:eastAsia="Book Antiqua" w:cs="Book Antiqua"/>
          <w:i/>
          <w:iCs/>
          <w:color w:val="000000"/>
        </w:rPr>
        <w:t>Patient Educ Couns</w:t>
      </w:r>
      <w:r>
        <w:rPr>
          <w:rFonts w:ascii="Book Antiqua" w:hAnsi="Book Antiqua" w:eastAsia="Book Antiqua" w:cs="Book Antiqua"/>
          <w:color w:val="000000"/>
        </w:rPr>
        <w:t xml:space="preserve"> 2014; </w:t>
      </w:r>
      <w:r>
        <w:rPr>
          <w:rFonts w:ascii="Book Antiqua" w:hAnsi="Book Antiqua" w:eastAsia="Book Antiqua" w:cs="Book Antiqua"/>
          <w:b/>
          <w:bCs/>
          <w:color w:val="000000"/>
        </w:rPr>
        <w:t>97</w:t>
      </w:r>
      <w:r>
        <w:rPr>
          <w:rFonts w:ascii="Book Antiqua" w:hAnsi="Book Antiqua" w:eastAsia="Book Antiqua" w:cs="Book Antiqua"/>
          <w:color w:val="000000"/>
        </w:rPr>
        <w:t>: 16-22 [PMID: 25043785 DOI: 10.1016/j.pec.2014.06.015]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Green MC</w:t>
      </w:r>
      <w:r>
        <w:rPr>
          <w:rFonts w:ascii="Book Antiqua" w:hAnsi="Book Antiqua" w:eastAsia="Book Antiqua" w:cs="Book Antiqua"/>
          <w:color w:val="000000"/>
        </w:rPr>
        <w:t xml:space="preserve">, Clark JL. Transportation into narrative worlds: implications for entertainment media influences on tobacco use. </w:t>
      </w:r>
      <w:r>
        <w:rPr>
          <w:rFonts w:ascii="Book Antiqua" w:hAnsi="Book Antiqua" w:eastAsia="Book Antiqua" w:cs="Book Antiqua"/>
          <w:i/>
          <w:iCs/>
          <w:color w:val="000000"/>
        </w:rPr>
        <w:t>Addiction</w:t>
      </w:r>
      <w:r>
        <w:rPr>
          <w:rFonts w:ascii="Book Antiqua" w:hAnsi="Book Antiqua" w:eastAsia="Book Antiqua" w:cs="Book Antiqua"/>
          <w:color w:val="000000"/>
        </w:rPr>
        <w:t xml:space="preserve"> 2013; </w:t>
      </w:r>
      <w:r>
        <w:rPr>
          <w:rFonts w:ascii="Book Antiqua" w:hAnsi="Book Antiqua" w:eastAsia="Book Antiqua" w:cs="Book Antiqua"/>
          <w:b/>
          <w:bCs/>
          <w:color w:val="000000"/>
        </w:rPr>
        <w:t>108</w:t>
      </w:r>
      <w:r>
        <w:rPr>
          <w:rFonts w:ascii="Book Antiqua" w:hAnsi="Book Antiqua" w:eastAsia="Book Antiqua" w:cs="Book Antiqua"/>
          <w:color w:val="000000"/>
        </w:rPr>
        <w:t>: 477-484 [PMID: 22994374 DOI: 10.1111/j.1360-0443.2012.04088.x]</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37</w:t>
      </w:r>
      <w:r>
        <w:rPr>
          <w:rFonts w:hint="eastAsia" w:ascii="Book Antiqua" w:hAnsi="Book Antiqua" w:cs="Book Antiqua"/>
          <w:color w:val="000000"/>
          <w:lang w:eastAsia="zh-CN"/>
        </w:rPr>
        <w:t xml:space="preserve"> </w:t>
      </w:r>
      <w:r>
        <w:rPr>
          <w:rFonts w:ascii="Book Antiqua" w:hAnsi="Book Antiqua" w:eastAsia="Book Antiqua" w:cs="Book Antiqua"/>
          <w:b/>
          <w:color w:val="000000"/>
        </w:rPr>
        <w:t>The R Foundation</w:t>
      </w:r>
      <w:r>
        <w:rPr>
          <w:rFonts w:ascii="Book Antiqua" w:hAnsi="Book Antiqua" w:eastAsia="Book Antiqua" w:cs="Book Antiqua"/>
          <w:color w:val="000000"/>
        </w:rPr>
        <w:t>. A language and environment for statistical computing: R Foundation for Statistical Computing</w:t>
      </w:r>
      <w:r>
        <w:rPr>
          <w:rFonts w:hint="eastAsia" w:ascii="Book Antiqua" w:hAnsi="Book Antiqua" w:cs="Book Antiqua"/>
          <w:color w:val="000000"/>
          <w:lang w:eastAsia="zh-CN"/>
        </w:rPr>
        <w:t>.</w:t>
      </w:r>
      <w:r>
        <w:rPr>
          <w:rFonts w:ascii="Book Antiqua" w:hAnsi="Book Antiqua" w:eastAsia="Book Antiqua" w:cs="Book Antiqua"/>
          <w:color w:val="000000"/>
        </w:rPr>
        <w:t xml:space="preserve"> [cited 2020 December 29]. Available from: https://www.R-project.org/</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WILCOXIN F</w:t>
      </w:r>
      <w:r>
        <w:rPr>
          <w:rFonts w:ascii="Book Antiqua" w:hAnsi="Book Antiqua" w:eastAsia="Book Antiqua" w:cs="Book Antiqua"/>
          <w:color w:val="000000"/>
        </w:rPr>
        <w:t xml:space="preserve">. Probability tables for individual comparisons by ranking methods. </w:t>
      </w:r>
      <w:r>
        <w:rPr>
          <w:rFonts w:ascii="Book Antiqua" w:hAnsi="Book Antiqua" w:eastAsia="Book Antiqua" w:cs="Book Antiqua"/>
          <w:i/>
          <w:iCs/>
          <w:color w:val="000000"/>
        </w:rPr>
        <w:t>Biometrics</w:t>
      </w:r>
      <w:r>
        <w:rPr>
          <w:rFonts w:ascii="Book Antiqua" w:hAnsi="Book Antiqua" w:eastAsia="Book Antiqua" w:cs="Book Antiqua"/>
          <w:color w:val="000000"/>
        </w:rPr>
        <w:t xml:space="preserve"> 1947; </w:t>
      </w:r>
      <w:r>
        <w:rPr>
          <w:rFonts w:ascii="Book Antiqua" w:hAnsi="Book Antiqua" w:eastAsia="Book Antiqua" w:cs="Book Antiqua"/>
          <w:b/>
          <w:bCs/>
          <w:color w:val="000000"/>
        </w:rPr>
        <w:t>3</w:t>
      </w:r>
      <w:r>
        <w:rPr>
          <w:rFonts w:ascii="Book Antiqua" w:hAnsi="Book Antiqua" w:eastAsia="Book Antiqua" w:cs="Book Antiqua"/>
          <w:color w:val="000000"/>
        </w:rPr>
        <w:t>: 119-122 [PMID: 18903631 DOI: 10.2307/3001968]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Mann,</w:t>
      </w:r>
      <w:r>
        <w:rPr>
          <w:rFonts w:ascii="Book Antiqua" w:hAnsi="Book Antiqua" w:eastAsia="Book Antiqua" w:cs="Book Antiqua"/>
          <w:color w:val="000000"/>
        </w:rPr>
        <w:t xml:space="preserve"> HB, Whitney DR. On a test of whether one of two random variables is stochastically larger than the other. </w:t>
      </w:r>
      <w:r>
        <w:rPr>
          <w:rFonts w:ascii="Book Antiqua" w:hAnsi="Book Antiqua" w:eastAsia="Book Antiqua" w:cs="Book Antiqua"/>
          <w:i/>
          <w:color w:val="000000"/>
        </w:rPr>
        <w:t>Ann Math Statist</w:t>
      </w:r>
      <w:r>
        <w:rPr>
          <w:rFonts w:ascii="Book Antiqua" w:hAnsi="Book Antiqua" w:eastAsia="Book Antiqua" w:cs="Book Antiqua"/>
          <w:color w:val="000000"/>
        </w:rPr>
        <w:t xml:space="preserve"> 1947; </w:t>
      </w:r>
      <w:r>
        <w:rPr>
          <w:rFonts w:ascii="Book Antiqua" w:hAnsi="Book Antiqua" w:eastAsia="Book Antiqua" w:cs="Book Antiqua"/>
          <w:b/>
          <w:color w:val="000000"/>
        </w:rPr>
        <w:t>18</w:t>
      </w:r>
      <w:r>
        <w:rPr>
          <w:rFonts w:ascii="Book Antiqua" w:hAnsi="Book Antiqua" w:eastAsia="Book Antiqua" w:cs="Book Antiqua"/>
          <w:color w:val="000000"/>
        </w:rPr>
        <w:t>: 50-60 [DOI: 10.1214/aoms/1177730491]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Munoz-Plaza CE</w:t>
      </w:r>
      <w:r>
        <w:rPr>
          <w:rFonts w:ascii="Book Antiqua" w:hAnsi="Book Antiqua" w:eastAsia="Book Antiqua" w:cs="Book Antiqua"/>
          <w:color w:val="000000"/>
        </w:rPr>
        <w:t xml:space="preserve">, Strauss S, Astone-Twerell J, Jarlais DD, Gwadz M, Hagan H, Osborne A, Rosenblum A. Exploring drug users' attitudes and decisions regarding hepatitis C (HCV) treatment in the U.S. </w:t>
      </w:r>
      <w:r>
        <w:rPr>
          <w:rFonts w:ascii="Book Antiqua" w:hAnsi="Book Antiqua" w:eastAsia="Book Antiqua" w:cs="Book Antiqua"/>
          <w:i/>
          <w:iCs/>
          <w:color w:val="000000"/>
        </w:rPr>
        <w:t>Int J Drug Policy</w:t>
      </w:r>
      <w:r>
        <w:rPr>
          <w:rFonts w:ascii="Book Antiqua" w:hAnsi="Book Antiqua" w:eastAsia="Book Antiqua" w:cs="Book Antiqua"/>
          <w:color w:val="000000"/>
        </w:rPr>
        <w:t xml:space="preserve"> 2008; </w:t>
      </w:r>
      <w:r>
        <w:rPr>
          <w:rFonts w:ascii="Book Antiqua" w:hAnsi="Book Antiqua" w:eastAsia="Book Antiqua" w:cs="Book Antiqua"/>
          <w:b/>
          <w:bCs/>
          <w:color w:val="000000"/>
        </w:rPr>
        <w:t>19</w:t>
      </w:r>
      <w:r>
        <w:rPr>
          <w:rFonts w:ascii="Book Antiqua" w:hAnsi="Book Antiqua" w:eastAsia="Book Antiqua" w:cs="Book Antiqua"/>
          <w:color w:val="000000"/>
        </w:rPr>
        <w:t>: 71-78 [PMID: 18312822 DOI: 10.1016/j.drugpo.2007.02.003]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Talal AH</w:t>
      </w:r>
      <w:r>
        <w:rPr>
          <w:rFonts w:ascii="Book Antiqua" w:hAnsi="Book Antiqua" w:eastAsia="Book Antiqua" w:cs="Book Antiqua"/>
          <w:color w:val="000000"/>
        </w:rPr>
        <w:t xml:space="preserve">, McLeod A, Andrews P, Nieves-McGrath H, Chen Y, Reynolds A, Sylvester C, Dickerson SS, Markatou M, Brown LS. Patient Reaction to Telemedicine for Clinical Management of Hepatitis C Virus Integrated into an Opioid Treatment Program. </w:t>
      </w:r>
      <w:r>
        <w:rPr>
          <w:rFonts w:ascii="Book Antiqua" w:hAnsi="Book Antiqua" w:eastAsia="Book Antiqua" w:cs="Book Antiqua"/>
          <w:i/>
          <w:iCs/>
          <w:color w:val="000000"/>
        </w:rPr>
        <w:t>Telemed J E Health</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791-801 [PMID: 30325701 DOI: 10.1089/tmj.2018.0161]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Gulati R</w:t>
      </w:r>
      <w:r>
        <w:rPr>
          <w:rFonts w:ascii="Book Antiqua" w:hAnsi="Book Antiqua" w:eastAsia="Book Antiqua" w:cs="Book Antiqua"/>
          <w:color w:val="000000"/>
        </w:rPr>
        <w:t xml:space="preserve">, Nawaz M, Pyrsopoulos NT. Health literacy and liver disease. </w:t>
      </w:r>
      <w:r>
        <w:rPr>
          <w:rFonts w:ascii="Book Antiqua" w:hAnsi="Book Antiqua" w:eastAsia="Book Antiqua" w:cs="Book Antiqua"/>
          <w:i/>
          <w:iCs/>
          <w:color w:val="000000"/>
        </w:rPr>
        <w:t>Clin Liver Dis (Hoboken)</w:t>
      </w:r>
      <w:r>
        <w:rPr>
          <w:rFonts w:ascii="Book Antiqua" w:hAnsi="Book Antiqua" w:eastAsia="Book Antiqua" w:cs="Book Antiqua"/>
          <w:color w:val="000000"/>
        </w:rPr>
        <w:t xml:space="preserve"> 2018; </w:t>
      </w:r>
      <w:r>
        <w:rPr>
          <w:rFonts w:ascii="Book Antiqua" w:hAnsi="Book Antiqua" w:eastAsia="Book Antiqua" w:cs="Book Antiqua"/>
          <w:b/>
          <w:bCs/>
          <w:color w:val="000000"/>
        </w:rPr>
        <w:t>11</w:t>
      </w:r>
      <w:r>
        <w:rPr>
          <w:rFonts w:ascii="Book Antiqua" w:hAnsi="Book Antiqua" w:eastAsia="Book Antiqua" w:cs="Book Antiqua"/>
          <w:color w:val="000000"/>
        </w:rPr>
        <w:t>: 48-51 [PMID: 30992787 DOI: 10.1002/cld.690]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Hochstatter KR</w:t>
      </w:r>
      <w:r>
        <w:rPr>
          <w:rFonts w:ascii="Book Antiqua" w:hAnsi="Book Antiqua" w:eastAsia="Book Antiqua" w:cs="Book Antiqua"/>
          <w:color w:val="000000"/>
        </w:rPr>
        <w:t xml:space="preserve">, Gustafson DH Sr, Landucci G, Pe-Romashko K, Maus A, Shah DV, Taylor QA, Gill EK, Miller R, Krechel S, Westergaard RP. A Mobile Health Intervention to Improve Hepatitis C Outcomes Among People With Opioid Use Disorder: Protocol for a Randomized Controlled Trial. </w:t>
      </w:r>
      <w:r>
        <w:rPr>
          <w:rFonts w:ascii="Book Antiqua" w:hAnsi="Book Antiqua" w:eastAsia="Book Antiqua" w:cs="Book Antiqua"/>
          <w:i/>
          <w:iCs/>
          <w:color w:val="000000"/>
        </w:rPr>
        <w:t>JMIR Res Protoc</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e12620 [PMID: 31373273 DOI: 10.2196/12620]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Sheridan SL</w:t>
      </w:r>
      <w:r>
        <w:rPr>
          <w:rFonts w:ascii="Book Antiqua" w:hAnsi="Book Antiqua" w:eastAsia="Book Antiqua" w:cs="Book Antiqua"/>
          <w:color w:val="000000"/>
        </w:rPr>
        <w:t xml:space="preserve">, Halpern DJ, Viera AJ, Berkman ND, Donahue KE, Crotty K. Interventions for individuals with low health literacy: a systematic review. </w:t>
      </w:r>
      <w:r>
        <w:rPr>
          <w:rFonts w:ascii="Book Antiqua" w:hAnsi="Book Antiqua" w:eastAsia="Book Antiqua" w:cs="Book Antiqua"/>
          <w:i/>
          <w:iCs/>
          <w:color w:val="000000"/>
        </w:rPr>
        <w:t>J Health Commun</w:t>
      </w:r>
      <w:r>
        <w:rPr>
          <w:rFonts w:ascii="Book Antiqua" w:hAnsi="Book Antiqua" w:eastAsia="Book Antiqua" w:cs="Book Antiqua"/>
          <w:color w:val="000000"/>
        </w:rPr>
        <w:t xml:space="preserve"> 2011; </w:t>
      </w:r>
      <w:r>
        <w:rPr>
          <w:rFonts w:ascii="Book Antiqua" w:hAnsi="Book Antiqua" w:eastAsia="Book Antiqua" w:cs="Book Antiqua"/>
          <w:b/>
          <w:bCs/>
          <w:color w:val="000000"/>
        </w:rPr>
        <w:t>16 Suppl 3</w:t>
      </w:r>
      <w:r>
        <w:rPr>
          <w:rFonts w:ascii="Book Antiqua" w:hAnsi="Book Antiqua" w:eastAsia="Book Antiqua" w:cs="Book Antiqua"/>
          <w:color w:val="000000"/>
        </w:rPr>
        <w:t>: 30-54 [PMID: 21951242 DOI: 10.1080/10810730.2011.604391]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Shah HA</w:t>
      </w:r>
      <w:r>
        <w:rPr>
          <w:rFonts w:ascii="Book Antiqua" w:hAnsi="Book Antiqua" w:eastAsia="Book Antiqua" w:cs="Book Antiqua"/>
          <w:color w:val="000000"/>
        </w:rPr>
        <w:t xml:space="preserve">, Abu-Amara M. Education provides significant benefits to patients with hepatitis B virus or hepatitis C virus infection: a systematic review.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11</w:t>
      </w:r>
      <w:r>
        <w:rPr>
          <w:rFonts w:ascii="Book Antiqua" w:hAnsi="Book Antiqua" w:eastAsia="Book Antiqua" w:cs="Book Antiqua"/>
          <w:color w:val="000000"/>
        </w:rPr>
        <w:t>: 922-933 [PMID: 23639601 DOI: 10.1016/j.cgh.2013.04.024]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Green MC</w:t>
      </w:r>
      <w:r>
        <w:rPr>
          <w:rFonts w:ascii="Book Antiqua" w:hAnsi="Book Antiqua" w:eastAsia="Book Antiqua" w:cs="Book Antiqua"/>
          <w:color w:val="000000"/>
        </w:rPr>
        <w:t xml:space="preserve">, Brock TC. The role of transportation in the persuasiveness of public narratives. </w:t>
      </w:r>
      <w:r>
        <w:rPr>
          <w:rFonts w:ascii="Book Antiqua" w:hAnsi="Book Antiqua" w:eastAsia="Book Antiqua" w:cs="Book Antiqua"/>
          <w:i/>
          <w:iCs/>
          <w:color w:val="000000"/>
        </w:rPr>
        <w:t>J Pers Soc Psychol</w:t>
      </w:r>
      <w:r>
        <w:rPr>
          <w:rFonts w:ascii="Book Antiqua" w:hAnsi="Book Antiqua" w:eastAsia="Book Antiqua" w:cs="Book Antiqua"/>
          <w:color w:val="000000"/>
        </w:rPr>
        <w:t xml:space="preserve"> 2000; </w:t>
      </w:r>
      <w:r>
        <w:rPr>
          <w:rFonts w:ascii="Book Antiqua" w:hAnsi="Book Antiqua" w:eastAsia="Book Antiqua" w:cs="Book Antiqua"/>
          <w:b/>
          <w:bCs/>
          <w:color w:val="000000"/>
        </w:rPr>
        <w:t>79</w:t>
      </w:r>
      <w:r>
        <w:rPr>
          <w:rFonts w:ascii="Book Antiqua" w:hAnsi="Book Antiqua" w:eastAsia="Book Antiqua" w:cs="Book Antiqua"/>
          <w:color w:val="000000"/>
        </w:rPr>
        <w:t>: 701-721 [PMID: 11079236 DOI: 10.1037/0022-3514.79.5.701]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bCs/>
          <w:color w:val="000000"/>
        </w:rPr>
        <w:t>Hinyard LJ</w:t>
      </w:r>
      <w:r>
        <w:rPr>
          <w:rFonts w:ascii="Book Antiqua" w:hAnsi="Book Antiqua" w:eastAsia="Book Antiqua" w:cs="Book Antiqua"/>
          <w:color w:val="000000"/>
        </w:rPr>
        <w:t xml:space="preserve">, Kreuter MW. Using narrative communication as a tool for health behavior change: a conceptual, theoretical, and empirical overview. </w:t>
      </w:r>
      <w:r>
        <w:rPr>
          <w:rFonts w:ascii="Book Antiqua" w:hAnsi="Book Antiqua" w:eastAsia="Book Antiqua" w:cs="Book Antiqua"/>
          <w:i/>
          <w:iCs/>
          <w:color w:val="000000"/>
        </w:rPr>
        <w:t>Health Educ Behav</w:t>
      </w:r>
      <w:r>
        <w:rPr>
          <w:rFonts w:ascii="Book Antiqua" w:hAnsi="Book Antiqua" w:eastAsia="Book Antiqua" w:cs="Book Antiqua"/>
          <w:color w:val="000000"/>
        </w:rPr>
        <w:t xml:space="preserve"> 2007; </w:t>
      </w:r>
      <w:r>
        <w:rPr>
          <w:rFonts w:ascii="Book Antiqua" w:hAnsi="Book Antiqua" w:eastAsia="Book Antiqua" w:cs="Book Antiqua"/>
          <w:b/>
          <w:bCs/>
          <w:color w:val="000000"/>
        </w:rPr>
        <w:t>34</w:t>
      </w:r>
      <w:r>
        <w:rPr>
          <w:rFonts w:ascii="Book Antiqua" w:hAnsi="Book Antiqua" w:eastAsia="Book Antiqua" w:cs="Book Antiqua"/>
          <w:color w:val="000000"/>
        </w:rPr>
        <w:t>: 777-792 [PMID: 17200094 DOI: 10.1177/1090198106291963]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Cohen,</w:t>
      </w:r>
      <w:r>
        <w:rPr>
          <w:rFonts w:ascii="Book Antiqua" w:hAnsi="Book Antiqua" w:eastAsia="Book Antiqua" w:cs="Book Antiqua"/>
          <w:color w:val="000000"/>
        </w:rPr>
        <w:t xml:space="preserve"> J. Defining identification: a theoretical look at the identification of audiences with media characters. </w:t>
      </w:r>
      <w:r>
        <w:rPr>
          <w:rFonts w:ascii="Book Antiqua" w:hAnsi="Book Antiqua" w:eastAsia="Book Antiqua" w:cs="Book Antiqua"/>
          <w:i/>
          <w:color w:val="000000"/>
        </w:rPr>
        <w:t>Mass Commun Soc</w:t>
      </w:r>
      <w:r>
        <w:rPr>
          <w:rFonts w:ascii="Book Antiqua" w:hAnsi="Book Antiqua" w:eastAsia="Book Antiqua" w:cs="Book Antiqua"/>
          <w:color w:val="000000"/>
        </w:rPr>
        <w:t xml:space="preserve"> 2001; </w:t>
      </w:r>
      <w:r>
        <w:rPr>
          <w:rFonts w:ascii="Book Antiqua" w:hAnsi="Book Antiqua" w:eastAsia="Book Antiqua" w:cs="Book Antiqua"/>
          <w:b/>
          <w:color w:val="000000"/>
        </w:rPr>
        <w:t>4</w:t>
      </w:r>
      <w:r>
        <w:rPr>
          <w:rFonts w:ascii="Book Antiqua" w:hAnsi="Book Antiqua" w:eastAsia="Book Antiqua" w:cs="Book Antiqua"/>
          <w:color w:val="000000"/>
        </w:rPr>
        <w:t>: 245-</w:t>
      </w:r>
      <w:r>
        <w:rPr>
          <w:rFonts w:hint="eastAsia" w:ascii="Book Antiqua" w:hAnsi="Book Antiqua" w:cs="Book Antiqua"/>
          <w:color w:val="000000"/>
          <w:lang w:eastAsia="zh-CN"/>
        </w:rPr>
        <w:t>2</w:t>
      </w:r>
      <w:r>
        <w:rPr>
          <w:rFonts w:ascii="Book Antiqua" w:hAnsi="Book Antiqua" w:eastAsia="Book Antiqua" w:cs="Book Antiqua"/>
          <w:color w:val="000000"/>
        </w:rPr>
        <w:t>64 [DOI: 10.1207/S15327825MCS0403_01]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bCs/>
          <w:color w:val="000000"/>
        </w:rPr>
        <w:t>Clark JL</w:t>
      </w:r>
      <w:r>
        <w:rPr>
          <w:rFonts w:ascii="Book Antiqua" w:hAnsi="Book Antiqua" w:eastAsia="Book Antiqua" w:cs="Book Antiqua"/>
          <w:color w:val="000000"/>
        </w:rPr>
        <w:t xml:space="preserve">, Green MC, Simons JJP. Narrative warmth and quantitative competence: Message type affects impressions of a speaker.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e0226713 [PMID: 31869365 DOI: 10.1371/journal.pone.0226713]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Zebregs S</w:t>
      </w:r>
      <w:r>
        <w:rPr>
          <w:rFonts w:ascii="Book Antiqua" w:hAnsi="Book Antiqua" w:eastAsia="Book Antiqua" w:cs="Book Antiqua"/>
          <w:color w:val="000000"/>
        </w:rPr>
        <w:t xml:space="preserve">, van den Putte B, Neijens P, de Graaf A. The differential impact of statistical and narrative evidence on beliefs, attitude, and intention: a meta-analysis. </w:t>
      </w:r>
      <w:r>
        <w:rPr>
          <w:rFonts w:ascii="Book Antiqua" w:hAnsi="Book Antiqua" w:eastAsia="Book Antiqua" w:cs="Book Antiqua"/>
          <w:i/>
          <w:iCs/>
          <w:color w:val="000000"/>
        </w:rPr>
        <w:t>Health Commun</w:t>
      </w:r>
      <w:r>
        <w:rPr>
          <w:rFonts w:ascii="Book Antiqua" w:hAnsi="Book Antiqua" w:eastAsia="Book Antiqua" w:cs="Book Antiqua"/>
          <w:color w:val="000000"/>
        </w:rPr>
        <w:t xml:space="preserve"> 2015; </w:t>
      </w:r>
      <w:r>
        <w:rPr>
          <w:rFonts w:ascii="Book Antiqua" w:hAnsi="Book Antiqua" w:eastAsia="Book Antiqua" w:cs="Book Antiqua"/>
          <w:b/>
          <w:bCs/>
          <w:color w:val="000000"/>
        </w:rPr>
        <w:t>30</w:t>
      </w:r>
      <w:r>
        <w:rPr>
          <w:rFonts w:ascii="Book Antiqua" w:hAnsi="Book Antiqua" w:eastAsia="Book Antiqua" w:cs="Book Antiqua"/>
          <w:color w:val="000000"/>
        </w:rPr>
        <w:t>: 282-289 [PMID: 24836931 DOI: 10.1080/10410236.2013.842528]</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51 </w:t>
      </w:r>
      <w:r>
        <w:rPr>
          <w:rFonts w:ascii="Book Antiqua" w:hAnsi="Book Antiqua" w:eastAsia="Book Antiqua" w:cs="Book Antiqua"/>
          <w:b/>
          <w:bCs/>
          <w:color w:val="000000"/>
        </w:rPr>
        <w:t>Ratcliff</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CL</w:t>
      </w:r>
      <w:r>
        <w:rPr>
          <w:rFonts w:ascii="Book Antiqua" w:hAnsi="Book Antiqua" w:eastAsia="Book Antiqua" w:cs="Book Antiqua"/>
          <w:color w:val="000000"/>
        </w:rPr>
        <w:t xml:space="preserve">, Sun Y. Overcoming resistance through narratives: findings from a meta-analytic review. </w:t>
      </w:r>
      <w:r>
        <w:rPr>
          <w:rFonts w:ascii="Book Antiqua" w:hAnsi="Book Antiqua" w:eastAsia="Book Antiqua" w:cs="Book Antiqua"/>
          <w:i/>
          <w:color w:val="000000"/>
        </w:rPr>
        <w:t>Hum Commun Res</w:t>
      </w:r>
      <w:r>
        <w:rPr>
          <w:rFonts w:ascii="Book Antiqua" w:hAnsi="Book Antiqua" w:eastAsia="Book Antiqua" w:cs="Book Antiqua"/>
          <w:color w:val="000000"/>
        </w:rPr>
        <w:t xml:space="preserve"> 2020; </w:t>
      </w:r>
      <w:r>
        <w:rPr>
          <w:rFonts w:ascii="Book Antiqua" w:hAnsi="Book Antiqua" w:eastAsia="Book Antiqua" w:cs="Book Antiqua"/>
          <w:b/>
          <w:color w:val="000000"/>
        </w:rPr>
        <w:t>46</w:t>
      </w:r>
      <w:r>
        <w:rPr>
          <w:rFonts w:ascii="Book Antiqua" w:hAnsi="Book Antiqua" w:eastAsia="Book Antiqua" w:cs="Book Antiqua"/>
          <w:color w:val="000000"/>
        </w:rPr>
        <w:t>: 412-443</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10.1093/hcr/hqz017</w:t>
      </w:r>
      <w:r>
        <w:rPr>
          <w:rFonts w:hint="eastAsia" w:ascii="Book Antiqua" w:hAnsi="Book Antiqua" w:cs="Book Antiqua"/>
          <w:color w:val="000000"/>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bCs/>
          <w:color w:val="000000"/>
        </w:rPr>
        <w:t>Perumalswami PV</w:t>
      </w:r>
      <w:r>
        <w:rPr>
          <w:rFonts w:ascii="Book Antiqua" w:hAnsi="Book Antiqua" w:eastAsia="Book Antiqua" w:cs="Book Antiqua"/>
          <w:color w:val="000000"/>
        </w:rPr>
        <w:t xml:space="preserve">, Talal AH. Improvements in Quality of Life: A New Indication for Treating Hepatitis C Virus Infection in Persons With Substance Use Disorders. </w:t>
      </w:r>
      <w:r>
        <w:rPr>
          <w:rFonts w:ascii="Book Antiqua" w:hAnsi="Book Antiqua" w:eastAsia="Book Antiqua" w:cs="Book Antiqua"/>
          <w:i/>
          <w:iCs/>
          <w:color w:val="000000"/>
        </w:rPr>
        <w:t>J Infect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217</w:t>
      </w:r>
      <w:r>
        <w:rPr>
          <w:rFonts w:ascii="Book Antiqua" w:hAnsi="Book Antiqua" w:eastAsia="Book Antiqua" w:cs="Book Antiqua"/>
          <w:color w:val="000000"/>
        </w:rPr>
        <w:t>: 1020-1023 [PMID: 29294033 DOI: 10.1093/infdis/jix682]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53 </w:t>
      </w:r>
      <w:r>
        <w:rPr>
          <w:rFonts w:ascii="Book Antiqua" w:hAnsi="Book Antiqua" w:eastAsia="Book Antiqua" w:cs="Book Antiqua"/>
          <w:b/>
          <w:bCs/>
          <w:color w:val="000000"/>
        </w:rPr>
        <w:t>Cabibbo G</w:t>
      </w:r>
      <w:r>
        <w:rPr>
          <w:rFonts w:ascii="Book Antiqua" w:hAnsi="Book Antiqua" w:eastAsia="Book Antiqua" w:cs="Book Antiqua"/>
          <w:color w:val="000000"/>
        </w:rPr>
        <w:t xml:space="preserve">, Petta S, Barbàra M, Missale G, Virdone R, Caturelli E, Piscaglia F, Morisco F, Colecchia A, Farinati F, Giannini E, Trevisani F, Craxì A, Colombo M, Cammà C; ITA.LI.CA study group. A meta-analysis of single HCV-untreated arm of studies evaluating outcomes after curative treatments of HCV-related hepatocellular carcinoma.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1157-1166 [PMID: 28061016 DOI: 10.1111/Liv.13357]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bCs/>
          <w:color w:val="000000"/>
        </w:rPr>
        <w:t>Bedogni G</w:t>
      </w:r>
      <w:r>
        <w:rPr>
          <w:rFonts w:ascii="Book Antiqua" w:hAnsi="Book Antiqua" w:eastAsia="Book Antiqua" w:cs="Book Antiqua"/>
          <w:color w:val="000000"/>
        </w:rPr>
        <w:t xml:space="preserve">, Miglioli L, Masutti F, Ferri S, Castiglione A, Lenzi M, Crocè LS, Granito A, Tiribelli C, Bellentani S. Natural course of chronic HCV and HBV infection and role of alcohol in the general population: the Dionysos Study.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103</w:t>
      </w:r>
      <w:r>
        <w:rPr>
          <w:rFonts w:ascii="Book Antiqua" w:hAnsi="Book Antiqua" w:eastAsia="Book Antiqua" w:cs="Book Antiqua"/>
          <w:color w:val="000000"/>
        </w:rPr>
        <w:t>: 2248-2253 [PMID: 18637095 DOI: 10.1111/j.1572-0241.2008.01948.x]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55 </w:t>
      </w:r>
      <w:r>
        <w:rPr>
          <w:rFonts w:ascii="Book Antiqua" w:hAnsi="Book Antiqua" w:eastAsia="Book Antiqua" w:cs="Book Antiqua"/>
          <w:b/>
          <w:bCs/>
          <w:color w:val="000000"/>
        </w:rPr>
        <w:t>Cunningham EB</w:t>
      </w:r>
      <w:r>
        <w:rPr>
          <w:rFonts w:ascii="Book Antiqua" w:hAnsi="Book Antiqua" w:eastAsia="Book Antiqua" w:cs="Book Antiqua"/>
          <w:color w:val="000000"/>
        </w:rPr>
        <w:t xml:space="preserve">, Hajarizadeh B, Amin J, Litwin AH, Gane E, Cooper C, Lacombe K, Hellard M, Read P, Powis J, Dalgard O, Bruneau J, Matthews GV, Feld JJ, Dillon JF, Shaw D, Bruggmann P, Conway B, Fraser C, Marks P, Dore GJ, Grebely J; SIMPLIFY and D3FEAT study groups. Adherence to Once-daily and Twice-daily Direct-acting Antiviral Therapy for Hepatitis C Infection Among People With Recent Injection Drug Use or Current Opioid Agonist Therapy.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e115-e124 [PMID: 31677262 DOI: 10.1093/cid/ciz1089]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56 </w:t>
      </w:r>
      <w:r>
        <w:rPr>
          <w:rFonts w:ascii="Book Antiqua" w:hAnsi="Book Antiqua" w:eastAsia="Book Antiqua" w:cs="Book Antiqua"/>
          <w:b/>
          <w:bCs/>
          <w:color w:val="000000"/>
        </w:rPr>
        <w:t>Hajarizadeh B</w:t>
      </w:r>
      <w:r>
        <w:rPr>
          <w:rFonts w:ascii="Book Antiqua" w:hAnsi="Book Antiqua" w:eastAsia="Book Antiqua" w:cs="Book Antiqua"/>
          <w:color w:val="000000"/>
        </w:rPr>
        <w:t xml:space="preserve">, Cunningham EB, Valerio H, Martinello M, Law M, Janjua NZ, Midgard H, Dalgard O, Dillon J, Hickman M, Bruneau J, Dore GJ, Grebely J. Hepatitis C reinfection after successful antiviral treatment among people who inject drugs: A meta-analysis.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643-657 [PMID: 31785345 DOI: 10.1016/j.jhep.2019.11.012]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University at Buffalo (Approval No. 00002677).</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Clinical trial registration statement: </w:t>
      </w:r>
      <w:r>
        <w:rPr>
          <w:rFonts w:ascii="Book Antiqua" w:hAnsi="Book Antiqua" w:eastAsia="Book Antiqua" w:cs="Book Antiqua"/>
          <w:color w:val="000000"/>
        </w:rPr>
        <w:t>ClinTrials.gov Registration No</w:t>
      </w:r>
      <w:r>
        <w:rPr>
          <w:rFonts w:ascii="Book Antiqua" w:hAnsi="Book Antiqua" w:eastAsia="Book Antiqua" w:cs="Book Antiqua"/>
          <w:b/>
          <w:bCs/>
          <w:color w:val="000000"/>
        </w:rPr>
        <w:t xml:space="preserve">. </w:t>
      </w:r>
      <w:r>
        <w:rPr>
          <w:rFonts w:ascii="Book Antiqua" w:hAnsi="Book Antiqua" w:eastAsia="Book Antiqua" w:cs="Book Antiqua"/>
          <w:bCs/>
          <w:color w:val="000000"/>
          <w:shd w:val="clear" w:color="auto" w:fill="FFFFFF"/>
        </w:rPr>
        <w:t>NCT04204447</w:t>
      </w:r>
      <w:r>
        <w:rPr>
          <w:rFonts w:ascii="Book Antiqua" w:hAnsi="Book Antiqua" w:eastAsia="Book Antiqua" w:cs="Book Antiqua"/>
          <w:bCs/>
          <w:i/>
          <w:iCs/>
          <w:color w:val="000000"/>
          <w:shd w:val="clear" w:color="auto" w:fill="FFFFFF"/>
        </w:rPr>
        <w:t xml:space="preserve">. </w:t>
      </w:r>
      <w:r>
        <w:rPr>
          <w:rFonts w:ascii="Book Antiqua" w:hAnsi="Book Antiqua" w:eastAsia="Book Antiqua" w:cs="Book Antiqua"/>
          <w:bCs/>
          <w:color w:val="000000"/>
          <w:shd w:val="clear" w:color="auto" w:fill="FFFFFF"/>
        </w:rPr>
        <w:t>Date of initial posting: December 19, 2019</w:t>
      </w:r>
      <w:r>
        <w:rPr>
          <w:rFonts w:hint="eastAsia" w:ascii="Book Antiqua" w:hAnsi="Book Antiqua" w:cs="Book Antiqua"/>
          <w:bCs/>
          <w:color w:val="000000"/>
          <w:shd w:val="clear" w:color="auto" w:fill="FFFFFF"/>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 xml:space="preserve">All study participants, or their legal guardian, provided informed written consent prior to study enrollment.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None of the other authors have any potential conflicts.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Data are available from the corresponding author at </w:t>
      </w:r>
      <w:r>
        <w:fldChar w:fldCharType="begin"/>
      </w:r>
      <w:r>
        <w:instrText xml:space="preserve"> HYPERLINK "mailto:ahtalal@buffalo.edu" </w:instrText>
      </w:r>
      <w:r>
        <w:fldChar w:fldCharType="separate"/>
      </w:r>
      <w:r>
        <w:rPr>
          <w:rFonts w:ascii="Book Antiqua" w:hAnsi="Book Antiqua" w:eastAsia="Book Antiqua" w:cs="Book Antiqua"/>
          <w:color w:val="000000"/>
          <w:u w:val="single" w:color="0563C1"/>
        </w:rPr>
        <w:t>ahtalal@buffalo.edu</w:t>
      </w:r>
      <w:r>
        <w:rPr>
          <w:rFonts w:ascii="Book Antiqua" w:hAnsi="Book Antiqua" w:eastAsia="Book Antiqua" w:cs="Book Antiqua"/>
          <w:color w:val="000000"/>
          <w:u w:val="single" w:color="0563C1"/>
        </w:rPr>
        <w:fldChar w:fldCharType="end"/>
      </w:r>
      <w:r>
        <w:rPr>
          <w:rFonts w:ascii="Book Antiqua" w:hAnsi="Book Antiqua" w:eastAsia="Book Antiqua" w:cs="Book Antiqua"/>
          <w:color w:val="000000"/>
        </w:rPr>
        <w:t xml:space="preserve"> upon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 xml:space="preserve">The manuscript has been prepared and revised according to the </w:t>
      </w:r>
      <w:r>
        <w:rPr>
          <w:rFonts w:ascii="Book Antiqua" w:hAnsi="Book Antiqua" w:eastAsia="Book Antiqua" w:cs="Book Antiqua"/>
          <w:caps/>
          <w:color w:val="000000"/>
        </w:rPr>
        <w:t>strobe</w:t>
      </w:r>
      <w:r>
        <w:rPr>
          <w:rFonts w:ascii="Book Antiqua" w:hAnsi="Book Antiqua" w:eastAsia="Book Antiqua" w:cs="Book Antiqua"/>
          <w:color w:val="000000"/>
        </w:rPr>
        <w:t xml:space="preserve"> Statement.</w:t>
      </w:r>
      <w:r>
        <w:rPr>
          <w:rFonts w:ascii="Book Antiqua" w:hAnsi="Book Antiqua" w:eastAsia="Book Antiqua" w:cs="Book Antiqua"/>
          <w:cap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8,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lang w:eastAsia="zh-CN"/>
        </w:rPr>
      </w:pPr>
      <w:r>
        <w:rPr>
          <w:rFonts w:ascii="Book Antiqua" w:hAnsi="Book Antiqua" w:eastAsia="Book Antiqua" w:cs="Book Antiqua"/>
          <w:color w:val="000000"/>
        </w:rPr>
        <w:t>Grade A (Excellent): A</w:t>
      </w:r>
      <w:r>
        <w:rPr>
          <w:rFonts w:hint="eastAsia" w:ascii="Book Antiqua" w:hAnsi="Book Antiqua" w:cs="Book Antiqua"/>
          <w:color w:val="000000"/>
          <w:lang w:eastAsia="zh-CN"/>
        </w:rPr>
        <w: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Granito A, Italy</w:t>
      </w:r>
      <w:r>
        <w:rPr>
          <w:rFonts w:hint="eastAsia" w:ascii="Book Antiqua" w:hAnsi="Book Antiqua" w:cs="Book Antiqua"/>
          <w:color w:val="000000"/>
          <w:lang w:eastAsia="zh-CN"/>
        </w:rPr>
        <w:t>;</w:t>
      </w:r>
      <w:r>
        <w:rPr>
          <w:rFonts w:ascii="Book Antiqua" w:hAnsi="Book Antiqua" w:eastAsia="Book Antiqua" w:cs="Book Antiqua"/>
          <w:color w:val="000000"/>
        </w:rPr>
        <w:t xml:space="preserve"> Liu CH, Taiwan</w:t>
      </w:r>
      <w:r>
        <w:rPr>
          <w:rFonts w:hint="eastAsia" w:ascii="Book Antiqua" w:hAnsi="Book Antiqua" w:cs="Book Antiqua"/>
          <w:color w:val="000000"/>
          <w:lang w:eastAsia="zh-CN"/>
        </w:rPr>
        <w:t>;</w:t>
      </w:r>
      <w:r>
        <w:rPr>
          <w:rFonts w:ascii="Book Antiqua" w:hAnsi="Book Antiqua" w:eastAsia="Book Antiqua" w:cs="Book Antiqua"/>
          <w:color w:val="000000"/>
        </w:rPr>
        <w:t xml:space="preserve"> Tanaka N</w:t>
      </w:r>
      <w:r>
        <w:rPr>
          <w:rFonts w:hint="eastAsia" w:ascii="Book Antiqua" w:hAnsi="Book Antiqua" w:cs="Book Antiqua"/>
          <w:color w:val="000000"/>
          <w:lang w:eastAsia="zh-CN"/>
        </w:rPr>
        <w:t xml:space="preserve">, </w:t>
      </w:r>
      <w:r>
        <w:rPr>
          <w:rFonts w:ascii="Book Antiqua" w:hAnsi="Book Antiqua" w:cs="Book Antiqua"/>
          <w:color w:val="000000"/>
          <w:lang w:eastAsia="zh-CN"/>
        </w:rPr>
        <w:t>Japan</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w:t>
      </w:r>
      <w:r>
        <w:rPr>
          <w:rFonts w:hint="eastAsia" w:ascii="Book Antiqua" w:hAnsi="Book Antiqua" w:cs="Book Antiqua"/>
          <w:color w:val="000000"/>
          <w:lang w:eastAsia="zh-CN"/>
        </w:rPr>
        <w:t xml:space="preserve"> Wang LL</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643630" cy="2121535"/>
            <wp:effectExtent l="0" t="0" r="13970" b="12065"/>
            <wp:docPr id="3" name="图片 3" descr="WJH-14-97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H-14-972-g001"/>
                    <pic:cNvPicPr>
                      <a:picLocks noChangeAspect="1"/>
                    </pic:cNvPicPr>
                  </pic:nvPicPr>
                  <pic:blipFill>
                    <a:blip r:embed="rId5"/>
                    <a:stretch>
                      <a:fillRect/>
                    </a:stretch>
                  </pic:blipFill>
                  <pic:spPr>
                    <a:xfrm>
                      <a:off x="0" y="0"/>
                      <a:ext cx="3643630" cy="212153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The distribution of improvement in scores calculated as the pre-intervention subtracted from the post-intervention for both interventions are illustrated in the violin plot wrapping a boxplot. </w:t>
      </w:r>
      <w:r>
        <w:rPr>
          <w:rFonts w:ascii="Book Antiqua" w:hAnsi="Book Antiqua" w:eastAsia="Book Antiqua" w:cs="Book Antiqua"/>
          <w:color w:val="000000"/>
        </w:rPr>
        <w:t>The box extends from the 25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to the 75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with lines extending outward depicting the smallest value within 1.5 times the interquartile range (IQR) below the 25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and largest value within 1.5 times the IQR above the 75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The dark line in the middle of the box illustrates the median values. Peach indicates the control site (brochure) and blue (video) the intervention site. The violin displays the density plot of the values, where the width indicates the frequency.</w:t>
      </w:r>
    </w:p>
    <w:p>
      <w:pPr>
        <w:spacing w:line="360" w:lineRule="auto"/>
        <w:jc w:val="both"/>
        <w:rPr>
          <w:rFonts w:ascii="Book Antiqua" w:hAnsi="Book Antiqua"/>
        </w:rPr>
      </w:pPr>
      <w:r>
        <w:rPr>
          <w:rFonts w:ascii="Book Antiqua" w:hAnsi="Book Antiqua" w:eastAsia="Book Antiqua" w:cs="Book Antiqua"/>
          <w:color w:val="000000"/>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3950335" cy="2247265"/>
            <wp:effectExtent l="0" t="0" r="12065" b="8255"/>
            <wp:docPr id="4" name="图片 4" descr="WJH-14-97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H-14-972-g002"/>
                    <pic:cNvPicPr>
                      <a:picLocks noChangeAspect="1"/>
                    </pic:cNvPicPr>
                  </pic:nvPicPr>
                  <pic:blipFill>
                    <a:blip r:embed="rId6"/>
                    <a:stretch>
                      <a:fillRect/>
                    </a:stretch>
                  </pic:blipFill>
                  <pic:spPr>
                    <a:xfrm>
                      <a:off x="0" y="0"/>
                      <a:ext cx="3950335" cy="2247265"/>
                    </a:xfrm>
                    <a:prstGeom prst="rect">
                      <a:avLst/>
                    </a:prstGeom>
                  </pic:spPr>
                </pic:pic>
              </a:graphicData>
            </a:graphic>
          </wp:inline>
        </w:drawing>
      </w:r>
      <w:bookmarkStart w:id="0" w:name="_GoBack"/>
      <w:bookmarkEnd w:id="0"/>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Illustrated are mean scores for the assessments obtained pre- and post- as well as after one month after the video (blue) and brochure (red/peach) educational interventions.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autoSpaceDE w:val="0"/>
        <w:autoSpaceDN w:val="0"/>
        <w:adjustRightInd w:val="0"/>
        <w:spacing w:line="360" w:lineRule="auto"/>
        <w:jc w:val="both"/>
        <w:rPr>
          <w:rFonts w:ascii="Book Antiqua" w:hAnsi="Book Antiqua"/>
          <w:b/>
        </w:rPr>
      </w:pPr>
      <w:r>
        <w:rPr>
          <w:rFonts w:ascii="Book Antiqua" w:hAnsi="Book Antiqua" w:cs="Book Antiqua"/>
          <w:color w:val="000000"/>
          <w:lang w:eastAsia="zh-CN"/>
        </w:rPr>
        <w:br w:type="page"/>
      </w:r>
      <w:r>
        <w:rPr>
          <w:rFonts w:ascii="Book Antiqua" w:hAnsi="Book Antiqua"/>
          <w:b/>
        </w:rPr>
        <w:t>Table 1</w:t>
      </w:r>
      <w:r>
        <w:rPr>
          <w:rFonts w:hint="eastAsia" w:ascii="Book Antiqua" w:hAnsi="Book Antiqua"/>
          <w:b/>
          <w:lang w:eastAsia="zh-CN"/>
        </w:rPr>
        <w:t xml:space="preserve"> </w:t>
      </w:r>
      <w:r>
        <w:rPr>
          <w:rFonts w:ascii="Book Antiqua" w:hAnsi="Book Antiqua"/>
          <w:b/>
        </w:rPr>
        <w:t>Demographic characteristics of study participants</w:t>
      </w:r>
    </w:p>
    <w:tbl>
      <w:tblPr>
        <w:tblStyle w:val="12"/>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73"/>
        <w:gridCol w:w="3729"/>
        <w:gridCol w:w="30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tcBorders>
              <w:top w:val="single" w:color="auto" w:sz="4" w:space="0"/>
              <w:bottom w:val="single" w:color="auto" w:sz="4" w:space="0"/>
            </w:tcBorders>
            <w:shd w:val="clear" w:color="auto" w:fill="auto"/>
          </w:tcPr>
          <w:p>
            <w:pPr>
              <w:spacing w:line="360" w:lineRule="auto"/>
              <w:jc w:val="both"/>
              <w:rPr>
                <w:rFonts w:ascii="Book Antiqua" w:hAnsi="Book Antiqua" w:cstheme="minorBidi"/>
                <w:b/>
              </w:rPr>
            </w:pPr>
            <w:r>
              <w:rPr>
                <w:rFonts w:ascii="Book Antiqua" w:hAnsi="Book Antiqua" w:cstheme="minorBidi"/>
                <w:b/>
              </w:rPr>
              <w:t>Intervention</w:t>
            </w:r>
          </w:p>
        </w:tc>
        <w:tc>
          <w:tcPr>
            <w:tcW w:w="1947" w:type="pct"/>
            <w:tcBorders>
              <w:top w:val="single" w:color="auto" w:sz="4" w:space="0"/>
              <w:bottom w:val="single" w:color="auto" w:sz="4" w:space="0"/>
            </w:tcBorders>
            <w:shd w:val="clear" w:color="auto" w:fill="auto"/>
          </w:tcPr>
          <w:p>
            <w:pPr>
              <w:spacing w:line="360" w:lineRule="auto"/>
              <w:jc w:val="both"/>
              <w:rPr>
                <w:rFonts w:ascii="Book Antiqua" w:hAnsi="Book Antiqua" w:cstheme="minorBidi"/>
                <w:b/>
              </w:rPr>
            </w:pPr>
            <w:r>
              <w:rPr>
                <w:rFonts w:ascii="Book Antiqua" w:hAnsi="Book Antiqua" w:cstheme="minorBidi"/>
                <w:b/>
              </w:rPr>
              <w:t>Brochure</w:t>
            </w:r>
          </w:p>
        </w:tc>
        <w:tc>
          <w:tcPr>
            <w:tcW w:w="1605" w:type="pct"/>
            <w:tcBorders>
              <w:top w:val="single" w:color="auto" w:sz="4" w:space="0"/>
              <w:bottom w:val="single" w:color="auto" w:sz="4" w:space="0"/>
            </w:tcBorders>
            <w:shd w:val="clear" w:color="auto" w:fill="auto"/>
          </w:tcPr>
          <w:p>
            <w:pPr>
              <w:spacing w:line="360" w:lineRule="auto"/>
              <w:jc w:val="both"/>
              <w:rPr>
                <w:rFonts w:ascii="Book Antiqua" w:hAnsi="Book Antiqua" w:cstheme="minorBidi"/>
                <w:b/>
              </w:rPr>
            </w:pPr>
            <w:r>
              <w:rPr>
                <w:rFonts w:ascii="Book Antiqua" w:hAnsi="Book Antiqua" w:cstheme="minorBidi"/>
                <w:b/>
              </w:rPr>
              <w:t>Video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tcBorders>
              <w:top w:val="single" w:color="auto" w:sz="4" w:space="0"/>
            </w:tcBorders>
            <w:shd w:val="clear" w:color="auto" w:fill="auto"/>
          </w:tcPr>
          <w:p>
            <w:pPr>
              <w:spacing w:line="360" w:lineRule="auto"/>
              <w:jc w:val="both"/>
              <w:rPr>
                <w:rFonts w:ascii="Book Antiqua" w:hAnsi="Book Antiqua" w:cstheme="minorBidi"/>
                <w:i/>
                <w:lang w:eastAsia="zh-CN"/>
              </w:rPr>
            </w:pPr>
            <w:r>
              <w:rPr>
                <w:rFonts w:hint="eastAsia" w:ascii="Book Antiqua" w:hAnsi="Book Antiqua" w:cstheme="minorBidi"/>
                <w:i/>
                <w:lang w:eastAsia="zh-CN"/>
              </w:rPr>
              <w:t>n</w:t>
            </w:r>
          </w:p>
        </w:tc>
        <w:tc>
          <w:tcPr>
            <w:tcW w:w="1947" w:type="pct"/>
            <w:tcBorders>
              <w:top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90</w:t>
            </w:r>
          </w:p>
        </w:tc>
        <w:tc>
          <w:tcPr>
            <w:tcW w:w="1605" w:type="pct"/>
            <w:tcBorders>
              <w:top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shd w:val="clear" w:color="auto" w:fill="auto"/>
          </w:tcPr>
          <w:p>
            <w:pPr>
              <w:spacing w:line="360" w:lineRule="auto"/>
              <w:jc w:val="both"/>
              <w:rPr>
                <w:rFonts w:ascii="Book Antiqua" w:hAnsi="Book Antiqua" w:cstheme="minorBidi"/>
              </w:rPr>
            </w:pPr>
            <w:r>
              <w:rPr>
                <w:rFonts w:ascii="Book Antiqua" w:hAnsi="Book Antiqua" w:cstheme="minorBidi"/>
              </w:rPr>
              <w:t>Age</w:t>
            </w:r>
          </w:p>
        </w:tc>
        <w:tc>
          <w:tcPr>
            <w:tcW w:w="1947" w:type="pct"/>
            <w:shd w:val="clear" w:color="auto" w:fill="auto"/>
          </w:tcPr>
          <w:p>
            <w:pPr>
              <w:spacing w:line="360" w:lineRule="auto"/>
              <w:jc w:val="both"/>
              <w:rPr>
                <w:rFonts w:ascii="Book Antiqua" w:hAnsi="Book Antiqua" w:cstheme="minorBidi"/>
              </w:rPr>
            </w:pPr>
          </w:p>
        </w:tc>
        <w:tc>
          <w:tcPr>
            <w:tcW w:w="1605" w:type="pct"/>
            <w:shd w:val="clear" w:color="auto" w:fill="auto"/>
          </w:tcPr>
          <w:p>
            <w:pPr>
              <w:spacing w:line="360" w:lineRule="auto"/>
              <w:jc w:val="both"/>
              <w:rPr>
                <w:rFonts w:ascii="Book Antiqua" w:hAnsi="Book Antiqua"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shd w:val="clear" w:color="auto" w:fill="auto"/>
          </w:tcPr>
          <w:p>
            <w:pPr>
              <w:spacing w:line="360" w:lineRule="auto"/>
              <w:jc w:val="both"/>
              <w:rPr>
                <w:rFonts w:ascii="Book Antiqua" w:hAnsi="Book Antiqua" w:cstheme="minorBidi"/>
              </w:rPr>
            </w:pPr>
            <w:r>
              <w:rPr>
                <w:rFonts w:ascii="Book Antiqua" w:hAnsi="Book Antiqua" w:cstheme="minorBidi"/>
              </w:rPr>
              <w:t>Median</w:t>
            </w:r>
            <w:r>
              <w:rPr>
                <w:rFonts w:ascii="Book Antiqua" w:hAnsi="Book Antiqua" w:cstheme="minorBidi"/>
                <w:bCs/>
              </w:rPr>
              <w:t xml:space="preserve"> </w:t>
            </w:r>
            <w:r>
              <w:rPr>
                <w:rFonts w:ascii="Book Antiqua" w:hAnsi="Book Antiqua" w:cstheme="minorBidi"/>
              </w:rPr>
              <w:t>(IQR)</w:t>
            </w:r>
          </w:p>
        </w:tc>
        <w:tc>
          <w:tcPr>
            <w:tcW w:w="1947" w:type="pct"/>
            <w:shd w:val="clear" w:color="auto" w:fill="auto"/>
          </w:tcPr>
          <w:p>
            <w:pPr>
              <w:spacing w:line="360" w:lineRule="auto"/>
              <w:jc w:val="both"/>
              <w:rPr>
                <w:rFonts w:ascii="Book Antiqua" w:hAnsi="Book Antiqua" w:cstheme="minorBidi"/>
              </w:rPr>
            </w:pPr>
            <w:r>
              <w:rPr>
                <w:rFonts w:ascii="Book Antiqua" w:hAnsi="Book Antiqua" w:cstheme="minorBidi"/>
              </w:rPr>
              <w:t>41 (18)</w:t>
            </w:r>
          </w:p>
        </w:tc>
        <w:tc>
          <w:tcPr>
            <w:tcW w:w="1605" w:type="pct"/>
            <w:shd w:val="clear" w:color="auto" w:fill="auto"/>
          </w:tcPr>
          <w:p>
            <w:pPr>
              <w:spacing w:line="360" w:lineRule="auto"/>
              <w:jc w:val="both"/>
              <w:rPr>
                <w:rFonts w:ascii="Book Antiqua" w:hAnsi="Book Antiqua" w:cstheme="minorBidi"/>
              </w:rPr>
            </w:pPr>
            <w:r>
              <w:rPr>
                <w:rFonts w:ascii="Book Antiqua" w:hAnsi="Book Antiqua" w:cstheme="minorBidi"/>
              </w:rPr>
              <w:t>40(18)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shd w:val="clear" w:color="auto" w:fill="auto"/>
          </w:tcPr>
          <w:p>
            <w:pPr>
              <w:spacing w:line="360" w:lineRule="auto"/>
              <w:jc w:val="both"/>
              <w:rPr>
                <w:rFonts w:ascii="Book Antiqua" w:hAnsi="Book Antiqua" w:cstheme="minorBidi"/>
              </w:rPr>
            </w:pPr>
            <w:r>
              <w:rPr>
                <w:rFonts w:ascii="Book Antiqua" w:hAnsi="Book Antiqua" w:cstheme="minorBidi"/>
              </w:rPr>
              <w:t>Mean</w:t>
            </w:r>
            <w:r>
              <w:rPr>
                <w:rFonts w:ascii="Book Antiqua" w:hAnsi="Book Antiqua" w:cstheme="minorBidi"/>
                <w:bCs/>
              </w:rPr>
              <w:t xml:space="preserve"> </w:t>
            </w:r>
            <w:r>
              <w:rPr>
                <w:rFonts w:ascii="Book Antiqua" w:hAnsi="Book Antiqua" w:cstheme="minorBidi"/>
              </w:rPr>
              <w:t>(SD)</w:t>
            </w:r>
          </w:p>
        </w:tc>
        <w:tc>
          <w:tcPr>
            <w:tcW w:w="1947" w:type="pct"/>
            <w:shd w:val="clear" w:color="auto" w:fill="auto"/>
          </w:tcPr>
          <w:p>
            <w:pPr>
              <w:spacing w:line="360" w:lineRule="auto"/>
              <w:jc w:val="both"/>
              <w:rPr>
                <w:rFonts w:ascii="Book Antiqua" w:hAnsi="Book Antiqua" w:cstheme="minorBidi"/>
              </w:rPr>
            </w:pPr>
            <w:r>
              <w:rPr>
                <w:rFonts w:ascii="Book Antiqua" w:hAnsi="Book Antiqua" w:cstheme="minorBidi"/>
              </w:rPr>
              <w:t>43 (11)</w:t>
            </w:r>
          </w:p>
        </w:tc>
        <w:tc>
          <w:tcPr>
            <w:tcW w:w="1605" w:type="pct"/>
            <w:shd w:val="clear" w:color="auto" w:fill="auto"/>
          </w:tcPr>
          <w:p>
            <w:pPr>
              <w:spacing w:line="360" w:lineRule="auto"/>
              <w:jc w:val="both"/>
              <w:rPr>
                <w:rFonts w:ascii="Book Antiqua" w:hAnsi="Book Antiqua" w:cstheme="minorBidi"/>
              </w:rPr>
            </w:pPr>
            <w:r>
              <w:rPr>
                <w:rFonts w:ascii="Book Antiqua" w:hAnsi="Book Antiqua" w:cstheme="minorBidi"/>
              </w:rPr>
              <w:t>41(12)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shd w:val="clear" w:color="auto" w:fill="auto"/>
          </w:tcPr>
          <w:p>
            <w:pPr>
              <w:spacing w:line="360" w:lineRule="auto"/>
              <w:jc w:val="both"/>
              <w:rPr>
                <w:rFonts w:ascii="Book Antiqua" w:hAnsi="Book Antiqua" w:cstheme="minorBidi"/>
              </w:rPr>
            </w:pPr>
            <w:r>
              <w:rPr>
                <w:rFonts w:ascii="Book Antiqua" w:hAnsi="Book Antiqua" w:cstheme="minorBidi"/>
              </w:rPr>
              <w:t>Gender</w:t>
            </w:r>
          </w:p>
        </w:tc>
        <w:tc>
          <w:tcPr>
            <w:tcW w:w="1947" w:type="pct"/>
            <w:shd w:val="clear" w:color="auto" w:fill="auto"/>
          </w:tcPr>
          <w:p>
            <w:pPr>
              <w:spacing w:line="360" w:lineRule="auto"/>
              <w:jc w:val="both"/>
              <w:rPr>
                <w:rFonts w:ascii="Book Antiqua" w:hAnsi="Book Antiqua" w:cstheme="minorBidi"/>
              </w:rPr>
            </w:pPr>
          </w:p>
        </w:tc>
        <w:tc>
          <w:tcPr>
            <w:tcW w:w="1605" w:type="pct"/>
            <w:shd w:val="clear" w:color="auto" w:fill="auto"/>
          </w:tcPr>
          <w:p>
            <w:pPr>
              <w:spacing w:line="360" w:lineRule="auto"/>
              <w:jc w:val="both"/>
              <w:rPr>
                <w:rFonts w:ascii="Book Antiqua" w:hAnsi="Book Antiqua"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shd w:val="clear" w:color="auto" w:fill="auto"/>
          </w:tcPr>
          <w:p>
            <w:pPr>
              <w:spacing w:line="360" w:lineRule="auto"/>
              <w:jc w:val="both"/>
              <w:rPr>
                <w:rFonts w:ascii="Book Antiqua" w:hAnsi="Book Antiqua" w:cstheme="minorBidi"/>
              </w:rPr>
            </w:pPr>
            <w:r>
              <w:rPr>
                <w:rFonts w:ascii="Book Antiqua" w:hAnsi="Book Antiqua" w:cstheme="minorBidi"/>
              </w:rPr>
              <w:t>Female</w:t>
            </w:r>
          </w:p>
        </w:tc>
        <w:tc>
          <w:tcPr>
            <w:tcW w:w="1947" w:type="pct"/>
            <w:shd w:val="clear" w:color="auto" w:fill="auto"/>
          </w:tcPr>
          <w:p>
            <w:pPr>
              <w:spacing w:line="360" w:lineRule="auto"/>
              <w:jc w:val="both"/>
              <w:rPr>
                <w:rFonts w:ascii="Book Antiqua" w:hAnsi="Book Antiqua" w:cstheme="minorBidi"/>
              </w:rPr>
            </w:pPr>
            <w:r>
              <w:rPr>
                <w:rFonts w:ascii="Book Antiqua" w:hAnsi="Book Antiqua" w:cstheme="minorBidi"/>
              </w:rPr>
              <w:t>55 (61%)</w:t>
            </w:r>
          </w:p>
        </w:tc>
        <w:tc>
          <w:tcPr>
            <w:tcW w:w="1605" w:type="pct"/>
            <w:shd w:val="clear" w:color="auto" w:fill="auto"/>
          </w:tcPr>
          <w:p>
            <w:pPr>
              <w:spacing w:line="360" w:lineRule="auto"/>
              <w:jc w:val="both"/>
              <w:rPr>
                <w:rFonts w:ascii="Book Antiqua" w:hAnsi="Book Antiqua" w:cstheme="minorBidi"/>
              </w:rPr>
            </w:pPr>
            <w:r>
              <w:rPr>
                <w:rFonts w:ascii="Book Antiqua" w:hAnsi="Book Antiqua" w:cstheme="minorBidi"/>
              </w:rPr>
              <w:t>51 (59%)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shd w:val="clear" w:color="auto" w:fill="auto"/>
          </w:tcPr>
          <w:p>
            <w:pPr>
              <w:spacing w:line="360" w:lineRule="auto"/>
              <w:jc w:val="both"/>
              <w:rPr>
                <w:rFonts w:ascii="Book Antiqua" w:hAnsi="Book Antiqua" w:cstheme="minorBidi"/>
              </w:rPr>
            </w:pPr>
            <w:r>
              <w:rPr>
                <w:rFonts w:ascii="Book Antiqua" w:hAnsi="Book Antiqua" w:cstheme="minorBidi"/>
              </w:rPr>
              <w:t>Male</w:t>
            </w:r>
          </w:p>
        </w:tc>
        <w:tc>
          <w:tcPr>
            <w:tcW w:w="1947" w:type="pct"/>
            <w:shd w:val="clear" w:color="auto" w:fill="auto"/>
          </w:tcPr>
          <w:p>
            <w:pPr>
              <w:spacing w:line="360" w:lineRule="auto"/>
              <w:jc w:val="both"/>
              <w:rPr>
                <w:rFonts w:ascii="Book Antiqua" w:hAnsi="Book Antiqua" w:cstheme="minorBidi"/>
              </w:rPr>
            </w:pPr>
            <w:r>
              <w:rPr>
                <w:rFonts w:ascii="Book Antiqua" w:hAnsi="Book Antiqua" w:cstheme="minorBidi"/>
              </w:rPr>
              <w:t>35 (39%)</w:t>
            </w:r>
          </w:p>
        </w:tc>
        <w:tc>
          <w:tcPr>
            <w:tcW w:w="1605" w:type="pct"/>
            <w:shd w:val="clear" w:color="auto" w:fill="auto"/>
          </w:tcPr>
          <w:p>
            <w:pPr>
              <w:spacing w:line="360" w:lineRule="auto"/>
              <w:jc w:val="both"/>
              <w:rPr>
                <w:rFonts w:ascii="Book Antiqua" w:hAnsi="Book Antiqua" w:cstheme="minorBidi"/>
              </w:rPr>
            </w:pPr>
            <w:r>
              <w:rPr>
                <w:rFonts w:ascii="Book Antiqua" w:hAnsi="Book Antiqua" w:cstheme="minorBidi"/>
              </w:rPr>
              <w:t>35 (41%)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shd w:val="clear" w:color="auto" w:fill="auto"/>
          </w:tcPr>
          <w:p>
            <w:pPr>
              <w:spacing w:line="360" w:lineRule="auto"/>
              <w:jc w:val="both"/>
              <w:rPr>
                <w:rFonts w:ascii="Book Antiqua" w:hAnsi="Book Antiqua" w:cstheme="minorBidi"/>
              </w:rPr>
            </w:pPr>
            <w:r>
              <w:rPr>
                <w:rFonts w:ascii="Book Antiqua" w:hAnsi="Book Antiqua" w:cstheme="minorBidi"/>
              </w:rPr>
              <w:t>Race</w:t>
            </w:r>
          </w:p>
        </w:tc>
        <w:tc>
          <w:tcPr>
            <w:tcW w:w="1947" w:type="pct"/>
            <w:shd w:val="clear" w:color="auto" w:fill="auto"/>
          </w:tcPr>
          <w:p>
            <w:pPr>
              <w:spacing w:line="360" w:lineRule="auto"/>
              <w:jc w:val="both"/>
              <w:rPr>
                <w:rFonts w:ascii="Book Antiqua" w:hAnsi="Book Antiqua" w:cstheme="minorBidi"/>
              </w:rPr>
            </w:pPr>
          </w:p>
        </w:tc>
        <w:tc>
          <w:tcPr>
            <w:tcW w:w="1605" w:type="pct"/>
            <w:shd w:val="clear" w:color="auto" w:fill="auto"/>
          </w:tcPr>
          <w:p>
            <w:pPr>
              <w:spacing w:line="360" w:lineRule="auto"/>
              <w:jc w:val="both"/>
              <w:rPr>
                <w:rFonts w:ascii="Book Antiqua" w:hAnsi="Book Antiqua"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shd w:val="clear" w:color="auto" w:fill="auto"/>
          </w:tcPr>
          <w:p>
            <w:pPr>
              <w:spacing w:line="360" w:lineRule="auto"/>
              <w:jc w:val="both"/>
              <w:rPr>
                <w:rFonts w:ascii="Book Antiqua" w:hAnsi="Book Antiqua" w:cstheme="minorBidi"/>
              </w:rPr>
            </w:pPr>
            <w:r>
              <w:rPr>
                <w:rFonts w:ascii="Book Antiqua" w:hAnsi="Book Antiqua" w:cstheme="minorBidi"/>
              </w:rPr>
              <w:t>White</w:t>
            </w:r>
          </w:p>
        </w:tc>
        <w:tc>
          <w:tcPr>
            <w:tcW w:w="1947" w:type="pct"/>
            <w:shd w:val="clear" w:color="auto" w:fill="auto"/>
          </w:tcPr>
          <w:p>
            <w:pPr>
              <w:spacing w:line="360" w:lineRule="auto"/>
              <w:jc w:val="both"/>
              <w:rPr>
                <w:rFonts w:ascii="Book Antiqua" w:hAnsi="Book Antiqua" w:cstheme="minorBidi"/>
              </w:rPr>
            </w:pPr>
            <w:r>
              <w:rPr>
                <w:rFonts w:ascii="Book Antiqua" w:hAnsi="Book Antiqua" w:cstheme="minorBidi"/>
              </w:rPr>
              <w:t>76 (84%)</w:t>
            </w:r>
          </w:p>
        </w:tc>
        <w:tc>
          <w:tcPr>
            <w:tcW w:w="1605" w:type="pct"/>
            <w:shd w:val="clear" w:color="auto" w:fill="auto"/>
          </w:tcPr>
          <w:p>
            <w:pPr>
              <w:spacing w:line="360" w:lineRule="auto"/>
              <w:jc w:val="both"/>
              <w:rPr>
                <w:rFonts w:ascii="Book Antiqua" w:hAnsi="Book Antiqua" w:cstheme="minorBidi"/>
              </w:rPr>
            </w:pPr>
            <w:r>
              <w:rPr>
                <w:rFonts w:ascii="Book Antiqua" w:hAnsi="Book Antiqua" w:cstheme="minorBidi"/>
              </w:rPr>
              <w:t>74 (86%)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448" w:type="pct"/>
            <w:shd w:val="clear" w:color="auto" w:fill="auto"/>
          </w:tcPr>
          <w:p>
            <w:pPr>
              <w:spacing w:line="360" w:lineRule="auto"/>
              <w:jc w:val="both"/>
              <w:rPr>
                <w:rFonts w:ascii="Book Antiqua" w:hAnsi="Book Antiqua" w:cstheme="minorBidi"/>
              </w:rPr>
            </w:pPr>
            <w:r>
              <w:rPr>
                <w:rFonts w:ascii="Book Antiqua" w:hAnsi="Book Antiqua" w:cstheme="minorBidi"/>
              </w:rPr>
              <w:t>Other</w:t>
            </w:r>
            <w:r>
              <w:rPr>
                <w:rFonts w:ascii="Book Antiqua" w:hAnsi="Book Antiqua" w:cstheme="minorBidi"/>
                <w:b/>
                <w:bCs/>
              </w:rPr>
              <w:t xml:space="preserve"> </w:t>
            </w:r>
            <w:r>
              <w:rPr>
                <w:rFonts w:ascii="Book Antiqua" w:hAnsi="Book Antiqua" w:cstheme="minorBidi"/>
              </w:rPr>
              <w:t>races</w:t>
            </w:r>
          </w:p>
        </w:tc>
        <w:tc>
          <w:tcPr>
            <w:tcW w:w="1947" w:type="pct"/>
            <w:shd w:val="clear" w:color="auto" w:fill="auto"/>
          </w:tcPr>
          <w:p>
            <w:pPr>
              <w:spacing w:line="360" w:lineRule="auto"/>
              <w:jc w:val="both"/>
              <w:rPr>
                <w:rFonts w:ascii="Book Antiqua" w:hAnsi="Book Antiqua" w:cstheme="minorBidi"/>
              </w:rPr>
            </w:pPr>
            <w:r>
              <w:rPr>
                <w:rFonts w:ascii="Book Antiqua" w:hAnsi="Book Antiqua" w:cstheme="minorBidi"/>
              </w:rPr>
              <w:t>14 (16%)</w:t>
            </w:r>
          </w:p>
        </w:tc>
        <w:tc>
          <w:tcPr>
            <w:tcW w:w="1605" w:type="pct"/>
            <w:shd w:val="clear" w:color="auto" w:fill="auto"/>
          </w:tcPr>
          <w:p>
            <w:pPr>
              <w:spacing w:line="360" w:lineRule="auto"/>
              <w:jc w:val="both"/>
              <w:rPr>
                <w:rFonts w:ascii="Book Antiqua" w:hAnsi="Book Antiqua" w:cstheme="minorBidi"/>
              </w:rPr>
            </w:pPr>
            <w:r>
              <w:rPr>
                <w:rFonts w:ascii="Book Antiqua" w:hAnsi="Book Antiqua" w:cstheme="minorBidi"/>
              </w:rPr>
              <w:t>12 (14%)</w:t>
            </w:r>
          </w:p>
        </w:tc>
      </w:tr>
    </w:tbl>
    <w:p>
      <w:pPr>
        <w:spacing w:line="360" w:lineRule="auto"/>
        <w:jc w:val="both"/>
        <w:rPr>
          <w:rFonts w:ascii="Book Antiqua" w:hAnsi="Book Antiqua"/>
          <w:lang w:eastAsia="zh-CN"/>
        </w:rPr>
      </w:pPr>
      <w:r>
        <w:rPr>
          <w:rFonts w:ascii="Book Antiqua" w:hAnsi="Book Antiqua"/>
        </w:rPr>
        <w:t>IQR</w:t>
      </w:r>
      <w:r>
        <w:rPr>
          <w:rFonts w:hint="eastAsia" w:ascii="Book Antiqua" w:hAnsi="Book Antiqua"/>
          <w:lang w:eastAsia="zh-CN"/>
        </w:rPr>
        <w:t>: I</w:t>
      </w:r>
      <w:r>
        <w:rPr>
          <w:rFonts w:ascii="Book Antiqua" w:hAnsi="Book Antiqua"/>
        </w:rPr>
        <w:t>nterquartile ratio; SD</w:t>
      </w:r>
      <w:r>
        <w:rPr>
          <w:rFonts w:hint="eastAsia" w:ascii="Book Antiqua" w:hAnsi="Book Antiqua"/>
          <w:lang w:eastAsia="zh-CN"/>
        </w:rPr>
        <w:t>: S</w:t>
      </w:r>
      <w:r>
        <w:rPr>
          <w:rFonts w:ascii="Book Antiqua" w:hAnsi="Book Antiqua"/>
        </w:rPr>
        <w:t>tandard deviation</w:t>
      </w:r>
      <w:r>
        <w:rPr>
          <w:rFonts w:hint="eastAsia" w:ascii="Book Antiqua" w:hAnsi="Book Antiqua"/>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b/>
        </w:rPr>
      </w:pPr>
      <w:r>
        <w:rPr>
          <w:rFonts w:ascii="Book Antiqua" w:hAnsi="Book Antiqua"/>
          <w:b/>
        </w:rPr>
        <w:t>Table 2</w:t>
      </w:r>
      <w:r>
        <w:rPr>
          <w:rFonts w:hint="eastAsia" w:ascii="Book Antiqua" w:hAnsi="Book Antiqua"/>
          <w:b/>
          <w:lang w:eastAsia="zh-CN"/>
        </w:rPr>
        <w:t xml:space="preserve"> </w:t>
      </w:r>
      <w:r>
        <w:rPr>
          <w:rFonts w:ascii="Book Antiqua" w:hAnsi="Book Antiqua"/>
          <w:b/>
        </w:rPr>
        <w:t>Descriptive statistics associated with pre-education scores of individuals recruited on site and those recruited via phone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37"/>
        <w:gridCol w:w="2337"/>
        <w:gridCol w:w="2338"/>
        <w:gridCol w:w="2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6" w:hRule="atLeast"/>
        </w:trPr>
        <w:tc>
          <w:tcPr>
            <w:tcW w:w="2337"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Pre-education score</w:t>
            </w:r>
          </w:p>
        </w:tc>
        <w:tc>
          <w:tcPr>
            <w:tcW w:w="4675" w:type="dxa"/>
            <w:gridSpan w:val="2"/>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 xml:space="preserve">Recruitment </w:t>
            </w:r>
            <w:r>
              <w:rPr>
                <w:rFonts w:hint="eastAsia" w:ascii="Book Antiqua" w:hAnsi="Book Antiqua" w:cstheme="minorBidi"/>
                <w:b/>
                <w:lang w:eastAsia="zh-CN"/>
              </w:rPr>
              <w:t>m</w:t>
            </w:r>
            <w:r>
              <w:rPr>
                <w:rFonts w:ascii="Book Antiqua" w:hAnsi="Book Antiqua" w:cstheme="minorBidi"/>
                <w:b/>
                <w:lang w:eastAsia="zh-CN"/>
              </w:rPr>
              <w:t>ethod</w:t>
            </w:r>
          </w:p>
        </w:tc>
        <w:tc>
          <w:tcPr>
            <w:tcW w:w="2338"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Intervention site</w:t>
            </w:r>
          </w:p>
          <w:p>
            <w:pPr>
              <w:spacing w:line="360" w:lineRule="auto"/>
              <w:jc w:val="both"/>
              <w:rPr>
                <w:rFonts w:ascii="Book Antiqua" w:hAnsi="Book Antiqua" w:cstheme="minorBidi"/>
                <w:b/>
                <w:lang w:eastAsia="zh-CN"/>
              </w:rPr>
            </w:pPr>
            <w:r>
              <w:rPr>
                <w:rFonts w:ascii="Book Antiqua" w:hAnsi="Book Antiqua" w:cstheme="minorBidi"/>
                <w:b/>
                <w:lang w:eastAsia="zh-CN"/>
              </w:rPr>
              <w:t xml:space="preserve"> total (</w:t>
            </w:r>
            <w:r>
              <w:rPr>
                <w:rFonts w:hint="eastAsia" w:ascii="Book Antiqua" w:hAnsi="Book Antiqua" w:cstheme="minorBidi"/>
                <w:b/>
                <w:i/>
                <w:lang w:eastAsia="zh-CN"/>
              </w:rPr>
              <w:t>n</w:t>
            </w:r>
            <w:r>
              <w:rPr>
                <w:rFonts w:ascii="Book Antiqua" w:hAnsi="Book Antiqua" w:cstheme="minorBidi"/>
                <w:b/>
                <w:lang w:eastAsia="zh-CN"/>
              </w:rPr>
              <w:t xml:space="preserve"> = 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2337" w:type="dxa"/>
            <w:vMerge w:val="continue"/>
            <w:tcBorders>
              <w:top w:val="single" w:color="auto" w:sz="4" w:space="0"/>
              <w:bottom w:val="single" w:color="auto" w:sz="4" w:space="0"/>
            </w:tcBorders>
          </w:tcPr>
          <w:p>
            <w:pPr>
              <w:spacing w:line="360" w:lineRule="auto"/>
              <w:jc w:val="both"/>
              <w:rPr>
                <w:rFonts w:ascii="Book Antiqua" w:hAnsi="Book Antiqua" w:cstheme="minorBidi"/>
                <w:b/>
                <w:lang w:eastAsia="zh-CN"/>
              </w:rPr>
            </w:pPr>
          </w:p>
        </w:tc>
        <w:tc>
          <w:tcPr>
            <w:tcW w:w="2337"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On-site (</w:t>
            </w:r>
            <w:r>
              <w:rPr>
                <w:rFonts w:hint="eastAsia" w:ascii="Book Antiqua" w:hAnsi="Book Antiqua" w:cstheme="minorBidi"/>
                <w:b/>
                <w:i/>
                <w:lang w:eastAsia="zh-CN"/>
              </w:rPr>
              <w:t>n</w:t>
            </w:r>
            <w:r>
              <w:rPr>
                <w:rFonts w:ascii="Book Antiqua" w:hAnsi="Book Antiqua" w:cstheme="minorBidi"/>
                <w:b/>
                <w:lang w:eastAsia="zh-CN"/>
              </w:rPr>
              <w:t xml:space="preserve"> =</w:t>
            </w:r>
            <w:r>
              <w:rPr>
                <w:rFonts w:hint="eastAsia" w:ascii="Book Antiqua" w:hAnsi="Book Antiqua" w:cstheme="minorBidi"/>
                <w:b/>
                <w:lang w:eastAsia="zh-CN"/>
              </w:rPr>
              <w:t xml:space="preserve"> </w:t>
            </w:r>
            <w:r>
              <w:rPr>
                <w:rFonts w:ascii="Book Antiqua" w:hAnsi="Book Antiqua" w:cstheme="minorBidi"/>
                <w:b/>
                <w:lang w:eastAsia="zh-CN"/>
              </w:rPr>
              <w:t>50)</w:t>
            </w:r>
          </w:p>
        </w:tc>
        <w:tc>
          <w:tcPr>
            <w:tcW w:w="2338"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Via phone (</w:t>
            </w:r>
            <w:r>
              <w:rPr>
                <w:rFonts w:hint="eastAsia" w:ascii="Book Antiqua" w:hAnsi="Book Antiqua" w:cstheme="minorBidi"/>
                <w:b/>
                <w:i/>
                <w:lang w:eastAsia="zh-CN"/>
              </w:rPr>
              <w:t>n</w:t>
            </w:r>
            <w:r>
              <w:rPr>
                <w:rFonts w:ascii="Book Antiqua" w:hAnsi="Book Antiqua" w:cstheme="minorBidi"/>
                <w:b/>
                <w:lang w:eastAsia="zh-CN"/>
              </w:rPr>
              <w:t xml:space="preserve"> = 36)</w:t>
            </w:r>
          </w:p>
        </w:tc>
        <w:tc>
          <w:tcPr>
            <w:tcW w:w="2338" w:type="dxa"/>
            <w:vMerge w:val="continue"/>
            <w:tcBorders>
              <w:top w:val="single" w:color="auto" w:sz="4" w:space="0"/>
              <w:bottom w:val="single" w:color="auto" w:sz="4" w:space="0"/>
            </w:tcBorders>
          </w:tcPr>
          <w:p>
            <w:pPr>
              <w:spacing w:line="360" w:lineRule="auto"/>
              <w:jc w:val="both"/>
              <w:rPr>
                <w:rFonts w:ascii="Book Antiqua" w:hAnsi="Book Antiqua" w:cstheme="minorBidi"/>
                <w:b/>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37"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Mean (SD)</w:t>
            </w:r>
          </w:p>
        </w:tc>
        <w:tc>
          <w:tcPr>
            <w:tcW w:w="2337"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19.3 (2.27)</w:t>
            </w:r>
          </w:p>
        </w:tc>
        <w:tc>
          <w:tcPr>
            <w:tcW w:w="2338"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18.6 (2.51)</w:t>
            </w:r>
          </w:p>
        </w:tc>
        <w:tc>
          <w:tcPr>
            <w:tcW w:w="2338"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19.0 (2.38)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37" w:type="dxa"/>
            <w:tcBorders>
              <w:bottom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Median (Min, Max)</w:t>
            </w:r>
          </w:p>
        </w:tc>
        <w:tc>
          <w:tcPr>
            <w:tcW w:w="2337" w:type="dxa"/>
            <w:tcBorders>
              <w:bottom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19.0 ([15, 24])</w:t>
            </w:r>
          </w:p>
        </w:tc>
        <w:tc>
          <w:tcPr>
            <w:tcW w:w="2338" w:type="dxa"/>
            <w:tcBorders>
              <w:bottom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18.5 ([13,</w:t>
            </w:r>
            <w:r>
              <w:rPr>
                <w:rFonts w:hint="eastAsia" w:ascii="Book Antiqua" w:hAnsi="Book Antiqua" w:cstheme="minorBidi"/>
                <w:lang w:eastAsia="zh-CN"/>
              </w:rPr>
              <w:t xml:space="preserve"> </w:t>
            </w:r>
            <w:r>
              <w:rPr>
                <w:rFonts w:ascii="Book Antiqua" w:hAnsi="Book Antiqua" w:cstheme="minorBidi"/>
                <w:lang w:eastAsia="zh-CN"/>
              </w:rPr>
              <w:t>24])</w:t>
            </w:r>
          </w:p>
        </w:tc>
        <w:tc>
          <w:tcPr>
            <w:tcW w:w="2338" w:type="dxa"/>
            <w:tcBorders>
              <w:bottom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19.0 ([13,</w:t>
            </w:r>
            <w:r>
              <w:rPr>
                <w:rFonts w:hint="eastAsia" w:ascii="Book Antiqua" w:hAnsi="Book Antiqua" w:cstheme="minorBidi"/>
                <w:lang w:eastAsia="zh-CN"/>
              </w:rPr>
              <w:t xml:space="preserve"> </w:t>
            </w:r>
            <w:r>
              <w:rPr>
                <w:rFonts w:ascii="Book Antiqua" w:hAnsi="Book Antiqua" w:cstheme="minorBidi"/>
                <w:lang w:eastAsia="zh-CN"/>
              </w:rPr>
              <w:t>24])</w:t>
            </w:r>
          </w:p>
        </w:tc>
      </w:tr>
    </w:tbl>
    <w:p>
      <w:pPr>
        <w:spacing w:line="360" w:lineRule="auto"/>
        <w:jc w:val="both"/>
        <w:rPr>
          <w:rFonts w:ascii="Book Antiqua" w:hAnsi="Book Antiqua"/>
          <w:lang w:eastAsia="zh-CN"/>
        </w:rPr>
      </w:pPr>
      <w:r>
        <w:rPr>
          <w:rFonts w:ascii="Book Antiqua" w:hAnsi="Book Antiqua"/>
        </w:rPr>
        <w:t>SD</w:t>
      </w:r>
      <w:r>
        <w:rPr>
          <w:rFonts w:hint="eastAsia" w:ascii="Book Antiqua" w:hAnsi="Book Antiqua"/>
          <w:lang w:eastAsia="zh-CN"/>
        </w:rPr>
        <w:t>: S</w:t>
      </w:r>
      <w:r>
        <w:rPr>
          <w:rFonts w:ascii="Book Antiqua" w:hAnsi="Book Antiqua"/>
        </w:rPr>
        <w:t>tandard deviation.</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Times New Roman"/>
          <w:b/>
          <w:color w:val="000000"/>
        </w:rPr>
        <w:t>Table 3</w:t>
      </w:r>
      <w:r>
        <w:rPr>
          <w:rFonts w:hint="eastAsia" w:ascii="Book Antiqua" w:hAnsi="Book Antiqua"/>
          <w:b/>
          <w:color w:val="000000"/>
          <w:lang w:eastAsia="zh-CN"/>
        </w:rPr>
        <w:t xml:space="preserve"> </w:t>
      </w:r>
      <w:r>
        <w:rPr>
          <w:rFonts w:ascii="Book Antiqua" w:hAnsi="Book Antiqua" w:eastAsia="Times New Roman"/>
          <w:b/>
          <w:color w:val="000000"/>
        </w:rPr>
        <w:t>Results of type III tests of fixed effects</w:t>
      </w:r>
    </w:p>
    <w:tbl>
      <w:tblPr>
        <w:tblStyle w:val="1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05"/>
        <w:gridCol w:w="1255"/>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657"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imes New Roman"/>
                <w:b/>
                <w:color w:val="000000"/>
                <w:lang w:eastAsia="zh-CN"/>
              </w:rPr>
            </w:pPr>
            <w:r>
              <w:rPr>
                <w:rFonts w:ascii="Book Antiqua" w:hAnsi="Book Antiqua" w:eastAsia="Times New Roman" w:cs="Times New Roman"/>
                <w:b/>
                <w:color w:val="000000"/>
                <w:lang w:eastAsia="zh-CN"/>
              </w:rPr>
              <w:t>Effect</w:t>
            </w:r>
          </w:p>
        </w:tc>
        <w:tc>
          <w:tcPr>
            <w:tcW w:w="655"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imes New Roman"/>
                <w:b/>
                <w:bCs/>
                <w:color w:val="000000"/>
                <w:lang w:eastAsia="zh-CN"/>
              </w:rPr>
            </w:pPr>
            <w:r>
              <w:rPr>
                <w:rFonts w:ascii="Book Antiqua" w:hAnsi="Book Antiqua" w:eastAsia="Times New Roman" w:cs="Times New Roman"/>
                <w:b/>
                <w:bCs/>
                <w:color w:val="000000"/>
                <w:lang w:eastAsia="zh-CN"/>
              </w:rPr>
              <w:t xml:space="preserve">F </w:t>
            </w:r>
            <w:r>
              <w:rPr>
                <w:rFonts w:hint="eastAsia" w:ascii="Book Antiqua" w:hAnsi="Book Antiqua" w:cs="Times New Roman"/>
                <w:b/>
                <w:bCs/>
                <w:color w:val="000000"/>
                <w:lang w:eastAsia="zh-CN"/>
              </w:rPr>
              <w:t>v</w:t>
            </w:r>
            <w:r>
              <w:rPr>
                <w:rFonts w:ascii="Book Antiqua" w:hAnsi="Book Antiqua" w:eastAsia="Times New Roman" w:cs="Times New Roman"/>
                <w:b/>
                <w:bCs/>
                <w:color w:val="000000"/>
                <w:lang w:eastAsia="zh-CN"/>
              </w:rPr>
              <w:t>alue</w:t>
            </w:r>
          </w:p>
        </w:tc>
        <w:tc>
          <w:tcPr>
            <w:tcW w:w="687"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imes New Roman"/>
                <w:b/>
                <w:bCs/>
                <w:color w:val="000000"/>
                <w:lang w:eastAsia="zh-CN"/>
              </w:rPr>
            </w:pPr>
            <w:r>
              <w:rPr>
                <w:rFonts w:ascii="Book Antiqua" w:hAnsi="Book Antiqua" w:eastAsia="Times New Roman" w:cs="Times New Roman"/>
                <w:b/>
                <w:bCs/>
                <w:i/>
                <w:color w:val="000000"/>
                <w:lang w:eastAsia="zh-CN"/>
              </w:rPr>
              <w:t>P</w:t>
            </w:r>
            <w:r>
              <w:rPr>
                <w:rFonts w:hint="eastAsia" w:ascii="Book Antiqua" w:hAnsi="Book Antiqua" w:cs="Times New Roman"/>
                <w:b/>
                <w:bCs/>
                <w:color w:val="000000"/>
                <w:lang w:eastAsia="zh-CN"/>
              </w:rPr>
              <w:t xml:space="preserve"> </w:t>
            </w:r>
            <w:r>
              <w:rPr>
                <w:rFonts w:ascii="Book Antiqua" w:hAnsi="Book Antiqua" w:eastAsia="Times New Roman" w:cs="Times New Roman"/>
                <w:b/>
                <w:bCs/>
                <w:color w:val="000000"/>
                <w:lang w:eastAsia="zh-CN"/>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657" w:type="pct"/>
            <w:tcBorders>
              <w:top w:val="single" w:color="auto" w:sz="4" w:space="0"/>
            </w:tcBorders>
            <w:shd w:val="clear" w:color="auto" w:fill="auto"/>
            <w:noWrap/>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Age</w:t>
            </w:r>
          </w:p>
        </w:tc>
        <w:tc>
          <w:tcPr>
            <w:tcW w:w="655" w:type="pct"/>
            <w:tcBorders>
              <w:top w:val="single" w:color="auto" w:sz="4" w:space="0"/>
            </w:tcBorders>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0.92</w:t>
            </w:r>
          </w:p>
        </w:tc>
        <w:tc>
          <w:tcPr>
            <w:tcW w:w="687" w:type="pct"/>
            <w:tcBorders>
              <w:top w:val="single" w:color="auto" w:sz="4" w:space="0"/>
            </w:tcBorders>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0.3378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657" w:type="pct"/>
            <w:shd w:val="clear" w:color="auto" w:fill="auto"/>
            <w:noWrap/>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Gender</w:t>
            </w:r>
          </w:p>
        </w:tc>
        <w:tc>
          <w:tcPr>
            <w:tcW w:w="655" w:type="pct"/>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0</w:t>
            </w:r>
          </w:p>
        </w:tc>
        <w:tc>
          <w:tcPr>
            <w:tcW w:w="687" w:type="pct"/>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0.9710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657" w:type="pct"/>
            <w:shd w:val="clear" w:color="auto" w:fill="auto"/>
            <w:noWrap/>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Race</w:t>
            </w:r>
            <w:r>
              <w:rPr>
                <w:rFonts w:ascii="Book Antiqua" w:hAnsi="Book Antiqua" w:eastAsia="Times New Roman" w:cs="Times New Roman"/>
                <w:color w:val="000000"/>
                <w:vertAlign w:val="superscript"/>
                <w:lang w:eastAsia="zh-CN"/>
              </w:rPr>
              <w:t>1</w:t>
            </w:r>
          </w:p>
        </w:tc>
        <w:tc>
          <w:tcPr>
            <w:tcW w:w="655" w:type="pct"/>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2.62</w:t>
            </w:r>
          </w:p>
        </w:tc>
        <w:tc>
          <w:tcPr>
            <w:tcW w:w="687" w:type="pct"/>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0.1072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657" w:type="pct"/>
            <w:shd w:val="clear" w:color="auto" w:fill="auto"/>
            <w:noWrap/>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Educational intervention</w:t>
            </w:r>
            <w:r>
              <w:rPr>
                <w:rFonts w:ascii="Book Antiqua" w:hAnsi="Book Antiqua" w:eastAsia="Times New Roman" w:cs="Times New Roman"/>
                <w:color w:val="000000"/>
                <w:vertAlign w:val="superscript"/>
                <w:lang w:eastAsia="zh-CN"/>
              </w:rPr>
              <w:t>2</w:t>
            </w:r>
          </w:p>
        </w:tc>
        <w:tc>
          <w:tcPr>
            <w:tcW w:w="655" w:type="pct"/>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4.65</w:t>
            </w:r>
          </w:p>
        </w:tc>
        <w:tc>
          <w:tcPr>
            <w:tcW w:w="687" w:type="pct"/>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0.0326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657" w:type="pct"/>
            <w:shd w:val="clear" w:color="auto" w:fill="auto"/>
            <w:noWrap/>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Time point</w:t>
            </w:r>
            <w:r>
              <w:rPr>
                <w:rFonts w:ascii="Book Antiqua" w:hAnsi="Book Antiqua" w:eastAsia="Times New Roman" w:cs="Times New Roman"/>
                <w:color w:val="000000"/>
                <w:vertAlign w:val="superscript"/>
                <w:lang w:eastAsia="zh-CN"/>
              </w:rPr>
              <w:t>3</w:t>
            </w:r>
          </w:p>
        </w:tc>
        <w:tc>
          <w:tcPr>
            <w:tcW w:w="655" w:type="pct"/>
            <w:shd w:val="clear" w:color="auto" w:fill="auto"/>
            <w:noWrap/>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13.01</w:t>
            </w:r>
          </w:p>
        </w:tc>
        <w:tc>
          <w:tcPr>
            <w:tcW w:w="687" w:type="pct"/>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657" w:type="pct"/>
            <w:shd w:val="clear" w:color="auto" w:fill="auto"/>
            <w:noWrap/>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Educational intervention</w:t>
            </w:r>
            <w:r>
              <w:rPr>
                <w:rFonts w:hint="eastAsia" w:ascii="Book Antiqua" w:hAnsi="Book Antiqua" w:cs="Times New Roman"/>
                <w:color w:val="000000"/>
                <w:lang w:eastAsia="zh-CN"/>
              </w:rPr>
              <w:t xml:space="preserve"> </w:t>
            </w:r>
            <w:r>
              <w:rPr>
                <w:rFonts w:ascii="Book Antiqua" w:hAnsi="Book Antiqua" w:eastAsia="Times New Roman" w:cs="Times New Roman"/>
                <w:color w:val="000000"/>
                <w:lang w:eastAsia="zh-CN"/>
              </w:rPr>
              <w:t>×</w:t>
            </w:r>
            <w:r>
              <w:rPr>
                <w:rFonts w:hint="eastAsia" w:ascii="Book Antiqua" w:hAnsi="Book Antiqua" w:cs="Times New Roman"/>
                <w:color w:val="000000"/>
                <w:lang w:eastAsia="zh-CN"/>
              </w:rPr>
              <w:t xml:space="preserve"> </w:t>
            </w:r>
            <w:r>
              <w:rPr>
                <w:rFonts w:ascii="Book Antiqua" w:hAnsi="Book Antiqua" w:eastAsia="Times New Roman" w:cs="Times New Roman"/>
                <w:color w:val="000000"/>
                <w:lang w:eastAsia="zh-CN"/>
              </w:rPr>
              <w:t>time point</w:t>
            </w:r>
          </w:p>
        </w:tc>
        <w:tc>
          <w:tcPr>
            <w:tcW w:w="655" w:type="pct"/>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0.41</w:t>
            </w:r>
          </w:p>
        </w:tc>
        <w:tc>
          <w:tcPr>
            <w:tcW w:w="687" w:type="pct"/>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0.5219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657" w:type="pct"/>
            <w:tcBorders>
              <w:bottom w:val="single" w:color="auto" w:sz="4" w:space="0"/>
            </w:tcBorders>
            <w:shd w:val="clear" w:color="auto" w:fill="auto"/>
            <w:noWrap/>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Baseline score (Pre-education score)</w:t>
            </w:r>
          </w:p>
        </w:tc>
        <w:tc>
          <w:tcPr>
            <w:tcW w:w="655" w:type="pct"/>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36.22</w:t>
            </w:r>
          </w:p>
        </w:tc>
        <w:tc>
          <w:tcPr>
            <w:tcW w:w="687" w:type="pct"/>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eastAsia="zh-CN"/>
              </w:rPr>
            </w:pPr>
            <w:r>
              <w:rPr>
                <w:rFonts w:ascii="Book Antiqua" w:hAnsi="Book Antiqua" w:eastAsia="Times New Roman" w:cs="Times New Roman"/>
                <w:color w:val="000000"/>
                <w:lang w:eastAsia="zh-CN"/>
              </w:rPr>
              <w:t>&lt;</w:t>
            </w:r>
            <w:r>
              <w:rPr>
                <w:rFonts w:hint="eastAsia" w:ascii="Book Antiqua" w:hAnsi="Book Antiqua" w:cs="Times New Roman"/>
                <w:color w:val="000000"/>
                <w:lang w:eastAsia="zh-CN"/>
              </w:rPr>
              <w:t xml:space="preserve"> 0</w:t>
            </w:r>
            <w:r>
              <w:rPr>
                <w:rFonts w:ascii="Book Antiqua" w:hAnsi="Book Antiqua" w:eastAsia="Times New Roman" w:cs="Times New Roman"/>
                <w:color w:val="000000"/>
                <w:lang w:eastAsia="zh-CN"/>
              </w:rPr>
              <w:t>.0001</w:t>
            </w:r>
          </w:p>
        </w:tc>
      </w:tr>
    </w:tbl>
    <w:p>
      <w:pPr>
        <w:spacing w:line="360" w:lineRule="auto"/>
        <w:jc w:val="both"/>
        <w:rPr>
          <w:rFonts w:ascii="Book Antiqua" w:hAnsi="Book Antiqua" w:eastAsia="Times New Roman"/>
          <w:b/>
          <w:bCs/>
          <w:color w:val="000000"/>
          <w:vertAlign w:val="superscript"/>
        </w:rPr>
      </w:pPr>
      <w:r>
        <w:rPr>
          <w:rFonts w:ascii="Book Antiqua" w:hAnsi="Book Antiqua" w:eastAsia="Times New Roman"/>
          <w:b/>
          <w:bCs/>
          <w:color w:val="000000"/>
          <w:vertAlign w:val="superscript"/>
        </w:rPr>
        <w:t>1</w:t>
      </w:r>
      <w:r>
        <w:rPr>
          <w:rFonts w:ascii="Book Antiqua" w:hAnsi="Book Antiqua"/>
        </w:rPr>
        <w:t>Race is categorized into to two levels: white and other races.</w:t>
      </w:r>
      <w:r>
        <w:rPr>
          <w:rFonts w:ascii="Book Antiqua" w:hAnsi="Book Antiqua" w:eastAsia="Times New Roman"/>
          <w:b/>
          <w:bCs/>
          <w:color w:val="000000"/>
          <w:vertAlign w:val="superscript"/>
        </w:rPr>
        <w:t xml:space="preserve"> </w:t>
      </w:r>
    </w:p>
    <w:p>
      <w:pPr>
        <w:spacing w:line="360" w:lineRule="auto"/>
        <w:jc w:val="both"/>
        <w:rPr>
          <w:rFonts w:ascii="Book Antiqua" w:hAnsi="Book Antiqua"/>
        </w:rPr>
      </w:pPr>
      <w:r>
        <w:rPr>
          <w:rFonts w:ascii="Book Antiqua" w:hAnsi="Book Antiqua" w:eastAsia="Times New Roman"/>
          <w:b/>
          <w:bCs/>
          <w:color w:val="000000"/>
          <w:vertAlign w:val="superscript"/>
        </w:rPr>
        <w:t>2</w:t>
      </w:r>
      <w:r>
        <w:rPr>
          <w:rFonts w:ascii="Book Antiqua" w:hAnsi="Book Antiqua"/>
        </w:rPr>
        <w:t xml:space="preserve">Educational intervention indicates either the intervention or the control group. </w:t>
      </w:r>
    </w:p>
    <w:p>
      <w:pPr>
        <w:spacing w:line="360" w:lineRule="auto"/>
        <w:jc w:val="both"/>
        <w:rPr>
          <w:rFonts w:ascii="Book Antiqua" w:hAnsi="Book Antiqua"/>
        </w:rPr>
      </w:pPr>
      <w:r>
        <w:rPr>
          <w:rFonts w:ascii="Book Antiqua" w:hAnsi="Book Antiqua" w:eastAsia="Times New Roman"/>
          <w:b/>
          <w:bCs/>
          <w:color w:val="000000"/>
          <w:vertAlign w:val="superscript"/>
        </w:rPr>
        <w:t>3</w:t>
      </w:r>
      <w:r>
        <w:rPr>
          <w:rFonts w:ascii="Book Antiqua" w:hAnsi="Book Antiqua"/>
        </w:rPr>
        <w:t xml:space="preserve">Time point indicates the post-education or one-month follow up assessment. </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32</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0400F"/>
    <w:rsid w:val="000251D4"/>
    <w:rsid w:val="00051F56"/>
    <w:rsid w:val="00052D74"/>
    <w:rsid w:val="000A392B"/>
    <w:rsid w:val="000D6925"/>
    <w:rsid w:val="00107D50"/>
    <w:rsid w:val="00184705"/>
    <w:rsid w:val="00187F81"/>
    <w:rsid w:val="0019390F"/>
    <w:rsid w:val="001976BB"/>
    <w:rsid w:val="001D5187"/>
    <w:rsid w:val="002169A3"/>
    <w:rsid w:val="00222097"/>
    <w:rsid w:val="002469D5"/>
    <w:rsid w:val="00296496"/>
    <w:rsid w:val="002B319C"/>
    <w:rsid w:val="003443F2"/>
    <w:rsid w:val="003621F3"/>
    <w:rsid w:val="00367F46"/>
    <w:rsid w:val="00374BA2"/>
    <w:rsid w:val="00434622"/>
    <w:rsid w:val="00470064"/>
    <w:rsid w:val="00482591"/>
    <w:rsid w:val="0048582D"/>
    <w:rsid w:val="004B6C8B"/>
    <w:rsid w:val="004F3502"/>
    <w:rsid w:val="00502A90"/>
    <w:rsid w:val="00574E9D"/>
    <w:rsid w:val="005B3A9F"/>
    <w:rsid w:val="005C6F68"/>
    <w:rsid w:val="0062469B"/>
    <w:rsid w:val="00625C5D"/>
    <w:rsid w:val="0065752C"/>
    <w:rsid w:val="00687D10"/>
    <w:rsid w:val="006B791C"/>
    <w:rsid w:val="006C0758"/>
    <w:rsid w:val="0073012A"/>
    <w:rsid w:val="00744112"/>
    <w:rsid w:val="007609EE"/>
    <w:rsid w:val="00783E98"/>
    <w:rsid w:val="007B4576"/>
    <w:rsid w:val="007C0EDF"/>
    <w:rsid w:val="0086386B"/>
    <w:rsid w:val="00891486"/>
    <w:rsid w:val="00935BF0"/>
    <w:rsid w:val="00935E59"/>
    <w:rsid w:val="00951906"/>
    <w:rsid w:val="00952F18"/>
    <w:rsid w:val="00991B35"/>
    <w:rsid w:val="00A77B3E"/>
    <w:rsid w:val="00AE1658"/>
    <w:rsid w:val="00AE1D2D"/>
    <w:rsid w:val="00AE6603"/>
    <w:rsid w:val="00AF3FF5"/>
    <w:rsid w:val="00B03C2B"/>
    <w:rsid w:val="00B64EEF"/>
    <w:rsid w:val="00BA4F4D"/>
    <w:rsid w:val="00BE4152"/>
    <w:rsid w:val="00BF7DD1"/>
    <w:rsid w:val="00C0121B"/>
    <w:rsid w:val="00C31622"/>
    <w:rsid w:val="00C63F67"/>
    <w:rsid w:val="00C66A34"/>
    <w:rsid w:val="00CA2A55"/>
    <w:rsid w:val="00CF438B"/>
    <w:rsid w:val="00CF60F8"/>
    <w:rsid w:val="00D0387B"/>
    <w:rsid w:val="00D27550"/>
    <w:rsid w:val="00D361DE"/>
    <w:rsid w:val="00DA60F7"/>
    <w:rsid w:val="00DA7FF3"/>
    <w:rsid w:val="00DC32B0"/>
    <w:rsid w:val="00DF7628"/>
    <w:rsid w:val="00E05540"/>
    <w:rsid w:val="00E15AC1"/>
    <w:rsid w:val="00E40C08"/>
    <w:rsid w:val="00F71ED8"/>
    <w:rsid w:val="00F76729"/>
    <w:rsid w:val="00F97647"/>
    <w:rsid w:val="00FC5F74"/>
    <w:rsid w:val="00FE4CF6"/>
    <w:rsid w:val="0F050AEA"/>
    <w:rsid w:val="34093241"/>
    <w:rsid w:val="366619F8"/>
    <w:rsid w:val="4B333ADA"/>
    <w:rsid w:val="6FBA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99"/>
  </w:style>
  <w:style w:type="paragraph" w:styleId="3">
    <w:name w:val="Balloon Text"/>
    <w:basedOn w:val="1"/>
    <w:link w:val="18"/>
    <w:qFormat/>
    <w:uiPriority w:val="0"/>
    <w:rPr>
      <w:sz w:val="18"/>
      <w:szCs w:val="18"/>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qFormat/>
    <w:uiPriority w:val="0"/>
    <w:rPr>
      <w:b/>
      <w:bCs/>
    </w:rPr>
  </w:style>
  <w:style w:type="table" w:styleId="8">
    <w:name w:val="Table Grid"/>
    <w:basedOn w:val="7"/>
    <w:qFormat/>
    <w:uiPriority w:val="39"/>
    <w:rPr>
      <w:rFonts w:asciiTheme="minorHAnsi" w:hAnsiTheme="minorHAnsi" w:cstheme="minorBidi"/>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99"/>
    <w:rPr>
      <w:rFonts w:cs="Times New Roman"/>
      <w:color w:val="0000FF"/>
      <w:u w:val="single"/>
    </w:rPr>
  </w:style>
  <w:style w:type="character" w:styleId="11">
    <w:name w:val="annotation reference"/>
    <w:basedOn w:val="9"/>
    <w:qFormat/>
    <w:uiPriority w:val="0"/>
    <w:rPr>
      <w:sz w:val="21"/>
      <w:szCs w:val="21"/>
    </w:rPr>
  </w:style>
  <w:style w:type="table" w:customStyle="1" w:styleId="12">
    <w:name w:val="Grid Table 5 Dark - Accent 31"/>
    <w:basedOn w:val="7"/>
    <w:qFormat/>
    <w:uiPriority w:val="50"/>
    <w:rPr>
      <w:rFonts w:asciiTheme="minorHAnsi" w:hAnsiTheme="minorHAnsi" w:cstheme="minorBidi"/>
      <w:sz w:val="22"/>
      <w:szCs w:val="22"/>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cPr>
        <w:shd w:val="clear" w:color="auto" w:fill="D6E3BC" w:themeFill="accent3" w:themeFillTint="66"/>
      </w:tcPr>
    </w:tblStylePr>
    <w:tblStylePr w:type="band1Horz">
      <w:tcPr>
        <w:shd w:val="clear" w:color="auto" w:fill="D6E3BC" w:themeFill="accent3" w:themeFillTint="66"/>
      </w:tcPr>
    </w:tblStylePr>
  </w:style>
  <w:style w:type="table" w:customStyle="1" w:styleId="13">
    <w:name w:val="List Table 4 - Accent 31"/>
    <w:basedOn w:val="7"/>
    <w:qFormat/>
    <w:uiPriority w:val="49"/>
    <w:rPr>
      <w:rFonts w:asciiTheme="minorHAnsi" w:hAnsiTheme="minorHAnsi" w:cstheme="minorBidi"/>
      <w:sz w:val="22"/>
      <w:szCs w:val="22"/>
      <w:lang w:eastAsia="zh-CN"/>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cPr>
        <w:tcBorders>
          <w:top w:val="doub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character" w:customStyle="1" w:styleId="14">
    <w:name w:val="页眉 字符"/>
    <w:basedOn w:val="9"/>
    <w:link w:val="5"/>
    <w:qFormat/>
    <w:uiPriority w:val="0"/>
    <w:rPr>
      <w:sz w:val="18"/>
      <w:szCs w:val="18"/>
    </w:rPr>
  </w:style>
  <w:style w:type="character" w:customStyle="1" w:styleId="15">
    <w:name w:val="页脚 字符"/>
    <w:basedOn w:val="9"/>
    <w:link w:val="4"/>
    <w:qFormat/>
    <w:uiPriority w:val="0"/>
    <w:rPr>
      <w:sz w:val="18"/>
      <w:szCs w:val="18"/>
    </w:rPr>
  </w:style>
  <w:style w:type="character" w:customStyle="1" w:styleId="16">
    <w:name w:val="批注文字 字符"/>
    <w:basedOn w:val="9"/>
    <w:link w:val="2"/>
    <w:qFormat/>
    <w:uiPriority w:val="99"/>
    <w:rPr>
      <w:sz w:val="24"/>
      <w:szCs w:val="24"/>
    </w:rPr>
  </w:style>
  <w:style w:type="character" w:customStyle="1" w:styleId="17">
    <w:name w:val="批注主题 字符"/>
    <w:basedOn w:val="16"/>
    <w:link w:val="6"/>
    <w:qFormat/>
    <w:uiPriority w:val="0"/>
    <w:rPr>
      <w:b/>
      <w:bCs/>
      <w:sz w:val="24"/>
      <w:szCs w:val="24"/>
    </w:rPr>
  </w:style>
  <w:style w:type="character" w:customStyle="1" w:styleId="18">
    <w:name w:val="批注框文本 字符"/>
    <w:basedOn w:val="9"/>
    <w:link w:val="3"/>
    <w:qFormat/>
    <w:uiPriority w:val="0"/>
    <w:rPr>
      <w:sz w:val="18"/>
      <w:szCs w:val="18"/>
    </w:rPr>
  </w:style>
  <w:style w:type="paragraph" w:customStyle="1" w:styleId="19">
    <w:name w:val="正文1"/>
    <w:qFormat/>
    <w:uiPriority w:val="99"/>
    <w:pPr>
      <w:spacing w:line="276" w:lineRule="auto"/>
    </w:pPr>
    <w:rPr>
      <w:rFonts w:ascii="Arial" w:hAnsi="Arial" w:eastAsia="宋体" w:cs="Arial"/>
      <w:color w:val="000000"/>
      <w:sz w:val="22"/>
      <w:lang w:val="pl-PL" w:eastAsia="pl-PL" w:bidi="ar-SA"/>
    </w:rPr>
  </w:style>
  <w:style w:type="paragraph" w:styleId="20">
    <w:name w:val="List Paragraph"/>
    <w:basedOn w:val="1"/>
    <w:qFormat/>
    <w:uiPriority w:val="34"/>
    <w:pPr>
      <w:spacing w:after="200" w:line="276" w:lineRule="auto"/>
      <w:ind w:firstLine="420" w:firstLineChars="200"/>
    </w:pPr>
    <w:rPr>
      <w:rFonts w:ascii="Calibri" w:hAnsi="Calibri" w:eastAsia="宋体"/>
      <w:sz w:val="22"/>
      <w:szCs w:val="22"/>
      <w:lang w:val="en-GB"/>
    </w:rPr>
  </w:style>
  <w:style w:type="character" w:customStyle="1" w:styleId="21">
    <w:name w:val="纯文本 Char"/>
    <w:link w:val="22"/>
    <w:qFormat/>
    <w:uiPriority w:val="0"/>
    <w:rPr>
      <w:rFonts w:ascii="宋体" w:hAnsi="Courier New" w:cs="Courier New"/>
      <w:szCs w:val="21"/>
    </w:rPr>
  </w:style>
  <w:style w:type="paragraph" w:customStyle="1" w:styleId="22">
    <w:name w:val="Plain Text1"/>
    <w:basedOn w:val="1"/>
    <w:link w:val="21"/>
    <w:qFormat/>
    <w:uiPriority w:val="0"/>
    <w:pPr>
      <w:widowControl w:val="0"/>
      <w:jc w:val="both"/>
    </w:pPr>
    <w:rPr>
      <w:rFonts w:ascii="宋体" w:hAnsi="Courier New" w:cs="Courier New"/>
      <w:sz w:val="20"/>
      <w:szCs w:val="21"/>
    </w:rPr>
  </w:style>
  <w:style w:type="paragraph" w:customStyle="1" w:styleId="23">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6917</Words>
  <Characters>42388</Characters>
  <Lines>349</Lines>
  <Paragraphs>98</Paragraphs>
  <TotalTime>0</TotalTime>
  <ScaleCrop>false</ScaleCrop>
  <LinksUpToDate>false</LinksUpToDate>
  <CharactersWithSpaces>49093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2022-04-20T04:08:00Z</dcterms:created>
  <dc:creator>Talal, Andrew</dc:creator>
  <cp:lastModifiedBy>超级喜欢粉红色</cp:lastModifiedBy>
  <dcterms:modified xsi:type="dcterms:W3CDTF">2022-05-24T07:16:45Z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3D0823BAFC5E4C90B00FA5A40CA4525A</vt:lpwstr>
  </property>
</Properties>
</file>