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83AF"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0F20A3AC"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74769</w:t>
      </w:r>
    </w:p>
    <w:p w14:paraId="7233C1D1"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69F61F1" w14:textId="77777777" w:rsidR="00681808" w:rsidRDefault="00681808">
      <w:pPr>
        <w:spacing w:line="360" w:lineRule="auto"/>
        <w:jc w:val="both"/>
        <w:rPr>
          <w:rFonts w:ascii="Book Antiqua" w:hAnsi="Book Antiqua"/>
        </w:rPr>
      </w:pPr>
    </w:p>
    <w:p w14:paraId="6B7D2D7E"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Case Control Study</w:t>
      </w:r>
    </w:p>
    <w:p w14:paraId="3C473DE6"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Clinical outcomes of </w:t>
      </w:r>
      <w:r>
        <w:rPr>
          <w:rStyle w:val="hgkelc"/>
          <w:rFonts w:ascii="Book Antiqua" w:eastAsia="Book Antiqua" w:hAnsi="Book Antiqua" w:cs="Book Antiqua"/>
          <w:b/>
          <w:color w:val="000000"/>
        </w:rPr>
        <w:t xml:space="preserve">coronavirus disease 2019 </w:t>
      </w:r>
      <w:r>
        <w:rPr>
          <w:rFonts w:ascii="Book Antiqua" w:eastAsia="Book Antiqua" w:hAnsi="Book Antiqua" w:cs="Book Antiqua"/>
          <w:b/>
          <w:color w:val="000000"/>
        </w:rPr>
        <w:t>in liver transplant recipients</w:t>
      </w:r>
    </w:p>
    <w:p w14:paraId="141E759A" w14:textId="77777777" w:rsidR="00681808" w:rsidRDefault="00681808">
      <w:pPr>
        <w:spacing w:line="360" w:lineRule="auto"/>
        <w:jc w:val="both"/>
        <w:rPr>
          <w:rFonts w:ascii="Book Antiqua" w:hAnsi="Book Antiqua"/>
        </w:rPr>
      </w:pPr>
    </w:p>
    <w:p w14:paraId="6F924EA3"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Shafiq M </w:t>
      </w:r>
      <w:r>
        <w:rPr>
          <w:rFonts w:ascii="Book Antiqua" w:eastAsia="Book Antiqua" w:hAnsi="Book Antiqua" w:cs="Book Antiqua"/>
          <w:i/>
          <w:color w:val="000000"/>
        </w:rPr>
        <w:t>et al</w:t>
      </w:r>
      <w:r>
        <w:rPr>
          <w:rFonts w:ascii="Book Antiqua" w:eastAsia="Book Antiqua" w:hAnsi="Book Antiqua" w:cs="Book Antiqua"/>
          <w:color w:val="000000"/>
        </w:rPr>
        <w:t>. COVID-19 in liver transplant recipients</w:t>
      </w:r>
    </w:p>
    <w:p w14:paraId="5ADFBE2C" w14:textId="77777777" w:rsidR="00681808" w:rsidRDefault="00681808">
      <w:pPr>
        <w:spacing w:line="360" w:lineRule="auto"/>
        <w:jc w:val="both"/>
        <w:rPr>
          <w:rFonts w:ascii="Book Antiqua" w:hAnsi="Book Antiqua"/>
        </w:rPr>
      </w:pPr>
    </w:p>
    <w:p w14:paraId="548F7AAB"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Muhammad Shafiq, Cheryl Gibson</w:t>
      </w:r>
    </w:p>
    <w:p w14:paraId="1F61E66A" w14:textId="77777777" w:rsidR="00681808" w:rsidRDefault="00681808">
      <w:pPr>
        <w:spacing w:line="360" w:lineRule="auto"/>
        <w:jc w:val="both"/>
        <w:rPr>
          <w:rFonts w:ascii="Book Antiqua" w:hAnsi="Book Antiqua"/>
        </w:rPr>
      </w:pPr>
    </w:p>
    <w:p w14:paraId="09D12064"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Muhammad Shafiq, Cheryl Gibson,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and Geriatric Medicine, University of Kansas Medical Center, Kansas City, KS 66160, United States</w:t>
      </w:r>
    </w:p>
    <w:p w14:paraId="36D4526D" w14:textId="77777777" w:rsidR="00681808" w:rsidRDefault="00681808">
      <w:pPr>
        <w:spacing w:line="360" w:lineRule="auto"/>
        <w:jc w:val="both"/>
        <w:rPr>
          <w:rFonts w:ascii="Book Antiqua" w:hAnsi="Book Antiqua"/>
        </w:rPr>
      </w:pPr>
    </w:p>
    <w:p w14:paraId="0A6AFEFC"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Shafiq M was involved in all aspects of this study, including but not limited to study design, data collection, data analyses, and writing of the abstract and manuscript; Gibson C assisted with the study design and data analyses.</w:t>
      </w:r>
    </w:p>
    <w:p w14:paraId="45C4C5CA" w14:textId="77777777" w:rsidR="00681808" w:rsidRDefault="00681808">
      <w:pPr>
        <w:spacing w:line="360" w:lineRule="auto"/>
        <w:jc w:val="both"/>
        <w:rPr>
          <w:rFonts w:ascii="Book Antiqua" w:hAnsi="Book Antiqua"/>
        </w:rPr>
      </w:pPr>
    </w:p>
    <w:p w14:paraId="28E4B1B9"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Corresponding author: Muhammad Shafiq, MD, Assistant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 xml:space="preserve">General and Geriatric Medicine, University of Kansas Medical Center, 4000 Cambridge Street, 6040 </w:t>
      </w:r>
      <w:proofErr w:type="spellStart"/>
      <w:r>
        <w:rPr>
          <w:rFonts w:ascii="Book Antiqua" w:eastAsia="Book Antiqua" w:hAnsi="Book Antiqua" w:cs="Book Antiqua"/>
          <w:color w:val="000000"/>
        </w:rPr>
        <w:t>Delp</w:t>
      </w:r>
      <w:proofErr w:type="spellEnd"/>
      <w:r>
        <w:rPr>
          <w:rFonts w:ascii="Book Antiqua" w:eastAsia="Book Antiqua" w:hAnsi="Book Antiqua" w:cs="Book Antiqua"/>
          <w:color w:val="000000"/>
        </w:rPr>
        <w:t xml:space="preserve"> &amp; Mail Stop 1020, Kansas City, KS 66160, United States. mshafiq@kumc.edu</w:t>
      </w:r>
    </w:p>
    <w:p w14:paraId="6882C9CA" w14:textId="77777777" w:rsidR="00681808" w:rsidRDefault="00681808">
      <w:pPr>
        <w:spacing w:line="360" w:lineRule="auto"/>
        <w:jc w:val="both"/>
        <w:rPr>
          <w:rFonts w:ascii="Book Antiqua" w:hAnsi="Book Antiqua"/>
        </w:rPr>
      </w:pPr>
    </w:p>
    <w:p w14:paraId="7C844470"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2022</w:t>
      </w:r>
    </w:p>
    <w:p w14:paraId="794278C4"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April 7, 2022</w:t>
      </w:r>
    </w:p>
    <w:p w14:paraId="061FEF9E"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28, 2022</w:t>
      </w:r>
    </w:p>
    <w:p w14:paraId="12382FFB" w14:textId="77777777" w:rsidR="00681808" w:rsidRDefault="002C0647">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109570C6" w14:textId="77777777" w:rsidR="00681808" w:rsidRDefault="00681808">
      <w:pPr>
        <w:spacing w:line="360" w:lineRule="auto"/>
        <w:jc w:val="both"/>
        <w:rPr>
          <w:rFonts w:ascii="Book Antiqua" w:hAnsi="Book Antiqua"/>
        </w:rPr>
      </w:pPr>
    </w:p>
    <w:p w14:paraId="5014256F" w14:textId="77777777" w:rsidR="00681808" w:rsidRDefault="00681808">
      <w:pPr>
        <w:spacing w:line="360" w:lineRule="auto"/>
        <w:jc w:val="both"/>
        <w:rPr>
          <w:rFonts w:ascii="Book Antiqua" w:hAnsi="Book Antiqua"/>
        </w:rPr>
        <w:sectPr w:rsidR="00681808">
          <w:footerReference w:type="default" r:id="rId6"/>
          <w:pgSz w:w="12240" w:h="15840"/>
          <w:pgMar w:top="1440" w:right="1440" w:bottom="1440" w:left="1440" w:header="720" w:footer="720" w:gutter="0"/>
          <w:cols w:space="720"/>
          <w:docGrid w:linePitch="360"/>
        </w:sectPr>
      </w:pPr>
    </w:p>
    <w:p w14:paraId="2FECF46F"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06A0963"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BACKGROUND</w:t>
      </w:r>
    </w:p>
    <w:p w14:paraId="6EF6E43E"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Liver transplant patients are at higher risk of infection due to immunosuppression. Whether liver transplant recipients are also more susceptible to </w:t>
      </w:r>
      <w:r>
        <w:rPr>
          <w:rFonts w:ascii="Book Antiqua" w:eastAsia="Book Antiqua" w:hAnsi="Book Antiqua" w:cs="Book Antiqua"/>
          <w:color w:val="000000"/>
          <w:shd w:val="clear" w:color="auto" w:fill="FFFFFF"/>
        </w:rPr>
        <w:t>severe acute respiratory syndrome coronavirus 2 (SARS-CoV-2)</w:t>
      </w:r>
      <w:r>
        <w:rPr>
          <w:rFonts w:ascii="Book Antiqua" w:eastAsia="Book Antiqua" w:hAnsi="Book Antiqua" w:cs="Book Antiqua"/>
          <w:color w:val="000000"/>
        </w:rPr>
        <w:t xml:space="preserve"> and will have worse outcomes than the general population if they develop coronavirus disease 2019 (COVID-19) due to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 xml:space="preserve"> is a topic of ongoing studies, including ours. </w:t>
      </w:r>
    </w:p>
    <w:p w14:paraId="109F1118" w14:textId="77777777" w:rsidR="00681808" w:rsidRDefault="00681808">
      <w:pPr>
        <w:spacing w:line="360" w:lineRule="auto"/>
        <w:jc w:val="both"/>
        <w:rPr>
          <w:rFonts w:ascii="Book Antiqua" w:hAnsi="Book Antiqua"/>
        </w:rPr>
      </w:pPr>
    </w:p>
    <w:p w14:paraId="415F6EDB"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AIM</w:t>
      </w:r>
    </w:p>
    <w:p w14:paraId="052C96B0"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To assess the clinical outcomes of COVID-19 in liver transplant recipients.</w:t>
      </w:r>
    </w:p>
    <w:p w14:paraId="1A9D8A39" w14:textId="77777777" w:rsidR="00681808" w:rsidRDefault="00681808">
      <w:pPr>
        <w:spacing w:line="360" w:lineRule="auto"/>
        <w:jc w:val="both"/>
        <w:rPr>
          <w:rFonts w:ascii="Book Antiqua" w:hAnsi="Book Antiqua"/>
        </w:rPr>
      </w:pPr>
    </w:p>
    <w:p w14:paraId="28CC6D99"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METHODS</w:t>
      </w:r>
    </w:p>
    <w:p w14:paraId="45954599"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This was a case-control study, with a database search performed (at the study site) from March 1, 2020 through February 28, 2021. Patients 18 years or older who tested positive for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polymerase chain reaction (PCR) were included in the study. Patients with infection other than pneumonia at the time of admission were excluded. After selection, patients who had been the recipient of liver transplant were considered cases and those without as controls. After being matched by age, sex, and obesity, two controls were randomly selected for each case. Death and hospitalization due to COVID-19 infection were the primary outcomes. Secondary outcomes were pertinent only to patients who were hospitalized, and they included duration of hospital stay, need for supplemental oxygen, presence of at least one type of end-organ damage, effects on liver enzymes, incidence of acute liver failure, effect on d-dimer levels, and incidence of venous thromboembolism (VTE). Chi-square or Fisher’s exact test was used to compare all primary and secondary outcomes with the exception of duration of hospital stay and d-dimer levels, which were compared using the Wilcoxon signed-rank test. Alpha criterion was set at 0.05. Logistic regression was performed for each primary outcome (as the dependent variable). Statistical analyses were performed using R software.</w:t>
      </w:r>
    </w:p>
    <w:p w14:paraId="0A9BCF35" w14:textId="77777777" w:rsidR="00681808" w:rsidRDefault="00681808">
      <w:pPr>
        <w:spacing w:line="360" w:lineRule="auto"/>
        <w:jc w:val="both"/>
        <w:rPr>
          <w:rFonts w:ascii="Book Antiqua" w:hAnsi="Book Antiqua"/>
        </w:rPr>
      </w:pPr>
    </w:p>
    <w:p w14:paraId="1668E8D1"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lastRenderedPageBreak/>
        <w:t>RESULTS</w:t>
      </w:r>
    </w:p>
    <w:p w14:paraId="51B8551E"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Of the 470 Liver transplant recipients who were tested for COVID-19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PCR test, 39 patients tested positive (8.3%). There was no significant difference between cases and controls regarding death [odds ratio (OR): 2.04, 95% confidence interval (CI): 0.14–29.17; </w:t>
      </w:r>
      <w:r>
        <w:rPr>
          <w:rFonts w:ascii="Book Antiqua" w:eastAsia="Book Antiqua" w:hAnsi="Book Antiqua" w:cs="Book Antiqua"/>
          <w:i/>
          <w:iCs/>
          <w:color w:val="000000"/>
        </w:rPr>
        <w:t>P</w:t>
      </w:r>
      <w:r>
        <w:rPr>
          <w:rFonts w:ascii="Book Antiqua" w:eastAsia="Book Antiqua" w:hAnsi="Book Antiqua" w:cs="Book Antiqua"/>
          <w:color w:val="000000"/>
        </w:rPr>
        <w:t xml:space="preserve"> = 0.60] and hospitalization rates (OR: 1.38, 95%CI: 0.59–3.24; </w:t>
      </w:r>
      <w:r>
        <w:rPr>
          <w:rFonts w:ascii="Book Antiqua" w:eastAsia="Book Antiqua" w:hAnsi="Book Antiqua" w:cs="Book Antiqua"/>
          <w:i/>
          <w:iCs/>
          <w:color w:val="000000"/>
        </w:rPr>
        <w:t>P</w:t>
      </w:r>
      <w:r>
        <w:rPr>
          <w:rFonts w:ascii="Book Antiqua" w:eastAsia="Book Antiqua" w:hAnsi="Book Antiqua" w:cs="Book Antiqua"/>
          <w:color w:val="000000"/>
        </w:rPr>
        <w:t xml:space="preserve"> = 0.46).</w:t>
      </w:r>
      <w:r>
        <w:rPr>
          <w:rFonts w:ascii="Book Antiqua" w:eastAsia="Book Antiqua" w:hAnsi="Book Antiqua" w:cs="Book Antiqua"/>
          <w:b/>
          <w:bCs/>
          <w:color w:val="000000"/>
        </w:rPr>
        <w:t xml:space="preserve"> </w:t>
      </w:r>
      <w:r>
        <w:rPr>
          <w:rFonts w:ascii="Book Antiqua" w:eastAsia="Book Antiqua" w:hAnsi="Book Antiqua" w:cs="Book Antiqua"/>
          <w:color w:val="000000"/>
        </w:rPr>
        <w:t>There also was no significant difference between cases and controls with respect to all secondary outcomes. Among all patients who had elevated liver enzymes, their levels were either normalized, improving, or remained stable at the time of discharge. No patient developed acute liver failure. Of the 31 hospitalized patients, 27 received a prophylactic anticoagulation dose and no patient developed VTE in either group. Among cases who were hospitalized, immunosuppression was decreased in 5 patients and there was no change in immunosuppression among the remaining 7 patients. One patient died in each of these two subgroups. Logistic regression analysis was done, but all of the models had poor model predictions as well as insignificant predictors (independent variables). Therefore, they could not be used for either prediction or inference.</w:t>
      </w:r>
    </w:p>
    <w:p w14:paraId="27A64CC5" w14:textId="77777777" w:rsidR="00681808" w:rsidRDefault="00681808">
      <w:pPr>
        <w:spacing w:line="360" w:lineRule="auto"/>
        <w:jc w:val="both"/>
        <w:rPr>
          <w:rFonts w:ascii="Book Antiqua" w:hAnsi="Book Antiqua"/>
        </w:rPr>
      </w:pPr>
    </w:p>
    <w:p w14:paraId="31DBF87C"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CONCLUSION</w:t>
      </w:r>
    </w:p>
    <w:p w14:paraId="5ED87B7F"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Clinical outcomes of COVID-19 in liver transplant recipients are not different than those without transplantation. COVID-19 should not impact timely health care access and immunosuppression continuation among these patients.</w:t>
      </w:r>
    </w:p>
    <w:p w14:paraId="320697CC" w14:textId="77777777" w:rsidR="00681808" w:rsidRDefault="00681808">
      <w:pPr>
        <w:spacing w:line="360" w:lineRule="auto"/>
        <w:jc w:val="both"/>
        <w:rPr>
          <w:rFonts w:ascii="Book Antiqua" w:hAnsi="Book Antiqua"/>
        </w:rPr>
      </w:pPr>
    </w:p>
    <w:p w14:paraId="41FA2CB9"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Pr>
          <w:rFonts w:ascii="Book Antiqua" w:eastAsia="Book Antiqua" w:hAnsi="Book Antiqua" w:cs="Book Antiqua"/>
          <w:color w:val="000000"/>
          <w:shd w:val="clear" w:color="auto" w:fill="FFFFFF"/>
        </w:rPr>
        <w:t>SARS-CoV-2; Liver transplant recipients; Clinical outcomes; Death; Hospitalization</w:t>
      </w:r>
    </w:p>
    <w:p w14:paraId="35929737" w14:textId="5B4EEE67" w:rsidR="00681808" w:rsidRDefault="00681808">
      <w:pPr>
        <w:spacing w:line="360" w:lineRule="auto"/>
        <w:jc w:val="both"/>
        <w:rPr>
          <w:rFonts w:ascii="Book Antiqua" w:hAnsi="Book Antiqua"/>
        </w:rPr>
      </w:pPr>
    </w:p>
    <w:p w14:paraId="295F9143" w14:textId="77777777" w:rsidR="009F3102" w:rsidRDefault="009F3102" w:rsidP="009F3102">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E1CDCED" w14:textId="77777777" w:rsidR="009F3102" w:rsidRDefault="009F3102">
      <w:pPr>
        <w:spacing w:line="360" w:lineRule="auto"/>
        <w:jc w:val="both"/>
        <w:rPr>
          <w:rFonts w:ascii="Book Antiqua" w:hAnsi="Book Antiqua"/>
        </w:rPr>
      </w:pPr>
    </w:p>
    <w:p w14:paraId="63E1B37C" w14:textId="62FC0710" w:rsidR="00997EA0" w:rsidRDefault="00997EA0">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2C0647">
        <w:rPr>
          <w:rFonts w:ascii="Book Antiqua" w:eastAsia="Book Antiqua" w:hAnsi="Book Antiqua" w:cs="Book Antiqua"/>
          <w:color w:val="000000"/>
        </w:rPr>
        <w:t xml:space="preserve">Shafiq M, Gibson C. Clinical outcomes of coronavirus disease 2019 in liver transplant recipients. </w:t>
      </w:r>
      <w:r w:rsidR="002C0647">
        <w:rPr>
          <w:rFonts w:ascii="Book Antiqua" w:eastAsia="Book Antiqua" w:hAnsi="Book Antiqua" w:cs="Book Antiqua"/>
          <w:i/>
          <w:iCs/>
          <w:color w:val="000000"/>
        </w:rPr>
        <w:t>World J Hepatol</w:t>
      </w:r>
      <w:r w:rsidR="002C0647">
        <w:rPr>
          <w:rFonts w:ascii="Book Antiqua" w:eastAsia="Book Antiqua" w:hAnsi="Book Antiqua" w:cs="Book Antiqua"/>
          <w:color w:val="000000"/>
        </w:rPr>
        <w:t xml:space="preserve"> 2022; </w:t>
      </w:r>
      <w:r w:rsidR="002C0647">
        <w:rPr>
          <w:rFonts w:ascii="Book Antiqua" w:eastAsia="Book Antiqua" w:hAnsi="Book Antiqua" w:cs="Book Antiqua" w:hint="eastAsia"/>
          <w:color w:val="000000"/>
        </w:rPr>
        <w:t xml:space="preserve">14(6): </w:t>
      </w:r>
      <w:r>
        <w:rPr>
          <w:rFonts w:ascii="Book Antiqua" w:eastAsia="Book Antiqua" w:hAnsi="Book Antiqua" w:cs="Book Antiqua"/>
          <w:color w:val="000000"/>
        </w:rPr>
        <w:t>1142</w:t>
      </w:r>
      <w:r w:rsidR="002C0647">
        <w:rPr>
          <w:rFonts w:ascii="Book Antiqua" w:eastAsia="Book Antiqua" w:hAnsi="Book Antiqua" w:cs="Book Antiqua" w:hint="eastAsia"/>
          <w:color w:val="000000"/>
        </w:rPr>
        <w:t>-</w:t>
      </w:r>
      <w:r>
        <w:rPr>
          <w:rFonts w:ascii="Book Antiqua" w:eastAsia="Book Antiqua" w:hAnsi="Book Antiqua" w:cs="Book Antiqua"/>
          <w:color w:val="000000"/>
        </w:rPr>
        <w:t>1149</w:t>
      </w:r>
      <w:r w:rsidR="002C0647">
        <w:rPr>
          <w:rFonts w:ascii="Book Antiqua" w:eastAsia="Book Antiqua" w:hAnsi="Book Antiqua" w:cs="Book Antiqua" w:hint="eastAsia"/>
          <w:color w:val="000000"/>
        </w:rPr>
        <w:t xml:space="preserve"> </w:t>
      </w:r>
    </w:p>
    <w:p w14:paraId="3F6BFC09" w14:textId="7E354B94" w:rsidR="00997EA0" w:rsidRPr="00997EA0" w:rsidRDefault="002C0647">
      <w:pPr>
        <w:spacing w:line="360" w:lineRule="auto"/>
        <w:jc w:val="both"/>
        <w:rPr>
          <w:rFonts w:ascii="Book Antiqua" w:eastAsia="Book Antiqua" w:hAnsi="Book Antiqua" w:cs="Book Antiqua"/>
        </w:rPr>
      </w:pPr>
      <w:r w:rsidRPr="00997EA0">
        <w:rPr>
          <w:rFonts w:ascii="Book Antiqua" w:eastAsia="Book Antiqua" w:hAnsi="Book Antiqua" w:cs="Book Antiqua" w:hint="eastAsia"/>
          <w:b/>
          <w:bCs/>
          <w:color w:val="000000"/>
        </w:rPr>
        <w:lastRenderedPageBreak/>
        <w:t>URL</w:t>
      </w:r>
      <w:r>
        <w:rPr>
          <w:rFonts w:ascii="Book Antiqua" w:eastAsia="Book Antiqua" w:hAnsi="Book Antiqua" w:cs="Book Antiqua" w:hint="eastAsia"/>
          <w:color w:val="000000"/>
        </w:rPr>
        <w:t xml:space="preserve">: </w:t>
      </w:r>
      <w:hyperlink r:id="rId7" w:history="1">
        <w:r w:rsidR="00997EA0" w:rsidRPr="00997EA0">
          <w:rPr>
            <w:rStyle w:val="af"/>
            <w:rFonts w:ascii="Book Antiqua" w:eastAsia="Book Antiqua" w:hAnsi="Book Antiqua" w:cs="Book Antiqua" w:hint="eastAsia"/>
            <w:color w:val="auto"/>
            <w:u w:val="none"/>
          </w:rPr>
          <w:t>https://www.wjgnet.com/1948-5182/full/v14/i6/</w:t>
        </w:r>
        <w:r w:rsidR="00997EA0" w:rsidRPr="00997EA0">
          <w:rPr>
            <w:rStyle w:val="af"/>
            <w:rFonts w:ascii="Book Antiqua" w:eastAsia="Book Antiqua" w:hAnsi="Book Antiqua" w:cs="Book Antiqua"/>
            <w:color w:val="auto"/>
            <w:u w:val="none"/>
          </w:rPr>
          <w:t>1142</w:t>
        </w:r>
        <w:r w:rsidR="00997EA0" w:rsidRPr="00997EA0">
          <w:rPr>
            <w:rStyle w:val="af"/>
            <w:rFonts w:ascii="Book Antiqua" w:eastAsia="Book Antiqua" w:hAnsi="Book Antiqua" w:cs="Book Antiqua" w:hint="eastAsia"/>
            <w:color w:val="auto"/>
            <w:u w:val="none"/>
          </w:rPr>
          <w:t>.htm</w:t>
        </w:r>
      </w:hyperlink>
      <w:r w:rsidRPr="00997EA0">
        <w:rPr>
          <w:rFonts w:ascii="Book Antiqua" w:eastAsia="Book Antiqua" w:hAnsi="Book Antiqua" w:cs="Book Antiqua" w:hint="eastAsia"/>
        </w:rPr>
        <w:t xml:space="preserve"> </w:t>
      </w:r>
    </w:p>
    <w:p w14:paraId="53BFE2EF" w14:textId="78A8E82D" w:rsidR="00681808" w:rsidRDefault="002C0647">
      <w:pPr>
        <w:spacing w:line="360" w:lineRule="auto"/>
        <w:jc w:val="both"/>
        <w:rPr>
          <w:rFonts w:ascii="Book Antiqua" w:eastAsia="Book Antiqua" w:hAnsi="Book Antiqua" w:cs="Book Antiqua"/>
          <w:color w:val="000000"/>
        </w:rPr>
      </w:pPr>
      <w:r w:rsidRPr="00997EA0">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997EA0">
        <w:rPr>
          <w:rFonts w:ascii="Book Antiqua" w:eastAsia="Book Antiqua" w:hAnsi="Book Antiqua" w:cs="Book Antiqua"/>
          <w:color w:val="000000"/>
        </w:rPr>
        <w:t>1142</w:t>
      </w:r>
    </w:p>
    <w:p w14:paraId="0371CF62" w14:textId="77777777" w:rsidR="00681808" w:rsidRDefault="00681808">
      <w:pPr>
        <w:spacing w:line="360" w:lineRule="auto"/>
        <w:jc w:val="both"/>
        <w:rPr>
          <w:rFonts w:ascii="Book Antiqua" w:hAnsi="Book Antiqua"/>
        </w:rPr>
      </w:pPr>
    </w:p>
    <w:p w14:paraId="402D8CF0" w14:textId="77777777" w:rsidR="00681808" w:rsidRDefault="00681808">
      <w:pPr>
        <w:spacing w:line="360" w:lineRule="auto"/>
        <w:jc w:val="both"/>
        <w:rPr>
          <w:rFonts w:ascii="Book Antiqua" w:hAnsi="Book Antiqua"/>
        </w:rPr>
      </w:pPr>
    </w:p>
    <w:p w14:paraId="2E849EB7"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case-control study that assessed the clinical outcomes of coronavirus disease 2019 (COVID-19) in liver transplant recipients. Our study did not show a significant difference in death or hospitalization rate due to COVID-19 between patients who had liver transplantation and those who did not. Our study also did not find any difference between these two groups in terms of duration of hospital stay, need for supplemental oxygen, presence of at least one type of end-organ damage, effect on liver enzymes, and d-dimer levels. Therefore, COVID-19 should not impact timely health care access and immunosuppression continuation among liver transplant recipients. </w:t>
      </w:r>
    </w:p>
    <w:p w14:paraId="30C9AFEB" w14:textId="77777777" w:rsidR="00681808" w:rsidRDefault="00681808">
      <w:pPr>
        <w:spacing w:line="360" w:lineRule="auto"/>
        <w:jc w:val="both"/>
        <w:rPr>
          <w:rFonts w:ascii="Book Antiqua" w:hAnsi="Book Antiqua"/>
        </w:rPr>
      </w:pPr>
    </w:p>
    <w:p w14:paraId="446E9141"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0C73E02" w14:textId="77777777" w:rsidR="00681808" w:rsidRDefault="002C064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According to the </w:t>
      </w:r>
      <w:r>
        <w:rPr>
          <w:rFonts w:ascii="Book Antiqua" w:eastAsia="Book Antiqua" w:hAnsi="Book Antiqua" w:cs="Book Antiqua"/>
          <w:color w:val="000000"/>
        </w:rPr>
        <w:t xml:space="preserve">John Hopkins University Coronavirus Resource Center, more than 480 million people have contracted coronavirus disease 2019 (COVID-19), which is caused by </w:t>
      </w:r>
      <w:r>
        <w:rPr>
          <w:rFonts w:ascii="Book Antiqua" w:eastAsia="Book Antiqua" w:hAnsi="Book Antiqua" w:cs="Book Antiqua"/>
          <w:color w:val="000000"/>
          <w:shd w:val="clear" w:color="auto" w:fill="FFFFFF"/>
        </w:rPr>
        <w:t xml:space="preserve">severe acute respiratory syndrome coronavirus 2 (SARS-CoV-2), and more than 6.1 million people have died worldwide from it as of the writing of this </w:t>
      </w:r>
      <w:proofErr w:type="gramStart"/>
      <w:r>
        <w:rPr>
          <w:rFonts w:ascii="Book Antiqua" w:eastAsia="Book Antiqua" w:hAnsi="Book Antiqua" w:cs="Book Antiqua"/>
          <w:color w:val="000000"/>
          <w:shd w:val="clear" w:color="auto" w:fill="FFFFFF"/>
        </w:rPr>
        <w:t>manuscript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xml:space="preserve">. In the United States alone, more than 79 million people have contracted COVID-19 and more than 900000 people have died from </w:t>
      </w:r>
      <w:proofErr w:type="gramStart"/>
      <w:r>
        <w:rPr>
          <w:rFonts w:ascii="Book Antiqua" w:eastAsia="Book Antiqua" w:hAnsi="Book Antiqua" w:cs="Book Antiqua"/>
          <w:color w:val="000000"/>
          <w:shd w:val="clear" w:color="auto" w:fill="FFFFFF"/>
        </w:rPr>
        <w:t>it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w:t>
      </w:r>
      <w:r>
        <w:rPr>
          <w:rFonts w:ascii="Book Antiqua" w:eastAsia="Book Antiqua" w:hAnsi="Book Antiqua" w:cs="Book Antiqua"/>
          <w:color w:val="000000"/>
          <w:shd w:val="clear" w:color="auto" w:fill="FFFFFF"/>
        </w:rPr>
        <w:t>. This reflects the gravity of the situation.</w:t>
      </w:r>
    </w:p>
    <w:p w14:paraId="56A2B2EF"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COVID-19 primarily affects lungs, but evidence suggests the potential involvement and complications of other organ systems as well including cardiovascular, hematological, and neurological </w:t>
      </w:r>
      <w:proofErr w:type="gramStart"/>
      <w:r>
        <w:rPr>
          <w:rFonts w:ascii="Book Antiqua" w:eastAsia="Book Antiqua" w:hAnsi="Book Antiqua" w:cs="Book Antiqua"/>
          <w:color w:val="000000"/>
        </w:rPr>
        <w:t>systems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Liver injury, as demonstrated by elevated liver enzymes, has also been reported in many 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p>
    <w:p w14:paraId="3AB75D5B"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Patients with solid organ transplant are at higher risk of infection due to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Whether </w:t>
      </w:r>
      <w:r>
        <w:rPr>
          <w:rFonts w:ascii="Book Antiqua" w:eastAsia="Book Antiqua" w:hAnsi="Book Antiqua" w:cs="Book Antiqua"/>
          <w:color w:val="000000"/>
          <w:shd w:val="clear" w:color="auto" w:fill="FFFFFF"/>
        </w:rPr>
        <w:t xml:space="preserve">SARS-CoV-2 causes more frequent infections, more hospitalizations, and is associated with worse outcomes among solid organ transplant patients have been the subject of many studies. In their systematic review of 215 studies, Raja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reported that the incidence of hospitalization was higher among patients with </w:t>
      </w:r>
      <w:r>
        <w:rPr>
          <w:rFonts w:ascii="Book Antiqua" w:eastAsia="Book Antiqua" w:hAnsi="Book Antiqua" w:cs="Book Antiqua"/>
          <w:color w:val="000000"/>
          <w:shd w:val="clear" w:color="auto" w:fill="FFFFFF"/>
        </w:rPr>
        <w:lastRenderedPageBreak/>
        <w:t xml:space="preserve">solid organ transplantation compared to patients with no transplant. Pooled incidence of all-cause mortality was 18.6% for all solid organ transplant recipients combined and 11.8% for liver transplant recipients in their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however, mortality comparison with non-transplant patients was not provided. Kulkarni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focused only on liver transplant recipients with COVID-19 in their systematic review of 18 studies and reported that the cumulative incidence of all-cause mortality was 17.4% among patients with liver transplant who had COVID-19. The authors also provided a comparison and reported that there was no difference in mortality between non-transplant and liver transplant patients after being diagnosed with COVID-19, despite a change in immunosuppression in 55.9% of the liver transplant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This fact, that all-cause mortality of COVID-19 is not different among liver transplant recipients compared to non-transplant patients, has been reported by Jayant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as well in their systematic review of 12 studies. </w:t>
      </w:r>
      <w:proofErr w:type="spellStart"/>
      <w:r>
        <w:rPr>
          <w:rFonts w:ascii="Book Antiqua" w:eastAsia="Book Antiqua" w:hAnsi="Book Antiqua" w:cs="Book Antiqua"/>
          <w:color w:val="000000"/>
          <w:shd w:val="clear" w:color="auto" w:fill="FFFFFF"/>
        </w:rPr>
        <w:t>Colmenero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also reported a higher risk of COVID-19 among liver transplant recipients, but surprisingly, mortality was lower for liver transplant recipients in their prospective study. Complete immunosuppression withdrawal also showed no benefit in their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w:t>
      </w:r>
    </w:p>
    <w:p w14:paraId="2785406E"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shd w:val="clear" w:color="auto" w:fill="FFFFFF"/>
        </w:rPr>
        <w:t xml:space="preserve">The data on other outcomes of COVID-19 among liver transplant recipients besides hospitalization and mortality, such as duration of hospital stay and acute liver failure, are limited and heterogeneous. Since </w:t>
      </w:r>
      <w:r>
        <w:rPr>
          <w:rFonts w:ascii="Book Antiqua" w:eastAsia="Book Antiqua" w:hAnsi="Book Antiqua" w:cs="Book Antiqua"/>
          <w:color w:val="000000"/>
        </w:rPr>
        <w:t>liver transplant recipients require specialized care and timely access to health care, we explored additional outcomes of COVID-19 among these patients besides mortality and hospitalization rates.</w:t>
      </w:r>
    </w:p>
    <w:p w14:paraId="3E0583AB" w14:textId="77777777" w:rsidR="00681808" w:rsidRDefault="00681808">
      <w:pPr>
        <w:spacing w:line="360" w:lineRule="auto"/>
        <w:ind w:firstLine="270"/>
        <w:jc w:val="both"/>
        <w:rPr>
          <w:rFonts w:ascii="Book Antiqua" w:hAnsi="Book Antiqua"/>
        </w:rPr>
      </w:pPr>
    </w:p>
    <w:p w14:paraId="74990A70"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E326A4B" w14:textId="77777777" w:rsidR="00681808" w:rsidRDefault="002C0647">
      <w:pPr>
        <w:spacing w:line="360" w:lineRule="auto"/>
        <w:jc w:val="both"/>
        <w:rPr>
          <w:rFonts w:ascii="Book Antiqua" w:hAnsi="Book Antiqua"/>
        </w:rPr>
      </w:pPr>
      <w:r>
        <w:rPr>
          <w:rFonts w:ascii="Book Antiqua" w:eastAsia="Book Antiqua" w:hAnsi="Book Antiqua" w:cs="Book Antiqua"/>
          <w:b/>
          <w:bCs/>
          <w:i/>
          <w:iCs/>
          <w:color w:val="000000"/>
        </w:rPr>
        <w:t>Study design</w:t>
      </w:r>
    </w:p>
    <w:p w14:paraId="5F247F9C"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This was a case-control study. After approval from the institutional review board, a list of patients was obtained with the help of the Clinical Informatics Department from the database of the study site from March 1, 2020 through February 28, 2021, using the selection criteria given below. </w:t>
      </w:r>
    </w:p>
    <w:p w14:paraId="16405EA3" w14:textId="77777777" w:rsidR="00681808" w:rsidRDefault="00681808">
      <w:pPr>
        <w:spacing w:line="360" w:lineRule="auto"/>
        <w:jc w:val="both"/>
        <w:rPr>
          <w:rFonts w:ascii="Book Antiqua" w:hAnsi="Book Antiqua"/>
        </w:rPr>
      </w:pPr>
    </w:p>
    <w:p w14:paraId="3E7B5A52" w14:textId="77777777" w:rsidR="00681808" w:rsidRDefault="002C0647">
      <w:pPr>
        <w:spacing w:line="360" w:lineRule="auto"/>
        <w:jc w:val="both"/>
        <w:rPr>
          <w:rFonts w:ascii="Book Antiqua" w:hAnsi="Book Antiqua"/>
        </w:rPr>
      </w:pPr>
      <w:r>
        <w:rPr>
          <w:rFonts w:ascii="Book Antiqua" w:eastAsia="Book Antiqua" w:hAnsi="Book Antiqua" w:cs="Book Antiqua"/>
          <w:b/>
          <w:bCs/>
          <w:i/>
          <w:iCs/>
          <w:color w:val="000000"/>
        </w:rPr>
        <w:lastRenderedPageBreak/>
        <w:t>Selection criteria</w:t>
      </w:r>
    </w:p>
    <w:p w14:paraId="1D44E417"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Inclusion criteria:</w:t>
      </w:r>
      <w:r>
        <w:rPr>
          <w:rFonts w:ascii="Book Antiqua" w:eastAsia="Book Antiqua" w:hAnsi="Book Antiqua" w:cs="Book Antiqua"/>
          <w:color w:val="000000"/>
        </w:rPr>
        <w:t xml:space="preserve"> Adult patients (age 18 years or above) who tested positive for </w:t>
      </w:r>
      <w:r>
        <w:rPr>
          <w:rFonts w:ascii="Book Antiqua" w:eastAsia="Book Antiqua" w:hAnsi="Book Antiqua" w:cs="Book Antiqua"/>
          <w:color w:val="000000"/>
          <w:shd w:val="clear" w:color="auto" w:fill="FFFFFF"/>
        </w:rPr>
        <w:t xml:space="preserve">SARS-CoV-2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polymerase chain reaction (PCR).</w:t>
      </w:r>
    </w:p>
    <w:p w14:paraId="76EF1A32" w14:textId="77777777" w:rsidR="00681808" w:rsidRDefault="00681808">
      <w:pPr>
        <w:spacing w:line="360" w:lineRule="auto"/>
        <w:jc w:val="both"/>
        <w:rPr>
          <w:rFonts w:ascii="Book Antiqua" w:hAnsi="Book Antiqua"/>
        </w:rPr>
      </w:pPr>
    </w:p>
    <w:p w14:paraId="4DCCFA2E"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Exclusion criteria:</w:t>
      </w:r>
      <w:r>
        <w:rPr>
          <w:rFonts w:ascii="Book Antiqua" w:eastAsia="Book Antiqua" w:hAnsi="Book Antiqua" w:cs="Book Antiqua"/>
          <w:color w:val="000000"/>
        </w:rPr>
        <w:t xml:space="preserve"> With the exception of bacterial pneumonia (which can be a direct complication of COVID-19 itself), patients with definitive evidence of any other infection, such as positive blood culture or positive urine analysis along with positive urine culture, were excluded (as the presence of another infection besides COVID-19 can also independently increase the risk of adverse outcomes and can be a confounding factor). Among patients who met the above inclusion and exclusion criteria, patients who had been the recipient of liver transplant were considered cases and those without liver transplant were considered controls.</w:t>
      </w:r>
    </w:p>
    <w:p w14:paraId="4BA6A707" w14:textId="77777777" w:rsidR="00681808" w:rsidRDefault="00681808">
      <w:pPr>
        <w:spacing w:line="360" w:lineRule="auto"/>
        <w:jc w:val="both"/>
        <w:rPr>
          <w:rFonts w:ascii="Book Antiqua" w:hAnsi="Book Antiqua"/>
        </w:rPr>
      </w:pPr>
    </w:p>
    <w:p w14:paraId="53629C19" w14:textId="77777777" w:rsidR="00681808" w:rsidRDefault="002C0647">
      <w:pPr>
        <w:spacing w:line="360" w:lineRule="auto"/>
        <w:jc w:val="both"/>
        <w:rPr>
          <w:rFonts w:ascii="Book Antiqua" w:hAnsi="Book Antiqua"/>
        </w:rPr>
      </w:pPr>
      <w:r>
        <w:rPr>
          <w:rFonts w:ascii="Book Antiqua" w:eastAsia="Book Antiqua" w:hAnsi="Book Antiqua" w:cs="Book Antiqua"/>
          <w:b/>
          <w:bCs/>
          <w:i/>
          <w:iCs/>
          <w:color w:val="000000"/>
        </w:rPr>
        <w:t>Outcomes</w:t>
      </w:r>
    </w:p>
    <w:p w14:paraId="090B3BC9"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Death and hospitalization due to COVID-19 were the primary outcomes. Secondary outcomes were pertinent only to patients who were hospitalized and included duration of hospital stay (in days), need for supplemental oxygen, presence of at least one type of end-organ damage (</w:t>
      </w:r>
      <w:r>
        <w:rPr>
          <w:rFonts w:ascii="Book Antiqua" w:eastAsia="Book Antiqua" w:hAnsi="Book Antiqua" w:cs="Book Antiqua"/>
          <w:i/>
          <w:iCs/>
          <w:color w:val="000000"/>
        </w:rPr>
        <w:t>e.g.,</w:t>
      </w:r>
      <w:r>
        <w:rPr>
          <w:rFonts w:ascii="Book Antiqua" w:eastAsia="Book Antiqua" w:hAnsi="Book Antiqua" w:cs="Book Antiqua"/>
          <w:color w:val="000000"/>
        </w:rPr>
        <w:t xml:space="preserve"> acute kidney injury or elevated troponins), effect on liver enzymes and incidence of acute liver failure due to COVID-19, effect on d-dimer levels and incidence of venous thromboembolism (VTE).</w:t>
      </w:r>
    </w:p>
    <w:p w14:paraId="0F013330" w14:textId="77777777" w:rsidR="00681808" w:rsidRDefault="00681808">
      <w:pPr>
        <w:spacing w:line="360" w:lineRule="auto"/>
        <w:jc w:val="both"/>
        <w:rPr>
          <w:rFonts w:ascii="Book Antiqua" w:hAnsi="Book Antiqua"/>
        </w:rPr>
      </w:pPr>
    </w:p>
    <w:p w14:paraId="3C156F83" w14:textId="77777777" w:rsidR="00681808" w:rsidRDefault="002C0647">
      <w:pPr>
        <w:spacing w:line="360" w:lineRule="auto"/>
        <w:jc w:val="both"/>
        <w:rPr>
          <w:rFonts w:ascii="Book Antiqua" w:hAnsi="Book Antiqua"/>
        </w:rPr>
      </w:pPr>
      <w:r>
        <w:rPr>
          <w:rFonts w:ascii="Book Antiqua" w:eastAsia="Book Antiqua" w:hAnsi="Book Antiqua" w:cs="Book Antiqua"/>
          <w:b/>
          <w:bCs/>
          <w:i/>
          <w:iCs/>
          <w:color w:val="000000"/>
        </w:rPr>
        <w:t>Data analyses</w:t>
      </w:r>
    </w:p>
    <w:p w14:paraId="1D63BB79"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Cases and controls were first matched by age, sex, and obesity. After controls were identified and matched with cases based on the aforementioned three variables, two controls were selected for each case (frequency matching) using random sampling. Cases and controls were compared with each other for primary and secondary outcomes. </w:t>
      </w:r>
    </w:p>
    <w:p w14:paraId="161BE45B" w14:textId="77777777" w:rsidR="00681808" w:rsidRDefault="002C0647">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Chi-square or Fisher’s exact test was used to compare all primary and secondary outcomes with the exception of duration of hospital stay and d-dimer levels, which were compared between cases and controls using the Wilcoxon signed-rank test. Alpha </w:t>
      </w:r>
      <w:r>
        <w:rPr>
          <w:rFonts w:ascii="Book Antiqua" w:eastAsia="Book Antiqua" w:hAnsi="Book Antiqua" w:cs="Book Antiqua"/>
          <w:color w:val="000000"/>
        </w:rPr>
        <w:lastRenderedPageBreak/>
        <w:t>criterion was set at 0.05. Logistic regression was performed for each primary outcome (as the dependent variable) as well. All statistical analyses were performed using R software.</w:t>
      </w:r>
    </w:p>
    <w:p w14:paraId="471430E7" w14:textId="77777777" w:rsidR="00681808" w:rsidRDefault="00681808">
      <w:pPr>
        <w:spacing w:line="360" w:lineRule="auto"/>
        <w:jc w:val="both"/>
        <w:rPr>
          <w:rFonts w:ascii="Book Antiqua" w:hAnsi="Book Antiqua"/>
        </w:rPr>
      </w:pPr>
    </w:p>
    <w:p w14:paraId="6CA4F072"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EA94026"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Of the 470 Liver transplant recipients who were tested for COVID-19 </w:t>
      </w:r>
      <w:r>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PCR, 39 patients tested positive (8.3%), of whom 31 were symptomatic and 8 were asymptomatic. The general characteristics of cases and controls are given in Table 1. The characteristics of cases, pertinent to their liver transplantation, are given in Table 2. </w:t>
      </w:r>
    </w:p>
    <w:p w14:paraId="0E0EB9AA"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No significant difference was found in death or rate of hospitalization due to COVID-19 between those who had liver transplantation (cases) and those who did not (controls), as detailed in Tables 3 and 4. A total of 31 patients were hospitalized (cases = 12, controls = 19). The mean duration of hospital stay for cases and controls was 8.25 ± 6.92 d and 9.84 ± 17.33 d, respectively. There was no significant difference in duration of hospital stay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0.412).</w:t>
      </w:r>
    </w:p>
    <w:p w14:paraId="65F569A6"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In total, 8 of 12 cases (66.7%) and 14 of 19 controls (73.7 %) either had new supplemental oxygen requirement or an increase from baseline supplemental oxygen needs (if they were already on supplemental oxygen at baseline). There was no significant difference between cases and controls in terms of increase in oxygen requirements [odds ratio (OR): 0.722, 95% confidence interval (CI): 0.11-4.78; </w:t>
      </w:r>
      <w:r>
        <w:rPr>
          <w:rFonts w:ascii="Book Antiqua" w:eastAsia="Book Antiqua" w:hAnsi="Book Antiqua" w:cs="Book Antiqua"/>
          <w:i/>
          <w:iCs/>
          <w:color w:val="000000"/>
        </w:rPr>
        <w:t>P</w:t>
      </w:r>
      <w:r>
        <w:rPr>
          <w:rFonts w:ascii="Book Antiqua" w:eastAsia="Book Antiqua" w:hAnsi="Book Antiqua" w:cs="Book Antiqua"/>
          <w:color w:val="000000"/>
        </w:rPr>
        <w:t xml:space="preserve"> = 0.70]. Of the remaining 27 patients (4 patients died of COVID-19), only 5 had higher than baseline oxygen requirement at the time of discharge (cases = 2, controls = 3). Except for 3 patients (cases = 2 cases, controls = 1), all patients who had an increase in oxygen requirement from its baseline received both dexamethasone 6 mg daily and intravenous remdesivir. In all, 6 of 12 cases (50%) and 7 of 19 controls (36.8%) had at least one type of end-organ damage. There was no significant difference between the two groups in terms of end-organ damage (OR: 1.71, 95%CI: 0.4-7.43; </w:t>
      </w:r>
      <w:r>
        <w:rPr>
          <w:rFonts w:ascii="Book Antiqua" w:eastAsia="Book Antiqua" w:hAnsi="Book Antiqua" w:cs="Book Antiqua"/>
          <w:i/>
          <w:iCs/>
          <w:color w:val="000000"/>
        </w:rPr>
        <w:t>P</w:t>
      </w:r>
      <w:r>
        <w:rPr>
          <w:rFonts w:ascii="Book Antiqua" w:eastAsia="Book Antiqua" w:hAnsi="Book Antiqua" w:cs="Book Antiqua"/>
          <w:color w:val="000000"/>
        </w:rPr>
        <w:t xml:space="preserve"> = 0.47). </w:t>
      </w:r>
    </w:p>
    <w:p w14:paraId="12E2FCAB"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No liver enzyme data were available for 1 case and 4 controls. Analyses of the remaining 26 hospitalized patients (cases = 11, controls = 15) revealed that aspartate aminotransferase (AST) was elevated among 3 cases (27.27%) and 10 controls (66.66%), </w:t>
      </w:r>
      <w:r>
        <w:rPr>
          <w:rFonts w:ascii="Book Antiqua" w:eastAsia="Book Antiqua" w:hAnsi="Book Antiqua" w:cs="Book Antiqua"/>
          <w:color w:val="000000"/>
        </w:rPr>
        <w:lastRenderedPageBreak/>
        <w:t xml:space="preserve">and this difference was not statistically significant (OR: 0.19, 95%CI: 0.03-1.03;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0.05). Alanine aminotransferase (ALT) enzyme elevation rate was also surprisingly low among cases, but there was no significant difference between the two groups (OR: 0.27, 95%CI: 0.021–2.0;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0.22). Only 1 patient had AST and ALT greater than 3 × the upper limit of normal (ULN). Among all patients who had elevated AST or ALT, their levels either normalized, were improving, or remained stable at the time of discharge. No patient developed acute liver failure. </w:t>
      </w:r>
    </w:p>
    <w:p w14:paraId="2903ED29" w14:textId="77777777" w:rsidR="00681808" w:rsidRDefault="002C0647">
      <w:pPr>
        <w:spacing w:line="360" w:lineRule="auto"/>
        <w:ind w:firstLineChars="200" w:firstLine="480"/>
        <w:jc w:val="both"/>
        <w:rPr>
          <w:rFonts w:ascii="Book Antiqua" w:hAnsi="Book Antiqua"/>
        </w:rPr>
      </w:pPr>
      <w:r>
        <w:rPr>
          <w:rFonts w:ascii="Book Antiqua" w:eastAsia="Book Antiqua" w:hAnsi="Book Antiqua" w:cs="Book Antiqua"/>
          <w:color w:val="000000"/>
        </w:rPr>
        <w:t>No data were available on d-dimer level for 1 case and 1 control. For the remaining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18), the mean values of the first d-dimer level during hospitalization were 1800.7 ng/mL and 915 ng/mL, respectively. This difference in d-dimer levels was not statistically significant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0.47). One patient among cases did not receive anti-coagulation due to thrombocytopenia. One patient among controls was already on warfarin for history of atrial fibrillation. All other remaining patients (cases = 10, controls = 17) received a prophylactic dose of either subcutaneous unfractionated heparin (</w:t>
      </w:r>
      <w:r>
        <w:rPr>
          <w:rFonts w:ascii="Book Antiqua" w:eastAsia="Book Antiqua" w:hAnsi="Book Antiqua" w:cs="Book Antiqua"/>
          <w:i/>
          <w:iCs/>
          <w:color w:val="000000"/>
        </w:rPr>
        <w:t>n</w:t>
      </w:r>
      <w:r>
        <w:rPr>
          <w:rFonts w:ascii="Book Antiqua" w:eastAsia="Book Antiqua" w:hAnsi="Book Antiqua" w:cs="Book Antiqua"/>
          <w:color w:val="000000"/>
        </w:rPr>
        <w:t xml:space="preserve"> = 4) or enoxaparin (</w:t>
      </w:r>
      <w:r>
        <w:rPr>
          <w:rFonts w:ascii="Book Antiqua" w:eastAsia="Book Antiqua" w:hAnsi="Book Antiqua" w:cs="Book Antiqua"/>
          <w:i/>
          <w:iCs/>
          <w:color w:val="000000"/>
        </w:rPr>
        <w:t>n</w:t>
      </w:r>
      <w:r>
        <w:rPr>
          <w:rFonts w:ascii="Book Antiqua" w:eastAsia="Book Antiqua" w:hAnsi="Book Antiqua" w:cs="Book Antiqua"/>
          <w:color w:val="000000"/>
        </w:rPr>
        <w:t xml:space="preserve"> = 23). No patient developed VTE in either group. Among the cases who were hospitalized (</w:t>
      </w:r>
      <w:r>
        <w:rPr>
          <w:rFonts w:ascii="Book Antiqua" w:eastAsia="Book Antiqua" w:hAnsi="Book Antiqua" w:cs="Book Antiqua"/>
          <w:i/>
          <w:iCs/>
          <w:color w:val="000000"/>
        </w:rPr>
        <w:t>n</w:t>
      </w:r>
      <w:r>
        <w:rPr>
          <w:rFonts w:ascii="Book Antiqua" w:eastAsia="Book Antiqua" w:hAnsi="Book Antiqua" w:cs="Book Antiqua"/>
          <w:color w:val="000000"/>
        </w:rPr>
        <w:t xml:space="preserve"> = 12), immunosuppression was decreased in 5 patients and did not change among the remaining 7 patients. One patient died in each of these two subgroups. Logistic regression analyses were conducted, but all of the models gave poor predictions as well as insignificant predictors (independent variables). Therefore, they could not be used for either prediction or inference. </w:t>
      </w:r>
    </w:p>
    <w:p w14:paraId="16AE0AD9" w14:textId="77777777" w:rsidR="00681808" w:rsidRDefault="00681808">
      <w:pPr>
        <w:spacing w:line="360" w:lineRule="auto"/>
        <w:jc w:val="both"/>
        <w:rPr>
          <w:rFonts w:ascii="Book Antiqua" w:hAnsi="Book Antiqua"/>
        </w:rPr>
      </w:pPr>
    </w:p>
    <w:p w14:paraId="2DE2EF37"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5FFD649"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Our study did not show a significant difference in death or hospitalization rate due to COVID-19 between patients who had liver transplantation and those who did not. Our study also did not find a difference between these two groups in terms of duration of hospital stay, need for supplemental oxygen, presence of at least one type of end-organ damage, effect on liver enzymes, and effect on d-dimer levels. Although case count was </w:t>
      </w:r>
      <w:r>
        <w:rPr>
          <w:rFonts w:ascii="Book Antiqua" w:eastAsia="Book Antiqua" w:hAnsi="Book Antiqua" w:cs="Book Antiqua"/>
          <w:color w:val="000000"/>
        </w:rPr>
        <w:lastRenderedPageBreak/>
        <w:t>low, reducing immunosuppression in a few patients did not have obvious effects on mortality and need for supplemental oxygen.</w:t>
      </w:r>
    </w:p>
    <w:p w14:paraId="72CCAF65"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Co-morbidities such as obesity, diabetes, cardiovascular and chronic pulmonary diseases have been associated with worse outcomes among patients with COVID-19</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However, surprisingly, liver transplant status did not increase the risk of mortality for these patients in our study, and this finding is in line with the results of recently published systematic </w:t>
      </w:r>
      <w:proofErr w:type="gramStart"/>
      <w:r>
        <w:rPr>
          <w:rFonts w:ascii="Book Antiqua" w:eastAsia="Book Antiqua" w:hAnsi="Book Antiqua" w:cs="Book Antiqua"/>
          <w:color w:val="000000"/>
        </w:rPr>
        <w:t>reviews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10,14]</w:t>
      </w:r>
      <w:r>
        <w:rPr>
          <w:rFonts w:ascii="Book Antiqua" w:eastAsia="Book Antiqua" w:hAnsi="Book Antiqua" w:cs="Book Antiqua"/>
          <w:color w:val="000000"/>
        </w:rPr>
        <w:t xml:space="preserve">. Although higher hospitalization rate has been reported among solid organ transplant patients with COVID-19, our study did not show any such </w:t>
      </w:r>
      <w:proofErr w:type="gramStart"/>
      <w:r>
        <w:rPr>
          <w:rFonts w:ascii="Book Antiqua" w:eastAsia="Book Antiqua" w:hAnsi="Book Antiqua" w:cs="Book Antiqua"/>
          <w:color w:val="000000"/>
        </w:rPr>
        <w:t>difference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31719FB7"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There is no reliable comparison available to date for duration of hospital stay for COVID-19 between patients who are or are not liver transplant recipients. On average, patients in each group spent more than 1 week in the hospital according to our study. Also, data on the need for supplemental oxygen among liver transplant recipients with COVID-19 are </w:t>
      </w:r>
      <w:proofErr w:type="gramStart"/>
      <w:r>
        <w:rPr>
          <w:rFonts w:ascii="Book Antiqua" w:eastAsia="Book Antiqua" w:hAnsi="Book Antiqua" w:cs="Book Antiqua"/>
          <w:color w:val="000000"/>
        </w:rPr>
        <w:t>limited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There is no comparison available to date for oxygen requirement among COVID-19 patients who have been liver transplant </w:t>
      </w:r>
      <w:proofErr w:type="gramStart"/>
      <w:r>
        <w:rPr>
          <w:rFonts w:ascii="Book Antiqua" w:eastAsia="Book Antiqua" w:hAnsi="Book Antiqua" w:cs="Book Antiqua"/>
          <w:color w:val="000000"/>
        </w:rPr>
        <w:t>recipients’</w:t>
      </w:r>
      <w:proofErr w:type="gramEnd"/>
      <w:r>
        <w:rPr>
          <w:rFonts w:ascii="Book Antiqua" w:eastAsia="Book Antiqua" w:hAnsi="Book Antiqua" w:cs="Book Antiqua"/>
          <w:color w:val="000000"/>
        </w:rPr>
        <w:t xml:space="preserve"> compared to those who are not. Most patients in both groups required supplemental oxygen in our study, but there was no statistically significant difference between the two groups in terms of oxygen requirements and only 5 of 27 discharged patients (cases = 2, controls = 3) required supplemental oxygen at the time of discharge.</w:t>
      </w:r>
    </w:p>
    <w:p w14:paraId="6F090A37" w14:textId="77777777" w:rsidR="00681808" w:rsidRDefault="002C0647">
      <w:pPr>
        <w:spacing w:line="360" w:lineRule="auto"/>
        <w:ind w:firstLine="270"/>
        <w:jc w:val="both"/>
        <w:rPr>
          <w:rFonts w:ascii="Book Antiqua" w:hAnsi="Book Antiqua"/>
        </w:rPr>
      </w:pP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reported moderate acute liver injury (ALT 2-5 × ULN) to be 22.2% (</w:t>
      </w:r>
      <w:r>
        <w:rPr>
          <w:rFonts w:ascii="Book Antiqua" w:eastAsia="Book Antiqua" w:hAnsi="Book Antiqua" w:cs="Book Antiqua"/>
          <w:i/>
          <w:iCs/>
          <w:color w:val="000000"/>
        </w:rPr>
        <w:t>n</w:t>
      </w:r>
      <w:r>
        <w:rPr>
          <w:rFonts w:ascii="Book Antiqua" w:eastAsia="Book Antiqua" w:hAnsi="Book Antiqua" w:cs="Book Antiqua"/>
          <w:color w:val="000000"/>
        </w:rPr>
        <w:t xml:space="preserve"> = 18) and severe acute liver injury (ALT &gt; 5 × ULN) to be 12.3% (</w:t>
      </w:r>
      <w:r>
        <w:rPr>
          <w:rFonts w:ascii="Book Antiqua" w:eastAsia="Book Antiqua" w:hAnsi="Book Antiqua" w:cs="Book Antiqua"/>
          <w:i/>
          <w:iCs/>
          <w:color w:val="000000"/>
        </w:rPr>
        <w:t>n</w:t>
      </w:r>
      <w:r>
        <w:rPr>
          <w:rFonts w:ascii="Book Antiqua" w:eastAsia="Book Antiqua" w:hAnsi="Book Antiqua" w:cs="Book Antiqua"/>
          <w:color w:val="000000"/>
        </w:rPr>
        <w:t xml:space="preserve"> = 10) among liver transplant recipients who were diagnosed with COVID-19. Acute liver injury was lower among liver transplant recipients compared to patients with other chronic liver disease and COVID-19 according to their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Although we also noted overall lower values of ALT and AST among patients who had liver transplant compared to those who did not, this difference was not statistically significant in our study.</w:t>
      </w:r>
    </w:p>
    <w:p w14:paraId="48D9DEE9"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No reliable comparison exists to date for d-dimer levels and incidence of VTE in COVID-19 between patients who are and are not liver transplant recipients. D-dimer levels were higher in hospitalized liver transplant recipients compared to patients </w:t>
      </w:r>
      <w:r>
        <w:rPr>
          <w:rFonts w:ascii="Book Antiqua" w:eastAsia="Book Antiqua" w:hAnsi="Book Antiqua" w:cs="Book Antiqua"/>
          <w:color w:val="000000"/>
        </w:rPr>
        <w:lastRenderedPageBreak/>
        <w:t>without any transplant; however, this difference was not statistically significant in our study. Most patients received prophylactic anti-coagulation against VTE, and no patient was diagnosed with VTE during their hospitalization.</w:t>
      </w:r>
    </w:p>
    <w:p w14:paraId="69495F18" w14:textId="77777777" w:rsidR="00681808" w:rsidRDefault="002C0647">
      <w:pPr>
        <w:spacing w:line="360" w:lineRule="auto"/>
        <w:ind w:firstLine="270"/>
        <w:jc w:val="both"/>
        <w:rPr>
          <w:rFonts w:ascii="Book Antiqua" w:hAnsi="Book Antiqua"/>
        </w:rPr>
      </w:pPr>
      <w:r>
        <w:rPr>
          <w:rFonts w:ascii="Book Antiqua" w:eastAsia="Book Antiqua" w:hAnsi="Book Antiqua" w:cs="Book Antiqua"/>
          <w:color w:val="000000"/>
        </w:rPr>
        <w:t xml:space="preserve">In summary, our study shows that the clinical outcomes of COVID-19 between patients with and without liver transplant are not different. Important limitations of our study include the retrospective nature of the study, relatively small sample size, and the fact that it was a single-center study. Also, given the retrospective nature of the study, the severity of the comorbidities among cases and controls could not be estimated. </w:t>
      </w:r>
    </w:p>
    <w:p w14:paraId="3ED1FC60" w14:textId="77777777" w:rsidR="00681808" w:rsidRDefault="00681808">
      <w:pPr>
        <w:spacing w:line="360" w:lineRule="auto"/>
        <w:ind w:firstLine="270"/>
        <w:jc w:val="both"/>
        <w:rPr>
          <w:rFonts w:ascii="Book Antiqua" w:hAnsi="Book Antiqua"/>
        </w:rPr>
      </w:pPr>
    </w:p>
    <w:p w14:paraId="18CBD4DB"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EB19133"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Clinical outcomes of COVID-19 do not differ among patients with and without liver transplantation. Also, decreasing immunosuppression in limited liver transplant patients did not improve morbidity or mortality. Precautions, vaccination, and appropriate testing should be exercised but otherwise, the ongoing COVID-19 pandemic should not change how liver transplant patients are cared for, such as timely access to health care and continuation of immunosuppression.</w:t>
      </w:r>
    </w:p>
    <w:p w14:paraId="5D1C41D8" w14:textId="77777777" w:rsidR="00681808" w:rsidRDefault="00681808">
      <w:pPr>
        <w:spacing w:line="360" w:lineRule="auto"/>
        <w:jc w:val="both"/>
        <w:rPr>
          <w:rFonts w:ascii="Book Antiqua" w:hAnsi="Book Antiqua"/>
        </w:rPr>
      </w:pPr>
    </w:p>
    <w:p w14:paraId="2016E006"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89D16E1"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background</w:t>
      </w:r>
    </w:p>
    <w:p w14:paraId="2D838144"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Liver transplant patients are at higher risk of infection due to immunosuppression. Whether liver transplant recipients are also more susceptible to </w:t>
      </w:r>
      <w:r>
        <w:rPr>
          <w:rFonts w:ascii="Book Antiqua" w:eastAsia="Book Antiqua" w:hAnsi="Book Antiqua" w:cs="Book Antiqua"/>
          <w:color w:val="000000"/>
          <w:shd w:val="clear" w:color="auto" w:fill="FFFFFF"/>
        </w:rPr>
        <w:t>severe acute respiratory syndrome coronavirus 2 (SARS-CoV-2)</w:t>
      </w:r>
      <w:r>
        <w:rPr>
          <w:rFonts w:ascii="Book Antiqua" w:eastAsia="Book Antiqua" w:hAnsi="Book Antiqua" w:cs="Book Antiqua"/>
          <w:color w:val="000000"/>
        </w:rPr>
        <w:t xml:space="preserve"> and will have worse outcomes than the general population if they develop coronavirus disease 2019 (COVID-19) due to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 xml:space="preserve"> is a topic of ongoing studies, including ours. </w:t>
      </w:r>
    </w:p>
    <w:p w14:paraId="2902EB24" w14:textId="77777777" w:rsidR="00681808" w:rsidRDefault="00681808">
      <w:pPr>
        <w:spacing w:line="360" w:lineRule="auto"/>
        <w:jc w:val="both"/>
        <w:rPr>
          <w:rFonts w:ascii="Book Antiqua" w:hAnsi="Book Antiqua"/>
        </w:rPr>
      </w:pPr>
    </w:p>
    <w:p w14:paraId="70038AF5"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motivation</w:t>
      </w:r>
    </w:p>
    <w:p w14:paraId="52F6D2C3" w14:textId="77777777" w:rsidR="00681808" w:rsidRDefault="002C064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Liver transplant recipients require specialized care and timely access to health care. However, the data on outcomes of COVID-19 among liver transplant recipients besides </w:t>
      </w:r>
      <w:r>
        <w:rPr>
          <w:rFonts w:ascii="Book Antiqua" w:eastAsia="Book Antiqua" w:hAnsi="Book Antiqua" w:cs="Book Antiqua"/>
          <w:color w:val="000000"/>
          <w:shd w:val="clear" w:color="auto" w:fill="FFFFFF"/>
        </w:rPr>
        <w:lastRenderedPageBreak/>
        <w:t>hospitalization and mortality is limited. This led to our interest to explore</w:t>
      </w:r>
      <w:r>
        <w:rPr>
          <w:rFonts w:ascii="Book Antiqua" w:eastAsia="Book Antiqua" w:hAnsi="Book Antiqua" w:cs="Book Antiqua"/>
          <w:color w:val="000000"/>
        </w:rPr>
        <w:t xml:space="preserve"> additional outcomes of COVID-19 among l</w:t>
      </w:r>
      <w:r>
        <w:rPr>
          <w:rFonts w:ascii="Book Antiqua" w:eastAsia="Book Antiqua" w:hAnsi="Book Antiqua" w:cs="Book Antiqua"/>
          <w:color w:val="000000"/>
          <w:shd w:val="clear" w:color="auto" w:fill="FFFFFF"/>
        </w:rPr>
        <w:t xml:space="preserve">iver transplant recipients. </w:t>
      </w:r>
    </w:p>
    <w:p w14:paraId="6200631F" w14:textId="77777777" w:rsidR="00681808" w:rsidRDefault="00681808">
      <w:pPr>
        <w:spacing w:line="360" w:lineRule="auto"/>
        <w:jc w:val="both"/>
        <w:rPr>
          <w:rFonts w:ascii="Book Antiqua" w:hAnsi="Book Antiqua"/>
        </w:rPr>
      </w:pPr>
    </w:p>
    <w:p w14:paraId="43E785C3"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objectives</w:t>
      </w:r>
    </w:p>
    <w:p w14:paraId="24035A17"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The objective of the study was to assess clinical outcomes of COVID-19 in liver transplant recipients. Death and hospitalization due to COVID-19 were the primary outcomes. Secondary outcomes were pertinent only to patients who were hospitalized, and they included duration of hospital stay, need for supplemental oxygen, presence of at least one type of end-organ damage, effects on liver enzymes, incidence of acute liver failure, effect on d-dimer levels, and incidence of venous thromboembolism.</w:t>
      </w:r>
    </w:p>
    <w:p w14:paraId="2FA3EC70" w14:textId="77777777" w:rsidR="00681808" w:rsidRDefault="00681808">
      <w:pPr>
        <w:spacing w:line="360" w:lineRule="auto"/>
        <w:jc w:val="both"/>
        <w:rPr>
          <w:rFonts w:ascii="Book Antiqua" w:hAnsi="Book Antiqua"/>
        </w:rPr>
      </w:pPr>
    </w:p>
    <w:p w14:paraId="3EB2547D"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methods</w:t>
      </w:r>
    </w:p>
    <w:p w14:paraId="5A60040B"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 xml:space="preserve">This was a case-control study. Patients 18 years or older who tested positive for </w:t>
      </w:r>
      <w:r>
        <w:rPr>
          <w:rFonts w:ascii="Book Antiqua" w:eastAsia="Book Antiqua" w:hAnsi="Book Antiqua" w:cs="Book Antiqua"/>
          <w:color w:val="000000"/>
          <w:shd w:val="clear" w:color="auto" w:fill="FFFFFF"/>
        </w:rPr>
        <w:t>SARS-CoV-2</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polymerase chain reaction were included in the study. Patients with infection other than pneumonia at the time of admission were excluded. Patients who had been the recipient of liver transplant were considered cases and those without as controls. Chi-square or Fisher’s exact test was used to compare all primary and secondary outcomes with the exception of duration of hospital stay and d-dimer levels, which were compared using the Wilcoxon signed-rank test. Alpha criterion was set at 0.05. Statistical analyses were performed using R software.</w:t>
      </w:r>
    </w:p>
    <w:p w14:paraId="30880286" w14:textId="77777777" w:rsidR="00681808" w:rsidRDefault="00681808">
      <w:pPr>
        <w:spacing w:line="360" w:lineRule="auto"/>
        <w:jc w:val="both"/>
        <w:rPr>
          <w:rFonts w:ascii="Book Antiqua" w:hAnsi="Book Antiqua"/>
        </w:rPr>
      </w:pPr>
    </w:p>
    <w:p w14:paraId="6CD59110"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results</w:t>
      </w:r>
    </w:p>
    <w:p w14:paraId="582B1077"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There was no significant difference between cases and controls regarding death and hospitalization rates.</w:t>
      </w:r>
      <w:r>
        <w:rPr>
          <w:rFonts w:ascii="Book Antiqua" w:eastAsia="Book Antiqua" w:hAnsi="Book Antiqua" w:cs="Book Antiqua"/>
          <w:b/>
          <w:bCs/>
          <w:color w:val="000000"/>
        </w:rPr>
        <w:t xml:space="preserve"> </w:t>
      </w:r>
      <w:r>
        <w:rPr>
          <w:rFonts w:ascii="Book Antiqua" w:eastAsia="Book Antiqua" w:hAnsi="Book Antiqua" w:cs="Book Antiqua"/>
          <w:color w:val="000000"/>
        </w:rPr>
        <w:t>There also was no significant difference between cases and controls with respect to all secondary outcomes.</w:t>
      </w:r>
    </w:p>
    <w:p w14:paraId="0723969A" w14:textId="77777777" w:rsidR="00681808" w:rsidRDefault="00681808">
      <w:pPr>
        <w:spacing w:line="360" w:lineRule="auto"/>
        <w:jc w:val="both"/>
        <w:rPr>
          <w:rFonts w:ascii="Book Antiqua" w:hAnsi="Book Antiqua"/>
        </w:rPr>
      </w:pPr>
    </w:p>
    <w:p w14:paraId="7B553E99"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conclusions</w:t>
      </w:r>
    </w:p>
    <w:p w14:paraId="104F7DAE"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lastRenderedPageBreak/>
        <w:t>Clinical outcomes of COVID-19 in liver transplant recipients are not different than those without transplantation. COVID-19 should not impact timely health care access and immunosuppression continuation among these patients.</w:t>
      </w:r>
    </w:p>
    <w:p w14:paraId="549526B2" w14:textId="77777777" w:rsidR="00681808" w:rsidRDefault="00681808">
      <w:pPr>
        <w:spacing w:line="360" w:lineRule="auto"/>
        <w:jc w:val="both"/>
        <w:rPr>
          <w:rFonts w:ascii="Book Antiqua" w:hAnsi="Book Antiqua"/>
        </w:rPr>
      </w:pPr>
    </w:p>
    <w:p w14:paraId="78FA5420" w14:textId="77777777" w:rsidR="00681808" w:rsidRDefault="002C0647">
      <w:pPr>
        <w:spacing w:line="360" w:lineRule="auto"/>
        <w:jc w:val="both"/>
        <w:rPr>
          <w:rFonts w:ascii="Book Antiqua" w:hAnsi="Book Antiqua"/>
        </w:rPr>
      </w:pPr>
      <w:r>
        <w:rPr>
          <w:rFonts w:ascii="Book Antiqua" w:eastAsia="Book Antiqua" w:hAnsi="Book Antiqua" w:cs="Book Antiqua"/>
          <w:b/>
          <w:i/>
          <w:color w:val="000000"/>
        </w:rPr>
        <w:t>Research perspectives</w:t>
      </w:r>
    </w:p>
    <w:p w14:paraId="367A4B2F" w14:textId="77777777" w:rsidR="00681808" w:rsidRDefault="002C0647">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Besides hospitalization and mortality, data on additional clinical outcomes of </w:t>
      </w:r>
      <w:r>
        <w:rPr>
          <w:rFonts w:ascii="Book Antiqua" w:eastAsia="Book Antiqua" w:hAnsi="Book Antiqua" w:cs="Book Antiqua"/>
          <w:color w:val="000000"/>
        </w:rPr>
        <w:t xml:space="preserve">COVID-19 among liver transplant recipients is limited. Additional studies are needed to explore the full impact of COVID-19 among patients who have been the recipient of liver transplant. </w:t>
      </w:r>
    </w:p>
    <w:p w14:paraId="0CA311C9" w14:textId="77777777" w:rsidR="00681808" w:rsidRDefault="00681808">
      <w:pPr>
        <w:spacing w:line="360" w:lineRule="auto"/>
        <w:jc w:val="both"/>
        <w:rPr>
          <w:rFonts w:ascii="Book Antiqua" w:hAnsi="Book Antiqua"/>
        </w:rPr>
      </w:pPr>
    </w:p>
    <w:p w14:paraId="66EDF8F9" w14:textId="77777777" w:rsidR="00681808" w:rsidRDefault="002C0647">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275680F"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Data for this research project were obtained from the Health System of the University of Kansas Medical Center, Kansas City, KS 66160, United States. The authors are grateful to the Department of Clinical Informatics at the University of Kansas Medical Center for their help in accessing the patient medical record database. Data extraction was conducted by the HERON automated data extraction tool.</w:t>
      </w:r>
    </w:p>
    <w:p w14:paraId="7D25EE19" w14:textId="77777777" w:rsidR="00681808" w:rsidRDefault="00681808">
      <w:pPr>
        <w:spacing w:line="360" w:lineRule="auto"/>
        <w:jc w:val="both"/>
        <w:rPr>
          <w:rFonts w:ascii="Book Antiqua" w:hAnsi="Book Antiqua"/>
        </w:rPr>
      </w:pPr>
    </w:p>
    <w:p w14:paraId="332C2F71"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REFERENCES</w:t>
      </w:r>
    </w:p>
    <w:p w14:paraId="4124CD5B" w14:textId="77777777" w:rsidR="00681808" w:rsidRDefault="002C0647">
      <w:pPr>
        <w:spacing w:line="360" w:lineRule="auto"/>
        <w:jc w:val="both"/>
        <w:rPr>
          <w:rFonts w:ascii="Book Antiqua" w:hAnsi="Book Antiqua"/>
        </w:rPr>
      </w:pPr>
      <w:r>
        <w:rPr>
          <w:rFonts w:ascii="Book Antiqua" w:hAnsi="Book Antiqua"/>
        </w:rPr>
        <w:t>1 John Hopkins University and Medicine Coronavirus Resource Center. COVID-19 Dashboard [cited 2022 March 28th]. Available from: https://coronavirus.jhu.edu/map.html.</w:t>
      </w:r>
    </w:p>
    <w:p w14:paraId="3BE6E497" w14:textId="77777777" w:rsidR="00681808" w:rsidRDefault="002C0647">
      <w:pPr>
        <w:spacing w:line="360" w:lineRule="auto"/>
        <w:jc w:val="both"/>
        <w:rPr>
          <w:rFonts w:ascii="Book Antiqua" w:hAnsi="Book Antiqua"/>
        </w:rPr>
      </w:pPr>
      <w:r>
        <w:rPr>
          <w:rFonts w:ascii="Book Antiqua" w:hAnsi="Book Antiqua"/>
        </w:rPr>
        <w:t xml:space="preserve">2 </w:t>
      </w:r>
      <w:r>
        <w:rPr>
          <w:rFonts w:ascii="Book Antiqua" w:hAnsi="Book Antiqua"/>
          <w:b/>
          <w:bCs/>
        </w:rPr>
        <w:t>Tan YK</w:t>
      </w:r>
      <w:r>
        <w:rPr>
          <w:rFonts w:ascii="Book Antiqua" w:hAnsi="Book Antiqua"/>
        </w:rPr>
        <w:t xml:space="preserve">, Goh C, </w:t>
      </w:r>
      <w:proofErr w:type="spellStart"/>
      <w:r>
        <w:rPr>
          <w:rFonts w:ascii="Book Antiqua" w:hAnsi="Book Antiqua"/>
        </w:rPr>
        <w:t>Leow</w:t>
      </w:r>
      <w:proofErr w:type="spellEnd"/>
      <w:r>
        <w:rPr>
          <w:rFonts w:ascii="Book Antiqua" w:hAnsi="Book Antiqua"/>
        </w:rPr>
        <w:t xml:space="preserve"> AST, </w:t>
      </w:r>
      <w:proofErr w:type="spellStart"/>
      <w:r>
        <w:rPr>
          <w:rFonts w:ascii="Book Antiqua" w:hAnsi="Book Antiqua"/>
        </w:rPr>
        <w:t>Tambyah</w:t>
      </w:r>
      <w:proofErr w:type="spellEnd"/>
      <w:r>
        <w:rPr>
          <w:rFonts w:ascii="Book Antiqua" w:hAnsi="Book Antiqua"/>
        </w:rPr>
        <w:t xml:space="preserve"> PA, Ang A, Yap ES, Tu TM, Sharma VK, Yeo LLL, Chan BPL, Tan BYQ. COVID-19 and ischemic stroke: a systematic review and meta-summary of the literature. </w:t>
      </w:r>
      <w:r>
        <w:rPr>
          <w:rFonts w:ascii="Book Antiqua" w:hAnsi="Book Antiqua"/>
          <w:i/>
          <w:iCs/>
        </w:rPr>
        <w:t xml:space="preserve">J </w:t>
      </w:r>
      <w:proofErr w:type="spellStart"/>
      <w:r>
        <w:rPr>
          <w:rFonts w:ascii="Book Antiqua" w:hAnsi="Book Antiqua"/>
          <w:i/>
          <w:iCs/>
        </w:rPr>
        <w:t>Thromb</w:t>
      </w:r>
      <w:proofErr w:type="spellEnd"/>
      <w:r>
        <w:rPr>
          <w:rFonts w:ascii="Book Antiqua" w:hAnsi="Book Antiqua"/>
          <w:i/>
          <w:iCs/>
        </w:rPr>
        <w:t xml:space="preserve"> Thrombolysis</w:t>
      </w:r>
      <w:r>
        <w:rPr>
          <w:rFonts w:ascii="Book Antiqua" w:hAnsi="Book Antiqua"/>
        </w:rPr>
        <w:t xml:space="preserve"> 2020; </w:t>
      </w:r>
      <w:r>
        <w:rPr>
          <w:rFonts w:ascii="Book Antiqua" w:hAnsi="Book Antiqua"/>
          <w:b/>
          <w:bCs/>
        </w:rPr>
        <w:t>50</w:t>
      </w:r>
      <w:r>
        <w:rPr>
          <w:rFonts w:ascii="Book Antiqua" w:hAnsi="Book Antiqua"/>
        </w:rPr>
        <w:t>: 587-595 [PMID: 32661757 DOI: 10.1007/s11239-020-02228-y]</w:t>
      </w:r>
    </w:p>
    <w:p w14:paraId="23DC481A" w14:textId="77777777" w:rsidR="00681808" w:rsidRDefault="002C0647">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Babapoor-Farrokhran</w:t>
      </w:r>
      <w:proofErr w:type="spellEnd"/>
      <w:r>
        <w:rPr>
          <w:rFonts w:ascii="Book Antiqua" w:hAnsi="Book Antiqua"/>
          <w:b/>
          <w:bCs/>
        </w:rPr>
        <w:t xml:space="preserve"> S</w:t>
      </w:r>
      <w:r>
        <w:rPr>
          <w:rFonts w:ascii="Book Antiqua" w:hAnsi="Book Antiqua"/>
        </w:rPr>
        <w:t xml:space="preserve">, Gill D, Walker J, </w:t>
      </w:r>
      <w:proofErr w:type="spellStart"/>
      <w:r>
        <w:rPr>
          <w:rFonts w:ascii="Book Antiqua" w:hAnsi="Book Antiqua"/>
        </w:rPr>
        <w:t>Rasekhi</w:t>
      </w:r>
      <w:proofErr w:type="spellEnd"/>
      <w:r>
        <w:rPr>
          <w:rFonts w:ascii="Book Antiqua" w:hAnsi="Book Antiqua"/>
        </w:rPr>
        <w:t xml:space="preserve"> RT, </w:t>
      </w:r>
      <w:proofErr w:type="spellStart"/>
      <w:r>
        <w:rPr>
          <w:rFonts w:ascii="Book Antiqua" w:hAnsi="Book Antiqua"/>
        </w:rPr>
        <w:t>Bozorgnia</w:t>
      </w:r>
      <w:proofErr w:type="spellEnd"/>
      <w:r>
        <w:rPr>
          <w:rFonts w:ascii="Book Antiqua" w:hAnsi="Book Antiqua"/>
        </w:rPr>
        <w:t xml:space="preserve"> B, Amanullah A. Myocardial injury and COVID-19: Possible mechanisms. </w:t>
      </w:r>
      <w:r>
        <w:rPr>
          <w:rFonts w:ascii="Book Antiqua" w:hAnsi="Book Antiqua"/>
          <w:i/>
          <w:iCs/>
        </w:rPr>
        <w:t>Life Sci</w:t>
      </w:r>
      <w:r>
        <w:rPr>
          <w:rFonts w:ascii="Book Antiqua" w:hAnsi="Book Antiqua"/>
        </w:rPr>
        <w:t xml:space="preserve"> 2020; </w:t>
      </w:r>
      <w:r>
        <w:rPr>
          <w:rFonts w:ascii="Book Antiqua" w:hAnsi="Book Antiqua"/>
          <w:b/>
          <w:bCs/>
        </w:rPr>
        <w:t>253</w:t>
      </w:r>
      <w:r>
        <w:rPr>
          <w:rFonts w:ascii="Book Antiqua" w:hAnsi="Book Antiqua"/>
        </w:rPr>
        <w:t>: 117723 [PMID: 32360126 DOI: 10.1016/j.lfs.2020.117723]</w:t>
      </w:r>
    </w:p>
    <w:p w14:paraId="54C6DFB7" w14:textId="77777777" w:rsidR="00681808" w:rsidRDefault="002C0647">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Aryal</w:t>
      </w:r>
      <w:proofErr w:type="spellEnd"/>
      <w:r>
        <w:rPr>
          <w:rFonts w:ascii="Book Antiqua" w:hAnsi="Book Antiqua"/>
          <w:b/>
          <w:bCs/>
        </w:rPr>
        <w:t xml:space="preserve"> MR</w:t>
      </w:r>
      <w:r>
        <w:rPr>
          <w:rFonts w:ascii="Book Antiqua" w:hAnsi="Book Antiqua"/>
        </w:rPr>
        <w:t xml:space="preserve">, </w:t>
      </w:r>
      <w:proofErr w:type="spellStart"/>
      <w:r>
        <w:rPr>
          <w:rFonts w:ascii="Book Antiqua" w:hAnsi="Book Antiqua"/>
        </w:rPr>
        <w:t>Gosain</w:t>
      </w:r>
      <w:proofErr w:type="spellEnd"/>
      <w:r>
        <w:rPr>
          <w:rFonts w:ascii="Book Antiqua" w:hAnsi="Book Antiqua"/>
        </w:rPr>
        <w:t xml:space="preserve"> R, Donato A, Pathak R, Bhatt VR, </w:t>
      </w:r>
      <w:proofErr w:type="spellStart"/>
      <w:r>
        <w:rPr>
          <w:rFonts w:ascii="Book Antiqua" w:hAnsi="Book Antiqua"/>
        </w:rPr>
        <w:t>Katel</w:t>
      </w:r>
      <w:proofErr w:type="spellEnd"/>
      <w:r>
        <w:rPr>
          <w:rFonts w:ascii="Book Antiqua" w:hAnsi="Book Antiqua"/>
        </w:rPr>
        <w:t xml:space="preserve"> A, </w:t>
      </w:r>
      <w:proofErr w:type="spellStart"/>
      <w:r>
        <w:rPr>
          <w:rFonts w:ascii="Book Antiqua" w:hAnsi="Book Antiqua"/>
        </w:rPr>
        <w:t>Kouides</w:t>
      </w:r>
      <w:proofErr w:type="spellEnd"/>
      <w:r>
        <w:rPr>
          <w:rFonts w:ascii="Book Antiqua" w:hAnsi="Book Antiqua"/>
        </w:rPr>
        <w:t xml:space="preserve"> P. Venous Thromboembolism in COVID-19: Towards an Ideal Approach to Thromboprophylaxis, </w:t>
      </w:r>
      <w:r>
        <w:rPr>
          <w:rFonts w:ascii="Book Antiqua" w:hAnsi="Book Antiqua"/>
        </w:rPr>
        <w:lastRenderedPageBreak/>
        <w:t xml:space="preserve">Screening, and Treatment.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Cardiol</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22</w:t>
      </w:r>
      <w:r>
        <w:rPr>
          <w:rFonts w:ascii="Book Antiqua" w:hAnsi="Book Antiqua"/>
        </w:rPr>
        <w:t>: 52 [PMID: 32529517 DOI: 10.1007/s11886-020-01327-9]</w:t>
      </w:r>
    </w:p>
    <w:p w14:paraId="6C815A40" w14:textId="77777777" w:rsidR="00681808" w:rsidRDefault="002C0647">
      <w:pPr>
        <w:spacing w:line="360" w:lineRule="auto"/>
        <w:jc w:val="both"/>
        <w:rPr>
          <w:rFonts w:ascii="Book Antiqua" w:hAnsi="Book Antiqua"/>
        </w:rPr>
      </w:pPr>
      <w:r>
        <w:rPr>
          <w:rFonts w:ascii="Book Antiqua" w:hAnsi="Book Antiqua"/>
        </w:rPr>
        <w:t xml:space="preserve">5 </w:t>
      </w:r>
      <w:r>
        <w:rPr>
          <w:rFonts w:ascii="Book Antiqua" w:hAnsi="Book Antiqua"/>
          <w:b/>
          <w:bCs/>
        </w:rPr>
        <w:t>Al-</w:t>
      </w:r>
      <w:proofErr w:type="spellStart"/>
      <w:r>
        <w:rPr>
          <w:rFonts w:ascii="Book Antiqua" w:hAnsi="Book Antiqua"/>
          <w:b/>
          <w:bCs/>
        </w:rPr>
        <w:t>Samkari</w:t>
      </w:r>
      <w:proofErr w:type="spellEnd"/>
      <w:r>
        <w:rPr>
          <w:rFonts w:ascii="Book Antiqua" w:hAnsi="Book Antiqua"/>
          <w:b/>
          <w:bCs/>
        </w:rPr>
        <w:t xml:space="preserve"> H</w:t>
      </w:r>
      <w:r>
        <w:rPr>
          <w:rFonts w:ascii="Book Antiqua" w:hAnsi="Book Antiqua"/>
        </w:rPr>
        <w:t xml:space="preserve">, Karp Leaf RS, Dzik WH, Carlson JCT, </w:t>
      </w:r>
      <w:proofErr w:type="spellStart"/>
      <w:r>
        <w:rPr>
          <w:rFonts w:ascii="Book Antiqua" w:hAnsi="Book Antiqua"/>
        </w:rPr>
        <w:t>Fogerty</w:t>
      </w:r>
      <w:proofErr w:type="spellEnd"/>
      <w:r>
        <w:rPr>
          <w:rFonts w:ascii="Book Antiqua" w:hAnsi="Book Antiqua"/>
        </w:rPr>
        <w:t xml:space="preserve"> AE, </w:t>
      </w:r>
      <w:proofErr w:type="spellStart"/>
      <w:r>
        <w:rPr>
          <w:rFonts w:ascii="Book Antiqua" w:hAnsi="Book Antiqua"/>
        </w:rPr>
        <w:t>Waheed</w:t>
      </w:r>
      <w:proofErr w:type="spellEnd"/>
      <w:r>
        <w:rPr>
          <w:rFonts w:ascii="Book Antiqua" w:hAnsi="Book Antiqua"/>
        </w:rPr>
        <w:t xml:space="preserve"> A, </w:t>
      </w:r>
      <w:proofErr w:type="spellStart"/>
      <w:r>
        <w:rPr>
          <w:rFonts w:ascii="Book Antiqua" w:hAnsi="Book Antiqua"/>
        </w:rPr>
        <w:t>Goodarzi</w:t>
      </w:r>
      <w:proofErr w:type="spellEnd"/>
      <w:r>
        <w:rPr>
          <w:rFonts w:ascii="Book Antiqua" w:hAnsi="Book Antiqua"/>
        </w:rPr>
        <w:t xml:space="preserve"> K, </w:t>
      </w:r>
      <w:proofErr w:type="spellStart"/>
      <w:r>
        <w:rPr>
          <w:rFonts w:ascii="Book Antiqua" w:hAnsi="Book Antiqua"/>
        </w:rPr>
        <w:t>Bendapudi</w:t>
      </w:r>
      <w:proofErr w:type="spellEnd"/>
      <w:r>
        <w:rPr>
          <w:rFonts w:ascii="Book Antiqua" w:hAnsi="Book Antiqua"/>
        </w:rPr>
        <w:t xml:space="preserve"> PK, </w:t>
      </w:r>
      <w:proofErr w:type="spellStart"/>
      <w:r>
        <w:rPr>
          <w:rFonts w:ascii="Book Antiqua" w:hAnsi="Book Antiqua"/>
        </w:rPr>
        <w:t>Bornikova</w:t>
      </w:r>
      <w:proofErr w:type="spellEnd"/>
      <w:r>
        <w:rPr>
          <w:rFonts w:ascii="Book Antiqua" w:hAnsi="Book Antiqua"/>
        </w:rPr>
        <w:t xml:space="preserve"> L, Gupta S, Leaf DE, </w:t>
      </w:r>
      <w:proofErr w:type="spellStart"/>
      <w:r>
        <w:rPr>
          <w:rFonts w:ascii="Book Antiqua" w:hAnsi="Book Antiqua"/>
        </w:rPr>
        <w:t>Kuter</w:t>
      </w:r>
      <w:proofErr w:type="spellEnd"/>
      <w:r>
        <w:rPr>
          <w:rFonts w:ascii="Book Antiqua" w:hAnsi="Book Antiqua"/>
        </w:rPr>
        <w:t xml:space="preserve"> DJ, Rosovsky RP. COVID-19 and coagulation: bleeding and thrombotic manifestations of SARS-CoV-2 infection. </w:t>
      </w:r>
      <w:r>
        <w:rPr>
          <w:rFonts w:ascii="Book Antiqua" w:hAnsi="Book Antiqua"/>
          <w:i/>
          <w:iCs/>
        </w:rPr>
        <w:t>Blood</w:t>
      </w:r>
      <w:r>
        <w:rPr>
          <w:rFonts w:ascii="Book Antiqua" w:hAnsi="Book Antiqua"/>
        </w:rPr>
        <w:t xml:space="preserve"> 2020; </w:t>
      </w:r>
      <w:r>
        <w:rPr>
          <w:rFonts w:ascii="Book Antiqua" w:hAnsi="Book Antiqua"/>
          <w:b/>
          <w:bCs/>
        </w:rPr>
        <w:t>136</w:t>
      </w:r>
      <w:r>
        <w:rPr>
          <w:rFonts w:ascii="Book Antiqua" w:hAnsi="Book Antiqua"/>
        </w:rPr>
        <w:t>: 489-500 [PMID: 32492712 DOI: 10.1182/blood.2020006520]</w:t>
      </w:r>
    </w:p>
    <w:p w14:paraId="3970433C" w14:textId="77777777" w:rsidR="00681808" w:rsidRDefault="002C0647">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Ferm</w:t>
      </w:r>
      <w:proofErr w:type="spellEnd"/>
      <w:r>
        <w:rPr>
          <w:rFonts w:ascii="Book Antiqua" w:hAnsi="Book Antiqua"/>
          <w:b/>
          <w:bCs/>
        </w:rPr>
        <w:t xml:space="preserve"> S</w:t>
      </w:r>
      <w:r>
        <w:rPr>
          <w:rFonts w:ascii="Book Antiqua" w:hAnsi="Book Antiqua"/>
        </w:rPr>
        <w:t xml:space="preserve">, Fisher C, Pakala T, Tong M, Shah D, </w:t>
      </w:r>
      <w:proofErr w:type="spellStart"/>
      <w:r>
        <w:rPr>
          <w:rFonts w:ascii="Book Antiqua" w:hAnsi="Book Antiqua"/>
        </w:rPr>
        <w:t>Schwarzbaum</w:t>
      </w:r>
      <w:proofErr w:type="spellEnd"/>
      <w:r>
        <w:rPr>
          <w:rFonts w:ascii="Book Antiqua" w:hAnsi="Book Antiqua"/>
        </w:rPr>
        <w:t xml:space="preserve"> D, Cooley V, Hussain S, Kim SH. Analysis of Gastrointestinal and Hepatic Manifestations of SARS-CoV-2 Infection in 892 Patients in Queens, NY.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2378-2379.e1 [PMID: 32497637 DOI: 10.1016/j.cgh.2020.05.049]</w:t>
      </w:r>
    </w:p>
    <w:p w14:paraId="22D0238C" w14:textId="77777777" w:rsidR="00681808" w:rsidRDefault="002C0647">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Sweed</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Abdelsameea</w:t>
      </w:r>
      <w:proofErr w:type="spellEnd"/>
      <w:r>
        <w:rPr>
          <w:rFonts w:ascii="Book Antiqua" w:hAnsi="Book Antiqua"/>
        </w:rPr>
        <w:t xml:space="preserve"> E, Khalifa EA, Abdallah H, </w:t>
      </w:r>
      <w:proofErr w:type="spellStart"/>
      <w:r>
        <w:rPr>
          <w:rFonts w:ascii="Book Antiqua" w:hAnsi="Book Antiqua"/>
        </w:rPr>
        <w:t>Moaz</w:t>
      </w:r>
      <w:proofErr w:type="spellEnd"/>
      <w:r>
        <w:rPr>
          <w:rFonts w:ascii="Book Antiqua" w:hAnsi="Book Antiqua"/>
        </w:rPr>
        <w:t xml:space="preserve"> H, </w:t>
      </w:r>
      <w:proofErr w:type="spellStart"/>
      <w:r>
        <w:rPr>
          <w:rFonts w:ascii="Book Antiqua" w:hAnsi="Book Antiqua"/>
        </w:rPr>
        <w:t>Moaz</w:t>
      </w:r>
      <w:proofErr w:type="spellEnd"/>
      <w:r>
        <w:rPr>
          <w:rFonts w:ascii="Book Antiqua" w:hAnsi="Book Antiqua"/>
        </w:rPr>
        <w:t xml:space="preserve"> I, </w:t>
      </w:r>
      <w:proofErr w:type="spellStart"/>
      <w:r>
        <w:rPr>
          <w:rFonts w:ascii="Book Antiqua" w:hAnsi="Book Antiqua"/>
        </w:rPr>
        <w:t>Abdelsattar</w:t>
      </w:r>
      <w:proofErr w:type="spellEnd"/>
      <w:r>
        <w:rPr>
          <w:rFonts w:ascii="Book Antiqua" w:hAnsi="Book Antiqua"/>
        </w:rPr>
        <w:t xml:space="preserve"> S, Abdel-Rahman N, </w:t>
      </w:r>
      <w:proofErr w:type="spellStart"/>
      <w:r>
        <w:rPr>
          <w:rFonts w:ascii="Book Antiqua" w:hAnsi="Book Antiqua"/>
        </w:rPr>
        <w:t>Mosbeh</w:t>
      </w:r>
      <w:proofErr w:type="spellEnd"/>
      <w:r>
        <w:rPr>
          <w:rFonts w:ascii="Book Antiqua" w:hAnsi="Book Antiqua"/>
        </w:rPr>
        <w:t xml:space="preserve"> A, Elmahdy HA, </w:t>
      </w:r>
      <w:proofErr w:type="spellStart"/>
      <w:r>
        <w:rPr>
          <w:rFonts w:ascii="Book Antiqua" w:hAnsi="Book Antiqua"/>
        </w:rPr>
        <w:t>Sweed</w:t>
      </w:r>
      <w:proofErr w:type="spellEnd"/>
      <w:r>
        <w:rPr>
          <w:rFonts w:ascii="Book Antiqua" w:hAnsi="Book Antiqua"/>
        </w:rPr>
        <w:t xml:space="preserve"> E. SARS-CoV-2-associated gastrointestinal and liver diseases: what is known and what is needed to explore. </w:t>
      </w:r>
      <w:r>
        <w:rPr>
          <w:rFonts w:ascii="Book Antiqua" w:hAnsi="Book Antiqua"/>
          <w:i/>
          <w:iCs/>
        </w:rPr>
        <w:t>Egypt Liver J</w:t>
      </w:r>
      <w:r>
        <w:rPr>
          <w:rFonts w:ascii="Book Antiqua" w:hAnsi="Book Antiqua"/>
        </w:rPr>
        <w:t xml:space="preserve"> 2021; </w:t>
      </w:r>
      <w:r>
        <w:rPr>
          <w:rFonts w:ascii="Book Antiqua" w:hAnsi="Book Antiqua"/>
          <w:b/>
          <w:bCs/>
        </w:rPr>
        <w:t>11</w:t>
      </w:r>
      <w:r>
        <w:rPr>
          <w:rFonts w:ascii="Book Antiqua" w:hAnsi="Book Antiqua"/>
        </w:rPr>
        <w:t>: 64 [PMID: 34777871 DOI: 10.1186/s43066-021-00123-6]</w:t>
      </w:r>
    </w:p>
    <w:p w14:paraId="25F08807" w14:textId="77777777" w:rsidR="00681808" w:rsidRDefault="002C0647">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Gagliotti</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Morsillo</w:t>
      </w:r>
      <w:proofErr w:type="spellEnd"/>
      <w:r>
        <w:rPr>
          <w:rFonts w:ascii="Book Antiqua" w:hAnsi="Book Antiqua"/>
        </w:rPr>
        <w:t xml:space="preserve"> F, Moro ML, </w:t>
      </w:r>
      <w:proofErr w:type="spellStart"/>
      <w:r>
        <w:rPr>
          <w:rFonts w:ascii="Book Antiqua" w:hAnsi="Book Antiqua"/>
        </w:rPr>
        <w:t>Masiero</w:t>
      </w:r>
      <w:proofErr w:type="spellEnd"/>
      <w:r>
        <w:rPr>
          <w:rFonts w:ascii="Book Antiqua" w:hAnsi="Book Antiqua"/>
        </w:rPr>
        <w:t xml:space="preserve"> L, </w:t>
      </w:r>
      <w:proofErr w:type="spellStart"/>
      <w:r>
        <w:rPr>
          <w:rFonts w:ascii="Book Antiqua" w:hAnsi="Book Antiqua"/>
        </w:rPr>
        <w:t>Procaccio</w:t>
      </w:r>
      <w:proofErr w:type="spellEnd"/>
      <w:r>
        <w:rPr>
          <w:rFonts w:ascii="Book Antiqua" w:hAnsi="Book Antiqua"/>
        </w:rPr>
        <w:t xml:space="preserve"> F, </w:t>
      </w:r>
      <w:proofErr w:type="spellStart"/>
      <w:r>
        <w:rPr>
          <w:rFonts w:ascii="Book Antiqua" w:hAnsi="Book Antiqua"/>
        </w:rPr>
        <w:t>Vespasiano</w:t>
      </w:r>
      <w:proofErr w:type="spellEnd"/>
      <w:r>
        <w:rPr>
          <w:rFonts w:ascii="Book Antiqua" w:hAnsi="Book Antiqua"/>
        </w:rPr>
        <w:t xml:space="preserve"> F, </w:t>
      </w:r>
      <w:proofErr w:type="spellStart"/>
      <w:r>
        <w:rPr>
          <w:rFonts w:ascii="Book Antiqua" w:hAnsi="Book Antiqua"/>
        </w:rPr>
        <w:t>Pantosti</w:t>
      </w:r>
      <w:proofErr w:type="spellEnd"/>
      <w:r>
        <w:rPr>
          <w:rFonts w:ascii="Book Antiqua" w:hAnsi="Book Antiqua"/>
        </w:rPr>
        <w:t xml:space="preserve"> A, Monaco M, </w:t>
      </w:r>
      <w:proofErr w:type="spellStart"/>
      <w:r>
        <w:rPr>
          <w:rFonts w:ascii="Book Antiqua" w:hAnsi="Book Antiqua"/>
        </w:rPr>
        <w:t>Errico</w:t>
      </w:r>
      <w:proofErr w:type="spellEnd"/>
      <w:r>
        <w:rPr>
          <w:rFonts w:ascii="Book Antiqua" w:hAnsi="Book Antiqua"/>
        </w:rPr>
        <w:t xml:space="preserve"> G, Ricci A, </w:t>
      </w:r>
      <w:proofErr w:type="spellStart"/>
      <w:r>
        <w:rPr>
          <w:rFonts w:ascii="Book Antiqua" w:hAnsi="Book Antiqua"/>
        </w:rPr>
        <w:t>Grossi</w:t>
      </w:r>
      <w:proofErr w:type="spellEnd"/>
      <w:r>
        <w:rPr>
          <w:rFonts w:ascii="Book Antiqua" w:hAnsi="Book Antiqua"/>
        </w:rPr>
        <w:t xml:space="preserve"> P, </w:t>
      </w:r>
      <w:proofErr w:type="spellStart"/>
      <w:r>
        <w:rPr>
          <w:rFonts w:ascii="Book Antiqua" w:hAnsi="Book Antiqua"/>
        </w:rPr>
        <w:t>Nanni</w:t>
      </w:r>
      <w:proofErr w:type="spellEnd"/>
      <w:r>
        <w:rPr>
          <w:rFonts w:ascii="Book Antiqua" w:hAnsi="Book Antiqua"/>
        </w:rPr>
        <w:t xml:space="preserve"> Costa A; </w:t>
      </w:r>
      <w:proofErr w:type="spellStart"/>
      <w:r>
        <w:rPr>
          <w:rFonts w:ascii="Book Antiqua" w:hAnsi="Book Antiqua"/>
        </w:rPr>
        <w:t>SInT</w:t>
      </w:r>
      <w:proofErr w:type="spellEnd"/>
      <w:r>
        <w:rPr>
          <w:rFonts w:ascii="Book Antiqua" w:hAnsi="Book Antiqua"/>
        </w:rPr>
        <w:t xml:space="preserve"> Collaborative Study Group. Infections in liver and lung transplant recipients: a national prospective cohort. </w:t>
      </w:r>
      <w:proofErr w:type="spellStart"/>
      <w:r>
        <w:rPr>
          <w:rFonts w:ascii="Book Antiqua" w:hAnsi="Book Antiqua"/>
          <w:i/>
          <w:iCs/>
        </w:rPr>
        <w:t>Eur</w:t>
      </w:r>
      <w:proofErr w:type="spellEnd"/>
      <w:r>
        <w:rPr>
          <w:rFonts w:ascii="Book Antiqua" w:hAnsi="Book Antiqua"/>
          <w:i/>
          <w:iCs/>
        </w:rPr>
        <w:t xml:space="preserve"> J Clin </w:t>
      </w:r>
      <w:proofErr w:type="spellStart"/>
      <w:r>
        <w:rPr>
          <w:rFonts w:ascii="Book Antiqua" w:hAnsi="Book Antiqua"/>
          <w:i/>
          <w:iCs/>
        </w:rPr>
        <w:t>Microbiol</w:t>
      </w:r>
      <w:proofErr w:type="spellEnd"/>
      <w:r>
        <w:rPr>
          <w:rFonts w:ascii="Book Antiqua" w:hAnsi="Book Antiqua"/>
          <w:i/>
          <w:iCs/>
        </w:rPr>
        <w:t xml:space="preserve"> Infect Dis</w:t>
      </w:r>
      <w:r>
        <w:rPr>
          <w:rFonts w:ascii="Book Antiqua" w:hAnsi="Book Antiqua"/>
        </w:rPr>
        <w:t xml:space="preserve"> 2018; </w:t>
      </w:r>
      <w:r>
        <w:rPr>
          <w:rFonts w:ascii="Book Antiqua" w:hAnsi="Book Antiqua"/>
          <w:b/>
          <w:bCs/>
        </w:rPr>
        <w:t>37</w:t>
      </w:r>
      <w:r>
        <w:rPr>
          <w:rFonts w:ascii="Book Antiqua" w:hAnsi="Book Antiqua"/>
        </w:rPr>
        <w:t>: 399-407 [PMID: 29380226 DOI: 10.1007/s10096-018-3183-0]</w:t>
      </w:r>
    </w:p>
    <w:p w14:paraId="179F4A0A" w14:textId="77777777" w:rsidR="00681808" w:rsidRDefault="002C0647">
      <w:pPr>
        <w:spacing w:line="360" w:lineRule="auto"/>
        <w:jc w:val="both"/>
        <w:rPr>
          <w:rFonts w:ascii="Book Antiqua" w:hAnsi="Book Antiqua"/>
        </w:rPr>
      </w:pPr>
      <w:r>
        <w:rPr>
          <w:rFonts w:ascii="Book Antiqua" w:hAnsi="Book Antiqua"/>
        </w:rPr>
        <w:t xml:space="preserve">9 </w:t>
      </w:r>
      <w:r>
        <w:rPr>
          <w:rFonts w:ascii="Book Antiqua" w:hAnsi="Book Antiqua"/>
          <w:b/>
          <w:bCs/>
        </w:rPr>
        <w:t>Raja MA</w:t>
      </w:r>
      <w:r>
        <w:rPr>
          <w:rFonts w:ascii="Book Antiqua" w:hAnsi="Book Antiqua"/>
        </w:rPr>
        <w:t xml:space="preserve">, Mendoza MA, Villavicencio A, Anjan S, Reynolds JM, </w:t>
      </w:r>
      <w:proofErr w:type="spellStart"/>
      <w:r>
        <w:rPr>
          <w:rFonts w:ascii="Book Antiqua" w:hAnsi="Book Antiqua"/>
        </w:rPr>
        <w:t>Kittipibul</w:t>
      </w:r>
      <w:proofErr w:type="spellEnd"/>
      <w:r>
        <w:rPr>
          <w:rFonts w:ascii="Book Antiqua" w:hAnsi="Book Antiqua"/>
        </w:rPr>
        <w:t xml:space="preserve"> V, Fernandez A, Guerra G, Camargo JF, Simkins J, Morris MI, </w:t>
      </w:r>
      <w:proofErr w:type="spellStart"/>
      <w:r>
        <w:rPr>
          <w:rFonts w:ascii="Book Antiqua" w:hAnsi="Book Antiqua"/>
        </w:rPr>
        <w:t>Abbo</w:t>
      </w:r>
      <w:proofErr w:type="spellEnd"/>
      <w:r>
        <w:rPr>
          <w:rFonts w:ascii="Book Antiqua" w:hAnsi="Book Antiqua"/>
        </w:rPr>
        <w:t xml:space="preserve"> LA, Natori Y. COVID-19 in solid organ transplant recipients: A systematic review and meta-analysis of current literature. </w:t>
      </w:r>
      <w:r>
        <w:rPr>
          <w:rFonts w:ascii="Book Antiqua" w:hAnsi="Book Antiqua"/>
          <w:i/>
          <w:iCs/>
        </w:rPr>
        <w:t>Transplant Rev (Orlando)</w:t>
      </w:r>
      <w:r>
        <w:rPr>
          <w:rFonts w:ascii="Book Antiqua" w:hAnsi="Book Antiqua"/>
        </w:rPr>
        <w:t xml:space="preserve"> 2021; </w:t>
      </w:r>
      <w:r>
        <w:rPr>
          <w:rFonts w:ascii="Book Antiqua" w:hAnsi="Book Antiqua"/>
          <w:b/>
          <w:bCs/>
        </w:rPr>
        <w:t>35</w:t>
      </w:r>
      <w:r>
        <w:rPr>
          <w:rFonts w:ascii="Book Antiqua" w:hAnsi="Book Antiqua"/>
        </w:rPr>
        <w:t>: 100588 [PMID: 33246166 DOI: 10.1016/j.trre.2020.100588]</w:t>
      </w:r>
    </w:p>
    <w:p w14:paraId="54E81EC6" w14:textId="77777777" w:rsidR="00681808" w:rsidRDefault="002C0647">
      <w:pPr>
        <w:spacing w:line="360" w:lineRule="auto"/>
        <w:jc w:val="both"/>
        <w:rPr>
          <w:rFonts w:ascii="Book Antiqua" w:hAnsi="Book Antiqua"/>
        </w:rPr>
      </w:pPr>
      <w:r>
        <w:rPr>
          <w:rFonts w:ascii="Book Antiqua" w:hAnsi="Book Antiqua"/>
        </w:rPr>
        <w:t xml:space="preserve">10 </w:t>
      </w:r>
      <w:r>
        <w:rPr>
          <w:rFonts w:ascii="Book Antiqua" w:hAnsi="Book Antiqua"/>
          <w:b/>
          <w:bCs/>
        </w:rPr>
        <w:t>Kulkarni AV</w:t>
      </w:r>
      <w:r>
        <w:rPr>
          <w:rFonts w:ascii="Book Antiqua" w:hAnsi="Book Antiqua"/>
        </w:rPr>
        <w:t xml:space="preserve">, </w:t>
      </w:r>
      <w:proofErr w:type="spellStart"/>
      <w:r>
        <w:rPr>
          <w:rFonts w:ascii="Book Antiqua" w:hAnsi="Book Antiqua"/>
        </w:rPr>
        <w:t>Tevethia</w:t>
      </w:r>
      <w:proofErr w:type="spellEnd"/>
      <w:r>
        <w:rPr>
          <w:rFonts w:ascii="Book Antiqua" w:hAnsi="Book Antiqua"/>
        </w:rPr>
        <w:t xml:space="preserve"> HV, </w:t>
      </w:r>
      <w:proofErr w:type="spellStart"/>
      <w:r>
        <w:rPr>
          <w:rFonts w:ascii="Book Antiqua" w:hAnsi="Book Antiqua"/>
        </w:rPr>
        <w:t>Premkumar</w:t>
      </w:r>
      <w:proofErr w:type="spellEnd"/>
      <w:r>
        <w:rPr>
          <w:rFonts w:ascii="Book Antiqua" w:hAnsi="Book Antiqua"/>
        </w:rPr>
        <w:t xml:space="preserve"> M, Arab JP, Candia R, Kumar K, Kumar P, Sharma M, Rao PN, Reddy DN. Impact of COVID-19 on liver transplant recipients-A systematic review and meta-analysis. </w:t>
      </w:r>
      <w:proofErr w:type="spellStart"/>
      <w:r>
        <w:rPr>
          <w:rFonts w:ascii="Book Antiqua" w:hAnsi="Book Antiqua"/>
          <w:i/>
          <w:iCs/>
        </w:rPr>
        <w:t>EClinicalMedicine</w:t>
      </w:r>
      <w:proofErr w:type="spellEnd"/>
      <w:r>
        <w:rPr>
          <w:rFonts w:ascii="Book Antiqua" w:hAnsi="Book Antiqua"/>
        </w:rPr>
        <w:t xml:space="preserve"> 2021; </w:t>
      </w:r>
      <w:r>
        <w:rPr>
          <w:rFonts w:ascii="Book Antiqua" w:hAnsi="Book Antiqua"/>
          <w:b/>
          <w:bCs/>
        </w:rPr>
        <w:t>38</w:t>
      </w:r>
      <w:r>
        <w:rPr>
          <w:rFonts w:ascii="Book Antiqua" w:hAnsi="Book Antiqua"/>
        </w:rPr>
        <w:t>: 101025 [PMID: 34278287 DOI: 10.1016/j.eclinm.2021.101025]</w:t>
      </w:r>
    </w:p>
    <w:p w14:paraId="67F17429" w14:textId="77777777" w:rsidR="00681808" w:rsidRDefault="002C0647">
      <w:pPr>
        <w:spacing w:line="360" w:lineRule="auto"/>
        <w:jc w:val="both"/>
        <w:rPr>
          <w:rFonts w:ascii="Book Antiqua" w:hAnsi="Book Antiqua"/>
        </w:rPr>
      </w:pPr>
      <w:r>
        <w:rPr>
          <w:rFonts w:ascii="Book Antiqua" w:hAnsi="Book Antiqua"/>
        </w:rPr>
        <w:t xml:space="preserve">11 </w:t>
      </w:r>
      <w:r>
        <w:rPr>
          <w:rFonts w:ascii="Book Antiqua" w:hAnsi="Book Antiqua"/>
          <w:b/>
          <w:bCs/>
        </w:rPr>
        <w:t>Jayant K</w:t>
      </w:r>
      <w:r>
        <w:rPr>
          <w:rFonts w:ascii="Book Antiqua" w:hAnsi="Book Antiqua"/>
        </w:rPr>
        <w:t xml:space="preserve">, </w:t>
      </w:r>
      <w:proofErr w:type="spellStart"/>
      <w:r>
        <w:rPr>
          <w:rFonts w:ascii="Book Antiqua" w:hAnsi="Book Antiqua"/>
        </w:rPr>
        <w:t>Reccia</w:t>
      </w:r>
      <w:proofErr w:type="spellEnd"/>
      <w:r>
        <w:rPr>
          <w:rFonts w:ascii="Book Antiqua" w:hAnsi="Book Antiqua"/>
        </w:rPr>
        <w:t xml:space="preserve"> I, </w:t>
      </w:r>
      <w:proofErr w:type="spellStart"/>
      <w:r>
        <w:rPr>
          <w:rFonts w:ascii="Book Antiqua" w:hAnsi="Book Antiqua"/>
        </w:rPr>
        <w:t>Virdis</w:t>
      </w:r>
      <w:proofErr w:type="spellEnd"/>
      <w:r>
        <w:rPr>
          <w:rFonts w:ascii="Book Antiqua" w:hAnsi="Book Antiqua"/>
        </w:rPr>
        <w:t xml:space="preserve"> F, </w:t>
      </w:r>
      <w:proofErr w:type="spellStart"/>
      <w:r>
        <w:rPr>
          <w:rFonts w:ascii="Book Antiqua" w:hAnsi="Book Antiqua"/>
        </w:rPr>
        <w:t>Pyda</w:t>
      </w:r>
      <w:proofErr w:type="spellEnd"/>
      <w:r>
        <w:rPr>
          <w:rFonts w:ascii="Book Antiqua" w:hAnsi="Book Antiqua"/>
        </w:rPr>
        <w:t xml:space="preserve"> JS, </w:t>
      </w:r>
      <w:proofErr w:type="spellStart"/>
      <w:r>
        <w:rPr>
          <w:rFonts w:ascii="Book Antiqua" w:hAnsi="Book Antiqua"/>
        </w:rPr>
        <w:t>Bachul</w:t>
      </w:r>
      <w:proofErr w:type="spellEnd"/>
      <w:r>
        <w:rPr>
          <w:rFonts w:ascii="Book Antiqua" w:hAnsi="Book Antiqua"/>
        </w:rPr>
        <w:t xml:space="preserve"> PJ, di Sabato D, Barth RN, Fung J, Baker T, Witkowski P. COVID-19 in hospitalized liver transplant recipients: An early systematic </w:t>
      </w:r>
      <w:r>
        <w:rPr>
          <w:rFonts w:ascii="Book Antiqua" w:hAnsi="Book Antiqua"/>
        </w:rPr>
        <w:lastRenderedPageBreak/>
        <w:t xml:space="preserve">review and meta-analysis. </w:t>
      </w:r>
      <w:r>
        <w:rPr>
          <w:rFonts w:ascii="Book Antiqua" w:hAnsi="Book Antiqua"/>
          <w:i/>
          <w:iCs/>
        </w:rPr>
        <w:t>Clin Transplant</w:t>
      </w:r>
      <w:r>
        <w:rPr>
          <w:rFonts w:ascii="Book Antiqua" w:hAnsi="Book Antiqua"/>
        </w:rPr>
        <w:t xml:space="preserve"> 2021; </w:t>
      </w:r>
      <w:r>
        <w:rPr>
          <w:rFonts w:ascii="Book Antiqua" w:hAnsi="Book Antiqua"/>
          <w:b/>
          <w:bCs/>
        </w:rPr>
        <w:t>35</w:t>
      </w:r>
      <w:r>
        <w:rPr>
          <w:rFonts w:ascii="Book Antiqua" w:hAnsi="Book Antiqua"/>
        </w:rPr>
        <w:t>: e14246 [PMID: 33555058 DOI: 10.1111/ctr.14246]</w:t>
      </w:r>
    </w:p>
    <w:p w14:paraId="350227C1" w14:textId="77777777" w:rsidR="00681808" w:rsidRDefault="002C0647">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Colmenero</w:t>
      </w:r>
      <w:proofErr w:type="spellEnd"/>
      <w:r>
        <w:rPr>
          <w:rFonts w:ascii="Book Antiqua" w:hAnsi="Book Antiqua"/>
          <w:b/>
          <w:bCs/>
        </w:rPr>
        <w:t xml:space="preserve"> J</w:t>
      </w:r>
      <w:r>
        <w:rPr>
          <w:rFonts w:ascii="Book Antiqua" w:hAnsi="Book Antiqua"/>
        </w:rPr>
        <w:t>, Rodríguez-</w:t>
      </w:r>
      <w:proofErr w:type="spellStart"/>
      <w:r>
        <w:rPr>
          <w:rFonts w:ascii="Book Antiqua" w:hAnsi="Book Antiqua"/>
        </w:rPr>
        <w:t>Perálvarez</w:t>
      </w:r>
      <w:proofErr w:type="spellEnd"/>
      <w:r>
        <w:rPr>
          <w:rFonts w:ascii="Book Antiqua" w:hAnsi="Book Antiqua"/>
        </w:rPr>
        <w:t xml:space="preserve"> M, Salcedo M, Arias-Milla A, Muñoz-Serrano A, </w:t>
      </w:r>
      <w:proofErr w:type="spellStart"/>
      <w:r>
        <w:rPr>
          <w:rFonts w:ascii="Book Antiqua" w:hAnsi="Book Antiqua"/>
        </w:rPr>
        <w:t>Graus</w:t>
      </w:r>
      <w:proofErr w:type="spellEnd"/>
      <w:r>
        <w:rPr>
          <w:rFonts w:ascii="Book Antiqua" w:hAnsi="Book Antiqua"/>
        </w:rPr>
        <w:t xml:space="preserve"> J, </w:t>
      </w:r>
      <w:proofErr w:type="spellStart"/>
      <w:r>
        <w:rPr>
          <w:rFonts w:ascii="Book Antiqua" w:hAnsi="Book Antiqua"/>
        </w:rPr>
        <w:t>Nuño</w:t>
      </w:r>
      <w:proofErr w:type="spellEnd"/>
      <w:r>
        <w:rPr>
          <w:rFonts w:ascii="Book Antiqua" w:hAnsi="Book Antiqua"/>
        </w:rPr>
        <w:t xml:space="preserve"> J, </w:t>
      </w:r>
      <w:proofErr w:type="spellStart"/>
      <w:r>
        <w:rPr>
          <w:rFonts w:ascii="Book Antiqua" w:hAnsi="Book Antiqua"/>
        </w:rPr>
        <w:t>Gastaca</w:t>
      </w:r>
      <w:proofErr w:type="spellEnd"/>
      <w:r>
        <w:rPr>
          <w:rFonts w:ascii="Book Antiqua" w:hAnsi="Book Antiqua"/>
        </w:rPr>
        <w:t xml:space="preserve"> M, Bustamante-Schneider J, </w:t>
      </w:r>
      <w:proofErr w:type="spellStart"/>
      <w:r>
        <w:rPr>
          <w:rFonts w:ascii="Book Antiqua" w:hAnsi="Book Antiqua"/>
        </w:rPr>
        <w:t>Cachero</w:t>
      </w:r>
      <w:proofErr w:type="spellEnd"/>
      <w:r>
        <w:rPr>
          <w:rFonts w:ascii="Book Antiqua" w:hAnsi="Book Antiqua"/>
        </w:rPr>
        <w:t xml:space="preserve"> A, </w:t>
      </w:r>
      <w:proofErr w:type="spellStart"/>
      <w:r>
        <w:rPr>
          <w:rFonts w:ascii="Book Antiqua" w:hAnsi="Book Antiqua"/>
        </w:rPr>
        <w:t>Lladó</w:t>
      </w:r>
      <w:proofErr w:type="spellEnd"/>
      <w:r>
        <w:rPr>
          <w:rFonts w:ascii="Book Antiqua" w:hAnsi="Book Antiqua"/>
        </w:rPr>
        <w:t xml:space="preserve"> L, Caballero A, Fernández-</w:t>
      </w:r>
      <w:proofErr w:type="spellStart"/>
      <w:r>
        <w:rPr>
          <w:rFonts w:ascii="Book Antiqua" w:hAnsi="Book Antiqua"/>
        </w:rPr>
        <w:t>Yunquera</w:t>
      </w:r>
      <w:proofErr w:type="spellEnd"/>
      <w:r>
        <w:rPr>
          <w:rFonts w:ascii="Book Antiqua" w:hAnsi="Book Antiqua"/>
        </w:rPr>
        <w:t xml:space="preserve"> A, </w:t>
      </w:r>
      <w:proofErr w:type="spellStart"/>
      <w:r>
        <w:rPr>
          <w:rFonts w:ascii="Book Antiqua" w:hAnsi="Book Antiqua"/>
        </w:rPr>
        <w:t>Loinaz</w:t>
      </w:r>
      <w:proofErr w:type="spellEnd"/>
      <w:r>
        <w:rPr>
          <w:rFonts w:ascii="Book Antiqua" w:hAnsi="Book Antiqua"/>
        </w:rPr>
        <w:t xml:space="preserve"> C, Fernández I, </w:t>
      </w:r>
      <w:proofErr w:type="spellStart"/>
      <w:r>
        <w:rPr>
          <w:rFonts w:ascii="Book Antiqua" w:hAnsi="Book Antiqua"/>
        </w:rPr>
        <w:t>Fondevila</w:t>
      </w:r>
      <w:proofErr w:type="spellEnd"/>
      <w:r>
        <w:rPr>
          <w:rFonts w:ascii="Book Antiqua" w:hAnsi="Book Antiqua"/>
        </w:rPr>
        <w:t xml:space="preserve"> C, </w:t>
      </w:r>
      <w:proofErr w:type="spellStart"/>
      <w:r>
        <w:rPr>
          <w:rFonts w:ascii="Book Antiqua" w:hAnsi="Book Antiqua"/>
        </w:rPr>
        <w:t>Navasa</w:t>
      </w:r>
      <w:proofErr w:type="spellEnd"/>
      <w:r>
        <w:rPr>
          <w:rFonts w:ascii="Book Antiqua" w:hAnsi="Book Antiqua"/>
        </w:rPr>
        <w:t xml:space="preserve"> M, </w:t>
      </w:r>
      <w:proofErr w:type="spellStart"/>
      <w:r>
        <w:rPr>
          <w:rFonts w:ascii="Book Antiqua" w:hAnsi="Book Antiqua"/>
        </w:rPr>
        <w:t>Iñarrairaegui</w:t>
      </w:r>
      <w:proofErr w:type="spellEnd"/>
      <w:r>
        <w:rPr>
          <w:rFonts w:ascii="Book Antiqua" w:hAnsi="Book Antiqua"/>
        </w:rPr>
        <w:t xml:space="preserve"> M, Castells L, Pascual S, Ramírez P, </w:t>
      </w:r>
      <w:proofErr w:type="spellStart"/>
      <w:r>
        <w:rPr>
          <w:rFonts w:ascii="Book Antiqua" w:hAnsi="Book Antiqua"/>
        </w:rPr>
        <w:t>Vinaixa</w:t>
      </w:r>
      <w:proofErr w:type="spellEnd"/>
      <w:r>
        <w:rPr>
          <w:rFonts w:ascii="Book Antiqua" w:hAnsi="Book Antiqua"/>
        </w:rPr>
        <w:t xml:space="preserve"> C, González-</w:t>
      </w:r>
      <w:proofErr w:type="spellStart"/>
      <w:r>
        <w:rPr>
          <w:rFonts w:ascii="Book Antiqua" w:hAnsi="Book Antiqua"/>
        </w:rPr>
        <w:t>Dieguez</w:t>
      </w:r>
      <w:proofErr w:type="spellEnd"/>
      <w:r>
        <w:rPr>
          <w:rFonts w:ascii="Book Antiqua" w:hAnsi="Book Antiqua"/>
        </w:rPr>
        <w:t xml:space="preserve"> ML, González-Grande R, </w:t>
      </w:r>
      <w:proofErr w:type="spellStart"/>
      <w:r>
        <w:rPr>
          <w:rFonts w:ascii="Book Antiqua" w:hAnsi="Book Antiqua"/>
        </w:rPr>
        <w:t>Hierro</w:t>
      </w:r>
      <w:proofErr w:type="spellEnd"/>
      <w:r>
        <w:rPr>
          <w:rFonts w:ascii="Book Antiqua" w:hAnsi="Book Antiqua"/>
        </w:rPr>
        <w:t xml:space="preserve"> L, </w:t>
      </w:r>
      <w:proofErr w:type="spellStart"/>
      <w:r>
        <w:rPr>
          <w:rFonts w:ascii="Book Antiqua" w:hAnsi="Book Antiqua"/>
        </w:rPr>
        <w:t>Nogueras</w:t>
      </w:r>
      <w:proofErr w:type="spellEnd"/>
      <w:r>
        <w:rPr>
          <w:rFonts w:ascii="Book Antiqua" w:hAnsi="Book Antiqua"/>
        </w:rPr>
        <w:t xml:space="preserve"> F, Otero A, </w:t>
      </w:r>
      <w:proofErr w:type="spellStart"/>
      <w:r>
        <w:rPr>
          <w:rFonts w:ascii="Book Antiqua" w:hAnsi="Book Antiqua"/>
        </w:rPr>
        <w:t>Álamo</w:t>
      </w:r>
      <w:proofErr w:type="spellEnd"/>
      <w:r>
        <w:rPr>
          <w:rFonts w:ascii="Book Antiqua" w:hAnsi="Book Antiqua"/>
        </w:rPr>
        <w:t xml:space="preserve"> JM, Blanco-Fernández G, </w:t>
      </w:r>
      <w:proofErr w:type="spellStart"/>
      <w:r>
        <w:rPr>
          <w:rFonts w:ascii="Book Antiqua" w:hAnsi="Book Antiqua"/>
        </w:rPr>
        <w:t>Fábrega</w:t>
      </w:r>
      <w:proofErr w:type="spellEnd"/>
      <w:r>
        <w:rPr>
          <w:rFonts w:ascii="Book Antiqua" w:hAnsi="Book Antiqua"/>
        </w:rPr>
        <w:t xml:space="preserve"> E, García-</w:t>
      </w:r>
      <w:proofErr w:type="spellStart"/>
      <w:r>
        <w:rPr>
          <w:rFonts w:ascii="Book Antiqua" w:hAnsi="Book Antiqua"/>
        </w:rPr>
        <w:t>Pajares</w:t>
      </w:r>
      <w:proofErr w:type="spellEnd"/>
      <w:r>
        <w:rPr>
          <w:rFonts w:ascii="Book Antiqua" w:hAnsi="Book Antiqua"/>
        </w:rPr>
        <w:t xml:space="preserve"> F, Montero JL, Tomé S, De la Rosa G, Pons JA. Epidemiological pattern, incidence, and outcomes of COVID-19 in liver transplant patients.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148-155 [PMID: 32750442 DOI: 10.1016/j.jhep.2020.07.040]</w:t>
      </w:r>
    </w:p>
    <w:p w14:paraId="2EBBEF4E" w14:textId="77777777" w:rsidR="00681808" w:rsidRDefault="002C0647">
      <w:pPr>
        <w:spacing w:line="360" w:lineRule="auto"/>
        <w:jc w:val="both"/>
        <w:rPr>
          <w:rFonts w:ascii="Book Antiqua" w:hAnsi="Book Antiqua"/>
        </w:rPr>
      </w:pPr>
      <w:r>
        <w:rPr>
          <w:rFonts w:ascii="Book Antiqua" w:hAnsi="Book Antiqua"/>
        </w:rPr>
        <w:t xml:space="preserve">13 </w:t>
      </w:r>
      <w:r>
        <w:rPr>
          <w:rFonts w:ascii="Book Antiqua" w:hAnsi="Book Antiqua"/>
          <w:b/>
          <w:bCs/>
        </w:rPr>
        <w:t>Cheng S</w:t>
      </w:r>
      <w:r>
        <w:rPr>
          <w:rFonts w:ascii="Book Antiqua" w:hAnsi="Book Antiqua"/>
        </w:rPr>
        <w:t xml:space="preserve">, Zhao Y, Wang F, Chen Y, </w:t>
      </w:r>
      <w:proofErr w:type="spellStart"/>
      <w:r>
        <w:rPr>
          <w:rFonts w:ascii="Book Antiqua" w:hAnsi="Book Antiqua"/>
        </w:rPr>
        <w:t>Kaminga</w:t>
      </w:r>
      <w:proofErr w:type="spellEnd"/>
      <w:r>
        <w:rPr>
          <w:rFonts w:ascii="Book Antiqua" w:hAnsi="Book Antiqua"/>
        </w:rPr>
        <w:t xml:space="preserve"> AC, Xu H. Comorbidities' potential impacts on severe and non-severe patients with COVID-19: A systematic review and meta-analysis. </w:t>
      </w:r>
      <w:r>
        <w:rPr>
          <w:rFonts w:ascii="Book Antiqua" w:hAnsi="Book Antiqua"/>
          <w:i/>
          <w:iCs/>
        </w:rPr>
        <w:t>Medicine (Baltimore)</w:t>
      </w:r>
      <w:r>
        <w:rPr>
          <w:rFonts w:ascii="Book Antiqua" w:hAnsi="Book Antiqua"/>
        </w:rPr>
        <w:t xml:space="preserve"> 2021; </w:t>
      </w:r>
      <w:r>
        <w:rPr>
          <w:rFonts w:ascii="Book Antiqua" w:hAnsi="Book Antiqua"/>
          <w:b/>
          <w:bCs/>
        </w:rPr>
        <w:t>100</w:t>
      </w:r>
      <w:r>
        <w:rPr>
          <w:rFonts w:ascii="Book Antiqua" w:hAnsi="Book Antiqua"/>
        </w:rPr>
        <w:t>: e24971 [PMID: 33761654 DOI: 10.1097/MD.0000000000024971]</w:t>
      </w:r>
    </w:p>
    <w:p w14:paraId="7AD85528" w14:textId="77777777" w:rsidR="00681808" w:rsidRDefault="002C0647">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Baradaran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Ebrahimzadeh</w:t>
      </w:r>
      <w:proofErr w:type="spellEnd"/>
      <w:r>
        <w:rPr>
          <w:rFonts w:ascii="Book Antiqua" w:hAnsi="Book Antiqua"/>
        </w:rPr>
        <w:t xml:space="preserve"> MH, </w:t>
      </w:r>
      <w:proofErr w:type="spellStart"/>
      <w:r>
        <w:rPr>
          <w:rFonts w:ascii="Book Antiqua" w:hAnsi="Book Antiqua"/>
        </w:rPr>
        <w:t>Baradaran</w:t>
      </w:r>
      <w:proofErr w:type="spellEnd"/>
      <w:r>
        <w:rPr>
          <w:rFonts w:ascii="Book Antiqua" w:hAnsi="Book Antiqua"/>
        </w:rPr>
        <w:t xml:space="preserve"> A, </w:t>
      </w:r>
      <w:proofErr w:type="spellStart"/>
      <w:r>
        <w:rPr>
          <w:rFonts w:ascii="Book Antiqua" w:hAnsi="Book Antiqua"/>
        </w:rPr>
        <w:t>Kachooei</w:t>
      </w:r>
      <w:proofErr w:type="spellEnd"/>
      <w:r>
        <w:rPr>
          <w:rFonts w:ascii="Book Antiqua" w:hAnsi="Book Antiqua"/>
        </w:rPr>
        <w:t xml:space="preserve"> AR. Prevalence of Comorbidities in COVID-19 Patients: A Systematic Review and Meta-Analysis. </w:t>
      </w:r>
      <w:r>
        <w:rPr>
          <w:rFonts w:ascii="Book Antiqua" w:hAnsi="Book Antiqua"/>
          <w:i/>
          <w:iCs/>
        </w:rPr>
        <w:t xml:space="preserve">Arch Bone </w:t>
      </w:r>
      <w:proofErr w:type="spellStart"/>
      <w:r>
        <w:rPr>
          <w:rFonts w:ascii="Book Antiqua" w:hAnsi="Book Antiqua"/>
          <w:i/>
          <w:iCs/>
        </w:rPr>
        <w:t>Jt</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8</w:t>
      </w:r>
      <w:r>
        <w:rPr>
          <w:rFonts w:ascii="Book Antiqua" w:hAnsi="Book Antiqua"/>
        </w:rPr>
        <w:t>: 247-255 [PMID: 32733980 DOI: 10.22038/abjs.2020.47754.2346]</w:t>
      </w:r>
    </w:p>
    <w:p w14:paraId="5847C6DB" w14:textId="77777777" w:rsidR="00681808" w:rsidRDefault="002C0647">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Ślusarczyk</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Tracz</w:t>
      </w:r>
      <w:proofErr w:type="spellEnd"/>
      <w:r>
        <w:rPr>
          <w:rFonts w:ascii="Book Antiqua" w:hAnsi="Book Antiqua"/>
        </w:rPr>
        <w:t xml:space="preserve"> A, Gronkiewicz M, </w:t>
      </w:r>
      <w:proofErr w:type="spellStart"/>
      <w:r>
        <w:rPr>
          <w:rFonts w:ascii="Book Antiqua" w:hAnsi="Book Antiqua"/>
        </w:rPr>
        <w:t>Jureczko</w:t>
      </w:r>
      <w:proofErr w:type="spellEnd"/>
      <w:r>
        <w:rPr>
          <w:rFonts w:ascii="Book Antiqua" w:hAnsi="Book Antiqua"/>
        </w:rPr>
        <w:t xml:space="preserve"> L, </w:t>
      </w:r>
      <w:proofErr w:type="spellStart"/>
      <w:r>
        <w:rPr>
          <w:rFonts w:ascii="Book Antiqua" w:hAnsi="Book Antiqua"/>
        </w:rPr>
        <w:t>Bączkowska</w:t>
      </w:r>
      <w:proofErr w:type="spellEnd"/>
      <w:r>
        <w:rPr>
          <w:rFonts w:ascii="Book Antiqua" w:hAnsi="Book Antiqua"/>
        </w:rPr>
        <w:t xml:space="preserve"> T. Outcomes of COVID</w:t>
      </w:r>
      <w:r>
        <w:rPr>
          <w:rFonts w:ascii="Book Antiqua" w:hAnsi="Book Antiqua"/>
        </w:rPr>
        <w:noBreakHyphen/>
        <w:t>19 in hospitalized kidney and liver transplant recipients: a single</w:t>
      </w:r>
      <w:r>
        <w:rPr>
          <w:rFonts w:ascii="Book Antiqua" w:hAnsi="Book Antiqua"/>
        </w:rPr>
        <w:noBreakHyphen/>
        <w:t xml:space="preserve">center experience. </w:t>
      </w:r>
      <w:r>
        <w:rPr>
          <w:rFonts w:ascii="Book Antiqua" w:hAnsi="Book Antiqua"/>
          <w:i/>
          <w:iCs/>
        </w:rPr>
        <w:t>Pol Arch Intern Med</w:t>
      </w:r>
      <w:r>
        <w:rPr>
          <w:rFonts w:ascii="Book Antiqua" w:hAnsi="Book Antiqua"/>
        </w:rPr>
        <w:t xml:space="preserve"> 2021; </w:t>
      </w:r>
      <w:r>
        <w:rPr>
          <w:rFonts w:ascii="Book Antiqua" w:hAnsi="Book Antiqua"/>
          <w:b/>
          <w:bCs/>
        </w:rPr>
        <w:t>131</w:t>
      </w:r>
      <w:r>
        <w:rPr>
          <w:rFonts w:ascii="Book Antiqua" w:hAnsi="Book Antiqua"/>
        </w:rPr>
        <w:t xml:space="preserve"> [PMID: 34351090 DOI: 10.20452/pamw.16070]</w:t>
      </w:r>
    </w:p>
    <w:p w14:paraId="54A4ABFB" w14:textId="77777777" w:rsidR="00681808" w:rsidRDefault="002C0647">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Rabiee</w:t>
      </w:r>
      <w:proofErr w:type="spellEnd"/>
      <w:r>
        <w:rPr>
          <w:rFonts w:ascii="Book Antiqua" w:hAnsi="Book Antiqua"/>
          <w:b/>
          <w:bCs/>
        </w:rPr>
        <w:t xml:space="preserve"> A</w:t>
      </w:r>
      <w:r>
        <w:rPr>
          <w:rFonts w:ascii="Book Antiqua" w:hAnsi="Book Antiqua"/>
        </w:rPr>
        <w:t xml:space="preserve">, Sadowski B, </w:t>
      </w:r>
      <w:proofErr w:type="spellStart"/>
      <w:r>
        <w:rPr>
          <w:rFonts w:ascii="Book Antiqua" w:hAnsi="Book Antiqua"/>
        </w:rPr>
        <w:t>Adeniji</w:t>
      </w:r>
      <w:proofErr w:type="spellEnd"/>
      <w:r>
        <w:rPr>
          <w:rFonts w:ascii="Book Antiqua" w:hAnsi="Book Antiqua"/>
        </w:rPr>
        <w:t xml:space="preserve"> N, </w:t>
      </w:r>
      <w:proofErr w:type="spellStart"/>
      <w:r>
        <w:rPr>
          <w:rFonts w:ascii="Book Antiqua" w:hAnsi="Book Antiqua"/>
        </w:rPr>
        <w:t>Perumalswami</w:t>
      </w:r>
      <w:proofErr w:type="spellEnd"/>
      <w:r>
        <w:rPr>
          <w:rFonts w:ascii="Book Antiqua" w:hAnsi="Book Antiqua"/>
        </w:rPr>
        <w:t xml:space="preserve"> PV, Nguyen V, </w:t>
      </w:r>
      <w:proofErr w:type="spellStart"/>
      <w:r>
        <w:rPr>
          <w:rFonts w:ascii="Book Antiqua" w:hAnsi="Book Antiqua"/>
        </w:rPr>
        <w:t>Moghe</w:t>
      </w:r>
      <w:proofErr w:type="spellEnd"/>
      <w:r>
        <w:rPr>
          <w:rFonts w:ascii="Book Antiqua" w:hAnsi="Book Antiqua"/>
        </w:rPr>
        <w:t xml:space="preserve"> A, </w:t>
      </w:r>
      <w:proofErr w:type="spellStart"/>
      <w:r>
        <w:rPr>
          <w:rFonts w:ascii="Book Antiqua" w:hAnsi="Book Antiqua"/>
        </w:rPr>
        <w:t>Latt</w:t>
      </w:r>
      <w:proofErr w:type="spellEnd"/>
      <w:r>
        <w:rPr>
          <w:rFonts w:ascii="Book Antiqua" w:hAnsi="Book Antiqua"/>
        </w:rPr>
        <w:t xml:space="preserve"> NL, Kumar S, </w:t>
      </w:r>
      <w:proofErr w:type="spellStart"/>
      <w:r>
        <w:rPr>
          <w:rFonts w:ascii="Book Antiqua" w:hAnsi="Book Antiqua"/>
        </w:rPr>
        <w:t>Aloman</w:t>
      </w:r>
      <w:proofErr w:type="spellEnd"/>
      <w:r>
        <w:rPr>
          <w:rFonts w:ascii="Book Antiqua" w:hAnsi="Book Antiqua"/>
        </w:rPr>
        <w:t xml:space="preserve"> C, </w:t>
      </w:r>
      <w:proofErr w:type="spellStart"/>
      <w:r>
        <w:rPr>
          <w:rFonts w:ascii="Book Antiqua" w:hAnsi="Book Antiqua"/>
        </w:rPr>
        <w:t>Catana</w:t>
      </w:r>
      <w:proofErr w:type="spellEnd"/>
      <w:r>
        <w:rPr>
          <w:rFonts w:ascii="Book Antiqua" w:hAnsi="Book Antiqua"/>
        </w:rPr>
        <w:t xml:space="preserve"> AM, Bloom PP, </w:t>
      </w:r>
      <w:proofErr w:type="spellStart"/>
      <w:r>
        <w:rPr>
          <w:rFonts w:ascii="Book Antiqua" w:hAnsi="Book Antiqua"/>
        </w:rPr>
        <w:t>Chavin</w:t>
      </w:r>
      <w:proofErr w:type="spellEnd"/>
      <w:r>
        <w:rPr>
          <w:rFonts w:ascii="Book Antiqua" w:hAnsi="Book Antiqua"/>
        </w:rPr>
        <w:t xml:space="preserve"> KD, </w:t>
      </w:r>
      <w:proofErr w:type="spellStart"/>
      <w:r>
        <w:rPr>
          <w:rFonts w:ascii="Book Antiqua" w:hAnsi="Book Antiqua"/>
        </w:rPr>
        <w:t>Carr</w:t>
      </w:r>
      <w:proofErr w:type="spellEnd"/>
      <w:r>
        <w:rPr>
          <w:rFonts w:ascii="Book Antiqua" w:hAnsi="Book Antiqua"/>
        </w:rPr>
        <w:t xml:space="preserve"> RM, Dunn W, Chen VL, Aby ES, </w:t>
      </w:r>
      <w:proofErr w:type="spellStart"/>
      <w:r>
        <w:rPr>
          <w:rFonts w:ascii="Book Antiqua" w:hAnsi="Book Antiqua"/>
        </w:rPr>
        <w:t>Debes</w:t>
      </w:r>
      <w:proofErr w:type="spellEnd"/>
      <w:r>
        <w:rPr>
          <w:rFonts w:ascii="Book Antiqua" w:hAnsi="Book Antiqua"/>
        </w:rPr>
        <w:t xml:space="preserve"> JD, </w:t>
      </w:r>
      <w:proofErr w:type="spellStart"/>
      <w:r>
        <w:rPr>
          <w:rFonts w:ascii="Book Antiqua" w:hAnsi="Book Antiqua"/>
        </w:rPr>
        <w:t>Dhanasekaran</w:t>
      </w:r>
      <w:proofErr w:type="spellEnd"/>
      <w:r>
        <w:rPr>
          <w:rFonts w:ascii="Book Antiqua" w:hAnsi="Book Antiqua"/>
        </w:rPr>
        <w:t xml:space="preserve"> R; COLD Consortium. Liver Injury in Liver Transplant Recipients </w:t>
      </w:r>
      <w:proofErr w:type="gramStart"/>
      <w:r>
        <w:rPr>
          <w:rFonts w:ascii="Book Antiqua" w:hAnsi="Book Antiqua"/>
        </w:rPr>
        <w:t>With</w:t>
      </w:r>
      <w:proofErr w:type="gramEnd"/>
      <w:r>
        <w:rPr>
          <w:rFonts w:ascii="Book Antiqua" w:hAnsi="Book Antiqua"/>
        </w:rPr>
        <w:t xml:space="preserve"> Coronavirus Disease 2019 (COVID-19): U.S. Multicenter Experience.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1900-1911 [PMID: 32964510 DOI: 10.1002/hep.31574]</w:t>
      </w:r>
    </w:p>
    <w:p w14:paraId="4C668FA7"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Footnotes</w:t>
      </w:r>
    </w:p>
    <w:p w14:paraId="15A1E0D9"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Institutional Review Board of University of Kansas Medical Center (Kansas City, KS, United States).</w:t>
      </w:r>
    </w:p>
    <w:p w14:paraId="7E3B9CE0" w14:textId="77777777" w:rsidR="00681808" w:rsidRDefault="00681808">
      <w:pPr>
        <w:spacing w:line="360" w:lineRule="auto"/>
        <w:jc w:val="both"/>
        <w:rPr>
          <w:rFonts w:ascii="Book Antiqua" w:hAnsi="Book Antiqua"/>
        </w:rPr>
      </w:pPr>
    </w:p>
    <w:p w14:paraId="4FFE387B"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 accordance with the retrospective design of the study, based upon chart reviews, no informed consent was required.</w:t>
      </w:r>
    </w:p>
    <w:p w14:paraId="66C9B14E" w14:textId="77777777" w:rsidR="00681808" w:rsidRDefault="00681808">
      <w:pPr>
        <w:spacing w:line="360" w:lineRule="auto"/>
        <w:jc w:val="both"/>
        <w:rPr>
          <w:rFonts w:ascii="Book Antiqua" w:hAnsi="Book Antiqua"/>
        </w:rPr>
      </w:pPr>
    </w:p>
    <w:p w14:paraId="62A3E961"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have no conflicts of interest to declare.</w:t>
      </w:r>
    </w:p>
    <w:p w14:paraId="453D2B98" w14:textId="77777777" w:rsidR="00681808" w:rsidRDefault="00681808">
      <w:pPr>
        <w:spacing w:line="360" w:lineRule="auto"/>
        <w:jc w:val="both"/>
        <w:rPr>
          <w:rFonts w:ascii="Book Antiqua" w:hAnsi="Book Antiqua"/>
        </w:rPr>
      </w:pPr>
    </w:p>
    <w:p w14:paraId="56BE3BA3"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 xml:space="preserve">All relevant data has been provided in this article. No additional data is available. </w:t>
      </w:r>
    </w:p>
    <w:p w14:paraId="5B02B8C0" w14:textId="77777777" w:rsidR="00681808" w:rsidRDefault="00681808">
      <w:pPr>
        <w:spacing w:line="360" w:lineRule="auto"/>
        <w:jc w:val="both"/>
        <w:rPr>
          <w:rFonts w:ascii="Book Antiqua" w:hAnsi="Book Antiqua"/>
        </w:rPr>
      </w:pPr>
    </w:p>
    <w:p w14:paraId="1276841B"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p>
    <w:p w14:paraId="67B6B7EE" w14:textId="77777777" w:rsidR="00681808" w:rsidRDefault="00681808">
      <w:pPr>
        <w:spacing w:line="360" w:lineRule="auto"/>
        <w:jc w:val="both"/>
        <w:rPr>
          <w:rFonts w:ascii="Book Antiqua" w:hAnsi="Book Antiqua"/>
        </w:rPr>
      </w:pPr>
    </w:p>
    <w:p w14:paraId="67BB012C" w14:textId="77777777" w:rsidR="00681808" w:rsidRDefault="002C0647">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28DB6A" w14:textId="77777777" w:rsidR="00681808" w:rsidRDefault="00681808">
      <w:pPr>
        <w:spacing w:line="360" w:lineRule="auto"/>
        <w:jc w:val="both"/>
        <w:rPr>
          <w:rFonts w:ascii="Book Antiqua" w:hAnsi="Book Antiqua"/>
        </w:rPr>
      </w:pPr>
    </w:p>
    <w:p w14:paraId="1676309A"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F33352C"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A8BBFC8" w14:textId="77777777" w:rsidR="00681808" w:rsidRDefault="00681808">
      <w:pPr>
        <w:spacing w:line="360" w:lineRule="auto"/>
        <w:jc w:val="both"/>
        <w:rPr>
          <w:rFonts w:ascii="Book Antiqua" w:hAnsi="Book Antiqua"/>
        </w:rPr>
      </w:pPr>
    </w:p>
    <w:p w14:paraId="5E4963F3"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2022</w:t>
      </w:r>
    </w:p>
    <w:p w14:paraId="408C4AB4"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2022</w:t>
      </w:r>
    </w:p>
    <w:p w14:paraId="611AA4AB"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28, 2022</w:t>
      </w:r>
    </w:p>
    <w:p w14:paraId="562C26AF" w14:textId="77777777" w:rsidR="00681808" w:rsidRDefault="00681808">
      <w:pPr>
        <w:spacing w:line="360" w:lineRule="auto"/>
        <w:jc w:val="both"/>
        <w:rPr>
          <w:rFonts w:ascii="Book Antiqua" w:hAnsi="Book Antiqua"/>
        </w:rPr>
      </w:pPr>
    </w:p>
    <w:p w14:paraId="76D4FD5C" w14:textId="77777777" w:rsidR="00681808" w:rsidRDefault="00681808">
      <w:pPr>
        <w:spacing w:line="360" w:lineRule="auto"/>
        <w:jc w:val="both"/>
        <w:rPr>
          <w:rFonts w:ascii="Book Antiqua" w:hAnsi="Book Antiqua"/>
        </w:rPr>
      </w:pPr>
    </w:p>
    <w:p w14:paraId="6408A0F0"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3A131465"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United States</w:t>
      </w:r>
    </w:p>
    <w:p w14:paraId="09022E2D" w14:textId="77777777" w:rsidR="00681808" w:rsidRDefault="002C064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3B232C4"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Grade A (Excellent): 0</w:t>
      </w:r>
    </w:p>
    <w:p w14:paraId="56524871"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Grade B (Very good): 0</w:t>
      </w:r>
    </w:p>
    <w:p w14:paraId="2DB1FC94" w14:textId="77777777" w:rsidR="00681808" w:rsidRDefault="002C0647">
      <w:pPr>
        <w:spacing w:line="360" w:lineRule="auto"/>
        <w:jc w:val="both"/>
        <w:rPr>
          <w:rFonts w:ascii="Book Antiqua" w:hAnsi="Book Antiqua"/>
          <w:lang w:eastAsia="zh-CN"/>
        </w:rPr>
      </w:pPr>
      <w:r>
        <w:rPr>
          <w:rFonts w:ascii="Book Antiqua" w:eastAsia="Book Antiqua" w:hAnsi="Book Antiqua" w:cs="Book Antiqua"/>
          <w:color w:val="000000"/>
        </w:rPr>
        <w:t>Grade C (Good): C, C, C</w:t>
      </w:r>
    </w:p>
    <w:p w14:paraId="20339854"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Grade D (Fair): D</w:t>
      </w:r>
    </w:p>
    <w:p w14:paraId="76678AD4" w14:textId="77777777" w:rsidR="00681808" w:rsidRDefault="002C0647">
      <w:pPr>
        <w:spacing w:line="360" w:lineRule="auto"/>
        <w:jc w:val="both"/>
        <w:rPr>
          <w:rFonts w:ascii="Book Antiqua" w:hAnsi="Book Antiqua"/>
        </w:rPr>
      </w:pPr>
      <w:r>
        <w:rPr>
          <w:rFonts w:ascii="Book Antiqua" w:eastAsia="Book Antiqua" w:hAnsi="Book Antiqua" w:cs="Book Antiqua"/>
          <w:color w:val="000000"/>
        </w:rPr>
        <w:t>Grade E (Poor): 0</w:t>
      </w:r>
    </w:p>
    <w:p w14:paraId="7D45EFAE" w14:textId="77777777" w:rsidR="00681808" w:rsidRDefault="00681808">
      <w:pPr>
        <w:spacing w:line="360" w:lineRule="auto"/>
        <w:jc w:val="both"/>
        <w:rPr>
          <w:rFonts w:ascii="Book Antiqua" w:hAnsi="Book Antiqua"/>
        </w:rPr>
      </w:pPr>
    </w:p>
    <w:p w14:paraId="7F08F266" w14:textId="77777777" w:rsidR="00681808" w:rsidRDefault="002C064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Alberca</w:t>
      </w:r>
      <w:proofErr w:type="spellEnd"/>
      <w:r>
        <w:rPr>
          <w:rFonts w:ascii="Book Antiqua" w:eastAsia="Book Antiqua" w:hAnsi="Book Antiqua" w:cs="Book Antiqua"/>
          <w:color w:val="000000"/>
        </w:rPr>
        <w:t xml:space="preserve"> RW, Brazil; </w:t>
      </w:r>
      <w:proofErr w:type="spellStart"/>
      <w:r>
        <w:rPr>
          <w:rFonts w:ascii="Book Antiqua" w:eastAsia="Book Antiqua" w:hAnsi="Book Antiqua" w:cs="Book Antiqua"/>
          <w:color w:val="000000"/>
        </w:rPr>
        <w:t>Leowattana</w:t>
      </w:r>
      <w:proofErr w:type="spellEnd"/>
      <w:r>
        <w:rPr>
          <w:rFonts w:ascii="Book Antiqua" w:eastAsia="Book Antiqua" w:hAnsi="Book Antiqua" w:cs="Book Antiqua"/>
          <w:color w:val="000000"/>
        </w:rPr>
        <w:t xml:space="preserve"> W, Thailand; Qian YB, China</w:t>
      </w:r>
      <w:r>
        <w:rPr>
          <w:rFonts w:ascii="Book Antiqua" w:eastAsia="Book Antiqua" w:hAnsi="Book Antiqua" w:cs="Book Antiqua"/>
          <w:b/>
          <w:color w:val="000000"/>
        </w:rPr>
        <w:t xml:space="preserve"> A-Editor: </w:t>
      </w:r>
      <w:r>
        <w:rPr>
          <w:rFonts w:ascii="Book Antiqua" w:eastAsia="Book Antiqua" w:hAnsi="Book Antiqua" w:cs="Book Antiqua"/>
          <w:color w:val="000000"/>
        </w:rPr>
        <w:t xml:space="preserve">Liu X, China </w:t>
      </w:r>
      <w:r>
        <w:rPr>
          <w:rFonts w:ascii="Book Antiqua" w:eastAsia="Book Antiqua" w:hAnsi="Book Antiqua" w:cs="Book Antiqua"/>
          <w:b/>
          <w:color w:val="000000"/>
        </w:rPr>
        <w:t xml:space="preserve">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w:t>
      </w:r>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15482D91" w14:textId="77777777" w:rsidR="00681808" w:rsidRDefault="002C0647">
      <w:pPr>
        <w:tabs>
          <w:tab w:val="left" w:pos="1440"/>
        </w:tabs>
        <w:snapToGrid w:val="0"/>
        <w:spacing w:line="360" w:lineRule="auto"/>
        <w:jc w:val="both"/>
        <w:rPr>
          <w:rFonts w:ascii="Book Antiqua" w:hAnsi="Book Antiqua"/>
          <w:b/>
          <w:bCs/>
        </w:rPr>
      </w:pPr>
      <w:r>
        <w:rPr>
          <w:rFonts w:ascii="Book Antiqua" w:eastAsia="Book Antiqua" w:hAnsi="Book Antiqua" w:cs="Book Antiqua"/>
          <w:b/>
          <w:color w:val="000000"/>
        </w:rPr>
        <w:br w:type="page"/>
      </w:r>
      <w:r>
        <w:rPr>
          <w:rFonts w:ascii="Book Antiqua" w:hAnsi="Book Antiqua"/>
          <w:b/>
          <w:bCs/>
        </w:rPr>
        <w:lastRenderedPageBreak/>
        <w:t>Table 1</w:t>
      </w:r>
      <w:r>
        <w:rPr>
          <w:rFonts w:ascii="Book Antiqua" w:hAnsi="Book Antiqua"/>
        </w:rPr>
        <w:t xml:space="preserve"> </w:t>
      </w:r>
      <w:r>
        <w:rPr>
          <w:rFonts w:ascii="Book Antiqua" w:hAnsi="Book Antiqua"/>
          <w:b/>
          <w:bCs/>
        </w:rPr>
        <w:t>General characteristics of cases and controls</w:t>
      </w:r>
    </w:p>
    <w:tbl>
      <w:tblPr>
        <w:tblStyle w:val="ad"/>
        <w:tblW w:w="49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1711"/>
        <w:gridCol w:w="2129"/>
      </w:tblGrid>
      <w:tr w:rsidR="00681808" w14:paraId="51B215BD" w14:textId="77777777">
        <w:tc>
          <w:tcPr>
            <w:tcW w:w="2922" w:type="pct"/>
            <w:tcBorders>
              <w:top w:val="single" w:sz="6" w:space="0" w:color="000000"/>
              <w:bottom w:val="single" w:sz="6" w:space="0" w:color="000000"/>
            </w:tcBorders>
            <w:noWrap/>
          </w:tcPr>
          <w:p w14:paraId="0D08C68E" w14:textId="77777777" w:rsidR="00681808" w:rsidRDefault="002C0647">
            <w:pPr>
              <w:snapToGrid w:val="0"/>
              <w:spacing w:line="360" w:lineRule="auto"/>
              <w:jc w:val="both"/>
              <w:rPr>
                <w:rFonts w:ascii="Book Antiqua" w:hAnsi="Book Antiqua"/>
                <w:b/>
              </w:rPr>
            </w:pPr>
            <w:r>
              <w:rPr>
                <w:rFonts w:ascii="Book Antiqua" w:hAnsi="Book Antiqua"/>
                <w:b/>
              </w:rPr>
              <w:t>Characteristics</w:t>
            </w:r>
          </w:p>
        </w:tc>
        <w:tc>
          <w:tcPr>
            <w:tcW w:w="926" w:type="pct"/>
            <w:tcBorders>
              <w:top w:val="single" w:sz="6" w:space="0" w:color="000000"/>
              <w:bottom w:val="single" w:sz="6" w:space="0" w:color="000000"/>
            </w:tcBorders>
          </w:tcPr>
          <w:p w14:paraId="24B5F5E0" w14:textId="77777777" w:rsidR="00681808" w:rsidRDefault="002C0647">
            <w:pPr>
              <w:snapToGrid w:val="0"/>
              <w:spacing w:line="360" w:lineRule="auto"/>
              <w:jc w:val="both"/>
              <w:rPr>
                <w:rFonts w:ascii="Book Antiqua" w:hAnsi="Book Antiqua"/>
                <w:b/>
              </w:rPr>
            </w:pPr>
            <w:r>
              <w:rPr>
                <w:rFonts w:ascii="Book Antiqua" w:hAnsi="Book Antiqua"/>
                <w:b/>
              </w:rPr>
              <w:t xml:space="preserve">Cases, </w:t>
            </w:r>
            <w:r>
              <w:rPr>
                <w:rFonts w:ascii="Book Antiqua" w:hAnsi="Book Antiqua"/>
                <w:b/>
                <w:i/>
                <w:iCs/>
              </w:rPr>
              <w:t>n</w:t>
            </w:r>
            <w:r>
              <w:rPr>
                <w:rFonts w:ascii="Book Antiqua" w:hAnsi="Book Antiqua"/>
                <w:b/>
              </w:rPr>
              <w:t xml:space="preserve"> = 39</w:t>
            </w:r>
          </w:p>
        </w:tc>
        <w:tc>
          <w:tcPr>
            <w:tcW w:w="1152" w:type="pct"/>
            <w:tcBorders>
              <w:top w:val="single" w:sz="6" w:space="0" w:color="000000"/>
              <w:bottom w:val="single" w:sz="6" w:space="0" w:color="000000"/>
            </w:tcBorders>
          </w:tcPr>
          <w:p w14:paraId="73A6665E" w14:textId="77777777" w:rsidR="00681808" w:rsidRDefault="002C0647">
            <w:pPr>
              <w:snapToGrid w:val="0"/>
              <w:spacing w:line="360" w:lineRule="auto"/>
              <w:jc w:val="both"/>
              <w:rPr>
                <w:rFonts w:ascii="Book Antiqua" w:hAnsi="Book Antiqua"/>
                <w:b/>
              </w:rPr>
            </w:pPr>
            <w:r>
              <w:rPr>
                <w:rFonts w:ascii="Book Antiqua" w:hAnsi="Book Antiqua"/>
                <w:b/>
              </w:rPr>
              <w:t xml:space="preserve">Controls, </w:t>
            </w:r>
            <w:r>
              <w:rPr>
                <w:rFonts w:ascii="Book Antiqua" w:hAnsi="Book Antiqua"/>
                <w:b/>
                <w:i/>
                <w:iCs/>
              </w:rPr>
              <w:t>n</w:t>
            </w:r>
            <w:r>
              <w:rPr>
                <w:rFonts w:ascii="Book Antiqua" w:hAnsi="Book Antiqua"/>
                <w:b/>
              </w:rPr>
              <w:t xml:space="preserve"> = 78</w:t>
            </w:r>
          </w:p>
        </w:tc>
      </w:tr>
      <w:tr w:rsidR="00681808" w14:paraId="1B202539" w14:textId="77777777">
        <w:trPr>
          <w:trHeight w:val="363"/>
        </w:trPr>
        <w:tc>
          <w:tcPr>
            <w:tcW w:w="2922" w:type="pct"/>
            <w:tcBorders>
              <w:top w:val="single" w:sz="6" w:space="0" w:color="000000"/>
            </w:tcBorders>
            <w:noWrap/>
          </w:tcPr>
          <w:p w14:paraId="37F8DB96" w14:textId="77777777" w:rsidR="00681808" w:rsidRDefault="002C0647">
            <w:pPr>
              <w:snapToGrid w:val="0"/>
              <w:spacing w:line="360" w:lineRule="auto"/>
              <w:jc w:val="both"/>
              <w:rPr>
                <w:rFonts w:ascii="Book Antiqua" w:hAnsi="Book Antiqua"/>
                <w:bCs/>
              </w:rPr>
            </w:pPr>
            <w:r>
              <w:rPr>
                <w:rFonts w:ascii="Book Antiqua" w:hAnsi="Book Antiqua"/>
                <w:bCs/>
              </w:rPr>
              <w:t xml:space="preserve">Age, mean </w:t>
            </w:r>
            <w:r>
              <w:rPr>
                <w:rFonts w:ascii="Book Antiqua" w:hAnsi="Book Antiqua"/>
                <w:bCs/>
              </w:rPr>
              <w:sym w:font="Symbol" w:char="F0B1"/>
            </w:r>
            <w:r>
              <w:rPr>
                <w:rFonts w:ascii="Book Antiqua" w:hAnsi="Book Antiqua"/>
                <w:bCs/>
              </w:rPr>
              <w:t xml:space="preserve"> SD</w:t>
            </w:r>
          </w:p>
        </w:tc>
        <w:tc>
          <w:tcPr>
            <w:tcW w:w="926" w:type="pct"/>
            <w:tcBorders>
              <w:top w:val="single" w:sz="6" w:space="0" w:color="000000"/>
            </w:tcBorders>
          </w:tcPr>
          <w:p w14:paraId="610CE0DB" w14:textId="77777777" w:rsidR="00681808" w:rsidRDefault="002C0647">
            <w:pPr>
              <w:snapToGrid w:val="0"/>
              <w:spacing w:line="360" w:lineRule="auto"/>
              <w:jc w:val="both"/>
              <w:rPr>
                <w:rFonts w:ascii="Book Antiqua" w:hAnsi="Book Antiqua"/>
              </w:rPr>
            </w:pPr>
            <w:r>
              <w:rPr>
                <w:rFonts w:ascii="Book Antiqua" w:hAnsi="Book Antiqua"/>
              </w:rPr>
              <w:t xml:space="preserve">55.23 </w:t>
            </w:r>
            <w:r>
              <w:rPr>
                <w:rFonts w:ascii="Book Antiqua" w:hAnsi="Book Antiqua"/>
              </w:rPr>
              <w:sym w:font="Symbol" w:char="F0B1"/>
            </w:r>
            <w:r>
              <w:rPr>
                <w:rFonts w:ascii="Book Antiqua" w:hAnsi="Book Antiqua"/>
              </w:rPr>
              <w:t xml:space="preserve"> 13.51</w:t>
            </w:r>
          </w:p>
        </w:tc>
        <w:tc>
          <w:tcPr>
            <w:tcW w:w="1152" w:type="pct"/>
            <w:tcBorders>
              <w:top w:val="single" w:sz="6" w:space="0" w:color="000000"/>
            </w:tcBorders>
          </w:tcPr>
          <w:p w14:paraId="461B29D2" w14:textId="77777777" w:rsidR="00681808" w:rsidRDefault="002C0647">
            <w:pPr>
              <w:snapToGrid w:val="0"/>
              <w:spacing w:line="360" w:lineRule="auto"/>
              <w:jc w:val="both"/>
              <w:rPr>
                <w:rFonts w:ascii="Book Antiqua" w:hAnsi="Book Antiqua"/>
              </w:rPr>
            </w:pPr>
            <w:r>
              <w:rPr>
                <w:rFonts w:ascii="Book Antiqua" w:hAnsi="Book Antiqua"/>
              </w:rPr>
              <w:t xml:space="preserve">55.32 </w:t>
            </w:r>
            <w:r>
              <w:rPr>
                <w:rFonts w:ascii="Book Antiqua" w:hAnsi="Book Antiqua"/>
              </w:rPr>
              <w:sym w:font="Symbol" w:char="F0B1"/>
            </w:r>
            <w:r>
              <w:rPr>
                <w:rFonts w:ascii="Book Antiqua" w:hAnsi="Book Antiqua"/>
              </w:rPr>
              <w:t xml:space="preserve"> 13.65</w:t>
            </w:r>
          </w:p>
        </w:tc>
      </w:tr>
      <w:tr w:rsidR="00681808" w14:paraId="18468674" w14:textId="77777777">
        <w:tc>
          <w:tcPr>
            <w:tcW w:w="2922" w:type="pct"/>
            <w:noWrap/>
          </w:tcPr>
          <w:p w14:paraId="3B40BD92" w14:textId="77777777" w:rsidR="00681808" w:rsidRDefault="002C0647">
            <w:pPr>
              <w:snapToGrid w:val="0"/>
              <w:spacing w:line="360" w:lineRule="auto"/>
              <w:jc w:val="both"/>
              <w:rPr>
                <w:rFonts w:ascii="Book Antiqua" w:hAnsi="Book Antiqua"/>
                <w:bCs/>
              </w:rPr>
            </w:pPr>
            <w:r>
              <w:rPr>
                <w:rFonts w:ascii="Book Antiqua" w:hAnsi="Book Antiqua"/>
                <w:bCs/>
              </w:rPr>
              <w:t>Sex, males (%)</w:t>
            </w:r>
          </w:p>
        </w:tc>
        <w:tc>
          <w:tcPr>
            <w:tcW w:w="926" w:type="pct"/>
          </w:tcPr>
          <w:p w14:paraId="3DB556EA" w14:textId="77777777" w:rsidR="00681808" w:rsidRDefault="002C0647">
            <w:pPr>
              <w:snapToGrid w:val="0"/>
              <w:spacing w:line="360" w:lineRule="auto"/>
              <w:jc w:val="both"/>
              <w:rPr>
                <w:rFonts w:ascii="Book Antiqua" w:hAnsi="Book Antiqua"/>
              </w:rPr>
            </w:pPr>
            <w:r>
              <w:rPr>
                <w:rFonts w:ascii="Book Antiqua" w:hAnsi="Book Antiqua"/>
              </w:rPr>
              <w:t>26 (66.7)</w:t>
            </w:r>
          </w:p>
        </w:tc>
        <w:tc>
          <w:tcPr>
            <w:tcW w:w="1152" w:type="pct"/>
          </w:tcPr>
          <w:p w14:paraId="70D436C8" w14:textId="77777777" w:rsidR="00681808" w:rsidRDefault="002C0647">
            <w:pPr>
              <w:snapToGrid w:val="0"/>
              <w:spacing w:line="360" w:lineRule="auto"/>
              <w:jc w:val="both"/>
              <w:rPr>
                <w:rFonts w:ascii="Book Antiqua" w:hAnsi="Book Antiqua"/>
              </w:rPr>
            </w:pPr>
            <w:r>
              <w:rPr>
                <w:rFonts w:ascii="Book Antiqua" w:hAnsi="Book Antiqua"/>
              </w:rPr>
              <w:t>52 (66.7)</w:t>
            </w:r>
          </w:p>
        </w:tc>
      </w:tr>
      <w:tr w:rsidR="00681808" w14:paraId="168FBE80" w14:textId="77777777">
        <w:tc>
          <w:tcPr>
            <w:tcW w:w="2922" w:type="pct"/>
            <w:noWrap/>
          </w:tcPr>
          <w:p w14:paraId="64A0C3EA" w14:textId="77777777" w:rsidR="00681808" w:rsidRDefault="002C0647">
            <w:pPr>
              <w:snapToGrid w:val="0"/>
              <w:spacing w:line="360" w:lineRule="auto"/>
              <w:jc w:val="both"/>
              <w:rPr>
                <w:rFonts w:ascii="Book Antiqua" w:hAnsi="Book Antiqua"/>
                <w:bCs/>
              </w:rPr>
            </w:pPr>
            <w:r>
              <w:rPr>
                <w:rFonts w:ascii="Book Antiqua" w:hAnsi="Book Antiqua"/>
                <w:bCs/>
              </w:rPr>
              <w:t xml:space="preserve">Race, </w:t>
            </w:r>
            <w:r>
              <w:rPr>
                <w:rFonts w:ascii="Book Antiqua" w:hAnsi="Book Antiqua"/>
                <w:bCs/>
                <w:i/>
                <w:iCs/>
              </w:rPr>
              <w:t>n</w:t>
            </w:r>
            <w:r>
              <w:rPr>
                <w:rFonts w:ascii="Book Antiqua" w:hAnsi="Book Antiqua"/>
                <w:bCs/>
              </w:rPr>
              <w:t xml:space="preserve"> (%)</w:t>
            </w:r>
          </w:p>
        </w:tc>
        <w:tc>
          <w:tcPr>
            <w:tcW w:w="926" w:type="pct"/>
          </w:tcPr>
          <w:p w14:paraId="0688D58F" w14:textId="77777777" w:rsidR="00681808" w:rsidRDefault="00681808">
            <w:pPr>
              <w:snapToGrid w:val="0"/>
              <w:spacing w:line="360" w:lineRule="auto"/>
              <w:jc w:val="both"/>
              <w:rPr>
                <w:rFonts w:ascii="Book Antiqua" w:hAnsi="Book Antiqua"/>
              </w:rPr>
            </w:pPr>
          </w:p>
        </w:tc>
        <w:tc>
          <w:tcPr>
            <w:tcW w:w="1152" w:type="pct"/>
          </w:tcPr>
          <w:p w14:paraId="4A75717E" w14:textId="77777777" w:rsidR="00681808" w:rsidRDefault="00681808">
            <w:pPr>
              <w:snapToGrid w:val="0"/>
              <w:spacing w:line="360" w:lineRule="auto"/>
              <w:jc w:val="both"/>
              <w:rPr>
                <w:rFonts w:ascii="Book Antiqua" w:hAnsi="Book Antiqua"/>
              </w:rPr>
            </w:pPr>
          </w:p>
        </w:tc>
      </w:tr>
      <w:tr w:rsidR="00681808" w14:paraId="00BCAF10" w14:textId="77777777">
        <w:tc>
          <w:tcPr>
            <w:tcW w:w="2922" w:type="pct"/>
            <w:noWrap/>
          </w:tcPr>
          <w:p w14:paraId="238BF22B" w14:textId="77777777" w:rsidR="00681808" w:rsidRDefault="002C0647">
            <w:pPr>
              <w:snapToGrid w:val="0"/>
              <w:spacing w:line="360" w:lineRule="auto"/>
              <w:jc w:val="both"/>
              <w:rPr>
                <w:rFonts w:ascii="Book Antiqua" w:hAnsi="Book Antiqua"/>
              </w:rPr>
            </w:pPr>
            <w:r>
              <w:rPr>
                <w:rFonts w:ascii="Book Antiqua" w:hAnsi="Book Antiqua"/>
              </w:rPr>
              <w:t xml:space="preserve"> Caucasian</w:t>
            </w:r>
          </w:p>
        </w:tc>
        <w:tc>
          <w:tcPr>
            <w:tcW w:w="926" w:type="pct"/>
          </w:tcPr>
          <w:p w14:paraId="4AD621E7" w14:textId="77777777" w:rsidR="00681808" w:rsidRDefault="002C0647">
            <w:pPr>
              <w:snapToGrid w:val="0"/>
              <w:spacing w:line="360" w:lineRule="auto"/>
              <w:jc w:val="both"/>
              <w:rPr>
                <w:rFonts w:ascii="Book Antiqua" w:hAnsi="Book Antiqua"/>
              </w:rPr>
            </w:pPr>
            <w:r>
              <w:rPr>
                <w:rFonts w:ascii="Book Antiqua" w:hAnsi="Book Antiqua"/>
              </w:rPr>
              <w:t>31 (79.5)</w:t>
            </w:r>
          </w:p>
        </w:tc>
        <w:tc>
          <w:tcPr>
            <w:tcW w:w="1152" w:type="pct"/>
          </w:tcPr>
          <w:p w14:paraId="13DF834C" w14:textId="77777777" w:rsidR="00681808" w:rsidRDefault="002C0647">
            <w:pPr>
              <w:snapToGrid w:val="0"/>
              <w:spacing w:line="360" w:lineRule="auto"/>
              <w:jc w:val="both"/>
              <w:rPr>
                <w:rFonts w:ascii="Book Antiqua" w:hAnsi="Book Antiqua"/>
              </w:rPr>
            </w:pPr>
            <w:r>
              <w:rPr>
                <w:rFonts w:ascii="Book Antiqua" w:hAnsi="Book Antiqua"/>
              </w:rPr>
              <w:t>45 (57.7)</w:t>
            </w:r>
          </w:p>
        </w:tc>
      </w:tr>
      <w:tr w:rsidR="00681808" w14:paraId="5A0C04AB" w14:textId="77777777">
        <w:tc>
          <w:tcPr>
            <w:tcW w:w="2922" w:type="pct"/>
            <w:noWrap/>
          </w:tcPr>
          <w:p w14:paraId="6194B1FB" w14:textId="77777777" w:rsidR="00681808" w:rsidRDefault="002C0647">
            <w:pPr>
              <w:snapToGrid w:val="0"/>
              <w:spacing w:line="360" w:lineRule="auto"/>
              <w:jc w:val="both"/>
              <w:rPr>
                <w:rFonts w:ascii="Book Antiqua" w:hAnsi="Book Antiqua"/>
              </w:rPr>
            </w:pPr>
            <w:r>
              <w:rPr>
                <w:rFonts w:ascii="Book Antiqua" w:hAnsi="Book Antiqua"/>
              </w:rPr>
              <w:t>African American</w:t>
            </w:r>
          </w:p>
        </w:tc>
        <w:tc>
          <w:tcPr>
            <w:tcW w:w="926" w:type="pct"/>
          </w:tcPr>
          <w:p w14:paraId="207CDABB" w14:textId="77777777" w:rsidR="00681808" w:rsidRDefault="002C0647">
            <w:pPr>
              <w:snapToGrid w:val="0"/>
              <w:spacing w:line="360" w:lineRule="auto"/>
              <w:jc w:val="both"/>
              <w:rPr>
                <w:rFonts w:ascii="Book Antiqua" w:hAnsi="Book Antiqua"/>
              </w:rPr>
            </w:pPr>
            <w:r>
              <w:rPr>
                <w:rFonts w:ascii="Book Antiqua" w:hAnsi="Book Antiqua"/>
              </w:rPr>
              <w:t>3 (7.7)</w:t>
            </w:r>
          </w:p>
        </w:tc>
        <w:tc>
          <w:tcPr>
            <w:tcW w:w="1152" w:type="pct"/>
          </w:tcPr>
          <w:p w14:paraId="70DFF021" w14:textId="77777777" w:rsidR="00681808" w:rsidRDefault="002C0647">
            <w:pPr>
              <w:snapToGrid w:val="0"/>
              <w:spacing w:line="360" w:lineRule="auto"/>
              <w:jc w:val="both"/>
              <w:rPr>
                <w:rFonts w:ascii="Book Antiqua" w:hAnsi="Book Antiqua"/>
              </w:rPr>
            </w:pPr>
            <w:r>
              <w:rPr>
                <w:rFonts w:ascii="Book Antiqua" w:hAnsi="Book Antiqua"/>
              </w:rPr>
              <w:t>11 (14.1)</w:t>
            </w:r>
          </w:p>
        </w:tc>
      </w:tr>
      <w:tr w:rsidR="00681808" w14:paraId="4C5EC885" w14:textId="77777777">
        <w:tc>
          <w:tcPr>
            <w:tcW w:w="2922" w:type="pct"/>
            <w:noWrap/>
          </w:tcPr>
          <w:p w14:paraId="1A1BF681" w14:textId="77777777" w:rsidR="00681808" w:rsidRDefault="002C0647">
            <w:pPr>
              <w:snapToGrid w:val="0"/>
              <w:spacing w:line="360" w:lineRule="auto"/>
              <w:jc w:val="both"/>
              <w:rPr>
                <w:rFonts w:ascii="Book Antiqua" w:hAnsi="Book Antiqua"/>
              </w:rPr>
            </w:pPr>
            <w:r>
              <w:rPr>
                <w:rFonts w:ascii="Book Antiqua" w:hAnsi="Book Antiqua"/>
              </w:rPr>
              <w:t>Hispanic</w:t>
            </w:r>
          </w:p>
        </w:tc>
        <w:tc>
          <w:tcPr>
            <w:tcW w:w="926" w:type="pct"/>
          </w:tcPr>
          <w:p w14:paraId="3DCC794C" w14:textId="77777777" w:rsidR="00681808" w:rsidRDefault="002C0647">
            <w:pPr>
              <w:snapToGrid w:val="0"/>
              <w:spacing w:line="360" w:lineRule="auto"/>
              <w:jc w:val="both"/>
              <w:rPr>
                <w:rFonts w:ascii="Book Antiqua" w:hAnsi="Book Antiqua"/>
              </w:rPr>
            </w:pPr>
            <w:r>
              <w:rPr>
                <w:rFonts w:ascii="Book Antiqua" w:hAnsi="Book Antiqua"/>
              </w:rPr>
              <w:t>3 (7.7)</w:t>
            </w:r>
          </w:p>
        </w:tc>
        <w:tc>
          <w:tcPr>
            <w:tcW w:w="1152" w:type="pct"/>
          </w:tcPr>
          <w:p w14:paraId="6856288E" w14:textId="77777777" w:rsidR="00681808" w:rsidRDefault="002C0647">
            <w:pPr>
              <w:snapToGrid w:val="0"/>
              <w:spacing w:line="360" w:lineRule="auto"/>
              <w:jc w:val="both"/>
              <w:rPr>
                <w:rFonts w:ascii="Book Antiqua" w:hAnsi="Book Antiqua"/>
              </w:rPr>
            </w:pPr>
            <w:r>
              <w:rPr>
                <w:rFonts w:ascii="Book Antiqua" w:hAnsi="Book Antiqua"/>
              </w:rPr>
              <w:t>14 (17.9)</w:t>
            </w:r>
          </w:p>
        </w:tc>
      </w:tr>
      <w:tr w:rsidR="00681808" w14:paraId="6AA49DE4" w14:textId="77777777">
        <w:tc>
          <w:tcPr>
            <w:tcW w:w="2922" w:type="pct"/>
            <w:noWrap/>
          </w:tcPr>
          <w:p w14:paraId="6B3F7699" w14:textId="77777777" w:rsidR="00681808" w:rsidRDefault="002C0647">
            <w:pPr>
              <w:snapToGrid w:val="0"/>
              <w:spacing w:line="360" w:lineRule="auto"/>
              <w:jc w:val="both"/>
              <w:rPr>
                <w:rFonts w:ascii="Book Antiqua" w:hAnsi="Book Antiqua"/>
              </w:rPr>
            </w:pPr>
            <w:r>
              <w:rPr>
                <w:rFonts w:ascii="Book Antiqua" w:hAnsi="Book Antiqua"/>
              </w:rPr>
              <w:t>Asian</w:t>
            </w:r>
          </w:p>
        </w:tc>
        <w:tc>
          <w:tcPr>
            <w:tcW w:w="926" w:type="pct"/>
          </w:tcPr>
          <w:p w14:paraId="7CB5B514" w14:textId="77777777" w:rsidR="00681808" w:rsidRDefault="002C0647">
            <w:pPr>
              <w:snapToGrid w:val="0"/>
              <w:spacing w:line="360" w:lineRule="auto"/>
              <w:jc w:val="both"/>
              <w:rPr>
                <w:rFonts w:ascii="Book Antiqua" w:hAnsi="Book Antiqua"/>
              </w:rPr>
            </w:pPr>
            <w:r>
              <w:rPr>
                <w:rFonts w:ascii="Book Antiqua" w:hAnsi="Book Antiqua"/>
              </w:rPr>
              <w:t>0 (0.0)</w:t>
            </w:r>
          </w:p>
        </w:tc>
        <w:tc>
          <w:tcPr>
            <w:tcW w:w="1152" w:type="pct"/>
          </w:tcPr>
          <w:p w14:paraId="61F0B6E0" w14:textId="77777777" w:rsidR="00681808" w:rsidRDefault="002C0647">
            <w:pPr>
              <w:snapToGrid w:val="0"/>
              <w:spacing w:line="360" w:lineRule="auto"/>
              <w:jc w:val="both"/>
              <w:rPr>
                <w:rFonts w:ascii="Book Antiqua" w:hAnsi="Book Antiqua"/>
              </w:rPr>
            </w:pPr>
            <w:r>
              <w:rPr>
                <w:rFonts w:ascii="Book Antiqua" w:hAnsi="Book Antiqua"/>
              </w:rPr>
              <w:t>2 (2.6)</w:t>
            </w:r>
          </w:p>
        </w:tc>
      </w:tr>
      <w:tr w:rsidR="00681808" w14:paraId="73A5A771" w14:textId="77777777">
        <w:tc>
          <w:tcPr>
            <w:tcW w:w="2922" w:type="pct"/>
            <w:noWrap/>
          </w:tcPr>
          <w:p w14:paraId="484A30F5" w14:textId="77777777" w:rsidR="00681808" w:rsidRDefault="002C0647">
            <w:pPr>
              <w:snapToGrid w:val="0"/>
              <w:spacing w:line="360" w:lineRule="auto"/>
              <w:jc w:val="both"/>
              <w:rPr>
                <w:rFonts w:ascii="Book Antiqua" w:hAnsi="Book Antiqua"/>
              </w:rPr>
            </w:pPr>
            <w:r>
              <w:rPr>
                <w:rFonts w:ascii="Book Antiqua" w:hAnsi="Book Antiqua"/>
              </w:rPr>
              <w:t xml:space="preserve"> Other/unknown</w:t>
            </w:r>
          </w:p>
        </w:tc>
        <w:tc>
          <w:tcPr>
            <w:tcW w:w="926" w:type="pct"/>
          </w:tcPr>
          <w:p w14:paraId="61450DE1" w14:textId="77777777" w:rsidR="00681808" w:rsidRDefault="002C0647">
            <w:pPr>
              <w:snapToGrid w:val="0"/>
              <w:spacing w:line="360" w:lineRule="auto"/>
              <w:jc w:val="both"/>
              <w:rPr>
                <w:rFonts w:ascii="Book Antiqua" w:hAnsi="Book Antiqua"/>
              </w:rPr>
            </w:pPr>
            <w:r>
              <w:rPr>
                <w:rFonts w:ascii="Book Antiqua" w:hAnsi="Book Antiqua"/>
              </w:rPr>
              <w:t>2 (5.1)</w:t>
            </w:r>
          </w:p>
        </w:tc>
        <w:tc>
          <w:tcPr>
            <w:tcW w:w="1152" w:type="pct"/>
          </w:tcPr>
          <w:p w14:paraId="313259A4" w14:textId="77777777" w:rsidR="00681808" w:rsidRDefault="002C0647">
            <w:pPr>
              <w:snapToGrid w:val="0"/>
              <w:spacing w:line="360" w:lineRule="auto"/>
              <w:jc w:val="both"/>
              <w:rPr>
                <w:rFonts w:ascii="Book Antiqua" w:hAnsi="Book Antiqua"/>
              </w:rPr>
            </w:pPr>
            <w:r>
              <w:rPr>
                <w:rFonts w:ascii="Book Antiqua" w:hAnsi="Book Antiqua"/>
              </w:rPr>
              <w:t>6 (7.7)</w:t>
            </w:r>
          </w:p>
        </w:tc>
      </w:tr>
      <w:tr w:rsidR="00681808" w14:paraId="511F0BFF" w14:textId="77777777">
        <w:tc>
          <w:tcPr>
            <w:tcW w:w="2922" w:type="pct"/>
            <w:noWrap/>
          </w:tcPr>
          <w:p w14:paraId="3515831A" w14:textId="77777777" w:rsidR="00681808" w:rsidRDefault="002C0647">
            <w:pPr>
              <w:snapToGrid w:val="0"/>
              <w:spacing w:line="360" w:lineRule="auto"/>
              <w:jc w:val="both"/>
              <w:rPr>
                <w:rFonts w:ascii="Book Antiqua" w:hAnsi="Book Antiqua"/>
                <w:bCs/>
              </w:rPr>
            </w:pPr>
            <w:r>
              <w:rPr>
                <w:rFonts w:ascii="Book Antiqua" w:hAnsi="Book Antiqua"/>
                <w:bCs/>
              </w:rPr>
              <w:t>Presence of</w:t>
            </w:r>
          </w:p>
        </w:tc>
        <w:tc>
          <w:tcPr>
            <w:tcW w:w="926" w:type="pct"/>
          </w:tcPr>
          <w:p w14:paraId="15534966" w14:textId="77777777" w:rsidR="00681808" w:rsidRDefault="00681808">
            <w:pPr>
              <w:snapToGrid w:val="0"/>
              <w:spacing w:line="360" w:lineRule="auto"/>
              <w:jc w:val="both"/>
              <w:rPr>
                <w:rFonts w:ascii="Book Antiqua" w:hAnsi="Book Antiqua"/>
              </w:rPr>
            </w:pPr>
          </w:p>
        </w:tc>
        <w:tc>
          <w:tcPr>
            <w:tcW w:w="1152" w:type="pct"/>
          </w:tcPr>
          <w:p w14:paraId="37339670" w14:textId="77777777" w:rsidR="00681808" w:rsidRDefault="00681808">
            <w:pPr>
              <w:snapToGrid w:val="0"/>
              <w:spacing w:line="360" w:lineRule="auto"/>
              <w:jc w:val="both"/>
              <w:rPr>
                <w:rFonts w:ascii="Book Antiqua" w:hAnsi="Book Antiqua"/>
              </w:rPr>
            </w:pPr>
          </w:p>
        </w:tc>
      </w:tr>
      <w:tr w:rsidR="00681808" w14:paraId="450DAACF" w14:textId="77777777">
        <w:tc>
          <w:tcPr>
            <w:tcW w:w="2922" w:type="pct"/>
            <w:noWrap/>
          </w:tcPr>
          <w:p w14:paraId="2F1C1027" w14:textId="77777777" w:rsidR="00681808" w:rsidRDefault="002C0647">
            <w:pPr>
              <w:snapToGrid w:val="0"/>
              <w:spacing w:line="360" w:lineRule="auto"/>
              <w:jc w:val="both"/>
              <w:rPr>
                <w:rFonts w:ascii="Book Antiqua" w:hAnsi="Book Antiqua"/>
              </w:rPr>
            </w:pPr>
            <w:r>
              <w:rPr>
                <w:rFonts w:ascii="Book Antiqua" w:hAnsi="Book Antiqua"/>
              </w:rPr>
              <w:t>Diabetes</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926" w:type="pct"/>
          </w:tcPr>
          <w:p w14:paraId="62A46BD4" w14:textId="77777777" w:rsidR="00681808" w:rsidRDefault="002C0647">
            <w:pPr>
              <w:snapToGrid w:val="0"/>
              <w:spacing w:line="360" w:lineRule="auto"/>
              <w:jc w:val="both"/>
              <w:rPr>
                <w:rFonts w:ascii="Book Antiqua" w:hAnsi="Book Antiqua"/>
              </w:rPr>
            </w:pPr>
            <w:r>
              <w:rPr>
                <w:rFonts w:ascii="Book Antiqua" w:hAnsi="Book Antiqua"/>
              </w:rPr>
              <w:t>17 (43.6)</w:t>
            </w:r>
          </w:p>
        </w:tc>
        <w:tc>
          <w:tcPr>
            <w:tcW w:w="1152" w:type="pct"/>
          </w:tcPr>
          <w:p w14:paraId="58C97EAD" w14:textId="77777777" w:rsidR="00681808" w:rsidRDefault="002C0647">
            <w:pPr>
              <w:snapToGrid w:val="0"/>
              <w:spacing w:line="360" w:lineRule="auto"/>
              <w:jc w:val="both"/>
              <w:rPr>
                <w:rFonts w:ascii="Book Antiqua" w:hAnsi="Book Antiqua"/>
              </w:rPr>
            </w:pPr>
            <w:r>
              <w:rPr>
                <w:rFonts w:ascii="Book Antiqua" w:hAnsi="Book Antiqua"/>
              </w:rPr>
              <w:t>15 (19.2)</w:t>
            </w:r>
          </w:p>
        </w:tc>
      </w:tr>
      <w:tr w:rsidR="00681808" w14:paraId="4A912CB9" w14:textId="77777777">
        <w:tc>
          <w:tcPr>
            <w:tcW w:w="2922" w:type="pct"/>
            <w:noWrap/>
          </w:tcPr>
          <w:p w14:paraId="385E999F" w14:textId="77777777" w:rsidR="00681808" w:rsidRDefault="002C0647">
            <w:pPr>
              <w:snapToGrid w:val="0"/>
              <w:spacing w:line="360" w:lineRule="auto"/>
              <w:jc w:val="both"/>
              <w:rPr>
                <w:rFonts w:ascii="Book Antiqua" w:hAnsi="Book Antiqua"/>
              </w:rPr>
            </w:pPr>
            <w:r>
              <w:rPr>
                <w:rFonts w:ascii="Book Antiqua" w:hAnsi="Book Antiqua"/>
              </w:rPr>
              <w:t>Hypertension</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926" w:type="pct"/>
          </w:tcPr>
          <w:p w14:paraId="20383B1C" w14:textId="77777777" w:rsidR="00681808" w:rsidRDefault="002C0647">
            <w:pPr>
              <w:snapToGrid w:val="0"/>
              <w:spacing w:line="360" w:lineRule="auto"/>
              <w:jc w:val="both"/>
              <w:rPr>
                <w:rFonts w:ascii="Book Antiqua" w:hAnsi="Book Antiqua"/>
              </w:rPr>
            </w:pPr>
            <w:r>
              <w:rPr>
                <w:rFonts w:ascii="Book Antiqua" w:hAnsi="Book Antiqua"/>
              </w:rPr>
              <w:t>23 (59)</w:t>
            </w:r>
          </w:p>
        </w:tc>
        <w:tc>
          <w:tcPr>
            <w:tcW w:w="1152" w:type="pct"/>
          </w:tcPr>
          <w:p w14:paraId="28406C8D" w14:textId="77777777" w:rsidR="00681808" w:rsidRDefault="002C0647">
            <w:pPr>
              <w:snapToGrid w:val="0"/>
              <w:spacing w:line="360" w:lineRule="auto"/>
              <w:jc w:val="both"/>
              <w:rPr>
                <w:rFonts w:ascii="Book Antiqua" w:hAnsi="Book Antiqua"/>
              </w:rPr>
            </w:pPr>
            <w:r>
              <w:rPr>
                <w:rFonts w:ascii="Book Antiqua" w:hAnsi="Book Antiqua"/>
              </w:rPr>
              <w:t>30 (38.5)</w:t>
            </w:r>
          </w:p>
        </w:tc>
      </w:tr>
      <w:tr w:rsidR="00681808" w14:paraId="455599D7" w14:textId="77777777">
        <w:tc>
          <w:tcPr>
            <w:tcW w:w="2922" w:type="pct"/>
            <w:noWrap/>
          </w:tcPr>
          <w:p w14:paraId="3E6D8455" w14:textId="77777777" w:rsidR="00681808" w:rsidRDefault="002C0647">
            <w:pPr>
              <w:snapToGrid w:val="0"/>
              <w:spacing w:line="360" w:lineRule="auto"/>
              <w:jc w:val="both"/>
              <w:rPr>
                <w:rFonts w:ascii="Book Antiqua" w:hAnsi="Book Antiqua"/>
              </w:rPr>
            </w:pPr>
            <w:r>
              <w:rPr>
                <w:rFonts w:ascii="Book Antiqua" w:hAnsi="Book Antiqua"/>
              </w:rPr>
              <w:t>Obesity</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926" w:type="pct"/>
          </w:tcPr>
          <w:p w14:paraId="0A7A8387" w14:textId="77777777" w:rsidR="00681808" w:rsidRDefault="002C0647">
            <w:pPr>
              <w:snapToGrid w:val="0"/>
              <w:spacing w:line="360" w:lineRule="auto"/>
              <w:jc w:val="both"/>
              <w:rPr>
                <w:rFonts w:ascii="Book Antiqua" w:hAnsi="Book Antiqua"/>
              </w:rPr>
            </w:pPr>
            <w:r>
              <w:rPr>
                <w:rFonts w:ascii="Book Antiqua" w:hAnsi="Book Antiqua"/>
              </w:rPr>
              <w:t>14 (35.9)</w:t>
            </w:r>
          </w:p>
        </w:tc>
        <w:tc>
          <w:tcPr>
            <w:tcW w:w="1152" w:type="pct"/>
          </w:tcPr>
          <w:p w14:paraId="191492EF" w14:textId="77777777" w:rsidR="00681808" w:rsidRDefault="002C0647">
            <w:pPr>
              <w:snapToGrid w:val="0"/>
              <w:spacing w:line="360" w:lineRule="auto"/>
              <w:jc w:val="both"/>
              <w:rPr>
                <w:rFonts w:ascii="Book Antiqua" w:hAnsi="Book Antiqua"/>
              </w:rPr>
            </w:pPr>
            <w:r>
              <w:rPr>
                <w:rFonts w:ascii="Book Antiqua" w:hAnsi="Book Antiqua"/>
              </w:rPr>
              <w:t>28 (35.9)</w:t>
            </w:r>
          </w:p>
        </w:tc>
      </w:tr>
      <w:tr w:rsidR="00681808" w14:paraId="4C52E555" w14:textId="77777777">
        <w:tc>
          <w:tcPr>
            <w:tcW w:w="2922" w:type="pct"/>
            <w:noWrap/>
          </w:tcPr>
          <w:p w14:paraId="7FFB9DBA" w14:textId="77777777" w:rsidR="00681808" w:rsidRDefault="002C0647">
            <w:pPr>
              <w:snapToGrid w:val="0"/>
              <w:spacing w:line="360" w:lineRule="auto"/>
              <w:jc w:val="both"/>
              <w:rPr>
                <w:rFonts w:ascii="Book Antiqua" w:hAnsi="Book Antiqua"/>
              </w:rPr>
            </w:pPr>
            <w:r>
              <w:rPr>
                <w:rFonts w:ascii="Book Antiqua" w:hAnsi="Book Antiqua"/>
              </w:rPr>
              <w:t>Congestive heart failure</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926" w:type="pct"/>
          </w:tcPr>
          <w:p w14:paraId="72DED37D" w14:textId="77777777" w:rsidR="00681808" w:rsidRDefault="002C0647">
            <w:pPr>
              <w:snapToGrid w:val="0"/>
              <w:spacing w:line="360" w:lineRule="auto"/>
              <w:jc w:val="both"/>
              <w:rPr>
                <w:rFonts w:ascii="Book Antiqua" w:hAnsi="Book Antiqua"/>
              </w:rPr>
            </w:pPr>
            <w:r>
              <w:rPr>
                <w:rFonts w:ascii="Book Antiqua" w:hAnsi="Book Antiqua"/>
              </w:rPr>
              <w:t>3 (7.7)</w:t>
            </w:r>
          </w:p>
        </w:tc>
        <w:tc>
          <w:tcPr>
            <w:tcW w:w="1152" w:type="pct"/>
          </w:tcPr>
          <w:p w14:paraId="69646A67" w14:textId="77777777" w:rsidR="00681808" w:rsidRDefault="002C0647">
            <w:pPr>
              <w:snapToGrid w:val="0"/>
              <w:spacing w:line="360" w:lineRule="auto"/>
              <w:jc w:val="both"/>
              <w:rPr>
                <w:rFonts w:ascii="Book Antiqua" w:hAnsi="Book Antiqua"/>
              </w:rPr>
            </w:pPr>
            <w:r>
              <w:rPr>
                <w:rFonts w:ascii="Book Antiqua" w:hAnsi="Book Antiqua"/>
              </w:rPr>
              <w:t>6 (7.7)</w:t>
            </w:r>
          </w:p>
        </w:tc>
      </w:tr>
      <w:tr w:rsidR="00681808" w14:paraId="7B9891FD" w14:textId="77777777">
        <w:tc>
          <w:tcPr>
            <w:tcW w:w="2922" w:type="pct"/>
            <w:tcBorders>
              <w:bottom w:val="single" w:sz="6" w:space="0" w:color="000000"/>
            </w:tcBorders>
            <w:noWrap/>
          </w:tcPr>
          <w:p w14:paraId="2334C7A5" w14:textId="77777777" w:rsidR="00681808" w:rsidRDefault="002C0647">
            <w:pPr>
              <w:snapToGrid w:val="0"/>
              <w:spacing w:line="360" w:lineRule="auto"/>
              <w:jc w:val="both"/>
              <w:rPr>
                <w:rFonts w:ascii="Book Antiqua" w:hAnsi="Book Antiqua"/>
              </w:rPr>
            </w:pPr>
            <w:r>
              <w:rPr>
                <w:rFonts w:ascii="Book Antiqua" w:hAnsi="Book Antiqua"/>
              </w:rPr>
              <w:t>Chronic kidney disease or hemodialysis</w:t>
            </w:r>
            <w:r>
              <w:rPr>
                <w:rFonts w:ascii="Book Antiqua" w:hAnsi="Book Antiqua"/>
                <w:bCs/>
              </w:rPr>
              <w:t xml:space="preserve">, </w:t>
            </w:r>
            <w:r>
              <w:rPr>
                <w:rFonts w:ascii="Book Antiqua" w:hAnsi="Book Antiqua"/>
                <w:bCs/>
                <w:i/>
                <w:iCs/>
              </w:rPr>
              <w:t>n</w:t>
            </w:r>
            <w:r>
              <w:rPr>
                <w:rFonts w:ascii="Book Antiqua" w:hAnsi="Book Antiqua"/>
                <w:bCs/>
              </w:rPr>
              <w:t xml:space="preserve"> (%)</w:t>
            </w:r>
          </w:p>
        </w:tc>
        <w:tc>
          <w:tcPr>
            <w:tcW w:w="926" w:type="pct"/>
            <w:tcBorders>
              <w:bottom w:val="single" w:sz="6" w:space="0" w:color="000000"/>
            </w:tcBorders>
          </w:tcPr>
          <w:p w14:paraId="3ADBCFA5" w14:textId="77777777" w:rsidR="00681808" w:rsidRDefault="002C0647">
            <w:pPr>
              <w:snapToGrid w:val="0"/>
              <w:spacing w:line="360" w:lineRule="auto"/>
              <w:jc w:val="both"/>
              <w:rPr>
                <w:rFonts w:ascii="Book Antiqua" w:hAnsi="Book Antiqua"/>
              </w:rPr>
            </w:pPr>
            <w:r>
              <w:rPr>
                <w:rFonts w:ascii="Book Antiqua" w:hAnsi="Book Antiqua"/>
              </w:rPr>
              <w:t>14 (35.9)</w:t>
            </w:r>
          </w:p>
        </w:tc>
        <w:tc>
          <w:tcPr>
            <w:tcW w:w="1152" w:type="pct"/>
            <w:tcBorders>
              <w:bottom w:val="single" w:sz="6" w:space="0" w:color="000000"/>
            </w:tcBorders>
          </w:tcPr>
          <w:p w14:paraId="1DB9CA74" w14:textId="77777777" w:rsidR="00681808" w:rsidRDefault="002C0647">
            <w:pPr>
              <w:snapToGrid w:val="0"/>
              <w:spacing w:line="360" w:lineRule="auto"/>
              <w:jc w:val="both"/>
              <w:rPr>
                <w:rFonts w:ascii="Book Antiqua" w:hAnsi="Book Antiqua"/>
              </w:rPr>
            </w:pPr>
            <w:r>
              <w:rPr>
                <w:rFonts w:ascii="Book Antiqua" w:hAnsi="Book Antiqua"/>
              </w:rPr>
              <w:t>8 (10.3)</w:t>
            </w:r>
          </w:p>
        </w:tc>
      </w:tr>
    </w:tbl>
    <w:p w14:paraId="27258C8D" w14:textId="77777777" w:rsidR="00681808" w:rsidRDefault="00681808">
      <w:pPr>
        <w:snapToGrid w:val="0"/>
        <w:spacing w:line="360" w:lineRule="auto"/>
        <w:jc w:val="both"/>
        <w:rPr>
          <w:rFonts w:ascii="Book Antiqua" w:hAnsi="Book Antiqua"/>
        </w:rPr>
      </w:pPr>
    </w:p>
    <w:p w14:paraId="668DB797" w14:textId="77777777" w:rsidR="00681808" w:rsidRDefault="002C0647">
      <w:pPr>
        <w:snapToGrid w:val="0"/>
        <w:spacing w:line="360" w:lineRule="auto"/>
        <w:jc w:val="both"/>
        <w:rPr>
          <w:rFonts w:ascii="Book Antiqua" w:hAnsi="Book Antiqua"/>
          <w:b/>
          <w:bCs/>
        </w:rPr>
      </w:pPr>
      <w:r>
        <w:rPr>
          <w:rFonts w:ascii="Book Antiqua" w:hAnsi="Book Antiqua"/>
          <w:b/>
          <w:bCs/>
        </w:rPr>
        <w:t>Table 2 Characteristics of cases pertinent to liver transplantation</w:t>
      </w:r>
    </w:p>
    <w:tbl>
      <w:tblPr>
        <w:tblStyle w:val="ad"/>
        <w:tblW w:w="49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1"/>
        <w:gridCol w:w="1889"/>
        <w:gridCol w:w="1620"/>
      </w:tblGrid>
      <w:tr w:rsidR="00681808" w14:paraId="75C6FBC7" w14:textId="77777777">
        <w:tc>
          <w:tcPr>
            <w:tcW w:w="3107" w:type="pct"/>
            <w:tcBorders>
              <w:top w:val="single" w:sz="6" w:space="0" w:color="000000"/>
              <w:bottom w:val="single" w:sz="6" w:space="0" w:color="000000"/>
            </w:tcBorders>
            <w:noWrap/>
          </w:tcPr>
          <w:p w14:paraId="65C908CD" w14:textId="77777777" w:rsidR="00681808" w:rsidRDefault="002C0647">
            <w:pPr>
              <w:snapToGrid w:val="0"/>
              <w:spacing w:line="360" w:lineRule="auto"/>
              <w:jc w:val="both"/>
              <w:rPr>
                <w:rFonts w:ascii="Book Antiqua" w:hAnsi="Book Antiqua"/>
                <w:b/>
              </w:rPr>
            </w:pPr>
            <w:r>
              <w:rPr>
                <w:rFonts w:ascii="Book Antiqua" w:hAnsi="Book Antiqua"/>
                <w:b/>
              </w:rPr>
              <w:t>Characteristics</w:t>
            </w:r>
          </w:p>
        </w:tc>
        <w:tc>
          <w:tcPr>
            <w:tcW w:w="1019" w:type="pct"/>
            <w:tcBorders>
              <w:top w:val="single" w:sz="6" w:space="0" w:color="000000"/>
              <w:bottom w:val="single" w:sz="6" w:space="0" w:color="000000"/>
            </w:tcBorders>
          </w:tcPr>
          <w:p w14:paraId="6C637E5B" w14:textId="77777777" w:rsidR="00681808" w:rsidRDefault="002C0647">
            <w:pPr>
              <w:snapToGrid w:val="0"/>
              <w:spacing w:line="360" w:lineRule="auto"/>
              <w:jc w:val="both"/>
              <w:rPr>
                <w:rFonts w:ascii="Book Antiqua" w:hAnsi="Book Antiqua"/>
                <w:b/>
                <w:i/>
                <w:iCs/>
              </w:rPr>
            </w:pPr>
            <w:r>
              <w:rPr>
                <w:rFonts w:ascii="Book Antiqua" w:hAnsi="Book Antiqua"/>
                <w:b/>
                <w:i/>
                <w:iCs/>
              </w:rPr>
              <w:t>n</w:t>
            </w:r>
          </w:p>
        </w:tc>
        <w:tc>
          <w:tcPr>
            <w:tcW w:w="874" w:type="pct"/>
            <w:tcBorders>
              <w:top w:val="single" w:sz="6" w:space="0" w:color="000000"/>
              <w:bottom w:val="single" w:sz="6" w:space="0" w:color="000000"/>
            </w:tcBorders>
          </w:tcPr>
          <w:p w14:paraId="3FF359C0" w14:textId="77777777" w:rsidR="00681808" w:rsidRDefault="002C0647">
            <w:pPr>
              <w:snapToGrid w:val="0"/>
              <w:spacing w:line="360" w:lineRule="auto"/>
              <w:jc w:val="both"/>
              <w:rPr>
                <w:rFonts w:ascii="Book Antiqua" w:hAnsi="Book Antiqua"/>
                <w:b/>
              </w:rPr>
            </w:pPr>
            <w:r>
              <w:rPr>
                <w:rFonts w:ascii="Book Antiqua" w:hAnsi="Book Antiqua"/>
                <w:b/>
              </w:rPr>
              <w:t>%</w:t>
            </w:r>
          </w:p>
        </w:tc>
      </w:tr>
      <w:tr w:rsidR="00681808" w14:paraId="336B3620" w14:textId="77777777">
        <w:trPr>
          <w:trHeight w:val="336"/>
        </w:trPr>
        <w:tc>
          <w:tcPr>
            <w:tcW w:w="3107" w:type="pct"/>
            <w:tcBorders>
              <w:top w:val="single" w:sz="6" w:space="0" w:color="000000"/>
            </w:tcBorders>
            <w:noWrap/>
          </w:tcPr>
          <w:p w14:paraId="6DB60A1C" w14:textId="77777777" w:rsidR="00681808" w:rsidRDefault="002C0647">
            <w:pPr>
              <w:snapToGrid w:val="0"/>
              <w:spacing w:line="360" w:lineRule="auto"/>
              <w:jc w:val="both"/>
              <w:rPr>
                <w:rFonts w:ascii="Book Antiqua" w:hAnsi="Book Antiqua"/>
                <w:bCs/>
              </w:rPr>
            </w:pPr>
            <w:r>
              <w:rPr>
                <w:rFonts w:ascii="Book Antiqua" w:hAnsi="Book Antiqua"/>
                <w:bCs/>
              </w:rPr>
              <w:t>Additional renal transplantation</w:t>
            </w:r>
          </w:p>
        </w:tc>
        <w:tc>
          <w:tcPr>
            <w:tcW w:w="1019" w:type="pct"/>
            <w:tcBorders>
              <w:top w:val="single" w:sz="6" w:space="0" w:color="000000"/>
            </w:tcBorders>
          </w:tcPr>
          <w:p w14:paraId="7BAEC815" w14:textId="77777777" w:rsidR="00681808" w:rsidRDefault="00681808">
            <w:pPr>
              <w:snapToGrid w:val="0"/>
              <w:spacing w:line="360" w:lineRule="auto"/>
              <w:jc w:val="both"/>
              <w:rPr>
                <w:rFonts w:ascii="Book Antiqua" w:hAnsi="Book Antiqua"/>
              </w:rPr>
            </w:pPr>
          </w:p>
        </w:tc>
        <w:tc>
          <w:tcPr>
            <w:tcW w:w="874" w:type="pct"/>
            <w:tcBorders>
              <w:top w:val="single" w:sz="6" w:space="0" w:color="000000"/>
            </w:tcBorders>
          </w:tcPr>
          <w:p w14:paraId="7B3ECDD4" w14:textId="77777777" w:rsidR="00681808" w:rsidRDefault="00681808">
            <w:pPr>
              <w:snapToGrid w:val="0"/>
              <w:spacing w:line="360" w:lineRule="auto"/>
              <w:jc w:val="both"/>
              <w:rPr>
                <w:rFonts w:ascii="Book Antiqua" w:hAnsi="Book Antiqua"/>
              </w:rPr>
            </w:pPr>
          </w:p>
        </w:tc>
      </w:tr>
      <w:tr w:rsidR="00681808" w14:paraId="1B5C16C5" w14:textId="77777777">
        <w:tc>
          <w:tcPr>
            <w:tcW w:w="3107" w:type="pct"/>
            <w:noWrap/>
          </w:tcPr>
          <w:p w14:paraId="33084A0F" w14:textId="77777777" w:rsidR="00681808" w:rsidRDefault="002C0647">
            <w:pPr>
              <w:snapToGrid w:val="0"/>
              <w:spacing w:line="360" w:lineRule="auto"/>
              <w:jc w:val="both"/>
              <w:rPr>
                <w:rFonts w:ascii="Book Antiqua" w:hAnsi="Book Antiqua"/>
                <w:bCs/>
              </w:rPr>
            </w:pPr>
            <w:r>
              <w:rPr>
                <w:rFonts w:ascii="Book Antiqua" w:hAnsi="Book Antiqua"/>
                <w:bCs/>
              </w:rPr>
              <w:t>Yes</w:t>
            </w:r>
          </w:p>
        </w:tc>
        <w:tc>
          <w:tcPr>
            <w:tcW w:w="1019" w:type="pct"/>
          </w:tcPr>
          <w:p w14:paraId="600DF285" w14:textId="77777777" w:rsidR="00681808" w:rsidRDefault="002C0647">
            <w:pPr>
              <w:snapToGrid w:val="0"/>
              <w:spacing w:line="360" w:lineRule="auto"/>
              <w:jc w:val="both"/>
              <w:rPr>
                <w:rFonts w:ascii="Book Antiqua" w:hAnsi="Book Antiqua"/>
              </w:rPr>
            </w:pPr>
            <w:r>
              <w:rPr>
                <w:rFonts w:ascii="Book Antiqua" w:hAnsi="Book Antiqua"/>
              </w:rPr>
              <w:t>6</w:t>
            </w:r>
          </w:p>
        </w:tc>
        <w:tc>
          <w:tcPr>
            <w:tcW w:w="874" w:type="pct"/>
          </w:tcPr>
          <w:p w14:paraId="121DC6B0" w14:textId="77777777" w:rsidR="00681808" w:rsidRDefault="002C0647">
            <w:pPr>
              <w:snapToGrid w:val="0"/>
              <w:spacing w:line="360" w:lineRule="auto"/>
              <w:jc w:val="both"/>
              <w:rPr>
                <w:rFonts w:ascii="Book Antiqua" w:hAnsi="Book Antiqua"/>
              </w:rPr>
            </w:pPr>
            <w:r>
              <w:rPr>
                <w:rFonts w:ascii="Book Antiqua" w:hAnsi="Book Antiqua"/>
              </w:rPr>
              <w:t>15.4</w:t>
            </w:r>
          </w:p>
        </w:tc>
      </w:tr>
      <w:tr w:rsidR="00681808" w14:paraId="2E52E067" w14:textId="77777777">
        <w:tc>
          <w:tcPr>
            <w:tcW w:w="3107" w:type="pct"/>
            <w:noWrap/>
          </w:tcPr>
          <w:p w14:paraId="36E24C53" w14:textId="77777777" w:rsidR="00681808" w:rsidRDefault="002C0647">
            <w:pPr>
              <w:snapToGrid w:val="0"/>
              <w:spacing w:line="360" w:lineRule="auto"/>
              <w:jc w:val="both"/>
              <w:rPr>
                <w:rFonts w:ascii="Book Antiqua" w:hAnsi="Book Antiqua"/>
                <w:bCs/>
              </w:rPr>
            </w:pPr>
            <w:r>
              <w:rPr>
                <w:rFonts w:ascii="Book Antiqua" w:hAnsi="Book Antiqua"/>
                <w:bCs/>
              </w:rPr>
              <w:t>No</w:t>
            </w:r>
          </w:p>
        </w:tc>
        <w:tc>
          <w:tcPr>
            <w:tcW w:w="1019" w:type="pct"/>
          </w:tcPr>
          <w:p w14:paraId="2296CDF1" w14:textId="77777777" w:rsidR="00681808" w:rsidRDefault="002C0647">
            <w:pPr>
              <w:snapToGrid w:val="0"/>
              <w:spacing w:line="360" w:lineRule="auto"/>
              <w:jc w:val="both"/>
              <w:rPr>
                <w:rFonts w:ascii="Book Antiqua" w:hAnsi="Book Antiqua"/>
              </w:rPr>
            </w:pPr>
            <w:r>
              <w:rPr>
                <w:rFonts w:ascii="Book Antiqua" w:hAnsi="Book Antiqua"/>
              </w:rPr>
              <w:t>33</w:t>
            </w:r>
          </w:p>
        </w:tc>
        <w:tc>
          <w:tcPr>
            <w:tcW w:w="874" w:type="pct"/>
          </w:tcPr>
          <w:p w14:paraId="0E675C76" w14:textId="77777777" w:rsidR="00681808" w:rsidRDefault="002C0647">
            <w:pPr>
              <w:snapToGrid w:val="0"/>
              <w:spacing w:line="360" w:lineRule="auto"/>
              <w:jc w:val="both"/>
              <w:rPr>
                <w:rFonts w:ascii="Book Antiqua" w:hAnsi="Book Antiqua"/>
              </w:rPr>
            </w:pPr>
            <w:r>
              <w:rPr>
                <w:rFonts w:ascii="Book Antiqua" w:hAnsi="Book Antiqua"/>
              </w:rPr>
              <w:t>84.6</w:t>
            </w:r>
          </w:p>
        </w:tc>
      </w:tr>
      <w:tr w:rsidR="00681808" w14:paraId="375EEC78" w14:textId="77777777">
        <w:tc>
          <w:tcPr>
            <w:tcW w:w="3107" w:type="pct"/>
            <w:noWrap/>
          </w:tcPr>
          <w:p w14:paraId="3C779879" w14:textId="77777777" w:rsidR="00681808" w:rsidRDefault="002C0647">
            <w:pPr>
              <w:snapToGrid w:val="0"/>
              <w:spacing w:line="360" w:lineRule="auto"/>
              <w:jc w:val="both"/>
              <w:rPr>
                <w:rFonts w:ascii="Book Antiqua" w:hAnsi="Book Antiqua"/>
                <w:bCs/>
              </w:rPr>
            </w:pPr>
            <w:r>
              <w:rPr>
                <w:rFonts w:ascii="Book Antiqua" w:hAnsi="Book Antiqua"/>
                <w:bCs/>
              </w:rPr>
              <w:t>Duration of liver transplantation</w:t>
            </w:r>
          </w:p>
        </w:tc>
        <w:tc>
          <w:tcPr>
            <w:tcW w:w="1019" w:type="pct"/>
          </w:tcPr>
          <w:p w14:paraId="5321379E" w14:textId="77777777" w:rsidR="00681808" w:rsidRDefault="00681808">
            <w:pPr>
              <w:snapToGrid w:val="0"/>
              <w:spacing w:line="360" w:lineRule="auto"/>
              <w:jc w:val="both"/>
              <w:rPr>
                <w:rFonts w:ascii="Book Antiqua" w:hAnsi="Book Antiqua"/>
              </w:rPr>
            </w:pPr>
          </w:p>
        </w:tc>
        <w:tc>
          <w:tcPr>
            <w:tcW w:w="874" w:type="pct"/>
          </w:tcPr>
          <w:p w14:paraId="3C5F8430" w14:textId="77777777" w:rsidR="00681808" w:rsidRDefault="00681808">
            <w:pPr>
              <w:snapToGrid w:val="0"/>
              <w:spacing w:line="360" w:lineRule="auto"/>
              <w:jc w:val="both"/>
              <w:rPr>
                <w:rFonts w:ascii="Book Antiqua" w:hAnsi="Book Antiqua"/>
              </w:rPr>
            </w:pPr>
          </w:p>
        </w:tc>
      </w:tr>
      <w:tr w:rsidR="00681808" w14:paraId="42451F0C" w14:textId="77777777">
        <w:tc>
          <w:tcPr>
            <w:tcW w:w="3107" w:type="pct"/>
            <w:noWrap/>
          </w:tcPr>
          <w:p w14:paraId="4FA298ED" w14:textId="77777777" w:rsidR="00681808" w:rsidRDefault="002C0647">
            <w:pPr>
              <w:snapToGrid w:val="0"/>
              <w:spacing w:line="360" w:lineRule="auto"/>
              <w:jc w:val="both"/>
              <w:rPr>
                <w:rFonts w:ascii="Book Antiqua" w:hAnsi="Book Antiqua"/>
                <w:bCs/>
              </w:rPr>
            </w:pPr>
            <w:r>
              <w:rPr>
                <w:rFonts w:ascii="Book Antiqua" w:hAnsi="Book Antiqua"/>
                <w:bCs/>
              </w:rPr>
              <w:t xml:space="preserve"> &lt; 1 </w:t>
            </w:r>
            <w:proofErr w:type="spellStart"/>
            <w:r>
              <w:rPr>
                <w:rFonts w:ascii="Book Antiqua" w:hAnsi="Book Antiqua"/>
                <w:bCs/>
              </w:rPr>
              <w:t>yr</w:t>
            </w:r>
            <w:proofErr w:type="spellEnd"/>
          </w:p>
        </w:tc>
        <w:tc>
          <w:tcPr>
            <w:tcW w:w="1019" w:type="pct"/>
          </w:tcPr>
          <w:p w14:paraId="2BD19411" w14:textId="77777777" w:rsidR="00681808" w:rsidRDefault="002C0647">
            <w:pPr>
              <w:snapToGrid w:val="0"/>
              <w:spacing w:line="360" w:lineRule="auto"/>
              <w:jc w:val="both"/>
              <w:rPr>
                <w:rFonts w:ascii="Book Antiqua" w:hAnsi="Book Antiqua"/>
              </w:rPr>
            </w:pPr>
            <w:r>
              <w:rPr>
                <w:rFonts w:ascii="Book Antiqua" w:hAnsi="Book Antiqua"/>
              </w:rPr>
              <w:t>3</w:t>
            </w:r>
          </w:p>
        </w:tc>
        <w:tc>
          <w:tcPr>
            <w:tcW w:w="874" w:type="pct"/>
          </w:tcPr>
          <w:p w14:paraId="222A0D18" w14:textId="77777777" w:rsidR="00681808" w:rsidRDefault="002C0647">
            <w:pPr>
              <w:snapToGrid w:val="0"/>
              <w:spacing w:line="360" w:lineRule="auto"/>
              <w:jc w:val="both"/>
              <w:rPr>
                <w:rFonts w:ascii="Book Antiqua" w:hAnsi="Book Antiqua"/>
              </w:rPr>
            </w:pPr>
            <w:r>
              <w:rPr>
                <w:rFonts w:ascii="Book Antiqua" w:hAnsi="Book Antiqua"/>
              </w:rPr>
              <w:t>7.7</w:t>
            </w:r>
          </w:p>
        </w:tc>
      </w:tr>
      <w:tr w:rsidR="00681808" w14:paraId="5DCCA890" w14:textId="77777777">
        <w:tc>
          <w:tcPr>
            <w:tcW w:w="3107" w:type="pct"/>
            <w:noWrap/>
          </w:tcPr>
          <w:p w14:paraId="70C4D437" w14:textId="77777777" w:rsidR="00681808" w:rsidRDefault="002C0647">
            <w:pPr>
              <w:snapToGrid w:val="0"/>
              <w:spacing w:line="360" w:lineRule="auto"/>
              <w:jc w:val="both"/>
              <w:rPr>
                <w:rFonts w:ascii="Book Antiqua" w:hAnsi="Book Antiqua"/>
                <w:bCs/>
              </w:rPr>
            </w:pPr>
            <w:r>
              <w:rPr>
                <w:rFonts w:ascii="Book Antiqua" w:hAnsi="Book Antiqua"/>
                <w:bCs/>
              </w:rPr>
              <w:t xml:space="preserve">1 to &lt; 5 </w:t>
            </w:r>
            <w:proofErr w:type="spellStart"/>
            <w:r>
              <w:rPr>
                <w:rFonts w:ascii="Book Antiqua" w:hAnsi="Book Antiqua"/>
                <w:bCs/>
              </w:rPr>
              <w:t>yr</w:t>
            </w:r>
            <w:proofErr w:type="spellEnd"/>
          </w:p>
        </w:tc>
        <w:tc>
          <w:tcPr>
            <w:tcW w:w="1019" w:type="pct"/>
          </w:tcPr>
          <w:p w14:paraId="4A0E3F69" w14:textId="77777777" w:rsidR="00681808" w:rsidRDefault="002C0647">
            <w:pPr>
              <w:snapToGrid w:val="0"/>
              <w:spacing w:line="360" w:lineRule="auto"/>
              <w:jc w:val="both"/>
              <w:rPr>
                <w:rFonts w:ascii="Book Antiqua" w:hAnsi="Book Antiqua"/>
              </w:rPr>
            </w:pPr>
            <w:r>
              <w:rPr>
                <w:rFonts w:ascii="Book Antiqua" w:hAnsi="Book Antiqua"/>
              </w:rPr>
              <w:t>13</w:t>
            </w:r>
          </w:p>
        </w:tc>
        <w:tc>
          <w:tcPr>
            <w:tcW w:w="874" w:type="pct"/>
          </w:tcPr>
          <w:p w14:paraId="1FA37BAF" w14:textId="77777777" w:rsidR="00681808" w:rsidRDefault="002C0647">
            <w:pPr>
              <w:snapToGrid w:val="0"/>
              <w:spacing w:line="360" w:lineRule="auto"/>
              <w:jc w:val="both"/>
              <w:rPr>
                <w:rFonts w:ascii="Book Antiqua" w:hAnsi="Book Antiqua"/>
              </w:rPr>
            </w:pPr>
            <w:r>
              <w:rPr>
                <w:rFonts w:ascii="Book Antiqua" w:hAnsi="Book Antiqua"/>
              </w:rPr>
              <w:t>33.3</w:t>
            </w:r>
          </w:p>
        </w:tc>
      </w:tr>
      <w:tr w:rsidR="00681808" w14:paraId="1A356EF0" w14:textId="77777777">
        <w:tc>
          <w:tcPr>
            <w:tcW w:w="3107" w:type="pct"/>
            <w:noWrap/>
          </w:tcPr>
          <w:p w14:paraId="0F6B7ACD" w14:textId="77777777" w:rsidR="00681808" w:rsidRDefault="002C0647">
            <w:pPr>
              <w:snapToGrid w:val="0"/>
              <w:spacing w:line="360" w:lineRule="auto"/>
              <w:jc w:val="both"/>
              <w:rPr>
                <w:rFonts w:ascii="Book Antiqua" w:hAnsi="Book Antiqua"/>
                <w:bCs/>
              </w:rPr>
            </w:pPr>
            <w:r>
              <w:rPr>
                <w:rFonts w:ascii="Book Antiqua" w:hAnsi="Book Antiqua"/>
                <w:bCs/>
              </w:rPr>
              <w:t xml:space="preserve">5 to </w:t>
            </w:r>
            <w:r>
              <w:rPr>
                <w:rFonts w:ascii="Book Antiqua" w:hAnsi="Book Antiqua"/>
                <w:bCs/>
              </w:rPr>
              <w:sym w:font="Symbol" w:char="F0A3"/>
            </w:r>
            <w:r>
              <w:rPr>
                <w:rFonts w:ascii="Book Antiqua" w:hAnsi="Book Antiqua"/>
                <w:bCs/>
              </w:rPr>
              <w:t xml:space="preserve"> 10 </w:t>
            </w:r>
            <w:proofErr w:type="spellStart"/>
            <w:r>
              <w:rPr>
                <w:rFonts w:ascii="Book Antiqua" w:hAnsi="Book Antiqua"/>
                <w:bCs/>
              </w:rPr>
              <w:t>yr</w:t>
            </w:r>
            <w:proofErr w:type="spellEnd"/>
          </w:p>
        </w:tc>
        <w:tc>
          <w:tcPr>
            <w:tcW w:w="1019" w:type="pct"/>
          </w:tcPr>
          <w:p w14:paraId="2952BFD3" w14:textId="77777777" w:rsidR="00681808" w:rsidRDefault="002C0647">
            <w:pPr>
              <w:snapToGrid w:val="0"/>
              <w:spacing w:line="360" w:lineRule="auto"/>
              <w:jc w:val="both"/>
              <w:rPr>
                <w:rFonts w:ascii="Book Antiqua" w:hAnsi="Book Antiqua"/>
              </w:rPr>
            </w:pPr>
            <w:r>
              <w:rPr>
                <w:rFonts w:ascii="Book Antiqua" w:hAnsi="Book Antiqua"/>
              </w:rPr>
              <w:t>12</w:t>
            </w:r>
          </w:p>
        </w:tc>
        <w:tc>
          <w:tcPr>
            <w:tcW w:w="874" w:type="pct"/>
          </w:tcPr>
          <w:p w14:paraId="6695C1B7" w14:textId="77777777" w:rsidR="00681808" w:rsidRDefault="002C0647">
            <w:pPr>
              <w:snapToGrid w:val="0"/>
              <w:spacing w:line="360" w:lineRule="auto"/>
              <w:jc w:val="both"/>
              <w:rPr>
                <w:rFonts w:ascii="Book Antiqua" w:hAnsi="Book Antiqua"/>
              </w:rPr>
            </w:pPr>
            <w:r>
              <w:rPr>
                <w:rFonts w:ascii="Book Antiqua" w:hAnsi="Book Antiqua"/>
              </w:rPr>
              <w:t>30.8</w:t>
            </w:r>
          </w:p>
        </w:tc>
      </w:tr>
      <w:tr w:rsidR="00681808" w14:paraId="4782C8D6" w14:textId="77777777">
        <w:tc>
          <w:tcPr>
            <w:tcW w:w="3107" w:type="pct"/>
            <w:noWrap/>
          </w:tcPr>
          <w:p w14:paraId="0EED9E6B" w14:textId="77777777" w:rsidR="00681808" w:rsidRDefault="002C0647">
            <w:pPr>
              <w:snapToGrid w:val="0"/>
              <w:spacing w:line="360" w:lineRule="auto"/>
              <w:jc w:val="both"/>
              <w:rPr>
                <w:rFonts w:ascii="Book Antiqua" w:hAnsi="Book Antiqua"/>
                <w:bCs/>
              </w:rPr>
            </w:pPr>
            <w:r>
              <w:rPr>
                <w:rFonts w:ascii="Book Antiqua" w:hAnsi="Book Antiqua"/>
                <w:bCs/>
              </w:rPr>
              <w:t xml:space="preserve">&gt; 10 </w:t>
            </w:r>
            <w:proofErr w:type="spellStart"/>
            <w:r>
              <w:rPr>
                <w:rFonts w:ascii="Book Antiqua" w:hAnsi="Book Antiqua"/>
                <w:bCs/>
              </w:rPr>
              <w:t>yr</w:t>
            </w:r>
            <w:proofErr w:type="spellEnd"/>
            <w:r>
              <w:rPr>
                <w:rFonts w:ascii="Book Antiqua" w:hAnsi="Book Antiqua"/>
                <w:bCs/>
              </w:rPr>
              <w:t xml:space="preserve"> </w:t>
            </w:r>
          </w:p>
        </w:tc>
        <w:tc>
          <w:tcPr>
            <w:tcW w:w="1019" w:type="pct"/>
          </w:tcPr>
          <w:p w14:paraId="4CE32F4F" w14:textId="77777777" w:rsidR="00681808" w:rsidRDefault="002C0647">
            <w:pPr>
              <w:snapToGrid w:val="0"/>
              <w:spacing w:line="360" w:lineRule="auto"/>
              <w:jc w:val="both"/>
              <w:rPr>
                <w:rFonts w:ascii="Book Antiqua" w:hAnsi="Book Antiqua"/>
              </w:rPr>
            </w:pPr>
            <w:r>
              <w:rPr>
                <w:rFonts w:ascii="Book Antiqua" w:hAnsi="Book Antiqua"/>
              </w:rPr>
              <w:t>11</w:t>
            </w:r>
          </w:p>
        </w:tc>
        <w:tc>
          <w:tcPr>
            <w:tcW w:w="874" w:type="pct"/>
          </w:tcPr>
          <w:p w14:paraId="429ACBA1" w14:textId="77777777" w:rsidR="00681808" w:rsidRDefault="002C0647">
            <w:pPr>
              <w:snapToGrid w:val="0"/>
              <w:spacing w:line="360" w:lineRule="auto"/>
              <w:jc w:val="both"/>
              <w:rPr>
                <w:rFonts w:ascii="Book Antiqua" w:hAnsi="Book Antiqua"/>
              </w:rPr>
            </w:pPr>
            <w:r>
              <w:rPr>
                <w:rFonts w:ascii="Book Antiqua" w:hAnsi="Book Antiqua"/>
              </w:rPr>
              <w:t>28.2</w:t>
            </w:r>
          </w:p>
        </w:tc>
      </w:tr>
      <w:tr w:rsidR="00681808" w14:paraId="2B2C8DA9" w14:textId="77777777">
        <w:tc>
          <w:tcPr>
            <w:tcW w:w="3107" w:type="pct"/>
            <w:noWrap/>
          </w:tcPr>
          <w:p w14:paraId="7F5FA26A" w14:textId="77777777" w:rsidR="00681808" w:rsidRDefault="002C0647">
            <w:pPr>
              <w:snapToGrid w:val="0"/>
              <w:spacing w:line="360" w:lineRule="auto"/>
              <w:jc w:val="both"/>
              <w:rPr>
                <w:rFonts w:ascii="Book Antiqua" w:hAnsi="Book Antiqua"/>
                <w:bCs/>
              </w:rPr>
            </w:pPr>
            <w:r>
              <w:rPr>
                <w:rFonts w:ascii="Book Antiqua" w:hAnsi="Book Antiqua"/>
                <w:bCs/>
              </w:rPr>
              <w:lastRenderedPageBreak/>
              <w:t xml:space="preserve">Etiology of end-stage liver disease prior to liver transplantation </w:t>
            </w:r>
          </w:p>
        </w:tc>
        <w:tc>
          <w:tcPr>
            <w:tcW w:w="1019" w:type="pct"/>
          </w:tcPr>
          <w:p w14:paraId="12E6B333" w14:textId="77777777" w:rsidR="00681808" w:rsidRDefault="00681808">
            <w:pPr>
              <w:snapToGrid w:val="0"/>
              <w:spacing w:line="360" w:lineRule="auto"/>
              <w:jc w:val="both"/>
              <w:rPr>
                <w:rFonts w:ascii="Book Antiqua" w:hAnsi="Book Antiqua"/>
              </w:rPr>
            </w:pPr>
          </w:p>
        </w:tc>
        <w:tc>
          <w:tcPr>
            <w:tcW w:w="874" w:type="pct"/>
          </w:tcPr>
          <w:p w14:paraId="37755437" w14:textId="77777777" w:rsidR="00681808" w:rsidRDefault="00681808">
            <w:pPr>
              <w:snapToGrid w:val="0"/>
              <w:spacing w:line="360" w:lineRule="auto"/>
              <w:jc w:val="both"/>
              <w:rPr>
                <w:rFonts w:ascii="Book Antiqua" w:hAnsi="Book Antiqua"/>
              </w:rPr>
            </w:pPr>
          </w:p>
        </w:tc>
      </w:tr>
      <w:tr w:rsidR="00681808" w14:paraId="00F20268" w14:textId="77777777">
        <w:tc>
          <w:tcPr>
            <w:tcW w:w="3107" w:type="pct"/>
            <w:noWrap/>
          </w:tcPr>
          <w:p w14:paraId="67435167" w14:textId="77777777" w:rsidR="00681808" w:rsidRDefault="002C0647">
            <w:pPr>
              <w:snapToGrid w:val="0"/>
              <w:spacing w:line="360" w:lineRule="auto"/>
              <w:jc w:val="both"/>
              <w:rPr>
                <w:rFonts w:ascii="Book Antiqua" w:hAnsi="Book Antiqua"/>
              </w:rPr>
            </w:pPr>
            <w:r>
              <w:rPr>
                <w:rFonts w:ascii="Book Antiqua" w:hAnsi="Book Antiqua"/>
              </w:rPr>
              <w:t>Alcohol use</w:t>
            </w:r>
          </w:p>
        </w:tc>
        <w:tc>
          <w:tcPr>
            <w:tcW w:w="1019" w:type="pct"/>
          </w:tcPr>
          <w:p w14:paraId="1C96C16C" w14:textId="77777777" w:rsidR="00681808" w:rsidRDefault="002C0647">
            <w:pPr>
              <w:snapToGrid w:val="0"/>
              <w:spacing w:line="360" w:lineRule="auto"/>
              <w:jc w:val="both"/>
              <w:rPr>
                <w:rFonts w:ascii="Book Antiqua" w:hAnsi="Book Antiqua"/>
              </w:rPr>
            </w:pPr>
            <w:r>
              <w:rPr>
                <w:rFonts w:ascii="Book Antiqua" w:hAnsi="Book Antiqua"/>
              </w:rPr>
              <w:t>7</w:t>
            </w:r>
          </w:p>
        </w:tc>
        <w:tc>
          <w:tcPr>
            <w:tcW w:w="874" w:type="pct"/>
          </w:tcPr>
          <w:p w14:paraId="5E872061" w14:textId="77777777" w:rsidR="00681808" w:rsidRDefault="002C0647">
            <w:pPr>
              <w:snapToGrid w:val="0"/>
              <w:spacing w:line="360" w:lineRule="auto"/>
              <w:jc w:val="both"/>
              <w:rPr>
                <w:rFonts w:ascii="Book Antiqua" w:hAnsi="Book Antiqua"/>
              </w:rPr>
            </w:pPr>
            <w:r>
              <w:rPr>
                <w:rFonts w:ascii="Book Antiqua" w:hAnsi="Book Antiqua"/>
              </w:rPr>
              <w:t>17.9</w:t>
            </w:r>
          </w:p>
        </w:tc>
      </w:tr>
      <w:tr w:rsidR="00681808" w14:paraId="57B617EB" w14:textId="77777777">
        <w:tc>
          <w:tcPr>
            <w:tcW w:w="3107" w:type="pct"/>
            <w:noWrap/>
          </w:tcPr>
          <w:p w14:paraId="5F53091A" w14:textId="77777777" w:rsidR="00681808" w:rsidRDefault="002C0647">
            <w:pPr>
              <w:snapToGrid w:val="0"/>
              <w:spacing w:line="360" w:lineRule="auto"/>
              <w:jc w:val="both"/>
              <w:rPr>
                <w:rFonts w:ascii="Book Antiqua" w:hAnsi="Book Antiqua"/>
              </w:rPr>
            </w:pPr>
            <w:r>
              <w:rPr>
                <w:rFonts w:ascii="Book Antiqua" w:hAnsi="Book Antiqua"/>
              </w:rPr>
              <w:t>Chronic hepatitis C infection</w:t>
            </w:r>
          </w:p>
        </w:tc>
        <w:tc>
          <w:tcPr>
            <w:tcW w:w="1019" w:type="pct"/>
          </w:tcPr>
          <w:p w14:paraId="0F910291" w14:textId="77777777" w:rsidR="00681808" w:rsidRDefault="002C0647">
            <w:pPr>
              <w:snapToGrid w:val="0"/>
              <w:spacing w:line="360" w:lineRule="auto"/>
              <w:jc w:val="both"/>
              <w:rPr>
                <w:rFonts w:ascii="Book Antiqua" w:hAnsi="Book Antiqua"/>
              </w:rPr>
            </w:pPr>
            <w:r>
              <w:rPr>
                <w:rFonts w:ascii="Book Antiqua" w:hAnsi="Book Antiqua"/>
              </w:rPr>
              <w:t>8</w:t>
            </w:r>
          </w:p>
        </w:tc>
        <w:tc>
          <w:tcPr>
            <w:tcW w:w="874" w:type="pct"/>
          </w:tcPr>
          <w:p w14:paraId="491C24A1" w14:textId="77777777" w:rsidR="00681808" w:rsidRDefault="002C0647">
            <w:pPr>
              <w:snapToGrid w:val="0"/>
              <w:spacing w:line="360" w:lineRule="auto"/>
              <w:jc w:val="both"/>
              <w:rPr>
                <w:rFonts w:ascii="Book Antiqua" w:hAnsi="Book Antiqua"/>
              </w:rPr>
            </w:pPr>
            <w:r>
              <w:rPr>
                <w:rFonts w:ascii="Book Antiqua" w:hAnsi="Book Antiqua"/>
              </w:rPr>
              <w:t>20.5</w:t>
            </w:r>
          </w:p>
        </w:tc>
      </w:tr>
      <w:tr w:rsidR="00681808" w14:paraId="20A85C61" w14:textId="77777777">
        <w:tc>
          <w:tcPr>
            <w:tcW w:w="3107" w:type="pct"/>
            <w:noWrap/>
          </w:tcPr>
          <w:p w14:paraId="7FC06DA1" w14:textId="77777777" w:rsidR="00681808" w:rsidRDefault="002C0647">
            <w:pPr>
              <w:snapToGrid w:val="0"/>
              <w:spacing w:line="360" w:lineRule="auto"/>
              <w:jc w:val="both"/>
              <w:rPr>
                <w:rFonts w:ascii="Book Antiqua" w:hAnsi="Book Antiqua"/>
              </w:rPr>
            </w:pPr>
            <w:r>
              <w:rPr>
                <w:rFonts w:ascii="Book Antiqua" w:hAnsi="Book Antiqua"/>
              </w:rPr>
              <w:t>Nonalcoholic fatty liver disease</w:t>
            </w:r>
          </w:p>
        </w:tc>
        <w:tc>
          <w:tcPr>
            <w:tcW w:w="1019" w:type="pct"/>
          </w:tcPr>
          <w:p w14:paraId="143AC2D6" w14:textId="77777777" w:rsidR="00681808" w:rsidRDefault="002C0647">
            <w:pPr>
              <w:snapToGrid w:val="0"/>
              <w:spacing w:line="360" w:lineRule="auto"/>
              <w:jc w:val="both"/>
              <w:rPr>
                <w:rFonts w:ascii="Book Antiqua" w:hAnsi="Book Antiqua"/>
              </w:rPr>
            </w:pPr>
            <w:r>
              <w:rPr>
                <w:rFonts w:ascii="Book Antiqua" w:hAnsi="Book Antiqua"/>
              </w:rPr>
              <w:t>5</w:t>
            </w:r>
          </w:p>
        </w:tc>
        <w:tc>
          <w:tcPr>
            <w:tcW w:w="874" w:type="pct"/>
          </w:tcPr>
          <w:p w14:paraId="2D513D45" w14:textId="77777777" w:rsidR="00681808" w:rsidRDefault="002C0647">
            <w:pPr>
              <w:snapToGrid w:val="0"/>
              <w:spacing w:line="360" w:lineRule="auto"/>
              <w:jc w:val="both"/>
              <w:rPr>
                <w:rFonts w:ascii="Book Antiqua" w:hAnsi="Book Antiqua"/>
              </w:rPr>
            </w:pPr>
            <w:r>
              <w:rPr>
                <w:rFonts w:ascii="Book Antiqua" w:hAnsi="Book Antiqua"/>
              </w:rPr>
              <w:t>12.8</w:t>
            </w:r>
          </w:p>
        </w:tc>
      </w:tr>
      <w:tr w:rsidR="00681808" w14:paraId="51B39006" w14:textId="77777777">
        <w:tc>
          <w:tcPr>
            <w:tcW w:w="3107" w:type="pct"/>
            <w:noWrap/>
          </w:tcPr>
          <w:p w14:paraId="75ECC6AF" w14:textId="77777777" w:rsidR="00681808" w:rsidRDefault="002C0647">
            <w:pPr>
              <w:snapToGrid w:val="0"/>
              <w:spacing w:line="360" w:lineRule="auto"/>
              <w:jc w:val="both"/>
              <w:rPr>
                <w:rFonts w:ascii="Book Antiqua" w:hAnsi="Book Antiqua"/>
              </w:rPr>
            </w:pPr>
            <w:r>
              <w:rPr>
                <w:rFonts w:ascii="Book Antiqua" w:hAnsi="Book Antiqua"/>
              </w:rPr>
              <w:t>Primary sclerosing cholangitis</w:t>
            </w:r>
          </w:p>
        </w:tc>
        <w:tc>
          <w:tcPr>
            <w:tcW w:w="1019" w:type="pct"/>
          </w:tcPr>
          <w:p w14:paraId="178F126D" w14:textId="77777777" w:rsidR="00681808" w:rsidRDefault="002C0647">
            <w:pPr>
              <w:snapToGrid w:val="0"/>
              <w:spacing w:line="360" w:lineRule="auto"/>
              <w:jc w:val="both"/>
              <w:rPr>
                <w:rFonts w:ascii="Book Antiqua" w:hAnsi="Book Antiqua"/>
              </w:rPr>
            </w:pPr>
            <w:r>
              <w:rPr>
                <w:rFonts w:ascii="Book Antiqua" w:hAnsi="Book Antiqua"/>
              </w:rPr>
              <w:t>4</w:t>
            </w:r>
          </w:p>
        </w:tc>
        <w:tc>
          <w:tcPr>
            <w:tcW w:w="874" w:type="pct"/>
          </w:tcPr>
          <w:p w14:paraId="66C293F8" w14:textId="77777777" w:rsidR="00681808" w:rsidRDefault="002C0647">
            <w:pPr>
              <w:snapToGrid w:val="0"/>
              <w:spacing w:line="360" w:lineRule="auto"/>
              <w:jc w:val="both"/>
              <w:rPr>
                <w:rFonts w:ascii="Book Antiqua" w:hAnsi="Book Antiqua"/>
              </w:rPr>
            </w:pPr>
            <w:r>
              <w:rPr>
                <w:rFonts w:ascii="Book Antiqua" w:hAnsi="Book Antiqua"/>
              </w:rPr>
              <w:t>10.3</w:t>
            </w:r>
          </w:p>
        </w:tc>
      </w:tr>
      <w:tr w:rsidR="00681808" w14:paraId="1235347A" w14:textId="77777777">
        <w:tc>
          <w:tcPr>
            <w:tcW w:w="3107" w:type="pct"/>
            <w:noWrap/>
          </w:tcPr>
          <w:p w14:paraId="70A9047A" w14:textId="77777777" w:rsidR="00681808" w:rsidRDefault="002C0647">
            <w:pPr>
              <w:snapToGrid w:val="0"/>
              <w:spacing w:line="360" w:lineRule="auto"/>
              <w:jc w:val="both"/>
              <w:rPr>
                <w:rFonts w:ascii="Book Antiqua" w:hAnsi="Book Antiqua"/>
              </w:rPr>
            </w:pPr>
            <w:r>
              <w:rPr>
                <w:rFonts w:ascii="Book Antiqua" w:hAnsi="Book Antiqua"/>
              </w:rPr>
              <w:t>Other</w:t>
            </w:r>
          </w:p>
        </w:tc>
        <w:tc>
          <w:tcPr>
            <w:tcW w:w="1019" w:type="pct"/>
          </w:tcPr>
          <w:p w14:paraId="1F1DB568" w14:textId="77777777" w:rsidR="00681808" w:rsidRDefault="002C0647">
            <w:pPr>
              <w:snapToGrid w:val="0"/>
              <w:spacing w:line="360" w:lineRule="auto"/>
              <w:jc w:val="both"/>
              <w:rPr>
                <w:rFonts w:ascii="Book Antiqua" w:hAnsi="Book Antiqua"/>
              </w:rPr>
            </w:pPr>
            <w:r>
              <w:rPr>
                <w:rFonts w:ascii="Book Antiqua" w:hAnsi="Book Antiqua"/>
              </w:rPr>
              <w:t>15</w:t>
            </w:r>
          </w:p>
        </w:tc>
        <w:tc>
          <w:tcPr>
            <w:tcW w:w="874" w:type="pct"/>
          </w:tcPr>
          <w:p w14:paraId="51C51EA3" w14:textId="77777777" w:rsidR="00681808" w:rsidRDefault="002C0647">
            <w:pPr>
              <w:snapToGrid w:val="0"/>
              <w:spacing w:line="360" w:lineRule="auto"/>
              <w:jc w:val="both"/>
              <w:rPr>
                <w:rFonts w:ascii="Book Antiqua" w:hAnsi="Book Antiqua"/>
              </w:rPr>
            </w:pPr>
            <w:r>
              <w:rPr>
                <w:rFonts w:ascii="Book Antiqua" w:hAnsi="Book Antiqua"/>
              </w:rPr>
              <w:t>38.5</w:t>
            </w:r>
          </w:p>
        </w:tc>
      </w:tr>
      <w:tr w:rsidR="00681808" w14:paraId="6BD202BB" w14:textId="77777777">
        <w:tc>
          <w:tcPr>
            <w:tcW w:w="3107" w:type="pct"/>
            <w:noWrap/>
          </w:tcPr>
          <w:p w14:paraId="1E2AD6F5" w14:textId="77777777" w:rsidR="00681808" w:rsidRDefault="002C0647">
            <w:pPr>
              <w:snapToGrid w:val="0"/>
              <w:spacing w:line="360" w:lineRule="auto"/>
              <w:jc w:val="both"/>
              <w:rPr>
                <w:rFonts w:ascii="Book Antiqua" w:hAnsi="Book Antiqua"/>
              </w:rPr>
            </w:pPr>
            <w:r>
              <w:rPr>
                <w:rFonts w:ascii="Book Antiqua" w:hAnsi="Book Antiqua"/>
              </w:rPr>
              <w:t>Current status of liver transplant</w:t>
            </w:r>
          </w:p>
        </w:tc>
        <w:tc>
          <w:tcPr>
            <w:tcW w:w="1019" w:type="pct"/>
          </w:tcPr>
          <w:p w14:paraId="6C85360A" w14:textId="77777777" w:rsidR="00681808" w:rsidRDefault="00681808">
            <w:pPr>
              <w:snapToGrid w:val="0"/>
              <w:spacing w:line="360" w:lineRule="auto"/>
              <w:jc w:val="both"/>
              <w:rPr>
                <w:rFonts w:ascii="Book Antiqua" w:hAnsi="Book Antiqua"/>
              </w:rPr>
            </w:pPr>
          </w:p>
        </w:tc>
        <w:tc>
          <w:tcPr>
            <w:tcW w:w="874" w:type="pct"/>
          </w:tcPr>
          <w:p w14:paraId="4D7710F2" w14:textId="77777777" w:rsidR="00681808" w:rsidRDefault="00681808">
            <w:pPr>
              <w:snapToGrid w:val="0"/>
              <w:spacing w:line="360" w:lineRule="auto"/>
              <w:jc w:val="both"/>
              <w:rPr>
                <w:rFonts w:ascii="Book Antiqua" w:hAnsi="Book Antiqua"/>
              </w:rPr>
            </w:pPr>
          </w:p>
        </w:tc>
      </w:tr>
      <w:tr w:rsidR="00681808" w14:paraId="6A7B533C" w14:textId="77777777">
        <w:tc>
          <w:tcPr>
            <w:tcW w:w="3107" w:type="pct"/>
            <w:noWrap/>
          </w:tcPr>
          <w:p w14:paraId="72BFB292" w14:textId="77777777" w:rsidR="00681808" w:rsidRDefault="002C0647">
            <w:pPr>
              <w:snapToGrid w:val="0"/>
              <w:spacing w:line="360" w:lineRule="auto"/>
              <w:jc w:val="both"/>
              <w:rPr>
                <w:rFonts w:ascii="Book Antiqua" w:hAnsi="Book Antiqua"/>
              </w:rPr>
            </w:pPr>
            <w:r>
              <w:rPr>
                <w:rFonts w:ascii="Book Antiqua" w:hAnsi="Book Antiqua"/>
              </w:rPr>
              <w:t>Working</w:t>
            </w:r>
          </w:p>
        </w:tc>
        <w:tc>
          <w:tcPr>
            <w:tcW w:w="1019" w:type="pct"/>
          </w:tcPr>
          <w:p w14:paraId="3F3287F2" w14:textId="77777777" w:rsidR="00681808" w:rsidRDefault="002C0647">
            <w:pPr>
              <w:snapToGrid w:val="0"/>
              <w:spacing w:line="360" w:lineRule="auto"/>
              <w:jc w:val="both"/>
              <w:rPr>
                <w:rFonts w:ascii="Book Antiqua" w:hAnsi="Book Antiqua"/>
              </w:rPr>
            </w:pPr>
            <w:r>
              <w:rPr>
                <w:rFonts w:ascii="Book Antiqua" w:hAnsi="Book Antiqua"/>
              </w:rPr>
              <w:t>33</w:t>
            </w:r>
          </w:p>
        </w:tc>
        <w:tc>
          <w:tcPr>
            <w:tcW w:w="874" w:type="pct"/>
          </w:tcPr>
          <w:p w14:paraId="109620F7" w14:textId="77777777" w:rsidR="00681808" w:rsidRDefault="002C0647">
            <w:pPr>
              <w:snapToGrid w:val="0"/>
              <w:spacing w:line="360" w:lineRule="auto"/>
              <w:jc w:val="both"/>
              <w:rPr>
                <w:rFonts w:ascii="Book Antiqua" w:hAnsi="Book Antiqua"/>
              </w:rPr>
            </w:pPr>
            <w:r>
              <w:rPr>
                <w:rFonts w:ascii="Book Antiqua" w:hAnsi="Book Antiqua"/>
              </w:rPr>
              <w:t>84.6</w:t>
            </w:r>
          </w:p>
        </w:tc>
      </w:tr>
      <w:tr w:rsidR="00681808" w14:paraId="48F03D69" w14:textId="77777777">
        <w:tc>
          <w:tcPr>
            <w:tcW w:w="3107" w:type="pct"/>
            <w:tcBorders>
              <w:bottom w:val="single" w:sz="6" w:space="0" w:color="000000"/>
            </w:tcBorders>
            <w:noWrap/>
          </w:tcPr>
          <w:p w14:paraId="183504C8" w14:textId="77777777" w:rsidR="00681808" w:rsidRDefault="002C0647">
            <w:pPr>
              <w:snapToGrid w:val="0"/>
              <w:spacing w:line="360" w:lineRule="auto"/>
              <w:jc w:val="both"/>
              <w:rPr>
                <w:rFonts w:ascii="Book Antiqua" w:hAnsi="Book Antiqua"/>
              </w:rPr>
            </w:pPr>
            <w:r>
              <w:rPr>
                <w:rFonts w:ascii="Book Antiqua" w:hAnsi="Book Antiqua"/>
              </w:rPr>
              <w:t xml:space="preserve">Failed/cirrhotic </w:t>
            </w:r>
          </w:p>
        </w:tc>
        <w:tc>
          <w:tcPr>
            <w:tcW w:w="1019" w:type="pct"/>
            <w:tcBorders>
              <w:bottom w:val="single" w:sz="6" w:space="0" w:color="000000"/>
            </w:tcBorders>
          </w:tcPr>
          <w:p w14:paraId="45053A48" w14:textId="77777777" w:rsidR="00681808" w:rsidRDefault="002C0647">
            <w:pPr>
              <w:snapToGrid w:val="0"/>
              <w:spacing w:line="360" w:lineRule="auto"/>
              <w:jc w:val="both"/>
              <w:rPr>
                <w:rFonts w:ascii="Book Antiqua" w:hAnsi="Book Antiqua"/>
              </w:rPr>
            </w:pPr>
            <w:r>
              <w:rPr>
                <w:rFonts w:ascii="Book Antiqua" w:hAnsi="Book Antiqua"/>
              </w:rPr>
              <w:t>6</w:t>
            </w:r>
          </w:p>
        </w:tc>
        <w:tc>
          <w:tcPr>
            <w:tcW w:w="874" w:type="pct"/>
            <w:tcBorders>
              <w:bottom w:val="single" w:sz="6" w:space="0" w:color="000000"/>
            </w:tcBorders>
          </w:tcPr>
          <w:p w14:paraId="7499BCE3" w14:textId="77777777" w:rsidR="00681808" w:rsidRDefault="002C0647">
            <w:pPr>
              <w:snapToGrid w:val="0"/>
              <w:spacing w:line="360" w:lineRule="auto"/>
              <w:jc w:val="both"/>
              <w:rPr>
                <w:rFonts w:ascii="Book Antiqua" w:hAnsi="Book Antiqua"/>
              </w:rPr>
            </w:pPr>
            <w:r>
              <w:rPr>
                <w:rFonts w:ascii="Book Antiqua" w:hAnsi="Book Antiqua"/>
              </w:rPr>
              <w:t>15.4</w:t>
            </w:r>
          </w:p>
        </w:tc>
      </w:tr>
    </w:tbl>
    <w:p w14:paraId="4370C32E" w14:textId="77777777" w:rsidR="00681808" w:rsidRDefault="00681808">
      <w:pPr>
        <w:snapToGrid w:val="0"/>
        <w:spacing w:line="360" w:lineRule="auto"/>
        <w:jc w:val="both"/>
        <w:rPr>
          <w:rFonts w:ascii="Book Antiqua" w:hAnsi="Book Antiqua"/>
        </w:rPr>
      </w:pPr>
    </w:p>
    <w:p w14:paraId="57FC93FA" w14:textId="77777777" w:rsidR="00681808" w:rsidRDefault="002C0647">
      <w:pPr>
        <w:snapToGrid w:val="0"/>
        <w:spacing w:line="360" w:lineRule="auto"/>
        <w:jc w:val="both"/>
        <w:rPr>
          <w:rFonts w:ascii="Book Antiqua" w:hAnsi="Book Antiqua"/>
          <w:b/>
          <w:bCs/>
        </w:rPr>
      </w:pPr>
      <w:r>
        <w:rPr>
          <w:rFonts w:ascii="Book Antiqua" w:hAnsi="Book Antiqua"/>
          <w:b/>
          <w:bCs/>
        </w:rPr>
        <w:t>Table 3 Death due to coronavirus disease 2019</w:t>
      </w:r>
    </w:p>
    <w:tbl>
      <w:tblPr>
        <w:tblStyle w:val="a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440"/>
        <w:gridCol w:w="1503"/>
        <w:gridCol w:w="1197"/>
        <w:gridCol w:w="2520"/>
        <w:gridCol w:w="1350"/>
      </w:tblGrid>
      <w:tr w:rsidR="00681808" w14:paraId="1392995F" w14:textId="77777777">
        <w:trPr>
          <w:trHeight w:val="368"/>
        </w:trPr>
        <w:tc>
          <w:tcPr>
            <w:tcW w:w="2070" w:type="dxa"/>
            <w:vMerge w:val="restart"/>
            <w:tcBorders>
              <w:top w:val="single" w:sz="6" w:space="0" w:color="000000"/>
              <w:bottom w:val="single" w:sz="6" w:space="0" w:color="000000"/>
            </w:tcBorders>
          </w:tcPr>
          <w:p w14:paraId="0FC5B69D" w14:textId="77777777" w:rsidR="00681808" w:rsidRDefault="002C0647">
            <w:pPr>
              <w:snapToGrid w:val="0"/>
              <w:spacing w:line="360" w:lineRule="auto"/>
              <w:jc w:val="both"/>
              <w:rPr>
                <w:rFonts w:ascii="Book Antiqua" w:hAnsi="Book Antiqua"/>
                <w:b/>
                <w:bCs/>
              </w:rPr>
            </w:pPr>
            <w:r>
              <w:rPr>
                <w:rFonts w:ascii="Book Antiqua" w:hAnsi="Book Antiqua"/>
                <w:b/>
                <w:bCs/>
              </w:rPr>
              <w:t>Liver transplant recipient</w:t>
            </w:r>
          </w:p>
        </w:tc>
        <w:tc>
          <w:tcPr>
            <w:tcW w:w="2943" w:type="dxa"/>
            <w:gridSpan w:val="2"/>
            <w:tcBorders>
              <w:top w:val="single" w:sz="6" w:space="0" w:color="000000"/>
              <w:bottom w:val="single" w:sz="4" w:space="0" w:color="auto"/>
            </w:tcBorders>
          </w:tcPr>
          <w:p w14:paraId="2EFB61E1" w14:textId="77777777" w:rsidR="00681808" w:rsidRDefault="002C0647">
            <w:pPr>
              <w:snapToGrid w:val="0"/>
              <w:spacing w:line="360" w:lineRule="auto"/>
              <w:jc w:val="both"/>
              <w:rPr>
                <w:rFonts w:ascii="Book Antiqua" w:hAnsi="Book Antiqua"/>
                <w:b/>
                <w:bCs/>
              </w:rPr>
            </w:pPr>
            <w:r>
              <w:rPr>
                <w:rFonts w:ascii="Book Antiqua" w:hAnsi="Book Antiqua"/>
                <w:b/>
                <w:bCs/>
              </w:rPr>
              <w:t>Death due to COVID-19</w:t>
            </w:r>
          </w:p>
        </w:tc>
        <w:tc>
          <w:tcPr>
            <w:tcW w:w="1197" w:type="dxa"/>
            <w:vMerge w:val="restart"/>
            <w:tcBorders>
              <w:top w:val="single" w:sz="6" w:space="0" w:color="000000"/>
              <w:bottom w:val="single" w:sz="6" w:space="0" w:color="000000"/>
            </w:tcBorders>
          </w:tcPr>
          <w:p w14:paraId="7CE6BB18" w14:textId="77777777" w:rsidR="00681808" w:rsidRDefault="00681808">
            <w:pPr>
              <w:snapToGrid w:val="0"/>
              <w:spacing w:line="360" w:lineRule="auto"/>
              <w:jc w:val="both"/>
              <w:rPr>
                <w:rFonts w:ascii="Book Antiqua" w:hAnsi="Book Antiqua"/>
                <w:b/>
                <w:bCs/>
              </w:rPr>
            </w:pPr>
          </w:p>
          <w:p w14:paraId="3AA47710" w14:textId="77777777" w:rsidR="00681808" w:rsidRDefault="002C0647">
            <w:pPr>
              <w:snapToGrid w:val="0"/>
              <w:spacing w:line="360" w:lineRule="auto"/>
              <w:jc w:val="both"/>
              <w:rPr>
                <w:rFonts w:ascii="Book Antiqua" w:hAnsi="Book Antiqua"/>
                <w:b/>
                <w:bCs/>
              </w:rPr>
            </w:pPr>
            <w:r>
              <w:rPr>
                <w:rFonts w:ascii="Book Antiqua" w:hAnsi="Book Antiqua"/>
                <w:b/>
                <w:bCs/>
              </w:rPr>
              <w:t>Total</w:t>
            </w:r>
          </w:p>
        </w:tc>
        <w:tc>
          <w:tcPr>
            <w:tcW w:w="2520" w:type="dxa"/>
            <w:vMerge w:val="restart"/>
            <w:tcBorders>
              <w:top w:val="single" w:sz="6" w:space="0" w:color="000000"/>
              <w:bottom w:val="single" w:sz="6" w:space="0" w:color="000000"/>
            </w:tcBorders>
          </w:tcPr>
          <w:p w14:paraId="527877A7" w14:textId="77777777" w:rsidR="00681808" w:rsidRDefault="002C0647">
            <w:pPr>
              <w:snapToGrid w:val="0"/>
              <w:spacing w:line="360" w:lineRule="auto"/>
              <w:jc w:val="both"/>
              <w:rPr>
                <w:rFonts w:ascii="Book Antiqua" w:hAnsi="Book Antiqua"/>
                <w:b/>
                <w:bCs/>
              </w:rPr>
            </w:pPr>
            <w:r>
              <w:rPr>
                <w:rFonts w:ascii="Book Antiqua" w:hAnsi="Book Antiqua"/>
                <w:b/>
                <w:bCs/>
              </w:rPr>
              <w:t>Odds ratio with 95% confidence interval</w:t>
            </w:r>
          </w:p>
        </w:tc>
        <w:tc>
          <w:tcPr>
            <w:tcW w:w="1350" w:type="dxa"/>
            <w:vMerge w:val="restart"/>
            <w:tcBorders>
              <w:top w:val="single" w:sz="6" w:space="0" w:color="000000"/>
              <w:bottom w:val="single" w:sz="6" w:space="0" w:color="000000"/>
            </w:tcBorders>
          </w:tcPr>
          <w:p w14:paraId="72932F83" w14:textId="77777777" w:rsidR="00681808" w:rsidRDefault="002C0647">
            <w:pPr>
              <w:snapToGrid w:val="0"/>
              <w:spacing w:line="360" w:lineRule="auto"/>
              <w:jc w:val="both"/>
              <w:rPr>
                <w:rFonts w:ascii="Book Antiqua" w:hAnsi="Book Antiqua"/>
                <w:b/>
                <w:bCs/>
              </w:rPr>
            </w:pPr>
            <w:r>
              <w:rPr>
                <w:rFonts w:ascii="Book Antiqua" w:hAnsi="Book Antiqua"/>
                <w:b/>
                <w:bCs/>
              </w:rPr>
              <w:t xml:space="preserve">Two-sided </w:t>
            </w:r>
            <w:r>
              <w:rPr>
                <w:rFonts w:ascii="Book Antiqua" w:hAnsi="Book Antiqua"/>
                <w:b/>
                <w:bCs/>
                <w:i/>
                <w:iCs/>
              </w:rPr>
              <w:t>P</w:t>
            </w:r>
            <w:r>
              <w:rPr>
                <w:rFonts w:ascii="Book Antiqua" w:hAnsi="Book Antiqua"/>
                <w:b/>
                <w:bCs/>
              </w:rPr>
              <w:t xml:space="preserve"> value</w:t>
            </w:r>
          </w:p>
        </w:tc>
      </w:tr>
      <w:tr w:rsidR="00681808" w14:paraId="4DEF2D5B" w14:textId="77777777">
        <w:tc>
          <w:tcPr>
            <w:tcW w:w="2070" w:type="dxa"/>
            <w:vMerge/>
            <w:tcBorders>
              <w:top w:val="single" w:sz="6" w:space="0" w:color="000000"/>
              <w:bottom w:val="single" w:sz="6" w:space="0" w:color="000000"/>
            </w:tcBorders>
          </w:tcPr>
          <w:p w14:paraId="7A1290D3" w14:textId="77777777" w:rsidR="00681808" w:rsidRDefault="00681808">
            <w:pPr>
              <w:snapToGrid w:val="0"/>
              <w:spacing w:line="360" w:lineRule="auto"/>
              <w:jc w:val="both"/>
              <w:rPr>
                <w:rFonts w:ascii="Book Antiqua" w:hAnsi="Book Antiqua"/>
              </w:rPr>
            </w:pPr>
          </w:p>
        </w:tc>
        <w:tc>
          <w:tcPr>
            <w:tcW w:w="1440" w:type="dxa"/>
            <w:tcBorders>
              <w:top w:val="single" w:sz="4" w:space="0" w:color="auto"/>
              <w:bottom w:val="single" w:sz="6" w:space="0" w:color="000000"/>
            </w:tcBorders>
          </w:tcPr>
          <w:p w14:paraId="354ADB26" w14:textId="77777777" w:rsidR="00681808" w:rsidRDefault="002C0647">
            <w:pPr>
              <w:snapToGrid w:val="0"/>
              <w:spacing w:line="360" w:lineRule="auto"/>
              <w:jc w:val="both"/>
              <w:rPr>
                <w:rFonts w:ascii="Book Antiqua" w:hAnsi="Book Antiqua"/>
                <w:b/>
              </w:rPr>
            </w:pPr>
            <w:r>
              <w:rPr>
                <w:rFonts w:ascii="Book Antiqua" w:hAnsi="Book Antiqua"/>
                <w:b/>
              </w:rPr>
              <w:t>Yes</w:t>
            </w:r>
          </w:p>
        </w:tc>
        <w:tc>
          <w:tcPr>
            <w:tcW w:w="1503" w:type="dxa"/>
            <w:tcBorders>
              <w:top w:val="single" w:sz="4" w:space="0" w:color="auto"/>
              <w:bottom w:val="single" w:sz="6" w:space="0" w:color="000000"/>
            </w:tcBorders>
          </w:tcPr>
          <w:p w14:paraId="13C61B3F" w14:textId="77777777" w:rsidR="00681808" w:rsidRDefault="002C0647">
            <w:pPr>
              <w:snapToGrid w:val="0"/>
              <w:spacing w:line="360" w:lineRule="auto"/>
              <w:jc w:val="both"/>
              <w:rPr>
                <w:rFonts w:ascii="Book Antiqua" w:hAnsi="Book Antiqua"/>
                <w:b/>
              </w:rPr>
            </w:pPr>
            <w:r>
              <w:rPr>
                <w:rFonts w:ascii="Book Antiqua" w:hAnsi="Book Antiqua"/>
                <w:b/>
              </w:rPr>
              <w:t>No</w:t>
            </w:r>
          </w:p>
        </w:tc>
        <w:tc>
          <w:tcPr>
            <w:tcW w:w="1197" w:type="dxa"/>
            <w:vMerge/>
            <w:tcBorders>
              <w:top w:val="single" w:sz="6" w:space="0" w:color="000000"/>
              <w:bottom w:val="single" w:sz="6" w:space="0" w:color="000000"/>
            </w:tcBorders>
          </w:tcPr>
          <w:p w14:paraId="320FFC94" w14:textId="77777777" w:rsidR="00681808" w:rsidRDefault="00681808">
            <w:pPr>
              <w:snapToGrid w:val="0"/>
              <w:spacing w:line="360" w:lineRule="auto"/>
              <w:jc w:val="both"/>
              <w:rPr>
                <w:rFonts w:ascii="Book Antiqua" w:hAnsi="Book Antiqua"/>
              </w:rPr>
            </w:pPr>
          </w:p>
        </w:tc>
        <w:tc>
          <w:tcPr>
            <w:tcW w:w="2520" w:type="dxa"/>
            <w:vMerge/>
            <w:tcBorders>
              <w:top w:val="single" w:sz="6" w:space="0" w:color="000000"/>
              <w:bottom w:val="single" w:sz="6" w:space="0" w:color="000000"/>
            </w:tcBorders>
          </w:tcPr>
          <w:p w14:paraId="2A59988D" w14:textId="77777777" w:rsidR="00681808" w:rsidRDefault="00681808">
            <w:pPr>
              <w:snapToGrid w:val="0"/>
              <w:spacing w:line="360" w:lineRule="auto"/>
              <w:jc w:val="both"/>
              <w:rPr>
                <w:rFonts w:ascii="Book Antiqua" w:hAnsi="Book Antiqua"/>
              </w:rPr>
            </w:pPr>
          </w:p>
        </w:tc>
        <w:tc>
          <w:tcPr>
            <w:tcW w:w="1350" w:type="dxa"/>
            <w:vMerge/>
            <w:tcBorders>
              <w:top w:val="single" w:sz="6" w:space="0" w:color="000000"/>
              <w:bottom w:val="single" w:sz="6" w:space="0" w:color="000000"/>
            </w:tcBorders>
          </w:tcPr>
          <w:p w14:paraId="4A3E2A72" w14:textId="77777777" w:rsidR="00681808" w:rsidRDefault="00681808">
            <w:pPr>
              <w:snapToGrid w:val="0"/>
              <w:spacing w:line="360" w:lineRule="auto"/>
              <w:jc w:val="both"/>
              <w:rPr>
                <w:rFonts w:ascii="Book Antiqua" w:hAnsi="Book Antiqua"/>
              </w:rPr>
            </w:pPr>
          </w:p>
        </w:tc>
      </w:tr>
      <w:tr w:rsidR="00681808" w14:paraId="5FB3FE1B" w14:textId="77777777">
        <w:tc>
          <w:tcPr>
            <w:tcW w:w="2070" w:type="dxa"/>
            <w:tcBorders>
              <w:top w:val="single" w:sz="6" w:space="0" w:color="000000"/>
            </w:tcBorders>
          </w:tcPr>
          <w:p w14:paraId="6BABE302" w14:textId="77777777" w:rsidR="00681808" w:rsidRDefault="002C0647">
            <w:pPr>
              <w:snapToGrid w:val="0"/>
              <w:spacing w:line="360" w:lineRule="auto"/>
              <w:jc w:val="both"/>
              <w:rPr>
                <w:rFonts w:ascii="Book Antiqua" w:hAnsi="Book Antiqua"/>
                <w:b/>
                <w:bCs/>
              </w:rPr>
            </w:pPr>
            <w:r>
              <w:rPr>
                <w:rFonts w:ascii="Book Antiqua" w:hAnsi="Book Antiqua"/>
              </w:rPr>
              <w:t>Yes</w:t>
            </w:r>
          </w:p>
        </w:tc>
        <w:tc>
          <w:tcPr>
            <w:tcW w:w="1440" w:type="dxa"/>
            <w:tcBorders>
              <w:top w:val="single" w:sz="6" w:space="0" w:color="000000"/>
            </w:tcBorders>
          </w:tcPr>
          <w:p w14:paraId="3C30B398" w14:textId="77777777" w:rsidR="00681808" w:rsidRDefault="002C0647">
            <w:pPr>
              <w:snapToGrid w:val="0"/>
              <w:spacing w:line="360" w:lineRule="auto"/>
              <w:jc w:val="both"/>
              <w:rPr>
                <w:rFonts w:ascii="Book Antiqua" w:hAnsi="Book Antiqua"/>
              </w:rPr>
            </w:pPr>
            <w:r>
              <w:rPr>
                <w:rFonts w:ascii="Book Antiqua" w:hAnsi="Book Antiqua"/>
              </w:rPr>
              <w:t>2</w:t>
            </w:r>
          </w:p>
        </w:tc>
        <w:tc>
          <w:tcPr>
            <w:tcW w:w="1503" w:type="dxa"/>
            <w:tcBorders>
              <w:top w:val="single" w:sz="6" w:space="0" w:color="000000"/>
            </w:tcBorders>
          </w:tcPr>
          <w:p w14:paraId="3366AF67" w14:textId="77777777" w:rsidR="00681808" w:rsidRDefault="002C0647">
            <w:pPr>
              <w:snapToGrid w:val="0"/>
              <w:spacing w:line="360" w:lineRule="auto"/>
              <w:jc w:val="both"/>
              <w:rPr>
                <w:rFonts w:ascii="Book Antiqua" w:hAnsi="Book Antiqua"/>
              </w:rPr>
            </w:pPr>
            <w:r>
              <w:rPr>
                <w:rFonts w:ascii="Book Antiqua" w:hAnsi="Book Antiqua"/>
              </w:rPr>
              <w:t>37</w:t>
            </w:r>
          </w:p>
        </w:tc>
        <w:tc>
          <w:tcPr>
            <w:tcW w:w="1197" w:type="dxa"/>
            <w:tcBorders>
              <w:top w:val="single" w:sz="6" w:space="0" w:color="000000"/>
            </w:tcBorders>
          </w:tcPr>
          <w:p w14:paraId="0563CC73" w14:textId="77777777" w:rsidR="00681808" w:rsidRDefault="002C0647">
            <w:pPr>
              <w:snapToGrid w:val="0"/>
              <w:spacing w:line="360" w:lineRule="auto"/>
              <w:jc w:val="both"/>
              <w:rPr>
                <w:rFonts w:ascii="Book Antiqua" w:hAnsi="Book Antiqua"/>
              </w:rPr>
            </w:pPr>
            <w:r>
              <w:rPr>
                <w:rFonts w:ascii="Book Antiqua" w:hAnsi="Book Antiqua"/>
              </w:rPr>
              <w:t>39</w:t>
            </w:r>
          </w:p>
        </w:tc>
        <w:tc>
          <w:tcPr>
            <w:tcW w:w="2520" w:type="dxa"/>
            <w:vMerge w:val="restart"/>
            <w:tcBorders>
              <w:top w:val="single" w:sz="6" w:space="0" w:color="000000"/>
            </w:tcBorders>
          </w:tcPr>
          <w:p w14:paraId="60A71CEF" w14:textId="77777777" w:rsidR="00681808" w:rsidRDefault="002C0647">
            <w:pPr>
              <w:snapToGrid w:val="0"/>
              <w:spacing w:line="360" w:lineRule="auto"/>
              <w:jc w:val="both"/>
              <w:rPr>
                <w:rFonts w:ascii="Book Antiqua" w:hAnsi="Book Antiqua"/>
              </w:rPr>
            </w:pPr>
            <w:r>
              <w:rPr>
                <w:rFonts w:ascii="Book Antiqua" w:hAnsi="Book Antiqua"/>
              </w:rPr>
              <w:t>2.04</w:t>
            </w:r>
            <w:r>
              <w:rPr>
                <w:rFonts w:ascii="Book Antiqua" w:hAnsi="Book Antiqua" w:hint="eastAsia"/>
                <w:lang w:eastAsia="zh-CN"/>
              </w:rPr>
              <w:t xml:space="preserve"> </w:t>
            </w:r>
            <w:r>
              <w:rPr>
                <w:rFonts w:ascii="Book Antiqua" w:hAnsi="Book Antiqua"/>
              </w:rPr>
              <w:t>(0.14–29.17)</w:t>
            </w:r>
          </w:p>
        </w:tc>
        <w:tc>
          <w:tcPr>
            <w:tcW w:w="1350" w:type="dxa"/>
            <w:vMerge w:val="restart"/>
            <w:tcBorders>
              <w:top w:val="single" w:sz="6" w:space="0" w:color="000000"/>
            </w:tcBorders>
          </w:tcPr>
          <w:p w14:paraId="060DEFC5" w14:textId="77777777" w:rsidR="00681808" w:rsidRDefault="002C0647">
            <w:pPr>
              <w:snapToGrid w:val="0"/>
              <w:spacing w:line="360" w:lineRule="auto"/>
              <w:jc w:val="both"/>
              <w:rPr>
                <w:rFonts w:ascii="Book Antiqua" w:hAnsi="Book Antiqua"/>
              </w:rPr>
            </w:pPr>
            <w:r>
              <w:rPr>
                <w:rFonts w:ascii="Book Antiqua" w:hAnsi="Book Antiqua"/>
              </w:rPr>
              <w:t>0.6</w:t>
            </w:r>
          </w:p>
        </w:tc>
      </w:tr>
      <w:tr w:rsidR="00681808" w14:paraId="09274BC3" w14:textId="77777777">
        <w:tc>
          <w:tcPr>
            <w:tcW w:w="2070" w:type="dxa"/>
          </w:tcPr>
          <w:p w14:paraId="17282BBA" w14:textId="77777777" w:rsidR="00681808" w:rsidRDefault="002C0647">
            <w:pPr>
              <w:snapToGrid w:val="0"/>
              <w:spacing w:line="360" w:lineRule="auto"/>
              <w:jc w:val="both"/>
              <w:rPr>
                <w:rFonts w:ascii="Book Antiqua" w:hAnsi="Book Antiqua"/>
                <w:b/>
                <w:bCs/>
              </w:rPr>
            </w:pPr>
            <w:r>
              <w:rPr>
                <w:rFonts w:ascii="Book Antiqua" w:hAnsi="Book Antiqua"/>
              </w:rPr>
              <w:t>No</w:t>
            </w:r>
          </w:p>
        </w:tc>
        <w:tc>
          <w:tcPr>
            <w:tcW w:w="1440" w:type="dxa"/>
          </w:tcPr>
          <w:p w14:paraId="7B2230D8" w14:textId="77777777" w:rsidR="00681808" w:rsidRDefault="002C0647">
            <w:pPr>
              <w:snapToGrid w:val="0"/>
              <w:spacing w:line="360" w:lineRule="auto"/>
              <w:jc w:val="both"/>
              <w:rPr>
                <w:rFonts w:ascii="Book Antiqua" w:hAnsi="Book Antiqua"/>
              </w:rPr>
            </w:pPr>
            <w:r>
              <w:rPr>
                <w:rFonts w:ascii="Book Antiqua" w:hAnsi="Book Antiqua"/>
              </w:rPr>
              <w:t>2</w:t>
            </w:r>
          </w:p>
        </w:tc>
        <w:tc>
          <w:tcPr>
            <w:tcW w:w="1503" w:type="dxa"/>
          </w:tcPr>
          <w:p w14:paraId="69B8CA19" w14:textId="77777777" w:rsidR="00681808" w:rsidRDefault="002C0647">
            <w:pPr>
              <w:snapToGrid w:val="0"/>
              <w:spacing w:line="360" w:lineRule="auto"/>
              <w:jc w:val="both"/>
              <w:rPr>
                <w:rFonts w:ascii="Book Antiqua" w:hAnsi="Book Antiqua"/>
              </w:rPr>
            </w:pPr>
            <w:r>
              <w:rPr>
                <w:rFonts w:ascii="Book Antiqua" w:hAnsi="Book Antiqua"/>
              </w:rPr>
              <w:t>76</w:t>
            </w:r>
          </w:p>
        </w:tc>
        <w:tc>
          <w:tcPr>
            <w:tcW w:w="1197" w:type="dxa"/>
          </w:tcPr>
          <w:p w14:paraId="712E1631" w14:textId="77777777" w:rsidR="00681808" w:rsidRDefault="002C0647">
            <w:pPr>
              <w:snapToGrid w:val="0"/>
              <w:spacing w:line="360" w:lineRule="auto"/>
              <w:jc w:val="both"/>
              <w:rPr>
                <w:rFonts w:ascii="Book Antiqua" w:hAnsi="Book Antiqua"/>
              </w:rPr>
            </w:pPr>
            <w:r>
              <w:rPr>
                <w:rFonts w:ascii="Book Antiqua" w:hAnsi="Book Antiqua"/>
              </w:rPr>
              <w:t>78</w:t>
            </w:r>
          </w:p>
        </w:tc>
        <w:tc>
          <w:tcPr>
            <w:tcW w:w="2520" w:type="dxa"/>
            <w:vMerge/>
          </w:tcPr>
          <w:p w14:paraId="10165256" w14:textId="77777777" w:rsidR="00681808" w:rsidRDefault="00681808">
            <w:pPr>
              <w:snapToGrid w:val="0"/>
              <w:spacing w:line="360" w:lineRule="auto"/>
              <w:jc w:val="both"/>
              <w:rPr>
                <w:rFonts w:ascii="Book Antiqua" w:hAnsi="Book Antiqua"/>
              </w:rPr>
            </w:pPr>
          </w:p>
        </w:tc>
        <w:tc>
          <w:tcPr>
            <w:tcW w:w="1350" w:type="dxa"/>
            <w:vMerge/>
          </w:tcPr>
          <w:p w14:paraId="43615C86" w14:textId="77777777" w:rsidR="00681808" w:rsidRDefault="00681808">
            <w:pPr>
              <w:snapToGrid w:val="0"/>
              <w:spacing w:line="360" w:lineRule="auto"/>
              <w:jc w:val="both"/>
              <w:rPr>
                <w:rFonts w:ascii="Book Antiqua" w:hAnsi="Book Antiqua"/>
              </w:rPr>
            </w:pPr>
          </w:p>
        </w:tc>
      </w:tr>
      <w:tr w:rsidR="00681808" w14:paraId="0B899378" w14:textId="77777777">
        <w:tc>
          <w:tcPr>
            <w:tcW w:w="2070" w:type="dxa"/>
            <w:tcBorders>
              <w:bottom w:val="single" w:sz="6" w:space="0" w:color="000000"/>
            </w:tcBorders>
          </w:tcPr>
          <w:p w14:paraId="43922B77" w14:textId="77777777" w:rsidR="00681808" w:rsidRDefault="002C0647">
            <w:pPr>
              <w:snapToGrid w:val="0"/>
              <w:spacing w:line="360" w:lineRule="auto"/>
              <w:jc w:val="both"/>
              <w:rPr>
                <w:rFonts w:ascii="Book Antiqua" w:hAnsi="Book Antiqua"/>
              </w:rPr>
            </w:pPr>
            <w:r>
              <w:rPr>
                <w:rFonts w:ascii="Book Antiqua" w:hAnsi="Book Antiqua"/>
              </w:rPr>
              <w:t xml:space="preserve">Total </w:t>
            </w:r>
          </w:p>
        </w:tc>
        <w:tc>
          <w:tcPr>
            <w:tcW w:w="1440" w:type="dxa"/>
            <w:tcBorders>
              <w:bottom w:val="single" w:sz="6" w:space="0" w:color="000000"/>
            </w:tcBorders>
          </w:tcPr>
          <w:p w14:paraId="599A53D6" w14:textId="77777777" w:rsidR="00681808" w:rsidRDefault="002C0647">
            <w:pPr>
              <w:snapToGrid w:val="0"/>
              <w:spacing w:line="360" w:lineRule="auto"/>
              <w:jc w:val="both"/>
              <w:rPr>
                <w:rFonts w:ascii="Book Antiqua" w:hAnsi="Book Antiqua"/>
              </w:rPr>
            </w:pPr>
            <w:r>
              <w:rPr>
                <w:rFonts w:ascii="Book Antiqua" w:hAnsi="Book Antiqua"/>
              </w:rPr>
              <w:t>4</w:t>
            </w:r>
          </w:p>
        </w:tc>
        <w:tc>
          <w:tcPr>
            <w:tcW w:w="1503" w:type="dxa"/>
            <w:tcBorders>
              <w:bottom w:val="single" w:sz="6" w:space="0" w:color="000000"/>
            </w:tcBorders>
          </w:tcPr>
          <w:p w14:paraId="108F3042" w14:textId="77777777" w:rsidR="00681808" w:rsidRDefault="002C0647">
            <w:pPr>
              <w:snapToGrid w:val="0"/>
              <w:spacing w:line="360" w:lineRule="auto"/>
              <w:jc w:val="both"/>
              <w:rPr>
                <w:rFonts w:ascii="Book Antiqua" w:hAnsi="Book Antiqua"/>
              </w:rPr>
            </w:pPr>
            <w:r>
              <w:rPr>
                <w:rFonts w:ascii="Book Antiqua" w:hAnsi="Book Antiqua"/>
              </w:rPr>
              <w:t>113</w:t>
            </w:r>
          </w:p>
        </w:tc>
        <w:tc>
          <w:tcPr>
            <w:tcW w:w="1197" w:type="dxa"/>
            <w:tcBorders>
              <w:bottom w:val="single" w:sz="6" w:space="0" w:color="000000"/>
            </w:tcBorders>
          </w:tcPr>
          <w:p w14:paraId="603AFC96" w14:textId="77777777" w:rsidR="00681808" w:rsidRDefault="002C0647">
            <w:pPr>
              <w:snapToGrid w:val="0"/>
              <w:spacing w:line="360" w:lineRule="auto"/>
              <w:jc w:val="both"/>
              <w:rPr>
                <w:rFonts w:ascii="Book Antiqua" w:hAnsi="Book Antiqua"/>
              </w:rPr>
            </w:pPr>
            <w:r>
              <w:rPr>
                <w:rFonts w:ascii="Book Antiqua" w:hAnsi="Book Antiqua"/>
              </w:rPr>
              <w:t>117</w:t>
            </w:r>
          </w:p>
        </w:tc>
        <w:tc>
          <w:tcPr>
            <w:tcW w:w="2520" w:type="dxa"/>
            <w:vMerge/>
            <w:tcBorders>
              <w:bottom w:val="single" w:sz="6" w:space="0" w:color="000000"/>
            </w:tcBorders>
          </w:tcPr>
          <w:p w14:paraId="51F8F190" w14:textId="77777777" w:rsidR="00681808" w:rsidRDefault="00681808">
            <w:pPr>
              <w:snapToGrid w:val="0"/>
              <w:spacing w:line="360" w:lineRule="auto"/>
              <w:jc w:val="both"/>
              <w:rPr>
                <w:rFonts w:ascii="Book Antiqua" w:hAnsi="Book Antiqua"/>
              </w:rPr>
            </w:pPr>
          </w:p>
        </w:tc>
        <w:tc>
          <w:tcPr>
            <w:tcW w:w="1350" w:type="dxa"/>
            <w:vMerge/>
            <w:tcBorders>
              <w:bottom w:val="single" w:sz="6" w:space="0" w:color="000000"/>
            </w:tcBorders>
          </w:tcPr>
          <w:p w14:paraId="565810CE" w14:textId="77777777" w:rsidR="00681808" w:rsidRDefault="00681808">
            <w:pPr>
              <w:snapToGrid w:val="0"/>
              <w:spacing w:line="360" w:lineRule="auto"/>
              <w:jc w:val="both"/>
              <w:rPr>
                <w:rFonts w:ascii="Book Antiqua" w:hAnsi="Book Antiqua"/>
              </w:rPr>
            </w:pPr>
          </w:p>
        </w:tc>
      </w:tr>
    </w:tbl>
    <w:p w14:paraId="37EB13E6" w14:textId="77777777" w:rsidR="00681808" w:rsidRDefault="002C0647">
      <w:pPr>
        <w:snapToGrid w:val="0"/>
        <w:spacing w:line="360" w:lineRule="auto"/>
        <w:jc w:val="both"/>
        <w:rPr>
          <w:rFonts w:ascii="Book Antiqua" w:hAnsi="Book Antiqua"/>
        </w:rPr>
      </w:pPr>
      <w:r>
        <w:rPr>
          <w:rFonts w:ascii="Book Antiqua" w:hAnsi="Book Antiqua"/>
        </w:rPr>
        <w:t>COVID-19: Coronavirus disease 2019.</w:t>
      </w:r>
    </w:p>
    <w:p w14:paraId="506725F6" w14:textId="77777777" w:rsidR="00681808" w:rsidRDefault="00681808">
      <w:pPr>
        <w:snapToGrid w:val="0"/>
        <w:spacing w:line="360" w:lineRule="auto"/>
        <w:jc w:val="both"/>
        <w:rPr>
          <w:rFonts w:ascii="Book Antiqua" w:hAnsi="Book Antiqua"/>
        </w:rPr>
      </w:pPr>
    </w:p>
    <w:p w14:paraId="20282C2E" w14:textId="77777777" w:rsidR="00681808" w:rsidRDefault="002C0647">
      <w:pPr>
        <w:snapToGrid w:val="0"/>
        <w:spacing w:line="360" w:lineRule="auto"/>
        <w:jc w:val="both"/>
        <w:rPr>
          <w:rFonts w:ascii="Book Antiqua" w:hAnsi="Book Antiqua"/>
          <w:b/>
          <w:bCs/>
        </w:rPr>
      </w:pPr>
      <w:r>
        <w:rPr>
          <w:rFonts w:ascii="Book Antiqua" w:hAnsi="Book Antiqua"/>
          <w:b/>
          <w:bCs/>
        </w:rPr>
        <w:t>Table 4 Hospitalization due to coronavirus disease 2019</w:t>
      </w:r>
    </w:p>
    <w:tbl>
      <w:tblPr>
        <w:tblW w:w="8140" w:type="dxa"/>
        <w:tblInd w:w="108" w:type="dxa"/>
        <w:tblLook w:val="04A0" w:firstRow="1" w:lastRow="0" w:firstColumn="1" w:lastColumn="0" w:noHBand="0" w:noVBand="1"/>
      </w:tblPr>
      <w:tblGrid>
        <w:gridCol w:w="1428"/>
        <w:gridCol w:w="2798"/>
        <w:gridCol w:w="892"/>
        <w:gridCol w:w="790"/>
        <w:gridCol w:w="1416"/>
        <w:gridCol w:w="816"/>
      </w:tblGrid>
      <w:tr w:rsidR="00681808" w14:paraId="0B3ECD9D" w14:textId="77777777">
        <w:trPr>
          <w:trHeight w:val="2172"/>
        </w:trPr>
        <w:tc>
          <w:tcPr>
            <w:tcW w:w="1460" w:type="dxa"/>
            <w:vMerge w:val="restart"/>
            <w:tcBorders>
              <w:top w:val="single" w:sz="8" w:space="0" w:color="000000"/>
              <w:left w:val="nil"/>
              <w:bottom w:val="single" w:sz="8" w:space="0" w:color="000000"/>
              <w:right w:val="nil"/>
            </w:tcBorders>
            <w:shd w:val="clear" w:color="auto" w:fill="auto"/>
            <w:vAlign w:val="center"/>
          </w:tcPr>
          <w:p w14:paraId="4033A412" w14:textId="77777777" w:rsidR="00681808" w:rsidRDefault="002C0647">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Liver transplant recipient</w:t>
            </w:r>
          </w:p>
        </w:tc>
        <w:tc>
          <w:tcPr>
            <w:tcW w:w="4280" w:type="dxa"/>
            <w:gridSpan w:val="2"/>
            <w:tcBorders>
              <w:top w:val="single" w:sz="8" w:space="0" w:color="000000"/>
              <w:left w:val="nil"/>
              <w:bottom w:val="single" w:sz="8" w:space="0" w:color="auto"/>
              <w:right w:val="nil"/>
            </w:tcBorders>
            <w:shd w:val="clear" w:color="auto" w:fill="auto"/>
            <w:vAlign w:val="center"/>
          </w:tcPr>
          <w:p w14:paraId="182A2BB2" w14:textId="77777777" w:rsidR="00681808" w:rsidRDefault="002C0647">
            <w:pPr>
              <w:jc w:val="both"/>
              <w:rPr>
                <w:rFonts w:ascii="Book Antiqua" w:eastAsia="等线" w:hAnsi="Book Antiqua" w:cs="宋体"/>
                <w:b/>
                <w:bCs/>
                <w:color w:val="000000"/>
                <w:lang w:eastAsia="zh-CN"/>
              </w:rPr>
            </w:pPr>
            <w:bookmarkStart w:id="0" w:name="RANGE!H67"/>
            <w:r>
              <w:rPr>
                <w:rFonts w:ascii="Book Antiqua" w:eastAsia="等线" w:hAnsi="Book Antiqua" w:cs="宋体"/>
                <w:b/>
                <w:bCs/>
                <w:color w:val="000000"/>
                <w:lang w:eastAsia="zh-CN"/>
              </w:rPr>
              <w:t>Hospitalization due to COVID–19</w:t>
            </w:r>
            <w:bookmarkEnd w:id="0"/>
          </w:p>
        </w:tc>
        <w:tc>
          <w:tcPr>
            <w:tcW w:w="760" w:type="dxa"/>
            <w:vMerge w:val="restart"/>
            <w:tcBorders>
              <w:top w:val="single" w:sz="8" w:space="0" w:color="000000"/>
              <w:left w:val="nil"/>
              <w:bottom w:val="single" w:sz="8" w:space="0" w:color="000000"/>
              <w:right w:val="nil"/>
            </w:tcBorders>
            <w:shd w:val="clear" w:color="auto" w:fill="auto"/>
            <w:vAlign w:val="center"/>
          </w:tcPr>
          <w:p w14:paraId="24DB0762" w14:textId="77777777" w:rsidR="00681808" w:rsidRDefault="002C0647">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Total</w:t>
            </w:r>
          </w:p>
        </w:tc>
        <w:tc>
          <w:tcPr>
            <w:tcW w:w="860" w:type="dxa"/>
            <w:vMerge w:val="restart"/>
            <w:tcBorders>
              <w:top w:val="single" w:sz="8" w:space="0" w:color="000000"/>
              <w:left w:val="nil"/>
              <w:bottom w:val="single" w:sz="8" w:space="0" w:color="000000"/>
              <w:right w:val="nil"/>
            </w:tcBorders>
            <w:shd w:val="clear" w:color="auto" w:fill="auto"/>
            <w:vAlign w:val="center"/>
          </w:tcPr>
          <w:p w14:paraId="01B70B87" w14:textId="77777777" w:rsidR="00681808" w:rsidRDefault="002C0647">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Odds ratio with 95% confidence interval</w:t>
            </w:r>
          </w:p>
        </w:tc>
        <w:tc>
          <w:tcPr>
            <w:tcW w:w="780" w:type="dxa"/>
            <w:vMerge w:val="restart"/>
            <w:tcBorders>
              <w:top w:val="single" w:sz="8" w:space="0" w:color="000000"/>
              <w:left w:val="nil"/>
              <w:bottom w:val="single" w:sz="8" w:space="0" w:color="000000"/>
              <w:right w:val="nil"/>
            </w:tcBorders>
            <w:shd w:val="clear" w:color="auto" w:fill="auto"/>
            <w:vAlign w:val="center"/>
          </w:tcPr>
          <w:p w14:paraId="6641F41C" w14:textId="77777777" w:rsidR="00681808" w:rsidRDefault="002C0647">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Two-sided </w:t>
            </w: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r>
      <w:tr w:rsidR="00681808" w14:paraId="0C962AD9" w14:textId="77777777">
        <w:trPr>
          <w:trHeight w:val="324"/>
        </w:trPr>
        <w:tc>
          <w:tcPr>
            <w:tcW w:w="1460" w:type="dxa"/>
            <w:vMerge/>
            <w:tcBorders>
              <w:top w:val="single" w:sz="8" w:space="0" w:color="000000"/>
              <w:left w:val="nil"/>
              <w:bottom w:val="single" w:sz="8" w:space="0" w:color="000000"/>
              <w:right w:val="nil"/>
            </w:tcBorders>
            <w:vAlign w:val="center"/>
          </w:tcPr>
          <w:p w14:paraId="0362B8AF" w14:textId="77777777" w:rsidR="00681808" w:rsidRDefault="00681808">
            <w:pPr>
              <w:rPr>
                <w:rFonts w:ascii="Book Antiqua" w:eastAsia="等线" w:hAnsi="Book Antiqua" w:cs="宋体"/>
                <w:b/>
                <w:bCs/>
                <w:color w:val="000000"/>
                <w:lang w:eastAsia="zh-CN"/>
              </w:rPr>
            </w:pPr>
          </w:p>
        </w:tc>
        <w:tc>
          <w:tcPr>
            <w:tcW w:w="3320" w:type="dxa"/>
            <w:tcBorders>
              <w:top w:val="nil"/>
              <w:left w:val="nil"/>
              <w:bottom w:val="single" w:sz="8" w:space="0" w:color="000000"/>
              <w:right w:val="nil"/>
            </w:tcBorders>
            <w:shd w:val="clear" w:color="auto" w:fill="auto"/>
            <w:vAlign w:val="center"/>
          </w:tcPr>
          <w:p w14:paraId="7D53D156" w14:textId="77777777" w:rsidR="00681808" w:rsidRDefault="002C0647">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Yes</w:t>
            </w:r>
          </w:p>
        </w:tc>
        <w:tc>
          <w:tcPr>
            <w:tcW w:w="960" w:type="dxa"/>
            <w:tcBorders>
              <w:top w:val="nil"/>
              <w:left w:val="nil"/>
              <w:bottom w:val="single" w:sz="8" w:space="0" w:color="000000"/>
              <w:right w:val="nil"/>
            </w:tcBorders>
            <w:shd w:val="clear" w:color="auto" w:fill="auto"/>
            <w:vAlign w:val="center"/>
          </w:tcPr>
          <w:p w14:paraId="1392C030" w14:textId="77777777" w:rsidR="00681808" w:rsidRDefault="002C0647">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No</w:t>
            </w:r>
          </w:p>
        </w:tc>
        <w:tc>
          <w:tcPr>
            <w:tcW w:w="760" w:type="dxa"/>
            <w:vMerge/>
            <w:tcBorders>
              <w:top w:val="single" w:sz="8" w:space="0" w:color="000000"/>
              <w:left w:val="nil"/>
              <w:bottom w:val="single" w:sz="8" w:space="0" w:color="000000"/>
              <w:right w:val="nil"/>
            </w:tcBorders>
            <w:vAlign w:val="center"/>
          </w:tcPr>
          <w:p w14:paraId="7FE3B34C" w14:textId="77777777" w:rsidR="00681808" w:rsidRDefault="00681808">
            <w:pPr>
              <w:rPr>
                <w:rFonts w:ascii="Book Antiqua" w:eastAsia="等线" w:hAnsi="Book Antiqua" w:cs="宋体"/>
                <w:b/>
                <w:bCs/>
                <w:color w:val="000000"/>
                <w:lang w:eastAsia="zh-CN"/>
              </w:rPr>
            </w:pPr>
          </w:p>
        </w:tc>
        <w:tc>
          <w:tcPr>
            <w:tcW w:w="860" w:type="dxa"/>
            <w:vMerge/>
            <w:tcBorders>
              <w:top w:val="single" w:sz="8" w:space="0" w:color="000000"/>
              <w:left w:val="nil"/>
              <w:bottom w:val="single" w:sz="8" w:space="0" w:color="000000"/>
              <w:right w:val="nil"/>
            </w:tcBorders>
            <w:vAlign w:val="center"/>
          </w:tcPr>
          <w:p w14:paraId="5D625DD9" w14:textId="77777777" w:rsidR="00681808" w:rsidRDefault="00681808">
            <w:pPr>
              <w:rPr>
                <w:rFonts w:ascii="Book Antiqua" w:eastAsia="等线" w:hAnsi="Book Antiqua" w:cs="宋体"/>
                <w:b/>
                <w:bCs/>
                <w:color w:val="000000"/>
                <w:lang w:eastAsia="zh-CN"/>
              </w:rPr>
            </w:pPr>
          </w:p>
        </w:tc>
        <w:tc>
          <w:tcPr>
            <w:tcW w:w="780" w:type="dxa"/>
            <w:vMerge/>
            <w:tcBorders>
              <w:top w:val="single" w:sz="8" w:space="0" w:color="000000"/>
              <w:left w:val="nil"/>
              <w:bottom w:val="single" w:sz="8" w:space="0" w:color="000000"/>
              <w:right w:val="nil"/>
            </w:tcBorders>
            <w:vAlign w:val="center"/>
          </w:tcPr>
          <w:p w14:paraId="21B735C2" w14:textId="77777777" w:rsidR="00681808" w:rsidRDefault="00681808">
            <w:pPr>
              <w:rPr>
                <w:rFonts w:ascii="Book Antiqua" w:eastAsia="等线" w:hAnsi="Book Antiqua" w:cs="宋体"/>
                <w:b/>
                <w:bCs/>
                <w:color w:val="000000"/>
                <w:lang w:eastAsia="zh-CN"/>
              </w:rPr>
            </w:pPr>
          </w:p>
        </w:tc>
      </w:tr>
      <w:tr w:rsidR="00681808" w14:paraId="2EB89997" w14:textId="77777777">
        <w:trPr>
          <w:trHeight w:val="312"/>
        </w:trPr>
        <w:tc>
          <w:tcPr>
            <w:tcW w:w="1460" w:type="dxa"/>
            <w:tcBorders>
              <w:top w:val="nil"/>
              <w:left w:val="nil"/>
              <w:bottom w:val="nil"/>
              <w:right w:val="nil"/>
            </w:tcBorders>
            <w:shd w:val="clear" w:color="auto" w:fill="auto"/>
            <w:vAlign w:val="center"/>
          </w:tcPr>
          <w:p w14:paraId="77F6725D"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Yes</w:t>
            </w:r>
          </w:p>
        </w:tc>
        <w:tc>
          <w:tcPr>
            <w:tcW w:w="3320" w:type="dxa"/>
            <w:tcBorders>
              <w:top w:val="nil"/>
              <w:left w:val="nil"/>
              <w:bottom w:val="nil"/>
              <w:right w:val="nil"/>
            </w:tcBorders>
            <w:shd w:val="clear" w:color="auto" w:fill="auto"/>
            <w:vAlign w:val="center"/>
          </w:tcPr>
          <w:p w14:paraId="448E4814"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12</w:t>
            </w:r>
          </w:p>
        </w:tc>
        <w:tc>
          <w:tcPr>
            <w:tcW w:w="960" w:type="dxa"/>
            <w:tcBorders>
              <w:top w:val="nil"/>
              <w:left w:val="nil"/>
              <w:bottom w:val="nil"/>
              <w:right w:val="nil"/>
            </w:tcBorders>
            <w:shd w:val="clear" w:color="auto" w:fill="auto"/>
            <w:vAlign w:val="center"/>
          </w:tcPr>
          <w:p w14:paraId="21700F7E"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27</w:t>
            </w:r>
          </w:p>
        </w:tc>
        <w:tc>
          <w:tcPr>
            <w:tcW w:w="760" w:type="dxa"/>
            <w:tcBorders>
              <w:top w:val="nil"/>
              <w:left w:val="nil"/>
              <w:bottom w:val="nil"/>
              <w:right w:val="nil"/>
            </w:tcBorders>
            <w:shd w:val="clear" w:color="auto" w:fill="auto"/>
            <w:vAlign w:val="center"/>
          </w:tcPr>
          <w:p w14:paraId="630F21A6"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39</w:t>
            </w:r>
          </w:p>
        </w:tc>
        <w:tc>
          <w:tcPr>
            <w:tcW w:w="860" w:type="dxa"/>
            <w:vMerge w:val="restart"/>
            <w:tcBorders>
              <w:top w:val="nil"/>
              <w:left w:val="nil"/>
              <w:bottom w:val="single" w:sz="8" w:space="0" w:color="000000"/>
              <w:right w:val="nil"/>
            </w:tcBorders>
            <w:shd w:val="clear" w:color="auto" w:fill="auto"/>
            <w:vAlign w:val="center"/>
          </w:tcPr>
          <w:p w14:paraId="568AC514"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1.38 (0.59–3.24)</w:t>
            </w:r>
          </w:p>
        </w:tc>
        <w:tc>
          <w:tcPr>
            <w:tcW w:w="780" w:type="dxa"/>
            <w:vMerge w:val="restart"/>
            <w:tcBorders>
              <w:top w:val="nil"/>
              <w:left w:val="nil"/>
              <w:bottom w:val="single" w:sz="8" w:space="0" w:color="000000"/>
              <w:right w:val="nil"/>
            </w:tcBorders>
            <w:shd w:val="clear" w:color="auto" w:fill="auto"/>
            <w:vAlign w:val="center"/>
          </w:tcPr>
          <w:p w14:paraId="24B78010"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0.46</w:t>
            </w:r>
          </w:p>
        </w:tc>
      </w:tr>
      <w:tr w:rsidR="00681808" w14:paraId="58422189" w14:textId="77777777">
        <w:trPr>
          <w:trHeight w:val="312"/>
        </w:trPr>
        <w:tc>
          <w:tcPr>
            <w:tcW w:w="1460" w:type="dxa"/>
            <w:tcBorders>
              <w:top w:val="nil"/>
              <w:left w:val="nil"/>
              <w:bottom w:val="nil"/>
              <w:right w:val="nil"/>
            </w:tcBorders>
            <w:shd w:val="clear" w:color="auto" w:fill="auto"/>
            <w:vAlign w:val="center"/>
          </w:tcPr>
          <w:p w14:paraId="7AE8FD09"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No</w:t>
            </w:r>
          </w:p>
        </w:tc>
        <w:tc>
          <w:tcPr>
            <w:tcW w:w="3320" w:type="dxa"/>
            <w:tcBorders>
              <w:top w:val="nil"/>
              <w:left w:val="nil"/>
              <w:bottom w:val="nil"/>
              <w:right w:val="nil"/>
            </w:tcBorders>
            <w:shd w:val="clear" w:color="auto" w:fill="auto"/>
            <w:vAlign w:val="center"/>
          </w:tcPr>
          <w:p w14:paraId="57403189"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19</w:t>
            </w:r>
          </w:p>
        </w:tc>
        <w:tc>
          <w:tcPr>
            <w:tcW w:w="960" w:type="dxa"/>
            <w:tcBorders>
              <w:top w:val="nil"/>
              <w:left w:val="nil"/>
              <w:bottom w:val="nil"/>
              <w:right w:val="nil"/>
            </w:tcBorders>
            <w:shd w:val="clear" w:color="auto" w:fill="auto"/>
            <w:vAlign w:val="center"/>
          </w:tcPr>
          <w:p w14:paraId="54B94AEE"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59</w:t>
            </w:r>
          </w:p>
        </w:tc>
        <w:tc>
          <w:tcPr>
            <w:tcW w:w="760" w:type="dxa"/>
            <w:tcBorders>
              <w:top w:val="nil"/>
              <w:left w:val="nil"/>
              <w:bottom w:val="nil"/>
              <w:right w:val="nil"/>
            </w:tcBorders>
            <w:shd w:val="clear" w:color="auto" w:fill="auto"/>
            <w:vAlign w:val="center"/>
          </w:tcPr>
          <w:p w14:paraId="637C7775"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78</w:t>
            </w:r>
          </w:p>
        </w:tc>
        <w:tc>
          <w:tcPr>
            <w:tcW w:w="860" w:type="dxa"/>
            <w:vMerge/>
            <w:tcBorders>
              <w:top w:val="nil"/>
              <w:left w:val="nil"/>
              <w:bottom w:val="single" w:sz="8" w:space="0" w:color="000000"/>
              <w:right w:val="nil"/>
            </w:tcBorders>
            <w:vAlign w:val="center"/>
          </w:tcPr>
          <w:p w14:paraId="38FFAC08" w14:textId="77777777" w:rsidR="00681808" w:rsidRDefault="00681808">
            <w:pPr>
              <w:rPr>
                <w:rFonts w:ascii="Book Antiqua" w:eastAsia="等线" w:hAnsi="Book Antiqua" w:cs="宋体"/>
                <w:color w:val="000000"/>
                <w:lang w:eastAsia="zh-CN"/>
              </w:rPr>
            </w:pPr>
          </w:p>
        </w:tc>
        <w:tc>
          <w:tcPr>
            <w:tcW w:w="780" w:type="dxa"/>
            <w:vMerge/>
            <w:tcBorders>
              <w:top w:val="nil"/>
              <w:left w:val="nil"/>
              <w:bottom w:val="single" w:sz="8" w:space="0" w:color="000000"/>
              <w:right w:val="nil"/>
            </w:tcBorders>
            <w:vAlign w:val="center"/>
          </w:tcPr>
          <w:p w14:paraId="4377714B" w14:textId="77777777" w:rsidR="00681808" w:rsidRDefault="00681808">
            <w:pPr>
              <w:rPr>
                <w:rFonts w:ascii="Book Antiqua" w:eastAsia="等线" w:hAnsi="Book Antiqua" w:cs="宋体"/>
                <w:color w:val="000000"/>
                <w:lang w:eastAsia="zh-CN"/>
              </w:rPr>
            </w:pPr>
          </w:p>
        </w:tc>
      </w:tr>
      <w:tr w:rsidR="00681808" w14:paraId="200BCD32" w14:textId="77777777">
        <w:trPr>
          <w:trHeight w:val="324"/>
        </w:trPr>
        <w:tc>
          <w:tcPr>
            <w:tcW w:w="1460" w:type="dxa"/>
            <w:tcBorders>
              <w:top w:val="nil"/>
              <w:left w:val="nil"/>
              <w:bottom w:val="single" w:sz="8" w:space="0" w:color="000000"/>
              <w:right w:val="nil"/>
            </w:tcBorders>
            <w:shd w:val="clear" w:color="auto" w:fill="auto"/>
            <w:vAlign w:val="center"/>
          </w:tcPr>
          <w:p w14:paraId="7C0D760F"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Total</w:t>
            </w:r>
          </w:p>
        </w:tc>
        <w:tc>
          <w:tcPr>
            <w:tcW w:w="3320" w:type="dxa"/>
            <w:tcBorders>
              <w:top w:val="nil"/>
              <w:left w:val="nil"/>
              <w:bottom w:val="single" w:sz="8" w:space="0" w:color="000000"/>
              <w:right w:val="nil"/>
            </w:tcBorders>
            <w:shd w:val="clear" w:color="auto" w:fill="auto"/>
            <w:vAlign w:val="center"/>
          </w:tcPr>
          <w:p w14:paraId="2B770FDE"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31</w:t>
            </w:r>
          </w:p>
        </w:tc>
        <w:tc>
          <w:tcPr>
            <w:tcW w:w="960" w:type="dxa"/>
            <w:tcBorders>
              <w:top w:val="nil"/>
              <w:left w:val="nil"/>
              <w:bottom w:val="single" w:sz="8" w:space="0" w:color="000000"/>
              <w:right w:val="nil"/>
            </w:tcBorders>
            <w:shd w:val="clear" w:color="auto" w:fill="auto"/>
            <w:vAlign w:val="center"/>
          </w:tcPr>
          <w:p w14:paraId="11A87937"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86</w:t>
            </w:r>
          </w:p>
        </w:tc>
        <w:tc>
          <w:tcPr>
            <w:tcW w:w="760" w:type="dxa"/>
            <w:tcBorders>
              <w:top w:val="nil"/>
              <w:left w:val="nil"/>
              <w:bottom w:val="single" w:sz="8" w:space="0" w:color="000000"/>
              <w:right w:val="nil"/>
            </w:tcBorders>
            <w:shd w:val="clear" w:color="auto" w:fill="auto"/>
            <w:vAlign w:val="center"/>
          </w:tcPr>
          <w:p w14:paraId="073EE3FD" w14:textId="77777777" w:rsidR="00681808" w:rsidRDefault="002C0647">
            <w:pPr>
              <w:jc w:val="both"/>
              <w:rPr>
                <w:rFonts w:ascii="Book Antiqua" w:eastAsia="等线" w:hAnsi="Book Antiqua" w:cs="宋体"/>
                <w:color w:val="000000"/>
                <w:lang w:eastAsia="zh-CN"/>
              </w:rPr>
            </w:pPr>
            <w:r>
              <w:rPr>
                <w:rFonts w:ascii="Book Antiqua" w:eastAsia="等线" w:hAnsi="Book Antiqua" w:cs="宋体"/>
                <w:color w:val="000000"/>
                <w:lang w:eastAsia="zh-CN"/>
              </w:rPr>
              <w:t>117</w:t>
            </w:r>
          </w:p>
        </w:tc>
        <w:tc>
          <w:tcPr>
            <w:tcW w:w="860" w:type="dxa"/>
            <w:vMerge/>
            <w:tcBorders>
              <w:top w:val="nil"/>
              <w:left w:val="nil"/>
              <w:bottom w:val="single" w:sz="8" w:space="0" w:color="000000"/>
              <w:right w:val="nil"/>
            </w:tcBorders>
            <w:vAlign w:val="center"/>
          </w:tcPr>
          <w:p w14:paraId="12BD0C72" w14:textId="77777777" w:rsidR="00681808" w:rsidRDefault="00681808">
            <w:pPr>
              <w:rPr>
                <w:rFonts w:ascii="Book Antiqua" w:eastAsia="等线" w:hAnsi="Book Antiqua" w:cs="宋体"/>
                <w:color w:val="000000"/>
                <w:lang w:eastAsia="zh-CN"/>
              </w:rPr>
            </w:pPr>
          </w:p>
        </w:tc>
        <w:tc>
          <w:tcPr>
            <w:tcW w:w="780" w:type="dxa"/>
            <w:vMerge/>
            <w:tcBorders>
              <w:top w:val="nil"/>
              <w:left w:val="nil"/>
              <w:bottom w:val="single" w:sz="8" w:space="0" w:color="000000"/>
              <w:right w:val="nil"/>
            </w:tcBorders>
            <w:vAlign w:val="center"/>
          </w:tcPr>
          <w:p w14:paraId="79933958" w14:textId="77777777" w:rsidR="00681808" w:rsidRDefault="00681808">
            <w:pPr>
              <w:rPr>
                <w:rFonts w:ascii="Book Antiqua" w:eastAsia="等线" w:hAnsi="Book Antiqua" w:cs="宋体"/>
                <w:color w:val="000000"/>
                <w:lang w:eastAsia="zh-CN"/>
              </w:rPr>
            </w:pPr>
          </w:p>
        </w:tc>
      </w:tr>
    </w:tbl>
    <w:p w14:paraId="7FCBC41D" w14:textId="77777777" w:rsidR="00681808" w:rsidRDefault="002C0647">
      <w:pPr>
        <w:snapToGrid w:val="0"/>
        <w:spacing w:line="360" w:lineRule="auto"/>
        <w:jc w:val="both"/>
        <w:rPr>
          <w:rFonts w:ascii="Book Antiqua" w:hAnsi="Book Antiqua"/>
        </w:rPr>
      </w:pPr>
      <w:r>
        <w:rPr>
          <w:rFonts w:ascii="Book Antiqua" w:hAnsi="Book Antiqua"/>
        </w:rPr>
        <w:lastRenderedPageBreak/>
        <w:t>COVID-19: Coronavirus disease 2019.</w:t>
      </w:r>
    </w:p>
    <w:p w14:paraId="472F7B47" w14:textId="1AA136AB" w:rsidR="005B736D" w:rsidRDefault="005B736D">
      <w:pPr>
        <w:spacing w:line="360" w:lineRule="auto"/>
        <w:jc w:val="both"/>
        <w:rPr>
          <w:rFonts w:ascii="Book Antiqua" w:hAnsi="Book Antiqua"/>
        </w:rPr>
      </w:pPr>
    </w:p>
    <w:p w14:paraId="35BB1171" w14:textId="77777777" w:rsidR="005B736D" w:rsidRDefault="005B736D">
      <w:pPr>
        <w:rPr>
          <w:rFonts w:ascii="Book Antiqua" w:hAnsi="Book Antiqua"/>
        </w:rPr>
      </w:pPr>
      <w:r>
        <w:rPr>
          <w:rFonts w:ascii="Book Antiqua" w:hAnsi="Book Antiqua"/>
        </w:rPr>
        <w:br w:type="page"/>
      </w:r>
    </w:p>
    <w:p w14:paraId="6498F54A" w14:textId="77777777" w:rsidR="005B736D" w:rsidRDefault="005B736D" w:rsidP="005B736D">
      <w:pPr>
        <w:snapToGrid w:val="0"/>
        <w:ind w:leftChars="100" w:left="240"/>
        <w:jc w:val="center"/>
        <w:rPr>
          <w:rFonts w:ascii="Book Antiqua" w:hAnsi="Book Antiqua"/>
        </w:rPr>
      </w:pPr>
    </w:p>
    <w:p w14:paraId="5B06FE89" w14:textId="77777777" w:rsidR="005B736D" w:rsidRDefault="005B736D" w:rsidP="005B736D">
      <w:pPr>
        <w:snapToGrid w:val="0"/>
        <w:ind w:leftChars="100" w:left="240"/>
        <w:jc w:val="center"/>
        <w:rPr>
          <w:rFonts w:ascii="Book Antiqua" w:hAnsi="Book Antiqua"/>
        </w:rPr>
      </w:pPr>
    </w:p>
    <w:p w14:paraId="365FA1C4" w14:textId="77777777" w:rsidR="005B736D" w:rsidRDefault="005B736D" w:rsidP="005B736D">
      <w:pPr>
        <w:snapToGrid w:val="0"/>
        <w:ind w:leftChars="100" w:left="240"/>
        <w:jc w:val="center"/>
        <w:rPr>
          <w:rFonts w:ascii="Book Antiqua" w:hAnsi="Book Antiqua"/>
        </w:rPr>
      </w:pPr>
    </w:p>
    <w:p w14:paraId="0DCDA76F" w14:textId="77777777" w:rsidR="005B736D" w:rsidRDefault="005B736D" w:rsidP="005B736D">
      <w:pPr>
        <w:snapToGrid w:val="0"/>
        <w:ind w:leftChars="100" w:left="240"/>
        <w:jc w:val="center"/>
        <w:rPr>
          <w:rFonts w:ascii="Book Antiqua" w:hAnsi="Book Antiqua"/>
        </w:rPr>
      </w:pPr>
    </w:p>
    <w:p w14:paraId="259D0EE3" w14:textId="77777777" w:rsidR="005B736D" w:rsidRDefault="005B736D" w:rsidP="005B736D">
      <w:pPr>
        <w:snapToGrid w:val="0"/>
        <w:ind w:leftChars="100" w:left="240"/>
        <w:jc w:val="center"/>
        <w:rPr>
          <w:rFonts w:ascii="Book Antiqua" w:hAnsi="Book Antiqua"/>
        </w:rPr>
      </w:pPr>
      <w:r>
        <w:rPr>
          <w:rFonts w:ascii="Book Antiqua" w:hAnsi="Book Antiqua"/>
          <w:noProof/>
        </w:rPr>
        <w:drawing>
          <wp:inline distT="0" distB="0" distL="0" distR="0" wp14:anchorId="1D902594" wp14:editId="3DFE4E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550F1D6" w14:textId="77777777" w:rsidR="005B736D" w:rsidRDefault="005B736D" w:rsidP="005B736D">
      <w:pPr>
        <w:snapToGrid w:val="0"/>
        <w:ind w:leftChars="100" w:left="240"/>
        <w:jc w:val="center"/>
        <w:rPr>
          <w:rFonts w:ascii="Book Antiqua" w:hAnsi="Book Antiqua"/>
        </w:rPr>
      </w:pPr>
    </w:p>
    <w:p w14:paraId="5D5A4A46" w14:textId="77777777" w:rsidR="005B736D" w:rsidRDefault="005B736D" w:rsidP="005B736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BE04DB9" w14:textId="77777777" w:rsidR="005B736D" w:rsidRDefault="005B736D" w:rsidP="005B736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129A6F" w14:textId="77777777" w:rsidR="005B736D" w:rsidRDefault="005B736D" w:rsidP="005B736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FBB6147" w14:textId="77777777" w:rsidR="005B736D" w:rsidRDefault="005B736D" w:rsidP="005B736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8FA92D" w14:textId="77777777" w:rsidR="005B736D" w:rsidRDefault="005B736D" w:rsidP="005B736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C59E8A8" w14:textId="77777777" w:rsidR="005B736D" w:rsidRDefault="005B736D" w:rsidP="005B736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03F4F8C" w14:textId="77777777" w:rsidR="005B736D" w:rsidRDefault="005B736D" w:rsidP="005B736D">
      <w:pPr>
        <w:snapToGrid w:val="0"/>
        <w:ind w:leftChars="100" w:left="240"/>
        <w:jc w:val="center"/>
        <w:rPr>
          <w:rFonts w:ascii="Book Antiqua" w:hAnsi="Book Antiqua"/>
        </w:rPr>
      </w:pPr>
    </w:p>
    <w:p w14:paraId="67DB7184" w14:textId="77777777" w:rsidR="005B736D" w:rsidRDefault="005B736D" w:rsidP="005B736D">
      <w:pPr>
        <w:snapToGrid w:val="0"/>
        <w:ind w:leftChars="100" w:left="240"/>
        <w:jc w:val="center"/>
        <w:rPr>
          <w:rFonts w:ascii="Book Antiqua" w:hAnsi="Book Antiqua"/>
        </w:rPr>
      </w:pPr>
    </w:p>
    <w:p w14:paraId="689ED5FA" w14:textId="77777777" w:rsidR="005B736D" w:rsidRDefault="005B736D" w:rsidP="005B736D">
      <w:pPr>
        <w:snapToGrid w:val="0"/>
        <w:ind w:leftChars="100" w:left="240"/>
        <w:jc w:val="center"/>
        <w:rPr>
          <w:rFonts w:ascii="Book Antiqua" w:hAnsi="Book Antiqua"/>
        </w:rPr>
      </w:pPr>
    </w:p>
    <w:p w14:paraId="3083CFC8" w14:textId="77777777" w:rsidR="005B736D" w:rsidRDefault="005B736D" w:rsidP="005B736D">
      <w:pPr>
        <w:snapToGrid w:val="0"/>
        <w:ind w:leftChars="100" w:left="240"/>
        <w:jc w:val="center"/>
        <w:rPr>
          <w:rFonts w:ascii="Book Antiqua" w:hAnsi="Book Antiqua"/>
        </w:rPr>
      </w:pPr>
      <w:r>
        <w:rPr>
          <w:rFonts w:ascii="Book Antiqua" w:hAnsi="Book Antiqua"/>
          <w:noProof/>
        </w:rPr>
        <w:drawing>
          <wp:inline distT="0" distB="0" distL="0" distR="0" wp14:anchorId="60276BE2" wp14:editId="6362B2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BC6FE14" w14:textId="77777777" w:rsidR="005B736D" w:rsidRDefault="005B736D" w:rsidP="005B736D">
      <w:pPr>
        <w:snapToGrid w:val="0"/>
        <w:ind w:leftChars="100" w:left="240"/>
        <w:jc w:val="center"/>
        <w:rPr>
          <w:rFonts w:ascii="Book Antiqua" w:hAnsi="Book Antiqua"/>
        </w:rPr>
      </w:pPr>
    </w:p>
    <w:p w14:paraId="2C0E179D" w14:textId="77777777" w:rsidR="005B736D" w:rsidRDefault="005B736D" w:rsidP="005B736D">
      <w:pPr>
        <w:snapToGrid w:val="0"/>
        <w:ind w:leftChars="100" w:left="240"/>
        <w:jc w:val="center"/>
        <w:rPr>
          <w:rFonts w:ascii="Book Antiqua" w:hAnsi="Book Antiqua"/>
        </w:rPr>
      </w:pPr>
    </w:p>
    <w:p w14:paraId="33ACAD6A" w14:textId="77777777" w:rsidR="005B736D" w:rsidRDefault="005B736D" w:rsidP="005B736D">
      <w:pPr>
        <w:snapToGrid w:val="0"/>
        <w:ind w:leftChars="100" w:left="240"/>
        <w:jc w:val="center"/>
        <w:rPr>
          <w:rFonts w:ascii="Book Antiqua" w:hAnsi="Book Antiqua"/>
        </w:rPr>
      </w:pPr>
    </w:p>
    <w:p w14:paraId="02858B03" w14:textId="77777777" w:rsidR="005B736D" w:rsidRDefault="005B736D" w:rsidP="005B736D">
      <w:pPr>
        <w:snapToGrid w:val="0"/>
        <w:ind w:leftChars="100" w:left="240"/>
        <w:jc w:val="center"/>
        <w:rPr>
          <w:rFonts w:ascii="Book Antiqua" w:hAnsi="Book Antiqua"/>
        </w:rPr>
      </w:pPr>
    </w:p>
    <w:p w14:paraId="58329ADA" w14:textId="77777777" w:rsidR="005B736D" w:rsidRDefault="005B736D" w:rsidP="005B736D">
      <w:pPr>
        <w:snapToGrid w:val="0"/>
        <w:ind w:leftChars="100" w:left="240"/>
        <w:jc w:val="center"/>
        <w:rPr>
          <w:rFonts w:ascii="Book Antiqua" w:hAnsi="Book Antiqua"/>
        </w:rPr>
      </w:pPr>
    </w:p>
    <w:p w14:paraId="286B6FD8" w14:textId="77777777" w:rsidR="005B736D" w:rsidRDefault="005B736D" w:rsidP="005B736D">
      <w:pPr>
        <w:snapToGrid w:val="0"/>
        <w:ind w:leftChars="100" w:left="240"/>
        <w:jc w:val="center"/>
        <w:rPr>
          <w:rFonts w:ascii="Book Antiqua" w:hAnsi="Book Antiqua"/>
        </w:rPr>
      </w:pPr>
    </w:p>
    <w:p w14:paraId="3CAE895C" w14:textId="77777777" w:rsidR="005B736D" w:rsidRDefault="005B736D" w:rsidP="005B736D">
      <w:pPr>
        <w:snapToGrid w:val="0"/>
        <w:ind w:leftChars="100" w:left="240"/>
        <w:jc w:val="center"/>
        <w:rPr>
          <w:rFonts w:ascii="Book Antiqua" w:hAnsi="Book Antiqua"/>
        </w:rPr>
      </w:pPr>
    </w:p>
    <w:p w14:paraId="0ED86ABD" w14:textId="77777777" w:rsidR="005B736D" w:rsidRDefault="005B736D" w:rsidP="005B736D">
      <w:pPr>
        <w:snapToGrid w:val="0"/>
        <w:ind w:leftChars="100" w:left="240"/>
        <w:jc w:val="center"/>
        <w:rPr>
          <w:rFonts w:ascii="Book Antiqua" w:hAnsi="Book Antiqua"/>
        </w:rPr>
      </w:pPr>
    </w:p>
    <w:p w14:paraId="1F837FBF" w14:textId="77777777" w:rsidR="005B736D" w:rsidRDefault="005B736D" w:rsidP="005B736D">
      <w:pPr>
        <w:snapToGrid w:val="0"/>
        <w:ind w:leftChars="100" w:left="240"/>
        <w:jc w:val="center"/>
        <w:rPr>
          <w:rFonts w:ascii="Book Antiqua" w:hAnsi="Book Antiqua"/>
        </w:rPr>
      </w:pPr>
    </w:p>
    <w:p w14:paraId="12C886E0" w14:textId="77777777" w:rsidR="005B736D" w:rsidRDefault="005B736D" w:rsidP="005B736D">
      <w:pPr>
        <w:snapToGrid w:val="0"/>
        <w:ind w:leftChars="100" w:left="240"/>
        <w:jc w:val="right"/>
        <w:rPr>
          <w:rFonts w:ascii="Book Antiqua" w:hAnsi="Book Antiqua"/>
          <w:color w:val="000000" w:themeColor="text1"/>
        </w:rPr>
      </w:pPr>
    </w:p>
    <w:p w14:paraId="31EAF39A" w14:textId="77777777" w:rsidR="005B736D" w:rsidRDefault="005B736D" w:rsidP="005B736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50E8F6F" w14:textId="77777777" w:rsidR="00681808" w:rsidRDefault="00681808">
      <w:pPr>
        <w:spacing w:line="360" w:lineRule="auto"/>
        <w:jc w:val="both"/>
        <w:rPr>
          <w:rFonts w:ascii="Book Antiqua" w:hAnsi="Book Antiqua"/>
        </w:rPr>
      </w:pPr>
    </w:p>
    <w:sectPr w:rsidR="00681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471A" w14:textId="77777777" w:rsidR="00F91881" w:rsidRDefault="00F91881">
      <w:r>
        <w:separator/>
      </w:r>
    </w:p>
  </w:endnote>
  <w:endnote w:type="continuationSeparator" w:id="0">
    <w:p w14:paraId="3A16C833" w14:textId="77777777" w:rsidR="00F91881" w:rsidRDefault="00F9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0"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27945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4FEC991" w14:textId="77777777" w:rsidR="00681808" w:rsidRDefault="002C064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14:paraId="7D87A247" w14:textId="77777777" w:rsidR="00681808" w:rsidRDefault="00681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2223" w14:textId="77777777" w:rsidR="00F91881" w:rsidRDefault="00F91881">
      <w:r>
        <w:separator/>
      </w:r>
    </w:p>
  </w:footnote>
  <w:footnote w:type="continuationSeparator" w:id="0">
    <w:p w14:paraId="61DB02AF" w14:textId="77777777" w:rsidR="00F91881" w:rsidRDefault="00F91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 w:name="EN.InstantFormat" w:val="&lt;ENInstantFormat&gt;&lt;Enabled&gt;1&lt;/Enabled&gt;&lt;ScanUnformatted&gt;1&lt;/ScanUnformatted&gt;&lt;ScanChanges&gt;1&lt;/ScanChanges&gt;&lt;Suspended&gt;0&lt;/Suspended&gt;&lt;/ENInstantFormat&gt;"/>
    <w:docVar w:name="EN.Layout" w:val="&lt;ENLayout&gt;&lt;Style&gt;World J Hepatolog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ras0ed9afepwere26vdttwa5vxvdrfezzr&quot;&gt;COVID-19 and Liver Transplant - Manuscript&lt;record-ids&gt;&lt;item&gt;16&lt;/item&gt;&lt;/record-ids&gt;&lt;/item&gt;&lt;/Libraries&gt;"/>
  </w:docVars>
  <w:rsids>
    <w:rsidRoot w:val="00A77B3E"/>
    <w:rsid w:val="00017602"/>
    <w:rsid w:val="00021ECB"/>
    <w:rsid w:val="0003051A"/>
    <w:rsid w:val="000323D3"/>
    <w:rsid w:val="000352C8"/>
    <w:rsid w:val="000A0DA4"/>
    <w:rsid w:val="000B31A5"/>
    <w:rsid w:val="00202E44"/>
    <w:rsid w:val="00213033"/>
    <w:rsid w:val="002728B8"/>
    <w:rsid w:val="00296C50"/>
    <w:rsid w:val="002C0647"/>
    <w:rsid w:val="00301EAD"/>
    <w:rsid w:val="003211A0"/>
    <w:rsid w:val="00362215"/>
    <w:rsid w:val="0038244E"/>
    <w:rsid w:val="0038247E"/>
    <w:rsid w:val="003958BD"/>
    <w:rsid w:val="003A2E65"/>
    <w:rsid w:val="003A6C36"/>
    <w:rsid w:val="003C4B8F"/>
    <w:rsid w:val="003E5FBD"/>
    <w:rsid w:val="003F0698"/>
    <w:rsid w:val="00400158"/>
    <w:rsid w:val="00413A14"/>
    <w:rsid w:val="00473DD2"/>
    <w:rsid w:val="004E2FC5"/>
    <w:rsid w:val="004F61FC"/>
    <w:rsid w:val="005111B7"/>
    <w:rsid w:val="0059140B"/>
    <w:rsid w:val="005B3534"/>
    <w:rsid w:val="005B736D"/>
    <w:rsid w:val="005E68EC"/>
    <w:rsid w:val="00661E26"/>
    <w:rsid w:val="00681808"/>
    <w:rsid w:val="006867D1"/>
    <w:rsid w:val="006C460C"/>
    <w:rsid w:val="006C7C4B"/>
    <w:rsid w:val="006E658F"/>
    <w:rsid w:val="00742A01"/>
    <w:rsid w:val="007705B4"/>
    <w:rsid w:val="00814662"/>
    <w:rsid w:val="00831C00"/>
    <w:rsid w:val="00834143"/>
    <w:rsid w:val="008D0090"/>
    <w:rsid w:val="009015B8"/>
    <w:rsid w:val="00947078"/>
    <w:rsid w:val="00997EA0"/>
    <w:rsid w:val="009F3102"/>
    <w:rsid w:val="00A270EF"/>
    <w:rsid w:val="00A52A94"/>
    <w:rsid w:val="00A77B3E"/>
    <w:rsid w:val="00B1603B"/>
    <w:rsid w:val="00BC6AF1"/>
    <w:rsid w:val="00C032C3"/>
    <w:rsid w:val="00C11740"/>
    <w:rsid w:val="00CA2A55"/>
    <w:rsid w:val="00CD2500"/>
    <w:rsid w:val="00D541CF"/>
    <w:rsid w:val="00DD52D6"/>
    <w:rsid w:val="00E110B5"/>
    <w:rsid w:val="00E40141"/>
    <w:rsid w:val="00E47AAA"/>
    <w:rsid w:val="00E56CE9"/>
    <w:rsid w:val="00E749E5"/>
    <w:rsid w:val="00EB0351"/>
    <w:rsid w:val="00EB0578"/>
    <w:rsid w:val="00ED3FDD"/>
    <w:rsid w:val="00F10B28"/>
    <w:rsid w:val="00F11A14"/>
    <w:rsid w:val="00F1370F"/>
    <w:rsid w:val="00F2049F"/>
    <w:rsid w:val="00F349C0"/>
    <w:rsid w:val="00F5162D"/>
    <w:rsid w:val="00F76998"/>
    <w:rsid w:val="00F91881"/>
    <w:rsid w:val="00FE713B"/>
    <w:rsid w:val="331A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59786"/>
  <w15:docId w15:val="{1F5BB3EF-781E-47DE-AF45-6BA6D303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hgkelc">
    <w:name w:val="hgkelc"/>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 w:type="character" w:styleId="af">
    <w:name w:val="Hyperlink"/>
    <w:basedOn w:val="a0"/>
    <w:unhideWhenUsed/>
    <w:rsid w:val="00997EA0"/>
    <w:rPr>
      <w:color w:val="0000FF" w:themeColor="hyperlink"/>
      <w:u w:val="single"/>
    </w:rPr>
  </w:style>
  <w:style w:type="character" w:styleId="af0">
    <w:name w:val="Unresolved Mention"/>
    <w:basedOn w:val="a0"/>
    <w:uiPriority w:val="99"/>
    <w:semiHidden/>
    <w:unhideWhenUsed/>
    <w:rsid w:val="0099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4/i6/114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4554</Words>
  <Characters>25962</Characters>
  <Application>Microsoft Office Word</Application>
  <DocSecurity>0</DocSecurity>
  <Lines>216</Lines>
  <Paragraphs>60</Paragraphs>
  <ScaleCrop>false</ScaleCrop>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5</cp:revision>
  <dcterms:created xsi:type="dcterms:W3CDTF">2022-05-28T03:07:00Z</dcterms:created>
  <dcterms:modified xsi:type="dcterms:W3CDTF">2022-06-20T06:13:00Z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257152AD808949F686249D538137468F</vt:lpwstr>
  </property>
</Properties>
</file>