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Hepatology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74837</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LETTER TO THE EDITOR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Role of biliary complications in chronic graft rejection after living donor liver transplantation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Obed </w:t>
      </w:r>
      <w:r>
        <w:rPr>
          <w:rFonts w:hint="eastAsia" w:ascii="Book Antiqua" w:hAnsi="Book Antiqua" w:cs="Book Antiqua"/>
          <w:color w:val="000000"/>
          <w:lang w:eastAsia="zh-CN"/>
        </w:rPr>
        <w:t xml:space="preserve">A </w:t>
      </w:r>
      <w:r>
        <w:rPr>
          <w:rFonts w:hint="eastAsia" w:ascii="Book Antiqua" w:hAnsi="Book Antiqua" w:cs="Book Antiqua"/>
          <w:i/>
          <w:color w:val="000000"/>
          <w:lang w:eastAsia="zh-CN"/>
        </w:rPr>
        <w:t>et al</w:t>
      </w:r>
      <w:r>
        <w:rPr>
          <w:rFonts w:hint="eastAsia" w:ascii="Book Antiqua" w:hAnsi="Book Antiqua" w:cs="Book Antiqua"/>
          <w:color w:val="000000"/>
          <w:lang w:eastAsia="zh-CN"/>
        </w:rPr>
        <w:t xml:space="preserve">. </w:t>
      </w:r>
      <w:r>
        <w:rPr>
          <w:rFonts w:ascii="Book Antiqua" w:hAnsi="Book Antiqua" w:eastAsia="Book Antiqua" w:cs="Book Antiqua"/>
          <w:color w:val="000000"/>
        </w:rPr>
        <w:t>Biliary complications and chronic graft rejection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Aiman Obed, Abdalla Bashir, Anwar Jarrad, Laszlo Fuzesi</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Aiman Obed, </w:t>
      </w:r>
      <w:r>
        <w:rPr>
          <w:rFonts w:ascii="Book Antiqua" w:hAnsi="Book Antiqua" w:eastAsia="Book Antiqua" w:cs="Book Antiqua"/>
          <w:color w:val="000000"/>
        </w:rPr>
        <w:t xml:space="preserve">Hepatobiliary </w:t>
      </w:r>
      <w:r>
        <w:rPr>
          <w:rFonts w:hint="eastAsia" w:ascii="Book Antiqua" w:hAnsi="Book Antiqua" w:cs="Book Antiqua"/>
          <w:color w:val="000000"/>
          <w:lang w:eastAsia="zh-CN"/>
        </w:rPr>
        <w:t>and</w:t>
      </w:r>
      <w:r>
        <w:rPr>
          <w:rFonts w:ascii="Book Antiqua" w:hAnsi="Book Antiqua" w:eastAsia="Book Antiqua" w:cs="Book Antiqua"/>
          <w:color w:val="000000"/>
        </w:rPr>
        <w:t xml:space="preserve"> Liver Transplant Unit, Jordan Hospital, Amman 52112, Jordan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Abdalla Bashir, </w:t>
      </w:r>
      <w:r>
        <w:rPr>
          <w:rFonts w:ascii="Book Antiqua" w:hAnsi="Book Antiqua" w:eastAsia="Book Antiqua" w:cs="Book Antiqua"/>
          <w:bCs/>
          <w:color w:val="000000"/>
        </w:rPr>
        <w:t>Department</w:t>
      </w:r>
      <w:r>
        <w:rPr>
          <w:rFonts w:hint="eastAsia" w:ascii="Book Antiqua" w:hAnsi="Book Antiqua" w:cs="Book Antiqua"/>
          <w:bCs/>
          <w:color w:val="000000"/>
          <w:lang w:eastAsia="zh-CN"/>
        </w:rPr>
        <w:t xml:space="preserve"> of </w:t>
      </w:r>
      <w:r>
        <w:rPr>
          <w:rFonts w:ascii="Book Antiqua" w:hAnsi="Book Antiqua" w:eastAsia="Book Antiqua" w:cs="Book Antiqua"/>
          <w:color w:val="000000"/>
        </w:rPr>
        <w:t xml:space="preserve">General </w:t>
      </w:r>
      <w:r>
        <w:rPr>
          <w:rFonts w:hint="eastAsia" w:ascii="Book Antiqua" w:hAnsi="Book Antiqua" w:cs="Book Antiqua"/>
          <w:color w:val="000000"/>
          <w:lang w:eastAsia="zh-CN"/>
        </w:rPr>
        <w:t>S</w:t>
      </w:r>
      <w:r>
        <w:rPr>
          <w:rFonts w:ascii="Book Antiqua" w:hAnsi="Book Antiqua" w:eastAsia="Book Antiqua" w:cs="Book Antiqua"/>
          <w:color w:val="000000"/>
        </w:rPr>
        <w:t xml:space="preserve">urgery, Jordan </w:t>
      </w:r>
      <w:r>
        <w:rPr>
          <w:rFonts w:hint="eastAsia" w:ascii="Book Antiqua" w:hAnsi="Book Antiqua" w:cs="Book Antiqua"/>
          <w:color w:val="000000"/>
          <w:lang w:eastAsia="zh-CN"/>
        </w:rPr>
        <w:t>H</w:t>
      </w:r>
      <w:r>
        <w:rPr>
          <w:rFonts w:ascii="Book Antiqua" w:hAnsi="Book Antiqua" w:eastAsia="Book Antiqua" w:cs="Book Antiqua"/>
          <w:color w:val="000000"/>
        </w:rPr>
        <w:t>ospital, Amman 52112, Jordan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Anwar Jarrad, </w:t>
      </w:r>
      <w:r>
        <w:rPr>
          <w:rFonts w:ascii="Book Antiqua" w:hAnsi="Book Antiqua" w:eastAsia="Book Antiqua" w:cs="Book Antiqua"/>
          <w:bCs/>
          <w:color w:val="000000"/>
        </w:rPr>
        <w:t>Department</w:t>
      </w:r>
      <w:r>
        <w:rPr>
          <w:rFonts w:hint="eastAsia" w:ascii="Book Antiqua" w:hAnsi="Book Antiqua" w:cs="Book Antiqua"/>
          <w:bCs/>
          <w:color w:val="000000"/>
          <w:lang w:eastAsia="zh-CN"/>
        </w:rPr>
        <w:t xml:space="preserve"> of </w:t>
      </w:r>
      <w:r>
        <w:rPr>
          <w:rFonts w:ascii="Book Antiqua" w:hAnsi="Book Antiqua" w:eastAsia="Book Antiqua" w:cs="Book Antiqua"/>
          <w:color w:val="000000"/>
        </w:rPr>
        <w:t>Hepatology, Jordan Hospital, Amman 52112, Jordan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Laszlo Fuzesi, </w:t>
      </w:r>
      <w:r>
        <w:rPr>
          <w:rFonts w:ascii="Book Antiqua" w:hAnsi="Book Antiqua" w:eastAsia="Book Antiqua" w:cs="Book Antiqua"/>
          <w:bCs/>
          <w:color w:val="000000"/>
        </w:rPr>
        <w:t>Department</w:t>
      </w:r>
      <w:r>
        <w:rPr>
          <w:rFonts w:hint="eastAsia" w:ascii="Book Antiqua" w:hAnsi="Book Antiqua" w:cs="Book Antiqua"/>
          <w:bCs/>
          <w:color w:val="000000"/>
          <w:lang w:eastAsia="zh-CN"/>
        </w:rPr>
        <w:t xml:space="preserve"> of </w:t>
      </w:r>
      <w:r>
        <w:rPr>
          <w:rFonts w:ascii="Book Antiqua" w:hAnsi="Book Antiqua" w:eastAsia="Book Antiqua" w:cs="Book Antiqua"/>
          <w:color w:val="000000"/>
        </w:rPr>
        <w:t>Pathology, Faculty of Medicine, University Augsburg, Augsburg 86156, Germany</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 xml:space="preserve">Obed </w:t>
      </w:r>
      <w:r>
        <w:rPr>
          <w:rFonts w:hint="eastAsia" w:ascii="Book Antiqua" w:hAnsi="Book Antiqua" w:cs="Book Antiqua"/>
          <w:color w:val="000000"/>
          <w:lang w:eastAsia="zh-CN"/>
        </w:rPr>
        <w:t xml:space="preserve">A </w:t>
      </w:r>
      <w:r>
        <w:rPr>
          <w:rFonts w:ascii="Book Antiqua" w:hAnsi="Book Antiqua" w:eastAsia="Book Antiqua" w:cs="Book Antiqua"/>
          <w:color w:val="000000"/>
        </w:rPr>
        <w:t>designed the research; Obed</w:t>
      </w:r>
      <w:r>
        <w:rPr>
          <w:rFonts w:hint="eastAsia" w:ascii="Book Antiqua" w:hAnsi="Book Antiqua" w:cs="Book Antiqua"/>
          <w:color w:val="000000"/>
          <w:lang w:eastAsia="zh-CN"/>
        </w:rPr>
        <w:t xml:space="preserve"> A</w:t>
      </w:r>
      <w:r>
        <w:rPr>
          <w:rFonts w:ascii="Book Antiqua" w:hAnsi="Book Antiqua" w:eastAsia="Book Antiqua" w:cs="Book Antiqua"/>
          <w:color w:val="000000"/>
        </w:rPr>
        <w:t xml:space="preserve">, Füzesi </w:t>
      </w:r>
      <w:r>
        <w:rPr>
          <w:rFonts w:hint="eastAsia" w:ascii="Book Antiqua" w:hAnsi="Book Antiqua" w:cs="Book Antiqua"/>
          <w:color w:val="000000"/>
          <w:lang w:eastAsia="zh-CN"/>
        </w:rPr>
        <w:t>L</w:t>
      </w:r>
      <w:r>
        <w:rPr>
          <w:rFonts w:ascii="Book Antiqua" w:hAnsi="Book Antiqua" w:cs="Book Antiqua"/>
          <w:color w:val="000000"/>
          <w:lang w:eastAsia="zh-CN"/>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and Jarrad </w:t>
      </w:r>
      <w:r>
        <w:rPr>
          <w:rFonts w:hint="eastAsia" w:ascii="Book Antiqua" w:hAnsi="Book Antiqua" w:cs="Book Antiqua"/>
          <w:color w:val="000000"/>
          <w:lang w:eastAsia="zh-CN"/>
        </w:rPr>
        <w:t xml:space="preserve">A </w:t>
      </w:r>
      <w:r>
        <w:rPr>
          <w:rFonts w:ascii="Book Antiqua" w:hAnsi="Book Antiqua" w:eastAsia="Book Antiqua" w:cs="Book Antiqua"/>
          <w:color w:val="000000"/>
        </w:rPr>
        <w:t>performed research</w:t>
      </w:r>
      <w:r>
        <w:rPr>
          <w:rFonts w:hint="eastAsia" w:ascii="Book Antiqua" w:hAnsi="Book Antiqua" w:cs="Book Antiqua"/>
          <w:color w:val="000000"/>
          <w:lang w:eastAsia="zh-CN"/>
        </w:rPr>
        <w:t xml:space="preserve"> and </w:t>
      </w:r>
      <w:r>
        <w:rPr>
          <w:rFonts w:ascii="Book Antiqua" w:hAnsi="Book Antiqua" w:eastAsia="Book Antiqua" w:cs="Book Antiqua"/>
          <w:color w:val="000000"/>
        </w:rPr>
        <w:t xml:space="preserve">revised the letter; Bashir </w:t>
      </w:r>
      <w:r>
        <w:rPr>
          <w:rFonts w:hint="eastAsia" w:ascii="Book Antiqua" w:hAnsi="Book Antiqua" w:cs="Book Antiqua"/>
          <w:color w:val="000000"/>
          <w:lang w:eastAsia="zh-CN"/>
        </w:rPr>
        <w:t xml:space="preserve">A </w:t>
      </w:r>
      <w:r>
        <w:rPr>
          <w:rFonts w:ascii="Book Antiqua" w:hAnsi="Book Antiqua" w:eastAsia="Book Antiqua" w:cs="Book Antiqua"/>
          <w:color w:val="000000"/>
        </w:rPr>
        <w:t xml:space="preserve">and Obed </w:t>
      </w:r>
      <w:r>
        <w:rPr>
          <w:rFonts w:hint="eastAsia" w:ascii="Book Antiqua" w:hAnsi="Book Antiqua" w:cs="Book Antiqua"/>
          <w:color w:val="000000"/>
          <w:lang w:eastAsia="zh-CN"/>
        </w:rPr>
        <w:t xml:space="preserve">A </w:t>
      </w:r>
      <w:r>
        <w:rPr>
          <w:rFonts w:ascii="Book Antiqua" w:hAnsi="Book Antiqua" w:eastAsia="Book Antiqua" w:cs="Book Antiqua"/>
          <w:color w:val="000000"/>
        </w:rPr>
        <w:t xml:space="preserve">analyzed the data; Obed </w:t>
      </w:r>
      <w:r>
        <w:rPr>
          <w:rFonts w:hint="eastAsia" w:ascii="Book Antiqua" w:hAnsi="Book Antiqua" w:cs="Book Antiqua"/>
          <w:color w:val="000000"/>
          <w:lang w:eastAsia="zh-CN"/>
        </w:rPr>
        <w:t xml:space="preserve">A </w:t>
      </w:r>
      <w:r>
        <w:rPr>
          <w:rFonts w:ascii="Book Antiqua" w:hAnsi="Book Antiqua" w:eastAsia="Book Antiqua" w:cs="Book Antiqua"/>
          <w:color w:val="000000"/>
        </w:rPr>
        <w:t xml:space="preserve">and Bashir </w:t>
      </w:r>
      <w:r>
        <w:rPr>
          <w:rFonts w:hint="eastAsia" w:ascii="Book Antiqua" w:hAnsi="Book Antiqua" w:cs="Book Antiqua"/>
          <w:color w:val="000000"/>
          <w:lang w:eastAsia="zh-CN"/>
        </w:rPr>
        <w:t xml:space="preserve">A </w:t>
      </w:r>
      <w:r>
        <w:rPr>
          <w:rFonts w:ascii="Book Antiqua" w:hAnsi="Book Antiqua" w:eastAsia="Book Antiqua" w:cs="Book Antiqua"/>
          <w:color w:val="000000"/>
        </w:rPr>
        <w:t>wrote the letter.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Aiman Obed, FACS, FEBS, MD, Associate Professor, Doctor, Surgeon, Surgical Oncologist, </w:t>
      </w:r>
      <w:r>
        <w:rPr>
          <w:rFonts w:ascii="Book Antiqua" w:hAnsi="Book Antiqua" w:eastAsia="Book Antiqua" w:cs="Book Antiqua"/>
          <w:color w:val="000000"/>
        </w:rPr>
        <w:t xml:space="preserve">Hepatobiliary </w:t>
      </w:r>
      <w:r>
        <w:rPr>
          <w:rFonts w:hint="eastAsia" w:ascii="Book Antiqua" w:hAnsi="Book Antiqua" w:cs="Book Antiqua"/>
          <w:color w:val="000000"/>
          <w:lang w:eastAsia="zh-CN"/>
        </w:rPr>
        <w:t>and</w:t>
      </w:r>
      <w:r>
        <w:rPr>
          <w:rFonts w:ascii="Book Antiqua" w:hAnsi="Book Antiqua" w:eastAsia="Book Antiqua" w:cs="Book Antiqua"/>
          <w:color w:val="000000"/>
        </w:rPr>
        <w:t xml:space="preserve"> Liver Transplant Unit, Jordan Hospital, Queen Noor Street, Amman 52112, Jordan. aimanobed@hotmail.com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January 8, 2022</w:t>
      </w:r>
    </w:p>
    <w:p>
      <w:pPr>
        <w:spacing w:line="360" w:lineRule="auto"/>
        <w:jc w:val="both"/>
        <w:rPr>
          <w:rFonts w:ascii="Book Antiqua" w:hAnsi="Book Antiqua"/>
          <w:lang w:eastAsia="zh-CN"/>
        </w:rPr>
      </w:pPr>
      <w:r>
        <w:rPr>
          <w:rFonts w:ascii="Book Antiqua" w:hAnsi="Book Antiqua" w:eastAsia="Book Antiqua" w:cs="Book Antiqua"/>
          <w:b/>
          <w:bCs/>
          <w:color w:val="000000"/>
        </w:rPr>
        <w:t xml:space="preserve">Revised: </w:t>
      </w:r>
      <w:r>
        <w:rPr>
          <w:rFonts w:ascii="Book Antiqua" w:hAnsi="Book Antiqua" w:eastAsia="Book Antiqua" w:cs="Book Antiqua"/>
          <w:bCs/>
          <w:color w:val="000000"/>
        </w:rPr>
        <w:t>February</w:t>
      </w:r>
      <w:r>
        <w:rPr>
          <w:rFonts w:hint="eastAsia" w:ascii="Book Antiqua" w:hAnsi="Book Antiqua" w:cs="Book Antiqua"/>
          <w:bCs/>
          <w:color w:val="000000"/>
          <w:lang w:eastAsia="zh-CN"/>
        </w:rPr>
        <w:t xml:space="preserve"> 14, 2022</w:t>
      </w:r>
    </w:p>
    <w:p>
      <w:pPr>
        <w:spacing w:line="360" w:lineRule="auto"/>
        <w:jc w:val="both"/>
        <w:rPr>
          <w:rFonts w:ascii="Book Antiqua" w:hAnsi="Book Antiqua"/>
          <w:b w:val="0"/>
          <w:bCs w:val="0"/>
          <w:highlight w:val="none"/>
          <w:lang w:eastAsia="zh-CN"/>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highlight w:val="none"/>
        </w:rPr>
        <w:t>April 28, 2022</w:t>
      </w:r>
    </w:p>
    <w:p>
      <w:pPr>
        <w:spacing w:line="360" w:lineRule="auto"/>
        <w:jc w:val="both"/>
        <w:rPr>
          <w:rFonts w:ascii="Book Antiqua" w:hAnsi="Book Antiqua"/>
          <w:sz w:val="24"/>
          <w:szCs w:val="24"/>
          <w:lang w:eastAsia="zh-CN"/>
        </w:rPr>
      </w:pPr>
      <w:r>
        <w:rPr>
          <w:rFonts w:ascii="Book Antiqua" w:hAnsi="Book Antiqua" w:eastAsia="Book Antiqua" w:cs="Book Antiqua"/>
          <w:b/>
          <w:bCs/>
          <w:color w:val="000000"/>
        </w:rPr>
        <w:t xml:space="preserve">Published online: </w:t>
      </w:r>
      <w:r>
        <w:rPr>
          <w:rFonts w:ascii="Book Antiqua" w:hAnsi="Book Antiqua" w:eastAsia="Book Antiqua" w:cs="Book Antiqua"/>
          <w:i w:val="0"/>
          <w:iCs w:val="0"/>
          <w:caps w:val="0"/>
          <w:color w:val="000000"/>
          <w:spacing w:val="0"/>
          <w:sz w:val="24"/>
          <w:szCs w:val="24"/>
          <w:shd w:val="clear" w:fill="FFFFFF"/>
        </w:rPr>
        <w:t>May 27, 2022</w:t>
      </w:r>
    </w:p>
    <w:p>
      <w:pPr>
        <w:spacing w:line="360" w:lineRule="auto"/>
        <w:jc w:val="both"/>
        <w:rPr>
          <w:rFonts w:ascii="Book Antiqua" w:hAnsi="Book Antiqua"/>
          <w:lang w:eastAsia="zh-CN"/>
        </w:rPr>
      </w:pPr>
    </w:p>
    <w:p>
      <w:pPr>
        <w:spacing w:line="360" w:lineRule="auto"/>
        <w:jc w:val="both"/>
        <w:rPr>
          <w:rFonts w:ascii="Book Antiqua" w:hAnsi="Book Antiqua"/>
          <w:lang w:eastAsia="zh-CN"/>
        </w:rPr>
      </w:pPr>
    </w:p>
    <w:p>
      <w:pPr>
        <w:spacing w:line="360" w:lineRule="auto"/>
        <w:jc w:val="both"/>
        <w:rPr>
          <w:rFonts w:ascii="Book Antiqua" w:hAnsi="Book Antiqua"/>
          <w:lang w:eastAsia="zh-CN"/>
        </w:rPr>
      </w:pP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Abstract</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In clinical practice, post-transplant cholangiopathy is a multifactorial process, including not only biliary complications like biliary leakage, biliary infection and biliary stricture, idiopathic post-transplant chronic hepatitis, fibrosing cholestatic hepatitis, and viral infections like </w:t>
      </w:r>
      <w:r>
        <w:rPr>
          <w:rFonts w:hint="eastAsia" w:ascii="Book Antiqua" w:hAnsi="Book Antiqua" w:cs="Book Antiqua"/>
          <w:color w:val="000000"/>
          <w:highlight w:val="none"/>
          <w:lang w:eastAsia="zh-CN"/>
        </w:rPr>
        <w:t>c</w:t>
      </w:r>
      <w:r>
        <w:rPr>
          <w:rFonts w:ascii="Book Antiqua" w:hAnsi="Book Antiqua" w:eastAsia="Book Antiqua" w:cs="Book Antiqua"/>
          <w:color w:val="000000"/>
          <w:highlight w:val="none"/>
        </w:rPr>
        <w:t>ytomegalovirus but also chronic graft rejection. The post-transplant cholangiopathy substantially influences graft, as well as patient outcome and survival. Therefore, it is of outmost importance to distinguish the underlying etiology while simultaneously appreciating the heterogeneous nature of post-transplant cholangiopathy. A better understanding of clinical and histopathological features can result in an improved therapy strategy.</w:t>
      </w:r>
    </w:p>
    <w:p>
      <w:pPr>
        <w:spacing w:line="360" w:lineRule="auto"/>
        <w:jc w:val="both"/>
        <w:rPr>
          <w:rFonts w:ascii="Book Antiqua" w:hAnsi="Book Antiqua"/>
          <w:highlight w:val="none"/>
        </w:rPr>
      </w:pPr>
    </w:p>
    <w:p>
      <w:pPr>
        <w:spacing w:line="360" w:lineRule="auto"/>
        <w:jc w:val="both"/>
        <w:rPr>
          <w:rFonts w:ascii="Book Antiqua" w:hAnsi="Book Antiqua"/>
          <w:highlight w:val="none"/>
        </w:rPr>
      </w:pPr>
      <w:r>
        <w:rPr>
          <w:rFonts w:ascii="Book Antiqua" w:hAnsi="Book Antiqua" w:eastAsia="Book Antiqua" w:cs="Book Antiqua"/>
          <w:b/>
          <w:bCs/>
          <w:color w:val="000000"/>
          <w:highlight w:val="none"/>
        </w:rPr>
        <w:t xml:space="preserve">Key Words: </w:t>
      </w:r>
      <w:r>
        <w:rPr>
          <w:rFonts w:ascii="Book Antiqua" w:hAnsi="Book Antiqua" w:eastAsia="Book Antiqua" w:cs="Book Antiqua"/>
          <w:color w:val="000000"/>
          <w:highlight w:val="none"/>
        </w:rPr>
        <w:t>Chronic graft rejection; Biliary complications; Living donor liver transplantation; Graft survival; Cholangiopathy</w:t>
      </w:r>
    </w:p>
    <w:p>
      <w:pPr>
        <w:spacing w:line="360" w:lineRule="auto"/>
        <w:jc w:val="both"/>
        <w:rPr>
          <w:rFonts w:ascii="Book Antiqua" w:hAnsi="Book Antiqua"/>
          <w:highlight w:val="none"/>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highlight w:val="none"/>
        </w:rPr>
      </w:pPr>
    </w:p>
    <w:p>
      <w:pPr>
        <w:spacing w:line="360" w:lineRule="auto"/>
        <w:jc w:val="both"/>
        <w:rPr>
          <w:rFonts w:hint="eastAsia" w:ascii="Book Antiqua" w:hAnsi="Book Antiqua" w:eastAsia="Book Antiqua" w:cs="Book Antiqua"/>
          <w:color w:val="000000"/>
          <w:highlight w:val="none"/>
        </w:rPr>
      </w:pPr>
      <w:r>
        <w:rPr>
          <w:rFonts w:hint="eastAsia" w:ascii="Book Antiqua" w:hAnsi="Book Antiqua"/>
          <w:b/>
          <w:bCs/>
          <w:lang w:val="en-US" w:eastAsia="zh-CN"/>
        </w:rPr>
        <w:t xml:space="preserve">Citation: </w:t>
      </w:r>
      <w:r>
        <w:rPr>
          <w:rFonts w:ascii="Book Antiqua" w:hAnsi="Book Antiqua" w:eastAsia="Book Antiqua" w:cs="Book Antiqua"/>
          <w:color w:val="000000"/>
          <w:highlight w:val="none"/>
        </w:rPr>
        <w:t xml:space="preserve">Obed A, Bashir A, Jarrad A, Fuzesi L. Role of biliary complication in chronic graft rejection after living donor liver transplantation. </w:t>
      </w:r>
      <w:r>
        <w:rPr>
          <w:rFonts w:ascii="Book Antiqua" w:hAnsi="Book Antiqua" w:eastAsia="Book Antiqua" w:cs="Book Antiqua"/>
          <w:i/>
          <w:iCs/>
          <w:color w:val="000000"/>
          <w:highlight w:val="none"/>
        </w:rPr>
        <w:t>World J Hepatol</w:t>
      </w:r>
      <w:r>
        <w:rPr>
          <w:rFonts w:ascii="Book Antiqua" w:hAnsi="Book Antiqua" w:eastAsia="Book Antiqua" w:cs="Book Antiqua"/>
          <w:color w:val="000000"/>
          <w:highlight w:val="none"/>
        </w:rPr>
        <w:t xml:space="preserve"> 2022; </w:t>
      </w:r>
      <w:r>
        <w:rPr>
          <w:rFonts w:hint="eastAsia" w:ascii="Book Antiqua" w:hAnsi="Book Antiqua" w:eastAsia="Book Antiqua" w:cs="Book Antiqua"/>
          <w:color w:val="000000"/>
          <w:highlight w:val="none"/>
        </w:rPr>
        <w:t xml:space="preserve">14(5): </w:t>
      </w:r>
      <w:r>
        <w:rPr>
          <w:rFonts w:hint="eastAsia" w:ascii="Book Antiqua" w:hAnsi="Book Antiqua" w:eastAsia="宋体" w:cs="Book Antiqua"/>
          <w:color w:val="000000"/>
          <w:highlight w:val="none"/>
          <w:lang w:val="en-US" w:eastAsia="zh-CN"/>
        </w:rPr>
        <w:t>1050</w:t>
      </w:r>
      <w:r>
        <w:rPr>
          <w:rFonts w:hint="eastAsia" w:ascii="Book Antiqua" w:hAnsi="Book Antiqua" w:eastAsia="Book Antiqua" w:cs="Book Antiqua"/>
          <w:color w:val="000000"/>
          <w:highlight w:val="none"/>
        </w:rPr>
        <w:t>-</w:t>
      </w:r>
      <w:r>
        <w:rPr>
          <w:rFonts w:hint="eastAsia" w:ascii="Book Antiqua" w:hAnsi="Book Antiqua" w:eastAsia="宋体" w:cs="Book Antiqua"/>
          <w:color w:val="000000"/>
          <w:highlight w:val="none"/>
          <w:lang w:val="en-US" w:eastAsia="zh-CN"/>
        </w:rPr>
        <w:t>1052</w:t>
      </w:r>
      <w:r>
        <w:rPr>
          <w:rFonts w:hint="eastAsia" w:ascii="Book Antiqua" w:hAnsi="Book Antiqua" w:eastAsia="Book Antiqua" w:cs="Book Antiqua"/>
          <w:color w:val="000000"/>
          <w:highlight w:val="none"/>
        </w:rPr>
        <w:t xml:space="preserve"> </w:t>
      </w:r>
    </w:p>
    <w:p>
      <w:pPr>
        <w:spacing w:line="360" w:lineRule="auto"/>
        <w:jc w:val="both"/>
        <w:rPr>
          <w:rFonts w:hint="eastAsia" w:ascii="Book Antiqua" w:hAnsi="Book Antiqua" w:eastAsia="Book Antiqua" w:cs="Book Antiqua"/>
          <w:color w:val="000000"/>
          <w:highlight w:val="none"/>
        </w:rPr>
      </w:pPr>
      <w:r>
        <w:rPr>
          <w:rFonts w:hint="eastAsia" w:ascii="Book Antiqua" w:hAnsi="Book Antiqua" w:eastAsia="Book Antiqua" w:cs="Book Antiqua"/>
          <w:b/>
          <w:bCs/>
          <w:color w:val="000000"/>
          <w:highlight w:val="none"/>
        </w:rPr>
        <w:t>URL</w:t>
      </w:r>
      <w:r>
        <w:rPr>
          <w:rFonts w:hint="eastAsia" w:ascii="Book Antiqua" w:hAnsi="Book Antiqua" w:eastAsia="Book Antiqua" w:cs="Book Antiqua"/>
          <w:color w:val="000000"/>
          <w:highlight w:val="none"/>
        </w:rPr>
        <w:t>: https://www.wjgnet.com/1948-5182/full/v14/i5/</w:t>
      </w:r>
      <w:r>
        <w:rPr>
          <w:rFonts w:hint="eastAsia" w:ascii="Book Antiqua" w:hAnsi="Book Antiqua" w:eastAsia="宋体" w:cs="Book Antiqua"/>
          <w:color w:val="000000"/>
          <w:highlight w:val="none"/>
          <w:lang w:val="en-US" w:eastAsia="zh-CN"/>
        </w:rPr>
        <w:t>1050</w:t>
      </w:r>
      <w:r>
        <w:rPr>
          <w:rFonts w:hint="eastAsia" w:ascii="Book Antiqua" w:hAnsi="Book Antiqua" w:eastAsia="Book Antiqua" w:cs="Book Antiqua"/>
          <w:color w:val="000000"/>
          <w:highlight w:val="none"/>
        </w:rPr>
        <w:t xml:space="preserve">.htm </w:t>
      </w:r>
    </w:p>
    <w:p>
      <w:pPr>
        <w:spacing w:line="360" w:lineRule="auto"/>
        <w:jc w:val="both"/>
        <w:rPr>
          <w:rFonts w:hint="default" w:ascii="Book Antiqua" w:hAnsi="Book Antiqua" w:eastAsia="宋体"/>
          <w:highlight w:val="none"/>
          <w:lang w:val="en-US" w:eastAsia="zh-CN"/>
        </w:rPr>
      </w:pPr>
      <w:r>
        <w:rPr>
          <w:rFonts w:hint="eastAsia" w:ascii="Book Antiqua" w:hAnsi="Book Antiqua" w:eastAsia="Book Antiqua" w:cs="Book Antiqua"/>
          <w:b/>
          <w:bCs/>
          <w:color w:val="000000"/>
          <w:highlight w:val="none"/>
        </w:rPr>
        <w:t>DOI</w:t>
      </w:r>
      <w:r>
        <w:rPr>
          <w:rFonts w:hint="eastAsia" w:ascii="Book Antiqua" w:hAnsi="Book Antiqua" w:eastAsia="Book Antiqua" w:cs="Book Antiqua"/>
          <w:color w:val="000000"/>
          <w:highlight w:val="none"/>
        </w:rPr>
        <w:t>: https://dx.doi.org/10.4254/wjh.v14.i5.</w:t>
      </w:r>
      <w:r>
        <w:rPr>
          <w:rFonts w:hint="eastAsia" w:ascii="Book Antiqua" w:hAnsi="Book Antiqua" w:eastAsia="宋体" w:cs="Book Antiqua"/>
          <w:color w:val="000000"/>
          <w:highlight w:val="none"/>
          <w:lang w:val="en-US" w:eastAsia="zh-CN"/>
        </w:rPr>
        <w:t>1050</w:t>
      </w:r>
      <w:bookmarkStart w:id="0" w:name="_GoBack"/>
      <w:bookmarkEnd w:id="0"/>
    </w:p>
    <w:p>
      <w:pPr>
        <w:spacing w:line="360" w:lineRule="auto"/>
        <w:jc w:val="both"/>
        <w:rPr>
          <w:rFonts w:ascii="Book Antiqua" w:hAnsi="Book Antiqua" w:eastAsia="Book Antiqua" w:cs="Book Antiqua"/>
          <w:color w:val="000000"/>
          <w:highlight w:val="none"/>
        </w:rPr>
      </w:pPr>
      <w:r>
        <w:rPr>
          <w:rFonts w:ascii="Book Antiqua" w:hAnsi="Book Antiqua" w:eastAsia="Book Antiqua" w:cs="Book Antiqua"/>
          <w:b/>
          <w:bCs/>
          <w:color w:val="000000"/>
          <w:highlight w:val="none"/>
        </w:rPr>
        <w:t xml:space="preserve">Core Tip: </w:t>
      </w:r>
    </w:p>
    <w:p>
      <w:pPr>
        <w:spacing w:line="360" w:lineRule="auto"/>
        <w:jc w:val="both"/>
        <w:rPr>
          <w:rFonts w:ascii="Book Antiqua" w:hAnsi="Book Antiqua"/>
          <w:highlight w:val="none"/>
        </w:rPr>
      </w:pPr>
      <w:r>
        <w:rPr>
          <w:rFonts w:ascii="Book Antiqua" w:hAnsi="Book Antiqua" w:eastAsia="Book Antiqua" w:cs="Book Antiqua"/>
          <w:color w:val="000000"/>
          <w:highlight w:val="none"/>
        </w:rPr>
        <w:t xml:space="preserve">Postoperative biliary complications remain a substantial challenge after living donor liver transplantation, especially due to its heterogeneous clinical presentation. </w:t>
      </w:r>
    </w:p>
    <w:p>
      <w:pPr>
        <w:spacing w:line="360" w:lineRule="auto"/>
        <w:jc w:val="both"/>
        <w:rPr>
          <w:rFonts w:ascii="Book Antiqua" w:hAnsi="Book Antiqua"/>
        </w:rPr>
      </w:pP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br w:type="page"/>
      </w:r>
      <w:r>
        <w:rPr>
          <w:rFonts w:ascii="Book Antiqua" w:hAnsi="Book Antiqua" w:eastAsia="Book Antiqua" w:cs="Book Antiqua"/>
          <w:b/>
          <w:caps/>
          <w:color w:val="000000"/>
          <w:u w:val="single"/>
        </w:rPr>
        <w:t>TO THE EDITOR</w:t>
      </w:r>
    </w:p>
    <w:p>
      <w:pPr>
        <w:spacing w:line="360" w:lineRule="auto"/>
        <w:jc w:val="both"/>
        <w:rPr>
          <w:rFonts w:ascii="Book Antiqua" w:hAnsi="Book Antiqua"/>
        </w:rPr>
      </w:pPr>
      <w:r>
        <w:rPr>
          <w:rFonts w:ascii="Book Antiqua" w:hAnsi="Book Antiqua" w:eastAsia="Book Antiqua" w:cs="Book Antiqua"/>
          <w:color w:val="000000"/>
        </w:rPr>
        <w:t xml:space="preserve">With great interest, we read the article by Guirguis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 xml:space="preserve">[1] </w:t>
      </w:r>
      <w:r>
        <w:rPr>
          <w:rFonts w:ascii="Book Antiqua" w:hAnsi="Book Antiqua" w:eastAsia="Book Antiqua" w:cs="Book Antiqua"/>
          <w:color w:val="000000"/>
        </w:rPr>
        <w:t xml:space="preserve">entitled “Biliary complications in recipients of living donor liver transplantation: A single-center study”. The study presents the findings on 169 recipients of right-lobe living-donor liver transplantation, which were followed for at least 1 year, or until graft or patient loss occurred. Based on their data on biliary leakage, biliary infection, and biliary stricture, as well as the presence of chronic graft rejection (CGR) and failure, the authors conclude that biliary infection/complications are an independent risk factor for CGR and graft failure in their study population. </w:t>
      </w:r>
    </w:p>
    <w:p>
      <w:pPr>
        <w:spacing w:line="360" w:lineRule="auto"/>
        <w:ind w:firstLine="480" w:firstLineChars="200"/>
        <w:jc w:val="both"/>
        <w:rPr>
          <w:rFonts w:ascii="Book Antiqua" w:hAnsi="Book Antiqua"/>
        </w:rPr>
      </w:pPr>
      <w:r>
        <w:rPr>
          <w:rFonts w:ascii="Book Antiqua" w:hAnsi="Book Antiqua" w:eastAsia="Book Antiqua" w:cs="Book Antiqua"/>
          <w:color w:val="000000"/>
        </w:rPr>
        <w:t>While we congratulate the team on its attempt to unravel the impact of biliary complications on graft survival and mortality, we believe that some conclusions drawn in the article must be critically addressed.</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First, the authors reference a study on a pediatric study population and deduce that biliary infection is a risk factor for CGR. However, in the mentioned study by Tannuri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the authors merely conclude that the occurrence of ductopenia is linked to a poor prognosis in pediatric patients with CGR. Furthermore, the authors outline main pathological changes that indicate CGR, such as vanishing bile duct syndrome and obliterative arteriopathy. Hence, Tannuri </w:t>
      </w:r>
      <w:r>
        <w:rPr>
          <w:rFonts w:ascii="Book Antiqua" w:hAnsi="Book Antiqua" w:eastAsia="Book Antiqua" w:cs="Book Antiqua"/>
          <w:i/>
          <w:iCs/>
          <w:color w:val="000000"/>
        </w:rPr>
        <w:t xml:space="preserve">et al </w:t>
      </w:r>
      <w:r>
        <w:rPr>
          <w:rFonts w:ascii="Book Antiqua" w:hAnsi="Book Antiqua" w:eastAsia="Book Antiqua" w:cs="Book Antiqua"/>
          <w:color w:val="000000"/>
        </w:rPr>
        <w:t>interpret ductopenia as the result of CGR, not its cause.</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On that note, we want to turn the attention to well-defined classifications of CGR, especially in liver grafts for children and adults, respectively. In the updated </w:t>
      </w:r>
      <w:r>
        <w:rPr>
          <w:rFonts w:ascii="Book Antiqua" w:hAnsi="Book Antiqua" w:eastAsia="Book Antiqua" w:cs="Book Antiqua"/>
          <w:i/>
          <w:iCs/>
          <w:color w:val="000000"/>
        </w:rPr>
        <w:t>International Banff Schema for Liver Allograft Rejection</w:t>
      </w:r>
      <w:r>
        <w:rPr>
          <w:rFonts w:ascii="Book Antiqua" w:hAnsi="Book Antiqua" w:eastAsia="Book Antiqua" w:cs="Book Antiqua"/>
          <w:color w:val="000000"/>
        </w:rPr>
        <w:t xml:space="preserve">, Demetris </w:t>
      </w:r>
      <w:r>
        <w:rPr>
          <w:rFonts w:ascii="Book Antiqua" w:hAnsi="Book Antiqua" w:eastAsia="Book Antiqua" w:cs="Book Antiqua"/>
          <w:i/>
          <w:color w:val="000000"/>
        </w:rPr>
        <w:t>et al</w:t>
      </w:r>
      <w:r>
        <w:rPr>
          <w:rFonts w:ascii="Book Antiqua" w:hAnsi="Book Antiqua" w:eastAsia="Book Antiqua" w:cs="Book Antiqua"/>
          <w:color w:val="000000"/>
          <w:vertAlign w:val="superscript"/>
        </w:rPr>
        <w:t xml:space="preserve">[3] </w:t>
      </w:r>
      <w:r>
        <w:rPr>
          <w:rFonts w:ascii="Book Antiqua" w:hAnsi="Book Antiqua" w:eastAsia="Book Antiqua" w:cs="Book Antiqua"/>
          <w:color w:val="000000"/>
        </w:rPr>
        <w:t xml:space="preserve">describe the features of CGR in accordance to histopathological findings of explanted liver tissue. Hereby, leading indicators of advanced CGR are outlined. These include, amongst others, loss of bile ducts (BD) of more than half of portal tracts, as well as the discovery of a foam cell obliterative arteriopathy in rejected tissue. Meanwhile, the loss of BD in less than 50% of portal tracts, BD degeneration, perisinusoidal fibrosis, and inflammation are considered preliminary findings for CGR after liver transplantation. </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 xml:space="preserve">Second, in their retrospective multivariate analysis, </w:t>
      </w:r>
      <w:r>
        <w:rPr>
          <w:rFonts w:ascii="Book Antiqua" w:hAnsi="Book Antiqua" w:eastAsia="Book Antiqua" w:cs="Book Antiqua"/>
          <w:color w:val="000000"/>
          <w:shd w:val="clear" w:color="auto" w:fill="FFFFFF"/>
        </w:rPr>
        <w:t xml:space="preserve">Horster </w:t>
      </w:r>
      <w:r>
        <w:rPr>
          <w:rFonts w:ascii="Book Antiqua" w:hAnsi="Book Antiqua" w:eastAsia="Book Antiqua" w:cs="Book Antiqua"/>
          <w:i/>
          <w:color w:val="000000"/>
        </w:rPr>
        <w:t>et al</w:t>
      </w:r>
      <w:r>
        <w:rPr>
          <w:rFonts w:ascii="Book Antiqua" w:hAnsi="Book Antiqua" w:eastAsia="Book Antiqua" w:cs="Book Antiqua"/>
          <w:color w:val="000000"/>
          <w:vertAlign w:val="superscript"/>
        </w:rPr>
        <w:t>[4]</w:t>
      </w:r>
      <w:r>
        <w:rPr>
          <w:rFonts w:hint="eastAsia" w:ascii="Book Antiqua" w:hAnsi="Book Antiqua" w:cs="Book Antiqua"/>
          <w:color w:val="000000"/>
          <w:vertAlign w:val="superscript"/>
          <w:lang w:eastAsia="zh-CN"/>
        </w:rPr>
        <w:t xml:space="preserve"> </w:t>
      </w:r>
      <w:r>
        <w:rPr>
          <w:rFonts w:ascii="Book Antiqua" w:hAnsi="Book Antiqua" w:eastAsia="Book Antiqua" w:cs="Book Antiqua"/>
          <w:color w:val="000000"/>
        </w:rPr>
        <w:t>reported on their 12-year experience with 352 liver transplant recipients. They identified HCV serostatus and high peri-transplantation viral serum loads as independent risk factors for postoperative anastomotic strictures. While non-anastomotic strictures, the presence of bile leaks, and subsequent treatment interventions worsened graft outcome in all patients, no increase of CGR was detected. Notably, biliary complications and HCV serum positivity exerted additive effects, although individually they did not alter the risk for graft loss. However, HCV-positive patients with BCs displayed significantly worse graft outcomes. The authors did not conclude that biliary infections would lead to CGR.</w:t>
      </w:r>
    </w:p>
    <w:p>
      <w:pPr>
        <w:spacing w:line="360" w:lineRule="auto"/>
        <w:ind w:firstLine="480" w:firstLineChars="200"/>
        <w:jc w:val="both"/>
        <w:rPr>
          <w:rFonts w:ascii="Book Antiqua" w:hAnsi="Book Antiqua"/>
        </w:rPr>
      </w:pPr>
      <w:r>
        <w:rPr>
          <w:rFonts w:ascii="Book Antiqua" w:hAnsi="Book Antiqua" w:eastAsia="Book Antiqua" w:cs="Book Antiqua"/>
          <w:color w:val="000000"/>
        </w:rPr>
        <w:t>Although we understand that distinguishing between CGR and other causes of post-transplant cholangiopathy (PTC) might be histologically challenging and clinically difficult, it is of great significance to characterize the underlying etiology in order to provide our patients with the best available treatment and procedures. Thus, we appreciate CGR as one possible cause of the post-transplant cholangiopathy.</w:t>
      </w:r>
    </w:p>
    <w:p>
      <w:pPr>
        <w:spacing w:line="360" w:lineRule="auto"/>
        <w:ind w:firstLine="480" w:firstLineChars="200"/>
        <w:jc w:val="both"/>
        <w:rPr>
          <w:rFonts w:ascii="Book Antiqua" w:hAnsi="Book Antiqua"/>
        </w:rPr>
      </w:pPr>
      <w:r>
        <w:rPr>
          <w:rFonts w:ascii="Book Antiqua" w:hAnsi="Book Antiqua" w:eastAsia="Book Antiqua" w:cs="Book Antiqua"/>
          <w:color w:val="000000"/>
        </w:rPr>
        <w:t>Leading to increased patient morbidity and mortality after liver transplantation, these entities require highly experienced physicians for a clear distinction and prompt intervention. The term PTC encompasses a wide range of histological donor bile duct aberrations, including biliary stricture, cast formation to full thickness and, even, bile duct necrosis with intrahepatic biloma development. As per definition, the presence of thrombosis, severe stenosis of the hepatic artery, or underlying chronic autoimmune disease (</w:t>
      </w:r>
      <w:r>
        <w:rPr>
          <w:rFonts w:ascii="Book Antiqua" w:hAnsi="Book Antiqua" w:eastAsia="Book Antiqua" w:cs="Book Antiqua"/>
          <w:i/>
          <w:color w:val="000000"/>
        </w:rPr>
        <w:t>i.e.</w:t>
      </w:r>
      <w:r>
        <w:rPr>
          <w:rFonts w:ascii="Book Antiqua" w:hAnsi="Book Antiqua" w:eastAsia="Book Antiqua" w:cs="Book Antiqua"/>
          <w:color w:val="000000"/>
        </w:rPr>
        <w:t>, primary sclerosing cholangitis) is excluded from the definition of PTC</w:t>
      </w:r>
      <w:r>
        <w:rPr>
          <w:rFonts w:ascii="Book Antiqua" w:hAnsi="Book Antiqua" w:eastAsia="Book Antiqua" w:cs="Book Antiqua"/>
          <w:color w:val="000000"/>
          <w:vertAlign w:val="superscript"/>
        </w:rPr>
        <w:t>[5]</w:t>
      </w:r>
      <w:r>
        <w:rPr>
          <w:rFonts w:ascii="Book Antiqua" w:hAnsi="Book Antiqua" w:eastAsia="Book Antiqua" w:cs="Book Antiqua"/>
          <w:color w:val="000000"/>
        </w:rPr>
        <w:t xml:space="preserve">. We conclude that other causes of PTC can be mistaken for suspected chronic graft failure with assumed biliary etiology. Thus, additional measures should be taken to prevent misdiagnosis in this highly susceptible patient collectives.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In essence, we are delighted to see the efforts at Ain Shams University, Egypt to better understand clinical observations on biliary complications after right lobe living donor liver transplantation, in order to sustainably achieve better patient outcomes. Nevertheless, the cases of biliary-based CGR should be validated by carefully distinguishing this uncommon condition from multifocal biliary pathologies of other etiologies. Adequately powered, prospective study designs with larger study populations could effectively contribute to a better understanding and improved therapy options. </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eastAsia="Book Antiqua" w:cs="Book Antiqua"/>
          <w:color w:val="000000"/>
        </w:rPr>
        <w:t xml:space="preserve">1 </w:t>
      </w:r>
      <w:r>
        <w:rPr>
          <w:rFonts w:ascii="Book Antiqua" w:hAnsi="Book Antiqua" w:eastAsia="Book Antiqua" w:cs="Book Antiqua"/>
          <w:b/>
          <w:bCs/>
          <w:color w:val="000000"/>
        </w:rPr>
        <w:t>Guirguis RN</w:t>
      </w:r>
      <w:r>
        <w:rPr>
          <w:rFonts w:ascii="Book Antiqua" w:hAnsi="Book Antiqua" w:eastAsia="Book Antiqua" w:cs="Book Antiqua"/>
          <w:color w:val="000000"/>
        </w:rPr>
        <w:t xml:space="preserve">, Nashaat EH, Yassin AE, Ibrahim WA, Saleh SA, Bahaa M, El-Meteini M, Fathy M, Dabbous HM, Montasser IF, Salah M, Mohamed GA. Biliary complications in recipients of living donor liver transplantation: A single-centre study. </w:t>
      </w:r>
      <w:r>
        <w:rPr>
          <w:rFonts w:ascii="Book Antiqua" w:hAnsi="Book Antiqua" w:eastAsia="Book Antiqua" w:cs="Book Antiqua"/>
          <w:i/>
          <w:iCs/>
          <w:color w:val="000000"/>
        </w:rPr>
        <w:t>World J Hepatol</w:t>
      </w:r>
      <w:r>
        <w:rPr>
          <w:rFonts w:ascii="Book Antiqua" w:hAnsi="Book Antiqua" w:eastAsia="Book Antiqua" w:cs="Book Antiqua"/>
          <w:color w:val="000000"/>
        </w:rPr>
        <w:t xml:space="preserve"> 2021; </w:t>
      </w:r>
      <w:r>
        <w:rPr>
          <w:rFonts w:ascii="Book Antiqua" w:hAnsi="Book Antiqua" w:eastAsia="Book Antiqua" w:cs="Book Antiqua"/>
          <w:b/>
          <w:bCs/>
          <w:color w:val="000000"/>
        </w:rPr>
        <w:t>13</w:t>
      </w:r>
      <w:r>
        <w:rPr>
          <w:rFonts w:ascii="Book Antiqua" w:hAnsi="Book Antiqua" w:eastAsia="Book Antiqua" w:cs="Book Antiqua"/>
          <w:color w:val="000000"/>
        </w:rPr>
        <w:t>: 2081-2103 [PMID: 35070010 DOI: 10.4254/wjh.v13.i12.2081]</w:t>
      </w:r>
    </w:p>
    <w:p>
      <w:pPr>
        <w:spacing w:line="360" w:lineRule="auto"/>
        <w:jc w:val="both"/>
        <w:rPr>
          <w:rFonts w:ascii="Book Antiqua" w:hAnsi="Book Antiqua"/>
        </w:rPr>
      </w:pPr>
      <w:r>
        <w:rPr>
          <w:rFonts w:ascii="Book Antiqua" w:hAnsi="Book Antiqua" w:eastAsia="Book Antiqua" w:cs="Book Antiqua"/>
          <w:color w:val="000000"/>
        </w:rPr>
        <w:t xml:space="preserve">2 </w:t>
      </w:r>
      <w:r>
        <w:rPr>
          <w:rFonts w:ascii="Book Antiqua" w:hAnsi="Book Antiqua" w:eastAsia="Book Antiqua" w:cs="Book Antiqua"/>
          <w:b/>
          <w:bCs/>
          <w:color w:val="000000"/>
        </w:rPr>
        <w:t>Tannuri AC,</w:t>
      </w:r>
      <w:r>
        <w:rPr>
          <w:rFonts w:ascii="Book Antiqua" w:hAnsi="Book Antiqua" w:eastAsia="Book Antiqua" w:cs="Book Antiqua"/>
          <w:color w:val="000000"/>
        </w:rPr>
        <w:t xml:space="preserve"> Lima F, Mello ES, Tanigawa RY, Tannuri U. Prognostic factors for the evolution and reversibility of chronic rejection in pediatric liver transplantation. </w:t>
      </w:r>
      <w:r>
        <w:rPr>
          <w:rFonts w:ascii="Book Antiqua" w:hAnsi="Book Antiqua" w:eastAsia="Book Antiqua" w:cs="Book Antiqua"/>
          <w:i/>
          <w:color w:val="000000"/>
        </w:rPr>
        <w:t>Clinics (Sao Paulo)</w:t>
      </w:r>
      <w:r>
        <w:rPr>
          <w:rFonts w:ascii="Book Antiqua" w:hAnsi="Book Antiqua" w:eastAsia="Book Antiqua" w:cs="Book Antiqua"/>
          <w:color w:val="000000"/>
        </w:rPr>
        <w:t xml:space="preserve"> 2016; </w:t>
      </w:r>
      <w:r>
        <w:rPr>
          <w:rFonts w:ascii="Book Antiqua" w:hAnsi="Book Antiqua" w:eastAsia="Book Antiqua" w:cs="Book Antiqua"/>
          <w:b/>
          <w:color w:val="000000"/>
        </w:rPr>
        <w:t>71</w:t>
      </w:r>
      <w:r>
        <w:rPr>
          <w:rFonts w:ascii="Book Antiqua" w:hAnsi="Book Antiqua" w:eastAsia="Book Antiqua" w:cs="Book Antiqua"/>
          <w:color w:val="000000"/>
        </w:rPr>
        <w:t>: 216-220 [DOI:</w:t>
      </w:r>
      <w:r>
        <w:rPr>
          <w:rFonts w:hint="eastAsia" w:ascii="Book Antiqua" w:hAnsi="Book Antiqua" w:cs="Book Antiqua"/>
          <w:color w:val="000000"/>
          <w:lang w:eastAsia="zh-CN"/>
        </w:rPr>
        <w:t xml:space="preserve"> </w:t>
      </w:r>
      <w:r>
        <w:rPr>
          <w:rFonts w:ascii="Book Antiqua" w:hAnsi="Book Antiqua" w:eastAsia="Book Antiqua" w:cs="Book Antiqua"/>
          <w:color w:val="000000"/>
        </w:rPr>
        <w:t>10.6061/clinics/2016(04)07]</w:t>
      </w:r>
    </w:p>
    <w:p>
      <w:pPr>
        <w:spacing w:line="360" w:lineRule="auto"/>
        <w:jc w:val="both"/>
        <w:rPr>
          <w:rFonts w:ascii="Book Antiqua" w:hAnsi="Book Antiqua"/>
        </w:rPr>
      </w:pPr>
      <w:r>
        <w:rPr>
          <w:rFonts w:ascii="Book Antiqua" w:hAnsi="Book Antiqua" w:eastAsia="Book Antiqua" w:cs="Book Antiqua"/>
          <w:color w:val="000000"/>
        </w:rPr>
        <w:t xml:space="preserve">3 </w:t>
      </w:r>
      <w:r>
        <w:rPr>
          <w:rFonts w:ascii="Book Antiqua" w:hAnsi="Book Antiqua" w:eastAsia="Book Antiqua" w:cs="Book Antiqua"/>
          <w:b/>
          <w:bCs/>
          <w:color w:val="000000"/>
        </w:rPr>
        <w:t>Demetris A</w:t>
      </w:r>
      <w:r>
        <w:rPr>
          <w:rFonts w:ascii="Book Antiqua" w:hAnsi="Book Antiqua" w:eastAsia="Book Antiqua" w:cs="Book Antiqua"/>
          <w:color w:val="000000"/>
        </w:rPr>
        <w:t xml:space="preserve">, Adams D, Bellamy C, Blakolmer K, Clouston A, Dhillon AP, Fung J, Gouw A, Gustafsson B, Haga H, Harrison D, Hart J, Hubscher S, Jaffe R, Khettry U, Lassman C, Lewin K, Martinez O, Nakazawa Y, Neil D, Pappo O, Parizhskaya M, Randhawa P, Rasoul-Rockenschaub S, Reinholt F, Reynes M, Robert M, Tsamandas A, Wanless I, Wiesner R, Wernerson A, Wrba F, Wyatt J, Yamabe H. Update of the International Banff Schema for Liver Allograft Rejection: working recommendations for the histopathologic staging and reporting of chronic rejection. An International Panel. </w:t>
      </w:r>
      <w:r>
        <w:rPr>
          <w:rFonts w:ascii="Book Antiqua" w:hAnsi="Book Antiqua" w:eastAsia="Book Antiqua" w:cs="Book Antiqua"/>
          <w:i/>
          <w:iCs/>
          <w:color w:val="000000"/>
        </w:rPr>
        <w:t>Hepatology</w:t>
      </w:r>
      <w:r>
        <w:rPr>
          <w:rFonts w:ascii="Book Antiqua" w:hAnsi="Book Antiqua" w:eastAsia="Book Antiqua" w:cs="Book Antiqua"/>
          <w:color w:val="000000"/>
        </w:rPr>
        <w:t xml:space="preserve"> 2000; </w:t>
      </w:r>
      <w:r>
        <w:rPr>
          <w:rFonts w:ascii="Book Antiqua" w:hAnsi="Book Antiqua" w:eastAsia="Book Antiqua" w:cs="Book Antiqua"/>
          <w:b/>
          <w:bCs/>
          <w:color w:val="000000"/>
        </w:rPr>
        <w:t>31</w:t>
      </w:r>
      <w:r>
        <w:rPr>
          <w:rFonts w:ascii="Book Antiqua" w:hAnsi="Book Antiqua" w:eastAsia="Book Antiqua" w:cs="Book Antiqua"/>
          <w:color w:val="000000"/>
        </w:rPr>
        <w:t>: 792-799 [PMID: 10706577 DOI: 10.1002/hep.510310337]</w:t>
      </w:r>
    </w:p>
    <w:p>
      <w:pPr>
        <w:spacing w:line="360" w:lineRule="auto"/>
        <w:jc w:val="both"/>
        <w:rPr>
          <w:rFonts w:ascii="Book Antiqua" w:hAnsi="Book Antiqua"/>
        </w:rPr>
      </w:pPr>
      <w:r>
        <w:rPr>
          <w:rFonts w:ascii="Book Antiqua" w:hAnsi="Book Antiqua" w:eastAsia="Book Antiqua" w:cs="Book Antiqua"/>
          <w:color w:val="000000"/>
        </w:rPr>
        <w:t xml:space="preserve">4 </w:t>
      </w:r>
      <w:r>
        <w:rPr>
          <w:rFonts w:ascii="Book Antiqua" w:hAnsi="Book Antiqua" w:eastAsia="Book Antiqua" w:cs="Book Antiqua"/>
          <w:b/>
          <w:bCs/>
          <w:color w:val="000000"/>
        </w:rPr>
        <w:t>Horster S</w:t>
      </w:r>
      <w:r>
        <w:rPr>
          <w:rFonts w:ascii="Book Antiqua" w:hAnsi="Book Antiqua" w:eastAsia="Book Antiqua" w:cs="Book Antiqua"/>
          <w:color w:val="000000"/>
        </w:rPr>
        <w:t xml:space="preserve">, Bäuerlein FJ, Mandel P, Raziorrouh B, Hopf C, Stemmler HJ, Guba M, Angele M, Stangl M, Rentsch M, Frey L, Kaspar M, Kaczmarek I, Eberle J, Nickel T, Gruener N, Zachoval R, Diepolder H. Influence of hepatitis C virus infection and high virus serum load on biliary complications in liver transplantation. </w:t>
      </w:r>
      <w:r>
        <w:rPr>
          <w:rFonts w:ascii="Book Antiqua" w:hAnsi="Book Antiqua" w:eastAsia="Book Antiqua" w:cs="Book Antiqua"/>
          <w:i/>
          <w:iCs/>
          <w:color w:val="000000"/>
        </w:rPr>
        <w:t>Transpl Infect Dis</w:t>
      </w:r>
      <w:r>
        <w:rPr>
          <w:rFonts w:ascii="Book Antiqua" w:hAnsi="Book Antiqua" w:eastAsia="Book Antiqua" w:cs="Book Antiqua"/>
          <w:color w:val="000000"/>
        </w:rPr>
        <w:t xml:space="preserve"> 2013; </w:t>
      </w:r>
      <w:r>
        <w:rPr>
          <w:rFonts w:ascii="Book Antiqua" w:hAnsi="Book Antiqua" w:eastAsia="Book Antiqua" w:cs="Book Antiqua"/>
          <w:b/>
          <w:bCs/>
          <w:color w:val="000000"/>
        </w:rPr>
        <w:t>15</w:t>
      </w:r>
      <w:r>
        <w:rPr>
          <w:rFonts w:ascii="Book Antiqua" w:hAnsi="Book Antiqua" w:eastAsia="Book Antiqua" w:cs="Book Antiqua"/>
          <w:color w:val="000000"/>
        </w:rPr>
        <w:t>: 306-313 [PMID: 23489913 DOI: 10.1111/tid.12069]</w:t>
      </w:r>
    </w:p>
    <w:p>
      <w:pPr>
        <w:spacing w:line="360" w:lineRule="auto"/>
        <w:jc w:val="both"/>
        <w:rPr>
          <w:rFonts w:ascii="Book Antiqua" w:hAnsi="Book Antiqua"/>
        </w:rPr>
      </w:pPr>
      <w:r>
        <w:rPr>
          <w:rFonts w:ascii="Book Antiqua" w:hAnsi="Book Antiqua" w:eastAsia="Book Antiqua" w:cs="Book Antiqua"/>
          <w:color w:val="000000"/>
        </w:rPr>
        <w:t xml:space="preserve">5 </w:t>
      </w:r>
      <w:r>
        <w:rPr>
          <w:rFonts w:ascii="Book Antiqua" w:hAnsi="Book Antiqua" w:eastAsia="Book Antiqua" w:cs="Book Antiqua"/>
          <w:b/>
          <w:bCs/>
          <w:color w:val="000000"/>
        </w:rPr>
        <w:t>de Vries Y</w:t>
      </w:r>
      <w:r>
        <w:rPr>
          <w:rFonts w:ascii="Book Antiqua" w:hAnsi="Book Antiqua" w:eastAsia="Book Antiqua" w:cs="Book Antiqua"/>
          <w:color w:val="000000"/>
        </w:rPr>
        <w:t xml:space="preserve">, von Meijenfeldt FA, Porte RJ. Post-transplant cholangiopathy: Classification, pathogenesis, and preventive strategies. </w:t>
      </w:r>
      <w:r>
        <w:rPr>
          <w:rFonts w:ascii="Book Antiqua" w:hAnsi="Book Antiqua" w:eastAsia="Book Antiqua" w:cs="Book Antiqua"/>
          <w:i/>
          <w:iCs/>
          <w:color w:val="000000"/>
        </w:rPr>
        <w:t>Biochim Biophys Acta Mol Basis Dis</w:t>
      </w:r>
      <w:r>
        <w:rPr>
          <w:rFonts w:ascii="Book Antiqua" w:hAnsi="Book Antiqua" w:eastAsia="Book Antiqua" w:cs="Book Antiqua"/>
          <w:color w:val="000000"/>
        </w:rPr>
        <w:t xml:space="preserve"> 2018; </w:t>
      </w:r>
      <w:r>
        <w:rPr>
          <w:rFonts w:ascii="Book Antiqua" w:hAnsi="Book Antiqua" w:eastAsia="Book Antiqua" w:cs="Book Antiqua"/>
          <w:b/>
          <w:bCs/>
          <w:color w:val="000000"/>
        </w:rPr>
        <w:t>1864</w:t>
      </w:r>
      <w:r>
        <w:rPr>
          <w:rFonts w:ascii="Book Antiqua" w:hAnsi="Book Antiqua" w:eastAsia="Book Antiqua" w:cs="Book Antiqua"/>
          <w:color w:val="000000"/>
        </w:rPr>
        <w:t>: 1507-1515 [PMID: 28645651 DOI: 10.1016/j.bbadis.2017.06.013]</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The authors declare no funding or conflicts of interest for this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color w:val="000000"/>
        </w:rPr>
        <w:t xml:space="preserve">Provenance and peer review: </w:t>
      </w:r>
      <w:r>
        <w:rPr>
          <w:rFonts w:ascii="Book Antiqua" w:hAnsi="Book Antiqua" w:eastAsia="Book Antiqua" w:cs="Book Antiqua"/>
          <w:color w:val="000000"/>
        </w:rPr>
        <w:t>Unsolicited article; Externally peer reviewed.</w:t>
      </w: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color w:val="000000"/>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January 8, 2022</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February 8, 2022</w:t>
      </w:r>
    </w:p>
    <w:p>
      <w:pPr>
        <w:spacing w:line="360" w:lineRule="auto"/>
        <w:jc w:val="both"/>
        <w:rPr>
          <w:rFonts w:ascii="Book Antiqua" w:hAnsi="Book Antiqua"/>
          <w:lang w:eastAsia="zh-CN"/>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highlight w:val="none"/>
        </w:rPr>
        <w:t>April 28,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 xml:space="preserve">Gastroenterology and </w:t>
      </w:r>
      <w:r>
        <w:rPr>
          <w:rFonts w:hint="eastAsia" w:ascii="Book Antiqua" w:hAnsi="Book Antiqua" w:cs="Book Antiqua"/>
          <w:color w:val="000000"/>
          <w:lang w:eastAsia="zh-CN"/>
        </w:rPr>
        <w:t>h</w:t>
      </w:r>
      <w:r>
        <w:rPr>
          <w:rFonts w:ascii="Book Antiqua" w:hAnsi="Book Antiqua" w:eastAsia="Book Antiqua" w:cs="Book Antiqua"/>
          <w:color w:val="000000"/>
        </w:rPr>
        <w:t>epatology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United States</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0</w:t>
      </w:r>
    </w:p>
    <w:p>
      <w:pPr>
        <w:spacing w:line="360" w:lineRule="auto"/>
        <w:jc w:val="both"/>
        <w:rPr>
          <w:rFonts w:ascii="Book Antiqua" w:hAnsi="Book Antiqua"/>
        </w:rPr>
      </w:pPr>
      <w:r>
        <w:rPr>
          <w:rFonts w:ascii="Book Antiqua" w:hAnsi="Book Antiqua" w:eastAsia="Book Antiqua" w:cs="Book Antiqua"/>
          <w:color w:val="000000"/>
        </w:rPr>
        <w:t>Grade C (Good): C</w:t>
      </w:r>
    </w:p>
    <w:p>
      <w:pPr>
        <w:spacing w:line="360" w:lineRule="auto"/>
        <w:jc w:val="both"/>
        <w:rPr>
          <w:rFonts w:ascii="Book Antiqua" w:hAnsi="Book Antiqua"/>
        </w:rPr>
      </w:pPr>
      <w:r>
        <w:rPr>
          <w:rFonts w:ascii="Book Antiqua" w:hAnsi="Book Antiqua" w:eastAsia="Book Antiqua" w:cs="Book Antiqua"/>
          <w:color w:val="000000"/>
        </w:rPr>
        <w:t>Grade D (Fair): D</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hint="eastAsia" w:ascii="Book Antiqua" w:hAnsi="Book Antiqua" w:cs="Book Antiqua"/>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Li HL,</w:t>
      </w:r>
      <w:r>
        <w:rPr>
          <w:rFonts w:hint="eastAsia" w:ascii="Book Antiqua" w:hAnsi="Book Antiqua" w:cs="Book Antiqua"/>
          <w:color w:val="000000"/>
          <w:lang w:eastAsia="zh-CN"/>
        </w:rPr>
        <w:t xml:space="preserve"> China;</w:t>
      </w:r>
      <w:r>
        <w:rPr>
          <w:rFonts w:ascii="Book Antiqua" w:hAnsi="Book Antiqua" w:eastAsia="Book Antiqua" w:cs="Book Antiqua"/>
          <w:color w:val="000000"/>
        </w:rPr>
        <w:t xml:space="preserve"> Tuysuz U</w:t>
      </w:r>
      <w:r>
        <w:rPr>
          <w:rFonts w:hint="eastAsia" w:ascii="Book Antiqua" w:hAnsi="Book Antiqua" w:cs="Book Antiqua"/>
          <w:color w:val="000000"/>
          <w:lang w:eastAsia="zh-CN"/>
        </w:rPr>
        <w:t xml:space="preserve">, </w:t>
      </w:r>
      <w:r>
        <w:rPr>
          <w:rFonts w:ascii="Book Antiqua" w:hAnsi="Book Antiqua" w:cs="Book Antiqua"/>
          <w:color w:val="000000"/>
          <w:lang w:eastAsia="zh-CN"/>
        </w:rPr>
        <w:t>Turkey</w:t>
      </w:r>
      <w:r>
        <w:rPr>
          <w:rFonts w:ascii="Book Antiqua" w:hAnsi="Book Antiqua" w:eastAsia="Book Antiqua" w:cs="Book Antiqua"/>
          <w:b/>
          <w:color w:val="000000"/>
        </w:rPr>
        <w:t xml:space="preserve"> S-Editor: </w:t>
      </w:r>
      <w:r>
        <w:rPr>
          <w:rFonts w:hint="eastAsia" w:ascii="Book Antiqua" w:hAnsi="Book Antiqua" w:cs="Book Antiqua"/>
          <w:color w:val="000000"/>
          <w:lang w:eastAsia="zh-CN"/>
        </w:rPr>
        <w:t>Wang LL</w:t>
      </w:r>
      <w:r>
        <w:rPr>
          <w:rFonts w:ascii="Book Antiqua" w:hAnsi="Book Antiqua" w:eastAsia="Book Antiqua" w:cs="Book Antiqua"/>
          <w:b/>
          <w:color w:val="000000"/>
        </w:rPr>
        <w:t xml:space="preserve"> L-Editor: </w:t>
      </w:r>
      <w:r>
        <w:rPr>
          <w:rFonts w:ascii="Book Antiqua" w:hAnsi="Book Antiqua" w:eastAsia="Book Antiqua" w:cs="Book Antiqua"/>
          <w:color w:val="000000"/>
        </w:rPr>
        <w:t>Wang TQ</w:t>
      </w:r>
      <w:r>
        <w:rPr>
          <w:rFonts w:ascii="Book Antiqua" w:hAnsi="Book Antiqua" w:eastAsia="Book Antiqua" w:cs="Book Antiqua"/>
          <w:b/>
          <w:color w:val="000000"/>
        </w:rPr>
        <w:t xml:space="preserve"> P-Editor: </w:t>
      </w:r>
      <w:r>
        <w:rPr>
          <w:rFonts w:hint="eastAsia" w:ascii="Book Antiqua" w:hAnsi="Book Antiqua" w:cs="Book Antiqua"/>
          <w:color w:val="000000"/>
          <w:lang w:eastAsia="zh-CN"/>
        </w:rPr>
        <w:t>Wang LL</w:t>
      </w:r>
    </w:p>
    <w:p>
      <w:pPr>
        <w:spacing w:line="360" w:lineRule="auto"/>
        <w:jc w:val="both"/>
        <w:rPr>
          <w:rFonts w:hint="eastAsia" w:ascii="Book Antiqua" w:hAnsi="Book Antiqua" w:cs="Book Antiqua"/>
          <w:color w:val="000000"/>
          <w:lang w:eastAsia="zh-CN"/>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w:t>
      </w:r>
      <w:r>
        <w:rPr>
          <w:rFonts w:hint="eastAsia" w:ascii="Book Antiqua" w:hAnsi="Book Antiqua" w:cs="BookAntiqua-Bold"/>
          <w:b/>
          <w:bCs/>
          <w:color w:val="000000" w:themeColor="text1"/>
          <w:lang w:val="en-US" w:eastAsia="zh-CN"/>
          <w14:textFill>
            <w14:solidFill>
              <w14:schemeClr w14:val="tx1"/>
            </w14:solidFill>
          </w14:textFill>
        </w:rPr>
        <w:t>2</w:t>
      </w:r>
      <w:r>
        <w:rPr>
          <w:rFonts w:ascii="Book Antiqua" w:hAnsi="Book Antiqua" w:eastAsia="BookAntiqua-Bold" w:cs="BookAntiqua-Bold"/>
          <w:b/>
          <w:bCs/>
          <w:color w:val="000000" w:themeColor="text1"/>
          <w14:textFill>
            <w14:solidFill>
              <w14:schemeClr w14:val="tx1"/>
            </w14:solidFill>
          </w14:textFill>
        </w:rPr>
        <w:t xml:space="preserve">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hint="eastAsia" w:ascii="Book Antiqua" w:hAnsi="Book Antiqua" w:cs="Book Antiqua"/>
          <w:color w:val="000000"/>
          <w:lang w:eastAsia="zh-CN"/>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Garamond-Bold">
    <w:altName w:val="等线"/>
    <w:panose1 w:val="00000000000000000000"/>
    <w:charset w:val="00"/>
    <w:family w:val="auto"/>
    <w:pitch w:val="default"/>
    <w:sig w:usb0="00000000" w:usb1="00000000" w:usb2="00000010" w:usb3="00000000" w:csb0="0004009F" w:csb1="00000000"/>
  </w:font>
  <w:font w:name="等线">
    <w:panose1 w:val="02010600030101010101"/>
    <w:charset w:val="86"/>
    <w:family w:val="auto"/>
    <w:pitch w:val="default"/>
    <w:sig w:usb0="A00002BF" w:usb1="38CF7CFA" w:usb2="00000016" w:usb3="00000000" w:csb0="0004000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Arabic  \* MERGEFORMAT </w:instrText>
    </w:r>
    <w:r>
      <w:rPr>
        <w:rFonts w:ascii="Book Antiqua" w:hAnsi="Book Antiqua"/>
        <w:sz w:val="24"/>
        <w:szCs w:val="24"/>
      </w:rPr>
      <w:fldChar w:fldCharType="separate"/>
    </w:r>
    <w:r>
      <w:rPr>
        <w:rFonts w:ascii="Book Antiqua" w:hAnsi="Book Antiqua"/>
        <w:sz w:val="24"/>
        <w:szCs w:val="24"/>
      </w:rPr>
      <w:t>2</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sz w:val="24"/>
        <w:szCs w:val="24"/>
      </w:rPr>
      <w:t>8</w:t>
    </w:r>
    <w:r>
      <w:rPr>
        <w:rFonts w:ascii="Book Antiqua" w:hAnsi="Book Antiqua"/>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425"/>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RhN2M2YWMzNzI3OTI5OThhNTE3MGI4NGJlMTJhNDAifQ=="/>
  </w:docVars>
  <w:rsids>
    <w:rsidRoot w:val="00A77B3E"/>
    <w:rsid w:val="00071E22"/>
    <w:rsid w:val="000B7886"/>
    <w:rsid w:val="00116E29"/>
    <w:rsid w:val="002346F1"/>
    <w:rsid w:val="002546C5"/>
    <w:rsid w:val="00294927"/>
    <w:rsid w:val="00313ED7"/>
    <w:rsid w:val="00363E0A"/>
    <w:rsid w:val="0037032F"/>
    <w:rsid w:val="00392E7E"/>
    <w:rsid w:val="003E5D94"/>
    <w:rsid w:val="003F1362"/>
    <w:rsid w:val="004C082C"/>
    <w:rsid w:val="006C3F8B"/>
    <w:rsid w:val="006C4869"/>
    <w:rsid w:val="006F2B71"/>
    <w:rsid w:val="00735919"/>
    <w:rsid w:val="00816364"/>
    <w:rsid w:val="00877BE8"/>
    <w:rsid w:val="008E79F9"/>
    <w:rsid w:val="009E0D16"/>
    <w:rsid w:val="00A77B3E"/>
    <w:rsid w:val="00AF7B50"/>
    <w:rsid w:val="00B01015"/>
    <w:rsid w:val="00BB57D7"/>
    <w:rsid w:val="00CA2A55"/>
    <w:rsid w:val="00CD28BF"/>
    <w:rsid w:val="00D10580"/>
    <w:rsid w:val="00DE5F31"/>
    <w:rsid w:val="00E4286D"/>
    <w:rsid w:val="00EF4DC4"/>
    <w:rsid w:val="00FE1A09"/>
    <w:rsid w:val="0E5647CC"/>
    <w:rsid w:val="2DFB31D3"/>
    <w:rsid w:val="4B661B6A"/>
    <w:rsid w:val="50C5489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2"/>
    <w:qFormat/>
    <w:uiPriority w:val="0"/>
  </w:style>
  <w:style w:type="paragraph" w:styleId="3">
    <w:name w:val="Balloon Text"/>
    <w:basedOn w:val="1"/>
    <w:link w:val="14"/>
    <w:qFormat/>
    <w:uiPriority w:val="0"/>
    <w:rPr>
      <w:sz w:val="18"/>
      <w:szCs w:val="18"/>
    </w:rPr>
  </w:style>
  <w:style w:type="paragraph" w:styleId="4">
    <w:name w:val="footer"/>
    <w:basedOn w:val="1"/>
    <w:link w:val="11"/>
    <w:qFormat/>
    <w:uiPriority w:val="0"/>
    <w:pPr>
      <w:tabs>
        <w:tab w:val="center" w:pos="4153"/>
        <w:tab w:val="right" w:pos="8306"/>
      </w:tabs>
      <w:snapToGrid w:val="0"/>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3"/>
    <w:qFormat/>
    <w:uiPriority w:val="0"/>
    <w:rPr>
      <w:b/>
      <w:bCs/>
    </w:rPr>
  </w:style>
  <w:style w:type="character" w:styleId="9">
    <w:name w:val="annotation reference"/>
    <w:basedOn w:val="8"/>
    <w:uiPriority w:val="0"/>
    <w:rPr>
      <w:sz w:val="21"/>
      <w:szCs w:val="21"/>
    </w:rPr>
  </w:style>
  <w:style w:type="character" w:customStyle="1" w:styleId="10">
    <w:name w:val="页眉 字符"/>
    <w:basedOn w:val="8"/>
    <w:link w:val="5"/>
    <w:qFormat/>
    <w:uiPriority w:val="0"/>
    <w:rPr>
      <w:sz w:val="18"/>
      <w:szCs w:val="18"/>
    </w:rPr>
  </w:style>
  <w:style w:type="character" w:customStyle="1" w:styleId="11">
    <w:name w:val="页脚 字符"/>
    <w:basedOn w:val="8"/>
    <w:link w:val="4"/>
    <w:qFormat/>
    <w:uiPriority w:val="0"/>
    <w:rPr>
      <w:sz w:val="18"/>
      <w:szCs w:val="18"/>
    </w:rPr>
  </w:style>
  <w:style w:type="character" w:customStyle="1" w:styleId="12">
    <w:name w:val="批注文字 字符"/>
    <w:basedOn w:val="8"/>
    <w:link w:val="2"/>
    <w:qFormat/>
    <w:uiPriority w:val="0"/>
    <w:rPr>
      <w:sz w:val="24"/>
      <w:szCs w:val="24"/>
    </w:rPr>
  </w:style>
  <w:style w:type="character" w:customStyle="1" w:styleId="13">
    <w:name w:val="批注主题 字符"/>
    <w:basedOn w:val="12"/>
    <w:link w:val="6"/>
    <w:qFormat/>
    <w:uiPriority w:val="0"/>
    <w:rPr>
      <w:b/>
      <w:bCs/>
      <w:sz w:val="24"/>
      <w:szCs w:val="24"/>
    </w:rPr>
  </w:style>
  <w:style w:type="character" w:customStyle="1" w:styleId="14">
    <w:name w:val="批注框文本 字符"/>
    <w:basedOn w:val="8"/>
    <w:link w:val="3"/>
    <w:qFormat/>
    <w:uiPriority w:val="0"/>
    <w:rPr>
      <w:sz w:val="18"/>
      <w:szCs w:val="18"/>
    </w:rPr>
  </w:style>
  <w:style w:type="paragraph" w:customStyle="1" w:styleId="15">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1499</Words>
  <Characters>9262</Characters>
  <Lines>72</Lines>
  <Paragraphs>20</Paragraphs>
  <TotalTime>8</TotalTime>
  <ScaleCrop>false</ScaleCrop>
  <LinksUpToDate>false</LinksUpToDate>
  <CharactersWithSpaces>10705</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2022-04-27T23:42:00Z</dcterms:created>
  <dc:creator>ibm</dc:creator>
  <cp:lastModifiedBy>超级喜欢粉红色</cp:lastModifiedBy>
  <dcterms:modified xsi:type="dcterms:W3CDTF">2022-05-23T08:33:49Z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D84592BF735C42E397F84209414FB696</vt:lpwstr>
  </property>
</Properties>
</file>