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74906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Presentation and outcome of myocardial infarction with non-obstructive coronary arteries in coronavirus disease 2019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John K </w:t>
      </w:r>
      <w:r>
        <w:rPr>
          <w:rFonts w:ascii="Book Antiqua" w:hAnsi="Book Antiqua" w:eastAsia="Book Antiqua" w:cs="Book Antiqua"/>
          <w:i/>
          <w:color w:val="000000"/>
        </w:rPr>
        <w:t>et al</w:t>
      </w:r>
      <w:r>
        <w:rPr>
          <w:rFonts w:ascii="Book Antiqua" w:hAnsi="Book Antiqua" w:eastAsia="Book Antiqua" w:cs="Book Antiqua"/>
          <w:color w:val="000000"/>
        </w:rPr>
        <w:t>. A review of MINOCA in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Kevin John, Amos Lal, Nitish Sharma, Amr ElMeligy, Ajay K Mishra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Kevin John John, </w:t>
      </w:r>
      <w:r>
        <w:rPr>
          <w:rFonts w:ascii="Book Antiqua" w:hAnsi="Book Antiqua" w:eastAsia="Book Antiqua" w:cs="Book Antiqua"/>
          <w:color w:val="000000"/>
        </w:rPr>
        <w:t>Department of Critical Care, Believers Church Medical College Hospital, Thiruvalla 689103, Kerala,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Amos Lal, </w:t>
      </w:r>
      <w:r>
        <w:rPr>
          <w:rFonts w:ascii="Book Antiqua" w:hAnsi="Book Antiqua" w:eastAsia="Book Antiqua" w:cs="Book Antiqua"/>
          <w:color w:val="000000"/>
        </w:rPr>
        <w:t>Division of Pulmonary &amp; Critical Care Medicine, Mayo Clinic, Rochester, MN 55905,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Nitish Sharma, </w:t>
      </w:r>
      <w:r>
        <w:rPr>
          <w:rFonts w:ascii="Book Antiqua" w:hAnsi="Book Antiqua" w:eastAsia="Book Antiqua" w:cs="Book Antiqua"/>
          <w:color w:val="000000"/>
        </w:rPr>
        <w:t>Division of Cardiology, Saint Vincent Hospital, Worcester, MA 01608,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Amr ElMeligy, </w:t>
      </w:r>
      <w:r>
        <w:rPr>
          <w:rFonts w:ascii="Book Antiqua" w:hAnsi="Book Antiqua" w:eastAsia="Book Antiqua" w:cs="Book Antiqua"/>
          <w:color w:val="000000"/>
        </w:rPr>
        <w:t>Division of Interventional Cardiology, Saint Vincent Hospital, Worcester, MA 01608,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Ajay K Mishra, </w:t>
      </w:r>
      <w:r>
        <w:rPr>
          <w:rFonts w:ascii="Book Antiqua" w:hAnsi="Book Antiqua" w:eastAsia="Book Antiqua" w:cs="Book Antiqua"/>
          <w:color w:val="000000"/>
        </w:rPr>
        <w:t>Department of Cardiovascular Medicine, Saint Vincent Hospital, Worcester, MA 01608,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John K and Mishra AK contributed to the conceptual design of the study; John K and Mishra AK independently screened the articles and extracted the data; John K, Mishra AK, and Lal A contributed to the write-up and submission of the study; Mishra AK and Lal A reviewed the final manuscript; All authors reviewed and agreed with the final content of the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Ajay K Mishra, FACP, MBBS, MD, Assistant Professor, Postdoctoral Fellow, </w:t>
      </w:r>
      <w:r>
        <w:rPr>
          <w:rFonts w:ascii="Book Antiqua" w:hAnsi="Book Antiqua" w:eastAsia="Book Antiqua" w:cs="Book Antiqua"/>
          <w:color w:val="000000"/>
        </w:rPr>
        <w:t>Department of Cardiovascular Medicine, Saint Vincent Hospital, 123 Summer Street, Worcester, MA 01608, United States. ajay.mishra@stvincenthospital.com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1, 2022</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Among the cardiac complications of coronavirus disease 2019 (COVID-19), one increasingly reported in the literature is myocardial infarction with non-obstructive coronaries (MINOCA). We reviewed all reported cases of MINOCA in COVID-19 patients to summarize its clinical features, evaluation, and treatment. We performed a literature search in Pubmed using the search terms ‘COVID-19’ and ‘MINOCA’ or ‘non-obstructive coronaries’. Among the reported cases, the mean age was 61.5 years (SD ± 13.4), and 50% were men. Chest pain was the presenting symptom in five patients (62.5%), and hypertension was the most common comorbidity (62.5%). ST-elevation was seen in most patients (87.5%), and the overall mortality rate was 37.5%. MINOCA in COVID-19 is an entity with a broad differential diagnosis. Therefore, a uniform algorithm is needed in its evaluation to ensure timely diagnosis and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Key Words:</w:t>
      </w:r>
      <w:r>
        <w:rPr>
          <w:rFonts w:ascii="Book Antiqua" w:hAnsi="Book Antiqua" w:cs="Book Antiqua"/>
          <w:color w:val="000000"/>
          <w:lang w:eastAsia="zh-CN"/>
        </w:rPr>
        <w:t xml:space="preserve"> </w:t>
      </w:r>
      <w:r>
        <w:rPr>
          <w:rFonts w:ascii="Book Antiqua" w:hAnsi="Book Antiqua" w:eastAsia="Book Antiqua" w:cs="Book Antiqua"/>
          <w:color w:val="000000"/>
        </w:rPr>
        <w:t>COVID-19; Myocardial infarction with non-obstructive coronary arteries; Outcome</w:t>
      </w: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rPr>
        <w:t xml:space="preserve">John K, Lal A, Sharma N, ElMeligy A, Mishra AK. Presentation and outcome of myocardial infarction with non-obstructive coronary arteries in coronavirus disease 2019. </w:t>
      </w:r>
      <w:r>
        <w:rPr>
          <w:rFonts w:ascii="Book Antiqua" w:hAnsi="Book Antiqua" w:eastAsia="Book Antiqua" w:cs="Book Antiqua"/>
          <w:i/>
          <w:iCs/>
          <w:color w:val="000000"/>
        </w:rPr>
        <w:t>World J Crit Care Med</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11(3): </w:t>
      </w:r>
      <w:r>
        <w:rPr>
          <w:rFonts w:hint="eastAsia" w:ascii="Book Antiqua" w:hAnsi="Book Antiqua" w:eastAsia="宋体" w:cs="Book Antiqua"/>
          <w:color w:val="000000"/>
          <w:lang w:val="en-US" w:eastAsia="zh-CN"/>
        </w:rPr>
        <w:t>129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138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https://www.wjgnet.com/2220-3141/full/v11/i3/</w:t>
      </w:r>
      <w:r>
        <w:rPr>
          <w:rFonts w:hint="eastAsia" w:ascii="Book Antiqua" w:hAnsi="Book Antiqua" w:eastAsia="宋体" w:cs="Book Antiqua"/>
          <w:color w:val="000000"/>
          <w:lang w:val="en-US" w:eastAsia="zh-CN"/>
        </w:rPr>
        <w:t>129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https://dx.doi.org/10.5492/wjccm.v11.i3.</w:t>
      </w:r>
      <w:r>
        <w:rPr>
          <w:rFonts w:hint="eastAsia" w:ascii="Book Antiqua" w:hAnsi="Book Antiqua" w:eastAsia="宋体" w:cs="Book Antiqua"/>
          <w:color w:val="000000"/>
          <w:lang w:val="en-US" w:eastAsia="zh-CN"/>
        </w:rPr>
        <w:t>129</w:t>
      </w:r>
      <w:bookmarkStart w:id="14" w:name="_GoBack"/>
      <w:bookmarkEnd w:id="14"/>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Myocardial infarction with non-obstructive coronary arteries (MINOCA) may be more commonly seen in patients with coronavirus disease 2019 (COVID-19). To ensure that cases of MINOCA are identified and managed appropriately, a well-defined, algorithmic approach should be taken while evaluating COVID-19 patients with evidence of myocardial injury. This review summarizes the clinical characteristics and outcomes of all COVID-19 patients with MINOCA reported to date.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Myocardial infarction with non-obstructive coronaries (MINOCA) is defined as a rise or fall of cardiac troponin, with at least one value above the 99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of the upper reference limit, corroborative clinical evidence of infarction (classic symptoms, electrocardiogram changes, or new wall motion abnormality), non-obstructive coronary arteries on angiography (&lt; 50% obstruction), and lack of an alternative diagnosis</w:t>
      </w:r>
      <w:r>
        <w:rPr>
          <w:rFonts w:ascii="Book Antiqua" w:hAnsi="Book Antiqua" w:eastAsia="Book Antiqua" w:cs="Book Antiqua"/>
          <w:color w:val="000000"/>
          <w:vertAlign w:val="superscript"/>
        </w:rPr>
        <w:t>[1]</w:t>
      </w:r>
      <w:r>
        <w:rPr>
          <w:rFonts w:ascii="Book Antiqua" w:hAnsi="Book Antiqua" w:eastAsia="Book Antiqua" w:cs="Book Antiqua"/>
          <w:color w:val="000000"/>
        </w:rPr>
        <w:t>. MINOCA is seen in 5%-6% of patients with acute myocardial infarction (AMI)</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this number may be as high as 15% in certain subgroups</w:t>
      </w:r>
      <w:r>
        <w:rPr>
          <w:rFonts w:ascii="Book Antiqua" w:hAnsi="Book Antiqua" w:eastAsia="Book Antiqua" w:cs="Book Antiqua"/>
          <w:color w:val="000000"/>
          <w:vertAlign w:val="superscript"/>
        </w:rPr>
        <w:t>[2]</w:t>
      </w:r>
      <w:r>
        <w:rPr>
          <w:rFonts w:ascii="Book Antiqua" w:hAnsi="Book Antiqua" w:eastAsia="Book Antiqua" w:cs="Book Antiqua"/>
          <w:color w:val="000000"/>
        </w:rPr>
        <w:t>. Compared to patients with AMI due to obstructive coronary artery disease (CAD), patients with MINOCA are younger, consist of more women, and have a lesser prevalence of traditional risk factors such as dyslipidemia, diabetes mellitus, hypertension, tobacco use, and family history of AMI</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coronavirus disease 2019 (COVID-19) pandemic, caused by severe acute respiratory syndrome coronavirus 2 (SARS-CoV-2), has led to more than 4,250,000 deaths worldwide. Although primarily a respiratory illness, it is becoming increasingly clear that COVID-19 is a multi-system disease. How COVID-19 affects the cardiac system has been well documented. However, as more cases are reported, uncommon presentations and complications of COVID-19 are surfacing. Although there have been many reports of MINOCA in COVID-19 patients, a unified approach to evaluate such patients is lacking. In this paper, we review cases of MINOCA reported in patients with COVID-19 and provide a summary of its clinical features, evaluation, and treatment.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b/>
          <w:bCs/>
          <w:iCs/>
          <w:u w:val="single"/>
        </w:rPr>
      </w:pPr>
      <w:r>
        <w:rPr>
          <w:rFonts w:ascii="Book Antiqua" w:hAnsi="Book Antiqua" w:eastAsia="Book Antiqua" w:cs="Book Antiqua"/>
          <w:b/>
          <w:bCs/>
          <w:iCs/>
          <w:color w:val="000000"/>
          <w:u w:val="single"/>
        </w:rPr>
        <w:t>METHODS</w:t>
      </w:r>
    </w:p>
    <w:p>
      <w:pPr>
        <w:spacing w:line="360" w:lineRule="auto"/>
        <w:jc w:val="both"/>
        <w:rPr>
          <w:rFonts w:ascii="Book Antiqua" w:hAnsi="Book Antiqua"/>
        </w:rPr>
      </w:pPr>
      <w:r>
        <w:rPr>
          <w:rFonts w:ascii="Book Antiqua" w:hAnsi="Book Antiqua" w:eastAsia="Book Antiqua" w:cs="Book Antiqua"/>
          <w:color w:val="000000"/>
        </w:rPr>
        <w:t xml:space="preserve">In this review, we included articles on COVID-19 and MINOCA published in PubMed until January 2022. We used the search terms ‘COVID-19’ and ‘MINOCA’ or ‘non-obstructive coronaries’. Case reports, case series, retrospective, and prospective observational studies on adult patients with COVID-19 were eligible to be included. We excluded opinions, recommendations, and reviews that did not have clinical details of patients. Patients whose initial diagnosis of MINOCA was modified after further evaluation were also excluded. Studies in languages other than English were translated using Google Translate. Two independent clinicians were involved in the screening of the articles.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Cs/>
          <w:u w:val="single"/>
        </w:rPr>
      </w:pPr>
      <w:r>
        <w:rPr>
          <w:rFonts w:ascii="Book Antiqua" w:hAnsi="Book Antiqua" w:eastAsia="Book Antiqua" w:cs="Book Antiqua"/>
          <w:b/>
          <w:bCs/>
          <w:iC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We found five cases and one case series of three patients with MINOCA and COVID-19</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(Table 1). We also found five observational studies of MINOCA in COVID-19 patients, which are discussed seperately</w:t>
      </w:r>
      <w:r>
        <w:rPr>
          <w:rFonts w:ascii="Book Antiqua" w:hAnsi="Book Antiqua" w:eastAsia="Book Antiqua" w:cs="Book Antiqua"/>
          <w:color w:val="000000"/>
          <w:vertAlign w:val="superscript"/>
        </w:rPr>
        <w:t>[9–13]</w:t>
      </w:r>
      <w:r>
        <w:rPr>
          <w:rFonts w:ascii="Book Antiqua" w:hAnsi="Book Antiqua" w:eastAsia="Book Antiqua" w:cs="Book Antiqua"/>
          <w:color w:val="000000"/>
        </w:rPr>
        <w:t xml:space="preserve"> (Table 2). Among the reported cases, the mean age of patients was 61.5 years (SD ± 13.4), and 50% were men.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Demographic details and presentations</w:t>
      </w:r>
    </w:p>
    <w:p>
      <w:pPr>
        <w:spacing w:line="360" w:lineRule="auto"/>
        <w:jc w:val="both"/>
        <w:rPr>
          <w:rFonts w:ascii="Book Antiqua" w:hAnsi="Book Antiqua"/>
        </w:rPr>
      </w:pPr>
      <w:r>
        <w:rPr>
          <w:rFonts w:ascii="Book Antiqua" w:hAnsi="Book Antiqua" w:eastAsia="Book Antiqua" w:cs="Book Antiqua"/>
          <w:color w:val="000000"/>
        </w:rPr>
        <w:t xml:space="preserve">Chest pain was the presenting symptom in five patients (62.5%), two patients (25%) had dyspnea without chest pain, and one patient (12.5%) was found unresponsive at the time of presentation. Hypertension was the most common comorbidity and was present in 62.5% of the patients. Other comorbidities included diabetes mellitus, chronic obstructive pulmonary disease, non-ischemic heart failure with reduced ejection fraction, past ST-elevation myocardial infarction (STEMI), hypercholesterolemia, and motor-neuron disease.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Investigations</w:t>
      </w:r>
    </w:p>
    <w:p>
      <w:pPr>
        <w:spacing w:line="360" w:lineRule="auto"/>
        <w:jc w:val="both"/>
        <w:rPr>
          <w:rFonts w:ascii="Book Antiqua" w:hAnsi="Book Antiqua"/>
        </w:rPr>
      </w:pPr>
      <w:r>
        <w:rPr>
          <w:rFonts w:ascii="Book Antiqua" w:hAnsi="Book Antiqua" w:eastAsia="Book Antiqua" w:cs="Book Antiqua"/>
          <w:color w:val="000000"/>
        </w:rPr>
        <w:t>ST-elevation was seen in most patients (87.5%), while one patient (12.5%) had only T-wave inversion. In addition, a new-onset left bundle branch block was seen in one patient (12.5%)</w:t>
      </w:r>
      <w:r>
        <w:rPr>
          <w:rFonts w:ascii="Book Antiqua" w:hAnsi="Book Antiqua" w:eastAsia="Book Antiqua" w:cs="Book Antiqua"/>
          <w:color w:val="000000"/>
          <w:vertAlign w:val="superscript"/>
        </w:rPr>
        <w:t>[6]</w:t>
      </w:r>
      <w:r>
        <w:rPr>
          <w:rFonts w:ascii="Book Antiqua" w:hAnsi="Book Antiqua" w:eastAsia="Book Antiqua" w:cs="Book Antiqua"/>
          <w:color w:val="000000"/>
        </w:rPr>
        <w:t>. Three-quarters of all patients had elevated troponin levels. On echocardiography, three patients (37.5%) had reduced ejection fraction, and four (50%) had preserved ejection fraction. One case report did not include echocardiography findings. Non-obstructive coronary arteries were demonstrated by invasive angiography in all patients, except one who underwent computed tomography coronary angiography (CTCA)</w:t>
      </w:r>
      <w:r>
        <w:rPr>
          <w:rFonts w:ascii="Book Antiqua" w:hAnsi="Book Antiqua" w:eastAsia="Book Antiqua" w:cs="Book Antiqua"/>
          <w:color w:val="000000"/>
          <w:vertAlign w:val="superscript"/>
        </w:rPr>
        <w:t>[4]</w:t>
      </w:r>
      <w:r>
        <w:rPr>
          <w:rFonts w:ascii="Book Antiqua" w:hAnsi="Book Antiqua" w:eastAsia="Book Antiqua" w:cs="Book Antiqua"/>
          <w:color w:val="000000"/>
        </w:rPr>
        <w:t>. Cardiac magnetic resonance imaging (CMR) was performed on one patient. It showed myocardial edema restricted to the mid-ventricular to apical territory of the right coronary artery, and subendocardial-to-partially transmural late gadolinium enhancement in the mid-ventricular to apical inferior wall. These findings were suggestive of acute myocardial infarction</w:t>
      </w:r>
      <w:r>
        <w:rPr>
          <w:rFonts w:ascii="Book Antiqua" w:hAnsi="Book Antiqua" w:eastAsia="Book Antiqua" w:cs="Book Antiqua"/>
          <w:color w:val="000000"/>
          <w:vertAlign w:val="superscript"/>
        </w:rPr>
        <w:t>[4]</w:t>
      </w:r>
      <w:r>
        <w:rPr>
          <w:rFonts w:ascii="Book Antiqua" w:hAnsi="Book Antiqua" w:eastAsia="Book Antiqua" w:cs="Book Antiqua"/>
          <w:color w:val="000000"/>
        </w:rPr>
        <w:t>. The same patient underwent cardiac positron emission tomography-computed tomography (PET-CT), which showed reduced metabolic activity in the area affected by the infarction. Another patient underwent computed tomographic pulmonary angiography, which ruled out pulmonary embolism, and cardiogoniometry, which revealed septal inferior myocardial ischemia</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Treatment and outcome</w:t>
      </w:r>
    </w:p>
    <w:p>
      <w:pPr>
        <w:spacing w:line="360" w:lineRule="auto"/>
        <w:jc w:val="both"/>
        <w:rPr>
          <w:rFonts w:ascii="Book Antiqua" w:hAnsi="Book Antiqua"/>
        </w:rPr>
      </w:pPr>
      <w:r>
        <w:rPr>
          <w:rFonts w:ascii="Book Antiqua" w:hAnsi="Book Antiqua" w:eastAsia="Book Antiqua" w:cs="Book Antiqua"/>
          <w:color w:val="000000"/>
        </w:rPr>
        <w:t>While most patients were treated with supportive care, antiplatelets, statins, and anticoagulation, one patient received anti-viral therapy (lopinavir/ritonavir) with hydroxychloroquine</w:t>
      </w:r>
      <w:r>
        <w:rPr>
          <w:rFonts w:ascii="Book Antiqua" w:hAnsi="Book Antiqua" w:eastAsia="Book Antiqua" w:cs="Book Antiqua"/>
          <w:color w:val="000000"/>
          <w:vertAlign w:val="superscript"/>
        </w:rPr>
        <w:t>[7]</w:t>
      </w:r>
      <w:r>
        <w:rPr>
          <w:rFonts w:ascii="Book Antiqua" w:hAnsi="Book Antiqua" w:eastAsia="Book Antiqua" w:cs="Book Antiqua"/>
          <w:color w:val="000000"/>
        </w:rPr>
        <w:t>. The overall mortality rate was 37.5%.</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Observational studies reporting outcomes of MINOCA in COVID-19</w:t>
      </w:r>
    </w:p>
    <w:p>
      <w:pPr>
        <w:spacing w:line="360" w:lineRule="auto"/>
        <w:jc w:val="both"/>
        <w:rPr>
          <w:rFonts w:ascii="Book Antiqua" w:hAnsi="Book Antiqua"/>
        </w:rPr>
      </w:pPr>
      <w:r>
        <w:rPr>
          <w:rFonts w:ascii="Book Antiqua" w:hAnsi="Book Antiqua" w:eastAsia="Book Antiqua" w:cs="Book Antiqua"/>
          <w:color w:val="000000"/>
        </w:rPr>
        <w:t>In the five observational studies included in this review, the incidence of MINOCA among COVID-19 patients with an acute coronary syndrome varied from 5.2% to 54.5%</w:t>
      </w:r>
      <w:r>
        <w:rPr>
          <w:rFonts w:ascii="Book Antiqua" w:hAnsi="Book Antiqua" w:eastAsia="Book Antiqua" w:cs="Book Antiqua"/>
          <w:color w:val="000000"/>
          <w:vertAlign w:val="superscript"/>
        </w:rPr>
        <w:t>[9–13]</w:t>
      </w:r>
      <w:r>
        <w:rPr>
          <w:rFonts w:ascii="Book Antiqua" w:hAnsi="Book Antiqua" w:eastAsia="Book Antiqua" w:cs="Book Antiqua"/>
          <w:color w:val="000000"/>
        </w:rPr>
        <w:t xml:space="preserve">. Demographic details were only reported in the study by Stefanini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mean age of patients with MINOCA in that study was 69.27 years (SD ± 10.6), and 54.5% were male. Hypertension was the most common comorbidity (91.8%), followed by chronic kidney disease (45.4%), dyslipidemia (27.3%) and diabetes mellitus (9.1%). The proportion of patients with ST-elevation on ECG was between 81.8% and 100%, and the mortality rate ranged from 45.4% to 66%.</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b/>
          <w:bCs/>
          <w:iCs/>
          <w:u w:val="single"/>
        </w:rPr>
      </w:pPr>
      <w:r>
        <w:rPr>
          <w:rFonts w:ascii="Book Antiqua" w:hAnsi="Book Antiqua" w:eastAsia="Book Antiqua" w:cs="Book Antiqua"/>
          <w:b/>
          <w:bCs/>
          <w:iC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Gross and Sternberg first described MINOCA in 1939</w:t>
      </w:r>
      <w:r>
        <w:rPr>
          <w:rFonts w:ascii="Book Antiqua" w:hAnsi="Book Antiqua" w:eastAsia="Book Antiqua" w:cs="Book Antiqua"/>
          <w:color w:val="000000"/>
          <w:vertAlign w:val="superscript"/>
        </w:rPr>
        <w:t>[14]</w:t>
      </w:r>
      <w:r>
        <w:rPr>
          <w:rFonts w:ascii="Book Antiqua" w:hAnsi="Book Antiqua" w:eastAsia="Book Antiqua" w:cs="Book Antiqua"/>
          <w:color w:val="000000"/>
        </w:rPr>
        <w:t>. Later, the term MINC or MINCA (myocardial infarction with normal coronary arteries) was coined, which was modified to MINOCA to be more inclusive. Other words that have been used in the literature to describe this pathology include ‘acute coronary syndromes with normal or near-normal coronary arteries’ (ACS-NNOCA) and ischemic syndromes with non-obstructive coronaries (INOCA). Strictly speaking, MINCA is a subset of MINOCA, which is a subset of ACS-NNOCA. The subtle differences between these terms have been confusing as these terms are often used interchangeably. Nevertheless, the term MINOCA provides a framework for evaluating such patients and is often used as a ‘working diagnosis’. Further evaluation may reveal secondary causes such as myocarditis, Takostubo cardiomyopathy, sepsis, cardiac contusion, spontaneous coronary artery dissection, microvascular disease, coronary artery spasm, or missed obstructive coronary artery disease. If a secondary cause is not found, a diagnosis of ‘unclassified MINOCA’ is made</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proportion of MINOCA seems to be higher in COVID-19 patients. In the study by Popovic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there was a statistically significant increase in the proportion of MINOCA in COVID-19 patients compared to a historical cohort (54.5% </w:t>
      </w:r>
      <w:r>
        <w:rPr>
          <w:rFonts w:ascii="Book Antiqua" w:hAnsi="Book Antiqua" w:eastAsia="Book Antiqua" w:cs="Book Antiqua"/>
          <w:i/>
          <w:iCs/>
          <w:color w:val="000000"/>
        </w:rPr>
        <w:t>vs</w:t>
      </w:r>
      <w:r>
        <w:rPr>
          <w:rFonts w:ascii="Book Antiqua" w:hAnsi="Book Antiqua" w:eastAsia="Book Antiqua" w:cs="Book Antiqua"/>
          <w:color w:val="000000"/>
        </w:rPr>
        <w:t xml:space="preserve"> 1.4%, </w:t>
      </w:r>
      <w:r>
        <w:rPr>
          <w:rFonts w:ascii="Book Antiqua" w:hAnsi="Book Antiqua" w:eastAsia="Book Antiqua" w:cs="Book Antiqua"/>
          <w:i/>
          <w:color w:val="000000"/>
        </w:rPr>
        <w:t>P</w:t>
      </w:r>
      <w:r>
        <w:rPr>
          <w:rFonts w:ascii="Book Antiqua" w:hAnsi="Book Antiqua" w:eastAsia="Book Antiqua" w:cs="Book Antiqua"/>
          <w:color w:val="000000"/>
        </w:rPr>
        <w:t xml:space="preserve"> &lt; 0.001). Due to the heterogeneity in case definitions and evaluation protocols between centers, the actual proportion of MINOCA among COVID-19 patients is difficult to estimate. One can gauge the upper limit of this estimate from the proportion of COVID-19 patients with acute cardiac injury (ACI), which is one of the earliest measures of cardiac involvement reported during the COVID-19 pandemic. ACI, defined as cardiac-troponin elevation with values exceeding the 99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of the upper reference limit, was observed in 8%-62% of COVID-19 patients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Also noteworthy was that any amount of cardiac injury was significantly associated with mortality (adjusted HR 1.75, </w:t>
      </w:r>
      <w:r>
        <w:rPr>
          <w:rFonts w:ascii="Book Antiqua" w:hAnsi="Book Antiqua" w:eastAsia="Book Antiqua" w:cs="Book Antiqua"/>
          <w:i/>
          <w:color w:val="000000"/>
        </w:rPr>
        <w:t>P</w:t>
      </w:r>
      <w:r>
        <w:rPr>
          <w:rFonts w:ascii="Book Antiqua" w:hAnsi="Book Antiqua" w:eastAsia="Book Antiqua" w:cs="Book Antiqua"/>
          <w:color w:val="000000"/>
        </w:rPr>
        <w:t xml:space="preserve"> &lt; 0.001)</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other characteristics of COVID-19 patients with MINOCA can be extrapolated from the results of a systematic review of 161 patients from 42 studies of COVID-19 patients with ST-elevation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The authors observed that patients with non-obstructive CAD had more diffuse ST-segment elevation (13% </w:t>
      </w:r>
      <w:r>
        <w:rPr>
          <w:rFonts w:ascii="Book Antiqua" w:hAnsi="Book Antiqua" w:eastAsia="Book Antiqua" w:cs="Book Antiqua"/>
          <w:i/>
          <w:iCs/>
          <w:color w:val="000000"/>
        </w:rPr>
        <w:t>vs</w:t>
      </w:r>
      <w:r>
        <w:rPr>
          <w:rFonts w:ascii="Book Antiqua" w:hAnsi="Book Antiqua" w:eastAsia="Book Antiqua" w:cs="Book Antiqua"/>
          <w:color w:val="000000"/>
        </w:rPr>
        <w:t xml:space="preserve"> 1%, </w:t>
      </w:r>
      <w:r>
        <w:rPr>
          <w:rFonts w:ascii="Book Antiqua" w:hAnsi="Book Antiqua" w:eastAsia="Book Antiqua" w:cs="Book Antiqua"/>
          <w:i/>
          <w:color w:val="000000"/>
        </w:rPr>
        <w:t>P</w:t>
      </w:r>
      <w:r>
        <w:rPr>
          <w:rFonts w:ascii="MS Mincho" w:hAnsi="MS Mincho" w:eastAsia="Book Antiqua" w:cs="MS Mincho"/>
          <w:color w:val="000000"/>
        </w:rPr>
        <w:t xml:space="preserve"> </w:t>
      </w:r>
      <w:r>
        <w:rPr>
          <w:rFonts w:ascii="Book Antiqua" w:hAnsi="Book Antiqua" w:eastAsia="Book Antiqua" w:cs="Book Antiqua"/>
          <w:color w:val="000000"/>
        </w:rPr>
        <w:t>=</w:t>
      </w:r>
      <w:r>
        <w:rPr>
          <w:rFonts w:ascii="MS Mincho" w:hAnsi="MS Mincho" w:eastAsia="Book Antiqua" w:cs="MS Mincho"/>
          <w:color w:val="000000"/>
        </w:rPr>
        <w:t xml:space="preserve"> </w:t>
      </w:r>
      <w:r>
        <w:rPr>
          <w:rFonts w:ascii="Book Antiqua" w:hAnsi="Book Antiqua" w:eastAsia="Book Antiqua" w:cs="Book Antiqua"/>
          <w:color w:val="000000"/>
        </w:rPr>
        <w:t xml:space="preserve">0.03) and diffuse left ventricular wall-motion abnormality (23% </w:t>
      </w:r>
      <w:r>
        <w:rPr>
          <w:rFonts w:ascii="Book Antiqua" w:hAnsi="Book Antiqua" w:eastAsia="Book Antiqua" w:cs="Book Antiqua"/>
          <w:i/>
          <w:iCs/>
          <w:color w:val="000000"/>
        </w:rPr>
        <w:t>vs</w:t>
      </w:r>
      <w:r>
        <w:rPr>
          <w:rFonts w:ascii="Book Antiqua" w:hAnsi="Book Antiqua" w:eastAsia="Book Antiqua" w:cs="Book Antiqua"/>
          <w:color w:val="000000"/>
        </w:rPr>
        <w:t xml:space="preserve"> 3%, </w:t>
      </w:r>
      <w:r>
        <w:rPr>
          <w:rFonts w:ascii="Book Antiqua" w:hAnsi="Book Antiqua" w:eastAsia="Book Antiqua" w:cs="Book Antiqua"/>
          <w:i/>
          <w:color w:val="000000"/>
        </w:rPr>
        <w:t>P</w:t>
      </w:r>
      <w:r>
        <w:rPr>
          <w:rFonts w:ascii="Book Antiqua" w:hAnsi="Book Antiqua" w:eastAsia="Book Antiqua" w:cs="Book Antiqua"/>
          <w:color w:val="000000"/>
        </w:rPr>
        <w:t xml:space="preserve"> =</w:t>
      </w:r>
      <w:r>
        <w:rPr>
          <w:rFonts w:ascii="MS Mincho" w:hAnsi="MS Mincho" w:eastAsia="Book Antiqua" w:cs="MS Mincho"/>
          <w:color w:val="000000"/>
        </w:rPr>
        <w:t xml:space="preserve"> </w:t>
      </w:r>
      <w:r>
        <w:rPr>
          <w:rFonts w:ascii="Book Antiqua" w:hAnsi="Book Antiqua" w:eastAsia="Book Antiqua" w:cs="Book Antiqua"/>
          <w:color w:val="000000"/>
        </w:rPr>
        <w:t>0.02) when compared to those with obstructive CAD</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In the same review, the proportion of men in the group with obstructive CAD was higher than in the group with non-obstructive CAD (79% </w:t>
      </w:r>
      <w:r>
        <w:rPr>
          <w:rFonts w:ascii="Book Antiqua" w:hAnsi="Book Antiqua" w:eastAsia="Book Antiqua" w:cs="Book Antiqua"/>
          <w:i/>
          <w:iCs/>
          <w:color w:val="000000"/>
        </w:rPr>
        <w:t>vs</w:t>
      </w:r>
      <w:r>
        <w:rPr>
          <w:rFonts w:ascii="Book Antiqua" w:hAnsi="Book Antiqua" w:eastAsia="Book Antiqua" w:cs="Book Antiqua"/>
          <w:color w:val="000000"/>
        </w:rPr>
        <w:t xml:space="preserve"> 57%)</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literature review found that many patients with COVID-19 and MINOCA received alternative diagnoses such as Takotsubo cardiomyopathy, coronary vasospasm, myocarditis, and coronary vasculitis on further evaluation. This is consistent with the concept that MINOCA is a dynamic diagnosis, and patients who were initially diagnosed with MINOCA may receive a revised diagnosis on further evaluation. However, some patients were presumed to have myocarditis without objective evidence for the same</w:t>
      </w:r>
      <w:r>
        <w:rPr>
          <w:rFonts w:ascii="Book Antiqua" w:hAnsi="Book Antiqua" w:eastAsia="Book Antiqua" w:cs="Book Antiqua"/>
          <w:color w:val="000000"/>
          <w:vertAlign w:val="superscript"/>
        </w:rPr>
        <w:t>[18–21]</w:t>
      </w:r>
      <w:r>
        <w:rPr>
          <w:rFonts w:ascii="Book Antiqua" w:hAnsi="Book Antiqua" w:eastAsia="Book Antiqua" w:cs="Book Antiqua"/>
          <w:color w:val="000000"/>
        </w:rPr>
        <w:t>. A diagnosis of MINOCA or MINOCA under evaluation would better suit such patients. It must also be noted that the cases of MINOCA with COVID-19 that were included in this review are cases of ‘unclassified MINOCA.’</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Specific causes for MINOCA in COVID-19 patients</w:t>
      </w:r>
    </w:p>
    <w:p>
      <w:pPr>
        <w:spacing w:line="360" w:lineRule="auto"/>
        <w:jc w:val="both"/>
        <w:rPr>
          <w:rFonts w:ascii="Book Antiqua" w:hAnsi="Book Antiqua"/>
        </w:rPr>
      </w:pPr>
      <w:r>
        <w:rPr>
          <w:rFonts w:ascii="Book Antiqua" w:hAnsi="Book Antiqua" w:eastAsia="Book Antiqua" w:cs="Book Antiqua"/>
          <w:b/>
          <w:bCs/>
          <w:iCs/>
          <w:color w:val="000000"/>
        </w:rPr>
        <w:t>Myocarditis</w:t>
      </w:r>
      <w:r>
        <w:rPr>
          <w:rFonts w:hint="eastAsia" w:ascii="Book Antiqua" w:hAnsi="Book Antiqua" w:cs="Book Antiqua"/>
          <w:b/>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Myocarditis is defined as an inflammatory disease of the myocardium diagnosed by histological, immunological, immunohistochemical, and molecular criteria</w:t>
      </w:r>
      <w:r>
        <w:rPr>
          <w:rFonts w:ascii="Book Antiqua" w:hAnsi="Book Antiqua" w:eastAsia="Book Antiqua" w:cs="Book Antiqua"/>
          <w:color w:val="000000"/>
          <w:vertAlign w:val="superscript"/>
        </w:rPr>
        <w:t>[22]</w:t>
      </w:r>
      <w:r>
        <w:rPr>
          <w:rFonts w:ascii="Book Antiqua" w:hAnsi="Book Antiqua" w:eastAsia="Book Antiqua" w:cs="Book Antiqua"/>
          <w:color w:val="000000"/>
        </w:rPr>
        <w:t>. There have only been a handful of COVID-19 patients with endomyocardial biopsy-proven myocarditis</w:t>
      </w:r>
      <w:r>
        <w:rPr>
          <w:rFonts w:ascii="Book Antiqua" w:hAnsi="Book Antiqua" w:eastAsia="Book Antiqua" w:cs="Book Antiqua"/>
          <w:color w:val="000000"/>
          <w:vertAlign w:val="superscript"/>
        </w:rPr>
        <w:t>[23,24]</w:t>
      </w:r>
      <w:r>
        <w:rPr>
          <w:rFonts w:ascii="Book Antiqua" w:hAnsi="Book Antiqua" w:eastAsia="Book Antiqua" w:cs="Book Antiqua"/>
          <w:color w:val="000000"/>
        </w:rPr>
        <w:t>. Even in these patients, the SARS-CoV-2 genome could not be isolated from the biopsy sample. Thus, there is no conclusive proof that SARS-CoV-2 infects the myocardium resulting in myocarditis. Instead, the mechanism is probably one of immune-mediated damage and would justify steroids for treatment. However, many COVID-19 patients who were diagnosed with myocarditis do not meet the strict diagnostic criteria for the same, and giving steroids to such patients may be harmful</w:t>
      </w:r>
      <w:r>
        <w:rPr>
          <w:rFonts w:ascii="Book Antiqua" w:hAnsi="Book Antiqua" w:eastAsia="Book Antiqua" w:cs="Book Antiqua"/>
          <w:color w:val="000000"/>
          <w:vertAlign w:val="superscript"/>
        </w:rPr>
        <w:t>[18–21]</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iCs/>
          <w:color w:val="000000"/>
        </w:rPr>
        <w:t>Takotsubo cardiomyopathy</w:t>
      </w:r>
      <w:r>
        <w:rPr>
          <w:rFonts w:ascii="Book Antiqua" w:hAnsi="Book Antiqua" w:eastAsia="Book Antiqua" w:cs="Book Antiqua"/>
          <w:b/>
          <w:color w:val="000000"/>
        </w:rPr>
        <w:t xml:space="preserve">: </w:t>
      </w:r>
      <w:r>
        <w:rPr>
          <w:rFonts w:ascii="Book Antiqua" w:hAnsi="Book Antiqua" w:eastAsia="Book Antiqua" w:cs="Book Antiqua"/>
          <w:color w:val="000000"/>
        </w:rPr>
        <w:t>Takotsubo cardiomyopathy is an intriguing disorder, and its mechanism is yet to be elucidated fully. Takotsubo cardiomyopathy has been well documented in COVID-19 patients and can be due to the infection or the emotional stress associated with the pandemic</w:t>
      </w:r>
      <w:r>
        <w:rPr>
          <w:rFonts w:ascii="Book Antiqua" w:hAnsi="Book Antiqua" w:eastAsia="Book Antiqua" w:cs="Book Antiqua"/>
          <w:color w:val="000000"/>
          <w:vertAlign w:val="superscript"/>
        </w:rPr>
        <w:t>[25]</w:t>
      </w:r>
      <w:r>
        <w:rPr>
          <w:rFonts w:ascii="Book Antiqua" w:hAnsi="Book Antiqua" w:eastAsia="Book Antiqua" w:cs="Book Antiqua"/>
          <w:color w:val="000000"/>
        </w:rPr>
        <w:t>. Whether Takotsubo cardiomyopathy should be included as a cause of MINOCA is debatable. This is because the ‘Fourth Universal Definition of Myocardial Infarction’ does not consider Takotsubo cardiomyopathy a form of myocardial infarction</w:t>
      </w:r>
      <w:r>
        <w:rPr>
          <w:rFonts w:ascii="Book Antiqua" w:hAnsi="Book Antiqua" w:eastAsia="Book Antiqua" w:cs="Book Antiqua"/>
          <w:color w:val="000000"/>
          <w:vertAlign w:val="superscript"/>
        </w:rPr>
        <w:t>[26]</w:t>
      </w:r>
      <w:r>
        <w:rPr>
          <w:rFonts w:ascii="Book Antiqua" w:hAnsi="Book Antiqua" w:eastAsia="Book Antiqua" w:cs="Book Antiqua"/>
          <w:color w:val="000000"/>
        </w:rPr>
        <w:t>. On the other hand, the elevation of cardiac troponins is well documented in Takotsubo cardiomyopathy</w:t>
      </w:r>
      <w:r>
        <w:rPr>
          <w:rFonts w:ascii="Book Antiqua" w:hAnsi="Book Antiqua" w:eastAsia="Book Antiqua" w:cs="Book Antiqua"/>
          <w:color w:val="000000"/>
          <w:vertAlign w:val="superscript"/>
        </w:rPr>
        <w:t>[27]</w:t>
      </w:r>
      <w:r>
        <w:rPr>
          <w:rFonts w:ascii="Book Antiqua" w:hAnsi="Book Antiqua" w:eastAsia="Book Antiqua" w:cs="Book Antiqua"/>
          <w:color w:val="000000"/>
        </w:rPr>
        <w:t>. In our opinion, Takotsubo cardiomyopathy must be included in the diagnostic algorithm of MINOCA as there seems to be an increased incidence in COVID-19. Such a diagnosis carries certain therapeutic and prognostic implications as well.</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iCs/>
          <w:color w:val="000000"/>
        </w:rPr>
        <w:t>Coronary vasculitis</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Although coronary vasculitis is a rare cause of MINOCA, it has been reported in patients with COVID-19. Feuchtner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described an interesting case of a 48-year-old COVID-19 patient who was evaluated for chest pain and was found to have non-obstructive coronaries suggestive of MINOCA. However, further evaluation with CMR confirmed subendocardial inferior zonal late enhancement, and CTCA showed diffuse irregular vessel wall thickening and perivascular edema suggestive of vasculitis. The patient was managed with acetylsalicylic acid and clopidogrel and was discharged after cardiac enzyme levels declined. Postmortem studies showed COVID-19 viral inclusion bodies in endothelial cells, supporting the possibility of endothelial cell infection and endarteritis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Hence, COVID-19 induced coronary vasculitis may be more common than currently reported. This case also underscores the importance of identifying patients with MINOCA and evaluating them further, rather than giving a presumptive diagnosis of myocarditis.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iCs/>
          <w:color w:val="000000"/>
        </w:rPr>
        <w:t>Spontaneous coronary artery dissection</w:t>
      </w:r>
      <w:r>
        <w:rPr>
          <w:rFonts w:ascii="Book Antiqua" w:hAnsi="Book Antiqua" w:eastAsia="Book Antiqua" w:cs="Book Antiqua"/>
          <w:b/>
          <w:color w:val="000000"/>
        </w:rPr>
        <w:t xml:space="preserve">: </w:t>
      </w:r>
      <w:r>
        <w:rPr>
          <w:rFonts w:ascii="Book Antiqua" w:hAnsi="Book Antiqua" w:eastAsia="Book Antiqua" w:cs="Book Antiqua"/>
          <w:color w:val="000000"/>
        </w:rPr>
        <w:t>Multiple case reports in COVID-19 patients have documented spontaneous coronary artery dissection</w:t>
      </w:r>
      <w:r>
        <w:rPr>
          <w:rFonts w:ascii="Book Antiqua" w:hAnsi="Book Antiqua" w:eastAsia="Book Antiqua" w:cs="Book Antiqua"/>
          <w:color w:val="000000"/>
          <w:vertAlign w:val="superscript"/>
        </w:rPr>
        <w:t>[29–32]</w:t>
      </w:r>
      <w:r>
        <w:rPr>
          <w:rFonts w:ascii="Book Antiqua" w:hAnsi="Book Antiqua" w:eastAsia="Book Antiqua" w:cs="Book Antiqua"/>
          <w:color w:val="000000"/>
        </w:rPr>
        <w:t>. The obstruction is caused by the separation of the medial and adventitial walls, with an intramural hematoma protruding into the lumen. It is hypothesized that there is an intrinsic underlying vasculopathy, and the dissection is precipitated by stress, catecholamine surge, physical activity, or sympathetic stimulation</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underlying endothelial dysfunction and thrombo-inflammation may be the reason for coronary artery dissection occurring in COVID-19.</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iCs/>
          <w:color w:val="000000"/>
        </w:rPr>
        <w:t>Coronary vasospasm</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Diagnosis of coronary vasospasm in COVID-19 patients with MINOCA is challenging, but possible, if a systematic approach is followed. This was demonstrated by Rivero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in their case report of a 66-year-old man who presented with bilateral COVID-19 pneumonia and chest pain. After angiography, optical coherence tomography showed a stable, mainly fibrotic atheromatous plaque. The diagnosis of coronary vasospasm was clinched by administering intracoronary ergonovine at increasing doses which led to severe chest pain and universal ST</w:t>
      </w:r>
      <w:r>
        <w:rPr>
          <w:rFonts w:hint="eastAsia" w:ascii="宋体" w:hAnsi="宋体" w:eastAsia="宋体" w:cs="宋体"/>
          <w:color w:val="000000"/>
        </w:rPr>
        <w:t>‐</w:t>
      </w:r>
      <w:r>
        <w:rPr>
          <w:rFonts w:ascii="Book Antiqua" w:hAnsi="Book Antiqua" w:eastAsia="Book Antiqua" w:cs="Book Antiqua"/>
          <w:color w:val="000000"/>
        </w:rPr>
        <w:t>segment elevation. Coronary angiography done at this time revealed nearly occlusive coronary vasospasm involving both the left anterior descending coronary artery and left circumflex coronary artery. Given how challenging it is to diagnose coronary vasospasm, it may be another under-reported cause of MINOCA in COVID-19.</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iCs/>
          <w:color w:val="000000"/>
        </w:rPr>
        <w:t>Miscellaneous causes</w:t>
      </w:r>
      <w:r>
        <w:rPr>
          <w:rFonts w:ascii="Book Antiqua" w:hAnsi="Book Antiqua" w:eastAsia="Book Antiqua" w:cs="Book Antiqua"/>
          <w:b/>
          <w:color w:val="000000"/>
        </w:rPr>
        <w:t xml:space="preserve">: </w:t>
      </w:r>
      <w:r>
        <w:rPr>
          <w:rFonts w:ascii="Book Antiqua" w:hAnsi="Book Antiqua" w:eastAsia="Book Antiqua" w:cs="Book Antiqua"/>
          <w:color w:val="000000"/>
        </w:rPr>
        <w:t>Type 2 myocardial infarction refers to events that occur due to a mismatch between myocardial oxygen supply and demand</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This is a heterogeneous class that can include various causes such as sepsis, anemia, arrhythmia, and pulmonary embolism-all of which can be seen in the setting of COVID-19 infection.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Evaluation of MINOCA</w:t>
      </w:r>
    </w:p>
    <w:p>
      <w:pPr>
        <w:spacing w:line="360" w:lineRule="auto"/>
        <w:jc w:val="both"/>
        <w:rPr>
          <w:rFonts w:ascii="Book Antiqua" w:hAnsi="Book Antiqua"/>
        </w:rPr>
      </w:pPr>
      <w:r>
        <w:rPr>
          <w:rFonts w:ascii="Book Antiqua" w:hAnsi="Book Antiqua" w:eastAsia="Book Antiqua" w:cs="Book Antiqua"/>
          <w:color w:val="000000"/>
        </w:rPr>
        <w:t>The differential diagnosis for MINOCA is broad, and therefore, a complete history and physical examination must remain at the core of its evaluation. It is also vital to re-take history and re-examine the patient multiple times at various stages of the evaluation process. This will ensure that investigations are directed appropriately and a ‘fishing-expedition’ approach is avoided. The initial set of investigations may give clues to the underlying diagnosis before more invasive tests are undertaken. In a prospective cohort of STEMI patients who underwent primary percutaneous coronary intervention (PPCI) during the COVID-19 outbreak, patients with COVID-19 and MINOCA had elevated markers of inflammation and abnormal coagulation parameters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Moreover, anti-phospholipid antibodies were observed in three of these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Once obstructive coronary artery disease has been ruled out, the most important investigation for evaluating the cause of MINOCA is CMR</w:t>
      </w:r>
      <w:r>
        <w:rPr>
          <w:rFonts w:ascii="Book Antiqua" w:hAnsi="Book Antiqua" w:eastAsia="Book Antiqua" w:cs="Book Antiqua"/>
          <w:color w:val="000000"/>
          <w:vertAlign w:val="superscript"/>
        </w:rPr>
        <w:t>[35]</w:t>
      </w:r>
      <w:r>
        <w:rPr>
          <w:rFonts w:ascii="Book Antiqua" w:hAnsi="Book Antiqua" w:eastAsia="Book Antiqua" w:cs="Book Antiqua"/>
          <w:color w:val="000000"/>
        </w:rPr>
        <w:t>. A large prospective multicenter observational study conducted from 2007 to 2011 included 152 patients with MINOCA. In this study, CMR showed that 19% of the patients had signs of myocardial necrosis, 7% had signs of myocarditis, and 7% had unrecognized hypertrophic cardiomyopathy or could not be classified</w:t>
      </w:r>
      <w:r>
        <w:rPr>
          <w:rFonts w:ascii="Book Antiqua" w:hAnsi="Book Antiqua" w:eastAsia="Book Antiqua" w:cs="Book Antiqua"/>
          <w:color w:val="000000"/>
          <w:vertAlign w:val="superscript"/>
        </w:rPr>
        <w:t>[36]</w:t>
      </w:r>
      <w:r>
        <w:rPr>
          <w:rFonts w:ascii="Book Antiqua" w:hAnsi="Book Antiqua" w:eastAsia="Book Antiqua" w:cs="Book Antiqua"/>
          <w:color w:val="000000"/>
        </w:rPr>
        <w:t>. A meta-analysis of 34 studies with 199 COVID-19 patients for whom CMR was performed showed abnormal results in 79% and myocarditis in 40.2%</w:t>
      </w:r>
      <w:r>
        <w:rPr>
          <w:rFonts w:ascii="Book Antiqua" w:hAnsi="Book Antiqua" w:eastAsia="Book Antiqua" w:cs="Book Antiqua"/>
          <w:color w:val="000000"/>
          <w:vertAlign w:val="superscript"/>
        </w:rPr>
        <w:t>[37]</w:t>
      </w:r>
      <w:r>
        <w:rPr>
          <w:rFonts w:ascii="Book Antiqua" w:hAnsi="Book Antiqua" w:eastAsia="Book Antiqua" w:cs="Book Antiqua"/>
          <w:color w:val="000000"/>
        </w:rPr>
        <w:t>. A caveat is that the absence of myocardial necrosis on CMR does not exclude MINOCA as they may have other findings that support the diagnosis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Prognosis</w:t>
      </w:r>
    </w:p>
    <w:p>
      <w:pPr>
        <w:spacing w:line="360" w:lineRule="auto"/>
        <w:jc w:val="both"/>
        <w:rPr>
          <w:rFonts w:ascii="Book Antiqua" w:hAnsi="Book Antiqua"/>
        </w:rPr>
      </w:pPr>
      <w:r>
        <w:rPr>
          <w:rFonts w:ascii="Book Antiqua" w:hAnsi="Book Antiqua" w:eastAsia="Book Antiqua" w:cs="Book Antiqua"/>
          <w:color w:val="000000"/>
        </w:rPr>
        <w:t>While the prognosis of MINOCA depends on the underlying disease, most studies to date indicate a better prognosis for MINOCA when compared to patients with AMI due to obstructive CAD</w:t>
      </w:r>
      <w:r>
        <w:rPr>
          <w:rFonts w:ascii="Book Antiqua" w:hAnsi="Book Antiqua" w:eastAsia="Book Antiqua" w:cs="Book Antiqua"/>
          <w:color w:val="000000"/>
          <w:vertAlign w:val="superscript"/>
        </w:rPr>
        <w:t>[2]</w:t>
      </w:r>
      <w:r>
        <w:rPr>
          <w:rFonts w:ascii="Book Antiqua" w:hAnsi="Book Antiqua" w:eastAsia="Book Antiqua" w:cs="Book Antiqua"/>
          <w:color w:val="000000"/>
        </w:rPr>
        <w:t>. A review of ST-elevation in COVID-19 patients observed an overall in-hospital mortality of 30%, with no significant difference between obstructive and non-obstructive CAD</w:t>
      </w:r>
      <w:r>
        <w:rPr>
          <w:rFonts w:ascii="Book Antiqua" w:hAnsi="Book Antiqua" w:eastAsia="Book Antiqua" w:cs="Book Antiqua"/>
          <w:color w:val="000000"/>
          <w:vertAlign w:val="superscript"/>
        </w:rPr>
        <w:t>[17]</w:t>
      </w:r>
      <w:r>
        <w:rPr>
          <w:rFonts w:ascii="Book Antiqua" w:hAnsi="Book Antiqua" w:eastAsia="Book Antiqua" w:cs="Book Antiqua"/>
          <w:color w:val="000000"/>
        </w:rPr>
        <w:t>. This is comparable with the mortality rate of 37.5% in our review. The effect of anti-viral therapy for MINOCA on COVID-19 is debatable. While none of the patients who died received anti-viral therapy, the small sample size and study designs preclude us from drawing definite conclusions</w:t>
      </w:r>
      <w:r>
        <w:rPr>
          <w:rFonts w:ascii="Book Antiqua" w:hAnsi="Book Antiqua" w:eastAsia="Book Antiqua" w:cs="Book Antiqua"/>
          <w:color w:val="000000"/>
          <w:vertAlign w:val="superscript"/>
        </w:rPr>
        <w:t>[39,40]</w:t>
      </w:r>
      <w:r>
        <w:rPr>
          <w:rFonts w:ascii="Book Antiqua" w:hAnsi="Book Antiqua" w:eastAsia="Book Antiqua" w:cs="Book Antiqua"/>
          <w:color w:val="000000"/>
        </w:rPr>
        <w:t>. As more cases of MINOCA are reported, it may be feasible to conduct well-designed prospective studies to explore these questions further.</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LIMITATIONS</w:t>
      </w:r>
      <w:r>
        <w:rPr>
          <w:rFonts w:ascii="Book Antiqua" w:hAnsi="Book Antiqua" w:eastAsia="Book Antiqua" w:cs="Book Antiqua"/>
          <w:color w:val="000000"/>
          <w:u w:val="single"/>
        </w:rPr>
        <w:t xml:space="preserve"> </w:t>
      </w:r>
    </w:p>
    <w:p>
      <w:pPr>
        <w:spacing w:line="360" w:lineRule="auto"/>
        <w:jc w:val="both"/>
        <w:rPr>
          <w:rFonts w:ascii="Book Antiqua" w:hAnsi="Book Antiqua"/>
        </w:rPr>
      </w:pPr>
      <w:r>
        <w:rPr>
          <w:rFonts w:ascii="Book Antiqua" w:hAnsi="Book Antiqua" w:eastAsia="Book Antiqua" w:cs="Book Antiqua"/>
          <w:color w:val="000000"/>
        </w:rPr>
        <w:t>There are several limitations to this review. Many cases of MINOCA may have been treated along the lines of COVID-19 associated myocarditis. Therefore, it is likely that MINOCA is grossly under-reported in the literature. The small sample size of this review, due to the under-reporting of cases and the rarity of this condition, limits the generalizability of our findings. The publication of challenging cases with a positive outcome may have led to publication bias. There is also a lack of uniformity in the evaluation and diagnosis of MINOCA in COVID-19</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This review highlights that MINOCA in COVID-19 has a broad differential diagnosis that must be evaluated with a systematic diagnostic algorithm. COVID-19 patients with MINOCA had a mean age of </w:t>
      </w:r>
      <w:r>
        <w:rPr>
          <w:rFonts w:ascii="Book Antiqua" w:hAnsi="Book Antiqua" w:eastAsia="Book Antiqua" w:cs="Book Antiqua"/>
          <w:color w:val="000000"/>
        </w:rPr>
        <w:t xml:space="preserve">61.5 years, and 50% of them were men. The most common presenting symptom was chest pain (62.5%), and ST-elevation was present in most patients (87.5%). The overall mortality rate was 37.5%. </w:t>
      </w:r>
      <w:r>
        <w:rPr>
          <w:rFonts w:ascii="Book Antiqua" w:hAnsi="Book Antiqua" w:eastAsia="Book Antiqua" w:cs="Book Antiqua"/>
          <w:color w:val="000000"/>
          <w:shd w:val="clear" w:color="auto" w:fill="FFFFFF"/>
        </w:rPr>
        <w:t>More studies are required to arrive at a reliable estimate of the true prevalence and prognostic relevance of MINOCA.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Tamis-Holland JE</w:t>
      </w:r>
      <w:r>
        <w:rPr>
          <w:rFonts w:ascii="Book Antiqua" w:hAnsi="Book Antiqua"/>
        </w:rPr>
        <w:t xml:space="preserve">, Jneid H, Reynolds HR, Agewall S, Brilakis ES, Brown TM, Lerman A, Cushman M, Kumbhani DJ, Arslanian-Engoren C, Bolger AF, Beltrame JF; American Heart Association Interventional Cardiovascular Care Committee of the Council on Clinical Cardiology; Council on Cardiovascular and Stroke Nursing; Council on Epidemiology and Prevention; and Council on Quality of Care and Outcomes Research. Contemporary Diagnosis and Management of Patients With Myocardial Infarction in the Absence of Obstructive Coronary Artery Disease: A Scientific Statement From the American Heart Association. </w:t>
      </w:r>
      <w:r>
        <w:rPr>
          <w:rFonts w:ascii="Book Antiqua" w:hAnsi="Book Antiqua"/>
          <w:i/>
          <w:iCs/>
        </w:rPr>
        <w:t>Circulation</w:t>
      </w:r>
      <w:r>
        <w:rPr>
          <w:rFonts w:ascii="Book Antiqua" w:hAnsi="Book Antiqua"/>
        </w:rPr>
        <w:t xml:space="preserve"> 2019; </w:t>
      </w:r>
      <w:r>
        <w:rPr>
          <w:rFonts w:ascii="Book Antiqua" w:hAnsi="Book Antiqua"/>
          <w:b/>
          <w:bCs/>
        </w:rPr>
        <w:t>139</w:t>
      </w:r>
      <w:r>
        <w:rPr>
          <w:rFonts w:ascii="Book Antiqua" w:hAnsi="Book Antiqua"/>
        </w:rPr>
        <w:t>: e891-e908 [PMID: 30913893 DOI: 10.1161/CIR.0000000000000670]</w:t>
      </w:r>
    </w:p>
    <w:p>
      <w:pPr>
        <w:spacing w:line="360" w:lineRule="auto"/>
        <w:jc w:val="both"/>
        <w:rPr>
          <w:rFonts w:ascii="Book Antiqua" w:hAnsi="Book Antiqua"/>
        </w:rPr>
      </w:pPr>
      <w:r>
        <w:rPr>
          <w:rFonts w:ascii="Book Antiqua" w:hAnsi="Book Antiqua"/>
        </w:rPr>
        <w:t xml:space="preserve">2 </w:t>
      </w:r>
      <w:r>
        <w:rPr>
          <w:rFonts w:ascii="Book Antiqua" w:hAnsi="Book Antiqua"/>
          <w:b/>
          <w:bCs/>
        </w:rPr>
        <w:t>Pasupathy S</w:t>
      </w:r>
      <w:r>
        <w:rPr>
          <w:rFonts w:ascii="Book Antiqua" w:hAnsi="Book Antiqua"/>
        </w:rPr>
        <w:t xml:space="preserve">, Air T, Dreyer RP, Tavella R, Beltrame JF. Systematic review of patients presenting with suspected myocardial infarction and nonobstructive coronary arteries. </w:t>
      </w:r>
      <w:r>
        <w:rPr>
          <w:rFonts w:ascii="Book Antiqua" w:hAnsi="Book Antiqua"/>
          <w:i/>
          <w:iCs/>
        </w:rPr>
        <w:t>Circulation</w:t>
      </w:r>
      <w:r>
        <w:rPr>
          <w:rFonts w:ascii="Book Antiqua" w:hAnsi="Book Antiqua"/>
        </w:rPr>
        <w:t xml:space="preserve"> 2015; </w:t>
      </w:r>
      <w:r>
        <w:rPr>
          <w:rFonts w:ascii="Book Antiqua" w:hAnsi="Book Antiqua"/>
          <w:b/>
          <w:bCs/>
        </w:rPr>
        <w:t>131</w:t>
      </w:r>
      <w:r>
        <w:rPr>
          <w:rFonts w:ascii="Book Antiqua" w:hAnsi="Book Antiqua"/>
        </w:rPr>
        <w:t>: 861-870 [PMID: 25587100 DOI: 10.1161/CIRCULATIONAHA.114.011201]</w:t>
      </w:r>
    </w:p>
    <w:p>
      <w:pPr>
        <w:spacing w:line="360" w:lineRule="auto"/>
        <w:jc w:val="both"/>
        <w:rPr>
          <w:rFonts w:ascii="Book Antiqua" w:hAnsi="Book Antiqua"/>
        </w:rPr>
      </w:pPr>
      <w:r>
        <w:rPr>
          <w:rFonts w:ascii="Book Antiqua" w:hAnsi="Book Antiqua"/>
        </w:rPr>
        <w:t xml:space="preserve">3 </w:t>
      </w:r>
      <w:r>
        <w:rPr>
          <w:rFonts w:ascii="Book Antiqua" w:hAnsi="Book Antiqua"/>
          <w:b/>
          <w:bCs/>
        </w:rPr>
        <w:t>Eroglu SE</w:t>
      </w:r>
      <w:r>
        <w:rPr>
          <w:rFonts w:ascii="Book Antiqua" w:hAnsi="Book Antiqua"/>
        </w:rPr>
        <w:t xml:space="preserve">, Ademoglu E, Bayram S, Aksel G. A Rare Cause of ST-Segment Elevation Myocardial Infarction in COVID-19: MINOCA Syndrome. </w:t>
      </w:r>
      <w:r>
        <w:rPr>
          <w:rFonts w:ascii="Book Antiqua" w:hAnsi="Book Antiqua"/>
          <w:i/>
          <w:iCs/>
        </w:rPr>
        <w:t>Medeni Med J</w:t>
      </w:r>
      <w:r>
        <w:rPr>
          <w:rFonts w:ascii="Book Antiqua" w:hAnsi="Book Antiqua"/>
        </w:rPr>
        <w:t xml:space="preserve"> 2021; </w:t>
      </w:r>
      <w:r>
        <w:rPr>
          <w:rFonts w:ascii="Book Antiqua" w:hAnsi="Book Antiqua"/>
          <w:b/>
          <w:bCs/>
        </w:rPr>
        <w:t>36</w:t>
      </w:r>
      <w:r>
        <w:rPr>
          <w:rFonts w:ascii="Book Antiqua" w:hAnsi="Book Antiqua"/>
        </w:rPr>
        <w:t>: 63-68 [PMID: 33828892 DOI: 10.5222/MMJ.2021.25478]</w:t>
      </w:r>
    </w:p>
    <w:p>
      <w:pPr>
        <w:spacing w:line="360" w:lineRule="auto"/>
        <w:jc w:val="both"/>
        <w:rPr>
          <w:rFonts w:ascii="Book Antiqua" w:hAnsi="Book Antiqua"/>
        </w:rPr>
      </w:pPr>
      <w:r>
        <w:rPr>
          <w:rFonts w:ascii="Book Antiqua" w:hAnsi="Book Antiqua"/>
        </w:rPr>
        <w:t xml:space="preserve">4 </w:t>
      </w:r>
      <w:r>
        <w:rPr>
          <w:rFonts w:ascii="Book Antiqua" w:hAnsi="Book Antiqua"/>
          <w:b/>
          <w:bCs/>
        </w:rPr>
        <w:t>Burkert FR</w:t>
      </w:r>
      <w:r>
        <w:rPr>
          <w:rFonts w:ascii="Book Antiqua" w:hAnsi="Book Antiqua"/>
        </w:rPr>
        <w:t xml:space="preserve">, Niederreiter L, Dichtl W, Mayr A, Virgolini I, Klauser A, Weiss G, Bellmann-Weiler R. Case report of a COVID-19-associated myocardial infarction with no obstructive coronary arteries: the mystery of the phantom embolus or local endothelitis. </w:t>
      </w:r>
      <w:r>
        <w:rPr>
          <w:rFonts w:ascii="Book Antiqua" w:hAnsi="Book Antiqua"/>
          <w:i/>
          <w:iCs/>
        </w:rPr>
        <w:t>Eur Heart J Case Rep</w:t>
      </w:r>
      <w:r>
        <w:rPr>
          <w:rFonts w:ascii="Book Antiqua" w:hAnsi="Book Antiqua"/>
        </w:rPr>
        <w:t xml:space="preserve"> 2021; </w:t>
      </w:r>
      <w:r>
        <w:rPr>
          <w:rFonts w:ascii="Book Antiqua" w:hAnsi="Book Antiqua"/>
          <w:b/>
          <w:bCs/>
        </w:rPr>
        <w:t>5</w:t>
      </w:r>
      <w:r>
        <w:rPr>
          <w:rFonts w:ascii="Book Antiqua" w:hAnsi="Book Antiqua"/>
        </w:rPr>
        <w:t>: ytaa521 [PMID: 33598613 DOI: 10.1093/ehjcr/ytaa521]</w:t>
      </w:r>
    </w:p>
    <w:p>
      <w:pPr>
        <w:spacing w:line="360" w:lineRule="auto"/>
        <w:jc w:val="both"/>
        <w:rPr>
          <w:rFonts w:ascii="Book Antiqua" w:hAnsi="Book Antiqua"/>
        </w:rPr>
      </w:pPr>
      <w:r>
        <w:rPr>
          <w:rFonts w:ascii="Book Antiqua" w:hAnsi="Book Antiqua"/>
        </w:rPr>
        <w:t xml:space="preserve">5 </w:t>
      </w:r>
      <w:r>
        <w:rPr>
          <w:rFonts w:ascii="Book Antiqua" w:hAnsi="Book Antiqua"/>
          <w:b/>
          <w:bCs/>
        </w:rPr>
        <w:t>Meizinger C</w:t>
      </w:r>
      <w:r>
        <w:rPr>
          <w:rFonts w:ascii="Book Antiqua" w:hAnsi="Book Antiqua"/>
        </w:rPr>
        <w:t xml:space="preserve">, Klugherz B. Focal ST-segment elevation without coronary occlusion: myocardial infarction with no obstructive coronary atherosclerosis associated with COVID-19-a case report. </w:t>
      </w:r>
      <w:r>
        <w:rPr>
          <w:rFonts w:ascii="Book Antiqua" w:hAnsi="Book Antiqua"/>
          <w:i/>
          <w:iCs/>
        </w:rPr>
        <w:t>Eur Heart J Case Rep</w:t>
      </w:r>
      <w:r>
        <w:rPr>
          <w:rFonts w:ascii="Book Antiqua" w:hAnsi="Book Antiqua"/>
        </w:rPr>
        <w:t xml:space="preserve"> 2021; </w:t>
      </w:r>
      <w:r>
        <w:rPr>
          <w:rFonts w:ascii="Book Antiqua" w:hAnsi="Book Antiqua"/>
          <w:b/>
          <w:bCs/>
        </w:rPr>
        <w:t>5</w:t>
      </w:r>
      <w:r>
        <w:rPr>
          <w:rFonts w:ascii="Book Antiqua" w:hAnsi="Book Antiqua"/>
        </w:rPr>
        <w:t>: ytaa532 [PMID: 33768195 DOI: 10.1093/ehjcr/ytaa532]</w:t>
      </w:r>
    </w:p>
    <w:p>
      <w:pPr>
        <w:spacing w:line="360" w:lineRule="auto"/>
        <w:jc w:val="both"/>
        <w:rPr>
          <w:rFonts w:ascii="Book Antiqua" w:hAnsi="Book Antiqua"/>
        </w:rPr>
      </w:pPr>
      <w:r>
        <w:rPr>
          <w:rFonts w:ascii="Book Antiqua" w:hAnsi="Book Antiqua"/>
        </w:rPr>
        <w:t xml:space="preserve">6 </w:t>
      </w:r>
      <w:r>
        <w:rPr>
          <w:rFonts w:ascii="Book Antiqua" w:hAnsi="Book Antiqua"/>
          <w:b/>
          <w:bCs/>
        </w:rPr>
        <w:t>Saririan M</w:t>
      </w:r>
      <w:r>
        <w:rPr>
          <w:rFonts w:ascii="Book Antiqua" w:hAnsi="Book Antiqua"/>
        </w:rPr>
        <w:t xml:space="preserve">, Armstrong R, George JC, Olechowski B, O'Connor S, Byrd JB, Chapman AR. ST-segment elevation in patients presenting with COVID-19: case series. </w:t>
      </w:r>
      <w:r>
        <w:rPr>
          <w:rFonts w:ascii="Book Antiqua" w:hAnsi="Book Antiqua"/>
          <w:i/>
          <w:iCs/>
        </w:rPr>
        <w:t>Eur Heart J Case Rep</w:t>
      </w:r>
      <w:r>
        <w:rPr>
          <w:rFonts w:ascii="Book Antiqua" w:hAnsi="Book Antiqua"/>
        </w:rPr>
        <w:t xml:space="preserve"> 2021; </w:t>
      </w:r>
      <w:r>
        <w:rPr>
          <w:rFonts w:ascii="Book Antiqua" w:hAnsi="Book Antiqua"/>
          <w:b/>
          <w:bCs/>
        </w:rPr>
        <w:t>5</w:t>
      </w:r>
      <w:r>
        <w:rPr>
          <w:rFonts w:ascii="Book Antiqua" w:hAnsi="Book Antiqua"/>
        </w:rPr>
        <w:t>: ytaa553 [PMID: 33644657 DOI: 10.1093/ehjcr/ytaa553]</w:t>
      </w:r>
    </w:p>
    <w:p>
      <w:pPr>
        <w:spacing w:line="360" w:lineRule="auto"/>
        <w:jc w:val="both"/>
        <w:rPr>
          <w:rFonts w:ascii="Book Antiqua" w:hAnsi="Book Antiqua"/>
        </w:rPr>
      </w:pPr>
      <w:r>
        <w:rPr>
          <w:rFonts w:ascii="Book Antiqua" w:hAnsi="Book Antiqua"/>
        </w:rPr>
        <w:t xml:space="preserve">7 </w:t>
      </w:r>
      <w:r>
        <w:rPr>
          <w:rFonts w:ascii="Book Antiqua" w:hAnsi="Book Antiqua"/>
          <w:b/>
          <w:bCs/>
        </w:rPr>
        <w:t>Castagna F</w:t>
      </w:r>
      <w:r>
        <w:rPr>
          <w:rFonts w:ascii="Book Antiqua" w:hAnsi="Book Antiqua"/>
        </w:rPr>
        <w:t xml:space="preserve">, Cerrud-Rodriguez R, Villela MA, Bortnick AE. SARS-COV-2 infection presenting as ST-elevationmyocardial infarction. </w:t>
      </w:r>
      <w:r>
        <w:rPr>
          <w:rFonts w:ascii="Book Antiqua" w:hAnsi="Book Antiqua"/>
          <w:i/>
          <w:iCs/>
        </w:rPr>
        <w:t>Catheter Cardiovasc Interv</w:t>
      </w:r>
      <w:r>
        <w:rPr>
          <w:rFonts w:ascii="Book Antiqua" w:hAnsi="Book Antiqua"/>
        </w:rPr>
        <w:t xml:space="preserve"> 2021; </w:t>
      </w:r>
      <w:r>
        <w:rPr>
          <w:rFonts w:ascii="Book Antiqua" w:hAnsi="Book Antiqua"/>
          <w:b/>
          <w:bCs/>
        </w:rPr>
        <w:t>97</w:t>
      </w:r>
      <w:r>
        <w:rPr>
          <w:rFonts w:ascii="Book Antiqua" w:hAnsi="Book Antiqua"/>
        </w:rPr>
        <w:t>: E339-E342 [PMID: 32473085 DOI: 10.1002/ccd.28974]</w:t>
      </w:r>
    </w:p>
    <w:p>
      <w:pPr>
        <w:spacing w:line="360" w:lineRule="auto"/>
        <w:jc w:val="both"/>
        <w:rPr>
          <w:rFonts w:ascii="Book Antiqua" w:hAnsi="Book Antiqua"/>
        </w:rPr>
      </w:pPr>
      <w:r>
        <w:rPr>
          <w:rFonts w:ascii="Book Antiqua" w:hAnsi="Book Antiqua"/>
        </w:rPr>
        <w:t xml:space="preserve">8 </w:t>
      </w:r>
      <w:r>
        <w:rPr>
          <w:rFonts w:ascii="Book Antiqua" w:hAnsi="Book Antiqua"/>
          <w:b/>
          <w:bCs/>
        </w:rPr>
        <w:t>Bujak K</w:t>
      </w:r>
      <w:r>
        <w:rPr>
          <w:rFonts w:ascii="Book Antiqua" w:hAnsi="Book Antiqua"/>
        </w:rPr>
        <w:t xml:space="preserve">, Kazik A, Wróbel M, Piegza J, Lekston A, Gąsior M. COVID-19 mimicking ST-elevation myocardial infarction. </w:t>
      </w:r>
      <w:r>
        <w:rPr>
          <w:rFonts w:ascii="Book Antiqua" w:hAnsi="Book Antiqua"/>
          <w:i/>
          <w:iCs/>
        </w:rPr>
        <w:t>Postepy Kardiol Interwencyjnej</w:t>
      </w:r>
      <w:r>
        <w:rPr>
          <w:rFonts w:ascii="Book Antiqua" w:hAnsi="Book Antiqua"/>
        </w:rPr>
        <w:t xml:space="preserve"> 2020; </w:t>
      </w:r>
      <w:r>
        <w:rPr>
          <w:rFonts w:ascii="Book Antiqua" w:hAnsi="Book Antiqua"/>
          <w:b/>
          <w:bCs/>
        </w:rPr>
        <w:t>16</w:t>
      </w:r>
      <w:r>
        <w:rPr>
          <w:rFonts w:ascii="Book Antiqua" w:hAnsi="Book Antiqua"/>
        </w:rPr>
        <w:t>: 213-215 [PMID: 32636910 DOI: 10.5114/aic.2020.95632]</w:t>
      </w:r>
    </w:p>
    <w:p>
      <w:pPr>
        <w:spacing w:line="360" w:lineRule="auto"/>
        <w:jc w:val="both"/>
        <w:rPr>
          <w:rFonts w:ascii="Book Antiqua" w:hAnsi="Book Antiqua"/>
        </w:rPr>
      </w:pPr>
      <w:r>
        <w:rPr>
          <w:rFonts w:ascii="Book Antiqua" w:hAnsi="Book Antiqua"/>
        </w:rPr>
        <w:t xml:space="preserve">9 </w:t>
      </w:r>
      <w:r>
        <w:rPr>
          <w:rFonts w:ascii="Book Antiqua" w:hAnsi="Book Antiqua"/>
          <w:b/>
          <w:bCs/>
        </w:rPr>
        <w:t>Stefanini GG</w:t>
      </w:r>
      <w:r>
        <w:rPr>
          <w:rFonts w:ascii="Book Antiqua" w:hAnsi="Book Antiqua"/>
        </w:rPr>
        <w:t xml:space="preserve">, Montorfano M, Trabattoni D, Andreini D, Ferrante G, Ancona M, Metra M, Curello S, Maffeo D, Pero G, Cacucci M, Assanelli E, Bellini B, Russo F, Ielasi A, Tespili M, Danzi GB, Vandoni P, Bollati M, Barbieri L, Oreglia J, Lettieri C, Cremonesi A, Carugo S, Reimers B, Condorelli G, Chieffo A. ST-Elevation Myocardial Infarction in Patients With COVID-19: Clinical and Angiographic Outcomes. </w:t>
      </w:r>
      <w:r>
        <w:rPr>
          <w:rFonts w:ascii="Book Antiqua" w:hAnsi="Book Antiqua"/>
          <w:i/>
          <w:iCs/>
        </w:rPr>
        <w:t>Circulation</w:t>
      </w:r>
      <w:r>
        <w:rPr>
          <w:rFonts w:ascii="Book Antiqua" w:hAnsi="Book Antiqua"/>
        </w:rPr>
        <w:t xml:space="preserve"> 2020; </w:t>
      </w:r>
      <w:r>
        <w:rPr>
          <w:rFonts w:ascii="Book Antiqua" w:hAnsi="Book Antiqua"/>
          <w:b/>
          <w:bCs/>
        </w:rPr>
        <w:t>141</w:t>
      </w:r>
      <w:r>
        <w:rPr>
          <w:rFonts w:ascii="Book Antiqua" w:hAnsi="Book Antiqua"/>
        </w:rPr>
        <w:t>: 2113-2116 [PMID: 32352306 DOI: 10.1161/CIRCULATIONAHA.120.047525]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Popovic B</w:t>
      </w:r>
      <w:r>
        <w:rPr>
          <w:rFonts w:ascii="Book Antiqua" w:hAnsi="Book Antiqua"/>
        </w:rPr>
        <w:t xml:space="preserve">, Varlot J, Metzdorf PA, Jeulin H, Goehringer F, Camenzind E. Changes in characteristics and management among patients with ST-elevation myocardial infarction due to COVID-19 infection. </w:t>
      </w:r>
      <w:r>
        <w:rPr>
          <w:rFonts w:ascii="Book Antiqua" w:hAnsi="Book Antiqua"/>
          <w:i/>
          <w:iCs/>
        </w:rPr>
        <w:t>Catheter Cardiovasc Interv</w:t>
      </w:r>
      <w:r>
        <w:rPr>
          <w:rFonts w:ascii="Book Antiqua" w:hAnsi="Book Antiqua"/>
        </w:rPr>
        <w:t xml:space="preserve"> 2021; </w:t>
      </w:r>
      <w:r>
        <w:rPr>
          <w:rFonts w:ascii="Book Antiqua" w:hAnsi="Book Antiqua"/>
          <w:b/>
          <w:bCs/>
        </w:rPr>
        <w:t>97</w:t>
      </w:r>
      <w:r>
        <w:rPr>
          <w:rFonts w:ascii="Book Antiqua" w:hAnsi="Book Antiqua"/>
        </w:rPr>
        <w:t>: E319-E326 [PMID: 32667726 DOI: 10.1002/ccd.29114]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Bangalore S</w:t>
      </w:r>
      <w:r>
        <w:rPr>
          <w:rFonts w:ascii="Book Antiqua" w:hAnsi="Book Antiqua"/>
        </w:rPr>
        <w:t xml:space="preserve">, Sharma A, Slotwiner A, Yatskar L, Harari R, Shah B, Ibrahim H, Friedman GH, Thompson C, Alviar CL, Chadow HL, Fishman GI, Reynolds HR, Keller N, Hochman JS. ST-Segment Elevation in Patients with Covid-19 - A Case Series.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2478-2480 [PMID: 32302081 DOI: 10.1056/NEJMc2009020]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Hamadeh A</w:t>
      </w:r>
      <w:r>
        <w:rPr>
          <w:rFonts w:ascii="Book Antiqua" w:hAnsi="Book Antiqua"/>
        </w:rPr>
        <w:t xml:space="preserve">, Aldujeli A, Briedis K, Tecson KM, Sanz-Sánchez J, Al Dujeili M, Al-Obeidi A, Diez JL, Žaliūnas R, Stoler RC, McCullough PA. Characteristics and Outcomes in Patients Presenting With COVID-19 and ST-Segment Elevation Myocardial Infarction. </w:t>
      </w:r>
      <w:r>
        <w:rPr>
          <w:rFonts w:ascii="Book Antiqua" w:hAnsi="Book Antiqua"/>
          <w:i/>
          <w:iCs/>
        </w:rPr>
        <w:t>Am J Cardiol</w:t>
      </w:r>
      <w:r>
        <w:rPr>
          <w:rFonts w:ascii="Book Antiqua" w:hAnsi="Book Antiqua"/>
        </w:rPr>
        <w:t xml:space="preserve"> 2020; </w:t>
      </w:r>
      <w:r>
        <w:rPr>
          <w:rFonts w:ascii="Book Antiqua" w:hAnsi="Book Antiqua"/>
          <w:b/>
          <w:bCs/>
        </w:rPr>
        <w:t>131</w:t>
      </w:r>
      <w:r>
        <w:rPr>
          <w:rFonts w:ascii="Book Antiqua" w:hAnsi="Book Antiqua"/>
        </w:rPr>
        <w:t>: 1-6 [PMID: 32732010 DOI: 10.1016/j.amjcard.2020.06.063]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Secco GG</w:t>
      </w:r>
      <w:r>
        <w:rPr>
          <w:rFonts w:ascii="Book Antiqua" w:hAnsi="Book Antiqua"/>
        </w:rPr>
        <w:t xml:space="preserve">, Tarantini G, Mazzarotto P, Garbo R, Parisi R, Maggio S, Vercellino M, Pistis G, Audo A, Kozel D, Centini G, Di Mario C. Invasive strategy for COVID patients presenting with acute coronary syndrome: The first multicenter Italian experience. </w:t>
      </w:r>
      <w:r>
        <w:rPr>
          <w:rFonts w:ascii="Book Antiqua" w:hAnsi="Book Antiqua"/>
          <w:i/>
          <w:iCs/>
        </w:rPr>
        <w:t>Catheter Cardiovasc Interv</w:t>
      </w:r>
      <w:r>
        <w:rPr>
          <w:rFonts w:ascii="Book Antiqua" w:hAnsi="Book Antiqua"/>
        </w:rPr>
        <w:t xml:space="preserve"> 2021; </w:t>
      </w:r>
      <w:r>
        <w:rPr>
          <w:rFonts w:ascii="Book Antiqua" w:hAnsi="Book Antiqua"/>
          <w:b/>
          <w:bCs/>
        </w:rPr>
        <w:t>97</w:t>
      </w:r>
      <w:r>
        <w:rPr>
          <w:rFonts w:ascii="Book Antiqua" w:hAnsi="Book Antiqua"/>
        </w:rPr>
        <w:t>: 195-198 [PMID: 32400049 DOI: 10.1002/ccd.28959]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Gross H</w:t>
      </w:r>
      <w:r>
        <w:rPr>
          <w:rFonts w:ascii="Book Antiqua" w:hAnsi="Book Antiqua"/>
          <w:bCs/>
        </w:rPr>
        <w:t>,</w:t>
      </w:r>
      <w:r>
        <w:rPr>
          <w:rFonts w:ascii="Book Antiqua" w:hAnsi="Book Antiqua"/>
        </w:rPr>
        <w:t xml:space="preserve"> Sternberg WH. Myocardial Infarction Without Significant Lesions of Coronary Arteries. </w:t>
      </w:r>
      <w:r>
        <w:rPr>
          <w:rFonts w:ascii="Book Antiqua" w:hAnsi="Book Antiqua"/>
          <w:i/>
        </w:rPr>
        <w:t>Arch Intern Med</w:t>
      </w:r>
      <w:r>
        <w:rPr>
          <w:rFonts w:ascii="Book Antiqua" w:hAnsi="Book Antiqua"/>
        </w:rPr>
        <w:t xml:space="preserve"> 1939; </w:t>
      </w:r>
      <w:r>
        <w:rPr>
          <w:rFonts w:ascii="Book Antiqua" w:hAnsi="Book Antiqua"/>
          <w:b/>
        </w:rPr>
        <w:t>64:</w:t>
      </w:r>
      <w:r>
        <w:rPr>
          <w:rFonts w:ascii="Book Antiqua" w:hAnsi="Book Antiqua"/>
        </w:rPr>
        <w:t xml:space="preserve"> 249–267. [DOI: 10.1001/archinte.1939.00190020035003]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Lippi G</w:t>
      </w:r>
      <w:r>
        <w:rPr>
          <w:rFonts w:ascii="Book Antiqua" w:hAnsi="Book Antiqua"/>
        </w:rPr>
        <w:t xml:space="preserve">, Lavie CJ, Sanchis-Gomar F. Cardiac troponin I in patients with coronavirus disease 2019 (COVID-19): Evidence from a meta-analysis. </w:t>
      </w:r>
      <w:r>
        <w:rPr>
          <w:rFonts w:ascii="Book Antiqua" w:hAnsi="Book Antiqua"/>
          <w:i/>
          <w:iCs/>
        </w:rPr>
        <w:t>Prog Cardiovasc Dis</w:t>
      </w:r>
      <w:r>
        <w:rPr>
          <w:rFonts w:ascii="Book Antiqua" w:hAnsi="Book Antiqua"/>
        </w:rPr>
        <w:t xml:space="preserve"> 2020; </w:t>
      </w:r>
      <w:r>
        <w:rPr>
          <w:rFonts w:ascii="Book Antiqua" w:hAnsi="Book Antiqua"/>
          <w:b/>
          <w:bCs/>
        </w:rPr>
        <w:t>63</w:t>
      </w:r>
      <w:r>
        <w:rPr>
          <w:rFonts w:ascii="Book Antiqua" w:hAnsi="Book Antiqua"/>
        </w:rPr>
        <w:t>: 390-391 [PMID: 32169400 DOI: 10.1016/j.pcad.2020.03.001]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Lala A</w:t>
      </w:r>
      <w:r>
        <w:rPr>
          <w:rFonts w:ascii="Book Antiqua" w:hAnsi="Book Antiqua"/>
        </w:rPr>
        <w:t xml:space="preserve">, Johnson KW, Januzzi JL, Russak AJ, Paranjpe I, Richter F, Zhao S, Somani S, Van Vleck T, Vaid A, Chaudhry F, De Freitas JK, Fayad ZA, Pinney SP, Levin M, Charney A, Bagiella E, Narula J, Glicksberg BS, Nadkarni G, Mancini DM, Fuster V; Mount Sinai COVID Informatics Center. Prevalence and Impact of Myocardial Injury in Patients Hospitalized With COVID-19 Infection. </w:t>
      </w:r>
      <w:r>
        <w:rPr>
          <w:rFonts w:ascii="Book Antiqua" w:hAnsi="Book Antiqua"/>
          <w:i/>
          <w:iCs/>
        </w:rPr>
        <w:t>J Am Coll Cardiol</w:t>
      </w:r>
      <w:r>
        <w:rPr>
          <w:rFonts w:ascii="Book Antiqua" w:hAnsi="Book Antiqua"/>
        </w:rPr>
        <w:t xml:space="preserve"> 2020; </w:t>
      </w:r>
      <w:r>
        <w:rPr>
          <w:rFonts w:ascii="Book Antiqua" w:hAnsi="Book Antiqua"/>
          <w:b/>
          <w:bCs/>
        </w:rPr>
        <w:t>76</w:t>
      </w:r>
      <w:r>
        <w:rPr>
          <w:rFonts w:ascii="Book Antiqua" w:hAnsi="Book Antiqua"/>
        </w:rPr>
        <w:t>: 533-546 [PMID: 32517963 DOI: 10.1016/j.jacc.2020.06.007]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Diaz-Arocutipa C</w:t>
      </w:r>
      <w:r>
        <w:rPr>
          <w:rFonts w:ascii="Book Antiqua" w:hAnsi="Book Antiqua"/>
        </w:rPr>
        <w:t xml:space="preserve">, Torres-Valencia J, Saucedo-Chinchay J, Cuevas C. ST-segment elevation in patients with COVID-19: a systematic review. </w:t>
      </w:r>
      <w:r>
        <w:rPr>
          <w:rFonts w:ascii="Book Antiqua" w:hAnsi="Book Antiqua"/>
          <w:i/>
          <w:iCs/>
        </w:rPr>
        <w:t>J Thromb Thrombolysis</w:t>
      </w:r>
      <w:r>
        <w:rPr>
          <w:rFonts w:ascii="Book Antiqua" w:hAnsi="Book Antiqua"/>
        </w:rPr>
        <w:t xml:space="preserve"> 2021; </w:t>
      </w:r>
      <w:r>
        <w:rPr>
          <w:rFonts w:ascii="Book Antiqua" w:hAnsi="Book Antiqua"/>
          <w:b/>
          <w:bCs/>
        </w:rPr>
        <w:t>52</w:t>
      </w:r>
      <w:r>
        <w:rPr>
          <w:rFonts w:ascii="Book Antiqua" w:hAnsi="Book Antiqua"/>
        </w:rPr>
        <w:t>: 738-745 [PMID: 33646500 DOI: 10.1007/s11239-021-02411-9]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El-Assaad I</w:t>
      </w:r>
      <w:r>
        <w:rPr>
          <w:rFonts w:ascii="Book Antiqua" w:hAnsi="Book Antiqua"/>
        </w:rPr>
        <w:t xml:space="preserve">, Hood-Pishchany MI, Kheir J, Mistry K, Dixit A, Halyabar O, Mah DY, Meyer-Macaulay C, Cheng H. Complete Heart Block, Severe Ventricular Dysfunction, and Myocardial Inflammation in a Child With COVID-19 Infection. </w:t>
      </w:r>
      <w:r>
        <w:rPr>
          <w:rFonts w:ascii="Book Antiqua" w:hAnsi="Book Antiqua"/>
          <w:i/>
          <w:iCs/>
        </w:rPr>
        <w:t>JACC Case Rep</w:t>
      </w:r>
      <w:r>
        <w:rPr>
          <w:rFonts w:ascii="Book Antiqua" w:hAnsi="Book Antiqua"/>
        </w:rPr>
        <w:t xml:space="preserve"> 2020; </w:t>
      </w:r>
      <w:r>
        <w:rPr>
          <w:rFonts w:ascii="Book Antiqua" w:hAnsi="Book Antiqua"/>
          <w:b/>
          <w:bCs/>
        </w:rPr>
        <w:t>2</w:t>
      </w:r>
      <w:r>
        <w:rPr>
          <w:rFonts w:ascii="Book Antiqua" w:hAnsi="Book Antiqua"/>
        </w:rPr>
        <w:t>: 1351-1355 [PMID: 32835278 DOI: 10.1016/j.jaccas.2020.05.023]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Khalid Y</w:t>
      </w:r>
      <w:r>
        <w:rPr>
          <w:rFonts w:ascii="Book Antiqua" w:hAnsi="Book Antiqua"/>
        </w:rPr>
        <w:t xml:space="preserve">, Dasu N, Dasu K. A case of novel coronavirus (COVID-19)-induced viral myocarditis mimicking a Takotsubo cardiomyopathy. </w:t>
      </w:r>
      <w:r>
        <w:rPr>
          <w:rFonts w:ascii="Book Antiqua" w:hAnsi="Book Antiqua"/>
          <w:i/>
          <w:iCs/>
        </w:rPr>
        <w:t>HeartRhythm Case Rep</w:t>
      </w:r>
      <w:r>
        <w:rPr>
          <w:rFonts w:ascii="Book Antiqua" w:hAnsi="Book Antiqua"/>
        </w:rPr>
        <w:t xml:space="preserve"> 2020; </w:t>
      </w:r>
      <w:r>
        <w:rPr>
          <w:rFonts w:ascii="Book Antiqua" w:hAnsi="Book Antiqua"/>
          <w:b/>
          <w:bCs/>
        </w:rPr>
        <w:t>6</w:t>
      </w:r>
      <w:r>
        <w:rPr>
          <w:rFonts w:ascii="Book Antiqua" w:hAnsi="Book Antiqua"/>
        </w:rPr>
        <w:t>: 473-476 [PMID: 32817822 DOI: 10.1016/j.hrcr.2020.05.020]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Hussain H</w:t>
      </w:r>
      <w:r>
        <w:rPr>
          <w:rFonts w:ascii="Book Antiqua" w:hAnsi="Book Antiqua"/>
        </w:rPr>
        <w:t xml:space="preserve">, Fadel A, Alwaeli H, Guardiola V. Coronavirus (COVID-19) Fulminant Myopericarditis and Acute Respiratory Distress Syndrome (ARDS) in a Middle-Aged Male Patient.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e8808 [PMID: 32607304 DOI: 10.7759/cureus.8808]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Rehman M</w:t>
      </w:r>
      <w:r>
        <w:rPr>
          <w:rFonts w:ascii="Book Antiqua" w:hAnsi="Book Antiqua"/>
        </w:rPr>
        <w:t xml:space="preserve">, Gondal A, Rehman NU. Atypical Manifestation of COVID-19-Induced Myocarditis.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e8685 [PMID: 32577331 DOI: 10.7759/cureus.8685]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Caforio AL</w:t>
      </w:r>
      <w:r>
        <w:rPr>
          <w:rFonts w:ascii="Book Antiqua" w:hAnsi="Book Antiqua"/>
        </w:rPr>
        <w:t xml:space="preserve">, Pankuweit S, Arbustini E, Basso C, Gimeno-Blanes J, Felix SB, Fu M, Heliö T, Heymans S, Jahns R, Klingel K, Linhart A, Maisch B, McKenna W, Mogensen J, Pinto YM, Ristic A, Schultheiss HP, Seggewiss H, Tavazzi L, Thiene G, Yilmaz A, Charron P, Elliott PM; European Society of Cardiology Working Group on Myocardial and Pericardial Diseases. Current state of knowledge on aetiology, diagnosis, management, and therapy of myocarditis: a position statement of the European Society of Cardiology Working Group on Myocardial and Pericardial Diseases. </w:t>
      </w:r>
      <w:r>
        <w:rPr>
          <w:rFonts w:ascii="Book Antiqua" w:hAnsi="Book Antiqua"/>
          <w:i/>
          <w:iCs/>
        </w:rPr>
        <w:t>Eur Heart J</w:t>
      </w:r>
      <w:r>
        <w:rPr>
          <w:rFonts w:ascii="Book Antiqua" w:hAnsi="Book Antiqua"/>
        </w:rPr>
        <w:t xml:space="preserve"> 2013; </w:t>
      </w:r>
      <w:r>
        <w:rPr>
          <w:rFonts w:ascii="Book Antiqua" w:hAnsi="Book Antiqua"/>
          <w:b/>
          <w:bCs/>
        </w:rPr>
        <w:t>34</w:t>
      </w:r>
      <w:r>
        <w:rPr>
          <w:rFonts w:ascii="Book Antiqua" w:hAnsi="Book Antiqua"/>
        </w:rPr>
        <w:t>: 2636-2648, 2648a-2648d [PMID: 23824828 DOI: 10.1093/eurheartj/eht210]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Sala S</w:t>
      </w:r>
      <w:r>
        <w:rPr>
          <w:rFonts w:ascii="Book Antiqua" w:hAnsi="Book Antiqua"/>
        </w:rPr>
        <w:t xml:space="preserve">, Peretto G, Gramegna M, Palmisano A, Villatore A, Vignale D, De Cobelli F, Tresoldi M, Cappelletti AM, Basso C, Godino C, Esposito A. Acute myocarditis presenting as a reverse Tako-Tsubo syndrome in a patient with SARS-CoV-2 respiratory infection. </w:t>
      </w:r>
      <w:r>
        <w:rPr>
          <w:rFonts w:ascii="Book Antiqua" w:hAnsi="Book Antiqua"/>
          <w:i/>
          <w:iCs/>
        </w:rPr>
        <w:t>Eur Heart J</w:t>
      </w:r>
      <w:r>
        <w:rPr>
          <w:rFonts w:ascii="Book Antiqua" w:hAnsi="Book Antiqua"/>
        </w:rPr>
        <w:t xml:space="preserve"> 2020; </w:t>
      </w:r>
      <w:r>
        <w:rPr>
          <w:rFonts w:ascii="Book Antiqua" w:hAnsi="Book Antiqua"/>
          <w:b/>
          <w:bCs/>
        </w:rPr>
        <w:t>41</w:t>
      </w:r>
      <w:r>
        <w:rPr>
          <w:rFonts w:ascii="Book Antiqua" w:hAnsi="Book Antiqua"/>
        </w:rPr>
        <w:t>: 1861-1862 [PMID: 32267502 DOI: 10.1093/eurheartj/ehaa286]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Tavazzi G</w:t>
      </w:r>
      <w:r>
        <w:rPr>
          <w:rFonts w:ascii="Book Antiqua" w:hAnsi="Book Antiqua"/>
        </w:rPr>
        <w:t xml:space="preserve">, Pellegrini C, Maurelli M, Belliato M, Sciutti F, Bottazzi A, Sepe PA, Resasco T, Camporotondo R, Bruno R, Baldanti F, Paolucci S, Pelenghi S, Iotti GA, Mojoli F, Arbustini E. Myocardial localization of coronavirus in COVID-19 cardiogenic shock. </w:t>
      </w:r>
      <w:r>
        <w:rPr>
          <w:rFonts w:ascii="Book Antiqua" w:hAnsi="Book Antiqua"/>
          <w:i/>
          <w:iCs/>
        </w:rPr>
        <w:t>Eur J Heart Fail</w:t>
      </w:r>
      <w:r>
        <w:rPr>
          <w:rFonts w:ascii="Book Antiqua" w:hAnsi="Book Antiqua"/>
        </w:rPr>
        <w:t xml:space="preserve"> 2020; </w:t>
      </w:r>
      <w:r>
        <w:rPr>
          <w:rFonts w:ascii="Book Antiqua" w:hAnsi="Book Antiqua"/>
          <w:b/>
          <w:bCs/>
        </w:rPr>
        <w:t>22</w:t>
      </w:r>
      <w:r>
        <w:rPr>
          <w:rFonts w:ascii="Book Antiqua" w:hAnsi="Book Antiqua"/>
        </w:rPr>
        <w:t>: 911-915 [PMID: 32275347 DOI: 10.1002/ejhf.1828]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John K</w:t>
      </w:r>
      <w:r>
        <w:rPr>
          <w:rFonts w:ascii="Book Antiqua" w:hAnsi="Book Antiqua"/>
        </w:rPr>
        <w:t xml:space="preserve">, Lal A, Mishra A. A review of the presentation and outcome of takotsubo cardiomyopathy in COVID-19. </w:t>
      </w:r>
      <w:r>
        <w:rPr>
          <w:rFonts w:ascii="Book Antiqua" w:hAnsi="Book Antiqua"/>
          <w:i/>
          <w:iCs/>
        </w:rPr>
        <w:t>Monaldi Arch Chest Dis</w:t>
      </w:r>
      <w:r>
        <w:rPr>
          <w:rFonts w:ascii="Book Antiqua" w:hAnsi="Book Antiqua"/>
        </w:rPr>
        <w:t xml:space="preserve"> 2021; </w:t>
      </w:r>
      <w:r>
        <w:rPr>
          <w:rFonts w:ascii="Book Antiqua" w:hAnsi="Book Antiqua"/>
          <w:b/>
          <w:bCs/>
        </w:rPr>
        <w:t>91</w:t>
      </w:r>
      <w:r>
        <w:rPr>
          <w:rFonts w:ascii="Book Antiqua" w:hAnsi="Book Antiqua"/>
        </w:rPr>
        <w:t xml:space="preserve"> [PMID: 33759445 DOI: 10.4081/monaldi.2021.1710]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Thygesen K</w:t>
      </w:r>
      <w:r>
        <w:rPr>
          <w:rFonts w:ascii="Book Antiqua" w:hAnsi="Book Antiqua"/>
        </w:rPr>
        <w:t xml:space="preserve">, Alpert JS, Jaffe AS, Chaitman BR, Bax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Pr>
          <w:rFonts w:ascii="Book Antiqua" w:hAnsi="Book Antiqua"/>
          <w:i/>
          <w:iCs/>
        </w:rPr>
        <w:t>Circulation</w:t>
      </w:r>
      <w:r>
        <w:rPr>
          <w:rFonts w:ascii="Book Antiqua" w:hAnsi="Book Antiqua"/>
        </w:rPr>
        <w:t xml:space="preserve"> 2018; </w:t>
      </w:r>
      <w:r>
        <w:rPr>
          <w:rFonts w:ascii="Book Antiqua" w:hAnsi="Book Antiqua"/>
          <w:b/>
          <w:bCs/>
        </w:rPr>
        <w:t>138</w:t>
      </w:r>
      <w:r>
        <w:rPr>
          <w:rFonts w:ascii="Book Antiqua" w:hAnsi="Book Antiqua"/>
        </w:rPr>
        <w:t>: e618-e651 [PMID: 30571511 DOI: 10.1161/CIR.0000000000000617]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Feuchtner GM</w:t>
      </w:r>
      <w:r>
        <w:rPr>
          <w:rFonts w:ascii="Book Antiqua" w:hAnsi="Book Antiqua"/>
        </w:rPr>
        <w:t xml:space="preserve">, Barbieri F, Luger A, Skalla E, Kountchev J, Widmann G, Plank F. Myocardial injury in COVID-19: The role of coronary computed tomography angiography (CTA). </w:t>
      </w:r>
      <w:r>
        <w:rPr>
          <w:rFonts w:ascii="Book Antiqua" w:hAnsi="Book Antiqua"/>
          <w:i/>
          <w:iCs/>
        </w:rPr>
        <w:t>J Cardiovasc Comput Tomogr</w:t>
      </w:r>
      <w:r>
        <w:rPr>
          <w:rFonts w:ascii="Book Antiqua" w:hAnsi="Book Antiqua"/>
        </w:rPr>
        <w:t xml:space="preserve"> 2021; </w:t>
      </w:r>
      <w:r>
        <w:rPr>
          <w:rFonts w:ascii="Book Antiqua" w:hAnsi="Book Antiqua"/>
          <w:b/>
          <w:bCs/>
        </w:rPr>
        <w:t>15</w:t>
      </w:r>
      <w:r>
        <w:rPr>
          <w:rFonts w:ascii="Book Antiqua" w:hAnsi="Book Antiqua"/>
        </w:rPr>
        <w:t>: e3-e6 [PMID: 32747170 DOI: 10.1016/j.jcct.2020.07.002]</w:t>
      </w:r>
    </w:p>
    <w:p>
      <w:pPr>
        <w:spacing w:line="360" w:lineRule="auto"/>
        <w:jc w:val="both"/>
        <w:rPr>
          <w:rFonts w:ascii="Book Antiqua" w:hAnsi="Book Antiqua"/>
        </w:rPr>
      </w:pPr>
      <w:r>
        <w:rPr>
          <w:rFonts w:ascii="Book Antiqua" w:hAnsi="Book Antiqua"/>
        </w:rPr>
        <w:t xml:space="preserve">28 </w:t>
      </w:r>
      <w:r>
        <w:rPr>
          <w:rFonts w:ascii="Book Antiqua" w:hAnsi="Book Antiqua"/>
          <w:b/>
          <w:bCs/>
        </w:rPr>
        <w:t>Varga Z</w:t>
      </w:r>
      <w:r>
        <w:rPr>
          <w:rFonts w:ascii="Book Antiqua" w:hAnsi="Book Antiqua"/>
        </w:rPr>
        <w:t xml:space="preserve">, Flammer AJ, Steiger P, Haberecker M, Andermatt R, Zinkernagel AS, Mehra MR, Schuepbach RA, Ruschitzka F, Moch H. Endothelial cell infection and endotheliitis in COVID-19.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1417-1418 [PMID: 32325026 DOI: 10.1016/S0140-6736(20)30937-5]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Papanikolaou J</w:t>
      </w:r>
      <w:r>
        <w:rPr>
          <w:rFonts w:ascii="Book Antiqua" w:hAnsi="Book Antiqua"/>
        </w:rPr>
        <w:t xml:space="preserve">, Alharthy A, Platogiannis N, Balhamar A, Alqahtani SA, Memish ZA, Karakitsos D. Spontaneous coronary artery dissection in a patient with COVID-19. </w:t>
      </w:r>
      <w:r>
        <w:rPr>
          <w:rFonts w:ascii="Book Antiqua" w:hAnsi="Book Antiqua"/>
          <w:i/>
          <w:iCs/>
        </w:rPr>
        <w:t>Coron Artery Dis</w:t>
      </w:r>
      <w:r>
        <w:rPr>
          <w:rFonts w:ascii="Book Antiqua" w:hAnsi="Book Antiqua"/>
        </w:rPr>
        <w:t xml:space="preserve"> 2021; </w:t>
      </w:r>
      <w:r>
        <w:rPr>
          <w:rFonts w:ascii="Book Antiqua" w:hAnsi="Book Antiqua"/>
          <w:b/>
          <w:bCs/>
        </w:rPr>
        <w:t>32</w:t>
      </w:r>
      <w:r>
        <w:rPr>
          <w:rFonts w:ascii="Book Antiqua" w:hAnsi="Book Antiqua"/>
        </w:rPr>
        <w:t>: 354-355 [PMID: 33394695 DOI: 10.1097/MCA.0000000000000991]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Aparisi A</w:t>
      </w:r>
      <w:r>
        <w:rPr>
          <w:rFonts w:ascii="Book Antiqua" w:hAnsi="Book Antiqua"/>
          <w:bCs/>
        </w:rPr>
        <w:t>,</w:t>
      </w:r>
      <w:r>
        <w:rPr>
          <w:rFonts w:ascii="Book Antiqua" w:hAnsi="Book Antiqua"/>
        </w:rPr>
        <w:t xml:space="preserve"> Ybarra-Falcón C, García-Granja PE, Uribarri A, Gutiérrez H, Amat-Santos IJ. COVID-19 and spontaneous coronary artery dissection: causality? | Letters to the Editor. </w:t>
      </w:r>
      <w:r>
        <w:rPr>
          <w:rFonts w:ascii="Book Antiqua" w:hAnsi="Book Antiqua"/>
          <w:i/>
        </w:rPr>
        <w:t xml:space="preserve">REC Interv Cardiol </w:t>
      </w:r>
      <w:r>
        <w:rPr>
          <w:rFonts w:ascii="Book Antiqua" w:hAnsi="Book Antiqua"/>
        </w:rPr>
        <w:t xml:space="preserve">2021; </w:t>
      </w:r>
      <w:r>
        <w:rPr>
          <w:rFonts w:ascii="Book Antiqua" w:hAnsi="Book Antiqua"/>
          <w:b/>
          <w:bCs/>
        </w:rPr>
        <w:t>3</w:t>
      </w:r>
      <w:r>
        <w:rPr>
          <w:rFonts w:ascii="Book Antiqua" w:hAnsi="Book Antiqua"/>
        </w:rPr>
        <w:t>: 134-143 [DOI: 10.24875/RECICE.M20000185]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Shojaei F</w:t>
      </w:r>
      <w:r>
        <w:rPr>
          <w:rFonts w:ascii="Book Antiqua" w:hAnsi="Book Antiqua"/>
        </w:rPr>
        <w:t xml:space="preserve">, Habibi Z, Goudarzi S, Firouzabadi FD, Montazerin SM, Najafi H, Kahe F, Momenzadeh K, Mir M, Khan F, Jamil U, Jamil A, Lee JJ, Chi G. COVID-19: A double threat to takotsubo cardiomyopathy and spontaneous coronary artery dissection? </w:t>
      </w:r>
      <w:r>
        <w:rPr>
          <w:rFonts w:ascii="Book Antiqua" w:hAnsi="Book Antiqua"/>
          <w:i/>
          <w:iCs/>
        </w:rPr>
        <w:t>Med Hypotheses</w:t>
      </w:r>
      <w:r>
        <w:rPr>
          <w:rFonts w:ascii="Book Antiqua" w:hAnsi="Book Antiqua"/>
        </w:rPr>
        <w:t xml:space="preserve"> 2021; </w:t>
      </w:r>
      <w:r>
        <w:rPr>
          <w:rFonts w:ascii="Book Antiqua" w:hAnsi="Book Antiqua"/>
          <w:b/>
          <w:bCs/>
        </w:rPr>
        <w:t>146</w:t>
      </w:r>
      <w:r>
        <w:rPr>
          <w:rFonts w:ascii="Book Antiqua" w:hAnsi="Book Antiqua"/>
        </w:rPr>
        <w:t>: 110410 [PMID: 33267999 DOI: 10.1016/j.mehy.2020.110410]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Yapan Emren Z</w:t>
      </w:r>
      <w:r>
        <w:rPr>
          <w:rFonts w:ascii="Book Antiqua" w:hAnsi="Book Antiqua"/>
        </w:rPr>
        <w:t xml:space="preserve">, Emren V, Özdemir E, Karagöz U, Nazlı C. Spontaneous right coronary artery dissection in a patient with COVID-19 infection: A case report and review of the literature. </w:t>
      </w:r>
      <w:r>
        <w:rPr>
          <w:rFonts w:ascii="Book Antiqua" w:hAnsi="Book Antiqua"/>
          <w:i/>
          <w:iCs/>
        </w:rPr>
        <w:t>Turk Kardiyol Dern Ars</w:t>
      </w:r>
      <w:r>
        <w:rPr>
          <w:rFonts w:ascii="Book Antiqua" w:hAnsi="Book Antiqua"/>
        </w:rPr>
        <w:t xml:space="preserve"> 2021; </w:t>
      </w:r>
      <w:r>
        <w:rPr>
          <w:rFonts w:ascii="Book Antiqua" w:hAnsi="Book Antiqua"/>
          <w:b/>
          <w:bCs/>
        </w:rPr>
        <w:t>49</w:t>
      </w:r>
      <w:r>
        <w:rPr>
          <w:rFonts w:ascii="Book Antiqua" w:hAnsi="Book Antiqua"/>
        </w:rPr>
        <w:t>: 334-338 [PMID: 34106068 DOI: 10.5543/tkda.2021.34846]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Saw J</w:t>
      </w:r>
      <w:r>
        <w:rPr>
          <w:rFonts w:ascii="Book Antiqua" w:hAnsi="Book Antiqua"/>
        </w:rPr>
        <w:t xml:space="preserve">, Aymong E, Sedlak T, Buller CE, Starovoytov A, Ricci D, Robinson S, Vuurmans T, Gao M, Humphries K, Mancini GB. Spontaneous coronary artery dissection: association with predisposing arteriopathies and precipitating stressors and cardiovascular outcomes. </w:t>
      </w:r>
      <w:r>
        <w:rPr>
          <w:rFonts w:ascii="Book Antiqua" w:hAnsi="Book Antiqua"/>
          <w:i/>
          <w:iCs/>
        </w:rPr>
        <w:t>Circ Cardiovasc Interv</w:t>
      </w:r>
      <w:r>
        <w:rPr>
          <w:rFonts w:ascii="Book Antiqua" w:hAnsi="Book Antiqua"/>
        </w:rPr>
        <w:t xml:space="preserve"> 2014; </w:t>
      </w:r>
      <w:r>
        <w:rPr>
          <w:rFonts w:ascii="Book Antiqua" w:hAnsi="Book Antiqua"/>
          <w:b/>
          <w:bCs/>
        </w:rPr>
        <w:t>7</w:t>
      </w:r>
      <w:r>
        <w:rPr>
          <w:rFonts w:ascii="Book Antiqua" w:hAnsi="Book Antiqua"/>
        </w:rPr>
        <w:t>: 645-655 [PMID: 25294399 DOI: 10.1161/CIRCINTERVENTIONS.114.001760]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Rivero F</w:t>
      </w:r>
      <w:r>
        <w:rPr>
          <w:rFonts w:ascii="Book Antiqua" w:hAnsi="Book Antiqua"/>
        </w:rPr>
        <w:t xml:space="preserve">, Antuña P, Cuesta J, Alfonso F. Severe coronary spasm in a COVID-19 patient. </w:t>
      </w:r>
      <w:r>
        <w:rPr>
          <w:rFonts w:ascii="Book Antiqua" w:hAnsi="Book Antiqua"/>
          <w:i/>
          <w:iCs/>
        </w:rPr>
        <w:t>Catheter Cardiovasc Interv</w:t>
      </w:r>
      <w:r>
        <w:rPr>
          <w:rFonts w:ascii="Book Antiqua" w:hAnsi="Book Antiqua"/>
        </w:rPr>
        <w:t xml:space="preserve"> 2021; </w:t>
      </w:r>
      <w:r>
        <w:rPr>
          <w:rFonts w:ascii="Book Antiqua" w:hAnsi="Book Antiqua"/>
          <w:b/>
          <w:bCs/>
        </w:rPr>
        <w:t>97</w:t>
      </w:r>
      <w:r>
        <w:rPr>
          <w:rFonts w:ascii="Book Antiqua" w:hAnsi="Book Antiqua"/>
        </w:rPr>
        <w:t>: E670-E672 [PMID: 32738164 DOI: 10.1002/ccd.29056]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Collet JP</w:t>
      </w:r>
      <w:r>
        <w:rPr>
          <w:rFonts w:ascii="Book Antiqua" w:hAnsi="Book Antiqua"/>
        </w:rPr>
        <w:t xml:space="preserve">, Thiele H, Barbato E, Barthélémy O, Bauersachs J, Bhatt DL, Dendale P, Dorobantu M, Edvardsen T, Folliguet T, Gale CP, Gilard M, Jobs A, Jüni P, Lambrinou E, Lewis BS, Mehilli J, Meliga E, Merkely B, Mueller C, Roffi M, Rutten FH, Sibbing D, Siontis GCM; ESC Scientific Document Group. 2020 ESC Guidelines for the management of acute coronary syndromes in patients presenting without persistent ST-segment elevation. </w:t>
      </w:r>
      <w:r>
        <w:rPr>
          <w:rFonts w:ascii="Book Antiqua" w:hAnsi="Book Antiqua"/>
          <w:i/>
          <w:iCs/>
        </w:rPr>
        <w:t>Eur Heart J</w:t>
      </w:r>
      <w:r>
        <w:rPr>
          <w:rFonts w:ascii="Book Antiqua" w:hAnsi="Book Antiqua"/>
        </w:rPr>
        <w:t xml:space="preserve"> 2021; </w:t>
      </w:r>
      <w:r>
        <w:rPr>
          <w:rFonts w:ascii="Book Antiqua" w:hAnsi="Book Antiqua"/>
          <w:b/>
          <w:bCs/>
        </w:rPr>
        <w:t>42</w:t>
      </w:r>
      <w:r>
        <w:rPr>
          <w:rFonts w:ascii="Book Antiqua" w:hAnsi="Book Antiqua"/>
        </w:rPr>
        <w:t>: 1289-1367 [PMID: 32860058 DOI: 10.1093/eurheartj/ehaa575]</w:t>
      </w:r>
    </w:p>
    <w:p>
      <w:pPr>
        <w:spacing w:line="360" w:lineRule="auto"/>
        <w:jc w:val="both"/>
        <w:rPr>
          <w:rFonts w:ascii="Book Antiqua" w:hAnsi="Book Antiqua"/>
        </w:rPr>
      </w:pPr>
      <w:r>
        <w:rPr>
          <w:rFonts w:ascii="Book Antiqua" w:hAnsi="Book Antiqua"/>
        </w:rPr>
        <w:t xml:space="preserve">36 </w:t>
      </w:r>
      <w:r>
        <w:rPr>
          <w:rFonts w:ascii="Book Antiqua" w:hAnsi="Book Antiqua"/>
          <w:b/>
          <w:bCs/>
        </w:rPr>
        <w:t>Collste O</w:t>
      </w:r>
      <w:r>
        <w:rPr>
          <w:rFonts w:ascii="Book Antiqua" w:hAnsi="Book Antiqua"/>
        </w:rPr>
        <w:t xml:space="preserve">, Sörensson P, Frick M, Agewall S, Daniel M, Henareh L, Ekenbäck C, Eurenius L, Guiron C, Jernberg T, Hofman-Bang C, Malmqvist K, Nagy E, Arheden H, Tornvall P. Myocardial infarction with normal coronary arteries is common and associated with normal findings on cardiovascular magnetic resonance imaging: results from the Stockholm Myocardial Infarction with Normal Coronaries study. </w:t>
      </w:r>
      <w:r>
        <w:rPr>
          <w:rFonts w:ascii="Book Antiqua" w:hAnsi="Book Antiqua"/>
          <w:i/>
          <w:iCs/>
        </w:rPr>
        <w:t>J Intern Med</w:t>
      </w:r>
      <w:r>
        <w:rPr>
          <w:rFonts w:ascii="Book Antiqua" w:hAnsi="Book Antiqua"/>
        </w:rPr>
        <w:t xml:space="preserve"> 2013; </w:t>
      </w:r>
      <w:r>
        <w:rPr>
          <w:rFonts w:ascii="Book Antiqua" w:hAnsi="Book Antiqua"/>
          <w:b/>
          <w:bCs/>
        </w:rPr>
        <w:t>273</w:t>
      </w:r>
      <w:r>
        <w:rPr>
          <w:rFonts w:ascii="Book Antiqua" w:hAnsi="Book Antiqua"/>
        </w:rPr>
        <w:t>: 189-196 [PMID: 22742529 DOI: 10.1111/j.1365-2796.2012.02567.x]</w:t>
      </w:r>
    </w:p>
    <w:p>
      <w:pPr>
        <w:spacing w:line="360" w:lineRule="auto"/>
        <w:jc w:val="both"/>
        <w:rPr>
          <w:rFonts w:ascii="Book Antiqua" w:hAnsi="Book Antiqua"/>
        </w:rPr>
      </w:pPr>
      <w:r>
        <w:rPr>
          <w:rFonts w:ascii="Book Antiqua" w:hAnsi="Book Antiqua"/>
        </w:rPr>
        <w:t xml:space="preserve">37 </w:t>
      </w:r>
      <w:r>
        <w:rPr>
          <w:rFonts w:ascii="Book Antiqua" w:hAnsi="Book Antiqua"/>
          <w:b/>
          <w:bCs/>
        </w:rPr>
        <w:t>Ojha V</w:t>
      </w:r>
      <w:r>
        <w:rPr>
          <w:rFonts w:ascii="Book Antiqua" w:hAnsi="Book Antiqua"/>
        </w:rPr>
        <w:t xml:space="preserve">, Verma M, Pandey NN, Mani A, Malhi AS, Kumar S, Jagia P, Roy A, Sharma S. Cardiac Magnetic Resonance Imaging in Coronavirus Disease 2019 (COVID-19): A Systematic Review of Cardiac Magnetic Resonance Imaging Findings in 199 Patients. </w:t>
      </w:r>
      <w:r>
        <w:rPr>
          <w:rFonts w:ascii="Book Antiqua" w:hAnsi="Book Antiqua"/>
          <w:i/>
          <w:iCs/>
        </w:rPr>
        <w:t>J Thorac Imaging</w:t>
      </w:r>
      <w:r>
        <w:rPr>
          <w:rFonts w:ascii="Book Antiqua" w:hAnsi="Book Antiqua"/>
        </w:rPr>
        <w:t xml:space="preserve"> 2021; </w:t>
      </w:r>
      <w:r>
        <w:rPr>
          <w:rFonts w:ascii="Book Antiqua" w:hAnsi="Book Antiqua"/>
          <w:b/>
          <w:bCs/>
        </w:rPr>
        <w:t>36</w:t>
      </w:r>
      <w:r>
        <w:rPr>
          <w:rFonts w:ascii="Book Antiqua" w:hAnsi="Book Antiqua"/>
        </w:rPr>
        <w:t>: 73-83 [PMID: 33306666 DOI: 10.1097/RTI.0000000000000574]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Reynolds HR</w:t>
      </w:r>
      <w:r>
        <w:rPr>
          <w:rFonts w:ascii="Book Antiqua" w:hAnsi="Book Antiqua"/>
        </w:rPr>
        <w:t xml:space="preserve">, Srichai MB, Iqbal SN, Slater JN, Mancini GB, Feit F, Pena-Sing I, Axel L, Attubato MJ, Yatskar L, Kalhorn RT, Wood DA, Lobach IV, Hochman JS. Mechanisms of myocardial infarction in women without angiographically obstructive coronary artery disease. </w:t>
      </w:r>
      <w:r>
        <w:rPr>
          <w:rFonts w:ascii="Book Antiqua" w:hAnsi="Book Antiqua"/>
          <w:i/>
          <w:iCs/>
        </w:rPr>
        <w:t>Circulation</w:t>
      </w:r>
      <w:r>
        <w:rPr>
          <w:rFonts w:ascii="Book Antiqua" w:hAnsi="Book Antiqua"/>
        </w:rPr>
        <w:t xml:space="preserve"> 2011; </w:t>
      </w:r>
      <w:r>
        <w:rPr>
          <w:rFonts w:ascii="Book Antiqua" w:hAnsi="Book Antiqua"/>
          <w:b/>
          <w:bCs/>
        </w:rPr>
        <w:t>124</w:t>
      </w:r>
      <w:r>
        <w:rPr>
          <w:rFonts w:ascii="Book Antiqua" w:hAnsi="Book Antiqua"/>
        </w:rPr>
        <w:t>: 1414-1425 [PMID: 21900087 DOI: 10.1161/CIRCULATIONAHA.111.026542]</w:t>
      </w:r>
    </w:p>
    <w:p>
      <w:pPr>
        <w:spacing w:line="360" w:lineRule="auto"/>
        <w:jc w:val="both"/>
        <w:rPr>
          <w:rFonts w:ascii="Book Antiqua" w:hAnsi="Book Antiqua"/>
        </w:rPr>
      </w:pPr>
      <w:r>
        <w:rPr>
          <w:rFonts w:ascii="Book Antiqua" w:hAnsi="Book Antiqua"/>
        </w:rPr>
        <w:t xml:space="preserve">39 </w:t>
      </w:r>
      <w:r>
        <w:rPr>
          <w:rFonts w:ascii="Book Antiqua" w:hAnsi="Book Antiqua"/>
          <w:b/>
          <w:bCs/>
        </w:rPr>
        <w:t>Philip AM</w:t>
      </w:r>
      <w:r>
        <w:rPr>
          <w:rFonts w:ascii="Book Antiqua" w:hAnsi="Book Antiqua"/>
        </w:rPr>
        <w:t xml:space="preserve">, George LJ, John KJ, George AA, Nayar J, Sahu KK, Selvaraj V, Lal A, Mishra AK. A review of the presentation and outcome of left ventricular thrombus in coronavirus disease 2019 infection. </w:t>
      </w:r>
      <w:r>
        <w:rPr>
          <w:rFonts w:ascii="Book Antiqua" w:hAnsi="Book Antiqua"/>
          <w:i/>
          <w:iCs/>
        </w:rPr>
        <w:t>J Clin Transl Res</w:t>
      </w:r>
      <w:r>
        <w:rPr>
          <w:rFonts w:ascii="Book Antiqua" w:hAnsi="Book Antiqua"/>
        </w:rPr>
        <w:t xml:space="preserve"> 2021; </w:t>
      </w:r>
      <w:r>
        <w:rPr>
          <w:rFonts w:ascii="Book Antiqua" w:hAnsi="Book Antiqua"/>
          <w:b/>
          <w:bCs/>
        </w:rPr>
        <w:t>7</w:t>
      </w:r>
      <w:r>
        <w:rPr>
          <w:rFonts w:ascii="Book Antiqua" w:hAnsi="Book Antiqua"/>
        </w:rPr>
        <w:t>: 797-808 [PMID: 34988332]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John KJ</w:t>
      </w:r>
      <w:r>
        <w:rPr>
          <w:rFonts w:ascii="Book Antiqua" w:hAnsi="Book Antiqua"/>
        </w:rPr>
        <w:t xml:space="preserve">, Nayar J, Mishra AK, Selvaraj V, Khan MS, Lal A. In-hospital clinical complications of COVID-19: a brief overview. </w:t>
      </w:r>
      <w:r>
        <w:rPr>
          <w:rFonts w:ascii="Book Antiqua" w:hAnsi="Book Antiqua"/>
          <w:i/>
          <w:iCs/>
        </w:rPr>
        <w:t>Future Virol</w:t>
      </w:r>
      <w:r>
        <w:rPr>
          <w:rFonts w:ascii="Book Antiqua" w:hAnsi="Book Antiqua"/>
        </w:rPr>
        <w:t xml:space="preserve"> 2021 [PMID: 34777553 DOI: 10.2217/fvl-2021-0200]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Ramasamy C</w:t>
      </w:r>
      <w:r>
        <w:rPr>
          <w:rFonts w:ascii="Book Antiqua" w:hAnsi="Book Antiqua"/>
        </w:rPr>
        <w:t xml:space="preserve">, Mishra AK, John KJ, Lal A. Clinical considerations for critically ill COVID-19 cancer patients: A systematic review.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8441-8452 [PMID: 34754852 DOI: 10.12998/wjcc.v9.i28.8441]</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Cardiac and cardiovascular systems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 Sayed S,</w:t>
      </w:r>
      <w:r>
        <w:t xml:space="preserve"> </w:t>
      </w:r>
      <w:r>
        <w:rPr>
          <w:rFonts w:ascii="Book Antiqua" w:hAnsi="Book Antiqua" w:eastAsia="Book Antiqua" w:cs="Book Antiqua"/>
          <w:color w:val="000000"/>
        </w:rPr>
        <w:t>Egypt; Mao EQ,</w:t>
      </w:r>
      <w:r>
        <w:t xml:space="preserve"> </w:t>
      </w:r>
      <w:r>
        <w:rPr>
          <w:rFonts w:ascii="Book Antiqua" w:hAnsi="Book Antiqua" w:eastAsia="Book Antiqua" w:cs="Book Antiqua"/>
          <w:color w:val="000000"/>
        </w:rPr>
        <w:t>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b/>
        </w:rPr>
      </w:pPr>
      <w:r>
        <w:rPr>
          <w:rFonts w:ascii="Book Antiqua" w:hAnsi="Book Antiqua" w:eastAsia="Book Antiqua" w:cs="Book Antiqua"/>
          <w:b/>
          <w:color w:val="000000"/>
        </w:rPr>
        <w:t>Table 1 Case reports of myocardial infarction with non-obstructive coronary arteries in coronavirus disease 2019</w:t>
      </w:r>
    </w:p>
    <w:tbl>
      <w:tblPr>
        <w:tblStyle w:val="8"/>
        <w:tblW w:w="15569" w:type="dxa"/>
        <w:tblInd w:w="-128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425"/>
        <w:gridCol w:w="710"/>
        <w:gridCol w:w="567"/>
        <w:gridCol w:w="1275"/>
        <w:gridCol w:w="1134"/>
        <w:gridCol w:w="993"/>
        <w:gridCol w:w="850"/>
        <w:gridCol w:w="1559"/>
        <w:gridCol w:w="1276"/>
        <w:gridCol w:w="1701"/>
        <w:gridCol w:w="1843"/>
        <w:gridCol w:w="1280"/>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80"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bookmarkStart w:id="0" w:name="_Hlk55856206"/>
            <w:r>
              <w:rPr>
                <w:rFonts w:ascii="Book Antiqua" w:hAnsi="Book Antiqua" w:cs="Times New Roman"/>
                <w:b/>
                <w:bCs/>
                <w:color w:val="000000" w:themeColor="text1"/>
                <w14:textFill>
                  <w14:solidFill>
                    <w14:schemeClr w14:val="tx1"/>
                  </w14:solidFill>
                </w14:textFill>
              </w:rPr>
              <w:t>Sl. No</w:t>
            </w:r>
          </w:p>
        </w:tc>
        <w:tc>
          <w:tcPr>
            <w:tcW w:w="425"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Ref.</w:t>
            </w:r>
          </w:p>
        </w:tc>
        <w:tc>
          <w:tcPr>
            <w:tcW w:w="710"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Age in yr</w:t>
            </w:r>
          </w:p>
        </w:tc>
        <w:tc>
          <w:tcPr>
            <w:tcW w:w="567"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Sex</w:t>
            </w:r>
          </w:p>
        </w:tc>
        <w:tc>
          <w:tcPr>
            <w:tcW w:w="1275"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Presenting complaint</w:t>
            </w:r>
          </w:p>
        </w:tc>
        <w:tc>
          <w:tcPr>
            <w:tcW w:w="1134"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Comorbidities</w:t>
            </w:r>
          </w:p>
        </w:tc>
        <w:tc>
          <w:tcPr>
            <w:tcW w:w="993"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Chest imaging</w:t>
            </w:r>
          </w:p>
        </w:tc>
        <w:tc>
          <w:tcPr>
            <w:tcW w:w="850"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ECG</w:t>
            </w:r>
          </w:p>
        </w:tc>
        <w:tc>
          <w:tcPr>
            <w:tcW w:w="1559"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Cardiac troponins</w:t>
            </w:r>
          </w:p>
        </w:tc>
        <w:tc>
          <w:tcPr>
            <w:tcW w:w="1276"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Echocardiogram</w:t>
            </w:r>
          </w:p>
        </w:tc>
        <w:tc>
          <w:tcPr>
            <w:tcW w:w="1701"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Angiogram</w:t>
            </w:r>
          </w:p>
        </w:tc>
        <w:tc>
          <w:tcPr>
            <w:tcW w:w="1843"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Other investigations</w:t>
            </w:r>
          </w:p>
        </w:tc>
        <w:tc>
          <w:tcPr>
            <w:tcW w:w="1280"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Management</w:t>
            </w:r>
          </w:p>
        </w:tc>
        <w:tc>
          <w:tcPr>
            <w:tcW w:w="1276"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Outcome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w:t>
            </w:r>
          </w:p>
        </w:tc>
        <w:tc>
          <w:tcPr>
            <w:tcW w:w="425"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bookmarkStart w:id="1" w:name="_Hlk55836733"/>
            <w:r>
              <w:rPr>
                <w:rFonts w:ascii="Book Antiqua" w:hAnsi="Book Antiqua" w:cs="Times New Roman"/>
                <w:color w:val="000000"/>
                <w:lang w:val="en-GB"/>
              </w:rPr>
              <w:t>[3]</w:t>
            </w:r>
          </w:p>
        </w:tc>
        <w:tc>
          <w:tcPr>
            <w:tcW w:w="710"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47</w:t>
            </w:r>
          </w:p>
        </w:tc>
        <w:tc>
          <w:tcPr>
            <w:tcW w:w="567"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w:t>
            </w:r>
          </w:p>
        </w:tc>
        <w:tc>
          <w:tcPr>
            <w:tcW w:w="1275"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Shortness of breath for 6 d, angina on day 2 of admittion</w:t>
            </w:r>
          </w:p>
        </w:tc>
        <w:tc>
          <w:tcPr>
            <w:tcW w:w="1134"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Hypertension</w:t>
            </w:r>
          </w:p>
        </w:tc>
        <w:tc>
          <w:tcPr>
            <w:tcW w:w="993"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CT thorax: Diffuse bilateral infiltrates, ground glass opacities, crazy paving with thickened interlobular septa, and consolidation in lower lobes</w:t>
            </w:r>
          </w:p>
        </w:tc>
        <w:tc>
          <w:tcPr>
            <w:tcW w:w="850"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Inferior STEMI</w:t>
            </w:r>
          </w:p>
        </w:tc>
        <w:tc>
          <w:tcPr>
            <w:tcW w:w="1559"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0.012 ng/mL (Ref range: &lt; 0.0262 ng/mL)</w:t>
            </w:r>
          </w:p>
        </w:tc>
        <w:tc>
          <w:tcPr>
            <w:tcW w:w="1276"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Not reported</w:t>
            </w:r>
          </w:p>
        </w:tc>
        <w:tc>
          <w:tcPr>
            <w:tcW w:w="1701"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Emergency coronary angiography showed 30%-40% stenosis in the midportion of the left anterior descending artery. In addition to this, the left main coronary artery, left circumflex artery and right coronary artery were normal. </w:t>
            </w:r>
            <w:bookmarkStart w:id="2" w:name="_Hlk74079777"/>
            <w:r>
              <w:rPr>
                <w:rFonts w:ascii="Book Antiqua" w:hAnsi="Book Antiqua" w:cs="Times New Roman"/>
                <w:color w:val="000000" w:themeColor="text1"/>
                <w14:textFill>
                  <w14:solidFill>
                    <w14:schemeClr w14:val="tx1"/>
                  </w14:solidFill>
                </w14:textFill>
              </w:rPr>
              <w:t>ST segment elevation regressed in the ECG of the patient, who had no more ischemic cardiac symptoms after the intervention</w:t>
            </w:r>
            <w:bookmarkEnd w:id="2"/>
          </w:p>
        </w:tc>
        <w:tc>
          <w:tcPr>
            <w:tcW w:w="1843"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bookmarkStart w:id="3" w:name="_Hlk95731550"/>
            <w:bookmarkStart w:id="4" w:name="_Hlk78987006"/>
            <w:r>
              <w:rPr>
                <w:rFonts w:ascii="Book Antiqua" w:hAnsi="Book Antiqua" w:cs="Times New Roman"/>
                <w:color w:val="000000" w:themeColor="text1"/>
                <w14:textFill>
                  <w14:solidFill>
                    <w14:schemeClr w14:val="tx1"/>
                  </w14:solidFill>
                </w14:textFill>
              </w:rPr>
              <w:t xml:space="preserve"> CTPA</w:t>
            </w:r>
            <w:bookmarkEnd w:id="3"/>
            <w:r>
              <w:rPr>
                <w:rFonts w:ascii="Book Antiqua" w:hAnsi="Book Antiqua" w:cs="Times New Roman"/>
                <w:color w:val="000000" w:themeColor="text1"/>
                <w14:textFill>
                  <w14:solidFill>
                    <w14:schemeClr w14:val="tx1"/>
                  </w14:solidFill>
                </w14:textFill>
              </w:rPr>
              <w:t xml:space="preserve"> did not reveal any evidence of pulmonary embolism.</w:t>
            </w:r>
          </w:p>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Cardiogoniometry (a non-invasive medical tool worked with spatiotemporal vectocardiographic advancement), was performed after 24 h of the pain, it revealed septal inferior myocardial ischemia</w:t>
            </w:r>
            <w:bookmarkEnd w:id="4"/>
          </w:p>
        </w:tc>
        <w:tc>
          <w:tcPr>
            <w:tcW w:w="1280"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300 mg po acetylsalicylic acid, 180 mg po ticagrelor, and 4000 IU IV heparin</w:t>
            </w:r>
          </w:p>
        </w:tc>
        <w:tc>
          <w:tcPr>
            <w:tcW w:w="1276"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Discharged on the eleventh day of his hospitalization in a healthy state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[4]</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48</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F</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Pain in her chest and left shoulder for 1 day</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none</w:t>
            </w: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none</w:t>
            </w: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Inverted T-waves in II, III, aVF, V4, V5, and V6</w:t>
            </w:r>
          </w:p>
        </w:tc>
        <w:tc>
          <w:tcPr>
            <w:tcW w:w="155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Upward of 25 000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pg/mL (Ref range: 0.0–51.4</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pg/mL)</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Hypokinesis in the apical inferior segment of the left ventricle</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CTCA was performed to exclude a coronary origin for the complaints and for the laboratory and ECG abnormalities, which revealed no significant coronary obstruction</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CMR showed features of </w:t>
            </w:r>
            <w:bookmarkStart w:id="5" w:name="_Hlk78986547"/>
            <w:r>
              <w:rPr>
                <w:rFonts w:ascii="Book Antiqua" w:hAnsi="Book Antiqua" w:cs="Times New Roman"/>
                <w:color w:val="000000" w:themeColor="text1"/>
                <w14:textFill>
                  <w14:solidFill>
                    <w14:schemeClr w14:val="tx1"/>
                  </w14:solidFill>
                </w14:textFill>
              </w:rPr>
              <w:t>myocardial oedema restricted to the mid-ventricular to apical territory of the right coronary artery (RCA). Based on subendocardial to partially transmural late gadolinium enhancement in the mid-ventricular to apical inferior wall, an acute myocardial infarction was diagnosed.</w:t>
            </w:r>
            <w:bookmarkEnd w:id="5"/>
            <w:bookmarkStart w:id="6" w:name="_Hlk78986580"/>
            <w:r>
              <w:rPr>
                <w:rFonts w:hint="eastAsia" w:ascii="Book Antiqua" w:hAnsi="Book Antiqua" w:cs="Times New Roman"/>
                <w:color w:val="000000" w:themeColor="text1"/>
                <w:lang w:eastAsia="zh-CN"/>
                <w14:textFill>
                  <w14:solidFill>
                    <w14:schemeClr w14:val="tx1"/>
                  </w14:solidFill>
                </w14:textFill>
              </w:rPr>
              <w:t xml:space="preserve"> </w:t>
            </w:r>
            <w:r>
              <w:rPr>
                <w:rFonts w:ascii="Book Antiqua" w:hAnsi="Book Antiqua" w:cs="Times New Roman"/>
                <w:color w:val="000000" w:themeColor="text1"/>
                <w14:textFill>
                  <w14:solidFill>
                    <w14:schemeClr w14:val="tx1"/>
                  </w14:solidFill>
                </w14:textFill>
              </w:rPr>
              <w:t>Cardiac positron emission tomography–computed tomography showed evidence of reduced metabolic activity in the area affected by the infarction</w:t>
            </w:r>
            <w:bookmarkEnd w:id="6"/>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Acetylsalicylic acid, prophylactic-dose low-molecular-weight heparin, and statin.</w:t>
            </w:r>
            <w:r>
              <w:rPr>
                <w:rFonts w:hint="eastAsia" w:ascii="Book Antiqua" w:hAnsi="Book Antiqua" w:cs="Times New Roman"/>
                <w:color w:val="000000" w:themeColor="text1"/>
                <w:lang w:eastAsia="zh-CN"/>
                <w14:textFill>
                  <w14:solidFill>
                    <w14:schemeClr w14:val="tx1"/>
                  </w14:solidFill>
                </w14:textFill>
              </w:rPr>
              <w:t xml:space="preserve"> </w:t>
            </w:r>
            <w:r>
              <w:rPr>
                <w:rFonts w:ascii="Book Antiqua" w:hAnsi="Book Antiqua" w:cs="Times New Roman"/>
                <w:color w:val="000000" w:themeColor="text1"/>
                <w14:textFill>
                  <w14:solidFill>
                    <w14:schemeClr w14:val="tx1"/>
                  </w14:solidFill>
                </w14:textFill>
              </w:rPr>
              <w:t>Later dual anti-platelet therapy and an angiotensin-converting-enzyme inhibitor was started</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Discharged.</w:t>
            </w:r>
            <w:r>
              <w:rPr>
                <w:rFonts w:hint="eastAsia" w:ascii="Book Antiqua" w:hAnsi="Book Antiqua" w:cs="Times New Roman"/>
                <w:color w:val="000000" w:themeColor="text1"/>
                <w:lang w:eastAsia="zh-CN"/>
                <w14:textFill>
                  <w14:solidFill>
                    <w14:schemeClr w14:val="tx1"/>
                  </w14:solidFill>
                </w14:textFill>
              </w:rPr>
              <w:t xml:space="preserve"> </w:t>
            </w:r>
            <w:r>
              <w:rPr>
                <w:rFonts w:ascii="Book Antiqua" w:hAnsi="Book Antiqua" w:cs="Times New Roman"/>
                <w:color w:val="000000" w:themeColor="text1"/>
                <w14:textFill>
                  <w14:solidFill>
                    <w14:schemeClr w14:val="tx1"/>
                  </w14:solidFill>
                </w14:textFill>
              </w:rPr>
              <w:t>Follow-up echocardiography 2 d after discharge revealed a normal ejection fraction (58%) despite persistent inferior apical akinesia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[5]</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86</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Cough and shortness of breath which progressed to acute hypoxemic respiratory failure requiring intubation</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Chest X-ray: bilateral infiltrates at the bases with no other abnormalities</w:t>
            </w: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3–4</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mm ST-segment elevations in leads V2 and V3</w:t>
            </w:r>
          </w:p>
        </w:tc>
        <w:tc>
          <w:tcPr>
            <w:tcW w:w="155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4.82</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ng/mL (Ref range:  &lt; 0.10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ng/mL</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Ejection fraction of 50%–55%, no significant regional wall motion abnormalities, and no signs of cardiac tamponade</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 significant coronary artery disease</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Admitted to the intensive care unit, requiring mechanical ventilation and vasopressor support</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Respiratory status worsened and he required increased oxygen and positive end-expiratory pressure, renal function worsened, as did lymphopenia and inflammatory biomarker abnormalities. Died on day 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[6]</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61</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Shortness of breath, respiratory failure requiring intubation</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Hypertension, diabetes mellitus</w:t>
            </w: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mm of antero-lateral ST-elevation without reciprocal depression</w:t>
            </w:r>
          </w:p>
        </w:tc>
        <w:tc>
          <w:tcPr>
            <w:tcW w:w="155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6283</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ng/L (Ref range: &lt; 40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ng/L)</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Moderate left ventricular systolic dysfunction</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 luminal stenosis or thrombosis, with preserved TIMI 3 flows in all coronary arteries</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Left ventriculography:</w:t>
            </w:r>
            <w:r>
              <w:rPr>
                <w:rFonts w:ascii="Book Antiqua" w:hAnsi="Book Antiqua" w:cstheme="minorBidi"/>
              </w:rPr>
              <w:t xml:space="preserve"> </w:t>
            </w:r>
            <w:r>
              <w:rPr>
                <w:rFonts w:ascii="Book Antiqua" w:hAnsi="Book Antiqua" w:cs="Times New Roman"/>
                <w:color w:val="000000" w:themeColor="text1"/>
                <w14:textFill>
                  <w14:solidFill>
                    <w14:schemeClr w14:val="tx1"/>
                  </w14:solidFill>
                </w14:textFill>
              </w:rPr>
              <w:t>Mild apical hypokinesis</w:t>
            </w:r>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Loading dose of ticagrelor and IV heparin</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On day 13, he was anuric and CVVH was started. Continued to worsen and died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[6]</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59</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F</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Found minimally responsive on the ground. Intubated by paramedics</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Hypertension, COPD</w:t>
            </w: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CT thorax: Bilateral lower lung lobe infiltrates and pulmonary oedema with moderate calcification in the mid-left anterior descending artery</w:t>
            </w: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ST-segment elevations in V1–V4 and reciprocal ST-depressions in leads II, III, and aVF</w:t>
            </w:r>
          </w:p>
        </w:tc>
        <w:tc>
          <w:tcPr>
            <w:tcW w:w="155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2390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ng/L</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reduced left ventricular ejection fraction of 40% with antero-apical wall hypokinesis</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Moderate diffuse atherosclerotic disease was observed in the left system with no significant luminal obstruction elsewhere</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Not specified</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Extubated on Day 3. Discharged home subsequently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bookmarkStart w:id="7" w:name="_Hlk55854378"/>
            <w:r>
              <w:rPr>
                <w:rFonts w:ascii="Book Antiqua" w:hAnsi="Book Antiqua" w:cs="Times New Roman"/>
                <w:color w:val="000000"/>
                <w:lang w:val="en-GB"/>
              </w:rPr>
              <w:t>[6]</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69</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F</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acute onset chest tightness and dyspnea</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Non-ischemic heart failure with reduced ejection. Implantable cardioverter-defibrillator was placed in 2004. Motor neurone disease, diagnosed 4 yr previously</w:t>
            </w: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Chest X-ray: Bilateral infiltrates</w:t>
            </w: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Left bundle branch block. On day 3 progressive dynamic concordant ST-elevation in V1–V2 and ST-depression in V3–V5</w:t>
            </w:r>
          </w:p>
        </w:tc>
        <w:tc>
          <w:tcPr>
            <w:tcW w:w="155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504</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ng/L</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Impaired left ventricular function which was similar to baseline</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 obstructive atheroma or thrombus</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Loading dose dual antiplatelets, therapeutic low molecular weight heparin, high-dose IV diuretics, and IV nitrates</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The patient died on Day 7 of admission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7</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[7]</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51</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M</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Left sided chest pain, diaphoresis, syncope</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Hypertension and hypercholesterolemia</w:t>
            </w: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Chest X-ray: Bilateral interstitial prominence</w:t>
            </w:r>
          </w:p>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CT chest: perihilar ground glass opacities, thickening of interlobular septa, and minimal bilateral pleural effusions, interpreted as consistent with congestive heart failure</w:t>
            </w: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3.5</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mm ST elevation in I and avL, 5</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mm isolated ST elevation in lead V2, with deep reciprocal depressions in III, avF and avR</w:t>
            </w:r>
          </w:p>
        </w:tc>
        <w:tc>
          <w:tcPr>
            <w:tcW w:w="155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Not reported</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Preserved left ventricular ejection fraction (LVEF) of 55% and anteroapical hypokinesis on ventriculography</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Patent coronary arteries</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Admitted to Cardiac Intensive Care Unit and started on supportive measures. Treated with </w:t>
            </w:r>
            <w:bookmarkStart w:id="8" w:name="_Hlk78987495"/>
            <w:r>
              <w:rPr>
                <w:rFonts w:ascii="Book Antiqua" w:hAnsi="Book Antiqua" w:cs="Times New Roman"/>
                <w:color w:val="000000" w:themeColor="text1"/>
                <w14:textFill>
                  <w14:solidFill>
                    <w14:schemeClr w14:val="tx1"/>
                  </w14:solidFill>
                </w14:textFill>
              </w:rPr>
              <w:t>lopinavir/ritonavir 400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mg/100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mg tablet every 12</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h for 4</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 xml:space="preserve">d and hydroxychloroquine </w:t>
            </w:r>
            <w:bookmarkEnd w:id="8"/>
            <w:r>
              <w:rPr>
                <w:rFonts w:ascii="Book Antiqua" w:hAnsi="Book Antiqua" w:cs="Times New Roman"/>
                <w:color w:val="000000" w:themeColor="text1"/>
                <w14:textFill>
                  <w14:solidFill>
                    <w14:schemeClr w14:val="tx1"/>
                  </w14:solidFill>
                </w14:textFill>
              </w:rPr>
              <w:t>500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mg every 12</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h, then hydroxychloroquine alone 400</w:t>
            </w:r>
            <w:r>
              <w:rPr>
                <w:rFonts w:ascii="Times New Roman" w:hAnsi="Times New Roman" w:cs="Times New Roman"/>
                <w:color w:val="000000" w:themeColor="text1"/>
                <w14:textFill>
                  <w14:solidFill>
                    <w14:schemeClr w14:val="tx1"/>
                  </w14:solidFill>
                </w14:textFill>
              </w:rPr>
              <w:t> </w:t>
            </w:r>
            <w:r>
              <w:rPr>
                <w:rFonts w:ascii="Book Antiqua" w:hAnsi="Book Antiqua" w:cs="Times New Roman"/>
                <w:color w:val="000000" w:themeColor="text1"/>
                <w14:textFill>
                  <w14:solidFill>
                    <w14:schemeClr w14:val="tx1"/>
                  </w14:solidFill>
                </w14:textFill>
              </w:rPr>
              <w:t>mg daily</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The patient recovered and was discharged home on day 26 on aspirin, statin and metoprolol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8</w:t>
            </w:r>
          </w:p>
        </w:tc>
        <w:tc>
          <w:tcPr>
            <w:tcW w:w="42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[8]</w:t>
            </w:r>
          </w:p>
        </w:tc>
        <w:tc>
          <w:tcPr>
            <w:tcW w:w="71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71</w:t>
            </w:r>
          </w:p>
        </w:tc>
        <w:tc>
          <w:tcPr>
            <w:tcW w:w="567"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F</w:t>
            </w:r>
          </w:p>
        </w:tc>
        <w:tc>
          <w:tcPr>
            <w:tcW w:w="1275"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Chest-pain</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bookmarkStart w:id="9" w:name="_Hlk78406626"/>
            <w:r>
              <w:rPr>
                <w:rFonts w:ascii="Book Antiqua" w:hAnsi="Book Antiqua" w:cs="Times New Roman"/>
                <w:color w:val="000000" w:themeColor="text1"/>
                <w14:textFill>
                  <w14:solidFill>
                    <w14:schemeClr w14:val="tx1"/>
                  </w14:solidFill>
                </w14:textFill>
              </w:rPr>
              <w:t>Hypertension</w:t>
            </w:r>
            <w:bookmarkEnd w:id="9"/>
            <w:r>
              <w:rPr>
                <w:rFonts w:ascii="Book Antiqua" w:hAnsi="Book Antiqua" w:cs="Times New Roman"/>
                <w:color w:val="000000" w:themeColor="text1"/>
                <w14:textFill>
                  <w14:solidFill>
                    <w14:schemeClr w14:val="tx1"/>
                  </w14:solidFill>
                </w14:textFill>
              </w:rPr>
              <w:t>, past STEMI</w:t>
            </w:r>
          </w:p>
        </w:tc>
        <w:tc>
          <w:tcPr>
            <w:tcW w:w="99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Chest X-ray:</w:t>
            </w:r>
            <w:r>
              <w:rPr>
                <w:rFonts w:ascii="Book Antiqua" w:hAnsi="Book Antiqua" w:cstheme="minorBidi"/>
              </w:rPr>
              <w:t xml:space="preserve"> </w:t>
            </w:r>
            <w:r>
              <w:rPr>
                <w:rFonts w:ascii="Book Antiqua" w:hAnsi="Book Antiqua" w:cs="Times New Roman"/>
                <w:color w:val="000000" w:themeColor="text1"/>
                <w14:textFill>
                  <w14:solidFill>
                    <w14:schemeClr w14:val="tx1"/>
                  </w14:solidFill>
                </w14:textFill>
              </w:rPr>
              <w:t>No pulmonary opacities</w:t>
            </w:r>
          </w:p>
        </w:tc>
        <w:tc>
          <w:tcPr>
            <w:tcW w:w="85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ST-segment elevation in inferior leads, and ST depression, and inverted T waves in V1-3</w:t>
            </w:r>
          </w:p>
        </w:tc>
        <w:tc>
          <w:tcPr>
            <w:tcW w:w="1559" w:type="dxa"/>
          </w:tcPr>
          <w:p>
            <w:pPr>
              <w:spacing w:line="360" w:lineRule="auto"/>
              <w:jc w:val="both"/>
              <w:rPr>
                <w:rFonts w:ascii="Book Antiqua" w:hAnsi="Book Antiqua" w:cs="Times New Roman"/>
              </w:rPr>
            </w:pPr>
            <w:r>
              <w:rPr>
                <w:rFonts w:ascii="Book Antiqua" w:hAnsi="Book Antiqua" w:cs="Times New Roman"/>
              </w:rPr>
              <w:t>Negative</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Preserved left ventricular ejection fraction of 50% with inferior and septal hypokinesis</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Non-obstructive coronary artery disease</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p>
        </w:tc>
        <w:tc>
          <w:tcPr>
            <w:tcW w:w="1280"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Loading dose of ticagrelor and unfractionated heparin</w:t>
            </w:r>
          </w:p>
        </w:tc>
        <w:tc>
          <w:tcPr>
            <w:tcW w:w="1276"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Discharged</w:t>
            </w:r>
          </w:p>
        </w:tc>
      </w:tr>
      <w:bookmarkEnd w:id="0"/>
      <w:bookmarkEnd w:id="1"/>
      <w:bookmarkEnd w:id="7"/>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 Male; F: Female; ECG: electrocardiogram; CT: Computed tomography; STEMI: ST-elevation myocardial infarction; CTPA: Computed tomographic pulmonary angiography; CTCA: Computed tomography coronary angiography; CMR: Cardiac Magnetic Resonance Imaging; TIMI: Thrombolysis in myocardial infarction; CVVH: Continuous veno-venous hemofiltration; COPD: Chronic Obstructive Pulmonary Disease.</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Table 2 Studies that reported myocardial infarction with non-obstructive coronary arteries in coronavirus disease 2019</w:t>
      </w:r>
    </w:p>
    <w:tbl>
      <w:tblPr>
        <w:tblStyle w:val="8"/>
        <w:tblW w:w="12304" w:type="dxa"/>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9"/>
        <w:gridCol w:w="653"/>
        <w:gridCol w:w="1531"/>
        <w:gridCol w:w="709"/>
        <w:gridCol w:w="850"/>
        <w:gridCol w:w="1163"/>
        <w:gridCol w:w="1247"/>
        <w:gridCol w:w="1134"/>
        <w:gridCol w:w="1134"/>
        <w:gridCol w:w="1843"/>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39"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Sl. No</w:t>
            </w:r>
          </w:p>
        </w:tc>
        <w:tc>
          <w:tcPr>
            <w:tcW w:w="653"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Reference</w:t>
            </w:r>
          </w:p>
        </w:tc>
        <w:tc>
          <w:tcPr>
            <w:tcW w:w="1531"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 xml:space="preserve">Total number of patients with </w:t>
            </w:r>
            <w:bookmarkStart w:id="10" w:name="_Hlk95731376"/>
            <w:r>
              <w:rPr>
                <w:rFonts w:ascii="Book Antiqua" w:hAnsi="Book Antiqua" w:cs="Times New Roman"/>
                <w:b/>
                <w:bCs/>
                <w:color w:val="000000" w:themeColor="text1"/>
                <w14:textFill>
                  <w14:solidFill>
                    <w14:schemeClr w14:val="tx1"/>
                  </w14:solidFill>
                </w14:textFill>
              </w:rPr>
              <w:t>MINOCA</w:t>
            </w:r>
            <w:bookmarkEnd w:id="10"/>
            <w:r>
              <w:rPr>
                <w:rFonts w:ascii="Book Antiqua" w:hAnsi="Book Antiqua" w:cs="Times New Roman"/>
                <w:b/>
                <w:bCs/>
                <w:color w:val="000000" w:themeColor="text1"/>
                <w14:textFill>
                  <w14:solidFill>
                    <w14:schemeClr w14:val="tx1"/>
                  </w14:solidFill>
                </w14:textFill>
              </w:rPr>
              <w:t xml:space="preserve"> (%)</w:t>
            </w:r>
          </w:p>
        </w:tc>
        <w:tc>
          <w:tcPr>
            <w:tcW w:w="709"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Mean age</w:t>
            </w:r>
          </w:p>
        </w:tc>
        <w:tc>
          <w:tcPr>
            <w:tcW w:w="850"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Male (%)</w:t>
            </w:r>
          </w:p>
        </w:tc>
        <w:tc>
          <w:tcPr>
            <w:tcW w:w="1163"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Comorbidities (%)</w:t>
            </w:r>
          </w:p>
        </w:tc>
        <w:tc>
          <w:tcPr>
            <w:tcW w:w="1247" w:type="dxa"/>
            <w:tcBorders>
              <w:top w:val="single" w:color="auto" w:sz="4" w:space="0"/>
              <w:bottom w:val="single" w:color="auto" w:sz="4" w:space="0"/>
            </w:tcBorders>
          </w:tcPr>
          <w:p>
            <w:pPr>
              <w:spacing w:line="360" w:lineRule="auto"/>
              <w:ind w:left="120" w:hanging="120" w:hangingChars="50"/>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Smoking(%)</w:t>
            </w:r>
          </w:p>
        </w:tc>
        <w:tc>
          <w:tcPr>
            <w:tcW w:w="1134"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Prior MI (%)</w:t>
            </w:r>
          </w:p>
        </w:tc>
        <w:tc>
          <w:tcPr>
            <w:tcW w:w="1134"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LVEF</w:t>
            </w:r>
          </w:p>
        </w:tc>
        <w:tc>
          <w:tcPr>
            <w:tcW w:w="1843"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EKG (%)</w:t>
            </w:r>
          </w:p>
        </w:tc>
        <w:tc>
          <w:tcPr>
            <w:tcW w:w="1701" w:type="dxa"/>
            <w:tcBorders>
              <w:top w:val="single" w:color="auto" w:sz="4" w:space="0"/>
              <w:bottom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Mortality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39"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w:t>
            </w:r>
          </w:p>
        </w:tc>
        <w:tc>
          <w:tcPr>
            <w:tcW w:w="653" w:type="dxa"/>
            <w:tcBorders>
              <w:top w:val="single" w:color="auto" w:sz="4" w:space="0"/>
            </w:tcBorders>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lang w:val="en-GB"/>
              </w:rPr>
              <w:t>[9]</w:t>
            </w:r>
          </w:p>
        </w:tc>
        <w:tc>
          <w:tcPr>
            <w:tcW w:w="1531"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11/28 (39.3)</w:t>
            </w:r>
          </w:p>
        </w:tc>
        <w:tc>
          <w:tcPr>
            <w:tcW w:w="709"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bookmarkStart w:id="11" w:name="_Hlk78984528"/>
            <w:r>
              <w:rPr>
                <w:rFonts w:ascii="Book Antiqua" w:hAnsi="Book Antiqua" w:cs="Times New Roman"/>
                <w:color w:val="000000" w:themeColor="text1"/>
                <w14:textFill>
                  <w14:solidFill>
                    <w14:schemeClr w14:val="tx1"/>
                  </w14:solidFill>
                </w14:textFill>
              </w:rPr>
              <w:t>69.27</w:t>
            </w:r>
            <w:bookmarkStart w:id="12" w:name="_Hlk74779925"/>
            <w:r>
              <w:rPr>
                <w:rFonts w:ascii="Book Antiqua" w:hAnsi="Book Antiqua" w:cs="Times New Roman"/>
                <w:color w:val="000000" w:themeColor="text1"/>
                <w14:textFill>
                  <w14:solidFill>
                    <w14:schemeClr w14:val="tx1"/>
                  </w14:solidFill>
                </w14:textFill>
              </w:rPr>
              <w:t xml:space="preserve"> ±</w:t>
            </w:r>
            <w:bookmarkEnd w:id="12"/>
            <w:r>
              <w:rPr>
                <w:rFonts w:ascii="Book Antiqua" w:hAnsi="Book Antiqua" w:cs="Times New Roman"/>
                <w:color w:val="000000" w:themeColor="text1"/>
                <w14:textFill>
                  <w14:solidFill>
                    <w14:schemeClr w14:val="tx1"/>
                  </w14:solidFill>
                </w14:textFill>
              </w:rPr>
              <w:t xml:space="preserve"> 10.6</w:t>
            </w:r>
            <w:bookmarkEnd w:id="11"/>
          </w:p>
        </w:tc>
        <w:tc>
          <w:tcPr>
            <w:tcW w:w="850"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 (54.5)</w:t>
            </w:r>
          </w:p>
        </w:tc>
        <w:tc>
          <w:tcPr>
            <w:tcW w:w="1163"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Diabetes mellitus: 1/11 (9.1), Hypertension: 9/11 (91.8), Dyslipidemia: 3/11 (27.3), Chronic kidney disease: 5/11 (45.4)</w:t>
            </w:r>
          </w:p>
        </w:tc>
        <w:tc>
          <w:tcPr>
            <w:tcW w:w="1247"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bookmarkStart w:id="13" w:name="_Hlk74779814"/>
            <w:r>
              <w:rPr>
                <w:rFonts w:ascii="Book Antiqua" w:hAnsi="Book Antiqua" w:cs="Times New Roman"/>
                <w:color w:val="000000" w:themeColor="text1"/>
                <w14:textFill>
                  <w14:solidFill>
                    <w14:schemeClr w14:val="tx1"/>
                  </w14:solidFill>
                </w14:textFill>
              </w:rPr>
              <w:t>1/11 (9.1)</w:t>
            </w:r>
            <w:bookmarkEnd w:id="13"/>
          </w:p>
        </w:tc>
        <w:tc>
          <w:tcPr>
            <w:tcW w:w="1134"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1/11 (9.1)</w:t>
            </w:r>
          </w:p>
        </w:tc>
        <w:tc>
          <w:tcPr>
            <w:tcW w:w="1134"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43 ± 12.7</w:t>
            </w:r>
          </w:p>
        </w:tc>
        <w:tc>
          <w:tcPr>
            <w:tcW w:w="1843"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ST elevation: 9/11 (81.81), New onset LBBB: 2/11 (18.2)</w:t>
            </w:r>
          </w:p>
        </w:tc>
        <w:tc>
          <w:tcPr>
            <w:tcW w:w="1701" w:type="dxa"/>
            <w:tcBorders>
              <w:top w:val="single" w:color="auto" w:sz="4" w:space="0"/>
            </w:tcBorders>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5/11 (45.4)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39"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w:t>
            </w:r>
          </w:p>
        </w:tc>
        <w:tc>
          <w:tcPr>
            <w:tcW w:w="65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lang w:val="en-GB"/>
              </w:rPr>
              <w:t>[10]</w:t>
            </w:r>
          </w:p>
        </w:tc>
        <w:tc>
          <w:tcPr>
            <w:tcW w:w="1531"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6/11 (54.5)</w:t>
            </w:r>
          </w:p>
        </w:tc>
        <w:tc>
          <w:tcPr>
            <w:tcW w:w="709"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850"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6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247"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b/>
                <w:bCs/>
                <w:color w:val="000000" w:themeColor="text1"/>
                <w14:textFill>
                  <w14:solidFill>
                    <w14:schemeClr w14:val="tx1"/>
                  </w14:solidFill>
                </w14:textFill>
              </w:rPr>
            </w:pPr>
          </w:p>
        </w:tc>
        <w:tc>
          <w:tcPr>
            <w:tcW w:w="184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701"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3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w:t>
            </w:r>
          </w:p>
        </w:tc>
        <w:tc>
          <w:tcPr>
            <w:tcW w:w="65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lang w:val="en-GB"/>
              </w:rPr>
              <w:t>[11]</w:t>
            </w:r>
          </w:p>
        </w:tc>
        <w:tc>
          <w:tcPr>
            <w:tcW w:w="153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3/9 (33.3)</w:t>
            </w:r>
          </w:p>
        </w:tc>
        <w:tc>
          <w:tcPr>
            <w:tcW w:w="709"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850"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6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247"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Low ejection fraction and RWMA in 2 patients (ECHO not done for third)</w:t>
            </w:r>
          </w:p>
        </w:tc>
        <w:tc>
          <w:tcPr>
            <w:tcW w:w="184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ST elevation: 3/3 (100)</w:t>
            </w:r>
          </w:p>
        </w:tc>
        <w:tc>
          <w:tcPr>
            <w:tcW w:w="1701"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2/3 (66)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3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w:t>
            </w:r>
          </w:p>
        </w:tc>
        <w:tc>
          <w:tcPr>
            <w:tcW w:w="65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[12]</w:t>
            </w:r>
          </w:p>
        </w:tc>
        <w:tc>
          <w:tcPr>
            <w:tcW w:w="153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1/19 (5.2)</w:t>
            </w:r>
          </w:p>
        </w:tc>
        <w:tc>
          <w:tcPr>
            <w:tcW w:w="709"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850"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6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247"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b/>
                <w:bCs/>
                <w:color w:val="000000" w:themeColor="text1"/>
                <w14:textFill>
                  <w14:solidFill>
                    <w14:schemeClr w14:val="tx1"/>
                  </w14:solidFill>
                </w14:textFill>
              </w:rPr>
            </w:pP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39"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w:t>
            </w:r>
          </w:p>
        </w:tc>
        <w:tc>
          <w:tcPr>
            <w:tcW w:w="65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lang w:val="en-GB"/>
              </w:rPr>
              <w:t>[13]</w:t>
            </w:r>
          </w:p>
        </w:tc>
        <w:tc>
          <w:tcPr>
            <w:tcW w:w="153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5/29 (17.24)</w:t>
            </w:r>
          </w:p>
        </w:tc>
        <w:tc>
          <w:tcPr>
            <w:tcW w:w="709"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850"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63"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247"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w:t>
            </w:r>
          </w:p>
        </w:tc>
        <w:tc>
          <w:tcPr>
            <w:tcW w:w="1134"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w:t>
            </w:r>
          </w:p>
        </w:tc>
        <w:tc>
          <w:tcPr>
            <w:tcW w:w="1843"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w:t>
            </w:r>
          </w:p>
        </w:tc>
        <w:tc>
          <w:tcPr>
            <w:tcW w:w="1701" w:type="dxa"/>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w:t>
            </w:r>
          </w:p>
        </w:tc>
      </w:tr>
    </w:tbl>
    <w:p>
      <w:pPr>
        <w:spacing w:line="360" w:lineRule="auto"/>
        <w:jc w:val="both"/>
        <w:rPr>
          <w:rFonts w:ascii="Book Antiqua" w:hAnsi="Book Antiqua"/>
        </w:rPr>
      </w:pPr>
      <w:r>
        <w:rPr>
          <w:rFonts w:ascii="Book Antiqua" w:hAnsi="Book Antiqua"/>
        </w:rPr>
        <w:t>MINOCA: Myocardial infarction with non-obstructive coronary arteries; MI: Myocardial infarction; LVEF: Left ventricular ejection fraction; EKG: Electrocardiogram; LBBB: Left bundle branch block: RWMA: Regional Wall Motion Abnormality: ECHO: Echocardiography.</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modern"/>
    <w:pitch w:val="default"/>
    <w:sig w:usb0="00000000" w:usb1="00000000" w:usb2="08000012" w:usb3="00000000" w:csb0="0002009F" w:csb1="00000000"/>
  </w:font>
  <w:font w:name="Samurai">
    <w:panose1 w:val="02000609000000000000"/>
    <w:charset w:val="80"/>
    <w:family w:val="auto"/>
    <w:pitch w:val="default"/>
    <w:sig w:usb0="A00002BF" w:usb1="68C7FCFB" w:usb2="00000010"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70654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32E60"/>
    <w:rsid w:val="00035E30"/>
    <w:rsid w:val="000766B2"/>
    <w:rsid w:val="0007731C"/>
    <w:rsid w:val="00080167"/>
    <w:rsid w:val="000A1C21"/>
    <w:rsid w:val="000A1FD9"/>
    <w:rsid w:val="000D7266"/>
    <w:rsid w:val="000E2BEC"/>
    <w:rsid w:val="000E3109"/>
    <w:rsid w:val="000F7F1F"/>
    <w:rsid w:val="00103446"/>
    <w:rsid w:val="00111DE4"/>
    <w:rsid w:val="00121B95"/>
    <w:rsid w:val="0014358F"/>
    <w:rsid w:val="00150D0B"/>
    <w:rsid w:val="00153B14"/>
    <w:rsid w:val="001643A0"/>
    <w:rsid w:val="001966E4"/>
    <w:rsid w:val="00196B83"/>
    <w:rsid w:val="001F0E77"/>
    <w:rsid w:val="002056C6"/>
    <w:rsid w:val="00216609"/>
    <w:rsid w:val="002235AD"/>
    <w:rsid w:val="00225612"/>
    <w:rsid w:val="0023178B"/>
    <w:rsid w:val="0023594E"/>
    <w:rsid w:val="002649B5"/>
    <w:rsid w:val="0026746F"/>
    <w:rsid w:val="002720C2"/>
    <w:rsid w:val="002824D1"/>
    <w:rsid w:val="00287623"/>
    <w:rsid w:val="002A06D8"/>
    <w:rsid w:val="002D3196"/>
    <w:rsid w:val="00307FF8"/>
    <w:rsid w:val="00315BB6"/>
    <w:rsid w:val="00323676"/>
    <w:rsid w:val="00335DA8"/>
    <w:rsid w:val="003511D8"/>
    <w:rsid w:val="00387D52"/>
    <w:rsid w:val="00396811"/>
    <w:rsid w:val="003B5C92"/>
    <w:rsid w:val="003D14B5"/>
    <w:rsid w:val="003D6D2C"/>
    <w:rsid w:val="003E7C02"/>
    <w:rsid w:val="003F6B55"/>
    <w:rsid w:val="003F7B37"/>
    <w:rsid w:val="00414DEB"/>
    <w:rsid w:val="00445FBC"/>
    <w:rsid w:val="004468C2"/>
    <w:rsid w:val="00497AC9"/>
    <w:rsid w:val="004B5D9E"/>
    <w:rsid w:val="004C2B55"/>
    <w:rsid w:val="004F5632"/>
    <w:rsid w:val="00526C4E"/>
    <w:rsid w:val="005468AC"/>
    <w:rsid w:val="00567542"/>
    <w:rsid w:val="005764A3"/>
    <w:rsid w:val="0058236A"/>
    <w:rsid w:val="005928BF"/>
    <w:rsid w:val="00594AC6"/>
    <w:rsid w:val="005D1A21"/>
    <w:rsid w:val="0064189B"/>
    <w:rsid w:val="0064269F"/>
    <w:rsid w:val="006619FA"/>
    <w:rsid w:val="006666B5"/>
    <w:rsid w:val="00670CA4"/>
    <w:rsid w:val="006839EF"/>
    <w:rsid w:val="006866FE"/>
    <w:rsid w:val="00686E19"/>
    <w:rsid w:val="006A0DE6"/>
    <w:rsid w:val="006B2C8A"/>
    <w:rsid w:val="006C14F9"/>
    <w:rsid w:val="006D2918"/>
    <w:rsid w:val="006D4E5E"/>
    <w:rsid w:val="006F7734"/>
    <w:rsid w:val="0071324E"/>
    <w:rsid w:val="0071581B"/>
    <w:rsid w:val="007A7356"/>
    <w:rsid w:val="007E0475"/>
    <w:rsid w:val="007E40A6"/>
    <w:rsid w:val="007E535D"/>
    <w:rsid w:val="007F3550"/>
    <w:rsid w:val="007F65B9"/>
    <w:rsid w:val="008035C0"/>
    <w:rsid w:val="00807E06"/>
    <w:rsid w:val="00812933"/>
    <w:rsid w:val="00823CCE"/>
    <w:rsid w:val="00833104"/>
    <w:rsid w:val="00837027"/>
    <w:rsid w:val="00881E49"/>
    <w:rsid w:val="008A4EFA"/>
    <w:rsid w:val="008B03D7"/>
    <w:rsid w:val="008C2DB2"/>
    <w:rsid w:val="008D5454"/>
    <w:rsid w:val="008E1146"/>
    <w:rsid w:val="008E6995"/>
    <w:rsid w:val="00900D2E"/>
    <w:rsid w:val="00903EC4"/>
    <w:rsid w:val="00933067"/>
    <w:rsid w:val="00950829"/>
    <w:rsid w:val="009909BF"/>
    <w:rsid w:val="009E7D04"/>
    <w:rsid w:val="009F6975"/>
    <w:rsid w:val="00A10534"/>
    <w:rsid w:val="00A22085"/>
    <w:rsid w:val="00A30C3D"/>
    <w:rsid w:val="00A44E71"/>
    <w:rsid w:val="00A5639E"/>
    <w:rsid w:val="00A73F07"/>
    <w:rsid w:val="00A77B3E"/>
    <w:rsid w:val="00A92072"/>
    <w:rsid w:val="00AB1CE9"/>
    <w:rsid w:val="00AB7A06"/>
    <w:rsid w:val="00AC5611"/>
    <w:rsid w:val="00AE60A1"/>
    <w:rsid w:val="00B12D1E"/>
    <w:rsid w:val="00B23882"/>
    <w:rsid w:val="00B706B7"/>
    <w:rsid w:val="00B908E5"/>
    <w:rsid w:val="00B927C5"/>
    <w:rsid w:val="00BA0D8F"/>
    <w:rsid w:val="00BE31C2"/>
    <w:rsid w:val="00BE4F11"/>
    <w:rsid w:val="00BF1DD9"/>
    <w:rsid w:val="00BF2DC8"/>
    <w:rsid w:val="00BF7893"/>
    <w:rsid w:val="00C01CEF"/>
    <w:rsid w:val="00C01ECF"/>
    <w:rsid w:val="00C13AF7"/>
    <w:rsid w:val="00C20FBF"/>
    <w:rsid w:val="00C3167D"/>
    <w:rsid w:val="00C60289"/>
    <w:rsid w:val="00C902F8"/>
    <w:rsid w:val="00C90BEB"/>
    <w:rsid w:val="00CA2A55"/>
    <w:rsid w:val="00CA3EDA"/>
    <w:rsid w:val="00CA5998"/>
    <w:rsid w:val="00CA7145"/>
    <w:rsid w:val="00CB3486"/>
    <w:rsid w:val="00CC5908"/>
    <w:rsid w:val="00CD3A09"/>
    <w:rsid w:val="00CD4C97"/>
    <w:rsid w:val="00CE5343"/>
    <w:rsid w:val="00CF1A7D"/>
    <w:rsid w:val="00D159AF"/>
    <w:rsid w:val="00D52FC0"/>
    <w:rsid w:val="00E1048A"/>
    <w:rsid w:val="00E27F53"/>
    <w:rsid w:val="00E36F33"/>
    <w:rsid w:val="00E56EC4"/>
    <w:rsid w:val="00E7112D"/>
    <w:rsid w:val="00E771D7"/>
    <w:rsid w:val="00E968DE"/>
    <w:rsid w:val="00EC3C2E"/>
    <w:rsid w:val="00EC3EC5"/>
    <w:rsid w:val="00EC546B"/>
    <w:rsid w:val="00EC5C60"/>
    <w:rsid w:val="00F10CD1"/>
    <w:rsid w:val="00F31D7C"/>
    <w:rsid w:val="00F514E5"/>
    <w:rsid w:val="00F66FB0"/>
    <w:rsid w:val="00F70CDC"/>
    <w:rsid w:val="00F71B8A"/>
    <w:rsid w:val="00F71FBB"/>
    <w:rsid w:val="00F929BB"/>
    <w:rsid w:val="00F976E8"/>
    <w:rsid w:val="00FB34C8"/>
    <w:rsid w:val="00FB4D3C"/>
    <w:rsid w:val="00FB52B1"/>
    <w:rsid w:val="256366C8"/>
    <w:rsid w:val="59ED3485"/>
    <w:rsid w:val="5F990A32"/>
    <w:rsid w:val="61CA47D7"/>
    <w:rsid w:val="6EC83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uiPriority w:val="0"/>
  </w:style>
  <w:style w:type="paragraph" w:styleId="3">
    <w:name w:val="Balloon Text"/>
    <w:basedOn w:val="1"/>
    <w:link w:val="16"/>
    <w:semiHidden/>
    <w:unhideWhenUsed/>
    <w:qFormat/>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uiPriority w:val="0"/>
    <w:rPr>
      <w:sz w:val="18"/>
      <w:szCs w:val="18"/>
    </w:rPr>
  </w:style>
  <w:style w:type="character" w:customStyle="1" w:styleId="12">
    <w:name w:val="页脚 字符"/>
    <w:basedOn w:val="9"/>
    <w:link w:val="4"/>
    <w:qFormat/>
    <w:uiPriority w:val="99"/>
    <w:rPr>
      <w:sz w:val="18"/>
      <w:szCs w:val="18"/>
    </w:rPr>
  </w:style>
  <w:style w:type="paragraph" w:customStyle="1" w:styleId="13">
    <w:name w:val="Bibliography"/>
    <w:basedOn w:val="1"/>
    <w:next w:val="1"/>
    <w:semiHidden/>
    <w:unhideWhenUsed/>
    <w:qFormat/>
    <w:uiPriority w:val="37"/>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9"/>
    <w:link w:val="3"/>
    <w:semiHidden/>
    <w:qFormat/>
    <w:uiPriority w:val="0"/>
    <w:rPr>
      <w:sz w:val="18"/>
      <w:szCs w:val="18"/>
    </w:rPr>
  </w:style>
  <w:style w:type="paragraph" w:styleId="17">
    <w:name w:val="List Paragraph"/>
    <w:basedOn w:val="1"/>
    <w:qFormat/>
    <w:uiPriority w:val="34"/>
    <w:pPr>
      <w:spacing w:after="200" w:line="276" w:lineRule="auto"/>
      <w:ind w:firstLine="420" w:firstLineChars="200"/>
    </w:pPr>
    <w:rPr>
      <w:rFonts w:ascii="Calibri" w:hAnsi="Calibri" w:eastAsia="宋体"/>
      <w:sz w:val="22"/>
      <w:szCs w:val="22"/>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6025</Words>
  <Characters>36138</Characters>
  <Lines>295</Lines>
  <Paragraphs>83</Paragraphs>
  <TotalTime>0</TotalTime>
  <ScaleCrop>false</ScaleCrop>
  <LinksUpToDate>false</LinksUpToDate>
  <CharactersWithSpaces>41860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2022-04-22T08:20:00Z</dcterms:created>
  <dc:creator>Lian-Sheng Ma</dc:creator>
  <cp:lastModifiedBy>超级喜欢粉红色</cp:lastModifiedBy>
  <dcterms:modified xsi:type="dcterms:W3CDTF">2022-05-07T05:08:16Z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documentId_7176</vt:lpwstr>
  </property>
  <property fmtid="{D5CDD505-2E9C-101B-9397-08002B2CF9AE}" pid="3" name="grammarly_documentContext">
    <vt:lpwstr>{"goals":[],"domain":"general","emotions":[],"dialect":"american"}</vt:lpwstr>
  </property>
  <property fmtid="{D5CDD505-2E9C-101B-9397-08002B2CF9AE}" pid="4" name="KSOProductBuildVer">
    <vt:lpwstr>2052-11.1.0.11636</vt:lpwstr>
  </property>
  <property fmtid="{D5CDD505-2E9C-101B-9397-08002B2CF9AE}" pid="5" name="ICV">
    <vt:lpwstr>B705B025966544D3B0BB32EF9CF3B150</vt:lpwstr>
  </property>
</Properties>
</file>