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Gastroenterology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74921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Hepatitis B and circadian rhythm of the liver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Skrlec </w:t>
      </w:r>
      <w:r>
        <w:rPr>
          <w:rFonts w:ascii="Book Antiqua" w:hAnsi="Book Antiqua" w:cs="Book Antiqua"/>
          <w:color w:val="000000"/>
          <w:lang w:eastAsia="zh-CN"/>
        </w:rPr>
        <w:t xml:space="preserve">I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Hepatitis B and circadian rhythm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Ivana Skrlec, Jasminka Talapko</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Ivana Skrlec, </w:t>
      </w:r>
      <w:r>
        <w:rPr>
          <w:rFonts w:ascii="Book Antiqua" w:hAnsi="Book Antiqua" w:eastAsia="Book Antiqua" w:cs="Book Antiqua"/>
          <w:color w:val="000000"/>
        </w:rPr>
        <w:t>Department of Biophysics, Biology, and Chemistry, Faculty of Dental Medicine and Health, J. J. Strossmayer University of Osijek, Osijek 31000, Croatia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Jasminka Talapko, </w:t>
      </w:r>
      <w:r>
        <w:rPr>
          <w:rFonts w:ascii="Book Antiqua" w:hAnsi="Book Antiqua" w:eastAsia="Book Antiqua" w:cs="Book Antiqua"/>
          <w:color w:val="000000"/>
        </w:rPr>
        <w:t>Department of Anatomy Histology, Embryology, Pathology Anatomy and Pathology Histology, Faculty of Dental Medicine and Health, Osijek 31000, Croatia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Škrlec I did the majority of the writing and prepared the figures; Talapko J did some writing and prepared the tables</w:t>
      </w:r>
      <w:r>
        <w:rPr>
          <w:rFonts w:ascii="Book Antiqua" w:hAnsi="Book Antiqua" w:cs="Book Antiqua"/>
          <w:color w:val="000000"/>
          <w:lang w:eastAsia="zh-CN"/>
        </w:rPr>
        <w:t>; a</w:t>
      </w:r>
      <w:r>
        <w:rPr>
          <w:rFonts w:ascii="Book Antiqua" w:hAnsi="Book Antiqua" w:eastAsia="Book Antiqua" w:cs="Book Antiqua"/>
          <w:color w:val="000000"/>
          <w:shd w:val="clear" w:color="auto" w:fill="FFFFFF"/>
        </w:rPr>
        <w:t>ll authors have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Ivana Skrlec, MSc, PhD, Assistant Professor, </w:t>
      </w:r>
      <w:r>
        <w:rPr>
          <w:rFonts w:ascii="Book Antiqua" w:hAnsi="Book Antiqua" w:eastAsia="Book Antiqua" w:cs="Book Antiqua"/>
          <w:color w:val="000000"/>
        </w:rPr>
        <w:t>Department of Biophysics, Biology, and Chemistry, Faculty of Dental Medicine and Health, J. J. Strossmayer University of Osijek</w:t>
      </w:r>
      <w:r>
        <w:rPr>
          <w:rFonts w:ascii="Book Antiqua" w:hAnsi="Book Antiqua" w:cs="Book Antiqua"/>
          <w:color w:val="000000"/>
          <w:lang w:eastAsia="zh-CN"/>
        </w:rPr>
        <w:t>, 21</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Crkvena, </w:t>
      </w:r>
      <w:r>
        <w:rPr>
          <w:rFonts w:ascii="Book Antiqua" w:hAnsi="Book Antiqua" w:eastAsia="Book Antiqua" w:cs="Book Antiqua"/>
          <w:color w:val="000000"/>
        </w:rPr>
        <w:t>Osijek 31000, Croatia. iskrlec@fdmz.hr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11,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March 15,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bookmarkStart w:id="0" w:name="OLE_LINK1"/>
      <w:r>
        <w:rPr>
          <w:rFonts w:ascii="Book Antiqua" w:hAnsi="Book Antiqua" w:eastAsia="Book Antiqua" w:cs="Book Antiqua"/>
          <w:b w:val="0"/>
          <w:bCs w:val="0"/>
          <w:color w:val="000000"/>
        </w:rPr>
        <w:t>June 13, 2022</w:t>
      </w:r>
      <w:bookmarkEnd w:id="0"/>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July 21, 2022</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The circadian rhythm in humans is determined by the central clock located in the hypothalamus’s suprachiasmatic nucleus, and it synchronizes the peripheral clocks in other tissues. Circadian clock genes and clock-controlled genes</w:t>
      </w:r>
      <w:r>
        <w:rPr>
          <w:rFonts w:ascii="Book Antiqua" w:hAnsi="Book Antiqua" w:cs="Book Antiqua"/>
          <w:color w:val="000000"/>
          <w:lang w:eastAsia="zh-CN"/>
        </w:rPr>
        <w:t xml:space="preserve"> </w:t>
      </w:r>
      <w:r>
        <w:rPr>
          <w:rFonts w:ascii="Book Antiqua" w:hAnsi="Book Antiqua" w:eastAsia="Book Antiqua" w:cs="Book Antiqua"/>
          <w:color w:val="000000"/>
        </w:rPr>
        <w:t>exist in almost all cell types. They have an essential role in many physiological processes, including lipid metabolism in the liver, regulation of the immune system, and the severity of infections. In addition, circadian rhythm genes can stimulate the immune response of host cells to virus infection. Hepatitis B virus (HBV) infection is the leading cause of liver disease and liver cancer globally. HBV infection depends on the host cell, and hepatocyte circadian rhythm genes are associated with HBV replication, survival, and spread. The core circadian rhythm proteins, REV-ERB and brain and muscle ARNTL-like protein 1, have a crucial role in HBV replication in hepatocytes. In addition to influencing the virus’s life cycle, the circadian rhythm also affects the pharmacokinetics and efficacy of antiviral vaccines. Therefore, it is vital to apply antiviral therapy at the appropriate time of day to reduce toxicity and improve the effectiveness of antiviral treatment. For these reasons, understanding the role of the circadian rhythm in the regulation of HBV infection and host responses to the virus provides us with a new perspective of the interplay of the circadian rhythm</w:t>
      </w:r>
      <w:r>
        <w:rPr>
          <w:rFonts w:ascii="Book Antiqua" w:hAnsi="Book Antiqua" w:cs="Book Antiqua"/>
          <w:color w:val="000000"/>
          <w:lang w:eastAsia="zh-CN"/>
        </w:rPr>
        <w:t xml:space="preserve"> and </w:t>
      </w:r>
      <w:r>
        <w:rPr>
          <w:rFonts w:ascii="Book Antiqua" w:hAnsi="Book Antiqua" w:eastAsia="Book Antiqua" w:cs="Book Antiqua"/>
          <w:color w:val="000000"/>
        </w:rPr>
        <w:t>anti-HBV</w:t>
      </w:r>
      <w:r>
        <w:rPr>
          <w:rFonts w:ascii="Book Antiqua" w:hAnsi="Book Antiqua" w:cs="Book Antiqua"/>
          <w:color w:val="000000"/>
          <w:lang w:eastAsia="zh-CN"/>
        </w:rPr>
        <w:t xml:space="preserve"> </w:t>
      </w:r>
      <w:r>
        <w:rPr>
          <w:rFonts w:ascii="Book Antiqua" w:hAnsi="Book Antiqua" w:eastAsia="Book Antiqua" w:cs="Book Antiqua"/>
          <w:color w:val="000000"/>
        </w:rPr>
        <w:t>therapy. Therefore, this review emphasizes the importance of the circadian rhythm in HBV infection and the optimization of antiviral treatment based on the circadian rhythm-dependent immune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Circadian rhythm; Clock genes; Hepatitis B virus; Immune system; Liver</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eastAsia="Book Antiqua" w:cs="Book Antiqua"/>
          <w:color w:val="000000"/>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Skrlec I, Talapko J. Hepatitis B and circadian rhythm of the liver.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2022; </w:t>
      </w:r>
      <w:bookmarkStart w:id="1" w:name="OLE_LINK3"/>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 </w:t>
      </w:r>
      <w:bookmarkStart w:id="2" w:name="OLE_LINK2"/>
      <w:r>
        <w:rPr>
          <w:rFonts w:hint="eastAsia" w:ascii="Book Antiqua" w:hAnsi="Book Antiqua" w:eastAsia="Book Antiqua" w:cs="Book Antiqua"/>
          <w:color w:val="000000"/>
        </w:rPr>
        <w:t>3282</w:t>
      </w:r>
      <w:bookmarkEnd w:id="2"/>
      <w:r>
        <w:rPr>
          <w:rFonts w:hint="eastAsia" w:ascii="Book Antiqua" w:hAnsi="Book Antiqua" w:eastAsia="Book Antiqua" w:cs="Book Antiqua"/>
          <w:color w:val="000000"/>
        </w:rPr>
        <w:t xml:space="preserve">-3296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https://www.wjgnet.com/1007-9327/full/v2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 xml:space="preserve">/3282.htm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https://dx.doi.org/10.3748/wjg.v2</w:t>
      </w:r>
      <w:r>
        <w:rPr>
          <w:rFonts w:hint="eastAsia" w:ascii="Book Antiqua" w:hAnsi="Book Antiqua" w:eastAsia="宋体" w:cs="Book Antiqua"/>
          <w:color w:val="000000"/>
          <w:lang w:val="en-US" w:eastAsia="zh-CN"/>
        </w:rPr>
        <w:t>8</w:t>
      </w:r>
      <w:r>
        <w:rPr>
          <w:rFonts w:hint="eastAsia" w:ascii="Book Antiqua" w:hAnsi="Book Antiqua" w:eastAsia="Book Antiqua" w:cs="Book Antiqua"/>
          <w:color w:val="000000"/>
        </w:rPr>
        <w:t>.i2</w:t>
      </w:r>
      <w:r>
        <w:rPr>
          <w:rFonts w:hint="eastAsia" w:ascii="Book Antiqua" w:hAnsi="Book Antiqua" w:eastAsia="宋体" w:cs="Book Antiqua"/>
          <w:color w:val="000000"/>
          <w:lang w:val="en-US" w:eastAsia="zh-CN"/>
        </w:rPr>
        <w:t>7</w:t>
      </w:r>
      <w:r>
        <w:rPr>
          <w:rFonts w:hint="eastAsia" w:ascii="Book Antiqua" w:hAnsi="Book Antiqua" w:eastAsia="Book Antiqua" w:cs="Book Antiqua"/>
          <w:color w:val="000000"/>
        </w:rPr>
        <w:t>.</w:t>
      </w:r>
      <w:bookmarkEnd w:id="1"/>
      <w:r>
        <w:rPr>
          <w:rFonts w:hint="eastAsia" w:ascii="Book Antiqua" w:hAnsi="Book Antiqua" w:eastAsia="Book Antiqua" w:cs="Book Antiqua"/>
          <w:color w:val="000000"/>
        </w:rPr>
        <w:t>3282</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Some studies in the literature contribute to the association of the circadian rhythm and liver pathophysiology associated with hepatitis B virus</w:t>
      </w:r>
      <w:r>
        <w:rPr>
          <w:rFonts w:ascii="Book Antiqua" w:hAnsi="Book Antiqua" w:cs="Book Antiqua"/>
          <w:color w:val="000000"/>
          <w:lang w:eastAsia="zh-CN"/>
        </w:rPr>
        <w:t xml:space="preserve"> (HBV)</w:t>
      </w:r>
      <w:r>
        <w:rPr>
          <w:rFonts w:ascii="Book Antiqua" w:hAnsi="Book Antiqua" w:eastAsia="Book Antiqua" w:cs="Book Antiqua"/>
          <w:color w:val="000000"/>
        </w:rPr>
        <w:t xml:space="preserve"> infection. However, this is the first review to report the latest molecular mechanisms of </w:t>
      </w:r>
      <w:r>
        <w:rPr>
          <w:rFonts w:ascii="Book Antiqua" w:hAnsi="Book Antiqua" w:cs="Book Antiqua"/>
          <w:color w:val="000000"/>
          <w:lang w:eastAsia="zh-CN"/>
        </w:rPr>
        <w:t>HBV infection</w:t>
      </w:r>
      <w:r>
        <w:rPr>
          <w:rFonts w:ascii="Book Antiqua" w:hAnsi="Book Antiqua" w:eastAsia="Book Antiqua" w:cs="Book Antiqua"/>
          <w:color w:val="000000"/>
        </w:rPr>
        <w:t>, including cellular circadian rhythm disorders, circadian clock-related immune response, therapeutic strategies in improving health outcomes, and the significance of personalized medicine and chronotherapy in treating chronic HBV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circadian rhythm in humans is determined by the central clock found in the hypothalamus’s suprachiasmatic nucleus (SCN) which receives light signals from the retina</w:t>
      </w:r>
      <w:r>
        <w:rPr>
          <w:rFonts w:ascii="Book Antiqua" w:hAnsi="Book Antiqua" w:eastAsia="Book Antiqua" w:cs="Book Antiqua"/>
          <w:color w:val="000000"/>
          <w:vertAlign w:val="superscript"/>
        </w:rPr>
        <w:t>[1]</w:t>
      </w:r>
      <w:r>
        <w:rPr>
          <w:rFonts w:ascii="Book Antiqua" w:hAnsi="Book Antiqua" w:eastAsia="Book Antiqua" w:cs="Book Antiqua"/>
          <w:color w:val="000000"/>
        </w:rPr>
        <w:t>. Endogenous functional circadian rhythms are active in peripheral tissues. For example, the circadian clock in humans, expressed in almost every cell, consists of a whole range of transcription-translation feedback loops</w:t>
      </w:r>
      <w:r>
        <w:rPr>
          <w:rFonts w:ascii="Book Antiqua" w:hAnsi="Book Antiqua" w:eastAsia="Book Antiqua" w:cs="Book Antiqua"/>
          <w:color w:val="000000"/>
          <w:vertAlign w:val="superscript"/>
        </w:rPr>
        <w:t>[2]</w:t>
      </w:r>
      <w:r>
        <w:rPr>
          <w:rFonts w:ascii="Book Antiqua" w:hAnsi="Book Antiqua" w:eastAsia="Book Antiqua" w:cs="Book Antiqua"/>
          <w:color w:val="000000"/>
        </w:rPr>
        <w:t>. Furthermore, all peripheral clocks in every tissue are synchronized by the central clock in the SCN</w:t>
      </w:r>
      <w:r>
        <w:rPr>
          <w:rFonts w:ascii="Book Antiqua" w:hAnsi="Book Antiqua" w:eastAsia="Book Antiqua" w:cs="Book Antiqua"/>
          <w:color w:val="000000"/>
          <w:vertAlign w:val="superscript"/>
        </w:rPr>
        <w:t>[3]</w:t>
      </w:r>
      <w:r>
        <w:rPr>
          <w:rFonts w:ascii="Book Antiqua" w:hAnsi="Book Antiqua" w:eastAsia="Book Antiqua" w:cs="Book Antiqua"/>
          <w:color w:val="000000"/>
        </w:rPr>
        <w:t>. Therefore, circadian clock genes and clock-controlled genes (CCG) exist in almost all cell types. Approximately 10</w:t>
      </w:r>
      <w:r>
        <w:rPr>
          <w:rFonts w:ascii="Book Antiqua" w:hAnsi="Book Antiqua" w:cs="Book Antiqua"/>
          <w:color w:val="000000"/>
          <w:lang w:eastAsia="zh-CN"/>
        </w:rPr>
        <w:t>%</w:t>
      </w:r>
      <w:r>
        <w:rPr>
          <w:rFonts w:ascii="Book Antiqua" w:hAnsi="Book Antiqua" w:eastAsia="Book Antiqua" w:cs="Book Antiqua"/>
          <w:color w:val="000000"/>
        </w:rPr>
        <w:t>-40% of the genome is encoded in a circadian manner</w:t>
      </w:r>
      <w:r>
        <w:rPr>
          <w:rFonts w:ascii="Book Antiqua" w:hAnsi="Book Antiqua" w:eastAsia="Book Antiqua" w:cs="Book Antiqua"/>
          <w:color w:val="000000"/>
          <w:vertAlign w:val="superscript"/>
        </w:rPr>
        <w:t>[4]</w:t>
      </w:r>
      <w:r>
        <w:rPr>
          <w:rFonts w:ascii="Book Antiqua" w:hAnsi="Book Antiqua" w:eastAsia="Book Antiqua" w:cs="Book Antiqua"/>
          <w:color w:val="000000"/>
        </w:rPr>
        <w:t>. Furthermore, most physiological processes, such as lipid metabolism, immune system regulation, and infection severity, are under circadian control, and therefore circadian rhythm disorders can result in pathophysiological changes downstream</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liver has a vital role in maintaining energy homeostasis within the body. The primary biochemical reactions within the liver are involved in the breakdown and generation of glucose, which is associated with fatty acid metabolism</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the metabolic functions of the liver show rhythmic fluctuations with a periodicity of 24 h</w:t>
      </w:r>
      <w:r>
        <w:rPr>
          <w:rFonts w:ascii="Book Antiqua" w:hAnsi="Book Antiqua" w:eastAsia="Book Antiqua" w:cs="Book Antiqua"/>
          <w:color w:val="000000"/>
          <w:vertAlign w:val="superscript"/>
        </w:rPr>
        <w:t>[6]</w:t>
      </w:r>
      <w:r>
        <w:rPr>
          <w:rFonts w:ascii="Book Antiqua" w:hAnsi="Book Antiqua" w:eastAsia="Book Antiqua" w:cs="Book Antiqua"/>
          <w:color w:val="000000"/>
        </w:rPr>
        <w:t>. Hepatitis-causing viruses depend closely on hepatocytes for replication, survival, and spread</w:t>
      </w:r>
      <w:r>
        <w:rPr>
          <w:rFonts w:ascii="Book Antiqua" w:hAnsi="Book Antiqua" w:eastAsia="Book Antiqua" w:cs="Book Antiqua"/>
          <w:color w:val="000000"/>
          <w:vertAlign w:val="superscript"/>
        </w:rPr>
        <w:t>[6]</w:t>
      </w:r>
      <w:r>
        <w:rPr>
          <w:rFonts w:ascii="Book Antiqua" w:hAnsi="Book Antiqua" w:eastAsia="Book Antiqua" w:cs="Book Antiqua"/>
          <w:color w:val="000000"/>
        </w:rPr>
        <w:t>. In addition, viral infection can disrupt the hepatocytes’ circadian rhythm</w:t>
      </w:r>
      <w:r>
        <w:rPr>
          <w:rFonts w:ascii="Book Antiqua" w:hAnsi="Book Antiqua" w:eastAsia="Book Antiqua" w:cs="Book Antiqua"/>
          <w:color w:val="000000"/>
          <w:vertAlign w:val="superscript"/>
        </w:rPr>
        <w:t>[5]</w:t>
      </w:r>
      <w:r>
        <w:rPr>
          <w:rFonts w:ascii="Book Antiqua" w:hAnsi="Book Antiqua" w:eastAsia="Book Antiqua" w:cs="Book Antiqua"/>
          <w:color w:val="000000"/>
        </w:rPr>
        <w:t>. Circadian rhythm transcription factors alter liver metabolism and are linked with various conditions, including viral infection, fatty liver disease, diabetes, and hepatocellular carcinoma (HCC)</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What makes the hepatitis B virus (HBV) significantly different from other hepatotropic viruses is its global impact on human health</w:t>
      </w:r>
      <w:r>
        <w:rPr>
          <w:rFonts w:ascii="Book Antiqua" w:hAnsi="Book Antiqua" w:eastAsia="Book Antiqua" w:cs="Book Antiqua"/>
          <w:color w:val="000000"/>
          <w:vertAlign w:val="superscript"/>
        </w:rPr>
        <w:t>[7]</w:t>
      </w:r>
      <w:r>
        <w:rPr>
          <w:rFonts w:ascii="Book Antiqua" w:hAnsi="Book Antiqua" w:eastAsia="Book Antiqua" w:cs="Book Antiqua"/>
          <w:color w:val="000000"/>
        </w:rPr>
        <w:t>, namely, infections caused by this virus result in liver disease, which is a growing global problem</w:t>
      </w:r>
      <w:r>
        <w:rPr>
          <w:rFonts w:ascii="Book Antiqua" w:hAnsi="Book Antiqua" w:eastAsia="Book Antiqua" w:cs="Book Antiqua"/>
          <w:color w:val="000000"/>
          <w:vertAlign w:val="superscript"/>
        </w:rPr>
        <w:t>[8]</w:t>
      </w:r>
      <w:r>
        <w:rPr>
          <w:rFonts w:ascii="Book Antiqua" w:hAnsi="Book Antiqua" w:eastAsia="Book Antiqua" w:cs="Book Antiqua"/>
          <w:color w:val="000000"/>
        </w:rPr>
        <w:t>. According to the World Health Organization (WHO), it is estimated that 296 million people lived with chronic hepatitis B in 2019, and that 1.5 million new infections are detected each year</w:t>
      </w:r>
      <w:r>
        <w:rPr>
          <w:rFonts w:ascii="Book Antiqua" w:hAnsi="Book Antiqua" w:eastAsia="Book Antiqua" w:cs="Book Antiqua"/>
          <w:color w:val="000000"/>
          <w:vertAlign w:val="superscript"/>
        </w:rPr>
        <w:t>[9]</w:t>
      </w:r>
      <w:r>
        <w:rPr>
          <w:rFonts w:ascii="Book Antiqua" w:hAnsi="Book Antiqua" w:eastAsia="Book Antiqua" w:cs="Book Antiqua"/>
          <w:color w:val="000000"/>
        </w:rPr>
        <w:t>. Furthermore, due to HBV infection in 2019, mainly from cirrhosis and HCC, about 820000 people died</w:t>
      </w:r>
      <w:r>
        <w:rPr>
          <w:rFonts w:ascii="Book Antiqua" w:hAnsi="Book Antiqua" w:eastAsia="Book Antiqua" w:cs="Book Antiqua"/>
          <w:color w:val="000000"/>
          <w:vertAlign w:val="superscript"/>
        </w:rPr>
        <w:t>[10]</w:t>
      </w:r>
      <w:r>
        <w:rPr>
          <w:rFonts w:ascii="Book Antiqua" w:hAnsi="Book Antiqua" w:eastAsia="Book Antiqua" w:cs="Book Antiqua"/>
          <w:color w:val="000000"/>
        </w:rPr>
        <w:t>. Hepatitis B can develop in an acute or chronic form</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Most infected people do not have any symptoms, which does not mean that there is no disease. Symptoms of acute infection usually occur 2 </w:t>
      </w:r>
      <w:r>
        <w:rPr>
          <w:rFonts w:ascii="Book Antiqua" w:hAnsi="Book Antiqua" w:cs="Book Antiqua"/>
          <w:color w:val="000000"/>
          <w:lang w:eastAsia="zh-CN"/>
        </w:rPr>
        <w:t xml:space="preserve">mo </w:t>
      </w:r>
      <w:r>
        <w:rPr>
          <w:rFonts w:ascii="Book Antiqua" w:hAnsi="Book Antiqua" w:eastAsia="Book Antiqua" w:cs="Book Antiqua"/>
          <w:color w:val="000000"/>
        </w:rPr>
        <w:t>to 3 mo after infection and are nonspecific</w:t>
      </w:r>
      <w:r>
        <w:rPr>
          <w:rFonts w:ascii="Book Antiqua" w:hAnsi="Book Antiqua" w:eastAsia="Book Antiqua" w:cs="Book Antiqua"/>
          <w:color w:val="000000"/>
          <w:vertAlign w:val="superscript"/>
        </w:rPr>
        <w:t>[12,13]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w:t>
      </w:r>
      <w:r>
        <w:rPr>
          <w:rFonts w:ascii="Book Antiqua" w:hAnsi="Book Antiqua" w:cs="Book Antiqua"/>
          <w:color w:val="000000"/>
          <w:lang w:eastAsia="zh-CN"/>
        </w:rPr>
        <w:t>HBV</w:t>
      </w:r>
      <w:r>
        <w:rPr>
          <w:rFonts w:ascii="Book Antiqua" w:hAnsi="Book Antiqua" w:eastAsia="Book Antiqua" w:cs="Book Antiqua"/>
          <w:color w:val="000000"/>
        </w:rPr>
        <w:t xml:space="preserve"> begins to multiply within the first 3 d of infection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Whether and to what extent liver damage occurs depends on the infected person’s immune system, the infectious dose, and the site of virus entry. Tissue compatibility antigens and interferon promote the viral antigens’ </w:t>
      </w:r>
      <w:r>
        <w:rPr>
          <w:rFonts w:ascii="Book Antiqua" w:hAnsi="Book Antiqua" w:cs="Book Antiqua"/>
          <w:color w:val="000000"/>
          <w:lang w:eastAsia="zh-CN"/>
        </w:rPr>
        <w:t>[</w:t>
      </w:r>
      <w:r>
        <w:rPr>
          <w:rFonts w:ascii="Book Antiqua" w:hAnsi="Book Antiqua" w:eastAsia="Book Antiqua" w:cs="Book Antiqua"/>
          <w:color w:val="000000"/>
        </w:rPr>
        <w:t xml:space="preserve">hepatitis B surface antigen </w:t>
      </w:r>
      <w:r>
        <w:rPr>
          <w:rFonts w:ascii="Book Antiqua" w:hAnsi="Book Antiqua" w:cs="Book Antiqua"/>
          <w:color w:val="000000"/>
          <w:lang w:eastAsia="zh-CN"/>
        </w:rPr>
        <w:t>(</w:t>
      </w:r>
      <w:r>
        <w:rPr>
          <w:rFonts w:ascii="Book Antiqua" w:hAnsi="Book Antiqua" w:eastAsia="Book Antiqua" w:cs="Book Antiqua"/>
          <w:color w:val="000000"/>
        </w:rPr>
        <w:t>HBsAg</w:t>
      </w:r>
      <w:r>
        <w:rPr>
          <w:rFonts w:ascii="Book Antiqua" w:hAnsi="Book Antiqua" w:cs="Book Antiqua"/>
          <w:color w:val="000000"/>
          <w:lang w:eastAsia="zh-CN"/>
        </w:rPr>
        <w:t>)</w:t>
      </w:r>
      <w:r>
        <w:rPr>
          <w:rFonts w:ascii="Book Antiqua" w:hAnsi="Book Antiqua" w:eastAsia="Book Antiqua" w:cs="Book Antiqua"/>
          <w:color w:val="000000"/>
        </w:rPr>
        <w:t>, hepatitis B envelope antigen (HbeAg), and hepatitis B core antigen (HBcAg)</w:t>
      </w:r>
      <w:r>
        <w:rPr>
          <w:rFonts w:ascii="Book Antiqua" w:hAnsi="Book Antiqua" w:cs="Book Antiqua"/>
          <w:color w:val="000000"/>
          <w:lang w:eastAsia="zh-CN"/>
        </w:rPr>
        <w:t>]</w:t>
      </w:r>
      <w:r>
        <w:rPr>
          <w:rFonts w:ascii="Book Antiqua" w:hAnsi="Book Antiqua" w:eastAsia="Book Antiqua" w:cs="Book Antiqua"/>
          <w:color w:val="000000"/>
        </w:rPr>
        <w:t xml:space="preserve"> exposure to cytotoxic T lymphocytes</w:t>
      </w:r>
      <w:r>
        <w:rPr>
          <w:rFonts w:ascii="Book Antiqua" w:hAnsi="Book Antiqua" w:eastAsia="Book Antiqua" w:cs="Book Antiqua"/>
          <w:color w:val="000000"/>
          <w:vertAlign w:val="superscript"/>
        </w:rPr>
        <w:t>[15]</w:t>
      </w:r>
      <w:r>
        <w:rPr>
          <w:rFonts w:ascii="Book Antiqua" w:hAnsi="Book Antiqua" w:eastAsia="Book Antiqua" w:cs="Book Antiqua"/>
          <w:color w:val="000000"/>
        </w:rPr>
        <w:t>. If there is no adequate response by these cells, milder signs of the disease occur, which may progress to the development of chronic hepatitis</w:t>
      </w:r>
      <w:r>
        <w:rPr>
          <w:rFonts w:ascii="Book Antiqua" w:hAnsi="Book Antiqua" w:eastAsia="Book Antiqua" w:cs="Book Antiqua"/>
          <w:color w:val="000000"/>
          <w:vertAlign w:val="superscript"/>
        </w:rPr>
        <w:t>[16]</w:t>
      </w:r>
      <w:r>
        <w:rPr>
          <w:rFonts w:ascii="Book Antiqua" w:hAnsi="Book Antiqua" w:eastAsia="Book Antiqua" w:cs="Book Antiqua"/>
          <w:color w:val="000000"/>
        </w:rPr>
        <w:t>. About 10% of acute HBV infections progress to a chronic form</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Chronic </w:t>
      </w:r>
      <w:r>
        <w:rPr>
          <w:rFonts w:ascii="Book Antiqua" w:hAnsi="Book Antiqua" w:cs="Book Antiqua"/>
          <w:color w:val="000000"/>
          <w:lang w:eastAsia="zh-CN"/>
        </w:rPr>
        <w:t>H</w:t>
      </w:r>
      <w:r>
        <w:rPr>
          <w:rFonts w:ascii="Book Antiqua" w:hAnsi="Book Antiqua" w:eastAsia="Book Antiqua" w:cs="Book Antiqua"/>
          <w:color w:val="000000"/>
        </w:rPr>
        <w:t>B</w:t>
      </w:r>
      <w:r>
        <w:rPr>
          <w:rFonts w:ascii="Book Antiqua" w:hAnsi="Book Antiqua" w:cs="Book Antiqua"/>
          <w:color w:val="000000"/>
          <w:lang w:eastAsia="zh-CN"/>
        </w:rPr>
        <w:t>V</w:t>
      </w:r>
      <w:r>
        <w:rPr>
          <w:rFonts w:ascii="Book Antiqua" w:hAnsi="Book Antiqua" w:eastAsia="Book Antiqua" w:cs="Book Antiqua"/>
          <w:color w:val="000000"/>
        </w:rPr>
        <w:t xml:space="preserve"> can be clinically manifested as mild conditions to severe chronic hepatitis</w:t>
      </w:r>
      <w:r>
        <w:rPr>
          <w:rFonts w:ascii="Book Antiqua" w:hAnsi="Book Antiqua" w:eastAsia="Book Antiqua" w:cs="Book Antiqua"/>
          <w:color w:val="000000"/>
          <w:vertAlign w:val="superscript"/>
        </w:rPr>
        <w:t>[18]</w:t>
      </w:r>
      <w:r>
        <w:rPr>
          <w:rFonts w:ascii="Book Antiqua" w:hAnsi="Book Antiqua" w:eastAsia="Book Antiqua" w:cs="Book Antiqua"/>
          <w:color w:val="000000"/>
        </w:rPr>
        <w:t>, which, in untreated cases, results in 8%-20% of cases with cirrhosis and HCC</w:t>
      </w:r>
      <w:r>
        <w:rPr>
          <w:rFonts w:ascii="Book Antiqua" w:hAnsi="Book Antiqua" w:eastAsia="Book Antiqua" w:cs="Book Antiqua"/>
          <w:color w:val="000000"/>
          <w:vertAlign w:val="superscript"/>
        </w:rPr>
        <w:t>[19]</w:t>
      </w:r>
      <w:r>
        <w:rPr>
          <w:rFonts w:ascii="Book Antiqua" w:hAnsi="Book Antiqua" w:eastAsia="Book Antiqua" w:cs="Book Antiqua"/>
          <w:color w:val="000000"/>
        </w:rPr>
        <w:t>. Persistent hepatitis is a mild disease that occurs in 8%-10% of patients, occasionally causing elevated aminotransferases, but generally does not progress toward cirrhosis and has a favorable prognosis</w:t>
      </w:r>
      <w:r>
        <w:rPr>
          <w:rFonts w:ascii="Book Antiqua" w:hAnsi="Book Antiqua" w:eastAsia="Book Antiqua" w:cs="Book Antiqua"/>
          <w:color w:val="000000"/>
          <w:vertAlign w:val="superscript"/>
        </w:rPr>
        <w:t>[20]</w:t>
      </w:r>
      <w:r>
        <w:rPr>
          <w:rFonts w:ascii="Book Antiqua" w:hAnsi="Book Antiqua" w:eastAsia="Book Antiqua" w:cs="Book Antiqua"/>
          <w:color w:val="000000"/>
        </w:rPr>
        <w:t>. HBV plays a significant role in the development of HCC, which can occur many years after chronic infection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Still, typically the </w:t>
      </w:r>
      <w:r>
        <w:rPr>
          <w:rFonts w:ascii="Book Antiqua" w:hAnsi="Book Antiqua" w:cs="Book Antiqua"/>
          <w:color w:val="000000"/>
          <w:lang w:eastAsia="zh-CN"/>
        </w:rPr>
        <w:t>HBV</w:t>
      </w:r>
      <w:r>
        <w:rPr>
          <w:rFonts w:ascii="Book Antiqua" w:hAnsi="Book Antiqua" w:eastAsia="Book Antiqua" w:cs="Book Antiqua"/>
          <w:color w:val="000000"/>
        </w:rPr>
        <w:t xml:space="preserve"> is not a cytopathogen, and cell damage is thought to be mediated by a persistently unproductive immune response</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Therefore, this mini-review highlights the significance of the circadian rhythm in HBV infection, and the effectiveness of therapy in relation to the circadian rhythm-dependent immune response.</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cs="Book Antiqua"/>
          <w:b/>
          <w:bCs/>
          <w:caps/>
          <w:color w:val="000000"/>
          <w:u w:val="single"/>
          <w:lang w:eastAsia="zh-CN"/>
        </w:rPr>
        <w:t>HBV</w:t>
      </w:r>
    </w:p>
    <w:p>
      <w:pPr>
        <w:spacing w:line="360" w:lineRule="auto"/>
        <w:jc w:val="both"/>
        <w:rPr>
          <w:rFonts w:ascii="Book Antiqua" w:hAnsi="Book Antiqua"/>
          <w:lang w:eastAsia="zh-CN"/>
        </w:rPr>
      </w:pPr>
      <w:r>
        <w:rPr>
          <w:rFonts w:ascii="Book Antiqua" w:hAnsi="Book Antiqua" w:eastAsia="Book Antiqua" w:cs="Book Antiqua"/>
          <w:color w:val="000000"/>
        </w:rPr>
        <w:t xml:space="preserve">The epidemiological model of the spread of </w:t>
      </w:r>
      <w:r>
        <w:rPr>
          <w:rFonts w:ascii="Book Antiqua" w:hAnsi="Book Antiqua" w:cs="Book Antiqua"/>
          <w:color w:val="000000"/>
          <w:lang w:eastAsia="zh-CN"/>
        </w:rPr>
        <w:t>HBV</w:t>
      </w:r>
      <w:r>
        <w:rPr>
          <w:rFonts w:ascii="Book Antiqua" w:hAnsi="Book Antiqua" w:eastAsia="Book Antiqua" w:cs="Book Antiqua"/>
          <w:color w:val="000000"/>
        </w:rPr>
        <w:t xml:space="preserve"> and human immunodeficiency virus (HIV) is the same, but HBV is 50-100 times more infectious than HIV</w:t>
      </w:r>
      <w:r>
        <w:rPr>
          <w:rFonts w:ascii="Book Antiqua" w:hAnsi="Book Antiqua" w:eastAsia="Book Antiqua" w:cs="Book Antiqua"/>
          <w:color w:val="000000"/>
          <w:vertAlign w:val="superscript"/>
        </w:rPr>
        <w:t>[22]</w:t>
      </w:r>
      <w:r>
        <w:rPr>
          <w:rFonts w:ascii="Book Antiqua" w:hAnsi="Book Antiqua" w:eastAsia="Book Antiqua" w:cs="Book Antiqua"/>
          <w:color w:val="000000"/>
        </w:rPr>
        <w:t>. The source of infection is people with HBV infection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However, the geographical prevalence of HBV infection varies</w:t>
      </w:r>
      <w:r>
        <w:rPr>
          <w:rFonts w:ascii="Book Antiqua" w:hAnsi="Book Antiqua" w:eastAsia="Book Antiqua" w:cs="Book Antiqua"/>
          <w:color w:val="000000"/>
          <w:vertAlign w:val="superscript"/>
        </w:rPr>
        <w:t>[24]</w:t>
      </w:r>
      <w:r>
        <w:rPr>
          <w:rFonts w:ascii="Book Antiqua" w:hAnsi="Book Antiqua" w:eastAsia="Book Antiqua" w:cs="Book Antiqua"/>
          <w:color w:val="000000"/>
        </w:rPr>
        <w:t>. In addition, it depends on several factors, such as different modes of transmission in the population and the age at which the infection originated, which relates to the likelihood of progression to chronic infection</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HBV is mainly transmitted by percutaneous or mucosal exposure to infected blood or body fluids</w:t>
      </w:r>
      <w:r>
        <w:rPr>
          <w:rFonts w:ascii="Book Antiqua" w:hAnsi="Book Antiqua" w:eastAsia="Book Antiqua" w:cs="Book Antiqua"/>
          <w:color w:val="000000"/>
          <w:vertAlign w:val="superscript"/>
        </w:rPr>
        <w:t>[26]</w:t>
      </w:r>
      <w:r>
        <w:rPr>
          <w:rFonts w:ascii="Book Antiqua" w:hAnsi="Book Antiqua" w:eastAsia="Book Antiqua" w:cs="Book Antiqua"/>
          <w:color w:val="000000"/>
        </w:rPr>
        <w:t>. Perinatal transmission is the primary route of infection in endemic regions</w:t>
      </w:r>
      <w:r>
        <w:rPr>
          <w:rFonts w:ascii="Book Antiqua" w:hAnsi="Book Antiqua" w:eastAsia="Book Antiqua" w:cs="Book Antiqua"/>
          <w:color w:val="000000"/>
          <w:vertAlign w:val="superscript"/>
        </w:rPr>
        <w:t>[27]</w:t>
      </w:r>
      <w:r>
        <w:rPr>
          <w:rFonts w:ascii="Book Antiqua" w:hAnsi="Book Antiqua" w:eastAsia="Book Antiqua" w:cs="Book Antiqua"/>
          <w:color w:val="000000"/>
        </w:rPr>
        <w:t>, while the most direct route in the low-endemic regions is sexual transmission</w:t>
      </w:r>
      <w:r>
        <w:rPr>
          <w:rFonts w:ascii="Book Antiqua" w:hAnsi="Book Antiqua" w:eastAsia="Book Antiqua" w:cs="Book Antiqua"/>
          <w:color w:val="000000"/>
          <w:vertAlign w:val="superscript"/>
        </w:rPr>
        <w:t>[28]</w:t>
      </w:r>
      <w:r>
        <w:rPr>
          <w:rFonts w:ascii="Book Antiqua" w:hAnsi="Book Antiqua" w:eastAsia="Book Antiqua" w:cs="Book Antiqua"/>
          <w:color w:val="000000"/>
        </w:rPr>
        <w:t>. Globally, the epidemiology of HBV infection is changing, influenced by infant vaccination programs and migration between low- and high-prevalence populations</w:t>
      </w:r>
      <w:r>
        <w:rPr>
          <w:rFonts w:ascii="Book Antiqua" w:hAnsi="Book Antiqua" w:eastAsia="Book Antiqua" w:cs="Book Antiqua"/>
          <w:color w:val="000000"/>
          <w:vertAlign w:val="superscript"/>
        </w:rPr>
        <w:t>[29]</w:t>
      </w:r>
      <w:r>
        <w:rPr>
          <w:rFonts w:ascii="Book Antiqua" w:hAnsi="Book Antiqua" w:eastAsia="Book Antiqua" w:cs="Book Antiqua"/>
          <w:color w:val="000000"/>
        </w:rPr>
        <w:t>. On the basis of the available data, it is estimated that the prevalence of new chronic HBV cases is 70% in developing countries</w:t>
      </w:r>
      <w:r>
        <w:rPr>
          <w:rFonts w:ascii="Book Antiqua" w:hAnsi="Book Antiqua" w:eastAsia="Book Antiqua" w:cs="Book Antiqua"/>
          <w:color w:val="000000"/>
          <w:vertAlign w:val="superscript"/>
        </w:rPr>
        <w:t>[30]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On the basis of the prevalence of the HBsAg, the epidemiology of HBV in certain areas of the world can be classified into one of three categories (Table 1)</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w:t>
      </w:r>
      <w:r>
        <w:rPr>
          <w:rFonts w:ascii="Book Antiqua" w:hAnsi="Book Antiqua" w:cs="Book Antiqua"/>
          <w:color w:val="000000"/>
          <w:lang w:eastAsia="zh-CN"/>
        </w:rPr>
        <w:t>L</w:t>
      </w:r>
      <w:r>
        <w:rPr>
          <w:rFonts w:ascii="Book Antiqua" w:hAnsi="Book Antiqua" w:eastAsia="Book Antiqua" w:cs="Book Antiqua"/>
          <w:color w:val="000000"/>
        </w:rPr>
        <w:t>ow prevalence areas (&lt; 2%), medium prevalence areas (2%-7%), and high prevalence areas (&gt;</w:t>
      </w:r>
      <w:r>
        <w:rPr>
          <w:rFonts w:ascii="Book Antiqua" w:hAnsi="Book Antiqua" w:cs="Book Antiqua"/>
          <w:color w:val="000000"/>
          <w:lang w:eastAsia="zh-CN"/>
        </w:rPr>
        <w:t xml:space="preserve"> </w:t>
      </w:r>
      <w:r>
        <w:rPr>
          <w:rFonts w:ascii="Book Antiqua" w:hAnsi="Book Antiqua" w:eastAsia="Book Antiqua" w:cs="Book Antiqua"/>
          <w:color w:val="000000"/>
        </w:rPr>
        <w:t>8% HBsAg prevalence)</w:t>
      </w:r>
      <w:r>
        <w:rPr>
          <w:rFonts w:ascii="Book Antiqua" w:hAnsi="Book Antiqua" w:eastAsia="Book Antiqua" w:cs="Book Antiqua"/>
          <w:color w:val="000000"/>
          <w:vertAlign w:val="superscript"/>
        </w:rPr>
        <w:t>[32]</w:t>
      </w:r>
      <w:r>
        <w:rPr>
          <w:rFonts w:ascii="Book Antiqua" w:hAnsi="Book Antiqua" w:eastAsia="Book Antiqua" w:cs="Book Antiqua"/>
          <w:color w:val="000000"/>
        </w:rPr>
        <w:t>. These categories are important for understanding the transmission and outcome of infection, and the consequences of chronic hepatitis B</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Biology and life cycle of HBV</w:t>
      </w:r>
    </w:p>
    <w:p>
      <w:pPr>
        <w:spacing w:line="360" w:lineRule="auto"/>
        <w:jc w:val="both"/>
        <w:rPr>
          <w:rFonts w:ascii="Book Antiqua" w:hAnsi="Book Antiqua"/>
          <w:lang w:eastAsia="zh-CN"/>
        </w:rPr>
      </w:pPr>
      <w:r>
        <w:rPr>
          <w:rFonts w:ascii="Book Antiqua" w:hAnsi="Book Antiqua" w:cs="Book Antiqua"/>
          <w:color w:val="000000"/>
          <w:lang w:eastAsia="zh-CN"/>
        </w:rPr>
        <w:t>HBV</w:t>
      </w:r>
      <w:r>
        <w:rPr>
          <w:rFonts w:ascii="Book Antiqua" w:hAnsi="Book Antiqua" w:eastAsia="Book Antiqua" w:cs="Book Antiqua"/>
          <w:color w:val="000000"/>
        </w:rPr>
        <w:t xml:space="preserve"> is a DNA virus with ten known genotypes, labeled A</w:t>
      </w:r>
      <w:r>
        <w:rPr>
          <w:rFonts w:ascii="Book Antiqua" w:hAnsi="Book Antiqua" w:cs="Book Antiqua"/>
          <w:color w:val="000000"/>
          <w:lang w:eastAsia="zh-CN"/>
        </w:rPr>
        <w:t>-</w:t>
      </w:r>
      <w:r>
        <w:rPr>
          <w:rFonts w:ascii="Book Antiqua" w:hAnsi="Book Antiqua" w:eastAsia="Book Antiqua" w:cs="Book Antiqua"/>
          <w:color w:val="000000"/>
        </w:rPr>
        <w:t xml:space="preserve">J. HBV belongs to the group of hepatotropic viruses from the family </w:t>
      </w:r>
      <w:r>
        <w:rPr>
          <w:rFonts w:ascii="Book Antiqua" w:hAnsi="Book Antiqua" w:eastAsia="Book Antiqua" w:cs="Book Antiqua"/>
          <w:iCs/>
          <w:color w:val="000000"/>
        </w:rPr>
        <w:t>Hepadnaviridae</w:t>
      </w:r>
      <w:r>
        <w:rPr>
          <w:rFonts w:ascii="Book Antiqua" w:hAnsi="Book Antiqua" w:eastAsia="Book Antiqua" w:cs="Book Antiqua"/>
          <w:color w:val="000000"/>
        </w:rPr>
        <w:t xml:space="preserve">, genus </w:t>
      </w:r>
      <w:r>
        <w:rPr>
          <w:rFonts w:ascii="Book Antiqua" w:hAnsi="Book Antiqua" w:eastAsia="Book Antiqua" w:cs="Book Antiqua"/>
          <w:iCs/>
          <w:color w:val="000000"/>
        </w:rPr>
        <w:t>Orthohepadnavirus</w:t>
      </w:r>
      <w:r>
        <w:rPr>
          <w:rFonts w:ascii="Book Antiqua" w:hAnsi="Book Antiqua" w:eastAsia="Book Antiqua" w:cs="Book Antiqua"/>
          <w:color w:val="000000"/>
          <w:vertAlign w:val="superscript"/>
        </w:rPr>
        <w:t>[33]</w:t>
      </w:r>
      <w:r>
        <w:rPr>
          <w:rFonts w:ascii="Book Antiqua" w:hAnsi="Book Antiqua" w:eastAsia="Book Antiqua" w:cs="Book Antiqua"/>
          <w:color w:val="000000"/>
        </w:rPr>
        <w:t>. It is a small round virus of a very complex structure, 42 nm in diameter, with a double shell (Dane particle) (Table 2)</w:t>
      </w:r>
      <w:r>
        <w:rPr>
          <w:rFonts w:ascii="Book Antiqua" w:hAnsi="Book Antiqua" w:eastAsia="Book Antiqua" w:cs="Book Antiqua"/>
          <w:color w:val="000000"/>
          <w:vertAlign w:val="superscript"/>
        </w:rPr>
        <w:t>[33]</w:t>
      </w:r>
      <w:r>
        <w:rPr>
          <w:rFonts w:ascii="Book Antiqua" w:hAnsi="Book Antiqua" w:eastAsia="Book Antiqua" w:cs="Book Antiqua"/>
          <w:color w:val="000000"/>
        </w:rPr>
        <w:t>. Genotypes are divided into subgenotypes due to the significant variability of the nucleotide sequences</w:t>
      </w:r>
      <w:r>
        <w:rPr>
          <w:rFonts w:ascii="Book Antiqua" w:hAnsi="Book Antiqua" w:eastAsia="Book Antiqua" w:cs="Book Antiqua"/>
          <w:color w:val="000000"/>
          <w:vertAlign w:val="superscript"/>
        </w:rPr>
        <w:t>[34]</w:t>
      </w:r>
      <w:r>
        <w:rPr>
          <w:rFonts w:ascii="Book Antiqua" w:hAnsi="Book Antiqua" w:eastAsia="Book Antiqua" w:cs="Book Antiqua"/>
          <w:color w:val="000000"/>
        </w:rPr>
        <w:t>. They are based on a more than 4% difference along the entire genome. In addition, HBV genotypes and subgenotypes are related by geographical distribution, and also related to the pathogenesis and outcome of HBV infection (Table 3)</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 HBV genome has 3.2</w:t>
      </w:r>
      <w:r>
        <w:rPr>
          <w:rFonts w:ascii="Book Antiqua" w:hAnsi="Book Antiqua" w:cs="Book Antiqua"/>
          <w:color w:val="000000"/>
          <w:lang w:eastAsia="zh-CN"/>
        </w:rPr>
        <w:t xml:space="preserve"> </w:t>
      </w:r>
      <w:r>
        <w:rPr>
          <w:rFonts w:ascii="Book Antiqua" w:hAnsi="Book Antiqua" w:eastAsia="Book Antiqua" w:cs="Book Antiqua"/>
          <w:color w:val="000000"/>
        </w:rPr>
        <w:t>kb long, relaxed circular, partially double-stranded DNA (rcDNA)</w:t>
      </w:r>
      <w:r>
        <w:rPr>
          <w:rFonts w:ascii="Book Antiqua" w:hAnsi="Book Antiqua" w:eastAsia="Book Antiqua" w:cs="Book Antiqua"/>
          <w:color w:val="000000"/>
          <w:vertAlign w:val="superscript"/>
        </w:rPr>
        <w:t>[36]</w:t>
      </w:r>
      <w:r>
        <w:rPr>
          <w:rFonts w:ascii="Book Antiqua" w:hAnsi="Book Antiqua" w:eastAsia="Book Antiqua" w:cs="Book Antiqua"/>
          <w:color w:val="000000"/>
        </w:rPr>
        <w:t>. The minus strand is complete, while the plus strand is regularly incomplete with a stable 5</w:t>
      </w:r>
      <w:r>
        <w:rPr>
          <w:rFonts w:ascii="Book Antiqua" w:hAnsi="Book Antiqua" w:cs="Book Antiqua"/>
          <w:color w:val="000000"/>
          <w:lang w:eastAsia="zh-CN"/>
        </w:rPr>
        <w:t>’</w:t>
      </w:r>
      <w:r>
        <w:rPr>
          <w:rFonts w:ascii="Book Antiqua" w:hAnsi="Book Antiqua" w:eastAsia="Book Antiqua" w:cs="Book Antiqua"/>
          <w:color w:val="000000"/>
        </w:rPr>
        <w:t xml:space="preserve"> end, but an inconsistent 3’ end. The 5’ end of the plus strand is covalently linked to the RNA with a 5’ cap formation. In addition, the viral polymerase (reverse transcriptase) is covalently bound to the 5’ end of the minus strand</w:t>
      </w:r>
      <w:r>
        <w:rPr>
          <w:rFonts w:ascii="Book Antiqua" w:hAnsi="Book Antiqua" w:eastAsia="Book Antiqua" w:cs="Book Antiqua"/>
          <w:color w:val="000000"/>
          <w:vertAlign w:val="superscript"/>
        </w:rPr>
        <w:t>[36,37]</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Linear DNA is the direct precursor of viral DNA that is randomly incorporated into the hepatocytes’ DNA throughout infection. Incorporated DNA has no role in virus replication</w:t>
      </w:r>
      <w:r>
        <w:rPr>
          <w:rFonts w:ascii="Book Antiqua" w:hAnsi="Book Antiqua" w:eastAsia="Book Antiqua" w:cs="Book Antiqua"/>
          <w:color w:val="000000"/>
          <w:vertAlign w:val="superscript"/>
        </w:rPr>
        <w:t>[37,38]</w:t>
      </w:r>
      <w:r>
        <w:rPr>
          <w:rFonts w:ascii="Book Antiqua" w:hAnsi="Book Antiqua" w:eastAsia="Book Antiqua" w:cs="Book Antiqua"/>
          <w:color w:val="000000"/>
        </w:rPr>
        <w:t>. The HBV genome is highly compact, with four open reading frames (ORFs) overlapping multiple times and encoding seven proteins</w:t>
      </w:r>
      <w:r>
        <w:rPr>
          <w:rFonts w:ascii="Book Antiqua" w:hAnsi="Book Antiqua" w:eastAsia="Book Antiqua" w:cs="Book Antiqua"/>
          <w:color w:val="000000"/>
          <w:vertAlign w:val="superscript"/>
        </w:rPr>
        <w:t>[39]</w:t>
      </w:r>
      <w:r>
        <w:rPr>
          <w:rFonts w:ascii="Book Antiqua" w:hAnsi="Book Antiqua" w:eastAsia="Book Antiqua" w:cs="Book Antiqua"/>
          <w:color w:val="000000"/>
        </w:rPr>
        <w:t>. All ORFs are identical orientations and encoded by the negative strand of DNA</w:t>
      </w:r>
      <w:r>
        <w:rPr>
          <w:rFonts w:ascii="Book Antiqua" w:hAnsi="Book Antiqua" w:eastAsia="Book Antiqua" w:cs="Book Antiqua"/>
          <w:color w:val="000000"/>
          <w:vertAlign w:val="superscript"/>
        </w:rPr>
        <w:t>[40]</w:t>
      </w:r>
      <w:r>
        <w:rPr>
          <w:rFonts w:ascii="Book Antiqua" w:hAnsi="Book Antiqua" w:eastAsia="Book Antiqua" w:cs="Book Antiqua"/>
          <w:color w:val="000000"/>
        </w:rPr>
        <w:t>. Thanks to the ORFs, the coding capacity increases, and DNA is transcribed one and a half to two times because there is no stop codon</w:t>
      </w:r>
      <w:r>
        <w:rPr>
          <w:rFonts w:ascii="Book Antiqua" w:hAnsi="Book Antiqua" w:eastAsia="Book Antiqua" w:cs="Book Antiqua"/>
          <w:color w:val="000000"/>
          <w:vertAlign w:val="superscript"/>
        </w:rPr>
        <w:t>[41]</w:t>
      </w:r>
      <w:r>
        <w:rPr>
          <w:rFonts w:ascii="Book Antiqua" w:hAnsi="Book Antiqua" w:eastAsia="Book Antiqua" w:cs="Book Antiqua"/>
          <w:color w:val="000000"/>
        </w:rPr>
        <w:t>. In addition to ORF, there are six start codons, four promoters, and two transcription enhancers</w:t>
      </w:r>
      <w:r>
        <w:rPr>
          <w:rFonts w:ascii="Book Antiqua" w:hAnsi="Book Antiqua" w:eastAsia="Book Antiqua" w:cs="Book Antiqua"/>
          <w:color w:val="000000"/>
          <w:vertAlign w:val="superscript"/>
        </w:rPr>
        <w:t>[42]</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ORF C encodes the nuclear core antigen HBc and envelope E antigen (HBe)</w:t>
      </w:r>
      <w:r>
        <w:rPr>
          <w:rFonts w:ascii="Book Antiqua" w:hAnsi="Book Antiqua" w:eastAsia="Book Antiqua" w:cs="Book Antiqua"/>
          <w:color w:val="000000"/>
          <w:vertAlign w:val="superscript"/>
        </w:rPr>
        <w:t>[39]</w:t>
      </w:r>
      <w:r>
        <w:rPr>
          <w:rFonts w:ascii="Book Antiqua" w:hAnsi="Book Antiqua" w:eastAsia="Book Antiqua" w:cs="Book Antiqua"/>
          <w:color w:val="000000"/>
        </w:rPr>
        <w:t>. The precore protein in serum indicates active virus replication</w:t>
      </w:r>
      <w:r>
        <w:rPr>
          <w:rFonts w:ascii="Book Antiqua" w:hAnsi="Book Antiqua" w:eastAsia="Book Antiqua" w:cs="Book Antiqua"/>
          <w:color w:val="000000"/>
          <w:vertAlign w:val="superscript"/>
        </w:rPr>
        <w:t>[43]</w:t>
      </w:r>
      <w:r>
        <w:rPr>
          <w:rFonts w:ascii="Book Antiqua" w:hAnsi="Book Antiqua" w:eastAsia="Book Antiqua" w:cs="Book Antiqua"/>
          <w:color w:val="000000"/>
        </w:rPr>
        <w:t>. The presence of HBeAg in serum suggests prevented or decreased virus replication. HBeAg can repress the cellular immune response to HBsAg, thereby reducing perinatal transmission and promoting chronic infection</w:t>
      </w:r>
      <w:r>
        <w:rPr>
          <w:rFonts w:ascii="Book Antiqua" w:hAnsi="Book Antiqua" w:eastAsia="Book Antiqua" w:cs="Book Antiqua"/>
          <w:color w:val="000000"/>
          <w:vertAlign w:val="superscript"/>
        </w:rPr>
        <w:t>[37,44]</w:t>
      </w:r>
      <w:r>
        <w:rPr>
          <w:rFonts w:ascii="Book Antiqua" w:hAnsi="Book Antiqua" w:eastAsia="Book Antiqua" w:cs="Book Antiqua"/>
          <w:color w:val="000000"/>
        </w:rPr>
        <w:t>. The longest ORF is the P gene, encoding most of the virus genome (80%) and viral polymerase (reverse transcriptase)</w:t>
      </w:r>
      <w:r>
        <w:rPr>
          <w:rFonts w:ascii="Book Antiqua" w:hAnsi="Book Antiqua" w:eastAsia="Book Antiqua" w:cs="Book Antiqua"/>
          <w:color w:val="000000"/>
          <w:vertAlign w:val="superscript"/>
        </w:rPr>
        <w:t>[45]</w:t>
      </w:r>
      <w:r>
        <w:rPr>
          <w:rFonts w:ascii="Book Antiqua" w:hAnsi="Book Antiqua" w:eastAsia="Book Antiqua" w:cs="Book Antiqua"/>
          <w:color w:val="000000"/>
        </w:rPr>
        <w:t>. The ORF X encoding hepatitis B protein X (HBx) activates viral RNA transcription</w:t>
      </w:r>
      <w:r>
        <w:rPr>
          <w:rFonts w:ascii="Book Antiqua" w:hAnsi="Book Antiqua" w:eastAsia="Book Antiqua" w:cs="Book Antiqua"/>
          <w:color w:val="000000"/>
          <w:vertAlign w:val="superscript"/>
        </w:rPr>
        <w:t>[37,38]</w:t>
      </w:r>
      <w:r>
        <w:rPr>
          <w:rFonts w:ascii="Book Antiqua" w:hAnsi="Book Antiqua" w:eastAsia="Book Antiqua" w:cs="Book Antiqua"/>
          <w:color w:val="000000"/>
        </w:rPr>
        <w:t>. HBx causes the progression of the cell cycle and is essential for activating the transcription of covalently closed circular DNA (cccDNA) and pregenomic RNA (pgRNA) after infection</w:t>
      </w:r>
      <w:r>
        <w:rPr>
          <w:rFonts w:ascii="Book Antiqua" w:hAnsi="Book Antiqua" w:eastAsia="Book Antiqua" w:cs="Book Antiqua"/>
          <w:color w:val="000000"/>
          <w:vertAlign w:val="superscript"/>
        </w:rPr>
        <w:t>[37]</w:t>
      </w:r>
      <w:r>
        <w:rPr>
          <w:rFonts w:ascii="Book Antiqua" w:hAnsi="Book Antiqua" w:eastAsia="Book Antiqua" w:cs="Book Antiqua"/>
          <w:color w:val="000000"/>
        </w:rPr>
        <w:t>. ORF S codes three different sizes of the surface S antigen (S</w:t>
      </w:r>
      <w:r>
        <w:rPr>
          <w:rFonts w:ascii="Book Antiqua" w:hAnsi="Book Antiqua" w:cs="Book Antiqua"/>
          <w:color w:val="000000"/>
          <w:lang w:eastAsia="zh-CN"/>
        </w:rPr>
        <w:t>-</w:t>
      </w:r>
      <w:r>
        <w:rPr>
          <w:rFonts w:ascii="Book Antiqua" w:hAnsi="Book Antiqua" w:eastAsia="Book Antiqua" w:cs="Book Antiqua"/>
          <w:color w:val="000000"/>
        </w:rPr>
        <w:t>small, M</w:t>
      </w:r>
      <w:r>
        <w:rPr>
          <w:rFonts w:ascii="Book Antiqua" w:hAnsi="Book Antiqua" w:cs="Book Antiqua"/>
          <w:color w:val="000000"/>
          <w:lang w:eastAsia="zh-CN"/>
        </w:rPr>
        <w:t>-</w:t>
      </w:r>
      <w:r>
        <w:rPr>
          <w:rFonts w:ascii="Book Antiqua" w:hAnsi="Book Antiqua" w:eastAsia="Book Antiqua" w:cs="Book Antiqua"/>
          <w:color w:val="000000"/>
        </w:rPr>
        <w:t>medium, and L</w:t>
      </w:r>
      <w:r>
        <w:rPr>
          <w:rFonts w:ascii="Book Antiqua" w:hAnsi="Book Antiqua" w:cs="Book Antiqua"/>
          <w:color w:val="000000"/>
          <w:lang w:eastAsia="zh-CN"/>
        </w:rPr>
        <w:t>-</w:t>
      </w:r>
      <w:r>
        <w:rPr>
          <w:rFonts w:ascii="Book Antiqua" w:hAnsi="Book Antiqua" w:eastAsia="Book Antiqua" w:cs="Book Antiqua"/>
          <w:color w:val="000000"/>
        </w:rPr>
        <w:t>large HBs)</w:t>
      </w:r>
      <w:r>
        <w:rPr>
          <w:rFonts w:ascii="Book Antiqua" w:hAnsi="Book Antiqua" w:eastAsia="Book Antiqua" w:cs="Book Antiqua"/>
          <w:color w:val="000000"/>
          <w:vertAlign w:val="superscript"/>
        </w:rPr>
        <w:t>[46]</w:t>
      </w:r>
      <w:r>
        <w:rPr>
          <w:rFonts w:ascii="Book Antiqua" w:hAnsi="Book Antiqua" w:eastAsia="Book Antiqua" w:cs="Book Antiqua"/>
          <w:color w:val="000000"/>
        </w:rPr>
        <w:t>. The M- and L-HBs have additional PreS2 and PreS1 domains</w:t>
      </w:r>
      <w:r>
        <w:rPr>
          <w:rFonts w:ascii="Book Antiqua" w:hAnsi="Book Antiqua" w:eastAsia="Book Antiqua" w:cs="Book Antiqua"/>
          <w:color w:val="000000"/>
          <w:vertAlign w:val="superscript"/>
        </w:rPr>
        <w:t>[39]</w:t>
      </w:r>
      <w:r>
        <w:rPr>
          <w:rFonts w:ascii="Book Antiqua" w:hAnsi="Book Antiqua" w:eastAsia="Book Antiqua" w:cs="Book Antiqua"/>
          <w:color w:val="000000"/>
        </w:rPr>
        <w:t>. The PreS1 region, present in L-HBsAg, possesses a binding domain for the sodium taurocholate co-transporting polypeptide (NTCP) receptors, essential for viral internalization</w:t>
      </w:r>
      <w:r>
        <w:rPr>
          <w:rFonts w:ascii="Book Antiqua" w:hAnsi="Book Antiqua" w:eastAsia="Book Antiqua" w:cs="Book Antiqua"/>
          <w:color w:val="000000"/>
          <w:vertAlign w:val="superscript"/>
        </w:rPr>
        <w:t>[37,47]</w:t>
      </w:r>
      <w:r>
        <w:rPr>
          <w:rFonts w:ascii="Book Antiqua" w:hAnsi="Book Antiqua" w:eastAsia="Book Antiqua" w:cs="Book Antiqua"/>
          <w:color w:val="000000"/>
        </w:rPr>
        <w:t>. HBsAg are embedded in the outer lipid envelope, and the inner nucleocapsid structure contains the DNA genome, HBcAg, and viral polymerase (reverse transcriptase)</w:t>
      </w:r>
      <w:r>
        <w:rPr>
          <w:rFonts w:ascii="Book Antiqua" w:hAnsi="Book Antiqua" w:eastAsia="Book Antiqua" w:cs="Book Antiqua"/>
          <w:color w:val="000000"/>
          <w:vertAlign w:val="superscript"/>
        </w:rPr>
        <w:t>[48]</w:t>
      </w:r>
      <w:r>
        <w:rPr>
          <w:rFonts w:ascii="Book Antiqua" w:hAnsi="Book Antiqua" w:eastAsia="Book Antiqua" w:cs="Book Antiqua"/>
          <w:color w:val="000000"/>
        </w:rPr>
        <w:t>. In addition, HbeAg is between the nucleus and the outer shell</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 xml:space="preserve">HBV replicates in hepatocytes </w:t>
      </w:r>
      <w:r>
        <w:rPr>
          <w:rFonts w:ascii="Book Antiqua" w:hAnsi="Book Antiqua" w:eastAsia="Book Antiqua" w:cs="Book Antiqua"/>
          <w:i/>
          <w:iCs/>
          <w:color w:val="000000"/>
        </w:rPr>
        <w:t>via</w:t>
      </w:r>
      <w:r>
        <w:rPr>
          <w:rFonts w:ascii="Book Antiqua" w:hAnsi="Book Antiqua" w:eastAsia="Book Antiqua" w:cs="Book Antiqua"/>
          <w:color w:val="000000"/>
        </w:rPr>
        <w:t xml:space="preserve"> pgRNA (Figure 1)</w:t>
      </w:r>
      <w:r>
        <w:rPr>
          <w:rFonts w:ascii="Book Antiqua" w:hAnsi="Book Antiqua" w:eastAsia="Book Antiqua" w:cs="Book Antiqua"/>
          <w:color w:val="000000"/>
          <w:vertAlign w:val="superscript"/>
        </w:rPr>
        <w:t>[35]</w:t>
      </w:r>
      <w:r>
        <w:rPr>
          <w:rFonts w:ascii="Book Antiqua" w:hAnsi="Book Antiqua" w:eastAsia="Book Antiqua" w:cs="Book Antiqua"/>
          <w:color w:val="000000"/>
        </w:rPr>
        <w:t>. The entry of the virus into the hepatocyte is the first step in its life cycle</w:t>
      </w:r>
      <w:r>
        <w:rPr>
          <w:rFonts w:ascii="Book Antiqua" w:hAnsi="Book Antiqua" w:eastAsia="Book Antiqua" w:cs="Book Antiqua"/>
          <w:color w:val="000000"/>
          <w:vertAlign w:val="superscript"/>
        </w:rPr>
        <w:t>[50]</w:t>
      </w:r>
      <w:r>
        <w:rPr>
          <w:rFonts w:ascii="Book Antiqua" w:hAnsi="Book Antiqua" w:eastAsia="Book Antiqua" w:cs="Book Antiqua"/>
          <w:color w:val="000000"/>
        </w:rPr>
        <w:t>. After the virus enters the liver, S-HBsAg recognizes heparan sulfate proteoglycans (HSPG) on the hepatocytes, and binds them with low affinity</w:t>
      </w:r>
      <w:r>
        <w:rPr>
          <w:rFonts w:ascii="Book Antiqua" w:hAnsi="Book Antiqua" w:eastAsia="Book Antiqua" w:cs="Book Antiqua"/>
          <w:color w:val="000000"/>
          <w:vertAlign w:val="superscript"/>
        </w:rPr>
        <w:t>[51]</w:t>
      </w:r>
      <w:r>
        <w:rPr>
          <w:rFonts w:ascii="Book Antiqua" w:hAnsi="Book Antiqua" w:eastAsia="Book Antiqua" w:cs="Book Antiqua"/>
          <w:color w:val="000000"/>
        </w:rPr>
        <w:t>. A high-affinity interaction between the PreS1 region of the L-HBs protein and NTCP follows</w:t>
      </w:r>
      <w:r>
        <w:rPr>
          <w:rFonts w:ascii="Book Antiqua" w:hAnsi="Book Antiqua" w:eastAsia="Book Antiqua" w:cs="Book Antiqua"/>
          <w:color w:val="000000"/>
          <w:vertAlign w:val="superscript"/>
        </w:rPr>
        <w:t>[52]</w:t>
      </w:r>
      <w:r>
        <w:rPr>
          <w:rFonts w:ascii="Book Antiqua" w:hAnsi="Book Antiqua" w:eastAsia="Book Antiqua" w:cs="Book Antiqua"/>
          <w:color w:val="000000"/>
        </w:rPr>
        <w:t>. Later, the virus envelope and the hepatocytes’ membrane merge, releasing the nucleocapsid into the cytoplasm</w:t>
      </w:r>
      <w:r>
        <w:rPr>
          <w:rFonts w:ascii="Book Antiqua" w:hAnsi="Book Antiqua" w:eastAsia="Book Antiqua" w:cs="Book Antiqua"/>
          <w:color w:val="000000"/>
          <w:vertAlign w:val="superscript"/>
        </w:rPr>
        <w:t>[53]</w:t>
      </w:r>
      <w:r>
        <w:rPr>
          <w:rFonts w:ascii="Book Antiqua" w:hAnsi="Book Antiqua" w:eastAsia="Book Antiqua" w:cs="Book Antiqua"/>
          <w:color w:val="000000"/>
        </w:rPr>
        <w:t>. After the capsid shell is removed, the viral genome is transferred to the nucleus. As a result, viral DNA enters the nucleus of the hepatocytes. The relaxed circular (rc) genome is restored, resulting in cccDNA</w:t>
      </w:r>
      <w:r>
        <w:rPr>
          <w:rFonts w:ascii="Book Antiqua" w:hAnsi="Book Antiqua" w:eastAsia="Book Antiqua" w:cs="Book Antiqua"/>
          <w:color w:val="000000"/>
          <w:vertAlign w:val="superscript"/>
        </w:rPr>
        <w:t>[54]</w:t>
      </w:r>
      <w:r>
        <w:rPr>
          <w:rFonts w:ascii="Book Antiqua" w:hAnsi="Book Antiqua" w:eastAsia="Book Antiqua" w:cs="Book Antiqua"/>
          <w:color w:val="000000"/>
        </w:rPr>
        <w:t>. Viral DNA can be integrated into the hepatocytes’ DNA, and is a constant HBsAg source</w:t>
      </w:r>
      <w:r>
        <w:rPr>
          <w:rFonts w:ascii="Book Antiqua" w:hAnsi="Book Antiqua" w:eastAsia="Book Antiqua" w:cs="Book Antiqua"/>
          <w:color w:val="000000"/>
          <w:vertAlign w:val="superscript"/>
        </w:rPr>
        <w:t>[55]</w:t>
      </w:r>
      <w:r>
        <w:rPr>
          <w:rFonts w:ascii="Book Antiqua" w:hAnsi="Book Antiqua" w:eastAsia="Book Antiqua" w:cs="Book Antiqua"/>
          <w:color w:val="000000"/>
        </w:rPr>
        <w:t>. The cccDNA is a template for pgRNA production and the transcription of all viral mRNAs</w:t>
      </w:r>
      <w:r>
        <w:rPr>
          <w:rFonts w:ascii="Book Antiqua" w:hAnsi="Book Antiqua" w:eastAsia="Book Antiqua" w:cs="Book Antiqua"/>
          <w:color w:val="000000"/>
          <w:vertAlign w:val="superscript"/>
        </w:rPr>
        <w:t>[37]</w:t>
      </w:r>
      <w:r>
        <w:rPr>
          <w:rFonts w:ascii="Book Antiqua" w:hAnsi="Book Antiqua" w:eastAsia="Book Antiqua" w:cs="Book Antiqua"/>
          <w:color w:val="000000"/>
        </w:rPr>
        <w:t>. On this basis, cccDNA in the hepatocytes can stimulate virus replication</w:t>
      </w:r>
      <w:r>
        <w:rPr>
          <w:rFonts w:ascii="Book Antiqua" w:hAnsi="Book Antiqua" w:eastAsia="Book Antiqua" w:cs="Book Antiqua"/>
          <w:color w:val="000000"/>
          <w:vertAlign w:val="superscript"/>
        </w:rPr>
        <w:t>[56]</w:t>
      </w:r>
      <w:r>
        <w:rPr>
          <w:rFonts w:ascii="Book Antiqua" w:hAnsi="Book Antiqua" w:eastAsia="Book Antiqua" w:cs="Book Antiqua"/>
          <w:color w:val="000000"/>
        </w:rPr>
        <w:t>. The cccDNA is associated with cellular histones and forms a minichromosome. Each viral protein has a promoter and mRNA, except for reverse transcriptase, translated from the same pgRNA as the virus core protein</w:t>
      </w:r>
      <w:r>
        <w:rPr>
          <w:rFonts w:ascii="Book Antiqua" w:hAnsi="Book Antiqua" w:eastAsia="Book Antiqua" w:cs="Book Antiqua"/>
          <w:color w:val="000000"/>
          <w:vertAlign w:val="superscript"/>
        </w:rPr>
        <w:t>[37,44]</w:t>
      </w:r>
      <w:r>
        <w:rPr>
          <w:rFonts w:ascii="Book Antiqua" w:hAnsi="Book Antiqua" w:eastAsia="Book Antiqua" w:cs="Book Antiqua"/>
          <w:color w:val="000000"/>
        </w:rPr>
        <w:t>. The onset of infection is indicated by the expression of core proteins and polymerase from pgRNA. HBc is a phosphoprotein and a subunit of the viral nucleocapsid. The core proteins are constructed into nucleocapsids, icosahedral shells of 120 dimers</w:t>
      </w:r>
      <w:r>
        <w:rPr>
          <w:rFonts w:ascii="Book Antiqua" w:hAnsi="Book Antiqua" w:eastAsia="Book Antiqua" w:cs="Book Antiqua"/>
          <w:color w:val="000000"/>
          <w:vertAlign w:val="superscript"/>
        </w:rPr>
        <w:t>[57]</w:t>
      </w:r>
      <w:r>
        <w:rPr>
          <w:rFonts w:ascii="Book Antiqua" w:hAnsi="Book Antiqua" w:eastAsia="Book Antiqua" w:cs="Book Antiqua"/>
          <w:color w:val="000000"/>
        </w:rPr>
        <w:t>. They merge with RNA and are assembled into core particles. Viral DNA synthesis takes place in the core particles, followed by packaging of pgRNA and polymerase</w:t>
      </w:r>
      <w:r>
        <w:rPr>
          <w:rFonts w:ascii="Book Antiqua" w:hAnsi="Book Antiqua" w:eastAsia="Book Antiqua" w:cs="Book Antiqua"/>
          <w:color w:val="000000"/>
          <w:vertAlign w:val="superscript"/>
        </w:rPr>
        <w:t>[37,47]</w:t>
      </w:r>
      <w:r>
        <w:rPr>
          <w:rFonts w:ascii="Book Antiqua" w:hAnsi="Book Antiqua" w:eastAsia="Book Antiqua" w:cs="Book Antiqua"/>
          <w:color w:val="000000"/>
        </w:rPr>
        <w:t>. Upon completing viral DNA synthesis by reverse transcription, viral particles can exit the hepatocytes in two ways. First, while envelope protein levels are low, core particles recycle and enter the nucleus, resulting in the replenishment of cccDNA</w:t>
      </w:r>
      <w:r>
        <w:rPr>
          <w:rFonts w:ascii="Book Antiqua" w:hAnsi="Book Antiqua" w:eastAsia="Book Antiqua" w:cs="Book Antiqua"/>
          <w:color w:val="000000"/>
          <w:vertAlign w:val="superscript"/>
        </w:rPr>
        <w:t>[37,39]</w:t>
      </w:r>
      <w:r>
        <w:rPr>
          <w:rFonts w:ascii="Book Antiqua" w:hAnsi="Book Antiqua" w:eastAsia="Book Antiqua" w:cs="Book Antiqua"/>
          <w:color w:val="000000"/>
        </w:rPr>
        <w:t>. Later, the core particles gather with the envelope proteins in the endoplasmic reticulum, enter the secretory pathway, and are discharged from hepatocytes into the blood</w:t>
      </w:r>
      <w:r>
        <w:rPr>
          <w:rFonts w:ascii="Book Antiqua" w:hAnsi="Book Antiqua" w:eastAsia="Book Antiqua" w:cs="Book Antiqua"/>
          <w:color w:val="000000"/>
          <w:vertAlign w:val="superscript"/>
        </w:rPr>
        <w:t>[58]</w:t>
      </w:r>
      <w:r>
        <w:rPr>
          <w:rFonts w:ascii="Book Antiqua" w:hAnsi="Book Antiqua" w:eastAsia="Book Antiqua" w:cs="Book Antiqua"/>
          <w:color w:val="000000"/>
        </w:rPr>
        <w:t>. In addition to infectious virions (Dane particles), incomplete subviral particles are secreted by secretory pathways (such as spheres and filaments lacking nucleocapsid proteins and naked nucleocapsids)</w:t>
      </w:r>
      <w:r>
        <w:rPr>
          <w:rFonts w:ascii="Book Antiqua" w:hAnsi="Book Antiqua" w:eastAsia="Book Antiqua" w:cs="Book Antiqua"/>
          <w:color w:val="000000"/>
          <w:vertAlign w:val="superscript"/>
        </w:rPr>
        <w:t>[59]</w:t>
      </w:r>
      <w:r>
        <w:rPr>
          <w:rFonts w:ascii="Book Antiqua" w:hAnsi="Book Antiqua" w:eastAsia="Book Antiqua" w:cs="Book Antiqua"/>
          <w:color w:val="000000"/>
        </w:rPr>
        <w:t>. The virus emerges on the surface of the hepatocytes by budding, and can thus infect another cell</w:t>
      </w:r>
      <w:r>
        <w:rPr>
          <w:rFonts w:ascii="Book Antiqua" w:hAnsi="Book Antiqua" w:eastAsia="Book Antiqua" w:cs="Book Antiqua"/>
          <w:color w:val="000000"/>
          <w:vertAlign w:val="superscript"/>
        </w:rPr>
        <w:t>[52]</w:t>
      </w:r>
      <w:r>
        <w:rPr>
          <w:rFonts w:ascii="Book Antiqua" w:hAnsi="Book Antiqua" w:eastAsia="Book Antiqua" w:cs="Book Antiqua"/>
          <w:color w:val="000000"/>
        </w:rPr>
        <w:t>. Once created in the cell nucleus, the cccDNA minichromosome is very difficult to eliminate from infected cells, where it can survive until the death of the host cell</w:t>
      </w:r>
      <w:r>
        <w:rPr>
          <w:rFonts w:ascii="Book Antiqua" w:hAnsi="Book Antiqua" w:eastAsia="Book Antiqua" w:cs="Book Antiqua"/>
          <w:color w:val="000000"/>
          <w:vertAlign w:val="superscript"/>
        </w:rPr>
        <w:t>[56]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CIRCADIAN RHYTHM</w:t>
      </w:r>
    </w:p>
    <w:p>
      <w:pPr>
        <w:spacing w:line="360" w:lineRule="auto"/>
        <w:jc w:val="both"/>
        <w:rPr>
          <w:rFonts w:ascii="Book Antiqua" w:hAnsi="Book Antiqua"/>
        </w:rPr>
      </w:pPr>
      <w:r>
        <w:rPr>
          <w:rFonts w:ascii="Book Antiqua" w:hAnsi="Book Antiqua" w:eastAsia="Book Antiqua" w:cs="Book Antiqua"/>
          <w:color w:val="000000"/>
        </w:rPr>
        <w:t xml:space="preserve">The molecular basis of the circadian rhythm includes transcriptional and translocation feedback loops. In addition, the circadian rhythm is driven by the circadian locomotor output cycles kaput (CLOCK), and brain and muscle ARNTL-like protein 1 (BMAL1 or ARNTL) transcription factors. In contrast, transcription repressors are period (PER) and cryptochrome (CRY) transcription factors. The central transcription factors that make up the activation and positive part of the molecular clock are BMAL1 and CLOCK. The heterodimer CLOCK-BMAL1 enters the nucleus, where it initiates transcription by binding to a specific sequence, the E-box, in promoters of the target genes. CLOCK’s main downstream goals include </w:t>
      </w:r>
      <w:r>
        <w:rPr>
          <w:rFonts w:ascii="Book Antiqua" w:hAnsi="Book Antiqua" w:eastAsia="Book Antiqua" w:cs="Book Antiqua"/>
          <w:i/>
          <w:iCs/>
          <w:color w:val="000000"/>
        </w:rPr>
        <w:t>BMAL1</w:t>
      </w:r>
      <w:r>
        <w:rPr>
          <w:rFonts w:ascii="Book Antiqua" w:hAnsi="Book Antiqua" w:eastAsia="Book Antiqua" w:cs="Book Antiqua"/>
          <w:color w:val="000000"/>
        </w:rPr>
        <w:t xml:space="preserve"> and its repressors, cryptochrome (</w:t>
      </w:r>
      <w:r>
        <w:rPr>
          <w:rFonts w:ascii="Book Antiqua" w:hAnsi="Book Antiqua" w:eastAsia="Book Antiqua" w:cs="Book Antiqua"/>
          <w:i/>
          <w:iCs/>
          <w:color w:val="000000"/>
        </w:rPr>
        <w:t>CRY1</w:t>
      </w:r>
      <w:r>
        <w:rPr>
          <w:rFonts w:ascii="Book Antiqua" w:hAnsi="Book Antiqua" w:eastAsia="Book Antiqua" w:cs="Book Antiqua"/>
          <w:color w:val="000000"/>
        </w:rPr>
        <w:t xml:space="preserve">, </w:t>
      </w:r>
      <w:r>
        <w:rPr>
          <w:rFonts w:ascii="Book Antiqua" w:hAnsi="Book Antiqua" w:eastAsia="Book Antiqua" w:cs="Book Antiqua"/>
          <w:i/>
          <w:iCs/>
          <w:color w:val="000000"/>
        </w:rPr>
        <w:t>CRY2</w:t>
      </w:r>
      <w:r>
        <w:rPr>
          <w:rFonts w:ascii="Book Antiqua" w:hAnsi="Book Antiqua" w:eastAsia="Book Antiqua" w:cs="Book Antiqua"/>
          <w:color w:val="000000"/>
        </w:rPr>
        <w:t>), and period (</w:t>
      </w:r>
      <w:r>
        <w:rPr>
          <w:rFonts w:ascii="Book Antiqua" w:hAnsi="Book Antiqua" w:eastAsia="Book Antiqua" w:cs="Book Antiqua"/>
          <w:i/>
          <w:iCs/>
          <w:color w:val="000000"/>
        </w:rPr>
        <w:t>PER1</w:t>
      </w:r>
      <w:r>
        <w:rPr>
          <w:rFonts w:ascii="Book Antiqua" w:hAnsi="Book Antiqua" w:eastAsia="Book Antiqua" w:cs="Book Antiqua"/>
          <w:color w:val="000000"/>
        </w:rPr>
        <w:t xml:space="preserve">, </w:t>
      </w:r>
      <w:r>
        <w:rPr>
          <w:rFonts w:ascii="Book Antiqua" w:hAnsi="Book Antiqua" w:eastAsia="Book Antiqua" w:cs="Book Antiqua"/>
          <w:i/>
          <w:iCs/>
          <w:color w:val="000000"/>
        </w:rPr>
        <w:t>PER2</w:t>
      </w:r>
      <w:r>
        <w:rPr>
          <w:rFonts w:ascii="Book Antiqua" w:hAnsi="Book Antiqua" w:eastAsia="Book Antiqua" w:cs="Book Antiqua"/>
          <w:color w:val="000000"/>
        </w:rPr>
        <w:t xml:space="preserve">, and </w:t>
      </w:r>
      <w:r>
        <w:rPr>
          <w:rFonts w:ascii="Book Antiqua" w:hAnsi="Book Antiqua" w:eastAsia="Book Antiqua" w:cs="Book Antiqua"/>
          <w:i/>
          <w:iCs/>
          <w:color w:val="000000"/>
        </w:rPr>
        <w:t>PER3</w:t>
      </w:r>
      <w:r>
        <w:rPr>
          <w:rFonts w:ascii="Book Antiqua" w:hAnsi="Book Antiqua" w:eastAsia="Book Antiqua" w:cs="Book Antiqua"/>
          <w:color w:val="000000"/>
        </w:rPr>
        <w:t>) and multiple CCG</w:t>
      </w:r>
      <w:r>
        <w:rPr>
          <w:rFonts w:ascii="Book Antiqua" w:hAnsi="Book Antiqua" w:eastAsia="Book Antiqua" w:cs="Book Antiqua"/>
          <w:color w:val="000000"/>
          <w:vertAlign w:val="superscript"/>
        </w:rPr>
        <w:t>[60]</w:t>
      </w:r>
      <w:r>
        <w:rPr>
          <w:rFonts w:ascii="Book Antiqua" w:hAnsi="Book Antiqua" w:eastAsia="Book Antiqua" w:cs="Book Antiqua"/>
          <w:color w:val="000000"/>
        </w:rPr>
        <w:t>. CRYs and PERs accumulate during the positive loop in the cytoplasm. They are controlled by F-box/LRR-repeat protein 3 (FBXL3) and casein kinase 1 (CK1) ε and CK1δ</w:t>
      </w:r>
      <w:r>
        <w:rPr>
          <w:rFonts w:ascii="Book Antiqua" w:hAnsi="Book Antiqua" w:eastAsia="Book Antiqua" w:cs="Book Antiqua"/>
          <w:color w:val="000000"/>
          <w:vertAlign w:val="superscript"/>
        </w:rPr>
        <w:t>[4,61]</w:t>
      </w:r>
      <w:r>
        <w:rPr>
          <w:rFonts w:ascii="Book Antiqua" w:hAnsi="Book Antiqua" w:eastAsia="Book Antiqua" w:cs="Book Antiqua"/>
          <w:color w:val="000000"/>
        </w:rPr>
        <w:t>. CK1ε and CK1δ phosphorylate PERs for degradation, while FBXL3 stimulates CRYs degradation. If CK1ε phosphorylates heterodimer PER-CRY, it enters the nucleus and suppresses the CLOCK-BMAL1 heterodimer. By suppressing their activator, CRYs and PERs suppress their own expression</w:t>
      </w:r>
      <w:r>
        <w:rPr>
          <w:rFonts w:ascii="Book Antiqua" w:hAnsi="Book Antiqua" w:eastAsia="Book Antiqua" w:cs="Book Antiqua"/>
          <w:color w:val="000000"/>
          <w:vertAlign w:val="superscript"/>
        </w:rPr>
        <w:t>[62]</w:t>
      </w:r>
      <w:r>
        <w:rPr>
          <w:rFonts w:ascii="Book Antiqua" w:hAnsi="Book Antiqua" w:eastAsia="Book Antiqua" w:cs="Book Antiqua"/>
          <w:color w:val="000000"/>
        </w:rPr>
        <w:t>. Posttranslational phosphorylation of CRYs and PERs promotes their degradation, which triggers a new circadian cycle, with increased binding of the CLOCK-BMAL1 heterodimer to the E-box of CCG</w:t>
      </w:r>
      <w:r>
        <w:rPr>
          <w:rFonts w:ascii="Book Antiqua" w:hAnsi="Book Antiqua" w:eastAsia="Book Antiqua" w:cs="Book Antiqua"/>
          <w:color w:val="000000"/>
          <w:vertAlign w:val="superscript"/>
        </w:rPr>
        <w:t>[2,63]</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 second regulatory loop includes the retinoic acid receptor-related orphan receptor (</w:t>
      </w:r>
      <w:r>
        <w:rPr>
          <w:rFonts w:ascii="Book Antiqua" w:hAnsi="Book Antiqua" w:eastAsia="Book Antiqua" w:cs="Book Antiqua"/>
          <w:i/>
          <w:iCs/>
          <w:color w:val="000000"/>
        </w:rPr>
        <w:t>ROR</w:t>
      </w:r>
      <w:r>
        <w:rPr>
          <w:rFonts w:ascii="Book Antiqua" w:hAnsi="Book Antiqua" w:eastAsia="Book Antiqua" w:cs="Book Antiqua"/>
          <w:color w:val="000000"/>
        </w:rPr>
        <w:t xml:space="preserve">) α and </w:t>
      </w:r>
      <w:r>
        <w:rPr>
          <w:rFonts w:ascii="Book Antiqua" w:hAnsi="Book Antiqua" w:eastAsia="Book Antiqua" w:cs="Book Antiqua"/>
          <w:i/>
          <w:iCs/>
          <w:color w:val="000000"/>
        </w:rPr>
        <w:t>RORγ,</w:t>
      </w:r>
      <w:r>
        <w:rPr>
          <w:rFonts w:ascii="Book Antiqua" w:hAnsi="Book Antiqua" w:eastAsia="Book Antiqua" w:cs="Book Antiqua"/>
          <w:color w:val="000000"/>
        </w:rPr>
        <w:t xml:space="preserve"> and the </w:t>
      </w:r>
      <w:r>
        <w:rPr>
          <w:rFonts w:ascii="Book Antiqua" w:hAnsi="Book Antiqua" w:eastAsia="Book Antiqua" w:cs="Book Antiqua"/>
          <w:i/>
          <w:iCs/>
          <w:color w:val="000000"/>
        </w:rPr>
        <w:t>REV-ERBα</w:t>
      </w:r>
      <w:r>
        <w:rPr>
          <w:rFonts w:ascii="Book Antiqua" w:hAnsi="Book Antiqua" w:eastAsia="Book Antiqua" w:cs="Book Antiqua"/>
          <w:color w:val="000000"/>
        </w:rPr>
        <w:t xml:space="preserve"> and </w:t>
      </w:r>
      <w:r>
        <w:rPr>
          <w:rFonts w:ascii="Book Antiqua" w:hAnsi="Book Antiqua" w:eastAsia="Book Antiqua" w:cs="Book Antiqua"/>
          <w:i/>
          <w:iCs/>
          <w:color w:val="000000"/>
        </w:rPr>
        <w:t>REV-ERBβ</w:t>
      </w:r>
      <w:r>
        <w:rPr>
          <w:rFonts w:ascii="Book Antiqua" w:hAnsi="Book Antiqua" w:eastAsia="Book Antiqua" w:cs="Book Antiqua"/>
          <w:color w:val="000000"/>
        </w:rPr>
        <w:t xml:space="preserve"> genes. The CLOCK-BMAL1 heterodimer initiates their transcription by binding to the E-box elements of their promoters. RORs and REV-ERBs receptors bind to the ROR element (RORE). REV-ERBα and β inhibit transcription, while RORα and γ stimulate expression of target genes. RORs and REV-ERBs together create cyclic fluctuations in the expression of many CCG, including the regulation of </w:t>
      </w:r>
      <w:r>
        <w:rPr>
          <w:rFonts w:ascii="Book Antiqua" w:hAnsi="Book Antiqua" w:eastAsia="Book Antiqua" w:cs="Book Antiqua"/>
          <w:i/>
          <w:iCs/>
          <w:color w:val="000000"/>
        </w:rPr>
        <w:t>BMAL1</w:t>
      </w:r>
      <w:r>
        <w:rPr>
          <w:rFonts w:ascii="Book Antiqua" w:hAnsi="Book Antiqua" w:eastAsia="Book Antiqua" w:cs="Book Antiqua"/>
          <w:color w:val="000000"/>
        </w:rPr>
        <w:t xml:space="preserve"> transcription</w:t>
      </w:r>
      <w:r>
        <w:rPr>
          <w:rFonts w:ascii="Book Antiqua" w:hAnsi="Book Antiqua" w:eastAsia="Book Antiqua" w:cs="Book Antiqua"/>
          <w:color w:val="000000"/>
          <w:vertAlign w:val="superscript"/>
        </w:rPr>
        <w:t>[6,64]</w:t>
      </w:r>
      <w:r>
        <w:rPr>
          <w:rFonts w:ascii="Book Antiqua" w:hAnsi="Book Antiqua" w:eastAsia="Book Antiqua" w:cs="Book Antiqua"/>
          <w:color w:val="000000"/>
        </w:rPr>
        <w:t xml:space="preserve">. REV-ERBα accumulates rapidly and prevents </w:t>
      </w:r>
      <w:r>
        <w:rPr>
          <w:rFonts w:ascii="Book Antiqua" w:hAnsi="Book Antiqua" w:eastAsia="Book Antiqua" w:cs="Book Antiqua"/>
          <w:i/>
          <w:iCs/>
          <w:color w:val="000000"/>
        </w:rPr>
        <w:t>BMAL1</w:t>
      </w:r>
      <w:r>
        <w:rPr>
          <w:rFonts w:ascii="Book Antiqua" w:hAnsi="Book Antiqua" w:eastAsia="Book Antiqua" w:cs="Book Antiqua"/>
          <w:color w:val="000000"/>
        </w:rPr>
        <w:t xml:space="preserve"> transcription, while RORα accumulates more slowly and promotes </w:t>
      </w:r>
      <w:r>
        <w:rPr>
          <w:rFonts w:ascii="Book Antiqua" w:hAnsi="Book Antiqua" w:eastAsia="Book Antiqua" w:cs="Book Antiqua"/>
          <w:i/>
          <w:iCs/>
          <w:color w:val="000000"/>
        </w:rPr>
        <w:t>BMAL1</w:t>
      </w:r>
      <w:r>
        <w:rPr>
          <w:rFonts w:ascii="Book Antiqua" w:hAnsi="Book Antiqua" w:eastAsia="Book Antiqua" w:cs="Book Antiqua"/>
          <w:color w:val="000000"/>
        </w:rPr>
        <w:t xml:space="preserve"> transcription. In this way, the stability and robustness of the rhythmicity of the internal clock system are enhanced</w:t>
      </w:r>
      <w:r>
        <w:rPr>
          <w:rFonts w:ascii="Book Antiqua" w:hAnsi="Book Antiqua" w:eastAsia="Book Antiqua" w:cs="Book Antiqua"/>
          <w:color w:val="000000"/>
          <w:vertAlign w:val="superscript"/>
        </w:rPr>
        <w:t>[2,63]</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An additional independent feedback loop includes the helix-loop-helix e40 family (DEC1 or BHLHE40) and DEC2 (BHLHE41) that prevent CLOCK-BMAL1 activity</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The CLOCK-BMAL1 heterodimer stimulates the expression of </w:t>
      </w:r>
      <w:r>
        <w:rPr>
          <w:rFonts w:ascii="Book Antiqua" w:hAnsi="Book Antiqua" w:eastAsia="Book Antiqua" w:cs="Book Antiqua"/>
          <w:i/>
          <w:iCs/>
          <w:color w:val="000000"/>
        </w:rPr>
        <w:t>DEC1</w:t>
      </w:r>
      <w:r>
        <w:rPr>
          <w:rFonts w:ascii="Book Antiqua" w:hAnsi="Book Antiqua" w:eastAsia="Book Antiqua" w:cs="Book Antiqua"/>
          <w:color w:val="000000"/>
        </w:rPr>
        <w:t xml:space="preserve"> and </w:t>
      </w:r>
      <w:r>
        <w:rPr>
          <w:rFonts w:ascii="Book Antiqua" w:hAnsi="Book Antiqua" w:eastAsia="Book Antiqua" w:cs="Book Antiqua"/>
          <w:i/>
          <w:iCs/>
          <w:color w:val="000000"/>
        </w:rPr>
        <w:t>DEC2</w:t>
      </w:r>
      <w:r>
        <w:rPr>
          <w:rFonts w:ascii="Book Antiqua" w:hAnsi="Book Antiqua" w:eastAsia="Book Antiqua" w:cs="Book Antiqua"/>
          <w:color w:val="000000"/>
        </w:rPr>
        <w:t xml:space="preserve"> by binding to the E-box of their promoters. Conversely, DECs suppress transcription of genes with E-box elements in the promoter, including transcription of itself and CRYs and PERs, due to its binding to the E-box</w:t>
      </w:r>
      <w:r>
        <w:rPr>
          <w:rFonts w:ascii="Book Antiqua" w:hAnsi="Book Antiqua" w:eastAsia="Book Antiqua" w:cs="Book Antiqua"/>
          <w:color w:val="000000"/>
          <w:vertAlign w:val="superscript"/>
        </w:rPr>
        <w:t>[66]</w:t>
      </w:r>
      <w:r>
        <w:rPr>
          <w:rFonts w:ascii="Book Antiqua" w:hAnsi="Book Antiqua" w:eastAsia="Book Antiqua" w:cs="Book Antiqua"/>
          <w:color w:val="000000"/>
        </w:rPr>
        <w:t>. In addition, the CLOCK-BMAL1 heterodimer affects the expression of other CCG by stimulating D-box binding protein (DBP) transcription, by binding to E-box elements on the promoter</w:t>
      </w:r>
      <w:r>
        <w:rPr>
          <w:rFonts w:ascii="Book Antiqua" w:hAnsi="Book Antiqua" w:eastAsia="Book Antiqua" w:cs="Book Antiqua"/>
          <w:color w:val="000000"/>
          <w:vertAlign w:val="superscript"/>
        </w:rPr>
        <w:t>[67]</w:t>
      </w:r>
      <w:r>
        <w:rPr>
          <w:rFonts w:ascii="Book Antiqua" w:hAnsi="Book Antiqua" w:eastAsia="Book Antiqua" w:cs="Book Antiqua"/>
          <w:color w:val="000000"/>
        </w:rPr>
        <w:t>. DBP rhythmically triggers genes with D-box elements in the promoter</w:t>
      </w:r>
      <w:r>
        <w:rPr>
          <w:rFonts w:ascii="Book Antiqua" w:hAnsi="Book Antiqua" w:eastAsia="Book Antiqua" w:cs="Book Antiqua"/>
          <w:color w:val="000000"/>
          <w:vertAlign w:val="superscript"/>
        </w:rPr>
        <w:t>[2,4]</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 transcriptional and translational feedback loop creates rhythms in the expression and levels of downstream CCG</w:t>
      </w:r>
      <w:r>
        <w:rPr>
          <w:rFonts w:ascii="Book Antiqua" w:hAnsi="Book Antiqua" w:eastAsia="Book Antiqua" w:cs="Book Antiqua"/>
          <w:color w:val="000000"/>
          <w:vertAlign w:val="superscript"/>
        </w:rPr>
        <w:t>[4]</w:t>
      </w:r>
      <w:r>
        <w:rPr>
          <w:rFonts w:ascii="Book Antiqua" w:hAnsi="Book Antiqua" w:eastAsia="Book Antiqua" w:cs="Book Antiqua"/>
          <w:color w:val="000000"/>
        </w:rPr>
        <w:t>. All of these connected feedback loops create a circadian rhythm. For example, CCGs containing RORE elements in promoters are transcribed during the active phase. In contrast, the genes’ promoters containing E-box and D-box elements are transcribed during the resting phase</w:t>
      </w:r>
      <w:r>
        <w:rPr>
          <w:rFonts w:ascii="Book Antiqua" w:hAnsi="Book Antiqua" w:eastAsia="Book Antiqua" w:cs="Book Antiqua"/>
          <w:color w:val="000000"/>
          <w:vertAlign w:val="superscript"/>
        </w:rPr>
        <w:t>[63]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circadian rhythm is controlled at the transcriptional and posttranslational levels, including cellular pathways, transcription factors, epigenetic changes, and posttranslational modifications</w:t>
      </w:r>
      <w:r>
        <w:rPr>
          <w:rFonts w:ascii="Book Antiqua" w:hAnsi="Book Antiqua" w:eastAsia="Book Antiqua" w:cs="Book Antiqua"/>
          <w:color w:val="000000"/>
          <w:vertAlign w:val="superscript"/>
        </w:rPr>
        <w:t>[68]</w:t>
      </w:r>
      <w:r>
        <w:rPr>
          <w:rFonts w:ascii="Book Antiqua" w:hAnsi="Book Antiqua" w:eastAsia="Book Antiqua" w:cs="Book Antiqua"/>
          <w:color w:val="000000"/>
        </w:rPr>
        <w:t>. Many posttranslational modifications of clock elements include acetylation, phosphorylation, ubiquitylation, and sumoylation</w:t>
      </w:r>
      <w:r>
        <w:rPr>
          <w:rFonts w:ascii="Book Antiqua" w:hAnsi="Book Antiqua" w:eastAsia="Book Antiqua" w:cs="Book Antiqua"/>
          <w:color w:val="000000"/>
          <w:vertAlign w:val="superscript"/>
        </w:rPr>
        <w:t>[4,63]</w:t>
      </w:r>
      <w:r>
        <w:rPr>
          <w:rFonts w:ascii="Book Antiqua" w:hAnsi="Book Antiqua" w:eastAsia="Book Antiqua" w:cs="Book Antiqua"/>
          <w:color w:val="000000"/>
        </w:rPr>
        <w:t>. Epigenetic modifications, such as DNA methylation, histone modifications, and non-coding RNAs, interfere with the target genes’ transcription and post-transcriptional expression, including clock genes</w:t>
      </w:r>
      <w:r>
        <w:rPr>
          <w:rFonts w:ascii="Book Antiqua" w:hAnsi="Book Antiqua" w:eastAsia="Book Antiqua" w:cs="Book Antiqua"/>
          <w:color w:val="000000"/>
          <w:vertAlign w:val="superscript"/>
        </w:rPr>
        <w:t>[69]</w:t>
      </w:r>
      <w:r>
        <w:rPr>
          <w:rFonts w:ascii="Book Antiqua" w:hAnsi="Book Antiqua" w:eastAsia="Book Antiqua" w:cs="Book Antiqua"/>
          <w:color w:val="000000"/>
        </w:rPr>
        <w:t>. Different patterns of histone modifications, such as histone deacetylase sirtuin 1 (SIRT1), or microRNA, can be direct and indirect modulators in maintaining different aspects of circadian rhythm function</w:t>
      </w:r>
      <w:r>
        <w:rPr>
          <w:rFonts w:ascii="Book Antiqua" w:hAnsi="Book Antiqua" w:eastAsia="Book Antiqua" w:cs="Book Antiqua"/>
          <w:color w:val="000000"/>
          <w:vertAlign w:val="superscript"/>
        </w:rPr>
        <w:t>[53,70]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Liver physiology and circadian rhythm</w:t>
      </w:r>
    </w:p>
    <w:p>
      <w:pPr>
        <w:spacing w:line="360" w:lineRule="auto"/>
        <w:jc w:val="both"/>
        <w:rPr>
          <w:rFonts w:ascii="Book Antiqua" w:hAnsi="Book Antiqua"/>
          <w:lang w:eastAsia="zh-CN"/>
        </w:rPr>
      </w:pPr>
      <w:r>
        <w:rPr>
          <w:rFonts w:ascii="Book Antiqua" w:hAnsi="Book Antiqua" w:eastAsia="Book Antiqua" w:cs="Book Antiqua"/>
          <w:color w:val="000000"/>
        </w:rPr>
        <w:t>With a lack of environmental signs, such as the alternation of light and dark, food intake affects the circadian rhythm of the liver</w:t>
      </w:r>
      <w:r>
        <w:rPr>
          <w:rFonts w:ascii="Book Antiqua" w:hAnsi="Book Antiqua" w:eastAsia="Book Antiqua" w:cs="Book Antiqua"/>
          <w:color w:val="000000"/>
          <w:vertAlign w:val="superscript"/>
        </w:rPr>
        <w:t>[6]</w:t>
      </w:r>
      <w:r>
        <w:rPr>
          <w:rFonts w:ascii="Book Antiqua" w:hAnsi="Book Antiqua" w:eastAsia="Book Antiqua" w:cs="Book Antiqua"/>
          <w:color w:val="000000"/>
        </w:rPr>
        <w:t>. Circadian rhythms largely control different genes, levels of proteins, and the enzymes in the liver</w:t>
      </w:r>
      <w:r>
        <w:rPr>
          <w:rFonts w:ascii="Book Antiqua" w:hAnsi="Book Antiqua" w:eastAsia="Book Antiqua" w:cs="Book Antiqua"/>
          <w:color w:val="000000"/>
          <w:vertAlign w:val="superscript"/>
        </w:rPr>
        <w:t>[2]</w:t>
      </w:r>
      <w:r>
        <w:rPr>
          <w:rFonts w:ascii="Book Antiqua" w:hAnsi="Book Antiqua" w:eastAsia="Book Antiqua" w:cs="Book Antiqua"/>
          <w:color w:val="000000"/>
        </w:rPr>
        <w:t>. The circadian rhythm and liver metabolism are connected through the peroxisome proliferator-activated receptors (PPARs) α and γ</w:t>
      </w:r>
      <w:r>
        <w:rPr>
          <w:rFonts w:ascii="Book Antiqua" w:hAnsi="Book Antiqua" w:eastAsia="Book Antiqua" w:cs="Book Antiqua"/>
          <w:color w:val="000000"/>
          <w:vertAlign w:val="superscript"/>
        </w:rPr>
        <w:t>[6,71]</w:t>
      </w:r>
      <w:r>
        <w:rPr>
          <w:rFonts w:ascii="Book Antiqua" w:hAnsi="Book Antiqua" w:eastAsia="Book Antiqua" w:cs="Book Antiqua"/>
          <w:color w:val="000000"/>
        </w:rPr>
        <w:t>. PPARα controls the transcription of genes participating in lipid and glucose metabolism, while PPARγ is involved in lipogenic processes because it binds eicosanoids from omega-3 or omega-6 fatty acids</w:t>
      </w:r>
      <w:r>
        <w:rPr>
          <w:rFonts w:ascii="Book Antiqua" w:hAnsi="Book Antiqua" w:eastAsia="Book Antiqua" w:cs="Book Antiqua"/>
          <w:color w:val="000000"/>
          <w:vertAlign w:val="superscript"/>
        </w:rPr>
        <w:t>[4,72]</w:t>
      </w:r>
      <w:r>
        <w:rPr>
          <w:rFonts w:ascii="Book Antiqua" w:hAnsi="Book Antiqua" w:eastAsia="Book Antiqua" w:cs="Book Antiqua"/>
          <w:color w:val="000000"/>
        </w:rPr>
        <w:t xml:space="preserve">. Both genes are rhythmically expressed, and their expression is controlled by PER2, which directly regulates </w:t>
      </w:r>
      <w:r>
        <w:rPr>
          <w:rFonts w:ascii="Book Antiqua" w:hAnsi="Book Antiqua" w:eastAsia="Book Antiqua" w:cs="Book Antiqua"/>
          <w:i/>
          <w:iCs/>
          <w:color w:val="000000"/>
        </w:rPr>
        <w:t>BMAL1</w:t>
      </w:r>
      <w:r>
        <w:rPr>
          <w:rFonts w:ascii="Book Antiqua" w:hAnsi="Book Antiqua" w:eastAsia="Book Antiqua" w:cs="Book Antiqua"/>
          <w:color w:val="000000"/>
        </w:rPr>
        <w:t xml:space="preserve"> transcription (Figure 2). The binding of PPARα to PPAR response elements (PPRE) in the </w:t>
      </w:r>
      <w:r>
        <w:rPr>
          <w:rFonts w:ascii="Book Antiqua" w:hAnsi="Book Antiqua" w:eastAsia="Book Antiqua" w:cs="Book Antiqua"/>
          <w:i/>
          <w:iCs/>
          <w:color w:val="000000"/>
        </w:rPr>
        <w:t>BMAL1</w:t>
      </w:r>
      <w:r>
        <w:rPr>
          <w:rFonts w:ascii="Book Antiqua" w:hAnsi="Book Antiqua" w:eastAsia="Book Antiqua" w:cs="Book Antiqua"/>
          <w:color w:val="000000"/>
        </w:rPr>
        <w:t xml:space="preserve"> promoter leads to its transcription. Also, PPARα interacts with PER2 in the liver to impact the expression of target genes</w:t>
      </w:r>
      <w:r>
        <w:rPr>
          <w:rFonts w:ascii="Book Antiqua" w:hAnsi="Book Antiqua" w:eastAsia="Book Antiqua" w:cs="Book Antiqua"/>
          <w:color w:val="000000"/>
          <w:vertAlign w:val="superscript"/>
        </w:rPr>
        <w:t>[73]</w:t>
      </w:r>
      <w:r>
        <w:rPr>
          <w:rFonts w:ascii="Book Antiqua" w:hAnsi="Book Antiqua" w:eastAsia="Book Antiqua" w:cs="Book Antiqua"/>
          <w:color w:val="000000"/>
        </w:rPr>
        <w:t xml:space="preserve">. In the positive feedback loop in the liver, BMAL1 and CLOCK control the circadian oscillations of </w:t>
      </w:r>
      <w:r>
        <w:rPr>
          <w:rFonts w:ascii="Book Antiqua" w:hAnsi="Book Antiqua" w:eastAsia="Book Antiqua" w:cs="Book Antiqua"/>
          <w:i/>
          <w:iCs/>
          <w:color w:val="000000"/>
        </w:rPr>
        <w:t>PPARα</w:t>
      </w:r>
      <w:r>
        <w:rPr>
          <w:rFonts w:ascii="Book Antiqua" w:hAnsi="Book Antiqua" w:eastAsia="Book Antiqua" w:cs="Book Antiqua"/>
          <w:color w:val="000000"/>
          <w:vertAlign w:val="superscript"/>
        </w:rPr>
        <w:t>[4]</w:t>
      </w:r>
      <w:r>
        <w:rPr>
          <w:rFonts w:ascii="Book Antiqua" w:hAnsi="Book Antiqua" w:eastAsia="Book Antiqua" w:cs="Book Antiqua"/>
          <w:color w:val="000000"/>
        </w:rPr>
        <w:t>, and thus the expression of enzymes participating in glucose and lipid homeostasis, and the biosynthesis of bile acids and apolipoproteins</w:t>
      </w:r>
      <w:r>
        <w:rPr>
          <w:rFonts w:ascii="Book Antiqua" w:hAnsi="Book Antiqua" w:eastAsia="Book Antiqua" w:cs="Book Antiqua"/>
          <w:color w:val="000000"/>
          <w:vertAlign w:val="superscript"/>
        </w:rPr>
        <w:t>[6]</w:t>
      </w:r>
      <w:r>
        <w:rPr>
          <w:rFonts w:ascii="Book Antiqua" w:hAnsi="Book Antiqua" w:eastAsia="Book Antiqua" w:cs="Book Antiqua"/>
          <w:color w:val="000000"/>
        </w:rPr>
        <w:t>. REV-ERBα is implicated in the control of bile acid synthesis</w:t>
      </w:r>
      <w:r>
        <w:rPr>
          <w:rFonts w:ascii="Book Antiqua" w:hAnsi="Book Antiqua" w:eastAsia="Book Antiqua" w:cs="Book Antiqua"/>
          <w:color w:val="000000"/>
          <w:vertAlign w:val="superscript"/>
        </w:rPr>
        <w:t>[74]</w:t>
      </w:r>
      <w:r>
        <w:rPr>
          <w:rFonts w:ascii="Book Antiqua" w:hAnsi="Book Antiqua" w:eastAsia="Book Antiqua" w:cs="Book Antiqua"/>
          <w:color w:val="000000"/>
        </w:rPr>
        <w:t xml:space="preserve">. Adiponectin, triggered by BMAL1 and CLOCK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transcription of </w:t>
      </w:r>
      <w:r>
        <w:rPr>
          <w:rFonts w:ascii="Book Antiqua" w:hAnsi="Book Antiqua" w:eastAsia="Book Antiqua" w:cs="Book Antiqua"/>
          <w:i/>
          <w:iCs/>
          <w:color w:val="000000"/>
        </w:rPr>
        <w:t>PPARγ</w:t>
      </w:r>
      <w:r>
        <w:rPr>
          <w:rFonts w:ascii="Book Antiqua" w:hAnsi="Book Antiqua" w:eastAsia="Book Antiqua" w:cs="Book Antiqua"/>
          <w:color w:val="000000"/>
        </w:rPr>
        <w:t xml:space="preserve"> and its coactivator 1α (PGC-1α), is involved in glucose and lipid metabolism</w:t>
      </w:r>
      <w:r>
        <w:rPr>
          <w:rFonts w:ascii="Book Antiqua" w:hAnsi="Book Antiqua" w:eastAsia="Book Antiqua" w:cs="Book Antiqua"/>
          <w:color w:val="000000"/>
          <w:vertAlign w:val="superscript"/>
        </w:rPr>
        <w:t>[75]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addition, gluconeogenesis is controlled in a circadian manner in the liver </w:t>
      </w:r>
      <w:r>
        <w:rPr>
          <w:rFonts w:ascii="Book Antiqua" w:hAnsi="Book Antiqua" w:eastAsia="Book Antiqua" w:cs="Book Antiqua"/>
          <w:i/>
          <w:iCs/>
          <w:color w:val="000000"/>
        </w:rPr>
        <w:t>via</w:t>
      </w:r>
      <w:r>
        <w:rPr>
          <w:rFonts w:ascii="Book Antiqua" w:hAnsi="Book Antiqua" w:eastAsia="Book Antiqua" w:cs="Book Antiqua"/>
          <w:color w:val="000000"/>
        </w:rPr>
        <w:t xml:space="preserve"> CRY1 and CRY2, which prevent signaling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secondary messenger</w:t>
      </w:r>
      <w:r>
        <w:rPr>
          <w:rFonts w:ascii="Book Antiqua" w:hAnsi="Book Antiqua" w:cs="Book Antiqua"/>
          <w:color w:val="000000"/>
          <w:lang w:eastAsia="zh-CN"/>
        </w:rPr>
        <w:t xml:space="preserve"> c</w:t>
      </w:r>
      <w:r>
        <w:rPr>
          <w:rFonts w:ascii="Book Antiqua" w:hAnsi="Book Antiqua" w:eastAsia="Book Antiqua" w:cs="Book Antiqua"/>
          <w:color w:val="000000"/>
        </w:rPr>
        <w:t xml:space="preserve">yclic adenosine monophosphate </w:t>
      </w:r>
      <w:r>
        <w:rPr>
          <w:rFonts w:ascii="Book Antiqua" w:hAnsi="Book Antiqua" w:cs="Book Antiqua"/>
          <w:color w:val="000000"/>
          <w:lang w:eastAsia="zh-CN"/>
        </w:rPr>
        <w:t>(</w:t>
      </w:r>
      <w:r>
        <w:rPr>
          <w:rFonts w:ascii="Book Antiqua" w:hAnsi="Book Antiqua" w:eastAsia="Book Antiqua" w:cs="Book Antiqua"/>
          <w:color w:val="000000"/>
        </w:rPr>
        <w:t>cAMP</w:t>
      </w:r>
      <w:r>
        <w:rPr>
          <w:rFonts w:ascii="Book Antiqua" w:hAnsi="Book Antiqua" w:cs="Book Antiqua"/>
          <w:color w:val="000000"/>
          <w:lang w:eastAsia="zh-CN"/>
        </w:rPr>
        <w:t>)</w:t>
      </w:r>
      <w:r>
        <w:rPr>
          <w:rFonts w:ascii="Book Antiqua" w:hAnsi="Book Antiqua" w:eastAsia="Book Antiqua" w:cs="Book Antiqua"/>
          <w:color w:val="000000"/>
          <w:vertAlign w:val="superscript"/>
        </w:rPr>
        <w:t>[76]</w:t>
      </w:r>
      <w:r>
        <w:rPr>
          <w:rFonts w:ascii="Book Antiqua" w:hAnsi="Book Antiqua" w:eastAsia="Book Antiqua" w:cs="Book Antiqua"/>
          <w:color w:val="000000"/>
        </w:rPr>
        <w:t>. Moreover, AMP-activated protein kinase (AMPK) can influence circadian cycle length by phosphorylating CRYs and directing it to degradation</w:t>
      </w:r>
      <w:r>
        <w:rPr>
          <w:rFonts w:ascii="Book Antiqua" w:hAnsi="Book Antiqua" w:eastAsia="Book Antiqua" w:cs="Book Antiqua"/>
          <w:color w:val="000000"/>
          <w:vertAlign w:val="superscript"/>
        </w:rPr>
        <w:t>[4]</w:t>
      </w:r>
      <w:r>
        <w:rPr>
          <w:rFonts w:ascii="Book Antiqua" w:hAnsi="Book Antiqua" w:eastAsia="Book Antiqua" w:cs="Book Antiqua"/>
          <w:color w:val="000000"/>
        </w:rPr>
        <w:t>. Activation of RORα in the liver may impact lipid metabolism and control hepatic steatosis by triggering AMPK</w:t>
      </w:r>
      <w:r>
        <w:rPr>
          <w:rFonts w:ascii="Book Antiqua" w:hAnsi="Book Antiqua" w:eastAsia="Book Antiqua" w:cs="Book Antiqua"/>
          <w:color w:val="000000"/>
          <w:vertAlign w:val="superscript"/>
        </w:rPr>
        <w:t>[77]</w:t>
      </w:r>
      <w:r>
        <w:rPr>
          <w:rFonts w:ascii="Book Antiqua" w:hAnsi="Book Antiqua" w:eastAsia="Book Antiqua" w:cs="Book Antiqua"/>
          <w:color w:val="000000"/>
        </w:rPr>
        <w:t>. Furthermore, CLOCK controls glycogenesis in the liver by acting on glycogen synthase 2 expression</w:t>
      </w:r>
      <w:r>
        <w:rPr>
          <w:rFonts w:ascii="Book Antiqua" w:hAnsi="Book Antiqua" w:eastAsia="Book Antiqua" w:cs="Book Antiqua"/>
          <w:color w:val="000000"/>
          <w:vertAlign w:val="superscript"/>
        </w:rPr>
        <w:t>[78]</w:t>
      </w:r>
      <w:r>
        <w:rPr>
          <w:rFonts w:ascii="Book Antiqua" w:hAnsi="Book Antiqua" w:eastAsia="Book Antiqua" w:cs="Book Antiqua"/>
          <w:color w:val="000000"/>
        </w:rPr>
        <w:t xml:space="preserve">. Disorders of the </w:t>
      </w:r>
      <w:r>
        <w:rPr>
          <w:rFonts w:ascii="Book Antiqua" w:hAnsi="Book Antiqua" w:eastAsia="Book Antiqua" w:cs="Book Antiqua"/>
          <w:i/>
          <w:iCs/>
          <w:color w:val="000000"/>
        </w:rPr>
        <w:t>CLOCK</w:t>
      </w:r>
      <w:r>
        <w:rPr>
          <w:rFonts w:ascii="Book Antiqua" w:hAnsi="Book Antiqua" w:eastAsia="Book Antiqua" w:cs="Book Antiqua"/>
          <w:color w:val="000000"/>
        </w:rPr>
        <w:t xml:space="preserve"> and </w:t>
      </w:r>
      <w:r>
        <w:rPr>
          <w:rFonts w:ascii="Book Antiqua" w:hAnsi="Book Antiqua" w:eastAsia="Book Antiqua" w:cs="Book Antiqua"/>
          <w:i/>
          <w:iCs/>
          <w:color w:val="000000"/>
        </w:rPr>
        <w:t>BMAL1</w:t>
      </w:r>
      <w:r>
        <w:rPr>
          <w:rFonts w:ascii="Book Antiqua" w:hAnsi="Book Antiqua" w:eastAsia="Book Antiqua" w:cs="Book Antiqua"/>
          <w:color w:val="000000"/>
        </w:rPr>
        <w:t xml:space="preserve"> genes lead to impaired glucose homeostasis</w:t>
      </w:r>
      <w:r>
        <w:rPr>
          <w:rFonts w:ascii="Book Antiqua" w:hAnsi="Book Antiqua" w:eastAsia="Book Antiqua" w:cs="Book Antiqua"/>
          <w:color w:val="000000"/>
          <w:vertAlign w:val="superscript"/>
        </w:rPr>
        <w:t>[6]</w:t>
      </w:r>
      <w:r>
        <w:rPr>
          <w:rFonts w:ascii="Book Antiqua" w:hAnsi="Book Antiqua" w:eastAsia="Book Antiqua" w:cs="Book Antiqua"/>
          <w:color w:val="000000"/>
        </w:rPr>
        <w:t>. Histone deacetylase SIRT1 prevents hepatic steatosis by controlling lipid homeostasis by positive binding of PPARα and PGC1α coactivators, or by direct action on BMAL1</w:t>
      </w:r>
      <w:r>
        <w:rPr>
          <w:rFonts w:ascii="Book Antiqua" w:hAnsi="Book Antiqua" w:eastAsia="Book Antiqua" w:cs="Book Antiqua"/>
          <w:color w:val="000000"/>
          <w:vertAlign w:val="superscript"/>
        </w:rPr>
        <w:t>[70]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i/>
          <w:iCs/>
          <w:color w:val="000000"/>
        </w:rPr>
        <w:t>Circadian rhythm and HBV</w:t>
      </w:r>
    </w:p>
    <w:p>
      <w:pPr>
        <w:spacing w:line="360" w:lineRule="auto"/>
        <w:jc w:val="both"/>
        <w:rPr>
          <w:rFonts w:ascii="Book Antiqua" w:hAnsi="Book Antiqua"/>
          <w:lang w:eastAsia="zh-CN"/>
        </w:rPr>
      </w:pPr>
      <w:r>
        <w:rPr>
          <w:rFonts w:ascii="Book Antiqua" w:hAnsi="Book Antiqua" w:eastAsia="Book Antiqua" w:cs="Book Antiqua"/>
          <w:color w:val="000000"/>
        </w:rPr>
        <w:t>There is a functional association between virus replication and circadian dysfunction in the pathogenesis of liver disease</w:t>
      </w:r>
      <w:r>
        <w:rPr>
          <w:rFonts w:ascii="Book Antiqua" w:hAnsi="Book Antiqua" w:eastAsia="Book Antiqua" w:cs="Book Antiqua"/>
          <w:color w:val="000000"/>
          <w:vertAlign w:val="superscript"/>
        </w:rPr>
        <w:t>[79]</w:t>
      </w:r>
      <w:r>
        <w:rPr>
          <w:rFonts w:ascii="Book Antiqua" w:hAnsi="Book Antiqua" w:eastAsia="Book Antiqua" w:cs="Book Antiqua"/>
          <w:color w:val="000000"/>
        </w:rPr>
        <w:t>. HBV has been revealed to impact the liver clock genes and disrupt the internal molecular clock in order to make better use of hepatocytes for self-replication</w:t>
      </w:r>
      <w:r>
        <w:rPr>
          <w:rFonts w:ascii="Book Antiqua" w:hAnsi="Book Antiqua" w:eastAsia="Book Antiqua" w:cs="Book Antiqua"/>
          <w:color w:val="000000"/>
          <w:vertAlign w:val="superscript"/>
        </w:rPr>
        <w:t>[80]</w:t>
      </w:r>
      <w:r>
        <w:rPr>
          <w:rFonts w:ascii="Book Antiqua" w:hAnsi="Book Antiqua" w:eastAsia="Book Antiqua" w:cs="Book Antiqua"/>
          <w:color w:val="000000"/>
        </w:rPr>
        <w:t xml:space="preserve">. HBV is randomly incorporated into the human genome, yet there are sites where it is incorporated more frequently, such as circadian rhythm-related elements, </w:t>
      </w:r>
      <w:r>
        <w:rPr>
          <w:rFonts w:ascii="Book Antiqua" w:hAnsi="Book Antiqua" w:eastAsia="Book Antiqua" w:cs="Book Antiqua"/>
          <w:i/>
          <w:iCs/>
          <w:color w:val="000000"/>
        </w:rPr>
        <w:t>CLOCK</w:t>
      </w:r>
      <w:r>
        <w:rPr>
          <w:rFonts w:ascii="Book Antiqua" w:hAnsi="Book Antiqua" w:eastAsia="Book Antiqua" w:cs="Book Antiqua"/>
          <w:color w:val="000000"/>
        </w:rPr>
        <w:t xml:space="preserve">, and </w:t>
      </w:r>
      <w:r>
        <w:rPr>
          <w:rFonts w:ascii="Book Antiqua" w:hAnsi="Book Antiqua" w:eastAsia="Book Antiqua" w:cs="Book Antiqua"/>
          <w:i/>
          <w:iCs/>
          <w:color w:val="000000"/>
        </w:rPr>
        <w:t>BMAL1</w:t>
      </w:r>
      <w:r>
        <w:rPr>
          <w:rFonts w:ascii="Book Antiqua" w:hAnsi="Book Antiqua" w:eastAsia="Book Antiqua" w:cs="Book Antiqua"/>
          <w:color w:val="000000"/>
        </w:rPr>
        <w:t>. Those elements are one way that the circadian rhythm is associated with diseases caused by HBV infection</w:t>
      </w:r>
      <w:r>
        <w:rPr>
          <w:rFonts w:ascii="Book Antiqua" w:hAnsi="Book Antiqua" w:eastAsia="Book Antiqua" w:cs="Book Antiqua"/>
          <w:color w:val="000000"/>
          <w:vertAlign w:val="superscript"/>
        </w:rPr>
        <w:t>[81]</w:t>
      </w:r>
      <w:r>
        <w:rPr>
          <w:rFonts w:ascii="Book Antiqua" w:hAnsi="Book Antiqua" w:eastAsia="Book Antiqua" w:cs="Book Antiqua"/>
          <w:color w:val="000000"/>
        </w:rPr>
        <w:t>. HBV replicates in the liver where around 20% of genes exhibit a rhythmic expression pattern, implying that the virus has successfully evolved to persist in the liver</w:t>
      </w:r>
      <w:r>
        <w:rPr>
          <w:rFonts w:ascii="Book Antiqua" w:hAnsi="Book Antiqua" w:eastAsia="Book Antiqua" w:cs="Book Antiqua"/>
          <w:color w:val="000000"/>
          <w:vertAlign w:val="superscript"/>
        </w:rPr>
        <w:t>[5,50]</w:t>
      </w:r>
      <w:r>
        <w:rPr>
          <w:rFonts w:ascii="Book Antiqua" w:hAnsi="Book Antiqua" w:eastAsia="Book Antiqua" w:cs="Book Antiqua"/>
          <w:color w:val="000000"/>
        </w:rPr>
        <w:t>. Integrated copies of HBV, which have regulatory elements similar to circadian rhythm genes, present additional circadian rhythm motifs in the infected cell, resulting in undesirable oscillations of specific genes, or disrupted circadian rhythms of the hepatocytes, and are a risk factor for cancer</w:t>
      </w:r>
      <w:r>
        <w:rPr>
          <w:rFonts w:ascii="Book Antiqua" w:hAnsi="Book Antiqua" w:eastAsia="Book Antiqua" w:cs="Book Antiqua"/>
          <w:color w:val="000000"/>
          <w:vertAlign w:val="superscript"/>
        </w:rPr>
        <w:t>[50]</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The circadian rhythm impacts gene expression in the liver and thus HBV replication</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In patients with HBV infection, a reduction in </w:t>
      </w:r>
      <w:r>
        <w:rPr>
          <w:rFonts w:ascii="Book Antiqua" w:hAnsi="Book Antiqua" w:eastAsia="Book Antiqua" w:cs="Book Antiqua"/>
          <w:i/>
          <w:iCs/>
          <w:color w:val="000000"/>
        </w:rPr>
        <w:t>BMAL1</w:t>
      </w:r>
      <w:r>
        <w:rPr>
          <w:rFonts w:ascii="Book Antiqua" w:hAnsi="Book Antiqua" w:eastAsia="Book Antiqua" w:cs="Book Antiqua"/>
          <w:color w:val="000000"/>
        </w:rPr>
        <w:t xml:space="preserve"> and an increase in </w:t>
      </w:r>
      <w:r>
        <w:rPr>
          <w:rFonts w:ascii="Book Antiqua" w:hAnsi="Book Antiqua" w:eastAsia="Book Antiqua" w:cs="Book Antiqua"/>
          <w:i/>
          <w:iCs/>
          <w:color w:val="000000"/>
        </w:rPr>
        <w:t>REV-ERBα</w:t>
      </w:r>
      <w:r>
        <w:rPr>
          <w:rFonts w:ascii="Book Antiqua" w:hAnsi="Book Antiqua" w:eastAsia="Book Antiqua" w:cs="Book Antiqua"/>
          <w:color w:val="000000"/>
        </w:rPr>
        <w:t xml:space="preserve"> and </w:t>
      </w:r>
      <w:r>
        <w:rPr>
          <w:rFonts w:ascii="Book Antiqua" w:hAnsi="Book Antiqua" w:eastAsia="Book Antiqua" w:cs="Book Antiqua"/>
          <w:i/>
          <w:iCs/>
          <w:color w:val="000000"/>
        </w:rPr>
        <w:t>REV-ERBβ</w:t>
      </w:r>
      <w:r>
        <w:rPr>
          <w:rFonts w:ascii="Book Antiqua" w:hAnsi="Book Antiqua" w:eastAsia="Book Antiqua" w:cs="Book Antiqua"/>
          <w:color w:val="000000"/>
        </w:rPr>
        <w:t xml:space="preserve"> transcription have been observed compared to healthy subjects, which indicates that circadian rhythm gene transcription is impaired in HBV infection</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In hepatocytes, decreased expression or deletion of </w:t>
      </w:r>
      <w:r>
        <w:rPr>
          <w:rFonts w:ascii="Book Antiqua" w:hAnsi="Book Antiqua" w:eastAsia="Book Antiqua" w:cs="Book Antiqua"/>
          <w:i/>
          <w:iCs/>
          <w:color w:val="000000"/>
        </w:rPr>
        <w:t>REV-ERBα</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REV-ERBβ </w:t>
      </w:r>
      <w:r>
        <w:rPr>
          <w:rFonts w:ascii="Book Antiqua" w:hAnsi="Book Antiqua" w:eastAsia="Book Antiqua" w:cs="Book Antiqua"/>
          <w:color w:val="000000"/>
        </w:rPr>
        <w:t>in hepatocytes increases plasma cholesterol, triglycerides, and free fatty acid levels</w:t>
      </w:r>
      <w:r>
        <w:rPr>
          <w:rFonts w:ascii="Book Antiqua" w:hAnsi="Book Antiqua" w:eastAsia="Book Antiqua" w:cs="Book Antiqua"/>
          <w:color w:val="000000"/>
          <w:vertAlign w:val="superscript"/>
        </w:rPr>
        <w:t>[63]</w:t>
      </w:r>
      <w:r>
        <w:rPr>
          <w:rFonts w:ascii="Book Antiqua" w:hAnsi="Book Antiqua" w:eastAsia="Book Antiqua" w:cs="Book Antiqua"/>
          <w:color w:val="000000"/>
        </w:rPr>
        <w:t xml:space="preserve">. In addition, REV-ERB binds and controls NTCP expression, and stimulation of </w:t>
      </w:r>
      <w:r>
        <w:rPr>
          <w:rFonts w:ascii="Book Antiqua" w:hAnsi="Book Antiqua" w:eastAsia="Book Antiqua" w:cs="Book Antiqua"/>
          <w:i/>
          <w:iCs/>
          <w:color w:val="000000"/>
        </w:rPr>
        <w:t>REV-ERB</w:t>
      </w:r>
      <w:r>
        <w:rPr>
          <w:rFonts w:ascii="Book Antiqua" w:hAnsi="Book Antiqua" w:eastAsia="Book Antiqua" w:cs="Book Antiqua"/>
          <w:color w:val="000000"/>
        </w:rPr>
        <w:t xml:space="preserve"> prevents HBV from entering the hepatocytes</w:t>
      </w:r>
      <w:r>
        <w:rPr>
          <w:rFonts w:ascii="Book Antiqua" w:hAnsi="Book Antiqua" w:eastAsia="Book Antiqua" w:cs="Book Antiqua"/>
          <w:color w:val="000000"/>
          <w:vertAlign w:val="superscript"/>
        </w:rPr>
        <w:t>[50]</w:t>
      </w:r>
      <w:r>
        <w:rPr>
          <w:rFonts w:ascii="Book Antiqua" w:hAnsi="Book Antiqua" w:eastAsia="Book Antiqua" w:cs="Book Antiqua"/>
          <w:color w:val="000000"/>
        </w:rPr>
        <w:t>. The NTCP receptor has a circadian pattern in hepatocytes</w:t>
      </w:r>
      <w:r>
        <w:rPr>
          <w:rFonts w:ascii="Book Antiqua" w:hAnsi="Book Antiqua" w:eastAsia="Book Antiqua" w:cs="Book Antiqua"/>
          <w:color w:val="000000"/>
          <w:vertAlign w:val="superscript"/>
        </w:rPr>
        <w:t>[82]</w:t>
      </w:r>
      <w:r>
        <w:rPr>
          <w:rFonts w:ascii="Book Antiqua" w:hAnsi="Book Antiqua" w:eastAsia="Book Antiqua" w:cs="Book Antiqua"/>
          <w:color w:val="000000"/>
        </w:rPr>
        <w:t xml:space="preserve">. Decreased expression of </w:t>
      </w:r>
      <w:r>
        <w:rPr>
          <w:rFonts w:ascii="Book Antiqua" w:hAnsi="Book Antiqua" w:eastAsia="Book Antiqua" w:cs="Book Antiqua"/>
          <w:i/>
          <w:iCs/>
          <w:color w:val="000000"/>
        </w:rPr>
        <w:t>BMAL1</w:t>
      </w:r>
      <w:r>
        <w:rPr>
          <w:rFonts w:ascii="Book Antiqua" w:hAnsi="Book Antiqua" w:eastAsia="Book Antiqua" w:cs="Book Antiqua"/>
          <w:color w:val="000000"/>
        </w:rPr>
        <w:t xml:space="preserve"> in hepatocytes leads to reduced glucose uptake. In addition, BMAL1 regulates the transcription of the </w:t>
      </w:r>
      <w:r>
        <w:rPr>
          <w:rFonts w:ascii="Book Antiqua" w:hAnsi="Book Antiqua" w:eastAsia="Book Antiqua" w:cs="Book Antiqua"/>
          <w:i/>
          <w:iCs/>
          <w:color w:val="000000"/>
        </w:rPr>
        <w:t>PGC1α</w:t>
      </w:r>
      <w:r>
        <w:rPr>
          <w:rFonts w:ascii="Book Antiqua" w:hAnsi="Book Antiqua" w:eastAsia="Book Antiqua" w:cs="Book Antiqua"/>
          <w:color w:val="000000"/>
        </w:rPr>
        <w:t xml:space="preserve"> gene, a coactivator of gluconeogenesis</w:t>
      </w:r>
      <w:r>
        <w:rPr>
          <w:rFonts w:ascii="Book Antiqua" w:hAnsi="Book Antiqua" w:eastAsia="Book Antiqua" w:cs="Book Antiqua"/>
          <w:color w:val="000000"/>
          <w:vertAlign w:val="superscript"/>
        </w:rPr>
        <w:t>[63]</w:t>
      </w:r>
      <w:r>
        <w:rPr>
          <w:rFonts w:ascii="Book Antiqua" w:hAnsi="Book Antiqua" w:eastAsia="Book Antiqua" w:cs="Book Antiqua"/>
          <w:color w:val="000000"/>
        </w:rPr>
        <w:t>. Thus, PPARα can prevent the development of fibrosis</w:t>
      </w:r>
      <w:r>
        <w:rPr>
          <w:rFonts w:ascii="Book Antiqua" w:hAnsi="Book Antiqua" w:eastAsia="Book Antiqua" w:cs="Book Antiqua"/>
          <w:color w:val="000000"/>
          <w:vertAlign w:val="superscript"/>
        </w:rPr>
        <w:t>[63]</w:t>
      </w:r>
      <w:r>
        <w:rPr>
          <w:rFonts w:ascii="Book Antiqua" w:hAnsi="Book Antiqua" w:eastAsia="Book Antiqua" w:cs="Book Antiqua"/>
          <w:color w:val="000000"/>
        </w:rPr>
        <w:t>, and it is known that HBV dysregulates PPARα and PPARγ</w:t>
      </w:r>
      <w:r>
        <w:rPr>
          <w:rFonts w:ascii="Book Antiqua" w:hAnsi="Book Antiqua" w:eastAsia="Book Antiqua" w:cs="Book Antiqua"/>
          <w:color w:val="000000"/>
          <w:vertAlign w:val="superscript"/>
        </w:rPr>
        <w:t>[6]</w:t>
      </w:r>
      <w:r>
        <w:rPr>
          <w:rFonts w:ascii="Book Antiqua" w:hAnsi="Book Antiqua" w:eastAsia="Book Antiqua" w:cs="Book Antiqua"/>
          <w:color w:val="000000"/>
        </w:rPr>
        <w:t>. Also, BMAL1 binds HBV DNA, and controls viral genome expression and new viral particle formation</w:t>
      </w:r>
      <w:r>
        <w:rPr>
          <w:rFonts w:ascii="Book Antiqua" w:hAnsi="Book Antiqua" w:eastAsia="Book Antiqua" w:cs="Book Antiqua"/>
          <w:color w:val="000000"/>
          <w:vertAlign w:val="superscript"/>
        </w:rPr>
        <w:t>[50]</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impaired circadian rhythm in HCC may favor the selective survival of cancer cells and facilitate carcinogenesis</w:t>
      </w:r>
      <w:r>
        <w:rPr>
          <w:rFonts w:ascii="Book Antiqua" w:hAnsi="Book Antiqua" w:eastAsia="Book Antiqua" w:cs="Book Antiqua"/>
          <w:color w:val="000000"/>
          <w:vertAlign w:val="superscript"/>
        </w:rPr>
        <w:t>[83]</w:t>
      </w:r>
      <w:r>
        <w:rPr>
          <w:rFonts w:ascii="Book Antiqua" w:hAnsi="Book Antiqua" w:eastAsia="Book Antiqua" w:cs="Book Antiqua"/>
          <w:color w:val="000000"/>
        </w:rPr>
        <w:t>. An increased risk of developing HCC is linked with chronic HBV infection. The HBx protein is linked with HCC due to the disturbance of cell proliferation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It is a possible cause of significantly reduced transcription levels of the </w:t>
      </w:r>
      <w:r>
        <w:rPr>
          <w:rFonts w:ascii="Book Antiqua" w:hAnsi="Book Antiqua" w:eastAsia="Book Antiqua" w:cs="Book Antiqua"/>
          <w:i/>
          <w:iCs/>
          <w:color w:val="000000"/>
        </w:rPr>
        <w:t>BMAL1</w:t>
      </w:r>
      <w:r>
        <w:rPr>
          <w:rFonts w:ascii="Book Antiqua" w:hAnsi="Book Antiqua" w:eastAsia="Book Antiqua" w:cs="Book Antiqua"/>
          <w:color w:val="000000"/>
        </w:rPr>
        <w:t xml:space="preserve">, </w:t>
      </w:r>
      <w:r>
        <w:rPr>
          <w:rFonts w:ascii="Book Antiqua" w:hAnsi="Book Antiqua" w:eastAsia="Book Antiqua" w:cs="Book Antiqua"/>
          <w:i/>
          <w:iCs/>
          <w:color w:val="000000"/>
        </w:rPr>
        <w:t>PER3</w:t>
      </w:r>
      <w:r>
        <w:rPr>
          <w:rFonts w:ascii="Book Antiqua" w:hAnsi="Book Antiqua" w:eastAsia="Book Antiqua" w:cs="Book Antiqua"/>
          <w:color w:val="000000"/>
        </w:rPr>
        <w:t xml:space="preserve">, </w:t>
      </w:r>
      <w:r>
        <w:rPr>
          <w:rFonts w:ascii="Book Antiqua" w:hAnsi="Book Antiqua" w:eastAsia="Book Antiqua" w:cs="Book Antiqua"/>
          <w:i/>
          <w:iCs/>
          <w:color w:val="000000"/>
        </w:rPr>
        <w:t>CRY1</w:t>
      </w:r>
      <w:r>
        <w:rPr>
          <w:rFonts w:ascii="Book Antiqua" w:hAnsi="Book Antiqua" w:eastAsia="Book Antiqua" w:cs="Book Antiqua"/>
          <w:color w:val="000000"/>
        </w:rPr>
        <w:t xml:space="preserve">, </w:t>
      </w:r>
      <w:r>
        <w:rPr>
          <w:rFonts w:ascii="Book Antiqua" w:hAnsi="Book Antiqua" w:eastAsia="Book Antiqua" w:cs="Book Antiqua"/>
          <w:i/>
          <w:iCs/>
          <w:color w:val="000000"/>
        </w:rPr>
        <w:t>CRY2</w:t>
      </w:r>
      <w:r>
        <w:rPr>
          <w:rFonts w:ascii="Book Antiqua" w:hAnsi="Book Antiqua" w:eastAsia="Book Antiqua" w:cs="Book Antiqua"/>
          <w:color w:val="000000"/>
        </w:rPr>
        <w:t xml:space="preserve">, and </w:t>
      </w:r>
      <w:r>
        <w:rPr>
          <w:rFonts w:ascii="Book Antiqua" w:hAnsi="Book Antiqua" w:eastAsia="Book Antiqua" w:cs="Book Antiqua"/>
          <w:i/>
          <w:iCs/>
          <w:color w:val="000000"/>
        </w:rPr>
        <w:t>CK1ε</w:t>
      </w:r>
      <w:r>
        <w:rPr>
          <w:rFonts w:ascii="Book Antiqua" w:hAnsi="Book Antiqua" w:eastAsia="Book Antiqua" w:cs="Book Antiqua"/>
          <w:color w:val="000000"/>
        </w:rPr>
        <w:t xml:space="preserve"> genes in HCC</w:t>
      </w:r>
      <w:r>
        <w:rPr>
          <w:rFonts w:ascii="Book Antiqua" w:hAnsi="Book Antiqua" w:eastAsia="Book Antiqua" w:cs="Book Antiqua"/>
          <w:color w:val="000000"/>
          <w:vertAlign w:val="superscript"/>
        </w:rPr>
        <w:t>[84]</w:t>
      </w:r>
      <w:r>
        <w:rPr>
          <w:rFonts w:ascii="Book Antiqua" w:hAnsi="Book Antiqua" w:eastAsia="Book Antiqua" w:cs="Book Antiqua"/>
          <w:color w:val="000000"/>
        </w:rPr>
        <w:t xml:space="preserve">. At the same time, elevated HBx expression in HCC results in increased </w:t>
      </w:r>
      <w:r>
        <w:rPr>
          <w:rFonts w:ascii="Book Antiqua" w:hAnsi="Book Antiqua" w:eastAsia="Book Antiqua" w:cs="Book Antiqua"/>
          <w:i/>
          <w:iCs/>
          <w:color w:val="000000"/>
        </w:rPr>
        <w:t>CLOCK</w:t>
      </w:r>
      <w:r>
        <w:rPr>
          <w:rFonts w:ascii="Book Antiqua" w:hAnsi="Book Antiqua" w:eastAsia="Book Antiqua" w:cs="Book Antiqua"/>
          <w:color w:val="000000"/>
        </w:rPr>
        <w:t xml:space="preserve">, </w:t>
      </w:r>
      <w:r>
        <w:rPr>
          <w:rFonts w:ascii="Book Antiqua" w:hAnsi="Book Antiqua" w:eastAsia="Book Antiqua" w:cs="Book Antiqua"/>
          <w:i/>
          <w:iCs/>
          <w:color w:val="000000"/>
        </w:rPr>
        <w:t>PER1</w:t>
      </w:r>
      <w:r>
        <w:rPr>
          <w:rFonts w:ascii="Book Antiqua" w:hAnsi="Book Antiqua" w:eastAsia="Book Antiqua" w:cs="Book Antiqua"/>
          <w:color w:val="000000"/>
        </w:rPr>
        <w:t xml:space="preserve">, and </w:t>
      </w:r>
      <w:r>
        <w:rPr>
          <w:rFonts w:ascii="Book Antiqua" w:hAnsi="Book Antiqua" w:eastAsia="Book Antiqua" w:cs="Book Antiqua"/>
          <w:i/>
          <w:iCs/>
          <w:color w:val="000000"/>
        </w:rPr>
        <w:t xml:space="preserve">PER2 </w:t>
      </w:r>
      <w:r>
        <w:rPr>
          <w:rFonts w:ascii="Book Antiqua" w:hAnsi="Book Antiqua" w:eastAsia="Book Antiqua" w:cs="Book Antiqua"/>
          <w:color w:val="000000"/>
        </w:rPr>
        <w:t>expression</w:t>
      </w:r>
      <w:r>
        <w:rPr>
          <w:rFonts w:ascii="Book Antiqua" w:hAnsi="Book Antiqua" w:eastAsia="Book Antiqua" w:cs="Book Antiqua"/>
          <w:color w:val="000000"/>
          <w:vertAlign w:val="superscript"/>
        </w:rPr>
        <w:t>[1,85]</w:t>
      </w:r>
      <w:r>
        <w:rPr>
          <w:rFonts w:ascii="Book Antiqua" w:hAnsi="Book Antiqua" w:eastAsia="Book Antiqua" w:cs="Book Antiqua"/>
          <w:color w:val="000000"/>
        </w:rPr>
        <w:t xml:space="preserve">. In addition, abnormal expression of </w:t>
      </w:r>
      <w:r>
        <w:rPr>
          <w:rFonts w:ascii="Book Antiqua" w:hAnsi="Book Antiqua" w:eastAsia="Book Antiqua" w:cs="Book Antiqua"/>
          <w:i/>
          <w:iCs/>
          <w:color w:val="000000"/>
        </w:rPr>
        <w:t>REV-ERBα</w:t>
      </w:r>
      <w:r>
        <w:rPr>
          <w:rFonts w:ascii="Book Antiqua" w:hAnsi="Book Antiqua" w:eastAsia="Book Antiqua" w:cs="Book Antiqua"/>
          <w:color w:val="000000"/>
        </w:rPr>
        <w:t xml:space="preserve"> was observed in a cell line that stably expressed HBV</w:t>
      </w:r>
      <w:r>
        <w:rPr>
          <w:rFonts w:ascii="Book Antiqua" w:hAnsi="Book Antiqua" w:eastAsia="Book Antiqua" w:cs="Book Antiqua"/>
          <w:color w:val="000000"/>
          <w:vertAlign w:val="superscript"/>
        </w:rPr>
        <w:t>[86]</w:t>
      </w:r>
      <w:r>
        <w:rPr>
          <w:rFonts w:ascii="Book Antiqua" w:hAnsi="Book Antiqua" w:eastAsia="Book Antiqua" w:cs="Book Antiqua"/>
          <w:color w:val="000000"/>
        </w:rPr>
        <w:t xml:space="preserve">. The circadian rhythm acts </w:t>
      </w:r>
      <w:r>
        <w:rPr>
          <w:rFonts w:ascii="Book Antiqua" w:hAnsi="Book Antiqua" w:eastAsia="Book Antiqua" w:cs="Book Antiqua"/>
          <w:i/>
          <w:iCs/>
          <w:color w:val="000000"/>
        </w:rPr>
        <w:t>via</w:t>
      </w:r>
      <w:r>
        <w:rPr>
          <w:rFonts w:ascii="Book Antiqua" w:hAnsi="Book Antiqua" w:eastAsia="Book Antiqua" w:cs="Book Antiqua"/>
          <w:color w:val="000000"/>
        </w:rPr>
        <w:t xml:space="preserve"> REV-ERBα in the liver on hepatocyte nuclear factor 4 alpha (HNF4α), and thus directs the action of glucocorticoid receptors on energy metabolism (Figure 3). Consequently, the interactions between CRY and glucocorticoid receptors affect carbohydrate metabolism, hence transacting </w:t>
      </w:r>
      <w:r>
        <w:rPr>
          <w:rFonts w:ascii="Book Antiqua" w:hAnsi="Book Antiqua" w:eastAsia="Book Antiqua" w:cs="Book Antiqua"/>
          <w:i/>
          <w:iCs/>
          <w:color w:val="000000"/>
        </w:rPr>
        <w:t>PER2</w:t>
      </w:r>
      <w:r>
        <w:rPr>
          <w:rFonts w:ascii="Book Antiqua" w:hAnsi="Book Antiqua" w:eastAsia="Book Antiqua" w:cs="Book Antiqua"/>
          <w:color w:val="000000"/>
          <w:vertAlign w:val="superscript"/>
        </w:rPr>
        <w:t>[87]</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HNF4α increases the transcription of pgRNA in hepatoma cells and thus affects HBV biosynthesis</w:t>
      </w:r>
      <w:r>
        <w:rPr>
          <w:rFonts w:ascii="Book Antiqua" w:hAnsi="Book Antiqua" w:eastAsia="Book Antiqua" w:cs="Book Antiqua"/>
          <w:color w:val="000000"/>
          <w:shd w:val="clear" w:color="auto" w:fill="FFFFFF"/>
          <w:vertAlign w:val="superscript"/>
        </w:rPr>
        <w:t>[88]</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In addition, P2-HNF4α inhibits the expression of </w:t>
      </w:r>
      <w:r>
        <w:rPr>
          <w:rFonts w:ascii="Book Antiqua" w:hAnsi="Book Antiqua" w:eastAsia="Book Antiqua" w:cs="Book Antiqua"/>
          <w:i/>
          <w:iCs/>
          <w:color w:val="000000"/>
        </w:rPr>
        <w:t>BMAL1</w:t>
      </w:r>
      <w:r>
        <w:rPr>
          <w:rFonts w:ascii="Book Antiqua" w:hAnsi="Book Antiqua" w:eastAsia="Book Antiqua" w:cs="Book Antiqua"/>
          <w:color w:val="000000"/>
        </w:rPr>
        <w:t xml:space="preserve">, leading to the localization of P1-HNF4α from the nucleus to the cytoplasm. </w:t>
      </w:r>
      <w:r>
        <w:rPr>
          <w:rFonts w:ascii="Book Antiqua" w:hAnsi="Book Antiqua" w:eastAsia="Book Antiqua" w:cs="Book Antiqua"/>
          <w:i/>
          <w:iCs/>
          <w:color w:val="000000"/>
        </w:rPr>
        <w:t>BMAL1</w:t>
      </w:r>
      <w:r>
        <w:rPr>
          <w:rFonts w:ascii="Book Antiqua" w:hAnsi="Book Antiqua" w:eastAsia="Book Antiqua" w:cs="Book Antiqua"/>
          <w:color w:val="000000"/>
        </w:rPr>
        <w:t xml:space="preserve"> is expressed in healthy hepatocytes, but tumor growth is prevented if </w:t>
      </w:r>
      <w:r>
        <w:rPr>
          <w:rFonts w:ascii="Book Antiqua" w:hAnsi="Book Antiqua" w:eastAsia="Book Antiqua" w:cs="Book Antiqua"/>
          <w:i/>
          <w:iCs/>
          <w:color w:val="000000"/>
        </w:rPr>
        <w:t>BMAL1</w:t>
      </w:r>
      <w:r>
        <w:rPr>
          <w:rFonts w:ascii="Book Antiqua" w:hAnsi="Book Antiqua" w:eastAsia="Book Antiqua" w:cs="Book Antiqua"/>
          <w:color w:val="000000"/>
        </w:rPr>
        <w:t xml:space="preserve"> expression is induced in HNF4α-positive tumor cells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The possible reason for the inhibition of tumor growth is that BMAL1 mediates the transcription of </w:t>
      </w:r>
      <w:r>
        <w:rPr>
          <w:rFonts w:ascii="Book Antiqua" w:hAnsi="Book Antiqua" w:eastAsia="Book Antiqua" w:cs="Book Antiqua"/>
          <w:i/>
          <w:iCs/>
          <w:color w:val="000000"/>
        </w:rPr>
        <w:t>P53</w:t>
      </w:r>
      <w:r>
        <w:rPr>
          <w:rFonts w:ascii="Book Antiqua" w:hAnsi="Book Antiqua" w:eastAsia="Book Antiqua" w:cs="Book Antiqua"/>
          <w:color w:val="000000"/>
        </w:rPr>
        <w:t xml:space="preserve"> pathway genes, a well-known tumor-suppressor gene</w:t>
      </w:r>
      <w:r>
        <w:rPr>
          <w:rFonts w:ascii="Book Antiqua" w:hAnsi="Book Antiqua" w:eastAsia="Book Antiqua" w:cs="Book Antiqua"/>
          <w:color w:val="000000"/>
          <w:vertAlign w:val="superscript"/>
        </w:rPr>
        <w:t>[90]</w:t>
      </w:r>
      <w:r>
        <w:rPr>
          <w:rFonts w:ascii="Book Antiqua" w:hAnsi="Book Antiqua" w:eastAsia="Book Antiqua" w:cs="Book Antiqua"/>
          <w:color w:val="000000"/>
        </w:rPr>
        <w:t xml:space="preserve">. DNA viruses rely more on host transcription for gene expression; however, </w:t>
      </w:r>
      <w:r>
        <w:rPr>
          <w:rFonts w:ascii="Book Antiqua" w:hAnsi="Book Antiqua" w:eastAsia="Book Antiqua" w:cs="Book Antiqua"/>
          <w:i/>
          <w:iCs/>
          <w:color w:val="000000"/>
        </w:rPr>
        <w:t>BMAL1</w:t>
      </w:r>
      <w:r>
        <w:rPr>
          <w:rFonts w:ascii="Book Antiqua" w:hAnsi="Book Antiqua" w:eastAsia="Book Antiqua" w:cs="Book Antiqua"/>
          <w:color w:val="000000"/>
        </w:rPr>
        <w:t xml:space="preserve"> deficiency increases virus replication. REV-ERBα has a protective effect because it reduces the inflammatory response, thus decreasing the severity of the disease. Thus, </w:t>
      </w:r>
      <w:r>
        <w:rPr>
          <w:rFonts w:ascii="Book Antiqua" w:hAnsi="Book Antiqua"/>
          <w:color w:val="000000"/>
        </w:rPr>
        <w:t>REV-ERBα</w:t>
      </w:r>
      <w:r>
        <w:rPr>
          <w:rFonts w:ascii="Book Antiqua" w:hAnsi="Book Antiqua" w:eastAsia="Book Antiqua" w:cs="Book Antiqua"/>
          <w:color w:val="000000"/>
        </w:rPr>
        <w:t xml:space="preserve"> agonists inhibit HBV replication, while </w:t>
      </w:r>
      <w:r>
        <w:rPr>
          <w:rFonts w:ascii="Book Antiqua" w:hAnsi="Book Antiqua"/>
          <w:color w:val="000000"/>
        </w:rPr>
        <w:t>BMAL1</w:t>
      </w:r>
      <w:r>
        <w:rPr>
          <w:rFonts w:ascii="Book Antiqua" w:hAnsi="Book Antiqua" w:eastAsia="Book Antiqua" w:cs="Book Antiqua"/>
          <w:color w:val="000000"/>
        </w:rPr>
        <w:t xml:space="preserve"> promotes virus replication. Nevertheless, as BMAL1 stimulates oscillations in genes that metabolize drugs and sensitivity to toxicity, it also promotes HBV infection in hepatocytes</w:t>
      </w:r>
      <w:r>
        <w:rPr>
          <w:rFonts w:ascii="Book Antiqua" w:hAnsi="Book Antiqua" w:eastAsia="Book Antiqua" w:cs="Book Antiqua"/>
          <w:color w:val="000000"/>
          <w:vertAlign w:val="superscript"/>
        </w:rPr>
        <w:t>[91]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HBV infection leads to overexpression of </w:t>
      </w:r>
      <w:r>
        <w:rPr>
          <w:rFonts w:ascii="Book Antiqua" w:hAnsi="Book Antiqua" w:eastAsia="Book Antiqua" w:cs="Book Antiqua"/>
          <w:i/>
          <w:iCs/>
          <w:color w:val="000000"/>
        </w:rPr>
        <w:t>RORα</w:t>
      </w:r>
      <w:r>
        <w:rPr>
          <w:rFonts w:ascii="Book Antiqua" w:hAnsi="Book Antiqua" w:eastAsia="Book Antiqua" w:cs="Book Antiqua"/>
          <w:color w:val="000000"/>
        </w:rPr>
        <w:t xml:space="preserve"> and </w:t>
      </w:r>
      <w:r>
        <w:rPr>
          <w:rFonts w:ascii="Book Antiqua" w:hAnsi="Book Antiqua" w:eastAsia="Book Antiqua" w:cs="Book Antiqua"/>
          <w:i/>
          <w:iCs/>
          <w:color w:val="000000"/>
        </w:rPr>
        <w:t>RORγ</w:t>
      </w:r>
      <w:r>
        <w:rPr>
          <w:rFonts w:ascii="Book Antiqua" w:hAnsi="Book Antiqua" w:eastAsia="Book Antiqua" w:cs="Book Antiqua"/>
          <w:color w:val="000000"/>
          <w:shd w:val="clear" w:color="auto" w:fill="FFFFFF"/>
          <w:vertAlign w:val="superscript"/>
        </w:rPr>
        <w:t>[92]</w:t>
      </w:r>
      <w:r>
        <w:rPr>
          <w:rFonts w:ascii="Book Antiqua" w:hAnsi="Book Antiqua" w:eastAsia="Book Antiqua" w:cs="Book Antiqua"/>
          <w:color w:val="000000"/>
        </w:rPr>
        <w:t xml:space="preserve">. </w:t>
      </w:r>
      <w:r>
        <w:rPr>
          <w:rFonts w:ascii="Book Antiqua" w:hAnsi="Book Antiqua" w:eastAsia="Book Antiqua" w:cs="Book Antiqua"/>
          <w:i/>
          <w:iCs/>
          <w:color w:val="000000"/>
        </w:rPr>
        <w:t>RORγ</w:t>
      </w:r>
      <w:r>
        <w:rPr>
          <w:rFonts w:ascii="Book Antiqua" w:hAnsi="Book Antiqua" w:eastAsia="Book Antiqua" w:cs="Book Antiqua"/>
          <w:color w:val="000000"/>
        </w:rPr>
        <w:t xml:space="preserve"> overexpression is associated with promoter methylation and HBx protein. Furthermore, HBx-induced </w:t>
      </w:r>
      <w:r>
        <w:rPr>
          <w:rFonts w:ascii="Book Antiqua" w:hAnsi="Book Antiqua" w:eastAsia="Book Antiqua" w:cs="Book Antiqua"/>
          <w:i/>
          <w:iCs/>
          <w:color w:val="000000"/>
        </w:rPr>
        <w:t>RORγ</w:t>
      </w:r>
      <w:r>
        <w:rPr>
          <w:rFonts w:ascii="Book Antiqua" w:hAnsi="Book Antiqua" w:eastAsia="Book Antiqua" w:cs="Book Antiqua"/>
          <w:color w:val="000000"/>
        </w:rPr>
        <w:t xml:space="preserve"> may facilitate the proliferation and migration of hepatoma cells</w:t>
      </w:r>
      <w:r>
        <w:rPr>
          <w:rFonts w:ascii="Book Antiqua" w:hAnsi="Book Antiqua" w:eastAsia="Book Antiqua" w:cs="Book Antiqua"/>
          <w:color w:val="000000"/>
          <w:vertAlign w:val="superscript"/>
        </w:rPr>
        <w:t>[93]</w:t>
      </w:r>
      <w:r>
        <w:rPr>
          <w:rFonts w:ascii="Book Antiqua" w:hAnsi="Book Antiqua" w:eastAsia="Book Antiqua" w:cs="Book Antiqua"/>
          <w:color w:val="000000"/>
        </w:rPr>
        <w:t>, and RORα may be a possible diagnostic and prognostic biomarker for disease severity</w:t>
      </w:r>
      <w:r>
        <w:rPr>
          <w:rFonts w:ascii="Book Antiqua" w:hAnsi="Book Antiqua" w:eastAsia="Book Antiqua" w:cs="Book Antiqua"/>
          <w:color w:val="000000"/>
          <w:vertAlign w:val="superscript"/>
        </w:rPr>
        <w:t>[94]</w:t>
      </w:r>
      <w:r>
        <w:rPr>
          <w:rFonts w:ascii="Book Antiqua" w:hAnsi="Book Antiqua" w:eastAsia="Book Antiqua" w:cs="Book Antiqua"/>
          <w:color w:val="000000"/>
        </w:rPr>
        <w:t xml:space="preserve">. Overexpression of </w:t>
      </w:r>
      <w:r>
        <w:rPr>
          <w:rFonts w:ascii="Book Antiqua" w:hAnsi="Book Antiqua" w:eastAsia="Book Antiqua" w:cs="Book Antiqua"/>
          <w:i/>
          <w:iCs/>
          <w:color w:val="000000"/>
        </w:rPr>
        <w:t>RORα</w:t>
      </w:r>
      <w:r>
        <w:rPr>
          <w:rFonts w:ascii="Book Antiqua" w:hAnsi="Book Antiqua" w:eastAsia="Book Antiqua" w:cs="Book Antiqua"/>
          <w:color w:val="000000"/>
        </w:rPr>
        <w:t xml:space="preserve">, </w:t>
      </w:r>
      <w:r>
        <w:rPr>
          <w:rFonts w:ascii="Book Antiqua" w:hAnsi="Book Antiqua" w:eastAsia="Book Antiqua" w:cs="Book Antiqua"/>
          <w:i/>
          <w:iCs/>
          <w:color w:val="000000"/>
        </w:rPr>
        <w:t>CRY2</w:t>
      </w:r>
      <w:r>
        <w:rPr>
          <w:rFonts w:ascii="Book Antiqua" w:hAnsi="Book Antiqua" w:eastAsia="Book Antiqua" w:cs="Book Antiqua"/>
          <w:color w:val="000000"/>
        </w:rPr>
        <w:t xml:space="preserve">, and </w:t>
      </w:r>
      <w:r>
        <w:rPr>
          <w:rFonts w:ascii="Book Antiqua" w:hAnsi="Book Antiqua" w:eastAsia="Book Antiqua" w:cs="Book Antiqua"/>
          <w:i/>
          <w:iCs/>
          <w:color w:val="000000"/>
        </w:rPr>
        <w:t>PER1</w:t>
      </w:r>
      <w:r>
        <w:rPr>
          <w:rFonts w:ascii="Book Antiqua" w:hAnsi="Book Antiqua" w:eastAsia="Book Antiqua" w:cs="Book Antiqua"/>
          <w:color w:val="000000"/>
        </w:rPr>
        <w:t xml:space="preserve"> is associated with a better survival of HCC patients, and regulating the circadian rhythm gene may help in the chronotherapy of such patients</w:t>
      </w:r>
      <w:r>
        <w:rPr>
          <w:rFonts w:ascii="Book Antiqua" w:hAnsi="Book Antiqua" w:eastAsia="Book Antiqua" w:cs="Book Antiqua"/>
          <w:color w:val="000000"/>
          <w:vertAlign w:val="superscript"/>
        </w:rPr>
        <w:t>[94]</w:t>
      </w:r>
      <w:r>
        <w:rPr>
          <w:rFonts w:ascii="Book Antiqua" w:hAnsi="Book Antiqua" w:eastAsia="Book Antiqua" w:cs="Book Antiqua"/>
          <w:color w:val="000000"/>
        </w:rPr>
        <w:t xml:space="preserve">. HBV infection leads to disruptions of the </w:t>
      </w:r>
      <w:r>
        <w:rPr>
          <w:rFonts w:ascii="Book Antiqua" w:hAnsi="Book Antiqua" w:eastAsia="Book Antiqua" w:cs="Book Antiqua"/>
          <w:i/>
          <w:iCs/>
          <w:color w:val="000000"/>
        </w:rPr>
        <w:t>CLOCK</w:t>
      </w:r>
      <w:r>
        <w:rPr>
          <w:rFonts w:ascii="Book Antiqua" w:hAnsi="Book Antiqua" w:eastAsia="Book Antiqua" w:cs="Book Antiqua"/>
          <w:color w:val="000000"/>
        </w:rPr>
        <w:t xml:space="preserve"> gene and its downstream circadian genes and other CCGs</w:t>
      </w:r>
      <w:r>
        <w:rPr>
          <w:rFonts w:ascii="Book Antiqua" w:hAnsi="Book Antiqua" w:eastAsia="Book Antiqua" w:cs="Book Antiqua"/>
          <w:color w:val="000000"/>
          <w:vertAlign w:val="superscript"/>
        </w:rPr>
        <w:t>[2]</w:t>
      </w:r>
      <w:r>
        <w:rPr>
          <w:rFonts w:ascii="Book Antiqua" w:hAnsi="Book Antiqua" w:eastAsia="Book Antiqua" w:cs="Book Antiqua"/>
          <w:color w:val="000000"/>
        </w:rPr>
        <w:t>. All the above indicates that circadian rhythm disorders caused by a virus may contribute to the pathogenesis of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Immunopathogenesis of chronic HBV infection and circadian rhythm</w:t>
      </w:r>
    </w:p>
    <w:p>
      <w:pPr>
        <w:spacing w:line="360" w:lineRule="auto"/>
        <w:jc w:val="both"/>
        <w:rPr>
          <w:rFonts w:ascii="Book Antiqua" w:hAnsi="Book Antiqua"/>
        </w:rPr>
      </w:pPr>
      <w:r>
        <w:rPr>
          <w:rFonts w:ascii="Book Antiqua" w:hAnsi="Book Antiqua" w:eastAsia="Book Antiqua" w:cs="Book Antiqua"/>
          <w:color w:val="000000"/>
        </w:rPr>
        <w:t>Clinical manifestations of chronic hepatitis B result from a cellular and humoral immune response to the recognized target antigenic viral epitopes, HBcAg and HBsAg</w:t>
      </w:r>
      <w:r>
        <w:rPr>
          <w:rFonts w:ascii="Book Antiqua" w:hAnsi="Book Antiqua" w:eastAsia="Book Antiqua" w:cs="Book Antiqua"/>
          <w:color w:val="000000"/>
          <w:vertAlign w:val="superscript"/>
        </w:rPr>
        <w:t>[21]</w:t>
      </w:r>
      <w:r>
        <w:rPr>
          <w:rFonts w:ascii="Book Antiqua" w:hAnsi="Book Antiqua" w:eastAsia="Book Antiqua" w:cs="Book Antiqua"/>
          <w:color w:val="000000"/>
        </w:rPr>
        <w:t>. Integration of HBV into the hepatocytes’ genome serves as a constant source of HBsAg during chronic infection. It may induce dysfunctional T-cell responses, and favor harmful immunopathology and disease progression to fibrosis and cirrhosis</w:t>
      </w:r>
      <w:r>
        <w:rPr>
          <w:rFonts w:ascii="Book Antiqua" w:hAnsi="Book Antiqua" w:eastAsia="Book Antiqua" w:cs="Book Antiqua"/>
          <w:color w:val="000000"/>
          <w:vertAlign w:val="superscript"/>
        </w:rPr>
        <w:t>[95]</w:t>
      </w:r>
      <w:r>
        <w:rPr>
          <w:rFonts w:ascii="Book Antiqua" w:hAnsi="Book Antiqua" w:eastAsia="Book Antiqua" w:cs="Book Antiqua"/>
          <w:color w:val="000000"/>
        </w:rPr>
        <w:t>. Hepatocytes expressing HBcAg are recognized and attacked by cytotoxic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lymphocytes (CTL)</w:t>
      </w:r>
      <w:r>
        <w:rPr>
          <w:rFonts w:ascii="Book Antiqua" w:hAnsi="Book Antiqua" w:eastAsia="Book Antiqua" w:cs="Book Antiqua"/>
          <w:color w:val="000000"/>
          <w:vertAlign w:val="superscript"/>
        </w:rPr>
        <w:t>[96]</w:t>
      </w:r>
      <w:r>
        <w:rPr>
          <w:rFonts w:ascii="Book Antiqua" w:hAnsi="Book Antiqua" w:eastAsia="Book Antiqua" w:cs="Book Antiqua"/>
          <w:color w:val="000000"/>
        </w:rPr>
        <w:t>. The increase in alanine aminotransferase is the result of hepatocyte lysis</w:t>
      </w:r>
      <w:r>
        <w:rPr>
          <w:rFonts w:ascii="Book Antiqua" w:hAnsi="Book Antiqua" w:eastAsia="Book Antiqua" w:cs="Book Antiqua"/>
          <w:color w:val="000000"/>
          <w:vertAlign w:val="superscript"/>
        </w:rPr>
        <w:t>[97]</w:t>
      </w:r>
      <w:r>
        <w:rPr>
          <w:rFonts w:ascii="Book Antiqua" w:hAnsi="Book Antiqua" w:eastAsia="Book Antiqua" w:cs="Book Antiqua"/>
          <w:color w:val="000000"/>
        </w:rPr>
        <w:t xml:space="preserve">. HBcAg has strong immunogenicity and can cause the antigen-specific T-cell responses necessary for controlling HBV infection. HBcAg stimulates the production of </w:t>
      </w:r>
      <w:r>
        <w:rPr>
          <w:rFonts w:ascii="Book Antiqua" w:hAnsi="Book Antiqua" w:cs="Book Antiqua"/>
          <w:color w:val="000000"/>
          <w:lang w:eastAsia="zh-CN"/>
        </w:rPr>
        <w:t>i</w:t>
      </w:r>
      <w:r>
        <w:rPr>
          <w:rFonts w:ascii="Book Antiqua" w:hAnsi="Book Antiqua" w:eastAsia="Book Antiqua" w:cs="Book Antiqua"/>
          <w:color w:val="000000"/>
        </w:rPr>
        <w:t>nterleukin 6</w:t>
      </w:r>
      <w:r>
        <w:rPr>
          <w:rFonts w:ascii="Book Antiqua" w:hAnsi="Book Antiqua" w:cs="Book Antiqua"/>
          <w:color w:val="000000"/>
          <w:lang w:eastAsia="zh-CN"/>
        </w:rPr>
        <w:t xml:space="preserve"> (</w:t>
      </w:r>
      <w:r>
        <w:rPr>
          <w:rFonts w:ascii="Book Antiqua" w:hAnsi="Book Antiqua" w:eastAsia="Book Antiqua" w:cs="Book Antiqua"/>
          <w:color w:val="000000"/>
        </w:rPr>
        <w:t>IL</w:t>
      </w:r>
      <w:r>
        <w:rPr>
          <w:rFonts w:ascii="Book Antiqua" w:hAnsi="Book Antiqua" w:cs="Book Antiqua"/>
          <w:color w:val="000000"/>
          <w:lang w:eastAsia="zh-CN"/>
        </w:rPr>
        <w:t>)</w:t>
      </w:r>
      <w:r>
        <w:rPr>
          <w:rFonts w:ascii="Book Antiqua" w:hAnsi="Book Antiqua" w:eastAsia="Book Antiqua" w:cs="Book Antiqua"/>
          <w:color w:val="000000"/>
        </w:rPr>
        <w:t>-6, IL-10, IL-17A, IL-22, IL-23, and transforming growth factor β (TGFβ) by peripheral blood mononuclear cells</w:t>
      </w:r>
      <w:r>
        <w:rPr>
          <w:rFonts w:ascii="Book Antiqua" w:hAnsi="Book Antiqua" w:eastAsia="Book Antiqua" w:cs="Book Antiqua"/>
          <w:color w:val="000000"/>
          <w:vertAlign w:val="superscript"/>
        </w:rPr>
        <w:t>[98]</w:t>
      </w:r>
      <w:r>
        <w:rPr>
          <w:rFonts w:ascii="Book Antiqua" w:hAnsi="Book Antiqua" w:eastAsia="Book Antiqua" w:cs="Book Antiqua"/>
          <w:color w:val="000000"/>
        </w:rPr>
        <w:t>. In addition, the immunosuppressive cytokine IL-10 negatively controls the expansion of Th17 cells, which plays a part in the existence and promotion of HBV infection</w:t>
      </w:r>
      <w:r>
        <w:rPr>
          <w:rFonts w:ascii="Book Antiqua" w:hAnsi="Book Antiqua" w:eastAsia="Book Antiqua" w:cs="Book Antiqua"/>
          <w:color w:val="000000"/>
          <w:vertAlign w:val="superscript"/>
        </w:rPr>
        <w:t>[46]</w:t>
      </w:r>
      <w:r>
        <w:rPr>
          <w:rFonts w:ascii="Book Antiqua" w:hAnsi="Book Antiqua" w:eastAsia="Book Antiqua" w:cs="Book Antiqua"/>
          <w:color w:val="000000"/>
        </w:rPr>
        <w:t>. Persistent HBV infection is marked by a poor immune response due to the poor response of CD4</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lymphocytes in the early phases of infection. This results in qualitatively and quantitatively weaker CD8</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 cell responses</w:t>
      </w:r>
      <w:r>
        <w:rPr>
          <w:rFonts w:ascii="Book Antiqua" w:hAnsi="Book Antiqua" w:eastAsia="Book Antiqua" w:cs="Book Antiqua"/>
          <w:color w:val="000000"/>
          <w:vertAlign w:val="superscript"/>
        </w:rPr>
        <w:t>[21]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addition to other viral proteins, HBeAg is also important for the persistence of infection, as it suppresses the humoral and cellular immune response to HbcAg, weakens the action of CTL on HBcAg, and allows the maintenance of the infection</w:t>
      </w:r>
      <w:r>
        <w:rPr>
          <w:rFonts w:ascii="Book Antiqua" w:hAnsi="Book Antiqua" w:eastAsia="Book Antiqua" w:cs="Book Antiqua"/>
          <w:color w:val="000000"/>
          <w:vertAlign w:val="superscript"/>
        </w:rPr>
        <w:t>[99]</w:t>
      </w:r>
      <w:r>
        <w:rPr>
          <w:rFonts w:ascii="Book Antiqua" w:hAnsi="Book Antiqua" w:eastAsia="Book Antiqua" w:cs="Book Antiqua"/>
          <w:color w:val="000000"/>
        </w:rPr>
        <w:t>. The predominance of Th-1 over the Th-2 cytokine response, with the production of IL-2, interferon-alpha (IFN-α), and lymphotoxin-β receptor (LT-βR), is responsible for virus elimination during acute and chronic HBV infections</w:t>
      </w:r>
      <w:r>
        <w:rPr>
          <w:rFonts w:ascii="Book Antiqua" w:hAnsi="Book Antiqua" w:eastAsia="Book Antiqua" w:cs="Book Antiqua"/>
          <w:color w:val="000000"/>
          <w:vertAlign w:val="superscript"/>
        </w:rPr>
        <w:t>[100]</w:t>
      </w:r>
      <w:r>
        <w:rPr>
          <w:rFonts w:ascii="Book Antiqua" w:hAnsi="Book Antiqua" w:eastAsia="Book Antiqua" w:cs="Book Antiqua"/>
          <w:color w:val="000000"/>
        </w:rPr>
        <w:t>. Conversely, the predominance of Th-2 cytokine response is responsible for maintaining chronic infection, with IL-4, IL-5, and IL-10, which enhance the humoral immune response</w:t>
      </w:r>
      <w:r>
        <w:rPr>
          <w:rFonts w:ascii="Book Antiqua" w:hAnsi="Book Antiqua" w:eastAsia="Book Antiqua" w:cs="Book Antiqua"/>
          <w:color w:val="000000"/>
          <w:vertAlign w:val="superscript"/>
        </w:rPr>
        <w:t>[98]</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Many innate and adaptive immune system elements are under circadian regulation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and the adaptive immune response mediates virus removal and liver disease</w:t>
      </w:r>
      <w:r>
        <w:rPr>
          <w:rFonts w:ascii="Book Antiqua" w:hAnsi="Book Antiqua" w:eastAsia="Book Antiqua" w:cs="Book Antiqua"/>
          <w:color w:val="000000"/>
          <w:vertAlign w:val="superscript"/>
        </w:rPr>
        <w:t>[95]</w:t>
      </w:r>
      <w:r>
        <w:rPr>
          <w:rFonts w:ascii="Book Antiqua" w:hAnsi="Book Antiqua" w:eastAsia="Book Antiqua" w:cs="Book Antiqua"/>
          <w:color w:val="000000"/>
        </w:rPr>
        <w:t>. Cellular immune rhythms are synchronized with the central clock in the SCN</w:t>
      </w:r>
      <w:r>
        <w:rPr>
          <w:rFonts w:ascii="Book Antiqua" w:hAnsi="Book Antiqua" w:eastAsia="Book Antiqua" w:cs="Book Antiqua"/>
          <w:color w:val="000000"/>
          <w:vertAlign w:val="superscript"/>
        </w:rPr>
        <w:t>[6]</w:t>
      </w:r>
      <w:r>
        <w:rPr>
          <w:rFonts w:ascii="Book Antiqua" w:hAnsi="Book Antiqua" w:eastAsia="Book Antiqua" w:cs="Book Antiqua"/>
          <w:color w:val="000000"/>
        </w:rPr>
        <w:t>. Innate and adaptive immune system cells have a molecular clock that controls their rhythmic activity over 24</w:t>
      </w:r>
      <w:r>
        <w:rPr>
          <w:rFonts w:ascii="Book Antiqua" w:hAnsi="Book Antiqua" w:cs="Book Antiqua"/>
          <w:color w:val="000000"/>
          <w:lang w:eastAsia="zh-CN"/>
        </w:rPr>
        <w:t xml:space="preserve"> </w:t>
      </w:r>
      <w:r>
        <w:rPr>
          <w:rFonts w:ascii="Book Antiqua" w:hAnsi="Book Antiqua" w:eastAsia="Book Antiqua" w:cs="Book Antiqua"/>
          <w:color w:val="000000"/>
        </w:rPr>
        <w:t>h</w:t>
      </w:r>
      <w:r>
        <w:rPr>
          <w:rFonts w:ascii="Book Antiqua" w:hAnsi="Book Antiqua" w:eastAsia="Book Antiqua" w:cs="Book Antiqua"/>
          <w:color w:val="000000"/>
          <w:vertAlign w:val="superscript"/>
        </w:rPr>
        <w:t>[101]</w:t>
      </w:r>
      <w:r>
        <w:rPr>
          <w:rFonts w:ascii="Book Antiqua" w:hAnsi="Book Antiqua" w:eastAsia="Book Antiqua" w:cs="Book Antiqua"/>
          <w:color w:val="000000"/>
        </w:rPr>
        <w:t>. Certain functions of the innate immune system rely on the hepatocytes’ circadian rhythm</w:t>
      </w:r>
      <w:r>
        <w:rPr>
          <w:rFonts w:ascii="Book Antiqua" w:hAnsi="Book Antiqua" w:eastAsia="Book Antiqua" w:cs="Book Antiqua"/>
          <w:color w:val="000000"/>
          <w:vertAlign w:val="superscript"/>
        </w:rPr>
        <w:t>[5,65]</w:t>
      </w:r>
      <w:r>
        <w:rPr>
          <w:rFonts w:ascii="Book Antiqua" w:hAnsi="Book Antiqua" w:eastAsia="Book Antiqua" w:cs="Book Antiqua"/>
          <w:color w:val="000000"/>
        </w:rPr>
        <w:t>. Increased amounts of pro-inflammatory hormones such as growth hormone, prolactin, and melatonin and cytokines such as IL-1 and TNF-α are present during the rest period. In addition, immune rhythms are affected by hormonal rhythms, so cortisol regulates the number of naive T cells. Epinephrine influences the number of CTL cells over 24</w:t>
      </w:r>
      <w:r>
        <w:rPr>
          <w:rFonts w:ascii="Book Antiqua" w:hAnsi="Book Antiqua" w:cs="Book Antiqua"/>
          <w:color w:val="000000"/>
          <w:lang w:eastAsia="zh-CN"/>
        </w:rPr>
        <w:t xml:space="preserve"> </w:t>
      </w:r>
      <w:r>
        <w:rPr>
          <w:rFonts w:ascii="Book Antiqua" w:hAnsi="Book Antiqua" w:eastAsia="Book Antiqua" w:cs="Book Antiqua"/>
          <w:color w:val="000000"/>
        </w:rPr>
        <w:t>h</w:t>
      </w:r>
      <w:r>
        <w:rPr>
          <w:rFonts w:ascii="Book Antiqua" w:hAnsi="Book Antiqua" w:eastAsia="Book Antiqua" w:cs="Book Antiqua"/>
          <w:color w:val="000000"/>
          <w:vertAlign w:val="superscript"/>
        </w:rPr>
        <w:t>[102]</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Furthermore, the transcription factor CRY2 links the circadian rhythm and the innate immune system</w:t>
      </w:r>
      <w:r>
        <w:rPr>
          <w:rFonts w:ascii="Book Antiqua" w:hAnsi="Book Antiqua" w:eastAsia="Book Antiqua" w:cs="Book Antiqua"/>
          <w:color w:val="000000"/>
          <w:vertAlign w:val="superscript"/>
        </w:rPr>
        <w:t>[103]</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Moreover, CLOCK and BMAL1 control transcription of the pattern recognition receptor, which is involved in nucleic acid detection during viral infections</w:t>
      </w:r>
      <w:r>
        <w:rPr>
          <w:rFonts w:ascii="Book Antiqua" w:hAnsi="Book Antiqua" w:eastAsia="Book Antiqua" w:cs="Book Antiqua"/>
          <w:color w:val="000000"/>
          <w:vertAlign w:val="superscript"/>
        </w:rPr>
        <w:t>[104]</w:t>
      </w:r>
      <w:r>
        <w:rPr>
          <w:rFonts w:ascii="Book Antiqua" w:hAnsi="Book Antiqua" w:eastAsia="Book Antiqua" w:cs="Book Antiqua"/>
          <w:color w:val="000000"/>
        </w:rPr>
        <w:t>. RORγ regulates the differentiation of Th17 cells, which secrete IL-17, an essential regulator of pro-inflammatory signaling</w:t>
      </w:r>
      <w:r>
        <w:rPr>
          <w:rFonts w:ascii="Book Antiqua" w:hAnsi="Book Antiqua" w:eastAsia="Book Antiqua" w:cs="Book Antiqua"/>
          <w:color w:val="000000"/>
          <w:vertAlign w:val="superscript"/>
        </w:rPr>
        <w:t>[93]</w:t>
      </w:r>
      <w:r>
        <w:rPr>
          <w:rFonts w:ascii="Book Antiqua" w:hAnsi="Book Antiqua" w:eastAsia="Book Antiqua" w:cs="Book Antiqua"/>
          <w:color w:val="000000"/>
        </w:rPr>
        <w:t>.</w:t>
      </w:r>
      <w:r>
        <w:rPr>
          <w:rFonts w:ascii="Book Antiqua" w:hAnsi="Book Antiqua" w:eastAsia="Book Antiqua" w:cs="Book Antiqua"/>
          <w:color w:val="000000"/>
          <w:shd w:val="clear" w:color="auto" w:fill="FFFFFF"/>
        </w:rPr>
        <w:t xml:space="preserve"> REV-ERBα has a protective effect in various inflammatory processes</w:t>
      </w:r>
      <w:r>
        <w:rPr>
          <w:rFonts w:ascii="Book Antiqua" w:hAnsi="Book Antiqua" w:eastAsia="Book Antiqua" w:cs="Book Antiqua"/>
          <w:color w:val="000000"/>
          <w:shd w:val="clear" w:color="auto" w:fill="FFFFFF"/>
          <w:vertAlign w:val="superscript"/>
        </w:rPr>
        <w:t>[105]</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Additionally, the suppression of REV-ERB receptors elevates virus-associated mortality by promoting the inflammatory response</w:t>
      </w:r>
      <w:r>
        <w:rPr>
          <w:rFonts w:ascii="Book Antiqua" w:hAnsi="Book Antiqua" w:eastAsia="Book Antiqua" w:cs="Book Antiqua"/>
          <w:color w:val="000000"/>
          <w:vertAlign w:val="superscript"/>
        </w:rPr>
        <w:t>[106]</w:t>
      </w:r>
      <w:r>
        <w:rPr>
          <w:rFonts w:ascii="Book Antiqua" w:hAnsi="Book Antiqua" w:eastAsia="Book Antiqua" w:cs="Book Antiqua"/>
          <w:color w:val="000000"/>
        </w:rPr>
        <w:t>. The circadian hormone melatonin has protective and antiviral actions and a role in the inflammatory response</w:t>
      </w:r>
      <w:r>
        <w:rPr>
          <w:rFonts w:ascii="Book Antiqua" w:hAnsi="Book Antiqua" w:eastAsia="Book Antiqua" w:cs="Book Antiqua"/>
          <w:color w:val="000000"/>
          <w:shd w:val="clear" w:color="auto" w:fill="FFFFFF"/>
          <w:vertAlign w:val="superscript"/>
        </w:rPr>
        <w:t>[105]</w:t>
      </w:r>
      <w:r>
        <w:rPr>
          <w:rFonts w:ascii="Book Antiqua" w:hAnsi="Book Antiqua" w:eastAsia="Book Antiqua" w:cs="Book Antiqua"/>
          <w:color w:val="000000"/>
        </w:rPr>
        <w:t>. Melatonin increased IFN-γ levels during viral infection, decreased Venezuelan equine encephalomyelitis virus (VEE) levels, and reduced mortality rates in mice infected with VEE. The protective impact of melatonin is associated with increased IL-1β production because it acts as a cytokine modulator and antioxidant</w:t>
      </w:r>
      <w:r>
        <w:rPr>
          <w:rFonts w:ascii="Book Antiqua" w:hAnsi="Book Antiqua" w:eastAsia="Book Antiqua" w:cs="Book Antiqua"/>
          <w:color w:val="000000"/>
          <w:shd w:val="clear" w:color="auto" w:fill="FFFFFF"/>
          <w:vertAlign w:val="superscript"/>
        </w:rPr>
        <w:t>[107]</w:t>
      </w:r>
      <w:r>
        <w:rPr>
          <w:rFonts w:ascii="Book Antiqua" w:hAnsi="Book Antiqua" w:eastAsia="Book Antiqua" w:cs="Book Antiqua"/>
          <w:color w:val="000000"/>
        </w:rPr>
        <w:t>. This shows the positive role of the circadian rhythm in regulating antiviral immunity</w:t>
      </w:r>
      <w:r>
        <w:rPr>
          <w:rFonts w:ascii="Book Antiqua" w:hAnsi="Book Antiqua" w:eastAsia="Book Antiqua" w:cs="Book Antiqua"/>
          <w:color w:val="000000"/>
          <w:vertAlign w:val="superscript"/>
        </w:rPr>
        <w:t>[91]</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u w:val="single"/>
        </w:rPr>
        <w:t>ANTIVIRAL THERAPY</w:t>
      </w:r>
    </w:p>
    <w:p>
      <w:pPr>
        <w:spacing w:line="360" w:lineRule="auto"/>
        <w:jc w:val="both"/>
        <w:rPr>
          <w:rFonts w:ascii="Book Antiqua" w:hAnsi="Book Antiqua"/>
        </w:rPr>
      </w:pPr>
      <w:r>
        <w:rPr>
          <w:rFonts w:ascii="Book Antiqua" w:hAnsi="Book Antiqua" w:eastAsia="Book Antiqua" w:cs="Book Antiqua"/>
          <w:color w:val="000000"/>
        </w:rPr>
        <w:t xml:space="preserve">There are two main drugs for HBV infection therapy: </w:t>
      </w:r>
      <w:r>
        <w:rPr>
          <w:rFonts w:ascii="Book Antiqua" w:hAnsi="Book Antiqua" w:cs="Book Antiqua"/>
          <w:color w:val="000000"/>
          <w:lang w:eastAsia="zh-CN"/>
        </w:rPr>
        <w:t>N</w:t>
      </w:r>
      <w:r>
        <w:rPr>
          <w:rFonts w:ascii="Book Antiqua" w:hAnsi="Book Antiqua" w:eastAsia="Book Antiqua" w:cs="Book Antiqua"/>
          <w:color w:val="000000"/>
        </w:rPr>
        <w:t>ucleoside/nucleotide analogs (NAs), which interfere with viral DNA synthesis during reverse transcription, and IFN-α</w:t>
      </w:r>
      <w:r>
        <w:rPr>
          <w:rFonts w:ascii="Book Antiqua" w:hAnsi="Book Antiqua" w:eastAsia="Book Antiqua" w:cs="Book Antiqua"/>
          <w:color w:val="000000"/>
          <w:vertAlign w:val="superscript"/>
        </w:rPr>
        <w:t>[108,109]</w:t>
      </w:r>
      <w:r>
        <w:rPr>
          <w:rFonts w:ascii="Book Antiqua" w:hAnsi="Book Antiqua" w:eastAsia="Book Antiqua" w:cs="Book Antiqua"/>
          <w:color w:val="000000"/>
        </w:rPr>
        <w:t>. NAs effectively inhibit virus replication and may suppress the generation of new cccDNA</w:t>
      </w:r>
      <w:r>
        <w:rPr>
          <w:rFonts w:ascii="Book Antiqua" w:hAnsi="Book Antiqua" w:eastAsia="Book Antiqua" w:cs="Book Antiqua"/>
          <w:color w:val="000000"/>
          <w:vertAlign w:val="superscript"/>
        </w:rPr>
        <w:t>[109]</w:t>
      </w:r>
      <w:r>
        <w:rPr>
          <w:rFonts w:ascii="Book Antiqua" w:hAnsi="Book Antiqua" w:eastAsia="Book Antiqua" w:cs="Book Antiqua"/>
          <w:color w:val="000000"/>
        </w:rPr>
        <w:t>. Existing drugs can suppress virus replication, slow fibrosis progression, and decrease infectivity, but rarely remove the cccDNA responsible for HBV persistence</w:t>
      </w:r>
      <w:r>
        <w:rPr>
          <w:rFonts w:ascii="Book Antiqua" w:hAnsi="Book Antiqua" w:eastAsia="Book Antiqua" w:cs="Book Antiqua"/>
          <w:color w:val="000000"/>
          <w:vertAlign w:val="superscript"/>
        </w:rPr>
        <w:t>[108]</w:t>
      </w:r>
      <w:r>
        <w:rPr>
          <w:rFonts w:ascii="Book Antiqua" w:hAnsi="Book Antiqua" w:eastAsia="Book Antiqua" w:cs="Book Antiqua"/>
          <w:color w:val="000000"/>
        </w:rPr>
        <w:t xml:space="preserve">. Therefore, the development of therapy aims to achieve a "functional healing" state, </w:t>
      </w:r>
      <w:r>
        <w:rPr>
          <w:rFonts w:ascii="Book Antiqua" w:hAnsi="Book Antiqua" w:eastAsia="Book Antiqua" w:cs="Book Antiqua"/>
          <w:i/>
          <w:color w:val="000000"/>
        </w:rPr>
        <w:t>i.e.</w:t>
      </w:r>
      <w:r>
        <w:rPr>
          <w:rFonts w:ascii="Book Antiqua" w:hAnsi="Book Antiqua" w:eastAsia="Book Antiqua" w:cs="Book Antiqua"/>
          <w:color w:val="000000"/>
        </w:rPr>
        <w:t>, the removal of cccDNA from hepatocytes</w:t>
      </w:r>
      <w:r>
        <w:rPr>
          <w:rFonts w:ascii="Book Antiqua" w:hAnsi="Book Antiqua" w:eastAsia="Book Antiqua" w:cs="Book Antiqua"/>
          <w:color w:val="000000"/>
          <w:vertAlign w:val="superscript"/>
        </w:rPr>
        <w:t>[110,111]</w:t>
      </w:r>
      <w:r>
        <w:rPr>
          <w:rFonts w:ascii="Book Antiqua" w:hAnsi="Book Antiqua" w:eastAsia="Book Antiqua" w:cs="Book Antiqua"/>
          <w:color w:val="000000"/>
        </w:rPr>
        <w:t>. However, in the treatment of HBV infection, NAs rarely eliminate the virus, that is, they do not eradicate HBV from the liver</w:t>
      </w:r>
      <w:r>
        <w:rPr>
          <w:rFonts w:ascii="Book Antiqua" w:hAnsi="Book Antiqua" w:eastAsia="Book Antiqua" w:cs="Book Antiqua"/>
          <w:color w:val="000000"/>
          <w:vertAlign w:val="superscript"/>
        </w:rPr>
        <w:t>[95]</w:t>
      </w:r>
      <w:r>
        <w:rPr>
          <w:rFonts w:ascii="Book Antiqua" w:hAnsi="Book Antiqua" w:eastAsia="Book Antiqua" w:cs="Book Antiqua"/>
          <w:color w:val="000000"/>
        </w:rPr>
        <w:t>. This is because each HBV surface protein (S, M, and L) has an HBsAg determinant. Therefore, HBsAg circulates in the bloodstream of HBV patients, mainly in non-infectious subviral spheres and filaments</w:t>
      </w:r>
      <w:r>
        <w:rPr>
          <w:rFonts w:ascii="Book Antiqua" w:hAnsi="Book Antiqua" w:eastAsia="Book Antiqua" w:cs="Book Antiqua"/>
          <w:color w:val="000000"/>
          <w:vertAlign w:val="superscript"/>
        </w:rPr>
        <w:t>[95]</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Alternative therapeutic strategies are based on silencing viral genes using RNA interference (RNAi)</w:t>
      </w:r>
      <w:r>
        <w:rPr>
          <w:rFonts w:ascii="Book Antiqua" w:hAnsi="Book Antiqua" w:eastAsia="Book Antiqua" w:cs="Book Antiqua"/>
          <w:color w:val="000000"/>
          <w:vertAlign w:val="superscript"/>
        </w:rPr>
        <w:t>[108]</w:t>
      </w:r>
      <w:r>
        <w:rPr>
          <w:rFonts w:ascii="Book Antiqua" w:hAnsi="Book Antiqua" w:eastAsia="Book Antiqua" w:cs="Book Antiqua"/>
          <w:color w:val="000000"/>
        </w:rPr>
        <w:t xml:space="preserve"> and antisense oligonucleotide (ASO) technology</w:t>
      </w:r>
      <w:r>
        <w:rPr>
          <w:rFonts w:ascii="Book Antiqua" w:hAnsi="Book Antiqua" w:eastAsia="Book Antiqua" w:cs="Book Antiqua"/>
          <w:color w:val="000000"/>
          <w:vertAlign w:val="superscript"/>
        </w:rPr>
        <w:t>[110]</w:t>
      </w:r>
      <w:r>
        <w:rPr>
          <w:rFonts w:ascii="Book Antiqua" w:hAnsi="Book Antiqua" w:eastAsia="Book Antiqua" w:cs="Book Antiqua"/>
          <w:color w:val="000000"/>
        </w:rPr>
        <w:t>. Both approaches are based on the effective suppression of HBV replication in patients with chronic HBV infection</w:t>
      </w:r>
      <w:r>
        <w:rPr>
          <w:rFonts w:ascii="Book Antiqua" w:hAnsi="Book Antiqua" w:eastAsia="Book Antiqua" w:cs="Book Antiqua"/>
          <w:color w:val="000000"/>
          <w:vertAlign w:val="superscript"/>
        </w:rPr>
        <w:t>[108,110]</w:t>
      </w:r>
      <w:r>
        <w:rPr>
          <w:rFonts w:ascii="Book Antiqua" w:hAnsi="Book Antiqua" w:eastAsia="Book Antiqua" w:cs="Book Antiqua"/>
          <w:color w:val="000000"/>
        </w:rPr>
        <w:t>. RNAi is a mechanism for silencing genes after transcription, and can be used in mammalian cells against viral infections</w:t>
      </w:r>
      <w:r>
        <w:rPr>
          <w:rFonts w:ascii="Book Antiqua" w:hAnsi="Book Antiqua" w:eastAsia="Book Antiqua" w:cs="Book Antiqua"/>
          <w:color w:val="000000"/>
          <w:vertAlign w:val="superscript"/>
        </w:rPr>
        <w:t>[108]</w:t>
      </w:r>
      <w:r>
        <w:rPr>
          <w:rFonts w:ascii="Book Antiqua" w:hAnsi="Book Antiqua" w:eastAsia="Book Antiqua" w:cs="Book Antiqua"/>
          <w:color w:val="000000"/>
        </w:rPr>
        <w:t>. ASO technology prevents HBV antigen production by targeting all HBV genome transcripts in infected hepatocytes</w:t>
      </w:r>
      <w:r>
        <w:rPr>
          <w:rFonts w:ascii="Book Antiqua" w:hAnsi="Book Antiqua" w:eastAsia="Book Antiqua" w:cs="Book Antiqua"/>
          <w:color w:val="000000"/>
          <w:vertAlign w:val="superscript"/>
        </w:rPr>
        <w:t>[10,110]</w:t>
      </w:r>
      <w:r>
        <w:rPr>
          <w:rFonts w:ascii="Book Antiqua" w:hAnsi="Book Antiqua" w:eastAsia="Book Antiqua" w:cs="Book Antiqua"/>
          <w:color w:val="000000"/>
        </w:rPr>
        <w:t>. It is based on NAs that act on viral polymerase but do not influence the cccDNA transcription</w:t>
      </w:r>
      <w:r>
        <w:rPr>
          <w:rFonts w:ascii="Book Antiqua" w:hAnsi="Book Antiqua" w:eastAsia="Book Antiqua" w:cs="Book Antiqua"/>
          <w:color w:val="000000"/>
          <w:vertAlign w:val="superscript"/>
        </w:rPr>
        <w:t>[110]</w:t>
      </w:r>
      <w:r>
        <w:rPr>
          <w:rFonts w:ascii="Book Antiqua" w:hAnsi="Book Antiqua" w:eastAsia="Book Antiqua" w:cs="Book Antiqua"/>
          <w:color w:val="000000"/>
        </w:rPr>
        <w:t>. ASO and other nucleic acid-based therapies may potentially decrease the tolerogenic outcome of the high HBsAg levels characteristic of chronic infection</w:t>
      </w:r>
      <w:r>
        <w:rPr>
          <w:rFonts w:ascii="Book Antiqua" w:hAnsi="Book Antiqua" w:eastAsia="Book Antiqua" w:cs="Book Antiqua"/>
          <w:color w:val="000000"/>
          <w:vertAlign w:val="superscript"/>
        </w:rPr>
        <w:t>[63,110]</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Role of circadian rhythm in antiviral therapy</w:t>
      </w:r>
    </w:p>
    <w:p>
      <w:pPr>
        <w:spacing w:line="360" w:lineRule="auto"/>
        <w:jc w:val="both"/>
        <w:rPr>
          <w:rFonts w:ascii="Book Antiqua" w:hAnsi="Book Antiqua"/>
        </w:rPr>
      </w:pPr>
      <w:r>
        <w:rPr>
          <w:rFonts w:ascii="Book Antiqua" w:hAnsi="Book Antiqua" w:eastAsia="Book Antiqua" w:cs="Book Antiqua"/>
          <w:color w:val="000000"/>
        </w:rPr>
        <w:t>One of the principles of personalized medicine is to optimize the time of day for administration of drugs whose action is affected by the circadian rhythm</w:t>
      </w:r>
      <w:r>
        <w:rPr>
          <w:rFonts w:ascii="Book Antiqua" w:hAnsi="Book Antiqua" w:eastAsia="Book Antiqua" w:cs="Book Antiqua"/>
          <w:color w:val="000000"/>
          <w:vertAlign w:val="superscript"/>
        </w:rPr>
        <w:t>[5,112]</w:t>
      </w:r>
      <w:r>
        <w:rPr>
          <w:rFonts w:ascii="Book Antiqua" w:hAnsi="Book Antiqua" w:eastAsia="Book Antiqua" w:cs="Book Antiqua"/>
          <w:color w:val="000000"/>
        </w:rPr>
        <w:t>. Circadian oscillations can affect vaccine responses to viral pathogens</w:t>
      </w:r>
      <w:r>
        <w:rPr>
          <w:rFonts w:ascii="Book Antiqua" w:hAnsi="Book Antiqua" w:eastAsia="Book Antiqua" w:cs="Book Antiqua"/>
          <w:color w:val="000000"/>
          <w:vertAlign w:val="superscript"/>
        </w:rPr>
        <w:t>[91]</w:t>
      </w:r>
      <w:r>
        <w:rPr>
          <w:rFonts w:ascii="Book Antiqua" w:hAnsi="Book Antiqua" w:eastAsia="Book Antiqua" w:cs="Book Antiqua"/>
          <w:color w:val="000000"/>
        </w:rPr>
        <w:t>. The direct impact of the circadian rhythm on the cellular and humoral immune reaction is mediated by melatonin and cortisol. Research on the severe acute respiratory syndrome coronavirus 2 (SARS-CoV-2) has shown that melatonin can affect circadian clocks and modulate the immune response during viral infections and thus impact virus replication</w:t>
      </w:r>
      <w:r>
        <w:rPr>
          <w:rFonts w:ascii="Book Antiqua" w:hAnsi="Book Antiqua" w:eastAsia="Book Antiqua" w:cs="Book Antiqua"/>
          <w:color w:val="000000"/>
          <w:vertAlign w:val="superscript"/>
        </w:rPr>
        <w:t>[113]</w:t>
      </w:r>
      <w:r>
        <w:rPr>
          <w:rFonts w:ascii="Book Antiqua" w:hAnsi="Book Antiqua" w:eastAsia="Book Antiqua" w:cs="Book Antiqua"/>
          <w:color w:val="000000"/>
        </w:rPr>
        <w:t>. Therefore, vaccination in the morning or evening may impact the immune response to the vaccine</w:t>
      </w:r>
      <w:r>
        <w:rPr>
          <w:rFonts w:ascii="Book Antiqua" w:hAnsi="Book Antiqua" w:eastAsia="Book Antiqua" w:cs="Book Antiqua"/>
          <w:color w:val="000000"/>
          <w:vertAlign w:val="superscript"/>
        </w:rPr>
        <w:t>[114]</w:t>
      </w:r>
      <w:r>
        <w:rPr>
          <w:rFonts w:ascii="Book Antiqua" w:hAnsi="Book Antiqua" w:eastAsia="Book Antiqua" w:cs="Book Antiqua"/>
          <w:color w:val="000000"/>
        </w:rPr>
        <w:t>. Thus, it was observed that patients vaccinated against the SARS-CoV-2 in the morning had significantly lower C-reactive protein levels compared to patients vaccinated in the evening</w:t>
      </w:r>
      <w:r>
        <w:rPr>
          <w:rFonts w:ascii="Book Antiqua" w:hAnsi="Book Antiqua" w:eastAsia="Book Antiqua" w:cs="Book Antiqua"/>
          <w:color w:val="000000"/>
          <w:vertAlign w:val="superscript"/>
        </w:rPr>
        <w:t>[115]</w:t>
      </w:r>
      <w:r>
        <w:rPr>
          <w:rFonts w:ascii="Book Antiqua" w:hAnsi="Book Antiqua" w:eastAsia="Book Antiqua" w:cs="Book Antiqua"/>
          <w:color w:val="000000"/>
        </w:rPr>
        <w:t>. Making a simple effort to determine the appropriate time for administration of drugs or vaccine can improve the drug’s effectiveness and reduce side effects</w:t>
      </w:r>
      <w:r>
        <w:rPr>
          <w:rFonts w:ascii="Book Antiqua" w:hAnsi="Book Antiqua" w:eastAsia="Book Antiqua" w:cs="Book Antiqua"/>
          <w:color w:val="000000"/>
          <w:vertAlign w:val="superscript"/>
        </w:rPr>
        <w:t>[5]</w:t>
      </w:r>
      <w:r>
        <w:rPr>
          <w:rFonts w:ascii="Book Antiqua" w:hAnsi="Book Antiqua" w:eastAsia="Book Antiqua" w:cs="Book Antiqua"/>
          <w:color w:val="000000"/>
        </w:rPr>
        <w:t>. However, studying the interaction of the circadian rhythm and virus replication may lead to a better knowledge of viral infections and the associated immune response, discovery of new antiviral targets, improvement of existing treatments, and therapy for chronic infections</w:t>
      </w:r>
      <w:r>
        <w:rPr>
          <w:rFonts w:ascii="Book Antiqua" w:hAnsi="Book Antiqua" w:eastAsia="Book Antiqua" w:cs="Book Antiqua"/>
          <w:color w:val="000000"/>
          <w:vertAlign w:val="superscript"/>
        </w:rPr>
        <w:t>[5]</w:t>
      </w:r>
      <w:r>
        <w:rPr>
          <w:rFonts w:ascii="Book Antiqua" w:hAnsi="Book Antiqua" w:eastAsia="Book Antiqua" w:cs="Book Antiqua"/>
          <w:color w:val="000000"/>
        </w:rPr>
        <w:t>. Chronic infection is linked with a weakened immune response, and poor T-cell responses that fail to control HBV replication</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The effectiveness of current antiviral therapies could be enhanced by modulating the timing of vaccine administration. For example, the engineered T cell receptor activity showed a circadian pattern upon antigen activation. However, this daily effect was attenuated in </w:t>
      </w:r>
      <w:r>
        <w:rPr>
          <w:rFonts w:ascii="Book Antiqua" w:hAnsi="Book Antiqua" w:eastAsia="Book Antiqua" w:cs="Book Antiqua"/>
          <w:i/>
          <w:iCs/>
          <w:color w:val="000000"/>
        </w:rPr>
        <w:t>CLOCK</w:t>
      </w:r>
      <w:r>
        <w:rPr>
          <w:rFonts w:ascii="Book Antiqua" w:hAnsi="Book Antiqua" w:eastAsia="Book Antiqua" w:cs="Book Antiqua"/>
          <w:color w:val="000000"/>
        </w:rPr>
        <w:t xml:space="preserve"> mutant mice, emphasizing the importance of timing T cell therapy to maximize antiviral immunity</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Many studies show that the efficacy or toxicity of treatment depends on the dosing time in many diseases. Also, inter-individual variations in the circadian rhythm resulting from lifestyle differences should be considered</w:t>
      </w:r>
      <w:r>
        <w:rPr>
          <w:rFonts w:ascii="Book Antiqua" w:hAnsi="Book Antiqua" w:eastAsia="Book Antiqua" w:cs="Book Antiqua"/>
          <w:color w:val="000000"/>
          <w:vertAlign w:val="superscript"/>
        </w:rPr>
        <w:t>[116]</w:t>
      </w:r>
      <w:r>
        <w:rPr>
          <w:rFonts w:ascii="Book Antiqua" w:hAnsi="Book Antiqua" w:eastAsia="Book Antiqua" w:cs="Book Antiqua"/>
          <w:color w:val="000000"/>
        </w:rPr>
        <w:t>. The efficiency of the DNA virus vaccine can be enhanced by specifying the time of day for vaccination. For example, some studies have found that patients immunized in the morning produce a more significant antibody response to hepatitis A and influenza vaccines</w:t>
      </w:r>
      <w:r>
        <w:rPr>
          <w:rFonts w:ascii="Book Antiqua" w:hAnsi="Book Antiqua" w:eastAsia="Book Antiqua" w:cs="Book Antiqua"/>
          <w:color w:val="000000"/>
          <w:vertAlign w:val="superscript"/>
        </w:rPr>
        <w:t>[1,117]</w:t>
      </w:r>
      <w:r>
        <w:rPr>
          <w:rFonts w:ascii="Book Antiqua" w:hAnsi="Book Antiqua" w:eastAsia="Book Antiqua" w:cs="Book Antiqua"/>
          <w:color w:val="000000"/>
        </w:rPr>
        <w:t>. In addition, morning vaccination is considered to significantly increase responses to viral-specific antibodies, compared to afternoon vaccination</w:t>
      </w:r>
      <w:r>
        <w:rPr>
          <w:rFonts w:ascii="Book Antiqua" w:hAnsi="Book Antiqua" w:eastAsia="Book Antiqua" w:cs="Book Antiqua"/>
          <w:color w:val="000000"/>
          <w:vertAlign w:val="superscript"/>
        </w:rPr>
        <w:t>[1]</w:t>
      </w:r>
      <w:r>
        <w:rPr>
          <w:rFonts w:ascii="Book Antiqua" w:hAnsi="Book Antiqua" w:eastAsia="Book Antiqua" w:cs="Book Antiqua"/>
          <w:color w:val="000000"/>
        </w:rPr>
        <w:t>. As viruses are intracellular pathogens that replicate within host cells, given the high association of circadian rhythm transcription factors with cell transcription, the circadian rhythm plays a vital role in determining host susceptibility to viral infections and the immune response</w:t>
      </w:r>
      <w:r>
        <w:rPr>
          <w:rFonts w:ascii="Book Antiqua" w:hAnsi="Book Antiqua" w:eastAsia="Book Antiqua" w:cs="Book Antiqua"/>
          <w:color w:val="000000"/>
          <w:vertAlign w:val="superscript"/>
        </w:rPr>
        <w:t>[1]</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shd w:val="clear" w:color="auto" w:fill="FFFFFF"/>
        </w:rPr>
        <w:t>Circadian clock-modulating small molecules may help inhibit or activate circadian rhythm proteins and enzymes in viral infections. Thus, the small molecule SRT2183 modulates the circadian clock that inhibits SARS-CoV-2 replication</w:t>
      </w:r>
      <w:r>
        <w:rPr>
          <w:rFonts w:ascii="Book Antiqua" w:hAnsi="Book Antiqua" w:eastAsia="Book Antiqua" w:cs="Book Antiqua"/>
          <w:color w:val="000000"/>
          <w:shd w:val="clear" w:color="auto" w:fill="FFFFFF"/>
          <w:vertAlign w:val="superscript"/>
        </w:rPr>
        <w:t>[118]</w:t>
      </w:r>
      <w:r>
        <w:rPr>
          <w:rFonts w:ascii="Book Antiqua" w:hAnsi="Book Antiqua" w:eastAsia="Book Antiqua" w:cs="Book Antiqua"/>
          <w:color w:val="000000"/>
          <w:shd w:val="clear" w:color="auto" w:fill="FFFFFF"/>
        </w:rPr>
        <w:t xml:space="preserve"> because it modulates physiological and circadian rhythm gene expression</w:t>
      </w:r>
      <w:r>
        <w:rPr>
          <w:rFonts w:ascii="Book Antiqua" w:hAnsi="Book Antiqua" w:eastAsia="Book Antiqua" w:cs="Book Antiqua"/>
          <w:color w:val="000000"/>
          <w:shd w:val="clear" w:color="auto" w:fill="FFFFFF"/>
          <w:vertAlign w:val="superscript"/>
        </w:rPr>
        <w:t>[119]</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 xml:space="preserve">Inhibiting </w:t>
      </w:r>
      <w:r>
        <w:rPr>
          <w:rFonts w:ascii="Book Antiqua" w:hAnsi="Book Antiqua" w:eastAsia="Book Antiqua" w:cs="Book Antiqua"/>
          <w:i/>
          <w:iCs/>
          <w:color w:val="000000"/>
        </w:rPr>
        <w:t>BMAL1</w:t>
      </w:r>
      <w:r>
        <w:rPr>
          <w:rFonts w:ascii="Book Antiqua" w:hAnsi="Book Antiqua" w:eastAsia="Book Antiqua" w:cs="Book Antiqua"/>
          <w:color w:val="000000"/>
        </w:rPr>
        <w:t xml:space="preserve"> expression and overexpression of </w:t>
      </w:r>
      <w:r>
        <w:rPr>
          <w:rFonts w:ascii="Book Antiqua" w:hAnsi="Book Antiqua" w:eastAsia="Book Antiqua" w:cs="Book Antiqua"/>
          <w:i/>
          <w:iCs/>
          <w:color w:val="000000"/>
        </w:rPr>
        <w:t>REV-ERB</w:t>
      </w:r>
      <w:r>
        <w:rPr>
          <w:rFonts w:ascii="Book Antiqua" w:hAnsi="Book Antiqua" w:eastAsia="Book Antiqua" w:cs="Book Antiqua"/>
          <w:color w:val="000000"/>
        </w:rPr>
        <w:t xml:space="preserve"> </w:t>
      </w:r>
      <w:r>
        <w:rPr>
          <w:rFonts w:ascii="Book Antiqua" w:hAnsi="Book Antiqua" w:eastAsia="Book Antiqua" w:cs="Book Antiqua"/>
          <w:i/>
          <w:iCs/>
          <w:color w:val="000000"/>
        </w:rPr>
        <w:t>via</w:t>
      </w:r>
      <w:r>
        <w:rPr>
          <w:rFonts w:ascii="Book Antiqua" w:hAnsi="Book Antiqua" w:eastAsia="Book Antiqua" w:cs="Book Antiqua"/>
          <w:color w:val="000000"/>
        </w:rPr>
        <w:t xml:space="preserve"> circadian rhythm-modulating small molecules may prevent dengue virus, hepatitis C virus, Zika virus, and HIV1 virus replication. In addition, clock genes have antiviral abilities that can be applied to HBV</w:t>
      </w:r>
      <w:r>
        <w:rPr>
          <w:rFonts w:ascii="Book Antiqua" w:hAnsi="Book Antiqua" w:eastAsia="Book Antiqua" w:cs="Book Antiqua"/>
          <w:color w:val="000000"/>
          <w:vertAlign w:val="superscript"/>
        </w:rPr>
        <w:t>[120]</w:t>
      </w:r>
      <w:r>
        <w:rPr>
          <w:rFonts w:ascii="Book Antiqua" w:hAnsi="Book Antiqua" w:eastAsia="Book Antiqua" w:cs="Book Antiqua"/>
          <w:color w:val="000000"/>
        </w:rPr>
        <w:t xml:space="preserve">. One of the effective </w:t>
      </w:r>
      <w:r>
        <w:rPr>
          <w:rFonts w:ascii="Book Antiqua" w:hAnsi="Book Antiqua" w:eastAsia="Book Antiqua" w:cs="Book Antiqua"/>
          <w:color w:val="000000"/>
          <w:shd w:val="clear" w:color="auto" w:fill="FFFFFF"/>
        </w:rPr>
        <w:t xml:space="preserve">circadian clock-modulating small molecules </w:t>
      </w:r>
      <w:r>
        <w:rPr>
          <w:rFonts w:ascii="Book Antiqua" w:hAnsi="Book Antiqua" w:eastAsia="Book Antiqua" w:cs="Book Antiqua"/>
          <w:color w:val="000000"/>
        </w:rPr>
        <w:t xml:space="preserve">in treating HBV infections is GSK4112, a synthetic ligand for REV-ERB, but it is not suitable for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use due to its poor pharmacokinetic properties. In contrast, ARN5187 is a REV-ERBβ agonist with dual function</w:t>
      </w:r>
      <w:r>
        <w:rPr>
          <w:rFonts w:ascii="Book Antiqua" w:hAnsi="Book Antiqua" w:cs="Book Antiqua"/>
          <w:color w:val="000000"/>
          <w:lang w:eastAsia="zh-CN"/>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an inhibitor of REV-ERB and autophagy</w:t>
      </w:r>
      <w:r>
        <w:rPr>
          <w:rFonts w:ascii="Book Antiqua" w:hAnsi="Book Antiqua" w:eastAsia="Book Antiqua" w:cs="Book Antiqua"/>
          <w:color w:val="000000"/>
          <w:vertAlign w:val="superscript"/>
        </w:rPr>
        <w:t>[121]</w:t>
      </w:r>
      <w:r>
        <w:rPr>
          <w:rFonts w:ascii="Book Antiqua" w:hAnsi="Book Antiqua" w:eastAsia="Book Antiqua" w:cs="Book Antiqua"/>
          <w:color w:val="000000"/>
        </w:rPr>
        <w:t>. SR9009 is a REV-ERBα agonist based on the chemical structure of GSK4112. It has better pharmacokinetic properties than GSK4112 and affects many oncogenes. In addition, REV-ERBα is known to regulate cancer development by inhibiting proliferation</w:t>
      </w:r>
      <w:r>
        <w:rPr>
          <w:rFonts w:ascii="Book Antiqua" w:hAnsi="Book Antiqua" w:eastAsia="Book Antiqua" w:cs="Book Antiqua"/>
          <w:color w:val="000000"/>
          <w:vertAlign w:val="superscript"/>
        </w:rPr>
        <w:t>[121]</w:t>
      </w:r>
      <w:r>
        <w:rPr>
          <w:rFonts w:ascii="Book Antiqua" w:hAnsi="Book Antiqua" w:eastAsia="Book Antiqua" w:cs="Book Antiqua"/>
          <w:color w:val="000000"/>
        </w:rPr>
        <w:t xml:space="preserve">, and hence SR9009 inhibits </w:t>
      </w:r>
      <w:r>
        <w:rPr>
          <w:rFonts w:ascii="Book Antiqua" w:hAnsi="Book Antiqua" w:eastAsia="Book Antiqua" w:cs="Book Antiqua"/>
          <w:i/>
          <w:iCs/>
          <w:color w:val="000000"/>
        </w:rPr>
        <w:t>BMAL1</w:t>
      </w:r>
      <w:r>
        <w:rPr>
          <w:rFonts w:ascii="Book Antiqua" w:hAnsi="Book Antiqua" w:eastAsia="Book Antiqua" w:cs="Book Antiqua"/>
          <w:color w:val="000000"/>
        </w:rPr>
        <w:t xml:space="preserve"> and prevents the entry and replication of HBV into hepatocytes</w:t>
      </w:r>
      <w:r>
        <w:rPr>
          <w:rFonts w:ascii="Book Antiqua" w:hAnsi="Book Antiqua" w:eastAsia="Book Antiqua" w:cs="Book Antiqua"/>
          <w:color w:val="000000"/>
          <w:vertAlign w:val="superscript"/>
        </w:rPr>
        <w:t>[50]</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Challenges associated with antiviral drug development, including circadian clock-modulating small molecules, may be adverse effects or suboptimal pharmacokinetics. Therefore, for an antiviral agent to succeed, the target drug should be distributed locally to avoid unfavorable consequences on other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Interaction exists between viruses and the circadian rhythm of hepatocytes. Infection susceptibility depends on the infectivity of the inoculum, the mode of transmission, the length of exposure to the virus, and the time of the day infection occurs</w:t>
      </w:r>
      <w:r>
        <w:rPr>
          <w:rFonts w:ascii="Book Antiqua" w:hAnsi="Book Antiqua" w:eastAsia="Book Antiqua" w:cs="Book Antiqua"/>
          <w:color w:val="000000"/>
          <w:vertAlign w:val="superscript"/>
        </w:rPr>
        <w:t>[1]</w:t>
      </w:r>
      <w:r>
        <w:rPr>
          <w:rFonts w:ascii="Book Antiqua" w:hAnsi="Book Antiqua" w:eastAsia="Book Antiqua" w:cs="Book Antiqua"/>
          <w:color w:val="000000"/>
        </w:rPr>
        <w:t>. Understanding how HBV interacts with the circadian rhythm of hepatocytes may influence the treatment of infections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Viruses are among the most critical human carcinogens</w:t>
      </w:r>
      <w:r>
        <w:rPr>
          <w:rFonts w:ascii="Book Antiqua" w:hAnsi="Book Antiqua" w:eastAsia="Book Antiqua" w:cs="Book Antiqua"/>
          <w:color w:val="000000"/>
          <w:vertAlign w:val="superscript"/>
        </w:rPr>
        <w:t>[6]</w:t>
      </w:r>
      <w:r>
        <w:rPr>
          <w:rFonts w:ascii="Book Antiqua" w:hAnsi="Book Antiqua" w:eastAsia="Book Antiqua" w:cs="Book Antiqua"/>
          <w:color w:val="000000"/>
        </w:rPr>
        <w:t>, and pharmacotherapy and chronotherapy should be united to treat or prevent viral infections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Research on the impact of viral infections on the circadian rhythm may help detect new antiviral targets and optimize the timing of immune-based therapies</w:t>
      </w:r>
      <w:r>
        <w:rPr>
          <w:rFonts w:ascii="Book Antiqua" w:hAnsi="Book Antiqua" w:eastAsia="Book Antiqua" w:cs="Book Antiqua"/>
          <w:color w:val="000000"/>
          <w:vertAlign w:val="superscript"/>
        </w:rPr>
        <w:t>[1]</w:t>
      </w:r>
      <w:r>
        <w:rPr>
          <w:rFonts w:ascii="Book Antiqua" w:hAnsi="Book Antiqua" w:eastAsia="Book Antiqua" w:cs="Book Antiqua"/>
          <w:color w:val="000000"/>
        </w:rPr>
        <w:t>. The main challenge in treating HBV infection is eradicating or silencing the cccDNA</w:t>
      </w:r>
      <w:r>
        <w:rPr>
          <w:rFonts w:ascii="Book Antiqua" w:hAnsi="Book Antiqua" w:eastAsia="Book Antiqua" w:cs="Book Antiqua"/>
          <w:color w:val="000000"/>
          <w:vertAlign w:val="superscript"/>
        </w:rPr>
        <w:t>[50]</w:t>
      </w:r>
      <w:r>
        <w:rPr>
          <w:rFonts w:ascii="Book Antiqua" w:hAnsi="Book Antiqua" w:eastAsia="Book Antiqua" w:cs="Book Antiqua"/>
          <w:color w:val="000000"/>
        </w:rPr>
        <w:t>. By acting on specific components of the circadian rhythm, such as REV-ERB and BMAL1, HBV can be prevented from entering hepatocytes and producing new virions. In addition to lifestyle changes, circadian rhythm-focused approaches may provide new therapeutic options in treating HBV infections</w:t>
      </w:r>
      <w:r>
        <w:rPr>
          <w:rFonts w:ascii="Book Antiqua" w:hAnsi="Book Antiqua" w:eastAsia="Book Antiqua" w:cs="Book Antiqua"/>
          <w:color w:val="000000"/>
          <w:vertAlign w:val="superscript"/>
        </w:rPr>
        <w:t>[63]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 </w:t>
      </w:r>
      <w:r>
        <w:rPr>
          <w:rFonts w:ascii="Book Antiqua" w:hAnsi="Book Antiqua" w:eastAsia="Book Antiqua" w:cs="Book Antiqua"/>
          <w:b/>
          <w:bCs/>
          <w:color w:val="000000"/>
        </w:rPr>
        <w:t>Zhuang X</w:t>
      </w:r>
      <w:r>
        <w:rPr>
          <w:rFonts w:ascii="Book Antiqua" w:hAnsi="Book Antiqua" w:eastAsia="Book Antiqua" w:cs="Book Antiqua"/>
          <w:color w:val="000000"/>
        </w:rPr>
        <w:t xml:space="preserve">, Rambhatla SB, Lai AG, McKeating JA. Interplay between circadian clock and viral infection. </w:t>
      </w:r>
      <w:r>
        <w:rPr>
          <w:rFonts w:ascii="Book Antiqua" w:hAnsi="Book Antiqua" w:eastAsia="Book Antiqua" w:cs="Book Antiqua"/>
          <w:i/>
          <w:iCs/>
          <w:color w:val="000000"/>
        </w:rPr>
        <w:t>J Mol Med (Berl)</w:t>
      </w:r>
      <w:r>
        <w:rPr>
          <w:rFonts w:ascii="Book Antiqua" w:hAnsi="Book Antiqua" w:eastAsia="Book Antiqua" w:cs="Book Antiqua"/>
          <w:color w:val="000000"/>
        </w:rPr>
        <w:t xml:space="preserve"> 2017; </w:t>
      </w:r>
      <w:r>
        <w:rPr>
          <w:rFonts w:ascii="Book Antiqua" w:hAnsi="Book Antiqua" w:eastAsia="Book Antiqua" w:cs="Book Antiqua"/>
          <w:b/>
          <w:bCs/>
          <w:color w:val="000000"/>
        </w:rPr>
        <w:t>95</w:t>
      </w:r>
      <w:r>
        <w:rPr>
          <w:rFonts w:ascii="Book Antiqua" w:hAnsi="Book Antiqua" w:eastAsia="Book Antiqua" w:cs="Book Antiqua"/>
          <w:color w:val="000000"/>
        </w:rPr>
        <w:t>: 1283-1289 [PMID: 28963570 DOI: 10.1007/s00109-017-1592-7]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 </w:t>
      </w:r>
      <w:r>
        <w:rPr>
          <w:rFonts w:ascii="Book Antiqua" w:hAnsi="Book Antiqua" w:eastAsia="Book Antiqua" w:cs="Book Antiqua"/>
          <w:b/>
          <w:bCs/>
          <w:color w:val="000000"/>
        </w:rPr>
        <w:t>Zhou D</w:t>
      </w:r>
      <w:r>
        <w:rPr>
          <w:rFonts w:ascii="Book Antiqua" w:hAnsi="Book Antiqua" w:eastAsia="Book Antiqua" w:cs="Book Antiqua"/>
          <w:color w:val="000000"/>
        </w:rPr>
        <w:t xml:space="preserve">, Wang Y, Chen L, Jia L, Yuan J, Sun M, Zhang W, Wang P, Zuo J, Xu Z, Luan J. Evolving roles of circadian rhythms in liver homeostasis and pathology. </w:t>
      </w:r>
      <w:r>
        <w:rPr>
          <w:rFonts w:ascii="Book Antiqua" w:hAnsi="Book Antiqua" w:eastAsia="Book Antiqua" w:cs="Book Antiqua"/>
          <w:i/>
          <w:iCs/>
          <w:color w:val="000000"/>
        </w:rPr>
        <w:t>Oncotarget</w:t>
      </w:r>
      <w:r>
        <w:rPr>
          <w:rFonts w:ascii="Book Antiqua" w:hAnsi="Book Antiqua" w:eastAsia="Book Antiqua" w:cs="Book Antiqua"/>
          <w:color w:val="000000"/>
        </w:rPr>
        <w:t xml:space="preserve"> 2016; </w:t>
      </w:r>
      <w:r>
        <w:rPr>
          <w:rFonts w:ascii="Book Antiqua" w:hAnsi="Book Antiqua" w:eastAsia="Book Antiqua" w:cs="Book Antiqua"/>
          <w:b/>
          <w:bCs/>
          <w:color w:val="000000"/>
        </w:rPr>
        <w:t>7</w:t>
      </w:r>
      <w:r>
        <w:rPr>
          <w:rFonts w:ascii="Book Antiqua" w:hAnsi="Book Antiqua" w:eastAsia="Book Antiqua" w:cs="Book Antiqua"/>
          <w:color w:val="000000"/>
        </w:rPr>
        <w:t>: 8625-8639 [PMID: 26843619 DOI: 10.18632/oncotarget.7065]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 </w:t>
      </w:r>
      <w:r>
        <w:rPr>
          <w:rFonts w:ascii="Book Antiqua" w:hAnsi="Book Antiqua" w:eastAsia="Book Antiqua" w:cs="Book Antiqua"/>
          <w:b/>
          <w:bCs/>
          <w:color w:val="000000"/>
        </w:rPr>
        <w:t>Škrlec I</w:t>
      </w:r>
      <w:r>
        <w:rPr>
          <w:rFonts w:ascii="Book Antiqua" w:hAnsi="Book Antiqua" w:eastAsia="Book Antiqua" w:cs="Book Antiqua"/>
          <w:color w:val="000000"/>
        </w:rPr>
        <w:t xml:space="preserve">, Milic J, Heffer M, Peterlin B, Wagner J. Genetic variations in circadian rhythm genes and susceptibility for myocardial infarction. </w:t>
      </w:r>
      <w:r>
        <w:rPr>
          <w:rFonts w:ascii="Book Antiqua" w:hAnsi="Book Antiqua" w:eastAsia="Book Antiqua" w:cs="Book Antiqua"/>
          <w:i/>
          <w:iCs/>
          <w:color w:val="000000"/>
        </w:rPr>
        <w:t>Genet Mol Biol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41</w:t>
      </w:r>
      <w:r>
        <w:rPr>
          <w:rFonts w:ascii="Book Antiqua" w:hAnsi="Book Antiqua" w:eastAsia="Book Antiqua" w:cs="Book Antiqua"/>
          <w:color w:val="000000"/>
        </w:rPr>
        <w:t>: 403-409 [PMID: 29767668 DOI: 10.1590/1678-4685-GMB-2017-0147]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 </w:t>
      </w:r>
      <w:r>
        <w:rPr>
          <w:rFonts w:ascii="Book Antiqua" w:hAnsi="Book Antiqua" w:eastAsia="Book Antiqua" w:cs="Book Antiqua"/>
          <w:b/>
          <w:bCs/>
          <w:color w:val="000000"/>
        </w:rPr>
        <w:t>Saran AR</w:t>
      </w:r>
      <w:r>
        <w:rPr>
          <w:rFonts w:ascii="Book Antiqua" w:hAnsi="Book Antiqua" w:eastAsia="Book Antiqua" w:cs="Book Antiqua"/>
          <w:color w:val="000000"/>
        </w:rPr>
        <w:t xml:space="preserve">, Dave S, Zarrinpar A. Circadian Rhythms in the Pathogenesis and Treatment of Fatty Liver Disease.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158</w:t>
      </w:r>
      <w:r>
        <w:rPr>
          <w:rFonts w:ascii="Book Antiqua" w:hAnsi="Book Antiqua" w:eastAsia="Book Antiqua" w:cs="Book Antiqua"/>
          <w:color w:val="000000"/>
        </w:rPr>
        <w:t>: 1948-1966.e1 [PMID: 32061597 DOI: 10.1053/j.gastro.2020.01.050]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 </w:t>
      </w:r>
      <w:r>
        <w:rPr>
          <w:rFonts w:ascii="Book Antiqua" w:hAnsi="Book Antiqua" w:eastAsia="Book Antiqua" w:cs="Book Antiqua"/>
          <w:b/>
          <w:bCs/>
          <w:color w:val="000000"/>
        </w:rPr>
        <w:t>Borrmann H</w:t>
      </w:r>
      <w:r>
        <w:rPr>
          <w:rFonts w:ascii="Book Antiqua" w:hAnsi="Book Antiqua" w:eastAsia="Book Antiqua" w:cs="Book Antiqua"/>
          <w:color w:val="000000"/>
        </w:rPr>
        <w:t xml:space="preserve">, McKeating JA, Zhuang X. The Circadian Clock and Viral Infections. </w:t>
      </w:r>
      <w:r>
        <w:rPr>
          <w:rFonts w:ascii="Book Antiqua" w:hAnsi="Book Antiqua" w:eastAsia="Book Antiqua" w:cs="Book Antiqua"/>
          <w:i/>
          <w:iCs/>
          <w:color w:val="000000"/>
        </w:rPr>
        <w:t>J Biol Rhythms</w:t>
      </w:r>
      <w:r>
        <w:rPr>
          <w:rFonts w:ascii="Book Antiqua" w:hAnsi="Book Antiqua" w:eastAsia="Book Antiqua" w:cs="Book Antiqua"/>
          <w:color w:val="000000"/>
        </w:rPr>
        <w:t xml:space="preserve"> 2021; </w:t>
      </w:r>
      <w:r>
        <w:rPr>
          <w:rFonts w:ascii="Book Antiqua" w:hAnsi="Book Antiqua" w:eastAsia="Book Antiqua" w:cs="Book Antiqua"/>
          <w:b/>
          <w:bCs/>
          <w:color w:val="000000"/>
        </w:rPr>
        <w:t>36</w:t>
      </w:r>
      <w:r>
        <w:rPr>
          <w:rFonts w:ascii="Book Antiqua" w:hAnsi="Book Antiqua" w:eastAsia="Book Antiqua" w:cs="Book Antiqua"/>
          <w:color w:val="000000"/>
        </w:rPr>
        <w:t>: 9-22 [PMID: 33161818 DOI: 10.1177/0748730420967768]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 </w:t>
      </w:r>
      <w:r>
        <w:rPr>
          <w:rFonts w:ascii="Book Antiqua" w:hAnsi="Book Antiqua" w:eastAsia="Book Antiqua" w:cs="Book Antiqua"/>
          <w:b/>
          <w:bCs/>
          <w:color w:val="000000"/>
        </w:rPr>
        <w:t>Vinciguerra M</w:t>
      </w:r>
      <w:r>
        <w:rPr>
          <w:rFonts w:ascii="Book Antiqua" w:hAnsi="Book Antiqua" w:eastAsia="Book Antiqua" w:cs="Book Antiqua"/>
          <w:color w:val="000000"/>
        </w:rPr>
        <w:t xml:space="preserve">, Mazzoccoli G, Piccoli C, Tataranni T, Andriulli A, Pazienza V. Exploitation of host clock gene machinery by hepatitis viruses B and C.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8902-8909 [PMID: 24379614 DOI: 10.3748/wjg.v19.i47.8902]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Cheng Z</w:t>
      </w:r>
      <w:r>
        <w:rPr>
          <w:rFonts w:ascii="Book Antiqua" w:hAnsi="Book Antiqua" w:eastAsia="Book Antiqua" w:cs="Book Antiqua"/>
          <w:color w:val="000000"/>
        </w:rPr>
        <w:t xml:space="preserve">, Lin P, Cheng N. HBV/HIV Coinfection: Impact on the Development and Clinical Treatment of Liver Diseases.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713981 [PMID: 34676223 DOI: 10.3389/fmed.2021.713981]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 </w:t>
      </w:r>
      <w:r>
        <w:rPr>
          <w:rFonts w:ascii="Book Antiqua" w:hAnsi="Book Antiqua" w:eastAsia="Book Antiqua" w:cs="Book Antiqua"/>
          <w:b/>
          <w:bCs/>
          <w:color w:val="000000"/>
        </w:rPr>
        <w:t>Al-Sadeq DW</w:t>
      </w:r>
      <w:r>
        <w:rPr>
          <w:rFonts w:ascii="Book Antiqua" w:hAnsi="Book Antiqua" w:eastAsia="Book Antiqua" w:cs="Book Antiqua"/>
          <w:color w:val="000000"/>
        </w:rPr>
        <w:t xml:space="preserve">, Taleb SA, Zaied RE, Fahad SM, Smatti MK, Rizeq BR, Al Thani AA, Yassine HM, Nasrallah GK. Hepatitis B Virus Molecular Epidemiology, Host-Virus Interaction, Coinfection, and Laboratory Diagnosis in the MENA Region: An Update. </w:t>
      </w:r>
      <w:r>
        <w:rPr>
          <w:rFonts w:ascii="Book Antiqua" w:hAnsi="Book Antiqua" w:eastAsia="Book Antiqua" w:cs="Book Antiqua"/>
          <w:i/>
          <w:iCs/>
          <w:color w:val="000000"/>
        </w:rPr>
        <w:t>Pathogens</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xml:space="preserve"> [PMID: 31083509 DOI: 10.3390/PATHOGENS8020063]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 </w:t>
      </w:r>
      <w:r>
        <w:rPr>
          <w:rFonts w:ascii="Book Antiqua" w:hAnsi="Book Antiqua" w:eastAsia="Book Antiqua" w:cs="Book Antiqua"/>
          <w:b/>
          <w:bCs/>
          <w:color w:val="000000"/>
        </w:rPr>
        <w:t>Liang Y</w:t>
      </w:r>
      <w:r>
        <w:rPr>
          <w:rFonts w:ascii="Book Antiqua" w:hAnsi="Book Antiqua" w:eastAsia="Book Antiqua" w:cs="Book Antiqua"/>
          <w:color w:val="000000"/>
        </w:rPr>
        <w:t xml:space="preserve">, Bai X, Liu X, Zhang Z, Pang X, Nie L, Qiu W, Zhao W, Hu G. Hepatitis B Vaccination Coverage Rates and Associated Factors: A Community-Based, Cross-Sectional Study Conducted in Beijing, 2019-2020. </w:t>
      </w:r>
      <w:r>
        <w:rPr>
          <w:rFonts w:ascii="Book Antiqua" w:hAnsi="Book Antiqua" w:eastAsia="Book Antiqua" w:cs="Book Antiqua"/>
          <w:i/>
          <w:iCs/>
          <w:color w:val="000000"/>
        </w:rPr>
        <w:t>Vaccines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34696178 DOI: 10.3390/VACCINES9101070]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 </w:t>
      </w:r>
      <w:r>
        <w:rPr>
          <w:rFonts w:ascii="Book Antiqua" w:hAnsi="Book Antiqua" w:eastAsia="Book Antiqua" w:cs="Book Antiqua"/>
          <w:b/>
          <w:bCs/>
          <w:color w:val="000000"/>
        </w:rPr>
        <w:t>Yuen MF</w:t>
      </w:r>
      <w:r>
        <w:rPr>
          <w:rFonts w:ascii="Book Antiqua" w:hAnsi="Book Antiqua" w:eastAsia="Book Antiqua" w:cs="Book Antiqua"/>
          <w:color w:val="000000"/>
        </w:rPr>
        <w:t xml:space="preserve">, Heo J, Jang JW, Yoon JH, Kweon YO, Park SJ, Tami Y, You S, Yates P, Tao Y, Cremer J, Campbell F, Elston R, Theodore D, Paff M, Bennett CF, Kwoh TJ. Safety, tolerability and antiviral activity of the antisense oligonucleotide bepirovirsen in patients with chronic hepatitis B: a phase 2 randomized controlled trial.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1725-1734 [PMID: 34642494 DOI: 10.1038/s41591-021-01513-4]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 </w:t>
      </w:r>
      <w:r>
        <w:rPr>
          <w:rFonts w:ascii="Book Antiqua" w:hAnsi="Book Antiqua" w:eastAsia="Book Antiqua" w:cs="Book Antiqua"/>
          <w:b/>
          <w:bCs/>
          <w:color w:val="000000"/>
        </w:rPr>
        <w:t>Splawn LM</w:t>
      </w:r>
      <w:r>
        <w:rPr>
          <w:rFonts w:ascii="Book Antiqua" w:hAnsi="Book Antiqua" w:eastAsia="Book Antiqua" w:cs="Book Antiqua"/>
          <w:color w:val="000000"/>
        </w:rPr>
        <w:t xml:space="preserve">, Bailey CA, Medina JP, Cho JC. Heplisav-B vaccination for the prevention of hepatitis B virus infection in adults in the United States. </w:t>
      </w:r>
      <w:r>
        <w:rPr>
          <w:rFonts w:ascii="Book Antiqua" w:hAnsi="Book Antiqua" w:eastAsia="Book Antiqua" w:cs="Book Antiqua"/>
          <w:i/>
          <w:iCs/>
          <w:color w:val="000000"/>
        </w:rPr>
        <w:t>Drugs Today (Barc)</w:t>
      </w:r>
      <w:r>
        <w:rPr>
          <w:rFonts w:ascii="Book Antiqua" w:hAnsi="Book Antiqua" w:eastAsia="Book Antiqua" w:cs="Book Antiqua"/>
          <w:color w:val="000000"/>
        </w:rPr>
        <w:t xml:space="preserve"> 2018; </w:t>
      </w:r>
      <w:r>
        <w:rPr>
          <w:rFonts w:ascii="Book Antiqua" w:hAnsi="Book Antiqua" w:eastAsia="Book Antiqua" w:cs="Book Antiqua"/>
          <w:b/>
          <w:bCs/>
          <w:color w:val="000000"/>
        </w:rPr>
        <w:t>54</w:t>
      </w:r>
      <w:r>
        <w:rPr>
          <w:rFonts w:ascii="Book Antiqua" w:hAnsi="Book Antiqua" w:eastAsia="Book Antiqua" w:cs="Book Antiqua"/>
          <w:color w:val="000000"/>
        </w:rPr>
        <w:t>: 399-405 [PMID: 30090877 DOI: 10.1358/dot.2018.54.7.2833984]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 </w:t>
      </w:r>
      <w:r>
        <w:rPr>
          <w:rFonts w:ascii="Book Antiqua" w:hAnsi="Book Antiqua" w:eastAsia="Book Antiqua" w:cs="Book Antiqua"/>
          <w:b/>
          <w:bCs/>
          <w:color w:val="000000"/>
        </w:rPr>
        <w:t>Kappus MR</w:t>
      </w:r>
      <w:r>
        <w:rPr>
          <w:rFonts w:ascii="Book Antiqua" w:hAnsi="Book Antiqua" w:eastAsia="Book Antiqua" w:cs="Book Antiqua"/>
          <w:color w:val="000000"/>
        </w:rPr>
        <w:t xml:space="preserve">, Sterling RK. Extrahepatic manifestations of acute hepatitis B virus infection. </w:t>
      </w:r>
      <w:r>
        <w:rPr>
          <w:rFonts w:ascii="Book Antiqua" w:hAnsi="Book Antiqua" w:eastAsia="Book Antiqua" w:cs="Book Antiqua"/>
          <w:i/>
          <w:iCs/>
          <w:color w:val="000000"/>
        </w:rPr>
        <w:t>Gastroenterol Hepatol (N Y)</w:t>
      </w:r>
      <w:r>
        <w:rPr>
          <w:rFonts w:ascii="Book Antiqua" w:hAnsi="Book Antiqua" w:eastAsia="Book Antiqua" w:cs="Book Antiqua"/>
          <w:color w:val="000000"/>
        </w:rPr>
        <w:t xml:space="preserve"> 2013; </w:t>
      </w:r>
      <w:r>
        <w:rPr>
          <w:rFonts w:ascii="Book Antiqua" w:hAnsi="Book Antiqua" w:eastAsia="Book Antiqua" w:cs="Book Antiqua"/>
          <w:b/>
          <w:bCs/>
          <w:color w:val="000000"/>
        </w:rPr>
        <w:t>9</w:t>
      </w:r>
      <w:r>
        <w:rPr>
          <w:rFonts w:ascii="Book Antiqua" w:hAnsi="Book Antiqua" w:eastAsia="Book Antiqua" w:cs="Book Antiqua"/>
          <w:color w:val="000000"/>
        </w:rPr>
        <w:t>: 123-126 [PMID: 23983659 DOI: 10.1016/s0976-0016(11)60191-9]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13 </w:t>
      </w:r>
      <w:r>
        <w:rPr>
          <w:rFonts w:ascii="Book Antiqua" w:hAnsi="Book Antiqua" w:eastAsia="Book Antiqua" w:cs="Book Antiqua"/>
          <w:b/>
          <w:bCs/>
          <w:color w:val="000000"/>
        </w:rPr>
        <w:t>Chen L</w:t>
      </w:r>
      <w:r>
        <w:rPr>
          <w:rFonts w:ascii="Book Antiqua" w:hAnsi="Book Antiqua" w:eastAsia="Book Antiqua" w:cs="Book Antiqua"/>
          <w:color w:val="000000"/>
        </w:rPr>
        <w:t xml:space="preserve">, Bao D, Gu L, Gu Y, Zhou L, Gao Z, Huang Y. Co-infection with hepatitis B virus among tuberculosis patients is associated with poor outcomes during anti-tuberculosis treatment.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18</w:t>
      </w:r>
      <w:r>
        <w:rPr>
          <w:rFonts w:ascii="Book Antiqua" w:hAnsi="Book Antiqua" w:eastAsia="Book Antiqua" w:cs="Book Antiqua"/>
          <w:color w:val="000000"/>
        </w:rPr>
        <w:t>: 295 [PMID: 29970037 DOI: 10.1186/s12879-018-3192-8]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14 </w:t>
      </w:r>
      <w:r>
        <w:rPr>
          <w:rFonts w:ascii="Book Antiqua" w:hAnsi="Book Antiqua" w:eastAsia="Book Antiqua" w:cs="Book Antiqua"/>
          <w:b/>
          <w:bCs/>
          <w:color w:val="000000"/>
        </w:rPr>
        <w:t>Yue L</w:t>
      </w:r>
      <w:r>
        <w:rPr>
          <w:rFonts w:ascii="Book Antiqua" w:hAnsi="Book Antiqua" w:eastAsia="Book Antiqua" w:cs="Book Antiqua"/>
          <w:color w:val="000000"/>
        </w:rPr>
        <w:t xml:space="preserve">, Li C, Xu M, Wu M, Ding J, Liu J, Zhang X, Yuan Z. Probing the spatiotemporal patterns of HBV multiplication reveals novel features of its subcellular processes. </w:t>
      </w:r>
      <w:r>
        <w:rPr>
          <w:rFonts w:ascii="Book Antiqua" w:hAnsi="Book Antiqua" w:eastAsia="Book Antiqua" w:cs="Book Antiqua"/>
          <w:i/>
          <w:iCs/>
          <w:color w:val="000000"/>
        </w:rPr>
        <w:t>PLoS Pathog</w:t>
      </w:r>
      <w:r>
        <w:rPr>
          <w:rFonts w:ascii="Book Antiqua" w:hAnsi="Book Antiqua" w:eastAsia="Book Antiqua" w:cs="Book Antiqua"/>
          <w:color w:val="000000"/>
        </w:rPr>
        <w:t xml:space="preserve"> 2021; </w:t>
      </w:r>
      <w:r>
        <w:rPr>
          <w:rFonts w:ascii="Book Antiqua" w:hAnsi="Book Antiqua" w:eastAsia="Book Antiqua" w:cs="Book Antiqua"/>
          <w:b/>
          <w:bCs/>
          <w:color w:val="000000"/>
        </w:rPr>
        <w:t>17</w:t>
      </w:r>
      <w:r>
        <w:rPr>
          <w:rFonts w:ascii="Book Antiqua" w:hAnsi="Book Antiqua" w:eastAsia="Book Antiqua" w:cs="Book Antiqua"/>
          <w:color w:val="000000"/>
        </w:rPr>
        <w:t>: e1009838 [PMID: 34370796 DOI: 10.1371/journal.ppat.1009838]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15 </w:t>
      </w:r>
      <w:r>
        <w:rPr>
          <w:rFonts w:ascii="Book Antiqua" w:hAnsi="Book Antiqua" w:eastAsia="Book Antiqua" w:cs="Book Antiqua"/>
          <w:b/>
          <w:bCs/>
          <w:color w:val="000000"/>
        </w:rPr>
        <w:t>Le Bert N</w:t>
      </w:r>
      <w:r>
        <w:rPr>
          <w:rFonts w:ascii="Book Antiqua" w:hAnsi="Book Antiqua" w:eastAsia="Book Antiqua" w:cs="Book Antiqua"/>
          <w:color w:val="000000"/>
        </w:rPr>
        <w:t xml:space="preserve">, Gill US, Hong M, Kunasegaran K, Tan DZM, Ahmad R, Cheng Y, Dutertre CA, Heinecke A, Rivino L, Tan A, Hansi NK, Zhang M, Xi S, Chong Y, Pflanz S, Newell EW, Kennedy PTF, Bertoletti A. Effects of Hepatitis B Surface Antigen on Virus-Specific and Global T Cells in Patients With Chronic Hepatitis B Virus infection.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2020; </w:t>
      </w:r>
      <w:r>
        <w:rPr>
          <w:rFonts w:ascii="Book Antiqua" w:hAnsi="Book Antiqua" w:eastAsia="Book Antiqua" w:cs="Book Antiqua"/>
          <w:b/>
          <w:bCs/>
          <w:color w:val="000000"/>
        </w:rPr>
        <w:t>159</w:t>
      </w:r>
      <w:r>
        <w:rPr>
          <w:rFonts w:ascii="Book Antiqua" w:hAnsi="Book Antiqua" w:eastAsia="Book Antiqua" w:cs="Book Antiqua"/>
          <w:color w:val="000000"/>
        </w:rPr>
        <w:t>: 652-664 [PMID: 32302614 DOI: 10.1053/j.gastro.2020.04.019]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16 </w:t>
      </w:r>
      <w:r>
        <w:rPr>
          <w:rFonts w:ascii="Book Antiqua" w:hAnsi="Book Antiqua" w:eastAsia="Book Antiqua" w:cs="Book Antiqua"/>
          <w:b/>
          <w:bCs/>
          <w:color w:val="000000"/>
        </w:rPr>
        <w:t>Terrault NA</w:t>
      </w:r>
      <w:r>
        <w:rPr>
          <w:rFonts w:ascii="Book Antiqua" w:hAnsi="Book Antiqua" w:eastAsia="Book Antiqua" w:cs="Book Antiqua"/>
          <w:color w:val="000000"/>
        </w:rPr>
        <w:t xml:space="preserve">, Lok ASF, McMahon BJ, Chang KM, Hwang JP, Jonas MM, Brown RS Jr, Bzowej NH, Wong JB. Update on prevention, diagnosis, and treatment of chronic hepatitis B: AASLD 2018 hepatitis B guidance.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2018; </w:t>
      </w:r>
      <w:r>
        <w:rPr>
          <w:rFonts w:ascii="Book Antiqua" w:hAnsi="Book Antiqua" w:eastAsia="Book Antiqua" w:cs="Book Antiqua"/>
          <w:b/>
          <w:bCs/>
          <w:color w:val="000000"/>
        </w:rPr>
        <w:t>67</w:t>
      </w:r>
      <w:r>
        <w:rPr>
          <w:rFonts w:ascii="Book Antiqua" w:hAnsi="Book Antiqua" w:eastAsia="Book Antiqua" w:cs="Book Antiqua"/>
          <w:color w:val="000000"/>
        </w:rPr>
        <w:t>: 1560-1599 [PMID: 29405329 DOI: 10.1002/hep.29800]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17 </w:t>
      </w:r>
      <w:r>
        <w:rPr>
          <w:rFonts w:ascii="Book Antiqua" w:hAnsi="Book Antiqua" w:eastAsia="Book Antiqua" w:cs="Book Antiqua"/>
          <w:b/>
          <w:bCs/>
          <w:color w:val="000000"/>
        </w:rPr>
        <w:t>Lim HK</w:t>
      </w:r>
      <w:r>
        <w:rPr>
          <w:rFonts w:ascii="Book Antiqua" w:hAnsi="Book Antiqua" w:eastAsia="Book Antiqua" w:cs="Book Antiqua"/>
          <w:color w:val="000000"/>
        </w:rPr>
        <w:t xml:space="preserve">, Jeffrey GP, Ramm GA, Soekmadji C. Pathogenesis of Viral Hepatitis-Induced Chronic Liver Disease: Role of Extracellular Vesicles. </w:t>
      </w:r>
      <w:r>
        <w:rPr>
          <w:rFonts w:ascii="Book Antiqua" w:hAnsi="Book Antiqua" w:eastAsia="Book Antiqua" w:cs="Book Antiqua"/>
          <w:i/>
          <w:iCs/>
          <w:color w:val="000000"/>
        </w:rPr>
        <w:t>Front Cell Infect Microbiol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587628 [PMID: 33240824 DOI: 10.3389/fcimb.2020.587628]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18 </w:t>
      </w:r>
      <w:r>
        <w:rPr>
          <w:rFonts w:ascii="Book Antiqua" w:hAnsi="Book Antiqua" w:eastAsia="Book Antiqua" w:cs="Book Antiqua"/>
          <w:b/>
          <w:bCs/>
          <w:color w:val="000000"/>
        </w:rPr>
        <w:t>Peng L</w:t>
      </w:r>
      <w:r>
        <w:rPr>
          <w:rFonts w:ascii="Book Antiqua" w:hAnsi="Book Antiqua" w:eastAsia="Book Antiqua" w:cs="Book Antiqua"/>
          <w:bCs/>
          <w:color w:val="000000"/>
        </w:rPr>
        <w:t>,</w:t>
      </w:r>
      <w:r>
        <w:rPr>
          <w:rFonts w:ascii="Book Antiqua" w:hAnsi="Book Antiqua" w:eastAsia="Book Antiqua" w:cs="Book Antiqua"/>
          <w:color w:val="000000"/>
        </w:rPr>
        <w:t xml:space="preserve"> Gao ZL, Wang YM, He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DM, Zhao JM, Bai XF, Wang XJ, Peng L, Gao ZL, Wang YM, He DM, Zhao JM, Bai XF, Wang XJ. Clinical Manifestations and Laboratory Tests of AECHB and Severe Hepatitis (Liver Failure). In: Ning Q. Acute Exacerbation of Chronic Hepatitis B. Dordrecht: Springer, </w:t>
      </w:r>
      <w:r>
        <w:rPr>
          <w:rFonts w:ascii="Book Antiqua" w:hAnsi="Book Antiqua" w:eastAsia="Book Antiqua" w:cs="Book Antiqua"/>
          <w:bCs/>
          <w:color w:val="000000"/>
        </w:rPr>
        <w:t>2019</w:t>
      </w:r>
      <w:r>
        <w:rPr>
          <w:rFonts w:ascii="Book Antiqua" w:hAnsi="Book Antiqua" w:eastAsia="Book Antiqua" w:cs="Book Antiqua"/>
          <w:color w:val="000000"/>
        </w:rPr>
        <w:t>:1-89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19 </w:t>
      </w:r>
      <w:r>
        <w:rPr>
          <w:rFonts w:ascii="Book Antiqua" w:hAnsi="Book Antiqua" w:eastAsia="Book Antiqua" w:cs="Book Antiqua"/>
          <w:b/>
          <w:bCs/>
          <w:color w:val="000000"/>
        </w:rPr>
        <w:t>Alqahtani SA</w:t>
      </w:r>
      <w:r>
        <w:rPr>
          <w:rFonts w:ascii="Book Antiqua" w:hAnsi="Book Antiqua" w:eastAsia="Book Antiqua" w:cs="Book Antiqua"/>
          <w:bCs/>
          <w:color w:val="000000"/>
        </w:rPr>
        <w:t>,</w:t>
      </w:r>
      <w:r>
        <w:rPr>
          <w:rFonts w:ascii="Book Antiqua" w:hAnsi="Book Antiqua" w:eastAsia="Book Antiqua" w:cs="Book Antiqua"/>
          <w:color w:val="000000"/>
        </w:rPr>
        <w:t xml:space="preserve"> Colombo M. Viral hepatitis as a risk factor for the development of hepatocellular carcinoma. </w:t>
      </w:r>
      <w:r>
        <w:rPr>
          <w:rFonts w:ascii="Book Antiqua" w:hAnsi="Book Antiqua" w:eastAsia="Book Antiqua" w:cs="Book Antiqua"/>
          <w:i/>
          <w:color w:val="000000"/>
        </w:rPr>
        <w:t>Hepatoma Res</w:t>
      </w:r>
      <w:r>
        <w:rPr>
          <w:rFonts w:ascii="Book Antiqua" w:hAnsi="Book Antiqua" w:eastAsia="Book Antiqua" w:cs="Book Antiqua"/>
          <w:color w:val="000000"/>
        </w:rPr>
        <w:t xml:space="preserve"> 2020;</w:t>
      </w:r>
      <w:r>
        <w:rPr>
          <w:rFonts w:ascii="Book Antiqua" w:hAnsi="Book Antiqua" w:cs="Book Antiqua"/>
          <w:color w:val="000000"/>
          <w:lang w:eastAsia="zh-CN"/>
        </w:rPr>
        <w:t xml:space="preserve"> </w:t>
      </w:r>
      <w:r>
        <w:rPr>
          <w:rFonts w:ascii="Book Antiqua" w:hAnsi="Book Antiqua" w:eastAsia="Book Antiqua" w:cs="Book Antiqua"/>
          <w:b/>
          <w:color w:val="000000"/>
        </w:rPr>
        <w:t>6</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58 [DOI: 10.20517/2394-5079.2020.49]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20 </w:t>
      </w:r>
      <w:r>
        <w:rPr>
          <w:rFonts w:ascii="Book Antiqua" w:hAnsi="Book Antiqua" w:eastAsia="Book Antiqua" w:cs="Book Antiqua"/>
          <w:b/>
          <w:bCs/>
          <w:color w:val="000000"/>
        </w:rPr>
        <w:t>Wu J</w:t>
      </w:r>
      <w:r>
        <w:rPr>
          <w:rFonts w:ascii="Book Antiqua" w:hAnsi="Book Antiqua" w:eastAsia="Book Antiqua" w:cs="Book Antiqua"/>
          <w:color w:val="000000"/>
        </w:rPr>
        <w:t xml:space="preserve">, Han M, Li J, Yang X, Yang D. Immunopathogenesis of HBV Infection. </w:t>
      </w:r>
      <w:r>
        <w:rPr>
          <w:rFonts w:ascii="Book Antiqua" w:hAnsi="Book Antiqua" w:eastAsia="Book Antiqua" w:cs="Book Antiqua"/>
          <w:i/>
          <w:iCs/>
          <w:color w:val="000000"/>
        </w:rPr>
        <w:t>Adv Exp Med Biol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1179</w:t>
      </w:r>
      <w:r>
        <w:rPr>
          <w:rFonts w:ascii="Book Antiqua" w:hAnsi="Book Antiqua" w:eastAsia="Book Antiqua" w:cs="Book Antiqua"/>
          <w:color w:val="000000"/>
        </w:rPr>
        <w:t>: 71-107 [PMID: 31741334 DOI: 10.1007/978-981-13-9151-4_4]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21 </w:t>
      </w:r>
      <w:r>
        <w:rPr>
          <w:rFonts w:ascii="Book Antiqua" w:hAnsi="Book Antiqua" w:eastAsia="Book Antiqua" w:cs="Book Antiqua"/>
          <w:b/>
          <w:bCs/>
          <w:color w:val="000000"/>
        </w:rPr>
        <w:t>Cai Y</w:t>
      </w:r>
      <w:r>
        <w:rPr>
          <w:rFonts w:ascii="Book Antiqua" w:hAnsi="Book Antiqua" w:eastAsia="Book Antiqua" w:cs="Book Antiqua"/>
          <w:color w:val="000000"/>
        </w:rPr>
        <w:t xml:space="preserve">, Yin W. The Multiple Functions of B Cells in Chronic HBV Infection.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582292 [PMID: 33381113 DOI: 10.3389/fimmu.2020.582292]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22 </w:t>
      </w:r>
      <w:r>
        <w:rPr>
          <w:rFonts w:ascii="Book Antiqua" w:hAnsi="Book Antiqua" w:eastAsia="Book Antiqua" w:cs="Book Antiqua"/>
          <w:b/>
          <w:bCs/>
          <w:color w:val="000000"/>
        </w:rPr>
        <w:t>Kafeero HM</w:t>
      </w:r>
      <w:r>
        <w:rPr>
          <w:rFonts w:ascii="Book Antiqua" w:hAnsi="Book Antiqua" w:eastAsia="Book Antiqua" w:cs="Book Antiqua"/>
          <w:color w:val="000000"/>
        </w:rPr>
        <w:t xml:space="preserve">, Ndagire D, Ocama P, Kudamba A, Walusansa A, Sendagire H. Prevalence and predictors of hepatitis B virus (HBV) infection in east Africa: evidence from a systematic review and meta-analysis of epidemiological studies published from 2005 to 2020. </w:t>
      </w:r>
      <w:r>
        <w:rPr>
          <w:rFonts w:ascii="Book Antiqua" w:hAnsi="Book Antiqua" w:eastAsia="Book Antiqua" w:cs="Book Antiqua"/>
          <w:i/>
          <w:iCs/>
          <w:color w:val="000000"/>
        </w:rPr>
        <w:t>Arch Public Health</w:t>
      </w:r>
      <w:r>
        <w:rPr>
          <w:rFonts w:ascii="Book Antiqua" w:hAnsi="Book Antiqua" w:eastAsia="Book Antiqua" w:cs="Book Antiqua"/>
          <w:color w:val="000000"/>
        </w:rPr>
        <w:t xml:space="preserve"> 2021; </w:t>
      </w:r>
      <w:r>
        <w:rPr>
          <w:rFonts w:ascii="Book Antiqua" w:hAnsi="Book Antiqua" w:eastAsia="Book Antiqua" w:cs="Book Antiqua"/>
          <w:b/>
          <w:bCs/>
          <w:color w:val="000000"/>
        </w:rPr>
        <w:t>79</w:t>
      </w:r>
      <w:r>
        <w:rPr>
          <w:rFonts w:ascii="Book Antiqua" w:hAnsi="Book Antiqua" w:eastAsia="Book Antiqua" w:cs="Book Antiqua"/>
          <w:color w:val="000000"/>
        </w:rPr>
        <w:t>: 167 [PMID: 34537079 DOI: 10.1186/s13690-021-00686-1]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23 </w:t>
      </w:r>
      <w:r>
        <w:rPr>
          <w:rFonts w:ascii="Book Antiqua" w:hAnsi="Book Antiqua" w:eastAsia="Book Antiqua" w:cs="Book Antiqua"/>
          <w:b/>
          <w:bCs/>
          <w:color w:val="000000"/>
        </w:rPr>
        <w:t>Nelson NP</w:t>
      </w:r>
      <w:r>
        <w:rPr>
          <w:rFonts w:ascii="Book Antiqua" w:hAnsi="Book Antiqua" w:eastAsia="Book Antiqua" w:cs="Book Antiqua"/>
          <w:color w:val="000000"/>
        </w:rPr>
        <w:t xml:space="preserve">, Easterbrook PJ, McMahon BJ. Epidemiology of Hepatitis B Virus Infection and Impact of Vaccination on Disease. </w:t>
      </w:r>
      <w:r>
        <w:rPr>
          <w:rFonts w:ascii="Book Antiqua" w:hAnsi="Book Antiqua" w:eastAsia="Book Antiqua" w:cs="Book Antiqua"/>
          <w:i/>
          <w:iCs/>
          <w:color w:val="000000"/>
        </w:rPr>
        <w:t>Clin Liver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20</w:t>
      </w:r>
      <w:r>
        <w:rPr>
          <w:rFonts w:ascii="Book Antiqua" w:hAnsi="Book Antiqua" w:eastAsia="Book Antiqua" w:cs="Book Antiqua"/>
          <w:color w:val="000000"/>
        </w:rPr>
        <w:t>: 607-628 [PMID: 27742003 DOI: 10.1016/j.cld.2016.06.006]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MacLachlan JH</w:t>
      </w:r>
      <w:r>
        <w:rPr>
          <w:rFonts w:ascii="Book Antiqua" w:hAnsi="Book Antiqua" w:eastAsia="Book Antiqua" w:cs="Book Antiqua"/>
          <w:color w:val="000000"/>
        </w:rPr>
        <w:t xml:space="preserve">, Cowie BC. Hepatitis B virus epidemiology.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5</w:t>
      </w:r>
      <w:r>
        <w:rPr>
          <w:rFonts w:ascii="Book Antiqua" w:hAnsi="Book Antiqua" w:eastAsia="Book Antiqua" w:cs="Book Antiqua"/>
          <w:color w:val="000000"/>
        </w:rPr>
        <w:t>: a021410 [PMID: 25934461 DOI: 10.1101/cshperspect.a021410]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25 </w:t>
      </w:r>
      <w:r>
        <w:rPr>
          <w:rFonts w:ascii="Book Antiqua" w:hAnsi="Book Antiqua" w:eastAsia="Book Antiqua" w:cs="Book Antiqua"/>
          <w:b/>
          <w:bCs/>
          <w:color w:val="000000"/>
        </w:rPr>
        <w:t>Nguyen MH</w:t>
      </w:r>
      <w:r>
        <w:rPr>
          <w:rFonts w:ascii="Book Antiqua" w:hAnsi="Book Antiqua" w:eastAsia="Book Antiqua" w:cs="Book Antiqua"/>
          <w:color w:val="000000"/>
        </w:rPr>
        <w:t xml:space="preserve">, Wong G, Gane E, Kao JH, Dusheiko G. Hepatitis B Virus: Advances in Prevention, Diagnosis, and Therapy. </w:t>
      </w:r>
      <w:r>
        <w:rPr>
          <w:rFonts w:ascii="Book Antiqua" w:hAnsi="Book Antiqua" w:eastAsia="Book Antiqua" w:cs="Book Antiqua"/>
          <w:i/>
          <w:iCs/>
          <w:color w:val="000000"/>
        </w:rPr>
        <w:t>Clin Microbiol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33</w:t>
      </w:r>
      <w:r>
        <w:rPr>
          <w:rFonts w:ascii="Book Antiqua" w:hAnsi="Book Antiqua" w:eastAsia="Book Antiqua" w:cs="Book Antiqua"/>
          <w:color w:val="000000"/>
        </w:rPr>
        <w:t xml:space="preserve"> [PMID: 32102898 DOI: 10.1128/CMR.00046-19]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26 </w:t>
      </w:r>
      <w:r>
        <w:rPr>
          <w:rFonts w:ascii="Book Antiqua" w:hAnsi="Book Antiqua" w:eastAsia="Book Antiqua" w:cs="Book Antiqua"/>
          <w:b/>
          <w:bCs/>
          <w:color w:val="000000"/>
        </w:rPr>
        <w:t>Schillie S</w:t>
      </w:r>
      <w:r>
        <w:rPr>
          <w:rFonts w:ascii="Book Antiqua" w:hAnsi="Book Antiqua" w:eastAsia="Book Antiqua" w:cs="Book Antiqua"/>
          <w:color w:val="000000"/>
        </w:rPr>
        <w:t xml:space="preserve">, Vellozzi C, Reingold A, Harris A, Haber P, Ward JW, Nelson NP. Prevention of Hepatitis B Virus Infection in the United States: Recommendations of the Advisory Committee on Immunization Practices. </w:t>
      </w:r>
      <w:r>
        <w:rPr>
          <w:rFonts w:ascii="Book Antiqua" w:hAnsi="Book Antiqua" w:eastAsia="Book Antiqua" w:cs="Book Antiqua"/>
          <w:i/>
          <w:iCs/>
          <w:color w:val="000000"/>
        </w:rPr>
        <w:t>MMWR Recomm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67</w:t>
      </w:r>
      <w:r>
        <w:rPr>
          <w:rFonts w:ascii="Book Antiqua" w:hAnsi="Book Antiqua" w:eastAsia="Book Antiqua" w:cs="Book Antiqua"/>
          <w:color w:val="000000"/>
        </w:rPr>
        <w:t>: 1-31 [PMID: 29939980 DOI: 10.15585/mmwr.rr6701a1]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27 </w:t>
      </w:r>
      <w:r>
        <w:rPr>
          <w:rFonts w:ascii="Book Antiqua" w:hAnsi="Book Antiqua" w:eastAsia="Book Antiqua" w:cs="Book Antiqua"/>
          <w:b/>
          <w:bCs/>
          <w:color w:val="000000"/>
        </w:rPr>
        <w:t>Drazilova S</w:t>
      </w:r>
      <w:r>
        <w:rPr>
          <w:rFonts w:ascii="Book Antiqua" w:hAnsi="Book Antiqua" w:eastAsia="Book Antiqua" w:cs="Book Antiqua"/>
          <w:color w:val="000000"/>
        </w:rPr>
        <w:t xml:space="preserve">, Kristian P, Janicko M, Halanova M, Safcak D, Dorcakova PD, Marekova M, Pella D, Madarasova-Geckova A, Jarcuska P, HepaMeta Team. What is the Role of the Horizontal Transmission of Hepatitis B Virus Infection in Young Adult and Middle-Aged Roma Population Living in the Settlements in East Slovakia? </w:t>
      </w:r>
      <w:r>
        <w:rPr>
          <w:rFonts w:ascii="Book Antiqua" w:hAnsi="Book Antiqua" w:eastAsia="Book Antiqua" w:cs="Book Antiqua"/>
          <w:i/>
          <w:iCs/>
          <w:color w:val="000000"/>
        </w:rPr>
        <w:t>Int J Environ Res Public Health</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xml:space="preserve"> [PMID: 32397342 DOI: 10.3390/IJERPH17093293]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28 </w:t>
      </w:r>
      <w:r>
        <w:rPr>
          <w:rFonts w:ascii="Book Antiqua" w:hAnsi="Book Antiqua" w:eastAsia="Book Antiqua" w:cs="Book Antiqua"/>
          <w:b/>
          <w:bCs/>
          <w:color w:val="000000"/>
        </w:rPr>
        <w:t>Weis-Torres SMDS</w:t>
      </w:r>
      <w:r>
        <w:rPr>
          <w:rFonts w:ascii="Book Antiqua" w:hAnsi="Book Antiqua" w:eastAsia="Book Antiqua" w:cs="Book Antiqua"/>
          <w:color w:val="000000"/>
        </w:rPr>
        <w:t xml:space="preserve">, Fitts SMF, Cardoso WM, Higa Junior MG, Lima LA, Bandeira LM, Castro VOL, Carneiro FA, Iglecias LMM, Cesar GA, Tanaka TSO, Puga MAM, Rezende GR, Croda J, Lago BV, Motta-Castro ARC. High level of exposure to hepatitis B virus infection in a vulnerable population of a low endemic area: A challenge for vaccination coverage. </w:t>
      </w:r>
      <w:r>
        <w:rPr>
          <w:rFonts w:ascii="Book Antiqua" w:hAnsi="Book Antiqua" w:eastAsia="Book Antiqua" w:cs="Book Antiqua"/>
          <w:i/>
          <w:iCs/>
          <w:color w:val="000000"/>
        </w:rPr>
        <w:t>Int J Infect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90</w:t>
      </w:r>
      <w:r>
        <w:rPr>
          <w:rFonts w:ascii="Book Antiqua" w:hAnsi="Book Antiqua" w:eastAsia="Book Antiqua" w:cs="Book Antiqua"/>
          <w:color w:val="000000"/>
        </w:rPr>
        <w:t>: 46-52 [PMID: 31589921 DOI: 10.1016/j.ijid.2019.09.029]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29 </w:t>
      </w:r>
      <w:r>
        <w:rPr>
          <w:rFonts w:ascii="Book Antiqua" w:hAnsi="Book Antiqua" w:eastAsia="Book Antiqua" w:cs="Book Antiqua"/>
          <w:b/>
          <w:bCs/>
          <w:color w:val="000000"/>
        </w:rPr>
        <w:t>de Villiers MJ</w:t>
      </w:r>
      <w:r>
        <w:rPr>
          <w:rFonts w:ascii="Book Antiqua" w:hAnsi="Book Antiqua" w:eastAsia="Book Antiqua" w:cs="Book Antiqua"/>
          <w:color w:val="000000"/>
        </w:rPr>
        <w:t xml:space="preserve">, Nayagam S, Hallett TB. The impact of the timely birth dose vaccine on the global elimination of hepatitis B.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6223 [PMID: 34711822 DOI: 10.1038/s41467-021-26475-6]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30 </w:t>
      </w:r>
      <w:r>
        <w:rPr>
          <w:rFonts w:ascii="Book Antiqua" w:hAnsi="Book Antiqua" w:eastAsia="Book Antiqua" w:cs="Book Antiqua"/>
          <w:b/>
          <w:bCs/>
          <w:color w:val="000000"/>
        </w:rPr>
        <w:t>Guimarães LCDC</w:t>
      </w:r>
      <w:r>
        <w:rPr>
          <w:rFonts w:ascii="Book Antiqua" w:hAnsi="Book Antiqua" w:eastAsia="Book Antiqua" w:cs="Book Antiqua"/>
          <w:color w:val="000000"/>
        </w:rPr>
        <w:t xml:space="preserve">, Brunini S, Guimarães RA, Galdino-Júnior H, Minamisava R, da Cunha VE, Santos JRS, Silveira-Lacerda EP, Souza CM, de Oliveira VLB, Albernaz GC, de Menezes TG, Rezza G. Epidemiology of hepatitis B virus infection in people living in poverty in the central-west region of Brazil. </w:t>
      </w:r>
      <w:r>
        <w:rPr>
          <w:rFonts w:ascii="Book Antiqua" w:hAnsi="Book Antiqua" w:eastAsia="Book Antiqua" w:cs="Book Antiqua"/>
          <w:i/>
          <w:iCs/>
          <w:color w:val="000000"/>
        </w:rPr>
        <w:t>BMC Public Health</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443 [PMID: 31035990 DOI: 10.1186/s12889-019-6828-8]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31 </w:t>
      </w:r>
      <w:r>
        <w:rPr>
          <w:rFonts w:ascii="Book Antiqua" w:hAnsi="Book Antiqua" w:eastAsia="Book Antiqua" w:cs="Book Antiqua"/>
          <w:b/>
          <w:bCs/>
          <w:color w:val="000000"/>
        </w:rPr>
        <w:t>Makuza JD</w:t>
      </w:r>
      <w:r>
        <w:rPr>
          <w:rFonts w:ascii="Book Antiqua" w:hAnsi="Book Antiqua" w:eastAsia="Book Antiqua" w:cs="Book Antiqua"/>
          <w:color w:val="000000"/>
        </w:rPr>
        <w:t xml:space="preserve">, Rwema JOT, Ntihabose CK, Dushimiyimana D, Umutesi J, Nisingizwe MP, Serumondo J, Semakula M, Riedel DJ, Nsanzimana S. Prevalence of hepatitis B surface antigen (HBsAg) positivity and its associated factors in Rwanda.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381 [PMID: 31053097 DOI: 10.1186/s12879-019-4013-4]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32 </w:t>
      </w:r>
      <w:r>
        <w:rPr>
          <w:rFonts w:ascii="Book Antiqua" w:hAnsi="Book Antiqua" w:eastAsia="Book Antiqua" w:cs="Book Antiqua"/>
          <w:b/>
          <w:bCs/>
          <w:color w:val="000000"/>
        </w:rPr>
        <w:t>Fattahi MR</w:t>
      </w:r>
      <w:r>
        <w:rPr>
          <w:rFonts w:ascii="Book Antiqua" w:hAnsi="Book Antiqua" w:eastAsia="Book Antiqua" w:cs="Book Antiqua"/>
          <w:color w:val="000000"/>
        </w:rPr>
        <w:t xml:space="preserve">, Mehrabani D, Mehvarz S, Jaliani NZ, Alipour A, Davarpanah MA. The Seroprevalence of Hepatitis B in Akbar Abad Village, Kavar, Southern Iran. </w:t>
      </w:r>
      <w:r>
        <w:rPr>
          <w:rFonts w:ascii="Book Antiqua" w:hAnsi="Book Antiqua" w:eastAsia="Book Antiqua" w:cs="Book Antiqua"/>
          <w:i/>
          <w:iCs/>
          <w:color w:val="000000"/>
        </w:rPr>
        <w:t>Int J Prev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5</w:t>
      </w:r>
      <w:r>
        <w:rPr>
          <w:rFonts w:ascii="Book Antiqua" w:hAnsi="Book Antiqua" w:eastAsia="Book Antiqua" w:cs="Book Antiqua"/>
          <w:color w:val="000000"/>
        </w:rPr>
        <w:t>: S223-S230 [PMID: 26622994]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33 </w:t>
      </w:r>
      <w:r>
        <w:rPr>
          <w:rFonts w:ascii="Book Antiqua" w:hAnsi="Book Antiqua" w:eastAsia="Book Antiqua" w:cs="Book Antiqua"/>
          <w:b/>
          <w:bCs/>
          <w:color w:val="000000"/>
        </w:rPr>
        <w:t>McNaughton AL</w:t>
      </w:r>
      <w:r>
        <w:rPr>
          <w:rFonts w:ascii="Book Antiqua" w:hAnsi="Book Antiqua" w:eastAsia="Book Antiqua" w:cs="Book Antiqua"/>
          <w:color w:val="000000"/>
        </w:rPr>
        <w:t xml:space="preserve">, D'Arienzo V, Ansari MA, Lumley SF, Littlejohn M, Revill P, McKeating JA, Matthews PC. Insights From Deep Sequencing of the HBV Genome-Unique, Tiny, and Misunderstood.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2019; </w:t>
      </w:r>
      <w:r>
        <w:rPr>
          <w:rFonts w:ascii="Book Antiqua" w:hAnsi="Book Antiqua" w:eastAsia="Book Antiqua" w:cs="Book Antiqua"/>
          <w:b/>
          <w:bCs/>
          <w:color w:val="000000"/>
        </w:rPr>
        <w:t>156</w:t>
      </w:r>
      <w:r>
        <w:rPr>
          <w:rFonts w:ascii="Book Antiqua" w:hAnsi="Book Antiqua" w:eastAsia="Book Antiqua" w:cs="Book Antiqua"/>
          <w:color w:val="000000"/>
        </w:rPr>
        <w:t>: 384-399 [PMID: 30268787 DOI: 10.1053/j.gastro.2018.07.058]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34 </w:t>
      </w:r>
      <w:r>
        <w:rPr>
          <w:rFonts w:ascii="Book Antiqua" w:hAnsi="Book Antiqua" w:eastAsia="Book Antiqua" w:cs="Book Antiqua"/>
          <w:b/>
          <w:bCs/>
          <w:color w:val="000000"/>
        </w:rPr>
        <w:t>Locarnini SA</w:t>
      </w:r>
      <w:r>
        <w:rPr>
          <w:rFonts w:ascii="Book Antiqua" w:hAnsi="Book Antiqua" w:eastAsia="Book Antiqua" w:cs="Book Antiqua"/>
          <w:color w:val="000000"/>
        </w:rPr>
        <w:t xml:space="preserve">, Littlejohn M, Yuen LKW. Origins and Evolution of the Primate Hepatitis B Virus. </w:t>
      </w:r>
      <w:r>
        <w:rPr>
          <w:rFonts w:ascii="Book Antiqua" w:hAnsi="Book Antiqua" w:eastAsia="Book Antiqua" w:cs="Book Antiqua"/>
          <w:i/>
          <w:iCs/>
          <w:color w:val="000000"/>
        </w:rPr>
        <w:t>Front Microbiol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653684 [PMID: 34108947 DOI: 10.3389/fmicb.2021.653684]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35 </w:t>
      </w:r>
      <w:r>
        <w:rPr>
          <w:rFonts w:ascii="Book Antiqua" w:hAnsi="Book Antiqua" w:eastAsia="Book Antiqua" w:cs="Book Antiqua"/>
          <w:b/>
          <w:bCs/>
          <w:color w:val="000000"/>
        </w:rPr>
        <w:t>Zhang ZH</w:t>
      </w:r>
      <w:r>
        <w:rPr>
          <w:rFonts w:ascii="Book Antiqua" w:hAnsi="Book Antiqua" w:eastAsia="Book Antiqua" w:cs="Book Antiqua"/>
          <w:color w:val="000000"/>
        </w:rPr>
        <w:t xml:space="preserve">, Wu CC, Chen XW, Li X, Li J, Lu MJ. Genetic variation of hepatitis B virus and its significance for pathogenesis.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126-144 [PMID: 26755865 DOI: 10.3748/wjg.v22.i1.126]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36 </w:t>
      </w:r>
      <w:r>
        <w:rPr>
          <w:rFonts w:ascii="Book Antiqua" w:hAnsi="Book Antiqua" w:eastAsia="Book Antiqua" w:cs="Book Antiqua"/>
          <w:b/>
          <w:bCs/>
          <w:color w:val="000000"/>
        </w:rPr>
        <w:t>Tsukuda S</w:t>
      </w:r>
      <w:r>
        <w:rPr>
          <w:rFonts w:ascii="Book Antiqua" w:hAnsi="Book Antiqua" w:eastAsia="Book Antiqua" w:cs="Book Antiqua"/>
          <w:color w:val="000000"/>
        </w:rPr>
        <w:t xml:space="preserve">, Watashi K. Hepatitis B virus biology and life cycle. </w:t>
      </w:r>
      <w:r>
        <w:rPr>
          <w:rFonts w:ascii="Book Antiqua" w:hAnsi="Book Antiqua" w:eastAsia="Book Antiqua" w:cs="Book Antiqua"/>
          <w:i/>
          <w:iCs/>
          <w:color w:val="000000"/>
        </w:rPr>
        <w:t>Antiviral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182</w:t>
      </w:r>
      <w:r>
        <w:rPr>
          <w:rFonts w:ascii="Book Antiqua" w:hAnsi="Book Antiqua" w:eastAsia="Book Antiqua" w:cs="Book Antiqua"/>
          <w:color w:val="000000"/>
        </w:rPr>
        <w:t>: 104925 [PMID: 32866519 DOI: 10.1016/j.antiviral.2020.104925]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37 </w:t>
      </w:r>
      <w:r>
        <w:rPr>
          <w:rFonts w:ascii="Book Antiqua" w:hAnsi="Book Antiqua" w:eastAsia="Book Antiqua" w:cs="Book Antiqua"/>
          <w:b/>
          <w:bCs/>
          <w:color w:val="000000"/>
        </w:rPr>
        <w:t>Seeger C</w:t>
      </w:r>
      <w:r>
        <w:rPr>
          <w:rFonts w:ascii="Book Antiqua" w:hAnsi="Book Antiqua" w:eastAsia="Book Antiqua" w:cs="Book Antiqua"/>
          <w:bCs/>
          <w:color w:val="000000"/>
        </w:rPr>
        <w:t>,</w:t>
      </w:r>
      <w:r>
        <w:rPr>
          <w:rFonts w:ascii="Book Antiqua" w:hAnsi="Book Antiqua" w:eastAsia="Book Antiqua" w:cs="Book Antiqua"/>
          <w:color w:val="000000"/>
        </w:rPr>
        <w:t xml:space="preserve"> Mason WS, Lai MMC. Molecular Biology of Hepatitis Viruses. In: Arias IM, Alter HJ, Boyer JL, Cohen DE, Shafritz DA, Thorgeirsson SS, Wolkoff AW. The Liver: Biology and Pathobiology. Oxford, UK: John Wiley &amp; Sons, Ltd, 2020: 793-820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38 </w:t>
      </w:r>
      <w:r>
        <w:rPr>
          <w:rFonts w:ascii="Book Antiqua" w:hAnsi="Book Antiqua" w:eastAsia="Book Antiqua" w:cs="Book Antiqua"/>
          <w:b/>
          <w:bCs/>
          <w:color w:val="000000"/>
        </w:rPr>
        <w:t>Mohebbi A</w:t>
      </w:r>
      <w:r>
        <w:rPr>
          <w:rFonts w:ascii="Book Antiqua" w:hAnsi="Book Antiqua" w:eastAsia="Book Antiqua" w:cs="Book Antiqua"/>
          <w:color w:val="000000"/>
        </w:rPr>
        <w:t xml:space="preserve">, Lorestani N, Tahamtan A, Kargar NL, Tabarraei A. An Overview of Hepatitis B Virus Surface Antigen Secretion Inhibitors. </w:t>
      </w:r>
      <w:r>
        <w:rPr>
          <w:rFonts w:ascii="Book Antiqua" w:hAnsi="Book Antiqua" w:eastAsia="Book Antiqua" w:cs="Book Antiqua"/>
          <w:i/>
          <w:iCs/>
          <w:color w:val="000000"/>
        </w:rPr>
        <w:t>Front Microbiol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662 [PMID: 29675010 DOI: 10.3389/fmicb.2018.00662]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39 </w:t>
      </w:r>
      <w:r>
        <w:rPr>
          <w:rFonts w:ascii="Book Antiqua" w:hAnsi="Book Antiqua" w:eastAsia="Book Antiqua" w:cs="Book Antiqua"/>
          <w:b/>
          <w:bCs/>
          <w:color w:val="000000"/>
        </w:rPr>
        <w:t>Seeger C</w:t>
      </w:r>
      <w:r>
        <w:rPr>
          <w:rFonts w:ascii="Book Antiqua" w:hAnsi="Book Antiqua" w:eastAsia="Book Antiqua" w:cs="Book Antiqua"/>
          <w:color w:val="000000"/>
        </w:rPr>
        <w:t xml:space="preserve">, Mason WS. Molecular biology of hepatitis B virus infection. </w:t>
      </w:r>
      <w:r>
        <w:rPr>
          <w:rFonts w:ascii="Book Antiqua" w:hAnsi="Book Antiqua" w:eastAsia="Book Antiqua" w:cs="Book Antiqua"/>
          <w:i/>
          <w:iCs/>
          <w:color w:val="000000"/>
        </w:rPr>
        <w:t>Virology</w:t>
      </w:r>
      <w:r>
        <w:rPr>
          <w:rFonts w:ascii="Book Antiqua" w:hAnsi="Book Antiqua" w:eastAsia="Book Antiqua" w:cs="Book Antiqua"/>
          <w:color w:val="000000"/>
        </w:rPr>
        <w:t xml:space="preserve"> 2015; </w:t>
      </w:r>
      <w:r>
        <w:rPr>
          <w:rFonts w:ascii="Book Antiqua" w:hAnsi="Book Antiqua" w:eastAsia="Book Antiqua" w:cs="Book Antiqua"/>
          <w:b/>
          <w:bCs/>
          <w:color w:val="000000"/>
        </w:rPr>
        <w:t>479-480</w:t>
      </w:r>
      <w:r>
        <w:rPr>
          <w:rFonts w:ascii="Book Antiqua" w:hAnsi="Book Antiqua" w:eastAsia="Book Antiqua" w:cs="Book Antiqua"/>
          <w:color w:val="000000"/>
        </w:rPr>
        <w:t>: 672-686 [PMID: 25759099 DOI: 10.1016/j.virol.2015.02.031]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40 </w:t>
      </w:r>
      <w:r>
        <w:rPr>
          <w:rFonts w:ascii="Book Antiqua" w:hAnsi="Book Antiqua" w:eastAsia="Book Antiqua" w:cs="Book Antiqua"/>
          <w:b/>
          <w:bCs/>
          <w:color w:val="000000"/>
        </w:rPr>
        <w:t>Patel N</w:t>
      </w:r>
      <w:r>
        <w:rPr>
          <w:rFonts w:ascii="Book Antiqua" w:hAnsi="Book Antiqua" w:eastAsia="Book Antiqua" w:cs="Book Antiqua"/>
          <w:color w:val="000000"/>
        </w:rPr>
        <w:t xml:space="preserve">, White SJ, Thompson RF, Bingham R, Weiß EU, Maskell DP, Zlotnick A, Dykeman E, Tuma R, Twarock R, Ranson NA, Stockley PG. HBV RNA pre-genome encodes specific motifs that mediate interactions with the viral core protein that promote nucleocapsid assembly. </w:t>
      </w:r>
      <w:r>
        <w:rPr>
          <w:rFonts w:ascii="Book Antiqua" w:hAnsi="Book Antiqua" w:eastAsia="Book Antiqua" w:cs="Book Antiqua"/>
          <w:i/>
          <w:iCs/>
          <w:color w:val="000000"/>
        </w:rPr>
        <w:t>Nat Microbiol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w:t>
      </w:r>
      <w:r>
        <w:rPr>
          <w:rFonts w:ascii="Book Antiqua" w:hAnsi="Book Antiqua" w:eastAsia="Book Antiqua" w:cs="Book Antiqua"/>
          <w:color w:val="000000"/>
        </w:rPr>
        <w:t>: 17098 [PMID: 28628133 DOI: 10.1038/nmicrobiol.2017.98]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41 </w:t>
      </w:r>
      <w:r>
        <w:rPr>
          <w:rFonts w:ascii="Book Antiqua" w:hAnsi="Book Antiqua" w:eastAsia="Book Antiqua" w:cs="Book Antiqua"/>
          <w:b/>
          <w:bCs/>
          <w:color w:val="000000"/>
        </w:rPr>
        <w:t>Ko C</w:t>
      </w:r>
      <w:r>
        <w:rPr>
          <w:rFonts w:ascii="Book Antiqua" w:hAnsi="Book Antiqua" w:eastAsia="Book Antiqua" w:cs="Book Antiqua"/>
          <w:color w:val="000000"/>
        </w:rPr>
        <w:t xml:space="preserve">, Su J, Festag J, Bester R, Kosinska AD, Protzer U. Intramolecular recombination enables the formation of hepatitis B virus (HBV) cccDNA in mice after HBV genome transfer using recombinant AAV vectors. </w:t>
      </w:r>
      <w:r>
        <w:rPr>
          <w:rFonts w:ascii="Book Antiqua" w:hAnsi="Book Antiqua" w:eastAsia="Book Antiqua" w:cs="Book Antiqua"/>
          <w:i/>
          <w:iCs/>
          <w:color w:val="000000"/>
        </w:rPr>
        <w:t>Antiviral Res</w:t>
      </w:r>
      <w:r>
        <w:rPr>
          <w:rFonts w:ascii="Book Antiqua" w:hAnsi="Book Antiqua" w:eastAsia="Book Antiqua" w:cs="Book Antiqua"/>
          <w:color w:val="000000"/>
        </w:rPr>
        <w:t xml:space="preserve"> 2021; </w:t>
      </w:r>
      <w:r>
        <w:rPr>
          <w:rFonts w:ascii="Book Antiqua" w:hAnsi="Book Antiqua" w:eastAsia="Book Antiqua" w:cs="Book Antiqua"/>
          <w:b/>
          <w:bCs/>
          <w:color w:val="000000"/>
        </w:rPr>
        <w:t>194</w:t>
      </w:r>
      <w:r>
        <w:rPr>
          <w:rFonts w:ascii="Book Antiqua" w:hAnsi="Book Antiqua" w:eastAsia="Book Antiqua" w:cs="Book Antiqua"/>
          <w:color w:val="000000"/>
        </w:rPr>
        <w:t>: 105140 [PMID: 34284057 DOI: 10.1016/j.antiviral.2021.105140]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42 </w:t>
      </w:r>
      <w:r>
        <w:rPr>
          <w:rFonts w:ascii="Book Antiqua" w:hAnsi="Book Antiqua" w:eastAsia="Book Antiqua" w:cs="Book Antiqua"/>
          <w:b/>
          <w:bCs/>
          <w:color w:val="000000"/>
        </w:rPr>
        <w:t>Altinel K</w:t>
      </w:r>
      <w:r>
        <w:rPr>
          <w:rFonts w:ascii="Book Antiqua" w:hAnsi="Book Antiqua" w:eastAsia="Book Antiqua" w:cs="Book Antiqua"/>
          <w:color w:val="000000"/>
        </w:rPr>
        <w:t xml:space="preserve">, Hashimoto K, Wei Y, Neuveut C, Gupta I, Suzuki AM, Dos Santos A, Moreau P, Xia T, Kojima S, Kato S, Takikawa Y, Hidaka I, Shimizu M, Matsuura T, Tsubota A, Ikeda H, Nagoshi S, Suzuki H, Michel ML, Samuel D, Buendia MA, Faivre J, Carninci P. Single-Nucleotide Resolution Mapping of Hepatitis B Virus Promoters in Infected Human Livers and Hepatocellular Carcinoma. </w:t>
      </w:r>
      <w:r>
        <w:rPr>
          <w:rFonts w:ascii="Book Antiqua" w:hAnsi="Book Antiqua" w:eastAsia="Book Antiqua" w:cs="Book Antiqua"/>
          <w:i/>
          <w:iCs/>
          <w:color w:val="000000"/>
        </w:rPr>
        <w:t>J Virol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90</w:t>
      </w:r>
      <w:r>
        <w:rPr>
          <w:rFonts w:ascii="Book Antiqua" w:hAnsi="Book Antiqua" w:eastAsia="Book Antiqua" w:cs="Book Antiqua"/>
          <w:color w:val="000000"/>
        </w:rPr>
        <w:t>: 10811-10822 [PMID: 27681123 DOI: 10.1128/JVI.01625-16]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43 </w:t>
      </w:r>
      <w:r>
        <w:rPr>
          <w:rFonts w:ascii="Book Antiqua" w:hAnsi="Book Antiqua" w:eastAsia="Book Antiqua" w:cs="Book Antiqua"/>
          <w:b/>
          <w:bCs/>
          <w:color w:val="000000"/>
        </w:rPr>
        <w:t>Watanabe T</w:t>
      </w:r>
      <w:r>
        <w:rPr>
          <w:rFonts w:ascii="Book Antiqua" w:hAnsi="Book Antiqua" w:eastAsia="Book Antiqua" w:cs="Book Antiqua"/>
          <w:color w:val="000000"/>
        </w:rPr>
        <w:t xml:space="preserve">, Inoue T, Tanaka Y. Hepatitis B Core-Related Antigen and New Therapies for Hepatitis B. </w:t>
      </w:r>
      <w:r>
        <w:rPr>
          <w:rFonts w:ascii="Book Antiqua" w:hAnsi="Book Antiqua" w:eastAsia="Book Antiqua" w:cs="Book Antiqua"/>
          <w:i/>
          <w:iCs/>
          <w:color w:val="000000"/>
        </w:rPr>
        <w:t>Microorganisms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34683404 DOI: 10.3390/MICROORGANISMS9102083]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44 </w:t>
      </w:r>
      <w:r>
        <w:rPr>
          <w:rFonts w:ascii="Book Antiqua" w:hAnsi="Book Antiqua" w:eastAsia="Book Antiqua" w:cs="Book Antiqua"/>
          <w:b/>
          <w:bCs/>
          <w:color w:val="000000"/>
        </w:rPr>
        <w:t>Philips CA</w:t>
      </w:r>
      <w:r>
        <w:rPr>
          <w:rFonts w:ascii="Book Antiqua" w:hAnsi="Book Antiqua" w:eastAsia="Book Antiqua" w:cs="Book Antiqua"/>
          <w:color w:val="000000"/>
        </w:rPr>
        <w:t xml:space="preserve">, Ahamed R, Abduljaleel JK, Rajesh S, Augustine P. Critical Updates on Chronic Hepatitis B Virus Infection in 2021.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e19152 [PMID: 34733599 DOI: 10.7759/cureus.19152]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45 </w:t>
      </w:r>
      <w:r>
        <w:rPr>
          <w:rFonts w:ascii="Book Antiqua" w:hAnsi="Book Antiqua" w:eastAsia="Book Antiqua" w:cs="Book Antiqua"/>
          <w:b/>
          <w:bCs/>
          <w:color w:val="000000"/>
        </w:rPr>
        <w:t>Pavesi A</w:t>
      </w:r>
      <w:r>
        <w:rPr>
          <w:rFonts w:ascii="Book Antiqua" w:hAnsi="Book Antiqua" w:eastAsia="Book Antiqua" w:cs="Book Antiqua"/>
          <w:color w:val="000000"/>
        </w:rPr>
        <w:t xml:space="preserve">. Origin, Evolution and Stability of Overlapping Genes in Viruses: A Systematic Review. </w:t>
      </w:r>
      <w:r>
        <w:rPr>
          <w:rFonts w:ascii="Book Antiqua" w:hAnsi="Book Antiqua" w:eastAsia="Book Antiqua" w:cs="Book Antiqua"/>
          <w:i/>
          <w:iCs/>
          <w:color w:val="000000"/>
        </w:rPr>
        <w:t>Genes (Basel)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xml:space="preserve"> [PMID: 34073395 DOI: 10.3390/genes12060809]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46 </w:t>
      </w:r>
      <w:r>
        <w:rPr>
          <w:rFonts w:ascii="Book Antiqua" w:hAnsi="Book Antiqua" w:eastAsia="Book Antiqua" w:cs="Book Antiqua"/>
          <w:b/>
          <w:bCs/>
          <w:color w:val="000000"/>
        </w:rPr>
        <w:t>Zhao F</w:t>
      </w:r>
      <w:r>
        <w:rPr>
          <w:rFonts w:ascii="Book Antiqua" w:hAnsi="Book Antiqua" w:eastAsia="Book Antiqua" w:cs="Book Antiqua"/>
          <w:color w:val="000000"/>
        </w:rPr>
        <w:t xml:space="preserve">, Xie X, Tan X, Yu H, Tian M, Lv H, Qin C, Qi J, Zhu Q. The Functions of Hepatitis B Virus Encoding Proteins: Viral Persistence and Liver Pathogenesis.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691766 [PMID: 34456908 DOI: 10.3389/fimmu.2021.691766]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47 </w:t>
      </w:r>
      <w:r>
        <w:rPr>
          <w:rFonts w:ascii="Book Antiqua" w:hAnsi="Book Antiqua" w:eastAsia="Book Antiqua" w:cs="Book Antiqua"/>
          <w:b/>
          <w:bCs/>
          <w:color w:val="000000"/>
        </w:rPr>
        <w:t>Pazienza V</w:t>
      </w:r>
      <w:r>
        <w:rPr>
          <w:rFonts w:ascii="Book Antiqua" w:hAnsi="Book Antiqua" w:eastAsia="Book Antiqua" w:cs="Book Antiqua"/>
          <w:color w:val="000000"/>
        </w:rPr>
        <w:t xml:space="preserve">, Niro GA, Fontana R, Vinciguerra M, Andriulli A. Advance in molecular diagnostic tools for hepatitis B virus detection. </w:t>
      </w:r>
      <w:r>
        <w:rPr>
          <w:rFonts w:ascii="Book Antiqua" w:hAnsi="Book Antiqua" w:eastAsia="Book Antiqua" w:cs="Book Antiqua"/>
          <w:i/>
          <w:iCs/>
          <w:color w:val="000000"/>
        </w:rPr>
        <w:t>Clin Chem Lab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51</w:t>
      </w:r>
      <w:r>
        <w:rPr>
          <w:rFonts w:ascii="Book Antiqua" w:hAnsi="Book Antiqua" w:eastAsia="Book Antiqua" w:cs="Book Antiqua"/>
          <w:color w:val="000000"/>
        </w:rPr>
        <w:t>: 1707-1717 [PMID: 23612658 DOI: 10.1515/cclm-2013-0136]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48 </w:t>
      </w:r>
      <w:r>
        <w:rPr>
          <w:rFonts w:ascii="Book Antiqua" w:hAnsi="Book Antiqua" w:eastAsia="Book Antiqua" w:cs="Book Antiqua"/>
          <w:b/>
          <w:bCs/>
          <w:color w:val="000000"/>
        </w:rPr>
        <w:t>Hu J</w:t>
      </w:r>
      <w:r>
        <w:rPr>
          <w:rFonts w:ascii="Book Antiqua" w:hAnsi="Book Antiqua" w:eastAsia="Book Antiqua" w:cs="Book Antiqua"/>
          <w:color w:val="000000"/>
        </w:rPr>
        <w:t xml:space="preserve">, Liu K. Complete and Incomplete Hepatitis B Virus Particles: Formation, Function, and Application. </w:t>
      </w:r>
      <w:r>
        <w:rPr>
          <w:rFonts w:ascii="Book Antiqua" w:hAnsi="Book Antiqua" w:eastAsia="Book Antiqua" w:cs="Book Antiqua"/>
          <w:i/>
          <w:iCs/>
          <w:color w:val="000000"/>
        </w:rPr>
        <w:t>Viruses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xml:space="preserve"> [PMID: 28335554 DOI: 10.3390/V9030056]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49 </w:t>
      </w:r>
      <w:r>
        <w:rPr>
          <w:rFonts w:ascii="Book Antiqua" w:hAnsi="Book Antiqua" w:eastAsia="Book Antiqua" w:cs="Book Antiqua"/>
          <w:b/>
          <w:bCs/>
          <w:color w:val="000000"/>
        </w:rPr>
        <w:t>Pastor F</w:t>
      </w:r>
      <w:r>
        <w:rPr>
          <w:rFonts w:ascii="Book Antiqua" w:hAnsi="Book Antiqua" w:eastAsia="Book Antiqua" w:cs="Book Antiqua"/>
          <w:color w:val="000000"/>
        </w:rPr>
        <w:t xml:space="preserve">, Herrscher C, Patient R, Eymieux S, Moreau A, Burlaud-Gaillard J, Seigneuret F, de Rocquigny H, Roingeard P, Hourioux C. Direct interaction between the hepatitis B virus core and envelope proteins analyzed in a cellular context.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16178 [PMID: 31700077 DOI: 10.1038/s41598-019-52824-z]</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50 </w:t>
      </w:r>
      <w:r>
        <w:rPr>
          <w:rFonts w:ascii="Book Antiqua" w:hAnsi="Book Antiqua" w:eastAsia="Book Antiqua" w:cs="Book Antiqua"/>
          <w:b/>
          <w:bCs/>
          <w:color w:val="000000"/>
        </w:rPr>
        <w:t>Zhuang X</w:t>
      </w:r>
      <w:r>
        <w:rPr>
          <w:rFonts w:ascii="Book Antiqua" w:hAnsi="Book Antiqua" w:eastAsia="Book Antiqua" w:cs="Book Antiqua"/>
          <w:color w:val="000000"/>
        </w:rPr>
        <w:t xml:space="preserve">, Forde D, Tsukuda S, D'Arienzo V, Mailly L, Harris JM, Wing PAC, Borrmann H, Schilling M, Magri A, Rubio CO, Maidstone RJ, Iqbal M, Garzon M, Minisini R, Pirisi M, Butterworth S, Balfe P, Ray DW, Watashi K, Baumert TF, McKeating JA. Circadian control of hepatitis B virus replication.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1658 [PMID: 33712578 DOI: 10.1038/s41467-021-21821-0]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51 </w:t>
      </w:r>
      <w:r>
        <w:rPr>
          <w:rFonts w:ascii="Book Antiqua" w:hAnsi="Book Antiqua" w:eastAsia="Book Antiqua" w:cs="Book Antiqua"/>
          <w:b/>
          <w:bCs/>
          <w:color w:val="000000"/>
        </w:rPr>
        <w:t>Watashi K</w:t>
      </w:r>
      <w:r>
        <w:rPr>
          <w:rFonts w:ascii="Book Antiqua" w:hAnsi="Book Antiqua" w:eastAsia="Book Antiqua" w:cs="Book Antiqua"/>
          <w:color w:val="000000"/>
        </w:rPr>
        <w:t xml:space="preserve">, Wakita T. Hepatitis B Virus and Hepatitis D Virus Entry, Species Specificity, and Tissue Tropism.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5</w:t>
      </w:r>
      <w:r>
        <w:rPr>
          <w:rFonts w:ascii="Book Antiqua" w:hAnsi="Book Antiqua" w:eastAsia="Book Antiqua" w:cs="Book Antiqua"/>
          <w:color w:val="000000"/>
        </w:rPr>
        <w:t>: a021378 [PMID: 26238794 DOI: 10.1101/cshperspect.a021378]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52 </w:t>
      </w:r>
      <w:r>
        <w:rPr>
          <w:rFonts w:ascii="Book Antiqua" w:hAnsi="Book Antiqua" w:eastAsia="Book Antiqua" w:cs="Book Antiqua"/>
          <w:b/>
          <w:bCs/>
          <w:color w:val="000000"/>
        </w:rPr>
        <w:t>Zeyen L</w:t>
      </w:r>
      <w:r>
        <w:rPr>
          <w:rFonts w:ascii="Book Antiqua" w:hAnsi="Book Antiqua" w:eastAsia="Book Antiqua" w:cs="Book Antiqua"/>
          <w:color w:val="000000"/>
        </w:rPr>
        <w:t xml:space="preserve">, Prange R. Host Cell Rab GTPases in Hepatitis B Virus Infection. </w:t>
      </w:r>
      <w:r>
        <w:rPr>
          <w:rFonts w:ascii="Book Antiqua" w:hAnsi="Book Antiqua" w:eastAsia="Book Antiqua" w:cs="Book Antiqua"/>
          <w:i/>
          <w:iCs/>
          <w:color w:val="000000"/>
        </w:rPr>
        <w:t>Front Cell Dev Biol</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154 [PMID: 30510928 DOI: 10.3389/fcell.2018.00154]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53 </w:t>
      </w:r>
      <w:r>
        <w:rPr>
          <w:rFonts w:ascii="Book Antiqua" w:hAnsi="Book Antiqua" w:eastAsia="Book Antiqua" w:cs="Book Antiqua"/>
          <w:b/>
          <w:bCs/>
          <w:color w:val="000000"/>
        </w:rPr>
        <w:t>Lamontagne RJ</w:t>
      </w:r>
      <w:r>
        <w:rPr>
          <w:rFonts w:ascii="Book Antiqua" w:hAnsi="Book Antiqua" w:eastAsia="Book Antiqua" w:cs="Book Antiqua"/>
          <w:color w:val="000000"/>
        </w:rPr>
        <w:t xml:space="preserve">, Bagga S, Bouchard MJ. Hepatitis B virus molecular biology and pathogenesis. </w:t>
      </w:r>
      <w:r>
        <w:rPr>
          <w:rFonts w:ascii="Book Antiqua" w:hAnsi="Book Antiqua" w:eastAsia="Book Antiqua" w:cs="Book Antiqua"/>
          <w:i/>
          <w:iCs/>
          <w:color w:val="000000"/>
        </w:rPr>
        <w:t>Hepatoma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163-186 [PMID: 28042609 DOI: 10.20517/2394-5079.2016.05]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54 </w:t>
      </w:r>
      <w:r>
        <w:rPr>
          <w:rFonts w:ascii="Book Antiqua" w:hAnsi="Book Antiqua" w:eastAsia="Book Antiqua" w:cs="Book Antiqua"/>
          <w:b/>
          <w:bCs/>
          <w:color w:val="000000"/>
        </w:rPr>
        <w:t>Marchetti AL</w:t>
      </w:r>
      <w:r>
        <w:rPr>
          <w:rFonts w:ascii="Book Antiqua" w:hAnsi="Book Antiqua" w:eastAsia="Book Antiqua" w:cs="Book Antiqua"/>
          <w:color w:val="000000"/>
        </w:rPr>
        <w:t xml:space="preserve">, Guo H. New Insights on Molecular Mechanism of Hepatitis B Virus Covalently Closed Circular DNA Formation.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33172220 DOI: 10.3390/CELLS9112430]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55 </w:t>
      </w:r>
      <w:r>
        <w:rPr>
          <w:rFonts w:ascii="Book Antiqua" w:hAnsi="Book Antiqua" w:eastAsia="Book Antiqua" w:cs="Book Antiqua"/>
          <w:b/>
          <w:bCs/>
          <w:color w:val="000000"/>
        </w:rPr>
        <w:t>Tu T</w:t>
      </w:r>
      <w:r>
        <w:rPr>
          <w:rFonts w:ascii="Book Antiqua" w:hAnsi="Book Antiqua" w:eastAsia="Book Antiqua" w:cs="Book Antiqua"/>
          <w:color w:val="000000"/>
        </w:rPr>
        <w:t xml:space="preserve">, Zhang H, Urban S. Hepatitis B Virus DNA Integration: In Vitro Models for Investigating Viral Pathogenesis and Persistence. </w:t>
      </w:r>
      <w:r>
        <w:rPr>
          <w:rFonts w:ascii="Book Antiqua" w:hAnsi="Book Antiqua" w:eastAsia="Book Antiqua" w:cs="Book Antiqua"/>
          <w:i/>
          <w:iCs/>
          <w:color w:val="000000"/>
        </w:rPr>
        <w:t>Viruses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xml:space="preserve"> [PMID: 33530322 DOI: 10.3390/V13020180]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56 </w:t>
      </w:r>
      <w:r>
        <w:rPr>
          <w:rFonts w:ascii="Book Antiqua" w:hAnsi="Book Antiqua" w:eastAsia="Book Antiqua" w:cs="Book Antiqua"/>
          <w:b/>
          <w:bCs/>
          <w:color w:val="000000"/>
        </w:rPr>
        <w:t>Wang G</w:t>
      </w:r>
      <w:r>
        <w:rPr>
          <w:rFonts w:ascii="Book Antiqua" w:hAnsi="Book Antiqua" w:eastAsia="Book Antiqua" w:cs="Book Antiqua"/>
          <w:color w:val="000000"/>
        </w:rPr>
        <w:t xml:space="preserve">, Guan J, Khan NU, Li G, Shao J, Zhou Q, Xu L, Huang C, Deng J, Zhu H, Chen Z. Potential capacity of interferon-α to eliminate covalently closed circular DNA (cccDNA) in hepatocytes infected with hepatitis B virus. </w:t>
      </w:r>
      <w:r>
        <w:rPr>
          <w:rFonts w:ascii="Book Antiqua" w:hAnsi="Book Antiqua" w:eastAsia="Book Antiqua" w:cs="Book Antiqua"/>
          <w:i/>
          <w:iCs/>
          <w:color w:val="000000"/>
        </w:rPr>
        <w:t>Gut Pathog</w:t>
      </w:r>
      <w:r>
        <w:rPr>
          <w:rFonts w:ascii="Book Antiqua" w:hAnsi="Book Antiqua" w:eastAsia="Book Antiqua" w:cs="Book Antiqua"/>
          <w:color w:val="000000"/>
        </w:rPr>
        <w:t xml:space="preserve"> 2021; </w:t>
      </w:r>
      <w:r>
        <w:rPr>
          <w:rFonts w:ascii="Book Antiqua" w:hAnsi="Book Antiqua" w:eastAsia="Book Antiqua" w:cs="Book Antiqua"/>
          <w:b/>
          <w:bCs/>
          <w:color w:val="000000"/>
        </w:rPr>
        <w:t>13</w:t>
      </w:r>
      <w:r>
        <w:rPr>
          <w:rFonts w:ascii="Book Antiqua" w:hAnsi="Book Antiqua" w:eastAsia="Book Antiqua" w:cs="Book Antiqua"/>
          <w:color w:val="000000"/>
        </w:rPr>
        <w:t>: 22 [PMID: 33845868 DOI: 10.1186/s13099-021-00421-9]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57 </w:t>
      </w:r>
      <w:r>
        <w:rPr>
          <w:rFonts w:ascii="Book Antiqua" w:hAnsi="Book Antiqua" w:eastAsia="Book Antiqua" w:cs="Book Antiqua"/>
          <w:b/>
          <w:bCs/>
          <w:color w:val="000000"/>
        </w:rPr>
        <w:t>Karayiannis P</w:t>
      </w:r>
      <w:r>
        <w:rPr>
          <w:rFonts w:ascii="Book Antiqua" w:hAnsi="Book Antiqua" w:eastAsia="Book Antiqua" w:cs="Book Antiqua"/>
          <w:color w:val="000000"/>
        </w:rPr>
        <w:t xml:space="preserve">. Hepatitis B virus: virology, molecular biology, life cycle and intrahepatic spread. </w:t>
      </w:r>
      <w:r>
        <w:rPr>
          <w:rFonts w:ascii="Book Antiqua" w:hAnsi="Book Antiqua" w:eastAsia="Book Antiqua" w:cs="Book Antiqua"/>
          <w:i/>
          <w:iCs/>
          <w:color w:val="000000"/>
        </w:rPr>
        <w:t>Hepatol Int</w:t>
      </w:r>
      <w:r>
        <w:rPr>
          <w:rFonts w:ascii="Book Antiqua" w:hAnsi="Book Antiqua" w:eastAsia="Book Antiqua" w:cs="Book Antiqua"/>
          <w:color w:val="000000"/>
        </w:rPr>
        <w:t xml:space="preserve"> 2017; </w:t>
      </w:r>
      <w:r>
        <w:rPr>
          <w:rFonts w:ascii="Book Antiqua" w:hAnsi="Book Antiqua" w:eastAsia="Book Antiqua" w:cs="Book Antiqua"/>
          <w:b/>
          <w:bCs/>
          <w:color w:val="000000"/>
        </w:rPr>
        <w:t>11</w:t>
      </w:r>
      <w:r>
        <w:rPr>
          <w:rFonts w:ascii="Book Antiqua" w:hAnsi="Book Antiqua" w:eastAsia="Book Antiqua" w:cs="Book Antiqua"/>
          <w:color w:val="000000"/>
        </w:rPr>
        <w:t>: 500-508 [PMID: 29098564 DOI: 10.1007/s12072-017-9829-7]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58 </w:t>
      </w:r>
      <w:r>
        <w:rPr>
          <w:rFonts w:ascii="Book Antiqua" w:hAnsi="Book Antiqua" w:eastAsia="Book Antiqua" w:cs="Book Antiqua"/>
          <w:b/>
          <w:bCs/>
          <w:color w:val="000000"/>
        </w:rPr>
        <w:t>Jiang B</w:t>
      </w:r>
      <w:r>
        <w:rPr>
          <w:rFonts w:ascii="Book Antiqua" w:hAnsi="Book Antiqua" w:eastAsia="Book Antiqua" w:cs="Book Antiqua"/>
          <w:color w:val="000000"/>
        </w:rPr>
        <w:t xml:space="preserve">, Hildt E. Intracellular Trafficking of HBV Particles. </w:t>
      </w:r>
      <w:r>
        <w:rPr>
          <w:rFonts w:ascii="Book Antiqua" w:hAnsi="Book Antiqua" w:eastAsia="Book Antiqua" w:cs="Book Antiqua"/>
          <w:i/>
          <w:iCs/>
          <w:color w:val="000000"/>
        </w:rPr>
        <w:t>Cells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32887393 DOI: 10.3390/CELLS9092023]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59 </w:t>
      </w:r>
      <w:r>
        <w:rPr>
          <w:rFonts w:ascii="Book Antiqua" w:hAnsi="Book Antiqua" w:eastAsia="Book Antiqua" w:cs="Book Antiqua"/>
          <w:b/>
          <w:bCs/>
          <w:color w:val="000000"/>
        </w:rPr>
        <w:t>Inan N</w:t>
      </w:r>
      <w:r>
        <w:rPr>
          <w:rFonts w:ascii="Book Antiqua" w:hAnsi="Book Antiqua" w:eastAsia="Book Antiqua" w:cs="Book Antiqua"/>
          <w:bCs/>
          <w:color w:val="000000"/>
        </w:rPr>
        <w:t>,</w:t>
      </w:r>
      <w:r>
        <w:rPr>
          <w:rFonts w:ascii="Book Antiqua" w:hAnsi="Book Antiqua" w:eastAsia="Book Antiqua" w:cs="Book Antiqua"/>
          <w:color w:val="000000"/>
        </w:rPr>
        <w:t xml:space="preserve"> Tabak F. Hepatitis B Virus: Biology and Life Cycle. </w:t>
      </w:r>
      <w:r>
        <w:rPr>
          <w:rFonts w:ascii="Book Antiqua" w:hAnsi="Book Antiqua" w:eastAsia="Book Antiqua" w:cs="Book Antiqua"/>
          <w:i/>
          <w:color w:val="000000"/>
        </w:rPr>
        <w:t xml:space="preserve">Viral Hepat J </w:t>
      </w:r>
      <w:r>
        <w:rPr>
          <w:rFonts w:ascii="Book Antiqua" w:hAnsi="Book Antiqua" w:eastAsia="Book Antiqua" w:cs="Book Antiqua"/>
          <w:color w:val="000000"/>
        </w:rPr>
        <w:t>2015;</w:t>
      </w:r>
      <w:r>
        <w:rPr>
          <w:rFonts w:ascii="Book Antiqua" w:hAnsi="Book Antiqua" w:cs="Book Antiqua"/>
          <w:color w:val="000000"/>
          <w:lang w:eastAsia="zh-CN"/>
        </w:rPr>
        <w:t xml:space="preserve"> </w:t>
      </w:r>
      <w:r>
        <w:rPr>
          <w:rFonts w:ascii="Book Antiqua" w:hAnsi="Book Antiqua" w:eastAsia="Book Antiqua" w:cs="Book Antiqua"/>
          <w:b/>
          <w:bCs/>
          <w:color w:val="000000"/>
        </w:rPr>
        <w:t>21</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1-7 [DOI: 10.4274/vhd.36036]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60 </w:t>
      </w:r>
      <w:r>
        <w:rPr>
          <w:rFonts w:ascii="Book Antiqua" w:hAnsi="Book Antiqua" w:eastAsia="Book Antiqua" w:cs="Book Antiqua"/>
          <w:b/>
          <w:bCs/>
          <w:color w:val="000000"/>
        </w:rPr>
        <w:t>Škrlec I</w:t>
      </w:r>
      <w:r>
        <w:rPr>
          <w:rFonts w:ascii="Book Antiqua" w:hAnsi="Book Antiqua" w:eastAsia="Book Antiqua" w:cs="Book Antiqua"/>
          <w:color w:val="000000"/>
        </w:rPr>
        <w:t xml:space="preserve">, Milić J, Cilenšek I, Petrovič D, Wagner J, Peterlin B. Circadian clock genes and myocardial infarction in patients with type 2 diabetes mellitus. </w:t>
      </w:r>
      <w:r>
        <w:rPr>
          <w:rFonts w:ascii="Book Antiqua" w:hAnsi="Book Antiqua" w:eastAsia="Book Antiqua" w:cs="Book Antiqua"/>
          <w:i/>
          <w:iCs/>
          <w:color w:val="000000"/>
        </w:rPr>
        <w:t>Gene</w:t>
      </w:r>
      <w:r>
        <w:rPr>
          <w:rFonts w:ascii="Book Antiqua" w:hAnsi="Book Antiqua" w:eastAsia="Book Antiqua" w:cs="Book Antiqua"/>
          <w:color w:val="000000"/>
        </w:rPr>
        <w:t xml:space="preserve"> 2019; </w:t>
      </w:r>
      <w:r>
        <w:rPr>
          <w:rFonts w:ascii="Book Antiqua" w:hAnsi="Book Antiqua" w:eastAsia="Book Antiqua" w:cs="Book Antiqua"/>
          <w:b/>
          <w:bCs/>
          <w:color w:val="000000"/>
        </w:rPr>
        <w:t>701</w:t>
      </w:r>
      <w:r>
        <w:rPr>
          <w:rFonts w:ascii="Book Antiqua" w:hAnsi="Book Antiqua" w:eastAsia="Book Antiqua" w:cs="Book Antiqua"/>
          <w:color w:val="000000"/>
        </w:rPr>
        <w:t>: 98-103 [PMID: 30905809 DOI: 10.1016/j.gene.2019.03.038]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61 </w:t>
      </w:r>
      <w:r>
        <w:rPr>
          <w:rFonts w:ascii="Book Antiqua" w:hAnsi="Book Antiqua" w:eastAsia="Book Antiqua" w:cs="Book Antiqua"/>
          <w:b/>
          <w:bCs/>
          <w:color w:val="000000"/>
        </w:rPr>
        <w:t>Zhao M</w:t>
      </w:r>
      <w:r>
        <w:rPr>
          <w:rFonts w:ascii="Book Antiqua" w:hAnsi="Book Antiqua" w:eastAsia="Book Antiqua" w:cs="Book Antiqua"/>
          <w:color w:val="000000"/>
        </w:rPr>
        <w:t xml:space="preserve">, Xing H, Chen M, Dong D, Wu B. Circadian clock-controlled drug metabolism and transport. </w:t>
      </w:r>
      <w:r>
        <w:rPr>
          <w:rFonts w:ascii="Book Antiqua" w:hAnsi="Book Antiqua" w:eastAsia="Book Antiqua" w:cs="Book Antiqua"/>
          <w:i/>
          <w:iCs/>
          <w:color w:val="000000"/>
        </w:rPr>
        <w:t>Xenobiotica</w:t>
      </w:r>
      <w:r>
        <w:rPr>
          <w:rFonts w:ascii="Book Antiqua" w:hAnsi="Book Antiqua" w:eastAsia="Book Antiqua" w:cs="Book Antiqua"/>
          <w:color w:val="000000"/>
        </w:rPr>
        <w:t xml:space="preserve"> 2020; </w:t>
      </w:r>
      <w:r>
        <w:rPr>
          <w:rFonts w:ascii="Book Antiqua" w:hAnsi="Book Antiqua" w:eastAsia="Book Antiqua" w:cs="Book Antiqua"/>
          <w:b/>
          <w:bCs/>
          <w:color w:val="000000"/>
        </w:rPr>
        <w:t>50</w:t>
      </w:r>
      <w:r>
        <w:rPr>
          <w:rFonts w:ascii="Book Antiqua" w:hAnsi="Book Antiqua" w:eastAsia="Book Antiqua" w:cs="Book Antiqua"/>
          <w:color w:val="000000"/>
        </w:rPr>
        <w:t>: 495-505 [PMID: 31544568 DOI: 10.1080/00498254.2019.1672120]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62 </w:t>
      </w:r>
      <w:r>
        <w:rPr>
          <w:rFonts w:ascii="Book Antiqua" w:hAnsi="Book Antiqua" w:eastAsia="Book Antiqua" w:cs="Book Antiqua"/>
          <w:b/>
          <w:bCs/>
          <w:color w:val="000000"/>
        </w:rPr>
        <w:t>Škrlec I</w:t>
      </w:r>
      <w:r>
        <w:rPr>
          <w:rFonts w:ascii="Book Antiqua" w:hAnsi="Book Antiqua" w:eastAsia="Book Antiqua" w:cs="Book Antiqua"/>
          <w:color w:val="000000"/>
        </w:rPr>
        <w:t xml:space="preserve">, Milić J, Steiner R. The Impact of the Circadian Genes </w:t>
      </w:r>
      <w:r>
        <w:rPr>
          <w:rFonts w:ascii="Book Antiqua" w:hAnsi="Book Antiqua" w:eastAsia="Book Antiqua" w:cs="Book Antiqua"/>
          <w:i/>
          <w:iCs/>
          <w:color w:val="000000"/>
        </w:rPr>
        <w:t>CLOCK</w:t>
      </w:r>
      <w:r>
        <w:rPr>
          <w:rFonts w:ascii="Book Antiqua" w:hAnsi="Book Antiqua" w:eastAsia="Book Antiqua" w:cs="Book Antiqua"/>
          <w:color w:val="000000"/>
        </w:rPr>
        <w:t xml:space="preserve"> and </w:t>
      </w:r>
      <w:r>
        <w:rPr>
          <w:rFonts w:ascii="Book Antiqua" w:hAnsi="Book Antiqua" w:eastAsia="Book Antiqua" w:cs="Book Antiqua"/>
          <w:i/>
          <w:iCs/>
          <w:color w:val="000000"/>
        </w:rPr>
        <w:t>ARNTL</w:t>
      </w:r>
      <w:r>
        <w:rPr>
          <w:rFonts w:ascii="Book Antiqua" w:hAnsi="Book Antiqua" w:eastAsia="Book Antiqua" w:cs="Book Antiqua"/>
          <w:color w:val="000000"/>
        </w:rPr>
        <w:t xml:space="preserve"> on Myocardial Infarction. </w:t>
      </w:r>
      <w:r>
        <w:rPr>
          <w:rFonts w:ascii="Book Antiqua" w:hAnsi="Book Antiqua" w:eastAsia="Book Antiqua" w:cs="Book Antiqua"/>
          <w:i/>
          <w:iCs/>
          <w:color w:val="000000"/>
        </w:rPr>
        <w:t>J Clin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32050674 DOI: 10.3390/JCM9020484]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63 </w:t>
      </w:r>
      <w:r>
        <w:rPr>
          <w:rFonts w:ascii="Book Antiqua" w:hAnsi="Book Antiqua" w:eastAsia="Book Antiqua" w:cs="Book Antiqua"/>
          <w:b/>
          <w:bCs/>
          <w:color w:val="000000"/>
        </w:rPr>
        <w:t>Mukherji A</w:t>
      </w:r>
      <w:r>
        <w:rPr>
          <w:rFonts w:ascii="Book Antiqua" w:hAnsi="Book Antiqua" w:eastAsia="Book Antiqua" w:cs="Book Antiqua"/>
          <w:color w:val="000000"/>
        </w:rPr>
        <w:t xml:space="preserve">, Bailey SM, Staels B, Baumert TF. The circadian clock and liver function in health and disease.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71</w:t>
      </w:r>
      <w:r>
        <w:rPr>
          <w:rFonts w:ascii="Book Antiqua" w:hAnsi="Book Antiqua" w:eastAsia="Book Antiqua" w:cs="Book Antiqua"/>
          <w:color w:val="000000"/>
        </w:rPr>
        <w:t>: 200-211 [PMID: 30930223 DOI: 10.1016/j.jhep.2019.03.020]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64 </w:t>
      </w:r>
      <w:r>
        <w:rPr>
          <w:rFonts w:ascii="Book Antiqua" w:hAnsi="Book Antiqua" w:eastAsia="Book Antiqua" w:cs="Book Antiqua"/>
          <w:b/>
          <w:color w:val="000000"/>
        </w:rPr>
        <w:t>Škrlec I</w:t>
      </w:r>
      <w:r>
        <w:rPr>
          <w:rFonts w:ascii="Book Antiqua" w:hAnsi="Book Antiqua" w:eastAsia="Book Antiqua" w:cs="Book Antiqua"/>
          <w:color w:val="000000"/>
        </w:rPr>
        <w:t xml:space="preserve">. Circadian rhythm and myocardial infarction. </w:t>
      </w:r>
      <w:r>
        <w:rPr>
          <w:rFonts w:ascii="Book Antiqua" w:hAnsi="Book Antiqua" w:eastAsia="Book Antiqua" w:cs="Book Antiqua"/>
          <w:i/>
          <w:color w:val="000000"/>
        </w:rPr>
        <w:t xml:space="preserve">Med Flum </w:t>
      </w:r>
      <w:r>
        <w:rPr>
          <w:rFonts w:ascii="Book Antiqua" w:hAnsi="Book Antiqua" w:eastAsia="Book Antiqua" w:cs="Book Antiqua"/>
          <w:color w:val="000000"/>
        </w:rPr>
        <w:t>2019;</w:t>
      </w:r>
      <w:r>
        <w:rPr>
          <w:rFonts w:ascii="Book Antiqua" w:hAnsi="Book Antiqua" w:cs="Book Antiqua"/>
          <w:color w:val="000000"/>
          <w:lang w:eastAsia="zh-CN"/>
        </w:rPr>
        <w:t xml:space="preserve"> </w:t>
      </w:r>
      <w:r>
        <w:rPr>
          <w:rFonts w:ascii="Book Antiqua" w:hAnsi="Book Antiqua" w:eastAsia="Book Antiqua" w:cs="Book Antiqua"/>
          <w:b/>
          <w:bCs/>
          <w:color w:val="000000"/>
        </w:rPr>
        <w:t>55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32-42 [DOI: 10.21860/medflum2019_216321]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65 </w:t>
      </w:r>
      <w:r>
        <w:rPr>
          <w:rFonts w:ascii="Book Antiqua" w:hAnsi="Book Antiqua" w:eastAsia="Book Antiqua" w:cs="Book Antiqua"/>
          <w:b/>
          <w:bCs/>
          <w:color w:val="000000"/>
        </w:rPr>
        <w:t>Haspel JA</w:t>
      </w:r>
      <w:r>
        <w:rPr>
          <w:rFonts w:ascii="Book Antiqua" w:hAnsi="Book Antiqua" w:eastAsia="Book Antiqua" w:cs="Book Antiqua"/>
          <w:color w:val="000000"/>
        </w:rPr>
        <w:t xml:space="preserve">, Anafi R, Brown MK, Cermakian N, Depner C, Desplats P, Gelman AE, Haack M, Jelic S, Kim BS, Laposky AD, Lee YC, Mongodin E, Prather AA, Prendergast BJ, Reardon C, Shaw AC, Sengupta S, Szentirmai É, Thakkar M, Walker WE, Solt LA. Perfect timing: circadian rhythms, sleep, and immunity - an NIH workshop summary. </w:t>
      </w:r>
      <w:r>
        <w:rPr>
          <w:rFonts w:ascii="Book Antiqua" w:hAnsi="Book Antiqua" w:eastAsia="Book Antiqua" w:cs="Book Antiqua"/>
          <w:i/>
          <w:iCs/>
          <w:color w:val="000000"/>
        </w:rPr>
        <w:t>JCI Insight</w:t>
      </w:r>
      <w:r>
        <w:rPr>
          <w:rFonts w:ascii="Book Antiqua" w:hAnsi="Book Antiqua" w:eastAsia="Book Antiqua" w:cs="Book Antiqua"/>
          <w:color w:val="000000"/>
        </w:rPr>
        <w:t xml:space="preserve"> 2020; </w:t>
      </w:r>
      <w:r>
        <w:rPr>
          <w:rFonts w:ascii="Book Antiqua" w:hAnsi="Book Antiqua" w:eastAsia="Book Antiqua" w:cs="Book Antiqua"/>
          <w:b/>
          <w:bCs/>
          <w:color w:val="000000"/>
        </w:rPr>
        <w:t>5</w:t>
      </w:r>
      <w:r>
        <w:rPr>
          <w:rFonts w:ascii="Book Antiqua" w:hAnsi="Book Antiqua" w:eastAsia="Book Antiqua" w:cs="Book Antiqua"/>
          <w:color w:val="000000"/>
        </w:rPr>
        <w:t xml:space="preserve"> [PMID: 31941836 DOI: 10.1172/JCI.INSIGHT.131487]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66 </w:t>
      </w:r>
      <w:r>
        <w:rPr>
          <w:rFonts w:ascii="Book Antiqua" w:hAnsi="Book Antiqua" w:eastAsia="Book Antiqua" w:cs="Book Antiqua"/>
          <w:b/>
          <w:bCs/>
          <w:color w:val="000000"/>
        </w:rPr>
        <w:t>Shi D</w:t>
      </w:r>
      <w:r>
        <w:rPr>
          <w:rFonts w:ascii="Book Antiqua" w:hAnsi="Book Antiqua" w:eastAsia="Book Antiqua" w:cs="Book Antiqua"/>
          <w:color w:val="000000"/>
        </w:rPr>
        <w:t xml:space="preserve">, Chen J, Wang J, Yao J, Huang Y, Zhang G, Bao Z. Circadian Clock Genes in the Metabolism of Non-alcoholic Fatty Liver Disease. </w:t>
      </w:r>
      <w:r>
        <w:rPr>
          <w:rFonts w:ascii="Book Antiqua" w:hAnsi="Book Antiqua" w:eastAsia="Book Antiqua" w:cs="Book Antiqua"/>
          <w:i/>
          <w:iCs/>
          <w:color w:val="000000"/>
        </w:rPr>
        <w:t>Front Physiol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423 [PMID: 31139087 DOI: 10.3389/fphys.2019.00423]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67 </w:t>
      </w:r>
      <w:r>
        <w:rPr>
          <w:rFonts w:ascii="Book Antiqua" w:hAnsi="Book Antiqua" w:eastAsia="Book Antiqua" w:cs="Book Antiqua"/>
          <w:b/>
          <w:bCs/>
          <w:color w:val="000000"/>
        </w:rPr>
        <w:t>Mukherji A</w:t>
      </w:r>
      <w:r>
        <w:rPr>
          <w:rFonts w:ascii="Book Antiqua" w:hAnsi="Book Antiqua" w:eastAsia="Book Antiqua" w:cs="Book Antiqua"/>
          <w:color w:val="000000"/>
        </w:rPr>
        <w:t xml:space="preserve">, Dachraoui M, Baumert TF. Perturbation of the circadian clock and pathogenesis of NAFLD. </w:t>
      </w:r>
      <w:r>
        <w:rPr>
          <w:rFonts w:ascii="Book Antiqua" w:hAnsi="Book Antiqua" w:eastAsia="Book Antiqua" w:cs="Book Antiqua"/>
          <w:i/>
          <w:iCs/>
          <w:color w:val="000000"/>
        </w:rPr>
        <w:t>Metabolism</w:t>
      </w:r>
      <w:r>
        <w:rPr>
          <w:rFonts w:ascii="Book Antiqua" w:hAnsi="Book Antiqua" w:eastAsia="Book Antiqua" w:cs="Book Antiqua"/>
          <w:color w:val="000000"/>
        </w:rPr>
        <w:t xml:space="preserve"> 2020; </w:t>
      </w:r>
      <w:r>
        <w:rPr>
          <w:rFonts w:ascii="Book Antiqua" w:hAnsi="Book Antiqua" w:eastAsia="Book Antiqua" w:cs="Book Antiqua"/>
          <w:b/>
          <w:bCs/>
          <w:color w:val="000000"/>
        </w:rPr>
        <w:t>111S</w:t>
      </w:r>
      <w:r>
        <w:rPr>
          <w:rFonts w:ascii="Book Antiqua" w:hAnsi="Book Antiqua" w:eastAsia="Book Antiqua" w:cs="Book Antiqua"/>
          <w:color w:val="000000"/>
        </w:rPr>
        <w:t>: 154337 [PMID: 32795560 DOI: 10.1016/j.metabol.2020.154337]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68 </w:t>
      </w:r>
      <w:r>
        <w:rPr>
          <w:rFonts w:ascii="Book Antiqua" w:hAnsi="Book Antiqua" w:eastAsia="Book Antiqua" w:cs="Book Antiqua"/>
          <w:b/>
          <w:bCs/>
          <w:color w:val="000000"/>
        </w:rPr>
        <w:t>Kim YH</w:t>
      </w:r>
      <w:r>
        <w:rPr>
          <w:rFonts w:ascii="Book Antiqua" w:hAnsi="Book Antiqua" w:eastAsia="Book Antiqua" w:cs="Book Antiqua"/>
          <w:color w:val="000000"/>
        </w:rPr>
        <w:t xml:space="preserve">, Lazar MA. Transcriptional Control of Circadian Rhythms and Metabolism: A Matter of Time and Space. </w:t>
      </w:r>
      <w:r>
        <w:rPr>
          <w:rFonts w:ascii="Book Antiqua" w:hAnsi="Book Antiqua" w:eastAsia="Book Antiqua" w:cs="Book Antiqua"/>
          <w:i/>
          <w:iCs/>
          <w:color w:val="000000"/>
        </w:rPr>
        <w:t>Endocr Rev</w:t>
      </w:r>
      <w:r>
        <w:rPr>
          <w:rFonts w:ascii="Book Antiqua" w:hAnsi="Book Antiqua" w:eastAsia="Book Antiqua" w:cs="Book Antiqua"/>
          <w:color w:val="000000"/>
        </w:rPr>
        <w:t xml:space="preserve"> 2020; </w:t>
      </w:r>
      <w:r>
        <w:rPr>
          <w:rFonts w:ascii="Book Antiqua" w:hAnsi="Book Antiqua" w:eastAsia="Book Antiqua" w:cs="Book Antiqua"/>
          <w:b/>
          <w:bCs/>
          <w:color w:val="000000"/>
        </w:rPr>
        <w:t>41</w:t>
      </w:r>
      <w:r>
        <w:rPr>
          <w:rFonts w:ascii="Book Antiqua" w:hAnsi="Book Antiqua" w:eastAsia="Book Antiqua" w:cs="Book Antiqua"/>
          <w:color w:val="000000"/>
        </w:rPr>
        <w:t xml:space="preserve"> [PMID: 32392281 DOI: 10.1210/ENDREV/BNAA014]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69 </w:t>
      </w:r>
      <w:r>
        <w:rPr>
          <w:rFonts w:ascii="Book Antiqua" w:hAnsi="Book Antiqua" w:eastAsia="Book Antiqua" w:cs="Book Antiqua"/>
          <w:b/>
          <w:bCs/>
          <w:color w:val="000000"/>
        </w:rPr>
        <w:t>Dandri M</w:t>
      </w:r>
      <w:r>
        <w:rPr>
          <w:rFonts w:ascii="Book Antiqua" w:hAnsi="Book Antiqua" w:eastAsia="Book Antiqua" w:cs="Book Antiqua"/>
          <w:color w:val="000000"/>
        </w:rPr>
        <w:t xml:space="preserve">. Epigenetic modulation in chronic hepatitis B virus infection. </w:t>
      </w:r>
      <w:r>
        <w:rPr>
          <w:rFonts w:ascii="Book Antiqua" w:hAnsi="Book Antiqua" w:eastAsia="Book Antiqua" w:cs="Book Antiqua"/>
          <w:i/>
          <w:iCs/>
          <w:color w:val="000000"/>
        </w:rPr>
        <w:t>Semin Immunopathol</w:t>
      </w:r>
      <w:r>
        <w:rPr>
          <w:rFonts w:ascii="Book Antiqua" w:hAnsi="Book Antiqua" w:eastAsia="Book Antiqua" w:cs="Book Antiqua"/>
          <w:color w:val="000000"/>
        </w:rPr>
        <w:t xml:space="preserve"> 2020; </w:t>
      </w:r>
      <w:r>
        <w:rPr>
          <w:rFonts w:ascii="Book Antiqua" w:hAnsi="Book Antiqua" w:eastAsia="Book Antiqua" w:cs="Book Antiqua"/>
          <w:b/>
          <w:bCs/>
          <w:color w:val="000000"/>
        </w:rPr>
        <w:t>42</w:t>
      </w:r>
      <w:r>
        <w:rPr>
          <w:rFonts w:ascii="Book Antiqua" w:hAnsi="Book Antiqua" w:eastAsia="Book Antiqua" w:cs="Book Antiqua"/>
          <w:color w:val="000000"/>
        </w:rPr>
        <w:t>: 173-185 [PMID: 32185454 DOI: 10.1007/s00281-020-00780-6]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70 </w:t>
      </w:r>
      <w:r>
        <w:rPr>
          <w:rFonts w:ascii="Book Antiqua" w:hAnsi="Book Antiqua" w:eastAsia="Book Antiqua" w:cs="Book Antiqua"/>
          <w:b/>
          <w:bCs/>
          <w:color w:val="000000"/>
        </w:rPr>
        <w:t>Kong F</w:t>
      </w:r>
      <w:r>
        <w:rPr>
          <w:rFonts w:ascii="Book Antiqua" w:hAnsi="Book Antiqua" w:eastAsia="Book Antiqua" w:cs="Book Antiqua"/>
          <w:color w:val="000000"/>
        </w:rPr>
        <w:t xml:space="preserve">, Li Q, Zhang F, Li X, You H, Pan X, Zheng K, Tang R. Sirtuins as Potential Therapeutic Targets for Hepatitis B Virus Infection. </w:t>
      </w:r>
      <w:r>
        <w:rPr>
          <w:rFonts w:ascii="Book Antiqua" w:hAnsi="Book Antiqua" w:eastAsia="Book Antiqua" w:cs="Book Antiqua"/>
          <w:i/>
          <w:iCs/>
          <w:color w:val="000000"/>
        </w:rPr>
        <w:t>Front Med (Lausanne)</w:t>
      </w:r>
      <w:r>
        <w:rPr>
          <w:rFonts w:ascii="Book Antiqua" w:hAnsi="Book Antiqua" w:eastAsia="Book Antiqua" w:cs="Book Antiqua"/>
          <w:color w:val="000000"/>
        </w:rPr>
        <w:t xml:space="preserve"> 2021; </w:t>
      </w:r>
      <w:r>
        <w:rPr>
          <w:rFonts w:ascii="Book Antiqua" w:hAnsi="Book Antiqua" w:eastAsia="Book Antiqua" w:cs="Book Antiqua"/>
          <w:b/>
          <w:bCs/>
          <w:color w:val="000000"/>
        </w:rPr>
        <w:t>8</w:t>
      </w:r>
      <w:r>
        <w:rPr>
          <w:rFonts w:ascii="Book Antiqua" w:hAnsi="Book Antiqua" w:eastAsia="Book Antiqua" w:cs="Book Antiqua"/>
          <w:color w:val="000000"/>
        </w:rPr>
        <w:t>: 751516 [PMID: 34708060 DOI: 10.3389/fmed.2021.751516]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71 </w:t>
      </w:r>
      <w:r>
        <w:rPr>
          <w:rFonts w:ascii="Book Antiqua" w:hAnsi="Book Antiqua" w:eastAsia="Book Antiqua" w:cs="Book Antiqua"/>
          <w:b/>
          <w:bCs/>
          <w:color w:val="000000"/>
        </w:rPr>
        <w:t>Du L</w:t>
      </w:r>
      <w:r>
        <w:rPr>
          <w:rFonts w:ascii="Book Antiqua" w:hAnsi="Book Antiqua" w:eastAsia="Book Antiqua" w:cs="Book Antiqua"/>
          <w:color w:val="000000"/>
        </w:rPr>
        <w:t xml:space="preserve">, Ma Y, Liu M, Yan L, Tang H. Peroxisome Proliferators Activated Receptor (PPAR) agonists activate hepatitis B virus replication in vivo. </w:t>
      </w:r>
      <w:r>
        <w:rPr>
          <w:rFonts w:ascii="Book Antiqua" w:hAnsi="Book Antiqua" w:eastAsia="Book Antiqua" w:cs="Book Antiqua"/>
          <w:i/>
          <w:iCs/>
          <w:color w:val="000000"/>
        </w:rPr>
        <w:t>Virol J</w:t>
      </w:r>
      <w:r>
        <w:rPr>
          <w:rFonts w:ascii="Book Antiqua" w:hAnsi="Book Antiqua" w:eastAsia="Book Antiqua" w:cs="Book Antiqua"/>
          <w:color w:val="000000"/>
        </w:rPr>
        <w:t xml:space="preserve"> 2017; </w:t>
      </w:r>
      <w:r>
        <w:rPr>
          <w:rFonts w:ascii="Book Antiqua" w:hAnsi="Book Antiqua" w:eastAsia="Book Antiqua" w:cs="Book Antiqua"/>
          <w:b/>
          <w:bCs/>
          <w:color w:val="000000"/>
        </w:rPr>
        <w:t>14</w:t>
      </w:r>
      <w:r>
        <w:rPr>
          <w:rFonts w:ascii="Book Antiqua" w:hAnsi="Book Antiqua" w:eastAsia="Book Antiqua" w:cs="Book Antiqua"/>
          <w:color w:val="000000"/>
        </w:rPr>
        <w:t>: 96 [PMID: 28545573 DOI: 10.1186/s12985-017-0765-x]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72 </w:t>
      </w:r>
      <w:r>
        <w:rPr>
          <w:rFonts w:ascii="Book Antiqua" w:hAnsi="Book Antiqua" w:eastAsia="Book Antiqua" w:cs="Book Antiqua"/>
          <w:b/>
          <w:bCs/>
          <w:color w:val="000000"/>
        </w:rPr>
        <w:t>Dubuquoy L</w:t>
      </w:r>
      <w:r>
        <w:rPr>
          <w:rFonts w:ascii="Book Antiqua" w:hAnsi="Book Antiqua" w:eastAsia="Book Antiqua" w:cs="Book Antiqua"/>
          <w:color w:val="000000"/>
        </w:rPr>
        <w:t xml:space="preserve">, Louvet A, Hollebecque A, Mathurin P, Dharancy S. Peroxisome proliferator-activated receptors in HBV-related infection. </w:t>
      </w:r>
      <w:r>
        <w:rPr>
          <w:rFonts w:ascii="Book Antiqua" w:hAnsi="Book Antiqua" w:eastAsia="Book Antiqua" w:cs="Book Antiqua"/>
          <w:i/>
          <w:iCs/>
          <w:color w:val="000000"/>
        </w:rPr>
        <w:t>PPAR Res</w:t>
      </w:r>
      <w:r>
        <w:rPr>
          <w:rFonts w:ascii="Book Antiqua" w:hAnsi="Book Antiqua" w:eastAsia="Book Antiqua" w:cs="Book Antiqua"/>
          <w:color w:val="000000"/>
        </w:rPr>
        <w:t xml:space="preserve"> 2009; </w:t>
      </w:r>
      <w:r>
        <w:rPr>
          <w:rFonts w:ascii="Book Antiqua" w:hAnsi="Book Antiqua" w:eastAsia="Book Antiqua" w:cs="Book Antiqua"/>
          <w:b/>
          <w:bCs/>
          <w:color w:val="000000"/>
        </w:rPr>
        <w:t>2009</w:t>
      </w:r>
      <w:r>
        <w:rPr>
          <w:rFonts w:ascii="Book Antiqua" w:hAnsi="Book Antiqua" w:eastAsia="Book Antiqua" w:cs="Book Antiqua"/>
          <w:color w:val="000000"/>
        </w:rPr>
        <w:t>: 145124 [PMID: 19365584 DOI: 10.1155/2009/145124]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73 </w:t>
      </w:r>
      <w:r>
        <w:rPr>
          <w:rFonts w:ascii="Book Antiqua" w:hAnsi="Book Antiqua" w:eastAsia="Book Antiqua" w:cs="Book Antiqua"/>
          <w:b/>
          <w:bCs/>
          <w:color w:val="000000"/>
        </w:rPr>
        <w:t>Charoensuksai P</w:t>
      </w:r>
      <w:r>
        <w:rPr>
          <w:rFonts w:ascii="Book Antiqua" w:hAnsi="Book Antiqua" w:eastAsia="Book Antiqua" w:cs="Book Antiqua"/>
          <w:color w:val="000000"/>
        </w:rPr>
        <w:t xml:space="preserve">, Xu W. PPARs in Rhythmic Metabolic Regulation and Implications in Health and Disease. </w:t>
      </w:r>
      <w:r>
        <w:rPr>
          <w:rFonts w:ascii="Book Antiqua" w:hAnsi="Book Antiqua" w:eastAsia="Book Antiqua" w:cs="Book Antiqua"/>
          <w:i/>
          <w:iCs/>
          <w:color w:val="000000"/>
        </w:rPr>
        <w:t>PPAR Res</w:t>
      </w:r>
      <w:r>
        <w:rPr>
          <w:rFonts w:ascii="Book Antiqua" w:hAnsi="Book Antiqua" w:eastAsia="Book Antiqua" w:cs="Book Antiqua"/>
          <w:color w:val="000000"/>
        </w:rPr>
        <w:t xml:space="preserve"> 2010; </w:t>
      </w:r>
      <w:r>
        <w:rPr>
          <w:rFonts w:ascii="Book Antiqua" w:hAnsi="Book Antiqua" w:eastAsia="Book Antiqua" w:cs="Book Antiqua"/>
          <w:b/>
          <w:bCs/>
          <w:color w:val="000000"/>
        </w:rPr>
        <w:t>2010</w:t>
      </w:r>
      <w:r>
        <w:rPr>
          <w:rFonts w:ascii="Book Antiqua" w:hAnsi="Book Antiqua" w:eastAsia="Book Antiqua" w:cs="Book Antiqua"/>
          <w:color w:val="000000"/>
        </w:rPr>
        <w:t xml:space="preserve"> [PMID: 20871864 DOI: 10.1155/2010/243643]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74 </w:t>
      </w:r>
      <w:r>
        <w:rPr>
          <w:rFonts w:ascii="Book Antiqua" w:hAnsi="Book Antiqua" w:eastAsia="Book Antiqua" w:cs="Book Antiqua"/>
          <w:b/>
          <w:bCs/>
          <w:color w:val="000000"/>
        </w:rPr>
        <w:t>Le Martelot G</w:t>
      </w:r>
      <w:r>
        <w:rPr>
          <w:rFonts w:ascii="Book Antiqua" w:hAnsi="Book Antiqua" w:eastAsia="Book Antiqua" w:cs="Book Antiqua"/>
          <w:color w:val="000000"/>
        </w:rPr>
        <w:t xml:space="preserve">, Claudel T, Gatfield D, Schaad O, Kornmann B, Lo Sasso G, Moschetta A, Schibler U. REV-ERBalpha participates in circadian SREBP signaling and bile acid homeostasis. </w:t>
      </w:r>
      <w:r>
        <w:rPr>
          <w:rFonts w:ascii="Book Antiqua" w:hAnsi="Book Antiqua" w:eastAsia="Book Antiqua" w:cs="Book Antiqua"/>
          <w:i/>
          <w:iCs/>
          <w:color w:val="000000"/>
        </w:rPr>
        <w:t>PLoS Biol</w:t>
      </w:r>
      <w:r>
        <w:rPr>
          <w:rFonts w:ascii="Book Antiqua" w:hAnsi="Book Antiqua" w:eastAsia="Book Antiqua" w:cs="Book Antiqua"/>
          <w:color w:val="000000"/>
        </w:rPr>
        <w:t xml:space="preserve"> 2009; </w:t>
      </w:r>
      <w:r>
        <w:rPr>
          <w:rFonts w:ascii="Book Antiqua" w:hAnsi="Book Antiqua" w:eastAsia="Book Antiqua" w:cs="Book Antiqua"/>
          <w:b/>
          <w:bCs/>
          <w:color w:val="000000"/>
        </w:rPr>
        <w:t>7</w:t>
      </w:r>
      <w:r>
        <w:rPr>
          <w:rFonts w:ascii="Book Antiqua" w:hAnsi="Book Antiqua" w:eastAsia="Book Antiqua" w:cs="Book Antiqua"/>
          <w:color w:val="000000"/>
        </w:rPr>
        <w:t>: e1000181 [PMID: 19721697 DOI: 10.1371/journal.pbio.1000181]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75 </w:t>
      </w:r>
      <w:r>
        <w:rPr>
          <w:rFonts w:ascii="Book Antiqua" w:hAnsi="Book Antiqua" w:eastAsia="Book Antiqua" w:cs="Book Antiqua"/>
          <w:b/>
          <w:bCs/>
          <w:color w:val="000000"/>
        </w:rPr>
        <w:t>Kawai M</w:t>
      </w:r>
      <w:r>
        <w:rPr>
          <w:rFonts w:ascii="Book Antiqua" w:hAnsi="Book Antiqua" w:eastAsia="Book Antiqua" w:cs="Book Antiqua"/>
          <w:color w:val="000000"/>
        </w:rPr>
        <w:t xml:space="preserve">, Rosen CJ. PPARγ: a circadian transcription factor in adipogenesis and osteogenesis. </w:t>
      </w:r>
      <w:r>
        <w:rPr>
          <w:rFonts w:ascii="Book Antiqua" w:hAnsi="Book Antiqua" w:eastAsia="Book Antiqua" w:cs="Book Antiqua"/>
          <w:i/>
          <w:iCs/>
          <w:color w:val="000000"/>
        </w:rPr>
        <w:t>Nat Rev Endocrinol</w:t>
      </w:r>
      <w:r>
        <w:rPr>
          <w:rFonts w:ascii="Book Antiqua" w:hAnsi="Book Antiqua" w:eastAsia="Book Antiqua" w:cs="Book Antiqua"/>
          <w:color w:val="000000"/>
        </w:rPr>
        <w:t xml:space="preserve"> 2010; </w:t>
      </w:r>
      <w:r>
        <w:rPr>
          <w:rFonts w:ascii="Book Antiqua" w:hAnsi="Book Antiqua" w:eastAsia="Book Antiqua" w:cs="Book Antiqua"/>
          <w:b/>
          <w:bCs/>
          <w:color w:val="000000"/>
        </w:rPr>
        <w:t>6</w:t>
      </w:r>
      <w:r>
        <w:rPr>
          <w:rFonts w:ascii="Book Antiqua" w:hAnsi="Book Antiqua" w:eastAsia="Book Antiqua" w:cs="Book Antiqua"/>
          <w:color w:val="000000"/>
        </w:rPr>
        <w:t>: 629-636 [PMID: 20820194 DOI: 10.1038/nrendo.2010.155]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76 </w:t>
      </w:r>
      <w:r>
        <w:rPr>
          <w:rFonts w:ascii="Book Antiqua" w:hAnsi="Book Antiqua" w:eastAsia="Book Antiqua" w:cs="Book Antiqua"/>
          <w:b/>
          <w:bCs/>
          <w:color w:val="000000"/>
        </w:rPr>
        <w:t>Zhang EE</w:t>
      </w:r>
      <w:r>
        <w:rPr>
          <w:rFonts w:ascii="Book Antiqua" w:hAnsi="Book Antiqua" w:eastAsia="Book Antiqua" w:cs="Book Antiqua"/>
          <w:color w:val="000000"/>
        </w:rPr>
        <w:t xml:space="preserve">, Liu Y, Dentin R, Pongsawakul PY, Liu AC, Hirota T, Nusinow DA, Sun X, Landais S, Kodama Y, Brenner DA, Montminy M, Kay SA. Cryptochrome mediates circadian regulation of cAMP signaling and hepatic gluconeogenesis.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2010; </w:t>
      </w:r>
      <w:r>
        <w:rPr>
          <w:rFonts w:ascii="Book Antiqua" w:hAnsi="Book Antiqua" w:eastAsia="Book Antiqua" w:cs="Book Antiqua"/>
          <w:b/>
          <w:bCs/>
          <w:color w:val="000000"/>
        </w:rPr>
        <w:t>16</w:t>
      </w:r>
      <w:r>
        <w:rPr>
          <w:rFonts w:ascii="Book Antiqua" w:hAnsi="Book Antiqua" w:eastAsia="Book Antiqua" w:cs="Book Antiqua"/>
          <w:color w:val="000000"/>
        </w:rPr>
        <w:t>: 1152-1156 [PMID: 20852621 DOI: 10.1038/nm.2214]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77 </w:t>
      </w:r>
      <w:r>
        <w:rPr>
          <w:rFonts w:ascii="Book Antiqua" w:hAnsi="Book Antiqua" w:eastAsia="Book Antiqua" w:cs="Book Antiqua"/>
          <w:b/>
          <w:bCs/>
          <w:color w:val="000000"/>
        </w:rPr>
        <w:t>Kim EJ</w:t>
      </w:r>
      <w:r>
        <w:rPr>
          <w:rFonts w:ascii="Book Antiqua" w:hAnsi="Book Antiqua" w:eastAsia="Book Antiqua" w:cs="Book Antiqua"/>
          <w:color w:val="000000"/>
        </w:rPr>
        <w:t xml:space="preserve">, Yoon YS, Hong S, Son HY, Na TY, Lee MH, Kang HJ, Park J, Cho WJ, Kim SG, Koo SH, Park HG, Lee MO. Retinoic acid receptor-related orphan receptor α-induced activation of adenosine monophosphate-activated protein kinase results in attenuation of hepatic steatosis. </w:t>
      </w:r>
      <w:r>
        <w:rPr>
          <w:rFonts w:ascii="Book Antiqua" w:hAnsi="Book Antiqua" w:eastAsia="Book Antiqua" w:cs="Book Antiqua"/>
          <w:i/>
          <w:iCs/>
          <w:color w:val="000000"/>
        </w:rPr>
        <w:t>Hepatology</w:t>
      </w:r>
      <w:r>
        <w:rPr>
          <w:rFonts w:ascii="Book Antiqua" w:hAnsi="Book Antiqua" w:eastAsia="Book Antiqua" w:cs="Book Antiqua"/>
          <w:color w:val="000000"/>
        </w:rPr>
        <w:t xml:space="preserve"> 2012; </w:t>
      </w:r>
      <w:r>
        <w:rPr>
          <w:rFonts w:ascii="Book Antiqua" w:hAnsi="Book Antiqua" w:eastAsia="Book Antiqua" w:cs="Book Antiqua"/>
          <w:b/>
          <w:bCs/>
          <w:color w:val="000000"/>
        </w:rPr>
        <w:t>55</w:t>
      </w:r>
      <w:r>
        <w:rPr>
          <w:rFonts w:ascii="Book Antiqua" w:hAnsi="Book Antiqua" w:eastAsia="Book Antiqua" w:cs="Book Antiqua"/>
          <w:color w:val="000000"/>
        </w:rPr>
        <w:t>: 1379-1388 [PMID: 22183856 DOI: 10.1002/hep.25529]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78 </w:t>
      </w:r>
      <w:r>
        <w:rPr>
          <w:rFonts w:ascii="Book Antiqua" w:hAnsi="Book Antiqua" w:eastAsia="Book Antiqua" w:cs="Book Antiqua"/>
          <w:b/>
          <w:bCs/>
          <w:color w:val="000000"/>
        </w:rPr>
        <w:t>Kalsbeek A</w:t>
      </w:r>
      <w:r>
        <w:rPr>
          <w:rFonts w:ascii="Book Antiqua" w:hAnsi="Book Antiqua" w:eastAsia="Book Antiqua" w:cs="Book Antiqua"/>
          <w:color w:val="000000"/>
        </w:rPr>
        <w:t xml:space="preserve">, la Fleur S, Fliers E. Circadian control of glucose metabolism. </w:t>
      </w:r>
      <w:r>
        <w:rPr>
          <w:rFonts w:ascii="Book Antiqua" w:hAnsi="Book Antiqua" w:eastAsia="Book Antiqua" w:cs="Book Antiqua"/>
          <w:i/>
          <w:iCs/>
          <w:color w:val="000000"/>
        </w:rPr>
        <w:t>Mol Metab</w:t>
      </w:r>
      <w:r>
        <w:rPr>
          <w:rFonts w:ascii="Book Antiqua" w:hAnsi="Book Antiqua" w:eastAsia="Book Antiqua" w:cs="Book Antiqua"/>
          <w:color w:val="000000"/>
        </w:rPr>
        <w:t xml:space="preserve"> 2014; </w:t>
      </w:r>
      <w:r>
        <w:rPr>
          <w:rFonts w:ascii="Book Antiqua" w:hAnsi="Book Antiqua" w:eastAsia="Book Antiqua" w:cs="Book Antiqua"/>
          <w:b/>
          <w:bCs/>
          <w:color w:val="000000"/>
        </w:rPr>
        <w:t>3</w:t>
      </w:r>
      <w:r>
        <w:rPr>
          <w:rFonts w:ascii="Book Antiqua" w:hAnsi="Book Antiqua" w:eastAsia="Book Antiqua" w:cs="Book Antiqua"/>
          <w:color w:val="000000"/>
        </w:rPr>
        <w:t>: 372-383 [PMID: 24944897 DOI: 10.1016/j.molmet.2014.03.002]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79 </w:t>
      </w:r>
      <w:r>
        <w:rPr>
          <w:rFonts w:ascii="Book Antiqua" w:hAnsi="Book Antiqua" w:eastAsia="Book Antiqua" w:cs="Book Antiqua"/>
          <w:b/>
          <w:bCs/>
          <w:color w:val="000000"/>
        </w:rPr>
        <w:t>Diallo AB</w:t>
      </w:r>
      <w:r>
        <w:rPr>
          <w:rFonts w:ascii="Book Antiqua" w:hAnsi="Book Antiqua" w:eastAsia="Book Antiqua" w:cs="Book Antiqua"/>
          <w:color w:val="000000"/>
        </w:rPr>
        <w:t xml:space="preserve">, Coiffard B, Leone M, Mezouar S, Mege JL. For Whom the Clock Ticks: Clinical Chronobiology for Infectious Diseases. </w:t>
      </w:r>
      <w:r>
        <w:rPr>
          <w:rFonts w:ascii="Book Antiqua" w:hAnsi="Book Antiqua" w:eastAsia="Book Antiqua" w:cs="Book Antiqua"/>
          <w:i/>
          <w:iCs/>
          <w:color w:val="000000"/>
        </w:rPr>
        <w:t>Front Immunol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11</w:t>
      </w:r>
      <w:r>
        <w:rPr>
          <w:rFonts w:ascii="Book Antiqua" w:hAnsi="Book Antiqua" w:eastAsia="Book Antiqua" w:cs="Book Antiqua"/>
          <w:color w:val="000000"/>
        </w:rPr>
        <w:t>: 1457 [PMID: 32733482 DOI: 10.3389/fimmu.2020.01457]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80 </w:t>
      </w:r>
      <w:r>
        <w:rPr>
          <w:rFonts w:ascii="Book Antiqua" w:hAnsi="Book Antiqua" w:eastAsia="Book Antiqua" w:cs="Book Antiqua"/>
          <w:b/>
          <w:bCs/>
          <w:color w:val="000000"/>
        </w:rPr>
        <w:t>Mazzoccoli G</w:t>
      </w:r>
      <w:r>
        <w:rPr>
          <w:rFonts w:ascii="Book Antiqua" w:hAnsi="Book Antiqua" w:eastAsia="Book Antiqua" w:cs="Book Antiqua"/>
          <w:color w:val="000000"/>
        </w:rPr>
        <w:t xml:space="preserve">, Vinciguerra M, Carbone A, Relógio A. The Circadian Clock, the Immune System, and Viral Infections: The Intricate Relationship Between Biological Time and Host-Virus Interaction. </w:t>
      </w:r>
      <w:r>
        <w:rPr>
          <w:rFonts w:ascii="Book Antiqua" w:hAnsi="Book Antiqua" w:eastAsia="Book Antiqua" w:cs="Book Antiqua"/>
          <w:i/>
          <w:iCs/>
          <w:color w:val="000000"/>
        </w:rPr>
        <w:t>Pathogens</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xml:space="preserve"> [PMID: 32012758 DOI: 10.3390/PATHOGENS9020083]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81 </w:t>
      </w:r>
      <w:r>
        <w:rPr>
          <w:rFonts w:ascii="Book Antiqua" w:hAnsi="Book Antiqua" w:eastAsia="Book Antiqua" w:cs="Book Antiqua"/>
          <w:b/>
          <w:bCs/>
          <w:color w:val="000000"/>
        </w:rPr>
        <w:t>Wu C</w:t>
      </w:r>
      <w:r>
        <w:rPr>
          <w:rFonts w:ascii="Book Antiqua" w:hAnsi="Book Antiqua" w:eastAsia="Book Antiqua" w:cs="Book Antiqua"/>
          <w:color w:val="000000"/>
        </w:rPr>
        <w:t xml:space="preserve">, Guo X, Li M, Shen J, Fu X, Xie Q, Hou Z, Zhai M, Qiu X, Cui Z, Xie H, Qin P, Weng X, Hu Z, Liang J. DeepHBV: a deep learning model to predict hepatitis B virus (HBV) integration sites. </w:t>
      </w:r>
      <w:r>
        <w:rPr>
          <w:rFonts w:ascii="Book Antiqua" w:hAnsi="Book Antiqua" w:eastAsia="Book Antiqua" w:cs="Book Antiqua"/>
          <w:i/>
          <w:iCs/>
          <w:color w:val="000000"/>
        </w:rPr>
        <w:t>BMC Ecol Evol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138 [PMID: 34233610 DOI: 10.1186/s12862-021-01869-8]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82 </w:t>
      </w:r>
      <w:r>
        <w:rPr>
          <w:rFonts w:ascii="Book Antiqua" w:hAnsi="Book Antiqua" w:eastAsia="Book Antiqua" w:cs="Book Antiqua"/>
          <w:b/>
          <w:bCs/>
          <w:color w:val="000000"/>
        </w:rPr>
        <w:t>Zhuang X</w:t>
      </w:r>
      <w:r>
        <w:rPr>
          <w:rFonts w:ascii="Book Antiqua" w:hAnsi="Book Antiqua" w:eastAsia="Book Antiqua" w:cs="Book Antiqua"/>
          <w:color w:val="000000"/>
        </w:rPr>
        <w:t xml:space="preserve">, Edgar RS, McKeating JA. The role of circadian clock pathways in viral replication. </w:t>
      </w:r>
      <w:r>
        <w:rPr>
          <w:rFonts w:ascii="Book Antiqua" w:hAnsi="Book Antiqua" w:eastAsia="Book Antiqua" w:cs="Book Antiqua"/>
          <w:i/>
          <w:iCs/>
          <w:color w:val="000000"/>
        </w:rPr>
        <w:t>Semin Immunopathol</w:t>
      </w:r>
      <w:r>
        <w:rPr>
          <w:rFonts w:ascii="Book Antiqua" w:hAnsi="Book Antiqua" w:eastAsia="Book Antiqua" w:cs="Book Antiqua"/>
          <w:color w:val="000000"/>
        </w:rPr>
        <w:t xml:space="preserve"> 2022; </w:t>
      </w:r>
      <w:r>
        <w:rPr>
          <w:rFonts w:ascii="Book Antiqua" w:hAnsi="Book Antiqua" w:eastAsia="Book Antiqua" w:cs="Book Antiqua"/>
          <w:b/>
          <w:bCs/>
          <w:color w:val="000000"/>
        </w:rPr>
        <w:t>44</w:t>
      </w:r>
      <w:r>
        <w:rPr>
          <w:rFonts w:ascii="Book Antiqua" w:hAnsi="Book Antiqua" w:eastAsia="Book Antiqua" w:cs="Book Antiqua"/>
          <w:color w:val="000000"/>
        </w:rPr>
        <w:t>: 175-182 [PMID: 35192001 DOI: 10.1007/s00281-021-00908-2]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83 </w:t>
      </w:r>
      <w:r>
        <w:rPr>
          <w:rFonts w:ascii="Book Antiqua" w:hAnsi="Book Antiqua" w:eastAsia="Book Antiqua" w:cs="Book Antiqua"/>
          <w:b/>
          <w:bCs/>
          <w:color w:val="000000"/>
        </w:rPr>
        <w:t>Sulli G</w:t>
      </w:r>
      <w:r>
        <w:rPr>
          <w:rFonts w:ascii="Book Antiqua" w:hAnsi="Book Antiqua" w:eastAsia="Book Antiqua" w:cs="Book Antiqua"/>
          <w:color w:val="000000"/>
        </w:rPr>
        <w:t xml:space="preserve">, Lam MTY, Panda S. Interplay between Circadian Clock and Cancer: New Frontiers for Cancer Treatment. </w:t>
      </w:r>
      <w:r>
        <w:rPr>
          <w:rFonts w:ascii="Book Antiqua" w:hAnsi="Book Antiqua" w:eastAsia="Book Antiqua" w:cs="Book Antiqua"/>
          <w:i/>
          <w:iCs/>
          <w:color w:val="000000"/>
        </w:rPr>
        <w:t>Trends Cancer</w:t>
      </w:r>
      <w:r>
        <w:rPr>
          <w:rFonts w:ascii="Book Antiqua" w:hAnsi="Book Antiqua" w:eastAsia="Book Antiqua" w:cs="Book Antiqua"/>
          <w:color w:val="000000"/>
        </w:rPr>
        <w:t xml:space="preserve"> 2019; </w:t>
      </w:r>
      <w:r>
        <w:rPr>
          <w:rFonts w:ascii="Book Antiqua" w:hAnsi="Book Antiqua" w:eastAsia="Book Antiqua" w:cs="Book Antiqua"/>
          <w:b/>
          <w:bCs/>
          <w:color w:val="000000"/>
        </w:rPr>
        <w:t>5</w:t>
      </w:r>
      <w:r>
        <w:rPr>
          <w:rFonts w:ascii="Book Antiqua" w:hAnsi="Book Antiqua" w:eastAsia="Book Antiqua" w:cs="Book Antiqua"/>
          <w:color w:val="000000"/>
        </w:rPr>
        <w:t>: 475-494 [PMID: 31421905 DOI: 10.1016/j.trecan.2019.07.002]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84 </w:t>
      </w:r>
      <w:r>
        <w:rPr>
          <w:rFonts w:ascii="Book Antiqua" w:hAnsi="Book Antiqua" w:eastAsia="Book Antiqua" w:cs="Book Antiqua"/>
          <w:b/>
          <w:bCs/>
          <w:color w:val="000000"/>
        </w:rPr>
        <w:t>Jiang Y</w:t>
      </w:r>
      <w:r>
        <w:rPr>
          <w:rFonts w:ascii="Book Antiqua" w:hAnsi="Book Antiqua" w:eastAsia="Book Antiqua" w:cs="Book Antiqua"/>
          <w:color w:val="000000"/>
        </w:rPr>
        <w:t xml:space="preserve">, Shen X, Fasae MB, Zhi F, Chai L, Ou Y, Feng H, Liu S, Liu Y, Yang S. The Expression and Function of Circadian Rhythm Genes in Hepatocellular Carcinoma. </w:t>
      </w:r>
      <w:r>
        <w:rPr>
          <w:rFonts w:ascii="Book Antiqua" w:hAnsi="Book Antiqua" w:eastAsia="Book Antiqua" w:cs="Book Antiqua"/>
          <w:i/>
          <w:iCs/>
          <w:color w:val="000000"/>
        </w:rPr>
        <w:t>Oxid Med Cell Longev</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4044606 [PMID: 34697563 DOI: 10.1155/2021/4044606]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85 </w:t>
      </w:r>
      <w:r>
        <w:rPr>
          <w:rFonts w:ascii="Book Antiqua" w:hAnsi="Book Antiqua" w:eastAsia="Book Antiqua" w:cs="Book Antiqua"/>
          <w:b/>
          <w:bCs/>
          <w:color w:val="000000"/>
        </w:rPr>
        <w:t>Yang SL</w:t>
      </w:r>
      <w:r>
        <w:rPr>
          <w:rFonts w:ascii="Book Antiqua" w:hAnsi="Book Antiqua" w:eastAsia="Book Antiqua" w:cs="Book Antiqua"/>
          <w:color w:val="000000"/>
        </w:rPr>
        <w:t xml:space="preserve">, Yu C, Jiang JX, Liu LP, Fang X, Wu C. Hepatitis B virus X protein disrupts the balance of the expression of circadian rhythm genes in hepatocellular carcinoma. </w:t>
      </w:r>
      <w:r>
        <w:rPr>
          <w:rFonts w:ascii="Book Antiqua" w:hAnsi="Book Antiqua" w:eastAsia="Book Antiqua" w:cs="Book Antiqua"/>
          <w:i/>
          <w:iCs/>
          <w:color w:val="000000"/>
        </w:rPr>
        <w:t>Oncol Lett</w:t>
      </w:r>
      <w:r>
        <w:rPr>
          <w:rFonts w:ascii="Book Antiqua" w:hAnsi="Book Antiqua" w:eastAsia="Book Antiqua" w:cs="Book Antiqua"/>
          <w:color w:val="000000"/>
        </w:rPr>
        <w:t xml:space="preserve"> 2014; </w:t>
      </w:r>
      <w:r>
        <w:rPr>
          <w:rFonts w:ascii="Book Antiqua" w:hAnsi="Book Antiqua" w:eastAsia="Book Antiqua" w:cs="Book Antiqua"/>
          <w:b/>
          <w:bCs/>
          <w:color w:val="000000"/>
        </w:rPr>
        <w:t>8</w:t>
      </w:r>
      <w:r>
        <w:rPr>
          <w:rFonts w:ascii="Book Antiqua" w:hAnsi="Book Antiqua" w:eastAsia="Book Antiqua" w:cs="Book Antiqua"/>
          <w:color w:val="000000"/>
        </w:rPr>
        <w:t>: 2715-2720 [PMID: 25360177 DOI: 10.3892/OL.2014.2570]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86 </w:t>
      </w:r>
      <w:r>
        <w:rPr>
          <w:rFonts w:ascii="Book Antiqua" w:hAnsi="Book Antiqua" w:eastAsia="Book Antiqua" w:cs="Book Antiqua"/>
          <w:b/>
          <w:bCs/>
          <w:color w:val="000000"/>
        </w:rPr>
        <w:t>Li H</w:t>
      </w:r>
      <w:r>
        <w:rPr>
          <w:rFonts w:ascii="Book Antiqua" w:hAnsi="Book Antiqua" w:eastAsia="Book Antiqua" w:cs="Book Antiqua"/>
          <w:color w:val="000000"/>
        </w:rPr>
        <w:t xml:space="preserve">, Lu YF, Chen H, Liu J. Dysregulation of metallothionein and circadian genes in human hepatocellular carcinoma. </w:t>
      </w:r>
      <w:r>
        <w:rPr>
          <w:rFonts w:ascii="Book Antiqua" w:hAnsi="Book Antiqua" w:eastAsia="Book Antiqua" w:cs="Book Antiqua"/>
          <w:i/>
          <w:iCs/>
          <w:color w:val="000000"/>
        </w:rPr>
        <w:t>Chronobiol Int</w:t>
      </w:r>
      <w:r>
        <w:rPr>
          <w:rFonts w:ascii="Book Antiqua" w:hAnsi="Book Antiqua" w:eastAsia="Book Antiqua" w:cs="Book Antiqua"/>
          <w:color w:val="000000"/>
        </w:rPr>
        <w:t xml:space="preserve"> 2017; </w:t>
      </w:r>
      <w:r>
        <w:rPr>
          <w:rFonts w:ascii="Book Antiqua" w:hAnsi="Book Antiqua" w:eastAsia="Book Antiqua" w:cs="Book Antiqua"/>
          <w:b/>
          <w:bCs/>
          <w:color w:val="000000"/>
        </w:rPr>
        <w:t>34</w:t>
      </w:r>
      <w:r>
        <w:rPr>
          <w:rFonts w:ascii="Book Antiqua" w:hAnsi="Book Antiqua" w:eastAsia="Book Antiqua" w:cs="Book Antiqua"/>
          <w:color w:val="000000"/>
        </w:rPr>
        <w:t>: 192-202 [PMID: 27997226 DOI: 10.1080/07420528.2016.1256300]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87 </w:t>
      </w:r>
      <w:r>
        <w:rPr>
          <w:rFonts w:ascii="Book Antiqua" w:hAnsi="Book Antiqua" w:eastAsia="Book Antiqua" w:cs="Book Antiqua"/>
          <w:b/>
          <w:bCs/>
          <w:color w:val="000000"/>
        </w:rPr>
        <w:t>Caratti G</w:t>
      </w:r>
      <w:r>
        <w:rPr>
          <w:rFonts w:ascii="Book Antiqua" w:hAnsi="Book Antiqua" w:eastAsia="Book Antiqua" w:cs="Book Antiqua"/>
          <w:color w:val="000000"/>
        </w:rPr>
        <w:t xml:space="preserve">, Iqbal M, Hunter L, Kim D, Wang P, Vonslow RM, Begley N, Tetley AJ, Woodburn JL, Pariollaud M, Maidstone R, Donaldson IJ, Zhang Z, Ince LM, Kitchen G, Baxter M, Poolman TM, Daniels DA, Stirling DR, Brocker C, Gonzalez F, Loudon AS, Bechtold DA, Rattray M, Matthews LC, Ray DW. REVERBa couples the circadian clock to hepatic glucocorticoid action. </w:t>
      </w:r>
      <w:r>
        <w:rPr>
          <w:rFonts w:ascii="Book Antiqua" w:hAnsi="Book Antiqua" w:eastAsia="Book Antiqua" w:cs="Book Antiqua"/>
          <w:i/>
          <w:iCs/>
          <w:color w:val="000000"/>
        </w:rPr>
        <w:t>J Clin Invest</w:t>
      </w:r>
      <w:r>
        <w:rPr>
          <w:rFonts w:ascii="Book Antiqua" w:hAnsi="Book Antiqua" w:eastAsia="Book Antiqua" w:cs="Book Antiqua"/>
          <w:color w:val="000000"/>
        </w:rPr>
        <w:t xml:space="preserve"> 2018; </w:t>
      </w:r>
      <w:r>
        <w:rPr>
          <w:rFonts w:ascii="Book Antiqua" w:hAnsi="Book Antiqua" w:eastAsia="Book Antiqua" w:cs="Book Antiqua"/>
          <w:b/>
          <w:bCs/>
          <w:color w:val="000000"/>
        </w:rPr>
        <w:t>128</w:t>
      </w:r>
      <w:r>
        <w:rPr>
          <w:rFonts w:ascii="Book Antiqua" w:hAnsi="Book Antiqua" w:eastAsia="Book Antiqua" w:cs="Book Antiqua"/>
          <w:color w:val="000000"/>
        </w:rPr>
        <w:t>: 4454-4471 [PMID: 30179226 DOI: 10.1172/JCI96138]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88 </w:t>
      </w:r>
      <w:r>
        <w:rPr>
          <w:rFonts w:ascii="Book Antiqua" w:hAnsi="Book Antiqua" w:eastAsia="Book Antiqua" w:cs="Book Antiqua"/>
          <w:b/>
          <w:bCs/>
          <w:color w:val="000000"/>
        </w:rPr>
        <w:t>Li M</w:t>
      </w:r>
      <w:r>
        <w:rPr>
          <w:rFonts w:ascii="Book Antiqua" w:hAnsi="Book Antiqua" w:eastAsia="Book Antiqua" w:cs="Book Antiqua"/>
          <w:color w:val="000000"/>
        </w:rPr>
        <w:t xml:space="preserve">, Wang Y, Xia X, Mo P, Xu J, Yu C, Li W. Steroid receptor coactivator 3 inhibits hepatitis B virus gene expression through activating Akt signaling to prevent HNF4α nuclear translocation. </w:t>
      </w:r>
      <w:r>
        <w:rPr>
          <w:rFonts w:ascii="Book Antiqua" w:hAnsi="Book Antiqua" w:eastAsia="Book Antiqua" w:cs="Book Antiqua"/>
          <w:i/>
          <w:iCs/>
          <w:color w:val="000000"/>
        </w:rPr>
        <w:t>Cell Biosci</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64 [PMID: 31417670 DOI: 10.1186/s13578-019-0328-5]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89 </w:t>
      </w:r>
      <w:r>
        <w:rPr>
          <w:rFonts w:ascii="Book Antiqua" w:hAnsi="Book Antiqua" w:eastAsia="Book Antiqua" w:cs="Book Antiqua"/>
          <w:b/>
          <w:bCs/>
          <w:color w:val="000000"/>
        </w:rPr>
        <w:t>Fekry B</w:t>
      </w:r>
      <w:r>
        <w:rPr>
          <w:rFonts w:ascii="Book Antiqua" w:hAnsi="Book Antiqua" w:eastAsia="Book Antiqua" w:cs="Book Antiqua"/>
          <w:color w:val="000000"/>
        </w:rPr>
        <w:t xml:space="preserve">, Ribas-Latre A, Baumgartner C, Deans JR, Kwok C, Patel P, Fu L, Berdeaux R, Sun K, Kolonin MG, Wang SH, Yoo SH, Sladek FM, Eckel-Mahan K. Incompatibility of the circadian protein BMAL1 and HNF4α in hepatocellular carcinoma. </w:t>
      </w:r>
      <w:r>
        <w:rPr>
          <w:rFonts w:ascii="Book Antiqua" w:hAnsi="Book Antiqua" w:eastAsia="Book Antiqua" w:cs="Book Antiqua"/>
          <w:i/>
          <w:iCs/>
          <w:color w:val="000000"/>
        </w:rPr>
        <w:t>Nat Commun</w:t>
      </w:r>
      <w:r>
        <w:rPr>
          <w:rFonts w:ascii="Book Antiqua" w:hAnsi="Book Antiqua" w:eastAsia="Book Antiqua" w:cs="Book Antiqua"/>
          <w:color w:val="000000"/>
        </w:rPr>
        <w:t xml:space="preserve"> 2018; </w:t>
      </w:r>
      <w:r>
        <w:rPr>
          <w:rFonts w:ascii="Book Antiqua" w:hAnsi="Book Antiqua" w:eastAsia="Book Antiqua" w:cs="Book Antiqua"/>
          <w:b/>
          <w:bCs/>
          <w:color w:val="000000"/>
        </w:rPr>
        <w:t>9</w:t>
      </w:r>
      <w:r>
        <w:rPr>
          <w:rFonts w:ascii="Book Antiqua" w:hAnsi="Book Antiqua" w:eastAsia="Book Antiqua" w:cs="Book Antiqua"/>
          <w:color w:val="000000"/>
        </w:rPr>
        <w:t>: 4349 [PMID: 30341289 DOI: 10.1038/s41467-018-06648-6]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90 </w:t>
      </w:r>
      <w:r>
        <w:rPr>
          <w:rFonts w:ascii="Book Antiqua" w:hAnsi="Book Antiqua" w:eastAsia="Book Antiqua" w:cs="Book Antiqua"/>
          <w:b/>
          <w:bCs/>
          <w:color w:val="000000"/>
        </w:rPr>
        <w:t>Shkodina AD</w:t>
      </w:r>
      <w:r>
        <w:rPr>
          <w:rFonts w:ascii="Book Antiqua" w:hAnsi="Book Antiqua" w:eastAsia="Book Antiqua" w:cs="Book Antiqua"/>
          <w:bCs/>
          <w:color w:val="000000"/>
        </w:rPr>
        <w:t>,</w:t>
      </w:r>
      <w:r>
        <w:rPr>
          <w:rFonts w:ascii="Book Antiqua" w:hAnsi="Book Antiqua" w:eastAsia="Book Antiqua" w:cs="Book Antiqua"/>
          <w:color w:val="000000"/>
        </w:rPr>
        <w:t xml:space="preserve"> Tan SC, Hasan MM, Abdelgawad M, Chopra H, Bilal M, Boiko DI, Tarianyk KA, Alexiou A. Roles of clock genes in the pathogenesis of Parkinson’s disease. </w:t>
      </w:r>
      <w:r>
        <w:rPr>
          <w:rFonts w:ascii="Book Antiqua" w:hAnsi="Book Antiqua" w:eastAsia="Book Antiqua" w:cs="Book Antiqua"/>
          <w:i/>
          <w:color w:val="000000"/>
        </w:rPr>
        <w:t>Ageing Res Rev</w:t>
      </w:r>
      <w:r>
        <w:rPr>
          <w:rFonts w:ascii="Book Antiqua" w:hAnsi="Book Antiqua" w:eastAsia="Book Antiqua" w:cs="Book Antiqua"/>
          <w:color w:val="000000"/>
        </w:rPr>
        <w:t xml:space="preserve"> 2022;</w:t>
      </w:r>
      <w:r>
        <w:rPr>
          <w:rFonts w:ascii="Book Antiqua" w:hAnsi="Book Antiqua" w:cs="Book Antiqua"/>
          <w:color w:val="000000"/>
          <w:lang w:eastAsia="zh-CN"/>
        </w:rPr>
        <w:t xml:space="preserve"> </w:t>
      </w:r>
      <w:r>
        <w:rPr>
          <w:rFonts w:ascii="Book Antiqua" w:hAnsi="Book Antiqua" w:eastAsia="Book Antiqua" w:cs="Book Antiqua"/>
          <w:b/>
          <w:color w:val="000000"/>
        </w:rPr>
        <w:t>74</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101554 [DOI: 10.1016/J.ARR.2021.101554]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91 </w:t>
      </w:r>
      <w:r>
        <w:rPr>
          <w:rFonts w:ascii="Book Antiqua" w:hAnsi="Book Antiqua" w:eastAsia="Book Antiqua" w:cs="Book Antiqua"/>
          <w:b/>
          <w:bCs/>
          <w:color w:val="000000"/>
        </w:rPr>
        <w:t>Pearson JA</w:t>
      </w:r>
      <w:r>
        <w:rPr>
          <w:rFonts w:ascii="Book Antiqua" w:hAnsi="Book Antiqua" w:eastAsia="Book Antiqua" w:cs="Book Antiqua"/>
          <w:color w:val="000000"/>
        </w:rPr>
        <w:t xml:space="preserve">, Voisey AC, Boest-Bjerg K, Wong FS, Wen L. Circadian Rhythm Modulation of Microbes During Health and Infection. </w:t>
      </w:r>
      <w:r>
        <w:rPr>
          <w:rFonts w:ascii="Book Antiqua" w:hAnsi="Book Antiqua" w:eastAsia="Book Antiqua" w:cs="Book Antiqua"/>
          <w:i/>
          <w:iCs/>
          <w:color w:val="000000"/>
        </w:rPr>
        <w:t>Front Microbiol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12</w:t>
      </w:r>
      <w:r>
        <w:rPr>
          <w:rFonts w:ascii="Book Antiqua" w:hAnsi="Book Antiqua" w:eastAsia="Book Antiqua" w:cs="Book Antiqua"/>
          <w:color w:val="000000"/>
        </w:rPr>
        <w:t>: 721004 [PMID: 34512600 DOI: 10.3389/fmicb.2021.721004]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92 </w:t>
      </w:r>
      <w:r>
        <w:rPr>
          <w:rFonts w:ascii="Book Antiqua" w:hAnsi="Book Antiqua" w:eastAsia="Book Antiqua" w:cs="Book Antiqua"/>
          <w:b/>
          <w:bCs/>
          <w:color w:val="000000"/>
        </w:rPr>
        <w:t>Qi ZX</w:t>
      </w:r>
      <w:r>
        <w:rPr>
          <w:rFonts w:ascii="Book Antiqua" w:hAnsi="Book Antiqua" w:eastAsia="Book Antiqua" w:cs="Book Antiqua"/>
          <w:color w:val="000000"/>
        </w:rPr>
        <w:t xml:space="preserve">, Wang LY, Fan YC, Zhang JJ, Li T, Wang K. Increased peripheral RORα and RORγt mRNA expression is associated with acute-on-chronic hepatitis B liver failure. </w:t>
      </w:r>
      <w:r>
        <w:rPr>
          <w:rFonts w:ascii="Book Antiqua" w:hAnsi="Book Antiqua" w:eastAsia="Book Antiqua" w:cs="Book Antiqua"/>
          <w:i/>
          <w:iCs/>
          <w:color w:val="000000"/>
        </w:rPr>
        <w:t>J Viral Hepat</w:t>
      </w:r>
      <w:r>
        <w:rPr>
          <w:rFonts w:ascii="Book Antiqua" w:hAnsi="Book Antiqua" w:eastAsia="Book Antiqua" w:cs="Book Antiqua"/>
          <w:color w:val="000000"/>
        </w:rPr>
        <w:t xml:space="preserve"> 2012; </w:t>
      </w:r>
      <w:r>
        <w:rPr>
          <w:rFonts w:ascii="Book Antiqua" w:hAnsi="Book Antiqua" w:eastAsia="Book Antiqua" w:cs="Book Antiqua"/>
          <w:b/>
          <w:bCs/>
          <w:color w:val="000000"/>
        </w:rPr>
        <w:t>19</w:t>
      </w:r>
      <w:r>
        <w:rPr>
          <w:rFonts w:ascii="Book Antiqua" w:hAnsi="Book Antiqua" w:eastAsia="Book Antiqua" w:cs="Book Antiqua"/>
          <w:color w:val="000000"/>
        </w:rPr>
        <w:t>: 811-822 [PMID: 23043388 DOI: 10.1111/j.1365-2893.2012.01603.x]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93 </w:t>
      </w:r>
      <w:r>
        <w:rPr>
          <w:rFonts w:ascii="Book Antiqua" w:hAnsi="Book Antiqua" w:eastAsia="Book Antiqua" w:cs="Book Antiqua"/>
          <w:b/>
          <w:bCs/>
          <w:color w:val="000000"/>
        </w:rPr>
        <w:t>Huang Y</w:t>
      </w:r>
      <w:r>
        <w:rPr>
          <w:rFonts w:ascii="Book Antiqua" w:hAnsi="Book Antiqua" w:eastAsia="Book Antiqua" w:cs="Book Antiqua"/>
          <w:color w:val="000000"/>
        </w:rPr>
        <w:t>, Liang H, He C, Peng F. Hepatitis B Virus X Protein-Induced ROR</w:t>
      </w:r>
      <w:r>
        <w:rPr>
          <w:rFonts w:ascii="Book Antiqua" w:hAnsi="Book Antiqua" w:eastAsia="Book Antiqua" w:cs="Book Antiqua"/>
          <w:i/>
          <w:iCs/>
          <w:color w:val="000000"/>
        </w:rPr>
        <w:t>γ</w:t>
      </w:r>
      <w:r>
        <w:rPr>
          <w:rFonts w:ascii="Book Antiqua" w:hAnsi="Book Antiqua" w:eastAsia="Book Antiqua" w:cs="Book Antiqua"/>
          <w:color w:val="000000"/>
        </w:rPr>
        <w:t xml:space="preserve"> Expression to Promote the Migration and Proliferation of Hepatocellular Carcinoma. </w:t>
      </w:r>
      <w:r>
        <w:rPr>
          <w:rFonts w:ascii="Book Antiqua" w:hAnsi="Book Antiqua" w:eastAsia="Book Antiqua" w:cs="Book Antiqua"/>
          <w:i/>
          <w:iCs/>
          <w:color w:val="000000"/>
        </w:rPr>
        <w:t>Biomed Res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2019</w:t>
      </w:r>
      <w:r>
        <w:rPr>
          <w:rFonts w:ascii="Book Antiqua" w:hAnsi="Book Antiqua" w:eastAsia="Book Antiqua" w:cs="Book Antiqua"/>
          <w:color w:val="000000"/>
        </w:rPr>
        <w:t>: 5407126 [PMID: 31781621 DOI: 10.1155/2019/5407126]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94 </w:t>
      </w:r>
      <w:r>
        <w:rPr>
          <w:rFonts w:ascii="Book Antiqua" w:hAnsi="Book Antiqua" w:eastAsia="Book Antiqua" w:cs="Book Antiqua"/>
          <w:b/>
          <w:bCs/>
          <w:color w:val="000000"/>
        </w:rPr>
        <w:t>Liang Y</w:t>
      </w:r>
      <w:r>
        <w:rPr>
          <w:rFonts w:ascii="Book Antiqua" w:hAnsi="Book Antiqua" w:eastAsia="Book Antiqua" w:cs="Book Antiqua"/>
          <w:color w:val="000000"/>
        </w:rPr>
        <w:t xml:space="preserve">, Wang S, Huang X, Chai R, Tang Q, Yang R, Huang X, Wang X, Zheng K. Dysregulation of Circadian Clock Genes as Significant Clinic Factor in the Tumorigenesis of Hepatocellular Carcinoma. </w:t>
      </w:r>
      <w:r>
        <w:rPr>
          <w:rFonts w:ascii="Book Antiqua" w:hAnsi="Book Antiqua" w:eastAsia="Book Antiqua" w:cs="Book Antiqua"/>
          <w:i/>
          <w:iCs/>
          <w:color w:val="000000"/>
        </w:rPr>
        <w:t>Comput Math Methods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2021</w:t>
      </w:r>
      <w:r>
        <w:rPr>
          <w:rFonts w:ascii="Book Antiqua" w:hAnsi="Book Antiqua" w:eastAsia="Book Antiqua" w:cs="Book Antiqua"/>
          <w:color w:val="000000"/>
        </w:rPr>
        <w:t>: 8238833 [PMID: 34745328 DOI: 10.1155/2021/8238833]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95 </w:t>
      </w:r>
      <w:r>
        <w:rPr>
          <w:rFonts w:ascii="Book Antiqua" w:hAnsi="Book Antiqua" w:eastAsia="Book Antiqua" w:cs="Book Antiqua"/>
          <w:b/>
          <w:bCs/>
          <w:color w:val="000000"/>
        </w:rPr>
        <w:t>Iannacone M</w:t>
      </w:r>
      <w:r>
        <w:rPr>
          <w:rFonts w:ascii="Book Antiqua" w:hAnsi="Book Antiqua" w:eastAsia="Book Antiqua" w:cs="Book Antiqua"/>
          <w:color w:val="000000"/>
        </w:rPr>
        <w:t xml:space="preserve">, Guidotti LG. Immunobiology and pathogenesis of hepatitis B virus infection. </w:t>
      </w:r>
      <w:r>
        <w:rPr>
          <w:rFonts w:ascii="Book Antiqua" w:hAnsi="Book Antiqua" w:eastAsia="Book Antiqua" w:cs="Book Antiqua"/>
          <w:i/>
          <w:iCs/>
          <w:color w:val="000000"/>
        </w:rPr>
        <w:t>Nat Rev Immunol</w:t>
      </w:r>
      <w:r>
        <w:rPr>
          <w:rFonts w:ascii="Book Antiqua" w:hAnsi="Book Antiqua" w:eastAsia="Book Antiqua" w:cs="Book Antiqua"/>
          <w:color w:val="000000"/>
        </w:rPr>
        <w:t xml:space="preserve"> 2022; </w:t>
      </w:r>
      <w:r>
        <w:rPr>
          <w:rFonts w:ascii="Book Antiqua" w:hAnsi="Book Antiqua" w:eastAsia="Book Antiqua" w:cs="Book Antiqua"/>
          <w:b/>
          <w:bCs/>
          <w:color w:val="000000"/>
        </w:rPr>
        <w:t>22</w:t>
      </w:r>
      <w:r>
        <w:rPr>
          <w:rFonts w:ascii="Book Antiqua" w:hAnsi="Book Antiqua" w:eastAsia="Book Antiqua" w:cs="Book Antiqua"/>
          <w:color w:val="000000"/>
        </w:rPr>
        <w:t>: 19-32 [PMID: 34002067 DOI: 10.1038/s41577-021-00549-4]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96 </w:t>
      </w:r>
      <w:r>
        <w:rPr>
          <w:rFonts w:ascii="Book Antiqua" w:hAnsi="Book Antiqua" w:eastAsia="Book Antiqua" w:cs="Book Antiqua"/>
          <w:b/>
          <w:bCs/>
          <w:color w:val="000000"/>
        </w:rPr>
        <w:t>Tan A</w:t>
      </w:r>
      <w:r>
        <w:rPr>
          <w:rFonts w:ascii="Book Antiqua" w:hAnsi="Book Antiqua" w:eastAsia="Book Antiqua" w:cs="Book Antiqua"/>
          <w:color w:val="000000"/>
        </w:rPr>
        <w:t xml:space="preserve">, Koh S, Bertoletti A. Immune Response in Hepatitis B Virus Infection. </w:t>
      </w:r>
      <w:r>
        <w:rPr>
          <w:rFonts w:ascii="Book Antiqua" w:hAnsi="Book Antiqua" w:eastAsia="Book Antiqua" w:cs="Book Antiqua"/>
          <w:i/>
          <w:iCs/>
          <w:color w:val="000000"/>
        </w:rPr>
        <w:t>Cold Spring Harb Perspect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5</w:t>
      </w:r>
      <w:r>
        <w:rPr>
          <w:rFonts w:ascii="Book Antiqua" w:hAnsi="Book Antiqua" w:eastAsia="Book Antiqua" w:cs="Book Antiqua"/>
          <w:color w:val="000000"/>
        </w:rPr>
        <w:t>: a021428 [PMID: 26134480 DOI: 10.1101/cshperspect.a021428]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97 </w:t>
      </w:r>
      <w:r>
        <w:rPr>
          <w:rFonts w:ascii="Book Antiqua" w:hAnsi="Book Antiqua" w:eastAsia="Book Antiqua" w:cs="Book Antiqua"/>
          <w:b/>
          <w:bCs/>
          <w:color w:val="000000"/>
        </w:rPr>
        <w:t>Ghosh A</w:t>
      </w:r>
      <w:r>
        <w:rPr>
          <w:rFonts w:ascii="Book Antiqua" w:hAnsi="Book Antiqua" w:eastAsia="Book Antiqua" w:cs="Book Antiqua"/>
          <w:color w:val="000000"/>
        </w:rPr>
        <w:t xml:space="preserve">, Onsager C, Mason A, Arriola L, Lee W, Mubayi A. The role of oxygen intake and liver enzyme on the dynamics of damaged hepatocytes: Implications to ischaemic liver injury via a mathematical model.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2021; </w:t>
      </w:r>
      <w:r>
        <w:rPr>
          <w:rFonts w:ascii="Book Antiqua" w:hAnsi="Book Antiqua" w:eastAsia="Book Antiqua" w:cs="Book Antiqua"/>
          <w:b/>
          <w:bCs/>
          <w:color w:val="000000"/>
        </w:rPr>
        <w:t>16</w:t>
      </w:r>
      <w:r>
        <w:rPr>
          <w:rFonts w:ascii="Book Antiqua" w:hAnsi="Book Antiqua" w:eastAsia="Book Antiqua" w:cs="Book Antiqua"/>
          <w:color w:val="000000"/>
        </w:rPr>
        <w:t>: e0230833 [PMID: 33886563 DOI: 10.1371/journal.pone.0230833]</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98 </w:t>
      </w:r>
      <w:r>
        <w:rPr>
          <w:rFonts w:ascii="Book Antiqua" w:hAnsi="Book Antiqua" w:eastAsia="Book Antiqua" w:cs="Book Antiqua"/>
          <w:b/>
          <w:bCs/>
          <w:color w:val="000000"/>
        </w:rPr>
        <w:t>Gu Y</w:t>
      </w:r>
      <w:r>
        <w:rPr>
          <w:rFonts w:ascii="Book Antiqua" w:hAnsi="Book Antiqua" w:eastAsia="Book Antiqua" w:cs="Book Antiqua"/>
          <w:color w:val="000000"/>
        </w:rPr>
        <w:t xml:space="preserve">, Lian Y, Gu L, Chen L, Li X, Zhou L, Huang Y, Wang J, Huang Y. Correlations between cytokines produced by T cells and clinical-virological characteristics in untreated chronic hepatitis B patients. </w:t>
      </w:r>
      <w:r>
        <w:rPr>
          <w:rFonts w:ascii="Book Antiqua" w:hAnsi="Book Antiqua" w:eastAsia="Book Antiqua" w:cs="Book Antiqua"/>
          <w:i/>
          <w:iCs/>
          <w:color w:val="000000"/>
        </w:rPr>
        <w:t>BMC Infect Dis</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216 [PMID: 30832595 DOI: 10.1186/s12879-019-3853-2]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99 </w:t>
      </w:r>
      <w:r>
        <w:rPr>
          <w:rFonts w:ascii="Book Antiqua" w:hAnsi="Book Antiqua" w:eastAsia="Book Antiqua" w:cs="Book Antiqua"/>
          <w:b/>
          <w:bCs/>
          <w:color w:val="000000"/>
        </w:rPr>
        <w:t>Matsumura S</w:t>
      </w:r>
      <w:r>
        <w:rPr>
          <w:rFonts w:ascii="Book Antiqua" w:hAnsi="Book Antiqua" w:eastAsia="Book Antiqua" w:cs="Book Antiqua"/>
          <w:color w:val="000000"/>
        </w:rPr>
        <w:t xml:space="preserve">, Yamamoto K, Shimada N, Okano N, Okamoto R, Suzuki T, Hakoda T, Mizuno M, Higashi T, Tsuji T. High frequency of circulating HBcAg-specific CD8 T cells in hepatitis B infection: a flow cytometric analysis. </w:t>
      </w:r>
      <w:r>
        <w:rPr>
          <w:rFonts w:ascii="Book Antiqua" w:hAnsi="Book Antiqua" w:eastAsia="Book Antiqua" w:cs="Book Antiqua"/>
          <w:i/>
          <w:iCs/>
          <w:color w:val="000000"/>
        </w:rPr>
        <w:t>Clin Exp Immunol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124</w:t>
      </w:r>
      <w:r>
        <w:rPr>
          <w:rFonts w:ascii="Book Antiqua" w:hAnsi="Book Antiqua" w:eastAsia="Book Antiqua" w:cs="Book Antiqua"/>
          <w:color w:val="000000"/>
        </w:rPr>
        <w:t>: 435-444 [PMID: 11472405 DOI: 10.1046/J.1365-2249.2001.01561.X]</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100 </w:t>
      </w:r>
      <w:r>
        <w:rPr>
          <w:rFonts w:ascii="Book Antiqua" w:hAnsi="Book Antiqua" w:eastAsia="Book Antiqua" w:cs="Book Antiqua"/>
          <w:b/>
          <w:bCs/>
          <w:color w:val="000000"/>
        </w:rPr>
        <w:t>Meier MA</w:t>
      </w:r>
      <w:r>
        <w:rPr>
          <w:rFonts w:ascii="Book Antiqua" w:hAnsi="Book Antiqua" w:eastAsia="Book Antiqua" w:cs="Book Antiqua"/>
          <w:color w:val="000000"/>
        </w:rPr>
        <w:t xml:space="preserve">, Suslov A, Ketterer S, Heim MH, Wieland SF. Hepatitis B virus covalently closed circular DNA homeostasis is independent of the lymphotoxin pathway during chronic HBV infection. </w:t>
      </w:r>
      <w:r>
        <w:rPr>
          <w:rFonts w:ascii="Book Antiqua" w:hAnsi="Book Antiqua" w:eastAsia="Book Antiqua" w:cs="Book Antiqua"/>
          <w:i/>
          <w:iCs/>
          <w:color w:val="000000"/>
        </w:rPr>
        <w:t>J Viral Hepat</w:t>
      </w:r>
      <w:r>
        <w:rPr>
          <w:rFonts w:ascii="Book Antiqua" w:hAnsi="Book Antiqua" w:eastAsia="Book Antiqua" w:cs="Book Antiqua"/>
          <w:color w:val="000000"/>
        </w:rPr>
        <w:t xml:space="preserve"> 2017; </w:t>
      </w:r>
      <w:r>
        <w:rPr>
          <w:rFonts w:ascii="Book Antiqua" w:hAnsi="Book Antiqua" w:eastAsia="Book Antiqua" w:cs="Book Antiqua"/>
          <w:b/>
          <w:bCs/>
          <w:color w:val="000000"/>
        </w:rPr>
        <w:t>24</w:t>
      </w:r>
      <w:r>
        <w:rPr>
          <w:rFonts w:ascii="Book Antiqua" w:hAnsi="Book Antiqua" w:eastAsia="Book Antiqua" w:cs="Book Antiqua"/>
          <w:color w:val="000000"/>
        </w:rPr>
        <w:t>: 662-671 [PMID: 28182305 DOI: 10.1111/jvh.12689]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101 </w:t>
      </w:r>
      <w:r>
        <w:rPr>
          <w:rFonts w:ascii="Book Antiqua" w:hAnsi="Book Antiqua" w:eastAsia="Book Antiqua" w:cs="Book Antiqua"/>
          <w:b/>
          <w:bCs/>
          <w:color w:val="000000"/>
        </w:rPr>
        <w:t>Pick R</w:t>
      </w:r>
      <w:r>
        <w:rPr>
          <w:rFonts w:ascii="Book Antiqua" w:hAnsi="Book Antiqua" w:eastAsia="Book Antiqua" w:cs="Book Antiqua"/>
          <w:color w:val="000000"/>
        </w:rPr>
        <w:t xml:space="preserve">, He W, Chen CS, Scheiermann C. Time-of-Day-Dependent Trafficking and Function of Leukocyte Subsets. </w:t>
      </w:r>
      <w:r>
        <w:rPr>
          <w:rFonts w:ascii="Book Antiqua" w:hAnsi="Book Antiqua" w:eastAsia="Book Antiqua" w:cs="Book Antiqua"/>
          <w:i/>
          <w:iCs/>
          <w:color w:val="000000"/>
        </w:rPr>
        <w:t>Trends Immunol</w:t>
      </w:r>
      <w:r>
        <w:rPr>
          <w:rFonts w:ascii="Book Antiqua" w:hAnsi="Book Antiqua" w:eastAsia="Book Antiqua" w:cs="Book Antiqua"/>
          <w:color w:val="000000"/>
        </w:rPr>
        <w:t xml:space="preserve"> 2019; </w:t>
      </w:r>
      <w:r>
        <w:rPr>
          <w:rFonts w:ascii="Book Antiqua" w:hAnsi="Book Antiqua" w:eastAsia="Book Antiqua" w:cs="Book Antiqua"/>
          <w:b/>
          <w:bCs/>
          <w:color w:val="000000"/>
        </w:rPr>
        <w:t>40</w:t>
      </w:r>
      <w:r>
        <w:rPr>
          <w:rFonts w:ascii="Book Antiqua" w:hAnsi="Book Antiqua" w:eastAsia="Book Antiqua" w:cs="Book Antiqua"/>
          <w:color w:val="000000"/>
        </w:rPr>
        <w:t>: 524-537 [PMID: 31109762 DOI: 10.1016/j.it.2019.03.010]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102 </w:t>
      </w:r>
      <w:r>
        <w:rPr>
          <w:rFonts w:ascii="Book Antiqua" w:hAnsi="Book Antiqua" w:eastAsia="Book Antiqua" w:cs="Book Antiqua"/>
          <w:b/>
          <w:bCs/>
          <w:color w:val="000000"/>
        </w:rPr>
        <w:t>Dimitrov S</w:t>
      </w:r>
      <w:r>
        <w:rPr>
          <w:rFonts w:ascii="Book Antiqua" w:hAnsi="Book Antiqua" w:eastAsia="Book Antiqua" w:cs="Book Antiqua"/>
          <w:color w:val="000000"/>
        </w:rPr>
        <w:t xml:space="preserve">, Benedict C, Heutling D, Westermann J, Born J, Lange T. Cortisol and epinephrine control opposing circadian rhythms in T cell subsets. </w:t>
      </w:r>
      <w:r>
        <w:rPr>
          <w:rFonts w:ascii="Book Antiqua" w:hAnsi="Book Antiqua" w:eastAsia="Book Antiqua" w:cs="Book Antiqua"/>
          <w:i/>
          <w:iCs/>
          <w:color w:val="000000"/>
        </w:rPr>
        <w:t>Blood</w:t>
      </w:r>
      <w:r>
        <w:rPr>
          <w:rFonts w:ascii="Book Antiqua" w:hAnsi="Book Antiqua" w:eastAsia="Book Antiqua" w:cs="Book Antiqua"/>
          <w:color w:val="000000"/>
        </w:rPr>
        <w:t xml:space="preserve"> 2009; </w:t>
      </w:r>
      <w:r>
        <w:rPr>
          <w:rFonts w:ascii="Book Antiqua" w:hAnsi="Book Antiqua" w:eastAsia="Book Antiqua" w:cs="Book Antiqua"/>
          <w:b/>
          <w:bCs/>
          <w:color w:val="000000"/>
        </w:rPr>
        <w:t>113</w:t>
      </w:r>
      <w:r>
        <w:rPr>
          <w:rFonts w:ascii="Book Antiqua" w:hAnsi="Book Antiqua" w:eastAsia="Book Antiqua" w:cs="Book Antiqua"/>
          <w:color w:val="000000"/>
        </w:rPr>
        <w:t>: 5134-5143 [PMID: 19293427 DOI: 10.1182/blood-2008-11-190769]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103 </w:t>
      </w:r>
      <w:r>
        <w:rPr>
          <w:rFonts w:ascii="Book Antiqua" w:hAnsi="Book Antiqua" w:eastAsia="Book Antiqua" w:cs="Book Antiqua"/>
          <w:b/>
          <w:bCs/>
          <w:color w:val="000000"/>
        </w:rPr>
        <w:t>Narasimamurthy R</w:t>
      </w:r>
      <w:r>
        <w:rPr>
          <w:rFonts w:ascii="Book Antiqua" w:hAnsi="Book Antiqua" w:eastAsia="Book Antiqua" w:cs="Book Antiqua"/>
          <w:color w:val="000000"/>
        </w:rPr>
        <w:t xml:space="preserve">, Hatori M, Nayak SK, Liu F, Panda S, Verma IM. Circadian clock protein cryptochrome regulates the expression of proinflammatory cytokines. </w:t>
      </w:r>
      <w:r>
        <w:rPr>
          <w:rFonts w:ascii="Book Antiqua" w:hAnsi="Book Antiqua" w:eastAsia="Book Antiqua" w:cs="Book Antiqua"/>
          <w:i/>
          <w:iCs/>
          <w:color w:val="000000"/>
        </w:rPr>
        <w:t>Proc Natl Acad Sci U S A</w:t>
      </w:r>
      <w:r>
        <w:rPr>
          <w:rFonts w:ascii="Book Antiqua" w:hAnsi="Book Antiqua" w:eastAsia="Book Antiqua" w:cs="Book Antiqua"/>
          <w:color w:val="000000"/>
        </w:rPr>
        <w:t xml:space="preserve"> 2012; </w:t>
      </w:r>
      <w:r>
        <w:rPr>
          <w:rFonts w:ascii="Book Antiqua" w:hAnsi="Book Antiqua" w:eastAsia="Book Antiqua" w:cs="Book Antiqua"/>
          <w:b/>
          <w:bCs/>
          <w:color w:val="000000"/>
        </w:rPr>
        <w:t>109</w:t>
      </w:r>
      <w:r>
        <w:rPr>
          <w:rFonts w:ascii="Book Antiqua" w:hAnsi="Book Antiqua" w:eastAsia="Book Antiqua" w:cs="Book Antiqua"/>
          <w:color w:val="000000"/>
        </w:rPr>
        <w:t>: 12662-12667 [PMID: 22778400 DOI: 10.1073/pnas.1209965109]</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104 </w:t>
      </w:r>
      <w:r>
        <w:rPr>
          <w:rFonts w:ascii="Book Antiqua" w:hAnsi="Book Antiqua" w:eastAsia="Book Antiqua" w:cs="Book Antiqua"/>
          <w:b/>
          <w:bCs/>
          <w:color w:val="000000"/>
        </w:rPr>
        <w:t>Silver AC</w:t>
      </w:r>
      <w:r>
        <w:rPr>
          <w:rFonts w:ascii="Book Antiqua" w:hAnsi="Book Antiqua" w:eastAsia="Book Antiqua" w:cs="Book Antiqua"/>
          <w:color w:val="000000"/>
        </w:rPr>
        <w:t xml:space="preserve">, Arjona A, Walker WE, Fikrig E. The circadian clock controls toll-like receptor 9-mediated innate and adaptive immunity. </w:t>
      </w:r>
      <w:r>
        <w:rPr>
          <w:rFonts w:ascii="Book Antiqua" w:hAnsi="Book Antiqua" w:eastAsia="Book Antiqua" w:cs="Book Antiqua"/>
          <w:i/>
          <w:iCs/>
          <w:color w:val="000000"/>
        </w:rPr>
        <w:t>Immunity</w:t>
      </w:r>
      <w:r>
        <w:rPr>
          <w:rFonts w:ascii="Book Antiqua" w:hAnsi="Book Antiqua" w:eastAsia="Book Antiqua" w:cs="Book Antiqua"/>
          <w:color w:val="000000"/>
        </w:rPr>
        <w:t xml:space="preserve"> 2012; </w:t>
      </w:r>
      <w:r>
        <w:rPr>
          <w:rFonts w:ascii="Book Antiqua" w:hAnsi="Book Antiqua" w:eastAsia="Book Antiqua" w:cs="Book Antiqua"/>
          <w:b/>
          <w:bCs/>
          <w:color w:val="000000"/>
        </w:rPr>
        <w:t>36</w:t>
      </w:r>
      <w:r>
        <w:rPr>
          <w:rFonts w:ascii="Book Antiqua" w:hAnsi="Book Antiqua" w:eastAsia="Book Antiqua" w:cs="Book Antiqua"/>
          <w:color w:val="000000"/>
        </w:rPr>
        <w:t>: 251-261 [PMID: 22342842 DOI: 10.1016/j.immuni.2011.12.017]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105 </w:t>
      </w:r>
      <w:r>
        <w:rPr>
          <w:rFonts w:ascii="Book Antiqua" w:hAnsi="Book Antiqua" w:eastAsia="Book Antiqua" w:cs="Book Antiqua"/>
          <w:b/>
          <w:bCs/>
          <w:color w:val="000000"/>
        </w:rPr>
        <w:t>Crespo I</w:t>
      </w:r>
      <w:r>
        <w:rPr>
          <w:rFonts w:ascii="Book Antiqua" w:hAnsi="Book Antiqua" w:eastAsia="Book Antiqua" w:cs="Book Antiqua"/>
          <w:color w:val="000000"/>
        </w:rPr>
        <w:t xml:space="preserve">, Fernández-Palanca P, San-Miguel B, Álvarez M, González-Gallego J, Tuñón MJ. Melatonin modulates mitophagy, innate immunity and circadian clocks in a model of viral-induced fulminant hepatic failure. </w:t>
      </w:r>
      <w:r>
        <w:rPr>
          <w:rFonts w:ascii="Book Antiqua" w:hAnsi="Book Antiqua" w:eastAsia="Book Antiqua" w:cs="Book Antiqua"/>
          <w:i/>
          <w:iCs/>
          <w:color w:val="000000"/>
        </w:rPr>
        <w:t>J Cell Mol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7625-7636 [PMID: 32468679 DOI: 10.1111/jcmm.15398]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106 </w:t>
      </w:r>
      <w:r>
        <w:rPr>
          <w:rFonts w:ascii="Book Antiqua" w:hAnsi="Book Antiqua" w:eastAsia="Book Antiqua" w:cs="Book Antiqua"/>
          <w:b/>
          <w:bCs/>
          <w:color w:val="000000"/>
        </w:rPr>
        <w:t>Griffett K</w:t>
      </w:r>
      <w:r>
        <w:rPr>
          <w:rFonts w:ascii="Book Antiqua" w:hAnsi="Book Antiqua" w:eastAsia="Book Antiqua" w:cs="Book Antiqua"/>
          <w:color w:val="000000"/>
        </w:rPr>
        <w:t xml:space="preserve">, Bedia-Diaz G, Elgendy B, Burris TP. REV-ERB agonism improves liver pathology in a mouse model of NASH.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e0236000 [PMID: 33002003 DOI: 10.1371/journal.pone.0236000]</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107 </w:t>
      </w:r>
      <w:r>
        <w:rPr>
          <w:rFonts w:ascii="Book Antiqua" w:hAnsi="Book Antiqua" w:eastAsia="Book Antiqua" w:cs="Book Antiqua"/>
          <w:b/>
          <w:bCs/>
          <w:color w:val="000000"/>
        </w:rPr>
        <w:t>Srinivasan V</w:t>
      </w:r>
      <w:r>
        <w:rPr>
          <w:rFonts w:ascii="Book Antiqua" w:hAnsi="Book Antiqua" w:eastAsia="Book Antiqua" w:cs="Book Antiqua"/>
          <w:color w:val="000000"/>
        </w:rPr>
        <w:t xml:space="preserve">, Mohamed M, Kato H. Melatonin in bacterial and viral infections with focus on sepsis: a review. </w:t>
      </w:r>
      <w:r>
        <w:rPr>
          <w:rFonts w:ascii="Book Antiqua" w:hAnsi="Book Antiqua" w:eastAsia="Book Antiqua" w:cs="Book Antiqua"/>
          <w:i/>
          <w:iCs/>
          <w:color w:val="000000"/>
        </w:rPr>
        <w:t>Recent Pat Endocr Metab Immune Drug Discov</w:t>
      </w:r>
      <w:r>
        <w:rPr>
          <w:rFonts w:ascii="Book Antiqua" w:hAnsi="Book Antiqua" w:eastAsia="Book Antiqua" w:cs="Book Antiqua"/>
          <w:color w:val="000000"/>
        </w:rPr>
        <w:t xml:space="preserve"> 2012; </w:t>
      </w:r>
      <w:r>
        <w:rPr>
          <w:rFonts w:ascii="Book Antiqua" w:hAnsi="Book Antiqua" w:eastAsia="Book Antiqua" w:cs="Book Antiqua"/>
          <w:b/>
          <w:bCs/>
          <w:color w:val="000000"/>
        </w:rPr>
        <w:t>6</w:t>
      </w:r>
      <w:r>
        <w:rPr>
          <w:rFonts w:ascii="Book Antiqua" w:hAnsi="Book Antiqua" w:eastAsia="Book Antiqua" w:cs="Book Antiqua"/>
          <w:color w:val="000000"/>
        </w:rPr>
        <w:t>: 30-39 [PMID: 22264213 DOI: 10.2174/187221412799015317]</w:t>
      </w:r>
    </w:p>
    <w:p>
      <w:pPr>
        <w:spacing w:line="360" w:lineRule="auto"/>
        <w:jc w:val="both"/>
        <w:rPr>
          <w:rFonts w:ascii="Book Antiqua" w:hAnsi="Book Antiqua" w:eastAsia="Book Antiqua" w:cs="Book Antiqua"/>
          <w:color w:val="000000"/>
          <w:lang w:val="fr-FR"/>
        </w:rPr>
      </w:pPr>
      <w:r>
        <w:rPr>
          <w:rFonts w:ascii="Book Antiqua" w:hAnsi="Book Antiqua" w:eastAsia="Book Antiqua" w:cs="Book Antiqua"/>
          <w:color w:val="000000"/>
        </w:rPr>
        <w:t xml:space="preserve">108 </w:t>
      </w:r>
      <w:r>
        <w:rPr>
          <w:rFonts w:ascii="Book Antiqua" w:hAnsi="Book Antiqua" w:eastAsia="Book Antiqua" w:cs="Book Antiqua"/>
          <w:b/>
          <w:bCs/>
          <w:color w:val="000000"/>
        </w:rPr>
        <w:t>van den Berg F</w:t>
      </w:r>
      <w:r>
        <w:rPr>
          <w:rFonts w:ascii="Book Antiqua" w:hAnsi="Book Antiqua" w:eastAsia="Book Antiqua" w:cs="Book Antiqua"/>
          <w:color w:val="000000"/>
        </w:rPr>
        <w:t xml:space="preserve">, Limani SW, Mnyandu N, Maepa MB, Ely A, Arbuthnot P. Advances with RNAi-Based Therapy for Hepatitis B Virus Infection. </w:t>
      </w:r>
      <w:r>
        <w:rPr>
          <w:rFonts w:ascii="Book Antiqua" w:hAnsi="Book Antiqua" w:eastAsia="Book Antiqua" w:cs="Book Antiqua"/>
          <w:i/>
          <w:iCs/>
          <w:color w:val="000000"/>
          <w:lang w:val="fr-FR"/>
        </w:rPr>
        <w:t>Viruses</w:t>
      </w:r>
      <w:r>
        <w:rPr>
          <w:rFonts w:ascii="Book Antiqua" w:hAnsi="Book Antiqua" w:eastAsia="Book Antiqua" w:cs="Book Antiqua"/>
          <w:color w:val="000000"/>
          <w:lang w:val="fr-FR"/>
        </w:rPr>
        <w:t xml:space="preserve"> 2020; </w:t>
      </w:r>
      <w:r>
        <w:rPr>
          <w:rFonts w:ascii="Book Antiqua" w:hAnsi="Book Antiqua" w:eastAsia="Book Antiqua" w:cs="Book Antiqua"/>
          <w:b/>
          <w:bCs/>
          <w:color w:val="000000"/>
          <w:lang w:val="fr-FR"/>
        </w:rPr>
        <w:t>12</w:t>
      </w:r>
      <w:r>
        <w:rPr>
          <w:rFonts w:ascii="Book Antiqua" w:hAnsi="Book Antiqua" w:eastAsia="Book Antiqua" w:cs="Book Antiqua"/>
          <w:color w:val="000000"/>
          <w:lang w:val="fr-FR"/>
        </w:rPr>
        <w:t xml:space="preserve"> [PMID: 32759756 DOI: 10.3390/V12080851]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lang w:val="fr-FR"/>
        </w:rPr>
        <w:t xml:space="preserve">109 </w:t>
      </w:r>
      <w:r>
        <w:rPr>
          <w:rFonts w:ascii="Book Antiqua" w:hAnsi="Book Antiqua" w:eastAsia="Book Antiqua" w:cs="Book Antiqua"/>
          <w:b/>
          <w:bCs/>
          <w:color w:val="000000"/>
          <w:lang w:val="fr-FR"/>
        </w:rPr>
        <w:t>Pierra Rouviere C</w:t>
      </w:r>
      <w:r>
        <w:rPr>
          <w:rFonts w:ascii="Book Antiqua" w:hAnsi="Book Antiqua" w:eastAsia="Book Antiqua" w:cs="Book Antiqua"/>
          <w:color w:val="000000"/>
          <w:lang w:val="fr-FR"/>
        </w:rPr>
        <w:t xml:space="preserve">, Dousson CB, Tavis JE. </w:t>
      </w:r>
      <w:r>
        <w:rPr>
          <w:rFonts w:ascii="Book Antiqua" w:hAnsi="Book Antiqua" w:eastAsia="Book Antiqua" w:cs="Book Antiqua"/>
          <w:color w:val="000000"/>
        </w:rPr>
        <w:t xml:space="preserve">HBV replication inhibitors. </w:t>
      </w:r>
      <w:r>
        <w:rPr>
          <w:rFonts w:ascii="Book Antiqua" w:hAnsi="Book Antiqua" w:eastAsia="Book Antiqua" w:cs="Book Antiqua"/>
          <w:i/>
          <w:iCs/>
          <w:color w:val="000000"/>
        </w:rPr>
        <w:t>Antiviral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179</w:t>
      </w:r>
      <w:r>
        <w:rPr>
          <w:rFonts w:ascii="Book Antiqua" w:hAnsi="Book Antiqua" w:eastAsia="Book Antiqua" w:cs="Book Antiqua"/>
          <w:color w:val="000000"/>
        </w:rPr>
        <w:t>: 104815 [PMID: 32380149 DOI: 10.1016/j.antiviral.2020.104815]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110 </w:t>
      </w:r>
      <w:r>
        <w:rPr>
          <w:rFonts w:ascii="Book Antiqua" w:hAnsi="Book Antiqua" w:eastAsia="Book Antiqua" w:cs="Book Antiqua"/>
          <w:b/>
          <w:bCs/>
          <w:color w:val="000000"/>
        </w:rPr>
        <w:t>Liang TJ</w:t>
      </w:r>
      <w:r>
        <w:rPr>
          <w:rFonts w:ascii="Book Antiqua" w:hAnsi="Book Antiqua" w:eastAsia="Book Antiqua" w:cs="Book Antiqua"/>
          <w:color w:val="000000"/>
        </w:rPr>
        <w:t xml:space="preserve">. Hepatitis B: a new weapon against an old enemy. </w:t>
      </w:r>
      <w:r>
        <w:rPr>
          <w:rFonts w:ascii="Book Antiqua" w:hAnsi="Book Antiqua" w:eastAsia="Book Antiqua" w:cs="Book Antiqua"/>
          <w:i/>
          <w:iCs/>
          <w:color w:val="000000"/>
        </w:rPr>
        <w:t>Nat Med</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1672-1673 [PMID: 34642493 DOI: 10.1038/s41591-021-01512-5]</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111 </w:t>
      </w:r>
      <w:r>
        <w:rPr>
          <w:rFonts w:ascii="Book Antiqua" w:hAnsi="Book Antiqua" w:eastAsia="Book Antiqua" w:cs="Book Antiqua"/>
          <w:b/>
          <w:bCs/>
          <w:color w:val="000000"/>
        </w:rPr>
        <w:t>Raimondo G</w:t>
      </w:r>
      <w:r>
        <w:rPr>
          <w:rFonts w:ascii="Book Antiqua" w:hAnsi="Book Antiqua" w:eastAsia="Book Antiqua" w:cs="Book Antiqua"/>
          <w:color w:val="000000"/>
        </w:rPr>
        <w:t xml:space="preserve">, Locarnini S, Pollicino T, Levrero M, Zoulim F, Lok AS; Taormina Workshop on Occult HBV Infection Faculty Members. Update of the statements on biology and clinical impact of occult hepatitis B virus infection. </w:t>
      </w:r>
      <w:r>
        <w:rPr>
          <w:rFonts w:ascii="Book Antiqua" w:hAnsi="Book Antiqua" w:eastAsia="Book Antiqua" w:cs="Book Antiqua"/>
          <w:i/>
          <w:iCs/>
          <w:color w:val="000000"/>
        </w:rPr>
        <w:t>J Hepatol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71</w:t>
      </w:r>
      <w:r>
        <w:rPr>
          <w:rFonts w:ascii="Book Antiqua" w:hAnsi="Book Antiqua" w:eastAsia="Book Antiqua" w:cs="Book Antiqua"/>
          <w:color w:val="000000"/>
        </w:rPr>
        <w:t>: 397-408 [PMID: 31004683 DOI: 10.1016/j.jhep.2019.03.034]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112 </w:t>
      </w:r>
      <w:r>
        <w:rPr>
          <w:rFonts w:ascii="Book Antiqua" w:hAnsi="Book Antiqua" w:eastAsia="Book Antiqua" w:cs="Book Antiqua"/>
          <w:b/>
          <w:bCs/>
          <w:color w:val="000000"/>
        </w:rPr>
        <w:t>Greco CM</w:t>
      </w:r>
      <w:r>
        <w:rPr>
          <w:rFonts w:ascii="Book Antiqua" w:hAnsi="Book Antiqua" w:eastAsia="Book Antiqua" w:cs="Book Antiqua"/>
          <w:color w:val="000000"/>
        </w:rPr>
        <w:t xml:space="preserve">, Sassone-Corsi P. Personalized medicine and circadian rhythms: Opportunities for modern society. </w:t>
      </w:r>
      <w:r>
        <w:rPr>
          <w:rFonts w:ascii="Book Antiqua" w:hAnsi="Book Antiqua" w:eastAsia="Book Antiqua" w:cs="Book Antiqua"/>
          <w:i/>
          <w:iCs/>
          <w:color w:val="000000"/>
        </w:rPr>
        <w:t>J Exp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217</w:t>
      </w:r>
      <w:r>
        <w:rPr>
          <w:rFonts w:ascii="Book Antiqua" w:hAnsi="Book Antiqua" w:eastAsia="Book Antiqua" w:cs="Book Antiqua"/>
          <w:color w:val="000000"/>
        </w:rPr>
        <w:t xml:space="preserve"> [PMID: 32433754 DOI: 10.1084/JEM.20200702]</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113 </w:t>
      </w:r>
      <w:r>
        <w:rPr>
          <w:rFonts w:ascii="Book Antiqua" w:hAnsi="Book Antiqua" w:eastAsia="Book Antiqua" w:cs="Book Antiqua"/>
          <w:b/>
          <w:bCs/>
          <w:color w:val="000000"/>
        </w:rPr>
        <w:t>Maiese K</w:t>
      </w:r>
      <w:r>
        <w:rPr>
          <w:rFonts w:ascii="Book Antiqua" w:hAnsi="Book Antiqua" w:eastAsia="Book Antiqua" w:cs="Book Antiqua"/>
          <w:color w:val="000000"/>
        </w:rPr>
        <w:t xml:space="preserve">. Circadian Clock Genes: Targeting Innate Immunity for Antiviral Strategies Against COVID-19. </w:t>
      </w:r>
      <w:r>
        <w:rPr>
          <w:rFonts w:ascii="Book Antiqua" w:hAnsi="Book Antiqua" w:eastAsia="Book Antiqua" w:cs="Book Antiqua"/>
          <w:i/>
          <w:iCs/>
          <w:color w:val="000000"/>
        </w:rPr>
        <w:t>Curr Neurovasc Res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17</w:t>
      </w:r>
      <w:r>
        <w:rPr>
          <w:rFonts w:ascii="Book Antiqua" w:hAnsi="Book Antiqua" w:eastAsia="Book Antiqua" w:cs="Book Antiqua"/>
          <w:color w:val="000000"/>
        </w:rPr>
        <w:t>: 531-533 [PMID: 33272180 DOI: 10.2174/1567202617666201203110008]</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114 </w:t>
      </w:r>
      <w:r>
        <w:rPr>
          <w:rFonts w:ascii="Book Antiqua" w:hAnsi="Book Antiqua" w:eastAsia="Book Antiqua" w:cs="Book Antiqua"/>
          <w:b/>
          <w:bCs/>
          <w:color w:val="000000"/>
        </w:rPr>
        <w:t>Karabay O</w:t>
      </w:r>
      <w:r>
        <w:rPr>
          <w:rFonts w:ascii="Book Antiqua" w:hAnsi="Book Antiqua" w:eastAsia="Book Antiqua" w:cs="Book Antiqua"/>
          <w:color w:val="000000"/>
        </w:rPr>
        <w:t xml:space="preserve">, Temel A, Koker AG, Tokel M, Ceyhan M, Kocoglu E. Influence of circadian rhythm on the efficacy of the hepatitis B vaccination. </w:t>
      </w:r>
      <w:r>
        <w:rPr>
          <w:rFonts w:ascii="Book Antiqua" w:hAnsi="Book Antiqua" w:eastAsia="Book Antiqua" w:cs="Book Antiqua"/>
          <w:i/>
          <w:iCs/>
          <w:color w:val="000000"/>
        </w:rPr>
        <w:t>Vaccine</w:t>
      </w:r>
      <w:r>
        <w:rPr>
          <w:rFonts w:ascii="Book Antiqua" w:hAnsi="Book Antiqua" w:eastAsia="Book Antiqua" w:cs="Book Antiqua"/>
          <w:color w:val="000000"/>
        </w:rPr>
        <w:t xml:space="preserve"> 2008; </w:t>
      </w:r>
      <w:r>
        <w:rPr>
          <w:rFonts w:ascii="Book Antiqua" w:hAnsi="Book Antiqua" w:eastAsia="Book Antiqua" w:cs="Book Antiqua"/>
          <w:b/>
          <w:bCs/>
          <w:color w:val="000000"/>
        </w:rPr>
        <w:t>26</w:t>
      </w:r>
      <w:r>
        <w:rPr>
          <w:rFonts w:ascii="Book Antiqua" w:hAnsi="Book Antiqua" w:eastAsia="Book Antiqua" w:cs="Book Antiqua"/>
          <w:color w:val="000000"/>
        </w:rPr>
        <w:t>: 1143-1144 [PMID: 18255201 DOI: 10.1016/j.vaccine.2007.12.046]</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115 </w:t>
      </w:r>
      <w:r>
        <w:rPr>
          <w:rFonts w:ascii="Book Antiqua" w:hAnsi="Book Antiqua" w:eastAsia="Book Antiqua" w:cs="Book Antiqua"/>
          <w:b/>
          <w:bCs/>
          <w:color w:val="000000"/>
        </w:rPr>
        <w:t>De Giorgi A</w:t>
      </w:r>
      <w:r>
        <w:rPr>
          <w:rFonts w:ascii="Book Antiqua" w:hAnsi="Book Antiqua" w:eastAsia="Book Antiqua" w:cs="Book Antiqua"/>
          <w:color w:val="000000"/>
        </w:rPr>
        <w:t xml:space="preserve">, Fabbian F, Di Simone E, Greco S, De Giorgio R, Zuliani G, Passaro A, Caselli E, Manfredini R; OUTCOME-INTMED-COV19 Study Collaborators. Morning vs. evening administration of antiviral therapy in COVID-19 patients. A preliminary retrospective study in Ferrara, Italy. </w:t>
      </w:r>
      <w:r>
        <w:rPr>
          <w:rFonts w:ascii="Book Antiqua" w:hAnsi="Book Antiqua" w:eastAsia="Book Antiqua" w:cs="Book Antiqua"/>
          <w:i/>
          <w:iCs/>
          <w:color w:val="000000"/>
        </w:rPr>
        <w:t>Eur Rev Med Pharmacol Sci</w:t>
      </w:r>
      <w:r>
        <w:rPr>
          <w:rFonts w:ascii="Book Antiqua" w:hAnsi="Book Antiqua" w:eastAsia="Book Antiqua" w:cs="Book Antiqua"/>
          <w:color w:val="000000"/>
        </w:rPr>
        <w:t xml:space="preserve"> 2020; </w:t>
      </w:r>
      <w:r>
        <w:rPr>
          <w:rFonts w:ascii="Book Antiqua" w:hAnsi="Book Antiqua" w:eastAsia="Book Antiqua" w:cs="Book Antiqua"/>
          <w:b/>
          <w:bCs/>
          <w:color w:val="000000"/>
        </w:rPr>
        <w:t>24</w:t>
      </w:r>
      <w:r>
        <w:rPr>
          <w:rFonts w:ascii="Book Antiqua" w:hAnsi="Book Antiqua" w:eastAsia="Book Antiqua" w:cs="Book Antiqua"/>
          <w:color w:val="000000"/>
        </w:rPr>
        <w:t>: 8219-8225 [PMID: 32767353 DOI: 10.26355/eurrev_202008_22511]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116 </w:t>
      </w:r>
      <w:r>
        <w:rPr>
          <w:rFonts w:ascii="Book Antiqua" w:hAnsi="Book Antiqua" w:eastAsia="Book Antiqua" w:cs="Book Antiqua"/>
          <w:b/>
          <w:bCs/>
          <w:color w:val="000000"/>
        </w:rPr>
        <w:t>Ruben MD</w:t>
      </w:r>
      <w:r>
        <w:rPr>
          <w:rFonts w:ascii="Book Antiqua" w:hAnsi="Book Antiqua" w:eastAsia="Book Antiqua" w:cs="Book Antiqua"/>
          <w:color w:val="000000"/>
        </w:rPr>
        <w:t xml:space="preserve">, Smith DF, FitzGerald GA, Hogenesch JB. Dosing time matters. </w:t>
      </w:r>
      <w:r>
        <w:rPr>
          <w:rFonts w:ascii="Book Antiqua" w:hAnsi="Book Antiqua" w:eastAsia="Book Antiqua" w:cs="Book Antiqua"/>
          <w:i/>
          <w:iCs/>
          <w:color w:val="000000"/>
        </w:rPr>
        <w:t>Science</w:t>
      </w:r>
      <w:r>
        <w:rPr>
          <w:rFonts w:ascii="Book Antiqua" w:hAnsi="Book Antiqua" w:eastAsia="Book Antiqua" w:cs="Book Antiqua"/>
          <w:color w:val="000000"/>
        </w:rPr>
        <w:t xml:space="preserve"> 2019; </w:t>
      </w:r>
      <w:r>
        <w:rPr>
          <w:rFonts w:ascii="Book Antiqua" w:hAnsi="Book Antiqua" w:eastAsia="Book Antiqua" w:cs="Book Antiqua"/>
          <w:b/>
          <w:bCs/>
          <w:color w:val="000000"/>
        </w:rPr>
        <w:t>365</w:t>
      </w:r>
      <w:r>
        <w:rPr>
          <w:rFonts w:ascii="Book Antiqua" w:hAnsi="Book Antiqua" w:eastAsia="Book Antiqua" w:cs="Book Antiqua"/>
          <w:color w:val="000000"/>
        </w:rPr>
        <w:t>: 547-549 [PMID: 31395773 DOI: 10.1126/science.aax7621]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117 </w:t>
      </w:r>
      <w:r>
        <w:rPr>
          <w:rFonts w:ascii="Book Antiqua" w:hAnsi="Book Antiqua" w:eastAsia="Book Antiqua" w:cs="Book Antiqua"/>
          <w:b/>
          <w:bCs/>
          <w:color w:val="000000"/>
        </w:rPr>
        <w:t>Kurupati RK</w:t>
      </w:r>
      <w:r>
        <w:rPr>
          <w:rFonts w:ascii="Book Antiqua" w:hAnsi="Book Antiqua" w:eastAsia="Book Antiqua" w:cs="Book Antiqua"/>
          <w:color w:val="000000"/>
        </w:rPr>
        <w:t xml:space="preserve">, Kossenkoff A, Kannan S, Haut LH, Doyle S, Yin X, Schmader KE, Liu Q, Showe L, Ertl HCJ. The effect of timing of influenza vaccination and sample collection on antibody titers and responses in the aged. </w:t>
      </w:r>
      <w:r>
        <w:rPr>
          <w:rFonts w:ascii="Book Antiqua" w:hAnsi="Book Antiqua" w:eastAsia="Book Antiqua" w:cs="Book Antiqua"/>
          <w:i/>
          <w:iCs/>
          <w:color w:val="000000"/>
        </w:rPr>
        <w:t>Vaccine</w:t>
      </w:r>
      <w:r>
        <w:rPr>
          <w:rFonts w:ascii="Book Antiqua" w:hAnsi="Book Antiqua" w:eastAsia="Book Antiqua" w:cs="Book Antiqua"/>
          <w:color w:val="000000"/>
        </w:rPr>
        <w:t xml:space="preserve"> 2017; </w:t>
      </w:r>
      <w:r>
        <w:rPr>
          <w:rFonts w:ascii="Book Antiqua" w:hAnsi="Book Antiqua" w:eastAsia="Book Antiqua" w:cs="Book Antiqua"/>
          <w:b/>
          <w:bCs/>
          <w:color w:val="000000"/>
        </w:rPr>
        <w:t>35</w:t>
      </w:r>
      <w:r>
        <w:rPr>
          <w:rFonts w:ascii="Book Antiqua" w:hAnsi="Book Antiqua" w:eastAsia="Book Antiqua" w:cs="Book Antiqua"/>
          <w:color w:val="000000"/>
        </w:rPr>
        <w:t>: 3700-3708 [PMID: 28583307 DOI: 10.1016/j.vaccine.2017.05.074]</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118 </w:t>
      </w:r>
      <w:r>
        <w:rPr>
          <w:rFonts w:ascii="Book Antiqua" w:hAnsi="Book Antiqua" w:eastAsia="Book Antiqua" w:cs="Book Antiqua"/>
          <w:b/>
          <w:bCs/>
          <w:color w:val="000000"/>
        </w:rPr>
        <w:t>Sultan A</w:t>
      </w:r>
      <w:r>
        <w:rPr>
          <w:rFonts w:ascii="Book Antiqua" w:hAnsi="Book Antiqua" w:eastAsia="Book Antiqua" w:cs="Book Antiqua"/>
          <w:color w:val="000000"/>
        </w:rPr>
        <w:t>, Ali R, Sultan T, Ali S, Khan NJ, Parganiha A. Circadian clock modulating small molecules repurposing as inhibitors of SARS-CoV-2 M</w:t>
      </w:r>
      <w:r>
        <w:rPr>
          <w:rFonts w:ascii="Book Antiqua" w:hAnsi="Book Antiqua" w:eastAsia="Book Antiqua" w:cs="Book Antiqua"/>
          <w:color w:val="000000"/>
          <w:vertAlign w:val="superscript"/>
        </w:rPr>
        <w:t>pro</w:t>
      </w:r>
      <w:r>
        <w:rPr>
          <w:rFonts w:ascii="Book Antiqua" w:hAnsi="Book Antiqua" w:eastAsia="Book Antiqua" w:cs="Book Antiqua"/>
          <w:color w:val="000000"/>
        </w:rPr>
        <w:t xml:space="preserve"> for pharmacological interventions in COVID-19 pandemic. </w:t>
      </w:r>
      <w:r>
        <w:rPr>
          <w:rFonts w:ascii="Book Antiqua" w:hAnsi="Book Antiqua" w:eastAsia="Book Antiqua" w:cs="Book Antiqua"/>
          <w:i/>
          <w:iCs/>
          <w:color w:val="000000"/>
        </w:rPr>
        <w:t>Chronobiol Int</w:t>
      </w:r>
      <w:r>
        <w:rPr>
          <w:rFonts w:ascii="Book Antiqua" w:hAnsi="Book Antiqua" w:eastAsia="Book Antiqua" w:cs="Book Antiqua"/>
          <w:color w:val="000000"/>
        </w:rPr>
        <w:t xml:space="preserve"> 2021; </w:t>
      </w:r>
      <w:r>
        <w:rPr>
          <w:rFonts w:ascii="Book Antiqua" w:hAnsi="Book Antiqua" w:eastAsia="Book Antiqua" w:cs="Book Antiqua"/>
          <w:b/>
          <w:bCs/>
          <w:color w:val="000000"/>
        </w:rPr>
        <w:t>38</w:t>
      </w:r>
      <w:r>
        <w:rPr>
          <w:rFonts w:ascii="Book Antiqua" w:hAnsi="Book Antiqua" w:eastAsia="Book Antiqua" w:cs="Book Antiqua"/>
          <w:color w:val="000000"/>
        </w:rPr>
        <w:t>: 971-985 [PMID: 33820462 DOI: 10.1080/07420528.2021.1903027]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119 </w:t>
      </w:r>
      <w:r>
        <w:rPr>
          <w:rFonts w:ascii="Book Antiqua" w:hAnsi="Book Antiqua" w:eastAsia="Book Antiqua" w:cs="Book Antiqua"/>
          <w:b/>
          <w:color w:val="000000"/>
        </w:rPr>
        <w:t>Sultan A</w:t>
      </w:r>
      <w:r>
        <w:rPr>
          <w:rFonts w:ascii="Book Antiqua" w:hAnsi="Book Antiqua" w:eastAsia="Book Antiqua" w:cs="Book Antiqua"/>
          <w:color w:val="000000"/>
        </w:rPr>
        <w:t xml:space="preserve">. Identification and development of clock-modulating small molecules-an emerging approach to fine-tune the disrupted circadian clocks. </w:t>
      </w:r>
      <w:r>
        <w:rPr>
          <w:rFonts w:ascii="Book Antiqua" w:hAnsi="Book Antiqua" w:eastAsia="Book Antiqua" w:cs="Book Antiqua"/>
          <w:i/>
          <w:color w:val="000000"/>
        </w:rPr>
        <w:t>Biol Rhythm Res</w:t>
      </w:r>
      <w:r>
        <w:rPr>
          <w:rFonts w:ascii="Book Antiqua" w:hAnsi="Book Antiqua" w:eastAsia="Book Antiqua" w:cs="Book Antiqua"/>
          <w:color w:val="000000"/>
        </w:rPr>
        <w:t xml:space="preserve"> 2018; </w:t>
      </w:r>
      <w:r>
        <w:rPr>
          <w:rFonts w:ascii="Book Antiqua" w:hAnsi="Book Antiqua" w:eastAsia="Book Antiqua" w:cs="Book Antiqua"/>
          <w:b/>
          <w:color w:val="000000"/>
        </w:rPr>
        <w:t>50</w:t>
      </w:r>
      <w:r>
        <w:rPr>
          <w:rFonts w:ascii="Book Antiqua" w:hAnsi="Book Antiqua" w:eastAsia="Book Antiqua" w:cs="Book Antiqua"/>
          <w:color w:val="000000"/>
        </w:rPr>
        <w:t>: 769-786 [DOI: 10.1080/09291016.2018.1498197]</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120 </w:t>
      </w:r>
      <w:r>
        <w:rPr>
          <w:rFonts w:ascii="Book Antiqua" w:hAnsi="Book Antiqua" w:eastAsia="Book Antiqua" w:cs="Book Antiqua"/>
          <w:b/>
          <w:bCs/>
          <w:color w:val="000000"/>
        </w:rPr>
        <w:t>Borrmann H</w:t>
      </w:r>
      <w:r>
        <w:rPr>
          <w:rFonts w:ascii="Book Antiqua" w:hAnsi="Book Antiqua" w:eastAsia="Book Antiqua" w:cs="Book Antiqua"/>
          <w:color w:val="000000"/>
        </w:rPr>
        <w:t xml:space="preserve">, Davies R, Dickinson M, Pedroza-Pacheco I, Schilling M, Vaughan-Jackson A, Magri A, James W, Balfe P, Borrow P, McKeating JA, Zhuang X. Pharmacological activation of the circadian component REV-ERB inhibits HIV-1 replication.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13271 [PMID: 32764708 DOI: 10.1038/s41598-020-70170-3]</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 xml:space="preserve">121 </w:t>
      </w:r>
      <w:r>
        <w:rPr>
          <w:rFonts w:ascii="Book Antiqua" w:hAnsi="Book Antiqua" w:eastAsia="Book Antiqua" w:cs="Book Antiqua"/>
          <w:b/>
          <w:bCs/>
          <w:color w:val="000000"/>
        </w:rPr>
        <w:t>Wang S</w:t>
      </w:r>
      <w:r>
        <w:rPr>
          <w:rFonts w:ascii="Book Antiqua" w:hAnsi="Book Antiqua" w:eastAsia="Book Antiqua" w:cs="Book Antiqua"/>
          <w:color w:val="000000"/>
        </w:rPr>
        <w:t xml:space="preserve">, Li F, Lin Y, Wu B. Targeting REV-ERBα for therapeutic purposes: promises and challenges. </w:t>
      </w:r>
      <w:r>
        <w:rPr>
          <w:rFonts w:ascii="Book Antiqua" w:hAnsi="Book Antiqua" w:eastAsia="Book Antiqua" w:cs="Book Antiqua"/>
          <w:i/>
          <w:iCs/>
          <w:color w:val="000000"/>
        </w:rPr>
        <w:t>Theranostics</w:t>
      </w:r>
      <w:r>
        <w:rPr>
          <w:rFonts w:ascii="Book Antiqua" w:hAnsi="Book Antiqua" w:eastAsia="Book Antiqua" w:cs="Book Antiqua"/>
          <w:color w:val="000000"/>
        </w:rPr>
        <w:t xml:space="preserve"> 2020; </w:t>
      </w:r>
      <w:r>
        <w:rPr>
          <w:rFonts w:ascii="Book Antiqua" w:hAnsi="Book Antiqua" w:eastAsia="Book Antiqua" w:cs="Book Antiqua"/>
          <w:b/>
          <w:bCs/>
          <w:color w:val="000000"/>
        </w:rPr>
        <w:t>10</w:t>
      </w:r>
      <w:r>
        <w:rPr>
          <w:rFonts w:ascii="Book Antiqua" w:hAnsi="Book Antiqua" w:eastAsia="Book Antiqua" w:cs="Book Antiqua"/>
          <w:color w:val="000000"/>
        </w:rPr>
        <w:t>: 4168-4182 [PMID: 32226546 DOI: 10.7150/thno.43834]</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TimesNewRomanPS-BoldItalicMT"/>
          <w:bCs/>
          <w:iCs/>
          <w:color w:val="000000"/>
        </w:rPr>
        <w:t>There are no conflicts of interest to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11,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8, 2022</w:t>
      </w:r>
    </w:p>
    <w:p>
      <w:pPr>
        <w:spacing w:line="360" w:lineRule="auto"/>
        <w:jc w:val="both"/>
        <w:rPr>
          <w:rFonts w:ascii="Book Antiqua" w:hAnsi="Book Antiqua"/>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June 13,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Croatia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 A</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ascii="Book Antiqua" w:hAnsi="Book Antiqua" w:cs="Book Antiqua"/>
          <w:color w:val="000000"/>
          <w:lang w:eastAsia="zh-CN"/>
        </w:rPr>
        <w:t>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Jiang W, China; Miyoshi E, Japan; Shkodina A, Ukraine</w:t>
      </w:r>
      <w:r>
        <w:rPr>
          <w:rFonts w:ascii="Book Antiqua" w:hAnsi="Book Antiqua" w:eastAsia="Book Antiqua" w:cs="Book Antiqua"/>
          <w:b/>
          <w:color w:val="000000"/>
        </w:rPr>
        <w:t xml:space="preserve"> A-Editor: </w:t>
      </w:r>
      <w:r>
        <w:rPr>
          <w:rFonts w:ascii="Book Antiqua" w:hAnsi="Book Antiqua" w:eastAsia="Book Antiqua" w:cs="Book Antiqua"/>
          <w:color w:val="000000"/>
        </w:rPr>
        <w:t>de Melo FF, Brazil</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Chen YL</w:t>
      </w: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833745" cy="4119880"/>
            <wp:effectExtent l="0" t="0" r="3175" b="10160"/>
            <wp:docPr id="4" name="图片 4" descr="WJG-28-328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G-28-3282-g001"/>
                    <pic:cNvPicPr>
                      <a:picLocks noChangeAspect="1"/>
                    </pic:cNvPicPr>
                  </pic:nvPicPr>
                  <pic:blipFill>
                    <a:blip r:embed="rId5"/>
                    <a:stretch>
                      <a:fillRect/>
                    </a:stretch>
                  </pic:blipFill>
                  <pic:spPr>
                    <a:xfrm>
                      <a:off x="0" y="0"/>
                      <a:ext cx="5833745" cy="411988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Hepatitis B virus life cycle. </w:t>
      </w:r>
      <w:r>
        <w:rPr>
          <w:rFonts w:ascii="Book Antiqua" w:hAnsi="Book Antiqua" w:eastAsia="Book Antiqua" w:cs="Book Antiqua"/>
          <w:bCs/>
          <w:color w:val="000000"/>
        </w:rPr>
        <w:t xml:space="preserve">Hepatitis B virus </w:t>
      </w:r>
      <w:r>
        <w:rPr>
          <w:rFonts w:ascii="Book Antiqua" w:hAnsi="Book Antiqua" w:cs="Book Antiqua"/>
          <w:color w:val="000000"/>
          <w:lang w:eastAsia="zh-CN"/>
        </w:rPr>
        <w:t>(</w:t>
      </w:r>
      <w:r>
        <w:rPr>
          <w:rFonts w:ascii="Book Antiqua" w:hAnsi="Book Antiqua" w:eastAsia="Book Antiqua" w:cs="Book Antiqua"/>
          <w:color w:val="000000"/>
        </w:rPr>
        <w:t>HBV</w:t>
      </w:r>
      <w:r>
        <w:rPr>
          <w:rFonts w:ascii="Book Antiqua" w:hAnsi="Book Antiqua" w:cs="Book Antiqua"/>
          <w:color w:val="000000"/>
          <w:lang w:eastAsia="zh-CN"/>
        </w:rPr>
        <w:t>)</w:t>
      </w:r>
      <w:r>
        <w:rPr>
          <w:rFonts w:ascii="Book Antiqua" w:hAnsi="Book Antiqua" w:eastAsia="Book Antiqua" w:cs="Book Antiqua"/>
          <w:color w:val="000000"/>
        </w:rPr>
        <w:t xml:space="preserve"> enters hepatocytes </w:t>
      </w:r>
      <w:r>
        <w:rPr>
          <w:rFonts w:ascii="Book Antiqua" w:hAnsi="Book Antiqua" w:eastAsia="Book Antiqua" w:cs="Book Antiqua"/>
          <w:i/>
          <w:iCs/>
          <w:color w:val="000000"/>
        </w:rPr>
        <w:t>via</w:t>
      </w:r>
      <w:r>
        <w:rPr>
          <w:rFonts w:ascii="Book Antiqua" w:hAnsi="Book Antiqua" w:eastAsia="Book Antiqua" w:cs="Book Antiqua"/>
          <w:color w:val="000000"/>
        </w:rPr>
        <w:t xml:space="preserve"> interaction with the heparan sulfate proteoglycan (HSPG), followed by the sodium taurocholate co-transporting polypeptide (NTCP) receptor. The virus envelope and the hepatocytes’ membrane merge, releasing the nucleocapsid into the cytoplasm. The viral genome is transferred to the nucleus after the capsid is removed. The relaxed circular genome is restored in the nucleus, resulting in </w:t>
      </w:r>
      <w:r>
        <w:rPr>
          <w:rFonts w:ascii="Book Antiqua" w:hAnsi="Book Antiqua" w:cs="Book Antiqua"/>
          <w:color w:val="000000"/>
          <w:lang w:eastAsia="zh-CN"/>
        </w:rPr>
        <w:t>c</w:t>
      </w:r>
      <w:r>
        <w:rPr>
          <w:rFonts w:ascii="Book Antiqua" w:hAnsi="Book Antiqua" w:eastAsia="Book Antiqua" w:cs="Book Antiqua"/>
          <w:color w:val="000000"/>
        </w:rPr>
        <w:t xml:space="preserve">ovalently closed circular DNA </w:t>
      </w:r>
      <w:r>
        <w:rPr>
          <w:rFonts w:ascii="Book Antiqua" w:hAnsi="Book Antiqua" w:cs="Book Antiqua"/>
          <w:color w:val="000000"/>
          <w:lang w:eastAsia="zh-CN"/>
        </w:rPr>
        <w:t>(</w:t>
      </w:r>
      <w:r>
        <w:rPr>
          <w:rFonts w:ascii="Book Antiqua" w:hAnsi="Book Antiqua" w:eastAsia="Book Antiqua" w:cs="Book Antiqua"/>
          <w:color w:val="000000"/>
        </w:rPr>
        <w:t>cccDNA</w:t>
      </w:r>
      <w:r>
        <w:rPr>
          <w:rFonts w:ascii="Book Antiqua" w:hAnsi="Book Antiqua" w:cs="Book Antiqua"/>
          <w:color w:val="000000"/>
          <w:lang w:eastAsia="zh-CN"/>
        </w:rPr>
        <w:t>)</w:t>
      </w:r>
      <w:r>
        <w:rPr>
          <w:rFonts w:ascii="Book Antiqua" w:hAnsi="Book Antiqua" w:eastAsia="Book Antiqua" w:cs="Book Antiqua"/>
          <w:color w:val="000000"/>
        </w:rPr>
        <w:t xml:space="preserve">, and viral DNA could be integrated into the host DNA. Integrated viral DNA is a constant source of hepatitis B surface antigen (dashed line). The cccDNA is a template for pregenomic RNA (pgRNA) production and the transcription of all viral mRNAs. In addition, the cccDNA is associated with host factors and cellular histones, and forms a minichromosome. The core proteins are constructed into nucleocapsids together with pgRNA. Viral polymerase converts the pgRNA to relax circular DNA, resulting in a mature nucleocapsid. The core particles can recycle and replenish cccDNA (dashed line), or gather with the envelope proteins in the endoplasmic reticulum and Golgi, and enter the secretory pathway. Through the secretory process, virions gain surface antigens and are secreted as infectious virions-Dane particles. Also, incomplete subviral particles are secreted, such as spheres and filaments lacking nucleocapsid proteins. HSP: </w:t>
      </w:r>
      <w:r>
        <w:rPr>
          <w:rFonts w:ascii="Book Antiqua" w:hAnsi="Book Antiqua" w:cs="Book Antiqua"/>
          <w:color w:val="000000"/>
          <w:lang w:eastAsia="zh-CN"/>
        </w:rPr>
        <w:t>H</w:t>
      </w:r>
      <w:r>
        <w:rPr>
          <w:rFonts w:ascii="Book Antiqua" w:hAnsi="Book Antiqua" w:eastAsia="Book Antiqua" w:cs="Book Antiqua"/>
          <w:color w:val="000000"/>
        </w:rPr>
        <w:t xml:space="preserve">eparan sulfate proteoglycan; NTCP: </w:t>
      </w:r>
      <w:r>
        <w:rPr>
          <w:rFonts w:ascii="Book Antiqua" w:hAnsi="Book Antiqua" w:cs="Book Antiqua"/>
          <w:color w:val="000000"/>
          <w:lang w:eastAsia="zh-CN"/>
        </w:rPr>
        <w:t>S</w:t>
      </w:r>
      <w:r>
        <w:rPr>
          <w:rFonts w:ascii="Book Antiqua" w:hAnsi="Book Antiqua" w:eastAsia="Book Antiqua" w:cs="Book Antiqua"/>
          <w:color w:val="000000"/>
        </w:rPr>
        <w:t xml:space="preserve">odium taurocholate co-transporting polypeptide receptor; cccDNA: </w:t>
      </w:r>
      <w:r>
        <w:rPr>
          <w:rFonts w:ascii="Book Antiqua" w:hAnsi="Book Antiqua" w:cs="Book Antiqua"/>
          <w:color w:val="000000"/>
          <w:lang w:eastAsia="zh-CN"/>
        </w:rPr>
        <w:t>C</w:t>
      </w:r>
      <w:r>
        <w:rPr>
          <w:rFonts w:ascii="Book Antiqua" w:hAnsi="Book Antiqua" w:eastAsia="Book Antiqua" w:cs="Book Antiqua"/>
          <w:color w:val="000000"/>
        </w:rPr>
        <w:t xml:space="preserve">ovalently closed circular DNA; pgRNA: </w:t>
      </w:r>
      <w:r>
        <w:rPr>
          <w:rFonts w:ascii="Book Antiqua" w:hAnsi="Book Antiqua" w:cs="Book Antiqua"/>
          <w:color w:val="000000"/>
          <w:lang w:eastAsia="zh-CN"/>
        </w:rPr>
        <w:t>P</w:t>
      </w:r>
      <w:r>
        <w:rPr>
          <w:rFonts w:ascii="Book Antiqua" w:hAnsi="Book Antiqua" w:eastAsia="Book Antiqua" w:cs="Book Antiqua"/>
          <w:color w:val="000000"/>
        </w:rPr>
        <w:t xml:space="preserve">regenomic RNA; HBx: </w:t>
      </w:r>
      <w:r>
        <w:rPr>
          <w:rFonts w:ascii="Book Antiqua" w:hAnsi="Book Antiqua" w:cs="Book Antiqua"/>
          <w:color w:val="000000"/>
          <w:lang w:eastAsia="zh-CN"/>
        </w:rPr>
        <w:t>H</w:t>
      </w:r>
      <w:r>
        <w:rPr>
          <w:rFonts w:ascii="Book Antiqua" w:hAnsi="Book Antiqua" w:eastAsia="Book Antiqua" w:cs="Book Antiqua"/>
          <w:color w:val="000000"/>
        </w:rPr>
        <w:t xml:space="preserve">epatitis B protein X; HBsAg: </w:t>
      </w:r>
      <w:r>
        <w:rPr>
          <w:rFonts w:ascii="Book Antiqua" w:hAnsi="Book Antiqua" w:cs="Book Antiqua"/>
          <w:color w:val="000000"/>
          <w:lang w:eastAsia="zh-CN"/>
        </w:rPr>
        <w:t>H</w:t>
      </w:r>
      <w:r>
        <w:rPr>
          <w:rFonts w:ascii="Book Antiqua" w:hAnsi="Book Antiqua" w:eastAsia="Book Antiqua" w:cs="Book Antiqua"/>
          <w:color w:val="000000"/>
        </w:rPr>
        <w:t xml:space="preserve">epatitis B surface antigen; HBe: E antigen; ER: </w:t>
      </w:r>
      <w:r>
        <w:rPr>
          <w:rFonts w:ascii="Book Antiqua" w:hAnsi="Book Antiqua" w:cs="Book Antiqua"/>
          <w:color w:val="000000"/>
          <w:lang w:eastAsia="zh-CN"/>
        </w:rPr>
        <w:t>E</w:t>
      </w:r>
      <w:r>
        <w:rPr>
          <w:rFonts w:ascii="Book Antiqua" w:hAnsi="Book Antiqua" w:eastAsia="Book Antiqua" w:cs="Book Antiqua"/>
          <w:color w:val="000000"/>
        </w:rPr>
        <w:t>ndoplasmatic reticulum.</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7885" cy="2593975"/>
            <wp:effectExtent l="0" t="0" r="5715" b="12065"/>
            <wp:docPr id="5" name="图片 5" descr="WJG-28-328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G-28-3282-g002"/>
                    <pic:cNvPicPr>
                      <a:picLocks noChangeAspect="1"/>
                    </pic:cNvPicPr>
                  </pic:nvPicPr>
                  <pic:blipFill>
                    <a:blip r:embed="rId6"/>
                    <a:stretch>
                      <a:fillRect/>
                    </a:stretch>
                  </pic:blipFill>
                  <pic:spPr>
                    <a:xfrm>
                      <a:off x="0" y="0"/>
                      <a:ext cx="5937885" cy="259397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Role of circadian rhythm genes in liver metabolism. </w:t>
      </w:r>
      <w:r>
        <w:rPr>
          <w:rFonts w:ascii="Book Antiqua" w:hAnsi="Book Antiqua" w:eastAsia="Book Antiqua" w:cs="Book Antiqua"/>
          <w:color w:val="000000"/>
        </w:rPr>
        <w:t xml:space="preserve">BMAL1: </w:t>
      </w:r>
      <w:r>
        <w:rPr>
          <w:rFonts w:ascii="Book Antiqua" w:hAnsi="Book Antiqua" w:cs="Book Antiqua"/>
          <w:color w:val="000000"/>
          <w:lang w:eastAsia="zh-CN"/>
        </w:rPr>
        <w:t>B</w:t>
      </w:r>
      <w:r>
        <w:rPr>
          <w:rFonts w:ascii="Book Antiqua" w:hAnsi="Book Antiqua" w:eastAsia="Book Antiqua" w:cs="Book Antiqua"/>
          <w:color w:val="000000"/>
        </w:rPr>
        <w:t>rain and muscle ARNTL-like protein 1; CLOCK:</w:t>
      </w:r>
      <w:r>
        <w:rPr>
          <w:rFonts w:ascii="Book Antiqua" w:hAnsi="Book Antiqua" w:cs="Book Antiqua"/>
          <w:color w:val="000000"/>
          <w:lang w:eastAsia="zh-CN"/>
        </w:rPr>
        <w:t xml:space="preserve"> C</w:t>
      </w:r>
      <w:r>
        <w:rPr>
          <w:rFonts w:ascii="Book Antiqua" w:hAnsi="Book Antiqua" w:eastAsia="Book Antiqua" w:cs="Book Antiqua"/>
          <w:color w:val="000000"/>
        </w:rPr>
        <w:t xml:space="preserve">ircadian locomotor output cycles kaput; PPAR: </w:t>
      </w:r>
      <w:r>
        <w:rPr>
          <w:rFonts w:ascii="Book Antiqua" w:hAnsi="Book Antiqua" w:cs="Book Antiqua"/>
          <w:color w:val="000000"/>
          <w:lang w:eastAsia="zh-CN"/>
        </w:rPr>
        <w:t>P</w:t>
      </w:r>
      <w:r>
        <w:rPr>
          <w:rFonts w:ascii="Book Antiqua" w:hAnsi="Book Antiqua" w:eastAsia="Book Antiqua" w:cs="Book Antiqua"/>
          <w:color w:val="000000"/>
        </w:rPr>
        <w:t xml:space="preserve">eroxisome proliferator-activated receptors; CRY: </w:t>
      </w:r>
      <w:r>
        <w:rPr>
          <w:rFonts w:ascii="Book Antiqua" w:hAnsi="Book Antiqua" w:cs="Book Antiqua"/>
          <w:color w:val="000000"/>
          <w:lang w:eastAsia="zh-CN"/>
        </w:rPr>
        <w:t>C</w:t>
      </w:r>
      <w:r>
        <w:rPr>
          <w:rFonts w:ascii="Book Antiqua" w:hAnsi="Book Antiqua" w:eastAsia="Book Antiqua" w:cs="Book Antiqua"/>
          <w:color w:val="000000"/>
        </w:rPr>
        <w:t xml:space="preserve">ryptochrome; PER: </w:t>
      </w:r>
      <w:r>
        <w:rPr>
          <w:rFonts w:ascii="Book Antiqua" w:hAnsi="Book Antiqua" w:cs="Book Antiqua"/>
          <w:color w:val="000000"/>
          <w:lang w:eastAsia="zh-CN"/>
        </w:rPr>
        <w:t>P</w:t>
      </w:r>
      <w:r>
        <w:rPr>
          <w:rFonts w:ascii="Book Antiqua" w:hAnsi="Book Antiqua" w:eastAsia="Book Antiqua" w:cs="Book Antiqua"/>
          <w:color w:val="000000"/>
        </w:rPr>
        <w:t xml:space="preserve">eriod; ROR: </w:t>
      </w:r>
      <w:r>
        <w:rPr>
          <w:rFonts w:ascii="Book Antiqua" w:hAnsi="Book Antiqua" w:cs="Book Antiqua"/>
          <w:color w:val="000000"/>
          <w:lang w:eastAsia="zh-CN"/>
        </w:rPr>
        <w:t>R</w:t>
      </w:r>
      <w:r>
        <w:rPr>
          <w:rFonts w:ascii="Book Antiqua" w:hAnsi="Book Antiqua" w:eastAsia="Book Antiqua" w:cs="Book Antiqua"/>
          <w:color w:val="000000"/>
        </w:rPr>
        <w:t xml:space="preserve">etinoic acid receptor-related orphan receptor; </w:t>
      </w:r>
      <w:r>
        <w:rPr>
          <w:rFonts w:ascii="Book Antiqua" w:hAnsi="Book Antiqua" w:cs="Book Antiqua"/>
          <w:color w:val="000000"/>
          <w:lang w:eastAsia="zh-CN"/>
        </w:rPr>
        <w:t>cAMP: C</w:t>
      </w:r>
      <w:r>
        <w:rPr>
          <w:rFonts w:ascii="Book Antiqua" w:hAnsi="Book Antiqua" w:eastAsia="Book Antiqua" w:cs="Book Antiqua"/>
          <w:color w:val="000000"/>
        </w:rPr>
        <w:t>yclic adenosine monophosphate</w:t>
      </w:r>
      <w:r>
        <w:rPr>
          <w:rFonts w:ascii="Book Antiqua" w:hAnsi="Book Antiqua" w:cs="Book Antiqua"/>
          <w:color w:val="000000"/>
          <w:lang w:eastAsia="zh-CN"/>
        </w:rPr>
        <w:t>;</w:t>
      </w:r>
      <w:r>
        <w:rPr>
          <w:rFonts w:ascii="Book Antiqua" w:hAnsi="Book Antiqua" w:eastAsia="Book Antiqua" w:cs="Book Antiqua"/>
          <w:color w:val="000000"/>
        </w:rPr>
        <w:t xml:space="preserve"> AMPK: AMP-activated protein kinase; PGC1α: PPAR coactivator 1α.</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937250" cy="3658235"/>
            <wp:effectExtent l="0" t="0" r="6350" b="14605"/>
            <wp:docPr id="6" name="图片 6" descr="WJG-28-328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G-28-3282-g003"/>
                    <pic:cNvPicPr>
                      <a:picLocks noChangeAspect="1"/>
                    </pic:cNvPicPr>
                  </pic:nvPicPr>
                  <pic:blipFill>
                    <a:blip r:embed="rId7"/>
                    <a:stretch>
                      <a:fillRect/>
                    </a:stretch>
                  </pic:blipFill>
                  <pic:spPr>
                    <a:xfrm>
                      <a:off x="0" y="0"/>
                      <a:ext cx="5937250" cy="3658235"/>
                    </a:xfrm>
                    <a:prstGeom prst="rect">
                      <a:avLst/>
                    </a:prstGeom>
                  </pic:spPr>
                </pic:pic>
              </a:graphicData>
            </a:graphic>
          </wp:inline>
        </w:drawing>
      </w:r>
      <w:bookmarkStart w:id="3" w:name="_GoBack"/>
      <w:bookmarkEnd w:id="3"/>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Relationship between circadian rhythm genes and hepatitis B virus replication. </w:t>
      </w:r>
      <w:r>
        <w:rPr>
          <w:rFonts w:ascii="Book Antiqua" w:hAnsi="Book Antiqua" w:eastAsia="Book Antiqua" w:cs="Book Antiqua"/>
          <w:color w:val="000000"/>
        </w:rPr>
        <w:t xml:space="preserve">Gray dashed lines indicate normal circadian rhythm in hepatocytes. Black arrows show the association between core clock proteins and hepatitis B virus </w:t>
      </w:r>
      <w:r>
        <w:rPr>
          <w:rFonts w:ascii="Book Antiqua" w:hAnsi="Book Antiqua" w:cs="Book Antiqua"/>
          <w:color w:val="000000"/>
          <w:lang w:eastAsia="zh-CN"/>
        </w:rPr>
        <w:t>(</w:t>
      </w:r>
      <w:r>
        <w:rPr>
          <w:rFonts w:ascii="Book Antiqua" w:hAnsi="Book Antiqua" w:eastAsia="Book Antiqua" w:cs="Book Antiqua"/>
          <w:color w:val="000000"/>
        </w:rPr>
        <w:t>HBV</w:t>
      </w:r>
      <w:r>
        <w:rPr>
          <w:rFonts w:ascii="Book Antiqua" w:hAnsi="Book Antiqua" w:cs="Book Antiqua"/>
          <w:color w:val="000000"/>
          <w:lang w:eastAsia="zh-CN"/>
        </w:rPr>
        <w:t>)</w:t>
      </w:r>
      <w:r>
        <w:rPr>
          <w:rFonts w:ascii="Book Antiqua" w:hAnsi="Book Antiqua" w:eastAsia="Book Antiqua" w:cs="Book Antiqua"/>
          <w:color w:val="000000"/>
        </w:rPr>
        <w:t xml:space="preserve"> entry into hepatocytes and its replication. Increased levels of REV-ERB protein prevent the entry of HBV into hepatocytes by impaired action on the sodium taurocholate co-transporting polypeptide </w:t>
      </w:r>
      <w:r>
        <w:rPr>
          <w:rFonts w:ascii="Book Antiqua" w:hAnsi="Book Antiqua" w:cs="Book Antiqua"/>
          <w:color w:val="000000"/>
          <w:lang w:eastAsia="zh-CN"/>
        </w:rPr>
        <w:t>(</w:t>
      </w:r>
      <w:r>
        <w:rPr>
          <w:rFonts w:ascii="Book Antiqua" w:hAnsi="Book Antiqua" w:eastAsia="Book Antiqua" w:cs="Book Antiqua"/>
          <w:color w:val="000000"/>
        </w:rPr>
        <w:t>NTCP</w:t>
      </w:r>
      <w:r>
        <w:rPr>
          <w:rFonts w:ascii="Book Antiqua" w:hAnsi="Book Antiqua" w:cs="Book Antiqua"/>
          <w:color w:val="000000"/>
          <w:lang w:eastAsia="zh-CN"/>
        </w:rPr>
        <w:t>)</w:t>
      </w:r>
      <w:r>
        <w:rPr>
          <w:rFonts w:ascii="Book Antiqua" w:hAnsi="Book Antiqua" w:eastAsia="Book Antiqua" w:cs="Book Antiqua"/>
          <w:color w:val="000000"/>
        </w:rPr>
        <w:t xml:space="preserve"> receptor. Brain and muscle ARNTL-like protein 1</w:t>
      </w:r>
      <w:r>
        <w:rPr>
          <w:rFonts w:ascii="Book Antiqua" w:hAnsi="Book Antiqua" w:cs="Book Antiqua"/>
          <w:color w:val="000000"/>
          <w:lang w:eastAsia="zh-CN"/>
        </w:rPr>
        <w:t xml:space="preserve"> (</w:t>
      </w:r>
      <w:r>
        <w:rPr>
          <w:rFonts w:ascii="Book Antiqua" w:hAnsi="Book Antiqua" w:eastAsia="Book Antiqua" w:cs="Book Antiqua"/>
          <w:color w:val="000000"/>
        </w:rPr>
        <w:t>BMAL1</w:t>
      </w:r>
      <w:r>
        <w:rPr>
          <w:rFonts w:ascii="Book Antiqua" w:hAnsi="Book Antiqua" w:cs="Book Antiqua"/>
          <w:color w:val="000000"/>
          <w:lang w:eastAsia="zh-CN"/>
        </w:rPr>
        <w:t>)</w:t>
      </w:r>
      <w:r>
        <w:rPr>
          <w:rFonts w:ascii="Book Antiqua" w:hAnsi="Book Antiqua" w:eastAsia="Book Antiqua" w:cs="Book Antiqua"/>
          <w:color w:val="000000"/>
        </w:rPr>
        <w:t xml:space="preserve"> protein binds HBV DNA and thus controls viral genome expression and the formation of new viral particles. In infected hepatocytes, REV-ERB through HNF4α mediator increases pregenomic RNA </w:t>
      </w:r>
      <w:r>
        <w:rPr>
          <w:rFonts w:ascii="Book Antiqua" w:hAnsi="Book Antiqua" w:cs="Book Antiqua"/>
          <w:color w:val="000000"/>
          <w:lang w:eastAsia="zh-CN"/>
        </w:rPr>
        <w:t>(</w:t>
      </w:r>
      <w:r>
        <w:rPr>
          <w:rFonts w:ascii="Book Antiqua" w:hAnsi="Book Antiqua" w:eastAsia="Book Antiqua" w:cs="Book Antiqua"/>
          <w:color w:val="000000"/>
        </w:rPr>
        <w:t>pgRNA</w:t>
      </w:r>
      <w:r>
        <w:rPr>
          <w:rFonts w:ascii="Book Antiqua" w:hAnsi="Book Antiqua" w:cs="Book Antiqua"/>
          <w:color w:val="000000"/>
          <w:lang w:eastAsia="zh-CN"/>
        </w:rPr>
        <w:t>)</w:t>
      </w:r>
      <w:r>
        <w:rPr>
          <w:rFonts w:ascii="Book Antiqua" w:hAnsi="Book Antiqua" w:eastAsia="Book Antiqua" w:cs="Book Antiqua"/>
          <w:color w:val="000000"/>
        </w:rPr>
        <w:t xml:space="preserve"> transcription, while HNF4α inhibits BMAL1 expression, promoting HBV replication. Red arrows indicate circadian rhythm genes inhibited by hepatitis B protein X </w:t>
      </w:r>
      <w:r>
        <w:rPr>
          <w:rFonts w:ascii="Book Antiqua" w:hAnsi="Book Antiqua" w:cs="Book Antiqua"/>
          <w:color w:val="000000"/>
          <w:lang w:eastAsia="zh-CN"/>
        </w:rPr>
        <w:t>(</w:t>
      </w:r>
      <w:r>
        <w:rPr>
          <w:rFonts w:ascii="Book Antiqua" w:hAnsi="Book Antiqua" w:eastAsia="Book Antiqua" w:cs="Book Antiqua"/>
          <w:color w:val="000000"/>
        </w:rPr>
        <w:t>HBx</w:t>
      </w:r>
      <w:r>
        <w:rPr>
          <w:rFonts w:ascii="Book Antiqua" w:hAnsi="Book Antiqua" w:cs="Book Antiqua"/>
          <w:color w:val="000000"/>
          <w:lang w:eastAsia="zh-CN"/>
        </w:rPr>
        <w:t>)</w:t>
      </w:r>
      <w:r>
        <w:rPr>
          <w:rFonts w:ascii="Book Antiqua" w:hAnsi="Book Antiqua" w:eastAsia="Book Antiqua" w:cs="Book Antiqua"/>
          <w:color w:val="000000"/>
        </w:rPr>
        <w:t xml:space="preserve"> protein (</w:t>
      </w:r>
      <w:r>
        <w:rPr>
          <w:rFonts w:ascii="Book Antiqua" w:hAnsi="Book Antiqua" w:eastAsia="Book Antiqua" w:cs="Book Antiqua"/>
          <w:iCs/>
          <w:color w:val="000000"/>
        </w:rPr>
        <w:t>BMAL1</w:t>
      </w:r>
      <w:r>
        <w:rPr>
          <w:rFonts w:ascii="Book Antiqua" w:hAnsi="Book Antiqua" w:eastAsia="Book Antiqua" w:cs="Book Antiqua"/>
          <w:color w:val="000000"/>
        </w:rPr>
        <w:t xml:space="preserve">, </w:t>
      </w:r>
      <w:r>
        <w:rPr>
          <w:rFonts w:ascii="Book Antiqua" w:hAnsi="Book Antiqua" w:eastAsia="Book Antiqua" w:cs="Book Antiqua"/>
          <w:iCs/>
          <w:color w:val="000000"/>
        </w:rPr>
        <w:t>CRY1</w:t>
      </w:r>
      <w:r>
        <w:rPr>
          <w:rFonts w:ascii="Book Antiqua" w:hAnsi="Book Antiqua" w:eastAsia="Book Antiqua" w:cs="Book Antiqua"/>
          <w:color w:val="000000"/>
        </w:rPr>
        <w:t xml:space="preserve">, </w:t>
      </w:r>
      <w:r>
        <w:rPr>
          <w:rFonts w:ascii="Book Antiqua" w:hAnsi="Book Antiqua" w:eastAsia="Book Antiqua" w:cs="Book Antiqua"/>
          <w:iCs/>
          <w:color w:val="000000"/>
        </w:rPr>
        <w:t>CRY2</w:t>
      </w:r>
      <w:r>
        <w:rPr>
          <w:rFonts w:ascii="Book Antiqua" w:hAnsi="Book Antiqua" w:eastAsia="Book Antiqua" w:cs="Book Antiqua"/>
          <w:color w:val="000000"/>
        </w:rPr>
        <w:t xml:space="preserve">, and </w:t>
      </w:r>
      <w:r>
        <w:rPr>
          <w:rFonts w:ascii="Book Antiqua" w:hAnsi="Book Antiqua" w:eastAsia="Book Antiqua" w:cs="Book Antiqua"/>
          <w:iCs/>
          <w:color w:val="000000"/>
        </w:rPr>
        <w:t>PER3</w:t>
      </w:r>
      <w:r>
        <w:rPr>
          <w:rFonts w:ascii="Book Antiqua" w:hAnsi="Book Antiqua" w:eastAsia="Book Antiqua" w:cs="Book Antiqua"/>
          <w:color w:val="000000"/>
        </w:rPr>
        <w:t xml:space="preserve">). Conversely, HBx increases </w:t>
      </w:r>
      <w:r>
        <w:rPr>
          <w:rFonts w:ascii="Book Antiqua" w:hAnsi="Book Antiqua" w:eastAsia="Book Antiqua" w:cs="Book Antiqua"/>
          <w:i/>
          <w:iCs/>
          <w:color w:val="000000"/>
        </w:rPr>
        <w:t>CLOCK</w:t>
      </w:r>
      <w:r>
        <w:rPr>
          <w:rFonts w:ascii="Book Antiqua" w:hAnsi="Book Antiqua" w:eastAsia="Book Antiqua" w:cs="Book Antiqua"/>
          <w:color w:val="000000"/>
        </w:rPr>
        <w:t xml:space="preserve">, </w:t>
      </w:r>
      <w:r>
        <w:rPr>
          <w:rFonts w:ascii="Book Antiqua" w:hAnsi="Book Antiqua" w:eastAsia="Book Antiqua" w:cs="Book Antiqua"/>
          <w:i/>
          <w:iCs/>
          <w:color w:val="000000"/>
        </w:rPr>
        <w:t>PER1</w:t>
      </w:r>
      <w:r>
        <w:rPr>
          <w:rFonts w:ascii="Book Antiqua" w:hAnsi="Book Antiqua" w:eastAsia="Book Antiqua" w:cs="Book Antiqua"/>
          <w:color w:val="000000"/>
        </w:rPr>
        <w:t xml:space="preserve">, </w:t>
      </w:r>
      <w:r>
        <w:rPr>
          <w:rFonts w:ascii="Book Antiqua" w:hAnsi="Book Antiqua" w:eastAsia="Book Antiqua" w:cs="Book Antiqua"/>
          <w:i/>
          <w:iCs/>
          <w:color w:val="000000"/>
        </w:rPr>
        <w:t>PER2</w:t>
      </w:r>
      <w:r>
        <w:rPr>
          <w:rFonts w:ascii="Book Antiqua" w:hAnsi="Book Antiqua" w:eastAsia="Book Antiqua" w:cs="Book Antiqua"/>
          <w:color w:val="000000"/>
        </w:rPr>
        <w:t xml:space="preserve">, and </w:t>
      </w:r>
      <w:r>
        <w:rPr>
          <w:rFonts w:ascii="Book Antiqua" w:hAnsi="Book Antiqua" w:eastAsia="Book Antiqua" w:cs="Book Antiqua"/>
          <w:i/>
          <w:iCs/>
          <w:color w:val="000000"/>
        </w:rPr>
        <w:t>RORγ</w:t>
      </w:r>
      <w:r>
        <w:rPr>
          <w:rFonts w:ascii="Book Antiqua" w:hAnsi="Book Antiqua" w:eastAsia="Book Antiqua" w:cs="Book Antiqua"/>
          <w:color w:val="000000"/>
        </w:rPr>
        <w:t xml:space="preserve"> gene expression (indicated by blue arrows). Increased expression of </w:t>
      </w:r>
      <w:r>
        <w:rPr>
          <w:rFonts w:ascii="Book Antiqua" w:hAnsi="Book Antiqua" w:eastAsia="Book Antiqua" w:cs="Book Antiqua"/>
          <w:i/>
          <w:iCs/>
          <w:color w:val="000000"/>
        </w:rPr>
        <w:t>RORγ</w:t>
      </w:r>
      <w:r>
        <w:rPr>
          <w:rFonts w:ascii="Book Antiqua" w:hAnsi="Book Antiqua" w:eastAsia="Book Antiqua" w:cs="Book Antiqua"/>
          <w:color w:val="000000"/>
        </w:rPr>
        <w:t xml:space="preserve"> leads to the proliferation of hepatoma cells. BMAL1: Brain and muscle ARNTL-like protein 1; cccDNA: </w:t>
      </w:r>
      <w:r>
        <w:rPr>
          <w:rFonts w:ascii="Book Antiqua" w:hAnsi="Book Antiqua" w:cs="Book Antiqua"/>
          <w:color w:val="000000"/>
          <w:lang w:eastAsia="zh-CN"/>
        </w:rPr>
        <w:t>C</w:t>
      </w:r>
      <w:r>
        <w:rPr>
          <w:rFonts w:ascii="Book Antiqua" w:hAnsi="Book Antiqua" w:eastAsia="Book Antiqua" w:cs="Book Antiqua"/>
          <w:color w:val="000000"/>
        </w:rPr>
        <w:t xml:space="preserve">ovalently closed circular DNA; CCG: Clock-controlled genes; CLOCK: </w:t>
      </w:r>
      <w:r>
        <w:rPr>
          <w:rFonts w:ascii="Book Antiqua" w:hAnsi="Book Antiqua" w:cs="Book Antiqua"/>
          <w:color w:val="000000"/>
          <w:lang w:eastAsia="zh-CN"/>
        </w:rPr>
        <w:t>C</w:t>
      </w:r>
      <w:r>
        <w:rPr>
          <w:rFonts w:ascii="Book Antiqua" w:hAnsi="Book Antiqua" w:eastAsia="Book Antiqua" w:cs="Book Antiqua"/>
          <w:color w:val="000000"/>
        </w:rPr>
        <w:t xml:space="preserve">ircadian locomotor output cycles kaput; CK1: </w:t>
      </w:r>
      <w:r>
        <w:rPr>
          <w:rFonts w:ascii="Book Antiqua" w:hAnsi="Book Antiqua" w:cs="Book Antiqua"/>
          <w:color w:val="000000"/>
          <w:lang w:eastAsia="zh-CN"/>
        </w:rPr>
        <w:t>C</w:t>
      </w:r>
      <w:r>
        <w:rPr>
          <w:rFonts w:ascii="Book Antiqua" w:hAnsi="Book Antiqua" w:eastAsia="Book Antiqua" w:cs="Book Antiqua"/>
          <w:color w:val="000000"/>
        </w:rPr>
        <w:t xml:space="preserve">asein kinase 1; CRY: </w:t>
      </w:r>
      <w:r>
        <w:rPr>
          <w:rFonts w:ascii="Book Antiqua" w:hAnsi="Book Antiqua" w:cs="Book Antiqua"/>
          <w:color w:val="000000"/>
          <w:lang w:eastAsia="zh-CN"/>
        </w:rPr>
        <w:t>C</w:t>
      </w:r>
      <w:r>
        <w:rPr>
          <w:rFonts w:ascii="Book Antiqua" w:hAnsi="Book Antiqua" w:eastAsia="Book Antiqua" w:cs="Book Antiqua"/>
          <w:color w:val="000000"/>
        </w:rPr>
        <w:t xml:space="preserve">ryptochrome; HBx: </w:t>
      </w:r>
      <w:r>
        <w:rPr>
          <w:rFonts w:ascii="Book Antiqua" w:hAnsi="Book Antiqua" w:cs="Book Antiqua"/>
          <w:color w:val="000000"/>
          <w:lang w:eastAsia="zh-CN"/>
        </w:rPr>
        <w:t>H</w:t>
      </w:r>
      <w:r>
        <w:rPr>
          <w:rFonts w:ascii="Book Antiqua" w:hAnsi="Book Antiqua" w:eastAsia="Book Antiqua" w:cs="Book Antiqua"/>
          <w:color w:val="000000"/>
        </w:rPr>
        <w:t xml:space="preserve">epatitis B protein X; HNF4α: </w:t>
      </w:r>
      <w:r>
        <w:rPr>
          <w:rFonts w:ascii="Book Antiqua" w:hAnsi="Book Antiqua" w:cs="Book Antiqua"/>
          <w:color w:val="000000"/>
          <w:lang w:eastAsia="zh-CN"/>
        </w:rPr>
        <w:t>H</w:t>
      </w:r>
      <w:r>
        <w:rPr>
          <w:rFonts w:ascii="Book Antiqua" w:hAnsi="Book Antiqua" w:eastAsia="Book Antiqua" w:cs="Book Antiqua"/>
          <w:color w:val="000000"/>
        </w:rPr>
        <w:t xml:space="preserve">epatocyte nuclear factor 4 alpha; HSP: </w:t>
      </w:r>
      <w:r>
        <w:rPr>
          <w:rFonts w:ascii="Book Antiqua" w:hAnsi="Book Antiqua" w:cs="Book Antiqua"/>
          <w:color w:val="000000"/>
          <w:lang w:eastAsia="zh-CN"/>
        </w:rPr>
        <w:t>H</w:t>
      </w:r>
      <w:r>
        <w:rPr>
          <w:rFonts w:ascii="Book Antiqua" w:hAnsi="Book Antiqua" w:eastAsia="Book Antiqua" w:cs="Book Antiqua"/>
          <w:color w:val="000000"/>
        </w:rPr>
        <w:t xml:space="preserve">eparan sulfate proteoglycan; NTCP: </w:t>
      </w:r>
      <w:r>
        <w:rPr>
          <w:rFonts w:ascii="Book Antiqua" w:hAnsi="Book Antiqua" w:cs="Book Antiqua"/>
          <w:color w:val="000000"/>
          <w:lang w:eastAsia="zh-CN"/>
        </w:rPr>
        <w:t>S</w:t>
      </w:r>
      <w:r>
        <w:rPr>
          <w:rFonts w:ascii="Book Antiqua" w:hAnsi="Book Antiqua" w:eastAsia="Book Antiqua" w:cs="Book Antiqua"/>
          <w:color w:val="000000"/>
        </w:rPr>
        <w:t xml:space="preserve">odium taurocholate co-transporting polypeptide receptor; PER: </w:t>
      </w:r>
      <w:r>
        <w:rPr>
          <w:rFonts w:ascii="Book Antiqua" w:hAnsi="Book Antiqua" w:cs="Book Antiqua"/>
          <w:color w:val="000000"/>
          <w:lang w:eastAsia="zh-CN"/>
        </w:rPr>
        <w:t>P</w:t>
      </w:r>
      <w:r>
        <w:rPr>
          <w:rFonts w:ascii="Book Antiqua" w:hAnsi="Book Antiqua" w:eastAsia="Book Antiqua" w:cs="Book Antiqua"/>
          <w:color w:val="000000"/>
        </w:rPr>
        <w:t xml:space="preserve">eriod; pgRNA: </w:t>
      </w:r>
      <w:r>
        <w:rPr>
          <w:rFonts w:ascii="Book Antiqua" w:hAnsi="Book Antiqua" w:cs="Book Antiqua"/>
          <w:color w:val="000000"/>
          <w:lang w:eastAsia="zh-CN"/>
        </w:rPr>
        <w:t>P</w:t>
      </w:r>
      <w:r>
        <w:rPr>
          <w:rFonts w:ascii="Book Antiqua" w:hAnsi="Book Antiqua" w:eastAsia="Book Antiqua" w:cs="Book Antiqua"/>
          <w:color w:val="000000"/>
        </w:rPr>
        <w:t xml:space="preserve">regenomic RNA; ROR: </w:t>
      </w:r>
      <w:r>
        <w:rPr>
          <w:rFonts w:ascii="Book Antiqua" w:hAnsi="Book Antiqua" w:cs="Book Antiqua"/>
          <w:color w:val="000000"/>
          <w:lang w:eastAsia="zh-CN"/>
        </w:rPr>
        <w:t>R</w:t>
      </w:r>
      <w:r>
        <w:rPr>
          <w:rFonts w:ascii="Book Antiqua" w:hAnsi="Book Antiqua" w:eastAsia="Book Antiqua" w:cs="Book Antiqua"/>
          <w:color w:val="000000"/>
        </w:rPr>
        <w:t>etinoic acid receptor-related orphan receptor; RORE: ROR element.</w:t>
      </w:r>
    </w:p>
    <w:p>
      <w:pPr>
        <w:spacing w:line="360" w:lineRule="auto"/>
        <w:jc w:val="both"/>
        <w:rPr>
          <w:rFonts w:ascii="Book Antiqua" w:hAnsi="Book Antiqua" w:cs="Book Antiqua"/>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lang w:eastAsia="zh-CN"/>
        </w:rPr>
      </w:pPr>
      <w:r>
        <w:rPr>
          <w:rFonts w:ascii="Book Antiqua" w:hAnsi="Book Antiqua"/>
          <w:b/>
          <w:bCs/>
        </w:rPr>
        <w:t>Table 1 Prevalence of hepatitis B surface antigen</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2"/>
        <w:gridCol w:w="2322"/>
        <w:gridCol w:w="2322"/>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op w:val="single" w:color="auto" w:sz="4" w:space="0"/>
              <w:bottom w:val="single" w:color="auto" w:sz="4" w:space="0"/>
            </w:tcBorders>
          </w:tcPr>
          <w:p>
            <w:pPr>
              <w:spacing w:line="360" w:lineRule="auto"/>
              <w:jc w:val="both"/>
              <w:rPr>
                <w:rFonts w:ascii="Book Antiqua" w:hAnsi="Book Antiqua"/>
                <w:b/>
                <w:lang w:eastAsia="zh-CN"/>
              </w:rPr>
            </w:pPr>
          </w:p>
        </w:tc>
        <w:tc>
          <w:tcPr>
            <w:tcW w:w="2322"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Low prevalence area (&lt; 2%)</w:t>
            </w:r>
          </w:p>
        </w:tc>
        <w:tc>
          <w:tcPr>
            <w:tcW w:w="2322"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Area of medium prevalence</w:t>
            </w:r>
            <w:r>
              <w:rPr>
                <w:rFonts w:ascii="Book Antiqua" w:hAnsi="Book Antiqua"/>
                <w:b/>
                <w:lang w:eastAsia="zh-CN"/>
              </w:rPr>
              <w:t xml:space="preserve"> </w:t>
            </w:r>
            <w:r>
              <w:rPr>
                <w:rFonts w:ascii="Book Antiqua" w:hAnsi="Book Antiqua"/>
                <w:b/>
              </w:rPr>
              <w:t>(2%-7%)</w:t>
            </w:r>
          </w:p>
        </w:tc>
        <w:tc>
          <w:tcPr>
            <w:tcW w:w="2322"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Area of high prevalence</w:t>
            </w:r>
            <w:r>
              <w:rPr>
                <w:rFonts w:ascii="Book Antiqua" w:hAnsi="Book Antiqua"/>
                <w:b/>
                <w:lang w:eastAsia="zh-CN"/>
              </w:rPr>
              <w:t xml:space="preserve"> </w:t>
            </w:r>
            <w:r>
              <w:rPr>
                <w:rFonts w:ascii="Book Antiqua" w:hAnsi="Book Antiqua"/>
                <w:b/>
              </w:rPr>
              <w:t>(&gt;</w:t>
            </w:r>
            <w:r>
              <w:rPr>
                <w:rFonts w:ascii="Book Antiqua" w:hAnsi="Book Antiqua"/>
                <w:b/>
                <w:lang w:eastAsia="zh-CN"/>
              </w:rPr>
              <w:t xml:space="preserve"> </w:t>
            </w:r>
            <w:r>
              <w:rPr>
                <w:rFonts w:ascii="Book Antiqua" w:hAnsi="Book Antiqua"/>
                <w:b/>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top w:val="single" w:color="auto" w:sz="4" w:space="0"/>
            </w:tcBorders>
          </w:tcPr>
          <w:p>
            <w:pPr>
              <w:spacing w:line="360" w:lineRule="auto"/>
              <w:jc w:val="both"/>
              <w:rPr>
                <w:rFonts w:ascii="Book Antiqua" w:hAnsi="Book Antiqua"/>
                <w:lang w:eastAsia="zh-CN"/>
              </w:rPr>
            </w:pPr>
            <w:r>
              <w:rPr>
                <w:rFonts w:ascii="Book Antiqua" w:hAnsi="Book Antiqua"/>
              </w:rPr>
              <w:t>Geographical</w:t>
            </w:r>
            <w:r>
              <w:rPr>
                <w:rFonts w:ascii="Book Antiqua" w:hAnsi="Book Antiqua"/>
                <w:lang w:eastAsia="zh-CN"/>
              </w:rPr>
              <w:t xml:space="preserve"> </w:t>
            </w:r>
            <w:r>
              <w:rPr>
                <w:rFonts w:ascii="Book Antiqua" w:hAnsi="Book Antiqua"/>
              </w:rPr>
              <w:t>areas</w:t>
            </w:r>
          </w:p>
        </w:tc>
        <w:tc>
          <w:tcPr>
            <w:tcW w:w="2322" w:type="dxa"/>
            <w:tcBorders>
              <w:top w:val="single" w:color="auto" w:sz="4" w:space="0"/>
            </w:tcBorders>
          </w:tcPr>
          <w:p>
            <w:pPr>
              <w:spacing w:line="360" w:lineRule="auto"/>
              <w:jc w:val="both"/>
              <w:rPr>
                <w:rFonts w:ascii="Book Antiqua" w:hAnsi="Book Antiqua"/>
                <w:lang w:eastAsia="zh-CN"/>
              </w:rPr>
            </w:pPr>
            <w:r>
              <w:rPr>
                <w:rFonts w:ascii="Book Antiqua" w:hAnsi="Book Antiqua"/>
                <w:bCs/>
              </w:rPr>
              <w:t>U</w:t>
            </w:r>
            <w:r>
              <w:rPr>
                <w:rFonts w:ascii="Book Antiqua" w:hAnsi="Book Antiqua"/>
                <w:bCs/>
                <w:lang w:eastAsia="zh-CN"/>
              </w:rPr>
              <w:t>nited states</w:t>
            </w:r>
            <w:r>
              <w:rPr>
                <w:rFonts w:ascii="Book Antiqua" w:hAnsi="Book Antiqua"/>
                <w:bCs/>
              </w:rPr>
              <w:t>, Canada, and Western European countries</w:t>
            </w:r>
          </w:p>
        </w:tc>
        <w:tc>
          <w:tcPr>
            <w:tcW w:w="2322" w:type="dxa"/>
            <w:tcBorders>
              <w:top w:val="single" w:color="auto" w:sz="4" w:space="0"/>
            </w:tcBorders>
          </w:tcPr>
          <w:p>
            <w:pPr>
              <w:spacing w:line="360" w:lineRule="auto"/>
              <w:jc w:val="both"/>
              <w:rPr>
                <w:rFonts w:ascii="Book Antiqua" w:hAnsi="Book Antiqua"/>
                <w:lang w:eastAsia="zh-CN"/>
              </w:rPr>
            </w:pPr>
            <w:r>
              <w:rPr>
                <w:rFonts w:ascii="Book Antiqua" w:hAnsi="Book Antiqua"/>
                <w:bCs/>
                <w:lang w:eastAsia="zh-CN"/>
              </w:rPr>
              <w:t>P</w:t>
            </w:r>
            <w:r>
              <w:rPr>
                <w:rFonts w:ascii="Book Antiqua" w:hAnsi="Book Antiqua"/>
                <w:bCs/>
              </w:rPr>
              <w:t>arts of Russia, border Eurasian, and Asian-African areas</w:t>
            </w:r>
          </w:p>
        </w:tc>
        <w:tc>
          <w:tcPr>
            <w:tcW w:w="2322" w:type="dxa"/>
            <w:tcBorders>
              <w:top w:val="single" w:color="auto" w:sz="4" w:space="0"/>
            </w:tcBorders>
          </w:tcPr>
          <w:p>
            <w:pPr>
              <w:spacing w:line="360" w:lineRule="auto"/>
              <w:jc w:val="both"/>
              <w:rPr>
                <w:rFonts w:ascii="Book Antiqua" w:hAnsi="Book Antiqua"/>
                <w:lang w:eastAsia="zh-CN"/>
              </w:rPr>
            </w:pPr>
            <w:r>
              <w:rPr>
                <w:rFonts w:ascii="Book Antiqua" w:hAnsi="Book Antiqua"/>
                <w:bCs/>
              </w:rPr>
              <w:t>Asia, sub-Saharan Africa, South, and Central America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22" w:type="dxa"/>
            <w:tcBorders>
              <w:bottom w:val="single" w:color="auto" w:sz="4" w:space="0"/>
            </w:tcBorders>
          </w:tcPr>
          <w:p>
            <w:pPr>
              <w:spacing w:line="360" w:lineRule="auto"/>
              <w:jc w:val="both"/>
              <w:rPr>
                <w:rFonts w:ascii="Book Antiqua" w:hAnsi="Book Antiqua"/>
                <w:lang w:eastAsia="zh-CN"/>
              </w:rPr>
            </w:pPr>
            <w:r>
              <w:rPr>
                <w:rFonts w:ascii="Book Antiqua" w:hAnsi="Book Antiqua"/>
              </w:rPr>
              <w:t>% of the world population</w:t>
            </w:r>
          </w:p>
        </w:tc>
        <w:tc>
          <w:tcPr>
            <w:tcW w:w="2322" w:type="dxa"/>
            <w:tcBorders>
              <w:bottom w:val="single" w:color="auto" w:sz="4" w:space="0"/>
            </w:tcBorders>
          </w:tcPr>
          <w:p>
            <w:pPr>
              <w:spacing w:line="360" w:lineRule="auto"/>
              <w:jc w:val="both"/>
              <w:rPr>
                <w:rFonts w:ascii="Book Antiqua" w:hAnsi="Book Antiqua"/>
                <w:lang w:eastAsia="zh-CN"/>
              </w:rPr>
            </w:pPr>
            <w:r>
              <w:rPr>
                <w:rFonts w:ascii="Book Antiqua" w:hAnsi="Book Antiqua"/>
                <w:bCs/>
              </w:rPr>
              <w:t>12%</w:t>
            </w:r>
          </w:p>
        </w:tc>
        <w:tc>
          <w:tcPr>
            <w:tcW w:w="2322" w:type="dxa"/>
            <w:tcBorders>
              <w:bottom w:val="single" w:color="auto" w:sz="4" w:space="0"/>
            </w:tcBorders>
          </w:tcPr>
          <w:p>
            <w:pPr>
              <w:spacing w:line="360" w:lineRule="auto"/>
              <w:jc w:val="both"/>
              <w:rPr>
                <w:rFonts w:ascii="Book Antiqua" w:hAnsi="Book Antiqua"/>
                <w:lang w:eastAsia="zh-CN"/>
              </w:rPr>
            </w:pPr>
            <w:r>
              <w:rPr>
                <w:rFonts w:ascii="Book Antiqua" w:hAnsi="Book Antiqua"/>
                <w:bCs/>
              </w:rPr>
              <w:t>43%</w:t>
            </w:r>
          </w:p>
        </w:tc>
        <w:tc>
          <w:tcPr>
            <w:tcW w:w="2322" w:type="dxa"/>
            <w:tcBorders>
              <w:bottom w:val="single" w:color="auto" w:sz="4" w:space="0"/>
            </w:tcBorders>
          </w:tcPr>
          <w:p>
            <w:pPr>
              <w:spacing w:line="360" w:lineRule="auto"/>
              <w:jc w:val="both"/>
              <w:rPr>
                <w:rFonts w:ascii="Book Antiqua" w:hAnsi="Book Antiqua"/>
                <w:lang w:eastAsia="zh-CN"/>
              </w:rPr>
            </w:pPr>
            <w:r>
              <w:rPr>
                <w:rFonts w:ascii="Book Antiqua" w:hAnsi="Book Antiqua"/>
                <w:bCs/>
              </w:rPr>
              <w:t>45%</w:t>
            </w:r>
          </w:p>
        </w:tc>
      </w:tr>
    </w:tbl>
    <w:p>
      <w:pPr>
        <w:spacing w:line="360" w:lineRule="auto"/>
        <w:jc w:val="both"/>
        <w:rPr>
          <w:rFonts w:ascii="Book Antiqua" w:hAnsi="Book Antiqua"/>
          <w:b/>
          <w:bCs/>
          <w:lang w:eastAsia="zh-CN"/>
        </w:rPr>
      </w:pPr>
    </w:p>
    <w:p>
      <w:pPr>
        <w:spacing w:line="360" w:lineRule="auto"/>
        <w:jc w:val="both"/>
        <w:rPr>
          <w:rFonts w:ascii="Book Antiqua" w:hAnsi="Book Antiqua"/>
          <w:b/>
          <w:bCs/>
          <w:lang w:eastAsia="zh-CN"/>
        </w:rPr>
      </w:pPr>
    </w:p>
    <w:p>
      <w:pPr>
        <w:spacing w:line="360" w:lineRule="auto"/>
        <w:jc w:val="both"/>
        <w:rPr>
          <w:rFonts w:ascii="Book Antiqua" w:hAnsi="Book Antiqua"/>
          <w:b/>
          <w:bCs/>
          <w:lang w:eastAsia="zh-CN"/>
        </w:rPr>
      </w:pPr>
      <w:r>
        <w:rPr>
          <w:rFonts w:ascii="Book Antiqua" w:hAnsi="Book Antiqua"/>
          <w:b/>
          <w:bCs/>
        </w:rPr>
        <w:t>Table 2 Classification of hepatitis B virus</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Genus</w:t>
            </w:r>
          </w:p>
        </w:tc>
        <w:tc>
          <w:tcPr>
            <w:tcW w:w="4644"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Orthohepadnavirus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op w:val="single" w:color="auto" w:sz="4" w:space="0"/>
            </w:tcBorders>
          </w:tcPr>
          <w:p>
            <w:pPr>
              <w:spacing w:line="360" w:lineRule="auto"/>
              <w:jc w:val="both"/>
              <w:rPr>
                <w:rFonts w:ascii="Book Antiqua" w:hAnsi="Book Antiqua"/>
                <w:lang w:eastAsia="zh-CN"/>
              </w:rPr>
            </w:pPr>
            <w:r>
              <w:rPr>
                <w:rFonts w:ascii="Book Antiqua" w:hAnsi="Book Antiqua"/>
              </w:rPr>
              <w:t>Family</w:t>
            </w:r>
          </w:p>
        </w:tc>
        <w:tc>
          <w:tcPr>
            <w:tcW w:w="4644" w:type="dxa"/>
            <w:tcBorders>
              <w:top w:val="single" w:color="auto" w:sz="4" w:space="0"/>
            </w:tcBorders>
          </w:tcPr>
          <w:p>
            <w:pPr>
              <w:spacing w:line="360" w:lineRule="auto"/>
              <w:jc w:val="both"/>
              <w:rPr>
                <w:rFonts w:ascii="Book Antiqua" w:hAnsi="Book Antiqua"/>
                <w:lang w:eastAsia="zh-CN"/>
              </w:rPr>
            </w:pPr>
            <w:r>
              <w:rPr>
                <w:rFonts w:ascii="Book Antiqua" w:hAnsi="Book Antiqua"/>
                <w:bCs/>
              </w:rPr>
              <w:t>Hepadnaviridae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Species</w:t>
            </w:r>
          </w:p>
        </w:tc>
        <w:tc>
          <w:tcPr>
            <w:tcW w:w="4644" w:type="dxa"/>
          </w:tcPr>
          <w:p>
            <w:pPr>
              <w:spacing w:line="360" w:lineRule="auto"/>
              <w:jc w:val="both"/>
              <w:rPr>
                <w:rFonts w:ascii="Book Antiqua" w:hAnsi="Book Antiqua"/>
                <w:lang w:eastAsia="zh-CN"/>
              </w:rPr>
            </w:pPr>
            <w:r>
              <w:rPr>
                <w:rFonts w:ascii="Book Antiqua" w:hAnsi="Book Antiqua"/>
                <w:bCs/>
                <w:lang w:eastAsia="zh-CN"/>
              </w:rPr>
              <w:t>HBV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Genotypes</w:t>
            </w:r>
          </w:p>
        </w:tc>
        <w:tc>
          <w:tcPr>
            <w:tcW w:w="4644" w:type="dxa"/>
          </w:tcPr>
          <w:p>
            <w:pPr>
              <w:spacing w:line="360" w:lineRule="auto"/>
              <w:jc w:val="both"/>
              <w:rPr>
                <w:rFonts w:ascii="Book Antiqua" w:hAnsi="Book Antiqua"/>
                <w:lang w:eastAsia="zh-CN"/>
              </w:rPr>
            </w:pPr>
            <w:r>
              <w:rPr>
                <w:rFonts w:ascii="Book Antiqua" w:hAnsi="Book Antiqua"/>
                <w:bCs/>
              </w:rPr>
              <w:t>A-J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Virion</w:t>
            </w:r>
          </w:p>
        </w:tc>
        <w:tc>
          <w:tcPr>
            <w:tcW w:w="4644" w:type="dxa"/>
          </w:tcPr>
          <w:p>
            <w:pPr>
              <w:spacing w:line="360" w:lineRule="auto"/>
              <w:jc w:val="both"/>
              <w:rPr>
                <w:rFonts w:ascii="Book Antiqua" w:hAnsi="Book Antiqua"/>
                <w:lang w:eastAsia="zh-CN"/>
              </w:rPr>
            </w:pPr>
            <w:r>
              <w:rPr>
                <w:rFonts w:ascii="Book Antiqua" w:hAnsi="Book Antiqua"/>
                <w:bCs/>
              </w:rPr>
              <w:t>42 nm, spherical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Envelope</w:t>
            </w:r>
          </w:p>
        </w:tc>
        <w:tc>
          <w:tcPr>
            <w:tcW w:w="4644" w:type="dxa"/>
          </w:tcPr>
          <w:p>
            <w:pPr>
              <w:spacing w:line="360" w:lineRule="auto"/>
              <w:jc w:val="both"/>
              <w:rPr>
                <w:rFonts w:ascii="Book Antiqua" w:hAnsi="Book Antiqua"/>
                <w:lang w:eastAsia="zh-CN"/>
              </w:rPr>
            </w:pPr>
            <w:r>
              <w:rPr>
                <w:rFonts w:ascii="Book Antiqua" w:hAnsi="Book Antiqua"/>
                <w:bCs/>
                <w:lang w:eastAsia="zh-CN"/>
              </w:rPr>
              <w:t>Y</w:t>
            </w:r>
            <w:r>
              <w:rPr>
                <w:rFonts w:ascii="Book Antiqua" w:hAnsi="Book Antiqua"/>
                <w:bCs/>
              </w:rPr>
              <w:t>es (HBs)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Genome</w:t>
            </w:r>
          </w:p>
        </w:tc>
        <w:tc>
          <w:tcPr>
            <w:tcW w:w="4644" w:type="dxa"/>
          </w:tcPr>
          <w:p>
            <w:pPr>
              <w:spacing w:line="360" w:lineRule="auto"/>
              <w:jc w:val="both"/>
              <w:rPr>
                <w:rFonts w:ascii="Book Antiqua" w:hAnsi="Book Antiqua"/>
                <w:lang w:eastAsia="zh-CN"/>
              </w:rPr>
            </w:pPr>
            <w:r>
              <w:rPr>
                <w:rFonts w:ascii="Book Antiqua" w:hAnsi="Book Antiqua"/>
                <w:bCs/>
                <w:lang w:eastAsia="zh-CN"/>
              </w:rPr>
              <w:t>C</w:t>
            </w:r>
            <w:r>
              <w:rPr>
                <w:rFonts w:ascii="Book Antiqua" w:hAnsi="Book Antiqua"/>
                <w:bCs/>
              </w:rPr>
              <w:t>ircular ds/ssDNA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Genome size</w:t>
            </w:r>
          </w:p>
        </w:tc>
        <w:tc>
          <w:tcPr>
            <w:tcW w:w="4644" w:type="dxa"/>
          </w:tcPr>
          <w:p>
            <w:pPr>
              <w:spacing w:line="360" w:lineRule="auto"/>
              <w:jc w:val="both"/>
              <w:rPr>
                <w:rFonts w:ascii="Book Antiqua" w:hAnsi="Book Antiqua"/>
                <w:lang w:eastAsia="zh-CN"/>
              </w:rPr>
            </w:pPr>
            <w:r>
              <w:rPr>
                <w:rFonts w:ascii="Book Antiqua" w:hAnsi="Book Antiqua"/>
                <w:bCs/>
              </w:rPr>
              <w:t>3.2 kb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pPr>
              <w:spacing w:line="360" w:lineRule="auto"/>
              <w:jc w:val="both"/>
              <w:rPr>
                <w:rFonts w:ascii="Book Antiqua" w:hAnsi="Book Antiqua"/>
                <w:lang w:eastAsia="zh-CN"/>
              </w:rPr>
            </w:pPr>
            <w:r>
              <w:rPr>
                <w:rFonts w:ascii="Book Antiqua" w:hAnsi="Book Antiqua"/>
              </w:rPr>
              <w:t>Sensitivity</w:t>
            </w:r>
          </w:p>
        </w:tc>
        <w:tc>
          <w:tcPr>
            <w:tcW w:w="4644" w:type="dxa"/>
          </w:tcPr>
          <w:p>
            <w:pPr>
              <w:spacing w:line="360" w:lineRule="auto"/>
              <w:jc w:val="both"/>
              <w:rPr>
                <w:rFonts w:ascii="Book Antiqua" w:hAnsi="Book Antiqua"/>
                <w:lang w:eastAsia="zh-CN"/>
              </w:rPr>
            </w:pPr>
            <w:r>
              <w:rPr>
                <w:rFonts w:ascii="Book Antiqua" w:hAnsi="Book Antiqua"/>
                <w:bCs/>
                <w:lang w:eastAsia="zh-CN"/>
              </w:rPr>
              <w:t>A</w:t>
            </w:r>
            <w:r>
              <w:rPr>
                <w:rFonts w:ascii="Book Antiqua" w:hAnsi="Book Antiqua"/>
                <w:bCs/>
              </w:rPr>
              <w:t>cid-sensitive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bottom w:val="single" w:color="auto" w:sz="4" w:space="0"/>
            </w:tcBorders>
          </w:tcPr>
          <w:p>
            <w:pPr>
              <w:spacing w:line="360" w:lineRule="auto"/>
              <w:jc w:val="both"/>
              <w:rPr>
                <w:rFonts w:ascii="Book Antiqua" w:hAnsi="Book Antiqua"/>
                <w:lang w:eastAsia="zh-CN"/>
              </w:rPr>
            </w:pPr>
            <w:r>
              <w:rPr>
                <w:rFonts w:ascii="Book Antiqua" w:hAnsi="Book Antiqua"/>
              </w:rPr>
              <w:t>Virus antigens</w:t>
            </w:r>
          </w:p>
        </w:tc>
        <w:tc>
          <w:tcPr>
            <w:tcW w:w="4644" w:type="dxa"/>
            <w:tcBorders>
              <w:bottom w:val="single" w:color="auto" w:sz="4" w:space="0"/>
            </w:tcBorders>
          </w:tcPr>
          <w:p>
            <w:pPr>
              <w:spacing w:line="360" w:lineRule="auto"/>
              <w:jc w:val="both"/>
              <w:rPr>
                <w:rFonts w:ascii="Book Antiqua" w:hAnsi="Book Antiqua"/>
                <w:lang w:eastAsia="zh-CN"/>
              </w:rPr>
            </w:pPr>
            <w:r>
              <w:rPr>
                <w:rFonts w:ascii="Book Antiqua" w:hAnsi="Book Antiqua"/>
                <w:bCs/>
              </w:rPr>
              <w:t>HBsAg, HBcAg, HBeAg, polymerase</w:t>
            </w:r>
          </w:p>
        </w:tc>
      </w:tr>
    </w:tbl>
    <w:p>
      <w:pPr>
        <w:spacing w:line="360" w:lineRule="auto"/>
        <w:jc w:val="both"/>
        <w:rPr>
          <w:rFonts w:ascii="Book Antiqua" w:hAnsi="Book Antiqua"/>
          <w:bCs/>
          <w:lang w:eastAsia="zh-CN"/>
        </w:rPr>
      </w:pPr>
      <w:r>
        <w:rPr>
          <w:rFonts w:ascii="Book Antiqua" w:hAnsi="Book Antiqua"/>
          <w:bCs/>
          <w:lang w:eastAsia="zh-CN"/>
        </w:rPr>
        <w:t xml:space="preserve">HBV: </w:t>
      </w:r>
      <w:r>
        <w:rPr>
          <w:rFonts w:ascii="Book Antiqua" w:hAnsi="Book Antiqua"/>
          <w:bCs/>
        </w:rPr>
        <w:t>Hepatitis B virus</w:t>
      </w:r>
      <w:r>
        <w:rPr>
          <w:rFonts w:ascii="Book Antiqua" w:hAnsi="Book Antiqua"/>
          <w:bCs/>
          <w:lang w:eastAsia="zh-CN"/>
        </w:rPr>
        <w:t>;</w:t>
      </w:r>
      <w:r>
        <w:rPr>
          <w:rFonts w:ascii="Book Antiqua" w:hAnsi="Book Antiqua"/>
          <w:bCs/>
        </w:rPr>
        <w:t xml:space="preserve"> HBs: </w:t>
      </w:r>
      <w:r>
        <w:rPr>
          <w:rFonts w:ascii="Book Antiqua" w:hAnsi="Book Antiqua"/>
          <w:bCs/>
          <w:lang w:eastAsia="zh-CN"/>
        </w:rPr>
        <w:t>H</w:t>
      </w:r>
      <w:r>
        <w:rPr>
          <w:rFonts w:ascii="Book Antiqua" w:hAnsi="Book Antiqua"/>
          <w:bCs/>
        </w:rPr>
        <w:t>epatitis B surface protein; ds/ssDNA</w:t>
      </w:r>
      <w:r>
        <w:rPr>
          <w:rFonts w:ascii="Book Antiqua" w:hAnsi="Book Antiqua"/>
          <w:bCs/>
          <w:lang w:eastAsia="zh-CN"/>
        </w:rPr>
        <w:t>: D</w:t>
      </w:r>
      <w:r>
        <w:rPr>
          <w:rFonts w:ascii="Book Antiqua" w:hAnsi="Book Antiqua"/>
          <w:bCs/>
        </w:rPr>
        <w:t>ouble-stranded</w:t>
      </w:r>
      <w:r>
        <w:rPr>
          <w:rFonts w:ascii="Book Antiqua" w:hAnsi="Book Antiqua"/>
          <w:bCs/>
          <w:lang w:eastAsia="zh-CN"/>
        </w:rPr>
        <w:t>/s</w:t>
      </w:r>
      <w:r>
        <w:rPr>
          <w:rFonts w:ascii="Book Antiqua" w:hAnsi="Book Antiqua"/>
          <w:bCs/>
        </w:rPr>
        <w:t>ingle-stranded DNA</w:t>
      </w:r>
      <w:r>
        <w:rPr>
          <w:rFonts w:ascii="Book Antiqua" w:hAnsi="Book Antiqua"/>
          <w:bCs/>
          <w:lang w:eastAsia="zh-CN"/>
        </w:rPr>
        <w:t xml:space="preserve">; </w:t>
      </w:r>
      <w:r>
        <w:rPr>
          <w:rFonts w:ascii="Book Antiqua" w:hAnsi="Book Antiqua"/>
          <w:bCs/>
        </w:rPr>
        <w:t xml:space="preserve">HBsAg: </w:t>
      </w:r>
      <w:r>
        <w:rPr>
          <w:rFonts w:ascii="Book Antiqua" w:hAnsi="Book Antiqua"/>
          <w:bCs/>
          <w:lang w:eastAsia="zh-CN"/>
        </w:rPr>
        <w:t>H</w:t>
      </w:r>
      <w:r>
        <w:rPr>
          <w:rFonts w:ascii="Book Antiqua" w:hAnsi="Book Antiqua"/>
          <w:bCs/>
        </w:rPr>
        <w:t xml:space="preserve">epatitis B surface antigen; HBcAg: </w:t>
      </w:r>
      <w:r>
        <w:rPr>
          <w:rFonts w:ascii="Book Antiqua" w:hAnsi="Book Antiqua"/>
          <w:bCs/>
          <w:lang w:eastAsia="zh-CN"/>
        </w:rPr>
        <w:t>H</w:t>
      </w:r>
      <w:r>
        <w:rPr>
          <w:rFonts w:ascii="Book Antiqua" w:hAnsi="Book Antiqua"/>
          <w:bCs/>
        </w:rPr>
        <w:t xml:space="preserve">epatitis B nuclear core antigen; HBeAg: </w:t>
      </w:r>
      <w:r>
        <w:rPr>
          <w:rFonts w:ascii="Book Antiqua" w:hAnsi="Book Antiqua"/>
          <w:bCs/>
          <w:lang w:eastAsia="zh-CN"/>
        </w:rPr>
        <w:t>H</w:t>
      </w:r>
      <w:r>
        <w:rPr>
          <w:rFonts w:ascii="Book Antiqua" w:hAnsi="Book Antiqua"/>
          <w:bCs/>
        </w:rPr>
        <w:t>epatitis B envelope E antigen.</w:t>
      </w:r>
    </w:p>
    <w:p>
      <w:pPr>
        <w:spacing w:line="360" w:lineRule="auto"/>
        <w:jc w:val="both"/>
        <w:rPr>
          <w:rFonts w:ascii="Book Antiqua" w:hAnsi="Book Antiqua"/>
          <w:b/>
          <w:bCs/>
          <w:lang w:eastAsia="zh-CN"/>
        </w:rPr>
      </w:pPr>
      <w:r>
        <w:rPr>
          <w:rFonts w:ascii="Book Antiqua" w:hAnsi="Book Antiqua"/>
          <w:b/>
          <w:bCs/>
        </w:rPr>
        <w:br w:type="page"/>
      </w:r>
      <w:r>
        <w:rPr>
          <w:rFonts w:ascii="Book Antiqua" w:hAnsi="Book Antiqua"/>
          <w:b/>
          <w:bCs/>
        </w:rPr>
        <w:t>Table 3 Prevalence of hepatitis B virus genotypes and subgenotypes</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96"/>
        <w:gridCol w:w="3096"/>
        <w:gridCol w:w="3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Genotype</w:t>
            </w:r>
          </w:p>
        </w:tc>
        <w:tc>
          <w:tcPr>
            <w:tcW w:w="3096"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Subgenotype</w:t>
            </w:r>
          </w:p>
        </w:tc>
        <w:tc>
          <w:tcPr>
            <w:tcW w:w="3096" w:type="dxa"/>
            <w:tcBorders>
              <w:top w:val="single" w:color="auto" w:sz="4" w:space="0"/>
              <w:bottom w:val="single" w:color="auto" w:sz="4" w:space="0"/>
            </w:tcBorders>
          </w:tcPr>
          <w:p>
            <w:pPr>
              <w:spacing w:line="360" w:lineRule="auto"/>
              <w:jc w:val="both"/>
              <w:rPr>
                <w:rFonts w:ascii="Book Antiqua" w:hAnsi="Book Antiqua"/>
                <w:b/>
                <w:lang w:eastAsia="zh-CN"/>
              </w:rPr>
            </w:pPr>
            <w:r>
              <w:rPr>
                <w:rFonts w:ascii="Book Antiqua" w:hAnsi="Book Antiqua"/>
                <w:b/>
              </w:rPr>
              <w:t>Prevalence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Borders>
              <w:top w:val="single" w:color="auto" w:sz="4" w:space="0"/>
            </w:tcBorders>
          </w:tcPr>
          <w:p>
            <w:pPr>
              <w:spacing w:line="360" w:lineRule="auto"/>
              <w:jc w:val="both"/>
              <w:rPr>
                <w:rFonts w:ascii="Book Antiqua" w:hAnsi="Book Antiqua"/>
                <w:lang w:eastAsia="zh-CN"/>
              </w:rPr>
            </w:pPr>
            <w:r>
              <w:rPr>
                <w:rFonts w:ascii="Book Antiqua" w:hAnsi="Book Antiqua"/>
              </w:rPr>
              <w:t>A</w:t>
            </w:r>
          </w:p>
        </w:tc>
        <w:tc>
          <w:tcPr>
            <w:tcW w:w="3096" w:type="dxa"/>
            <w:tcBorders>
              <w:top w:val="single" w:color="auto" w:sz="4" w:space="0"/>
            </w:tcBorders>
          </w:tcPr>
          <w:p>
            <w:pPr>
              <w:spacing w:line="360" w:lineRule="auto"/>
              <w:jc w:val="both"/>
              <w:rPr>
                <w:rFonts w:ascii="Book Antiqua" w:hAnsi="Book Antiqua"/>
                <w:lang w:eastAsia="zh-CN"/>
              </w:rPr>
            </w:pPr>
            <w:r>
              <w:rPr>
                <w:rFonts w:ascii="Book Antiqua" w:hAnsi="Book Antiqua"/>
                <w:bCs/>
              </w:rPr>
              <w:t>A1 -A6</w:t>
            </w:r>
          </w:p>
        </w:tc>
        <w:tc>
          <w:tcPr>
            <w:tcW w:w="3096" w:type="dxa"/>
            <w:tcBorders>
              <w:top w:val="single" w:color="auto" w:sz="4" w:space="0"/>
            </w:tcBorders>
          </w:tcPr>
          <w:p>
            <w:pPr>
              <w:spacing w:line="360" w:lineRule="auto"/>
              <w:jc w:val="both"/>
              <w:rPr>
                <w:rFonts w:ascii="Book Antiqua" w:hAnsi="Book Antiqua"/>
                <w:lang w:eastAsia="zh-CN"/>
              </w:rPr>
            </w:pPr>
            <w:r>
              <w:rPr>
                <w:rFonts w:ascii="Book Antiqua" w:hAnsi="Book Antiqua"/>
                <w:bCs/>
              </w:rPr>
              <w:t>Africa, India, Northern Europe,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B</w:t>
            </w:r>
          </w:p>
        </w:tc>
        <w:tc>
          <w:tcPr>
            <w:tcW w:w="3096" w:type="dxa"/>
          </w:tcPr>
          <w:p>
            <w:pPr>
              <w:spacing w:line="360" w:lineRule="auto"/>
              <w:jc w:val="both"/>
              <w:rPr>
                <w:rFonts w:ascii="Book Antiqua" w:hAnsi="Book Antiqua"/>
                <w:lang w:eastAsia="zh-CN"/>
              </w:rPr>
            </w:pPr>
            <w:r>
              <w:rPr>
                <w:rFonts w:ascii="Book Antiqua" w:hAnsi="Book Antiqua"/>
                <w:bCs/>
              </w:rPr>
              <w:t>B1-B8</w:t>
            </w:r>
          </w:p>
        </w:tc>
        <w:tc>
          <w:tcPr>
            <w:tcW w:w="3096" w:type="dxa"/>
          </w:tcPr>
          <w:p>
            <w:pPr>
              <w:spacing w:line="360" w:lineRule="auto"/>
              <w:jc w:val="both"/>
              <w:rPr>
                <w:rFonts w:ascii="Book Antiqua" w:hAnsi="Book Antiqua"/>
                <w:lang w:eastAsia="zh-CN"/>
              </w:rPr>
            </w:pPr>
            <w:r>
              <w:rPr>
                <w:rFonts w:ascii="Book Antiqua" w:hAnsi="Book Antiqua"/>
                <w:bCs/>
              </w:rPr>
              <w:t>Asia,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C</w:t>
            </w:r>
          </w:p>
        </w:tc>
        <w:tc>
          <w:tcPr>
            <w:tcW w:w="3096" w:type="dxa"/>
          </w:tcPr>
          <w:p>
            <w:pPr>
              <w:spacing w:line="360" w:lineRule="auto"/>
              <w:jc w:val="both"/>
              <w:rPr>
                <w:rFonts w:ascii="Book Antiqua" w:hAnsi="Book Antiqua"/>
                <w:lang w:eastAsia="zh-CN"/>
              </w:rPr>
            </w:pPr>
            <w:r>
              <w:rPr>
                <w:rFonts w:ascii="Book Antiqua" w:hAnsi="Book Antiqua"/>
                <w:bCs/>
              </w:rPr>
              <w:t>C1-C14</w:t>
            </w:r>
          </w:p>
        </w:tc>
        <w:tc>
          <w:tcPr>
            <w:tcW w:w="3096" w:type="dxa"/>
          </w:tcPr>
          <w:p>
            <w:pPr>
              <w:spacing w:line="360" w:lineRule="auto"/>
              <w:jc w:val="both"/>
              <w:rPr>
                <w:rFonts w:ascii="Book Antiqua" w:hAnsi="Book Antiqua"/>
                <w:lang w:eastAsia="zh-CN"/>
              </w:rPr>
            </w:pPr>
            <w:r>
              <w:rPr>
                <w:rFonts w:ascii="Book Antiqua" w:hAnsi="Book Antiqua"/>
                <w:bCs/>
              </w:rPr>
              <w:t>Asia,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D</w:t>
            </w:r>
          </w:p>
        </w:tc>
        <w:tc>
          <w:tcPr>
            <w:tcW w:w="3096" w:type="dxa"/>
          </w:tcPr>
          <w:p>
            <w:pPr>
              <w:spacing w:line="360" w:lineRule="auto"/>
              <w:jc w:val="both"/>
              <w:rPr>
                <w:rFonts w:ascii="Book Antiqua" w:hAnsi="Book Antiqua"/>
                <w:lang w:eastAsia="zh-CN"/>
              </w:rPr>
            </w:pPr>
            <w:r>
              <w:rPr>
                <w:rFonts w:ascii="Book Antiqua" w:hAnsi="Book Antiqua"/>
                <w:bCs/>
              </w:rPr>
              <w:t>D1-D9</w:t>
            </w:r>
          </w:p>
        </w:tc>
        <w:tc>
          <w:tcPr>
            <w:tcW w:w="3096" w:type="dxa"/>
          </w:tcPr>
          <w:p>
            <w:pPr>
              <w:spacing w:line="360" w:lineRule="auto"/>
              <w:jc w:val="both"/>
              <w:rPr>
                <w:rFonts w:ascii="Book Antiqua" w:hAnsi="Book Antiqua"/>
                <w:lang w:eastAsia="zh-CN"/>
              </w:rPr>
            </w:pPr>
            <w:r>
              <w:rPr>
                <w:rFonts w:ascii="Book Antiqua" w:hAnsi="Book Antiqua"/>
                <w:bCs/>
              </w:rPr>
              <w:t>India, Middle East, Southern Europe,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E</w:t>
            </w:r>
          </w:p>
        </w:tc>
        <w:tc>
          <w:tcPr>
            <w:tcW w:w="3096" w:type="dxa"/>
          </w:tcPr>
          <w:p>
            <w:pPr>
              <w:spacing w:line="360" w:lineRule="auto"/>
              <w:jc w:val="both"/>
              <w:rPr>
                <w:rFonts w:ascii="Book Antiqua" w:hAnsi="Book Antiqua"/>
                <w:lang w:eastAsia="zh-CN"/>
              </w:rPr>
            </w:pPr>
            <w:r>
              <w:rPr>
                <w:rFonts w:ascii="Book Antiqua" w:hAnsi="Book Antiqua"/>
                <w:bCs/>
              </w:rPr>
              <w:t>F1-F4</w:t>
            </w:r>
          </w:p>
        </w:tc>
        <w:tc>
          <w:tcPr>
            <w:tcW w:w="3096" w:type="dxa"/>
          </w:tcPr>
          <w:p>
            <w:pPr>
              <w:spacing w:line="360" w:lineRule="auto"/>
              <w:jc w:val="both"/>
              <w:rPr>
                <w:rFonts w:ascii="Book Antiqua" w:hAnsi="Book Antiqua"/>
                <w:lang w:eastAsia="zh-CN"/>
              </w:rPr>
            </w:pPr>
            <w:r>
              <w:rPr>
                <w:rFonts w:ascii="Book Antiqua" w:hAnsi="Book Antiqua"/>
                <w:bCs/>
                <w:lang w:eastAsia="zh-CN"/>
              </w:rPr>
              <w:t>W</w:t>
            </w:r>
            <w:r>
              <w:rPr>
                <w:rFonts w:ascii="Book Antiqua" w:hAnsi="Book Antiqua"/>
                <w:bCs/>
              </w:rPr>
              <w:t xml:space="preserve">est and </w:t>
            </w:r>
            <w:r>
              <w:rPr>
                <w:rFonts w:ascii="Book Antiqua" w:hAnsi="Book Antiqua"/>
                <w:bCs/>
                <w:lang w:eastAsia="zh-CN"/>
              </w:rPr>
              <w:t>S</w:t>
            </w:r>
            <w:r>
              <w:rPr>
                <w:rFonts w:ascii="Book Antiqua" w:hAnsi="Book Antiqua"/>
                <w:bCs/>
              </w:rPr>
              <w:t>outh Africa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F</w:t>
            </w:r>
          </w:p>
        </w:tc>
        <w:tc>
          <w:tcPr>
            <w:tcW w:w="3096" w:type="dxa"/>
          </w:tcPr>
          <w:p>
            <w:pPr>
              <w:spacing w:line="360" w:lineRule="auto"/>
              <w:jc w:val="both"/>
              <w:rPr>
                <w:rFonts w:ascii="Book Antiqua" w:hAnsi="Book Antiqua"/>
                <w:lang w:eastAsia="zh-CN"/>
              </w:rPr>
            </w:pPr>
          </w:p>
        </w:tc>
        <w:tc>
          <w:tcPr>
            <w:tcW w:w="3096" w:type="dxa"/>
          </w:tcPr>
          <w:p>
            <w:pPr>
              <w:spacing w:line="360" w:lineRule="auto"/>
              <w:jc w:val="both"/>
              <w:rPr>
                <w:rFonts w:ascii="Book Antiqua" w:hAnsi="Book Antiqua"/>
                <w:lang w:eastAsia="zh-CN"/>
              </w:rPr>
            </w:pPr>
            <w:r>
              <w:rPr>
                <w:rFonts w:ascii="Book Antiqua" w:hAnsi="Book Antiqua"/>
                <w:bCs/>
              </w:rPr>
              <w:t>Central and South America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G</w:t>
            </w:r>
          </w:p>
        </w:tc>
        <w:tc>
          <w:tcPr>
            <w:tcW w:w="3096" w:type="dxa"/>
          </w:tcPr>
          <w:p>
            <w:pPr>
              <w:spacing w:line="360" w:lineRule="auto"/>
              <w:jc w:val="both"/>
              <w:rPr>
                <w:rFonts w:ascii="Book Antiqua" w:hAnsi="Book Antiqua"/>
                <w:lang w:eastAsia="zh-CN"/>
              </w:rPr>
            </w:pPr>
          </w:p>
        </w:tc>
        <w:tc>
          <w:tcPr>
            <w:tcW w:w="3096" w:type="dxa"/>
          </w:tcPr>
          <w:p>
            <w:pPr>
              <w:spacing w:line="360" w:lineRule="auto"/>
              <w:jc w:val="both"/>
              <w:rPr>
                <w:rFonts w:ascii="Book Antiqua" w:hAnsi="Book Antiqua"/>
                <w:lang w:eastAsia="zh-CN"/>
              </w:rPr>
            </w:pPr>
            <w:r>
              <w:rPr>
                <w:rFonts w:ascii="Book Antiqua" w:hAnsi="Book Antiqua"/>
                <w:bCs/>
              </w:rPr>
              <w:t>Europe,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vAlign w:val="center"/>
          </w:tcPr>
          <w:p>
            <w:pPr>
              <w:spacing w:line="360" w:lineRule="auto"/>
              <w:jc w:val="both"/>
              <w:rPr>
                <w:rFonts w:ascii="Book Antiqua" w:hAnsi="Book Antiqua"/>
                <w:lang w:eastAsia="zh-CN"/>
              </w:rPr>
            </w:pPr>
            <w:r>
              <w:rPr>
                <w:rFonts w:ascii="Book Antiqua" w:hAnsi="Book Antiqua"/>
              </w:rPr>
              <w:t>H</w:t>
            </w:r>
          </w:p>
        </w:tc>
        <w:tc>
          <w:tcPr>
            <w:tcW w:w="3096" w:type="dxa"/>
            <w:vAlign w:val="center"/>
          </w:tcPr>
          <w:p>
            <w:pPr>
              <w:spacing w:line="360" w:lineRule="auto"/>
              <w:jc w:val="both"/>
              <w:rPr>
                <w:rFonts w:ascii="Book Antiqua" w:hAnsi="Book Antiqua"/>
                <w:lang w:eastAsia="zh-CN"/>
              </w:rPr>
            </w:pPr>
          </w:p>
        </w:tc>
        <w:tc>
          <w:tcPr>
            <w:tcW w:w="3096" w:type="dxa"/>
            <w:vAlign w:val="center"/>
          </w:tcPr>
          <w:p>
            <w:pPr>
              <w:spacing w:line="360" w:lineRule="auto"/>
              <w:jc w:val="both"/>
              <w:rPr>
                <w:rFonts w:ascii="Book Antiqua" w:hAnsi="Book Antiqua"/>
                <w:lang w:eastAsia="zh-CN"/>
              </w:rPr>
            </w:pPr>
            <w:r>
              <w:rPr>
                <w:rFonts w:ascii="Book Antiqua" w:hAnsi="Book Antiqua"/>
                <w:bCs/>
              </w:rPr>
              <w:t>Central and South America, California (USA)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Pr>
          <w:p>
            <w:pPr>
              <w:spacing w:line="360" w:lineRule="auto"/>
              <w:jc w:val="both"/>
              <w:rPr>
                <w:rFonts w:ascii="Book Antiqua" w:hAnsi="Book Antiqua"/>
                <w:lang w:eastAsia="zh-CN"/>
              </w:rPr>
            </w:pPr>
            <w:r>
              <w:rPr>
                <w:rFonts w:ascii="Book Antiqua" w:hAnsi="Book Antiqua"/>
              </w:rPr>
              <w:t>I</w:t>
            </w:r>
          </w:p>
        </w:tc>
        <w:tc>
          <w:tcPr>
            <w:tcW w:w="3096" w:type="dxa"/>
          </w:tcPr>
          <w:p>
            <w:pPr>
              <w:spacing w:line="360" w:lineRule="auto"/>
              <w:jc w:val="both"/>
              <w:rPr>
                <w:rFonts w:ascii="Book Antiqua" w:hAnsi="Book Antiqua"/>
                <w:lang w:eastAsia="zh-CN"/>
              </w:rPr>
            </w:pPr>
            <w:r>
              <w:rPr>
                <w:rFonts w:ascii="Book Antiqua" w:hAnsi="Book Antiqua"/>
                <w:bCs/>
              </w:rPr>
              <w:t>I1-12</w:t>
            </w:r>
          </w:p>
        </w:tc>
        <w:tc>
          <w:tcPr>
            <w:tcW w:w="3096" w:type="dxa"/>
          </w:tcPr>
          <w:p>
            <w:pPr>
              <w:spacing w:line="360" w:lineRule="auto"/>
              <w:jc w:val="both"/>
              <w:rPr>
                <w:rFonts w:ascii="Book Antiqua" w:hAnsi="Book Antiqua"/>
                <w:lang w:eastAsia="zh-CN"/>
              </w:rPr>
            </w:pPr>
            <w:r>
              <w:rPr>
                <w:rFonts w:ascii="Book Antiqua" w:hAnsi="Book Antiqua"/>
                <w:bCs/>
              </w:rPr>
              <w:t>Vietnam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96" w:type="dxa"/>
            <w:tcBorders>
              <w:bottom w:val="single" w:color="auto" w:sz="4" w:space="0"/>
            </w:tcBorders>
          </w:tcPr>
          <w:p>
            <w:pPr>
              <w:spacing w:line="360" w:lineRule="auto"/>
              <w:jc w:val="both"/>
              <w:rPr>
                <w:rFonts w:ascii="Book Antiqua" w:hAnsi="Book Antiqua"/>
                <w:lang w:eastAsia="zh-CN"/>
              </w:rPr>
            </w:pPr>
            <w:r>
              <w:rPr>
                <w:rFonts w:ascii="Book Antiqua" w:hAnsi="Book Antiqua"/>
              </w:rPr>
              <w:t>J</w:t>
            </w:r>
          </w:p>
        </w:tc>
        <w:tc>
          <w:tcPr>
            <w:tcW w:w="3096" w:type="dxa"/>
            <w:tcBorders>
              <w:bottom w:val="single" w:color="auto" w:sz="4" w:space="0"/>
            </w:tcBorders>
          </w:tcPr>
          <w:p>
            <w:pPr>
              <w:spacing w:line="360" w:lineRule="auto"/>
              <w:jc w:val="both"/>
              <w:rPr>
                <w:rFonts w:ascii="Book Antiqua" w:hAnsi="Book Antiqua"/>
                <w:lang w:eastAsia="zh-CN"/>
              </w:rPr>
            </w:pPr>
          </w:p>
        </w:tc>
        <w:tc>
          <w:tcPr>
            <w:tcW w:w="3096" w:type="dxa"/>
            <w:tcBorders>
              <w:bottom w:val="single" w:color="auto" w:sz="4" w:space="0"/>
            </w:tcBorders>
          </w:tcPr>
          <w:p>
            <w:pPr>
              <w:spacing w:line="360" w:lineRule="auto"/>
              <w:jc w:val="both"/>
              <w:rPr>
                <w:rFonts w:ascii="Book Antiqua" w:hAnsi="Book Antiqua"/>
                <w:lang w:eastAsia="zh-CN"/>
              </w:rPr>
            </w:pPr>
            <w:r>
              <w:rPr>
                <w:rFonts w:ascii="Book Antiqua" w:hAnsi="Book Antiqua"/>
                <w:bCs/>
              </w:rPr>
              <w:t>Japan</w:t>
            </w:r>
          </w:p>
        </w:tc>
      </w:tr>
    </w:tbl>
    <w:p>
      <w:pPr>
        <w:spacing w:line="360" w:lineRule="auto"/>
        <w:jc w:val="both"/>
        <w:rPr>
          <w:rFonts w:ascii="Book Antiqua" w:hAnsi="Book Antiqua"/>
          <w:lang w:eastAsia="zh-CN"/>
        </w:rPr>
        <w:sectPr>
          <w:footerReference r:id="rId3" w:type="default"/>
          <w:pgSz w:w="11906" w:h="16838"/>
          <w:pgMar w:top="1417" w:right="1417" w:bottom="1417" w:left="1417" w:header="708" w:footer="708" w:gutter="0"/>
          <w:cols w:space="708" w:num="1"/>
          <w:docGrid w:linePitch="360" w:charSpace="0"/>
        </w:sectPr>
      </w:pPr>
      <w:r>
        <w:rPr>
          <w:rFonts w:ascii="Book Antiqua" w:hAnsi="Book Antiqua"/>
          <w:lang w:eastAsia="zh-CN"/>
        </w:rPr>
        <w:t>USA: United States.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lang w:eastAsia="zh-CN"/>
        </w:rPr>
      </w:pP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BoldItalicMT">
    <w:altName w:val="Segoe Print"/>
    <w:panose1 w:val="00000000000000000000"/>
    <w:charset w:val="00"/>
    <w:family w:val="auto"/>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6232425"/>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39</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39</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1E5F"/>
    <w:rsid w:val="00073DE4"/>
    <w:rsid w:val="000D1DB5"/>
    <w:rsid w:val="001548E8"/>
    <w:rsid w:val="00182782"/>
    <w:rsid w:val="001B5FCF"/>
    <w:rsid w:val="001D46E0"/>
    <w:rsid w:val="00226019"/>
    <w:rsid w:val="00257742"/>
    <w:rsid w:val="00280732"/>
    <w:rsid w:val="0029163F"/>
    <w:rsid w:val="002A4CAF"/>
    <w:rsid w:val="002B7227"/>
    <w:rsid w:val="00305A8E"/>
    <w:rsid w:val="003117B5"/>
    <w:rsid w:val="00344EF0"/>
    <w:rsid w:val="0036701B"/>
    <w:rsid w:val="003D3F79"/>
    <w:rsid w:val="003F78C4"/>
    <w:rsid w:val="004521BF"/>
    <w:rsid w:val="004552AD"/>
    <w:rsid w:val="004A4646"/>
    <w:rsid w:val="004E6BC1"/>
    <w:rsid w:val="005877C1"/>
    <w:rsid w:val="0059285C"/>
    <w:rsid w:val="005A42A1"/>
    <w:rsid w:val="005D0DAA"/>
    <w:rsid w:val="006F4338"/>
    <w:rsid w:val="006F7144"/>
    <w:rsid w:val="007523B8"/>
    <w:rsid w:val="00757B0C"/>
    <w:rsid w:val="00803754"/>
    <w:rsid w:val="00804C9D"/>
    <w:rsid w:val="0083340D"/>
    <w:rsid w:val="00854FD9"/>
    <w:rsid w:val="008B1852"/>
    <w:rsid w:val="00924975"/>
    <w:rsid w:val="00967472"/>
    <w:rsid w:val="00A27FD6"/>
    <w:rsid w:val="00A436AA"/>
    <w:rsid w:val="00A77B3E"/>
    <w:rsid w:val="00AA0D9D"/>
    <w:rsid w:val="00AA16CA"/>
    <w:rsid w:val="00AB3F4B"/>
    <w:rsid w:val="00AF1264"/>
    <w:rsid w:val="00B14D67"/>
    <w:rsid w:val="00B24184"/>
    <w:rsid w:val="00B91337"/>
    <w:rsid w:val="00C1033B"/>
    <w:rsid w:val="00C5399D"/>
    <w:rsid w:val="00C76BE5"/>
    <w:rsid w:val="00C92AF8"/>
    <w:rsid w:val="00C96894"/>
    <w:rsid w:val="00CA1BB7"/>
    <w:rsid w:val="00CA2A55"/>
    <w:rsid w:val="00CC0295"/>
    <w:rsid w:val="00CF6815"/>
    <w:rsid w:val="00D06107"/>
    <w:rsid w:val="00D17C3B"/>
    <w:rsid w:val="00D71D77"/>
    <w:rsid w:val="00D77114"/>
    <w:rsid w:val="00D970AD"/>
    <w:rsid w:val="00DB2190"/>
    <w:rsid w:val="00E043D3"/>
    <w:rsid w:val="00E044D1"/>
    <w:rsid w:val="00EF274B"/>
    <w:rsid w:val="00F4174F"/>
    <w:rsid w:val="00F74A4F"/>
    <w:rsid w:val="00FD56CC"/>
    <w:rsid w:val="04CF7D5B"/>
    <w:rsid w:val="25CC530C"/>
    <w:rsid w:val="41FA26A6"/>
    <w:rsid w:val="5DC96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table" w:customStyle="1" w:styleId="13">
    <w:name w:val="Obična tablica 21"/>
    <w:basedOn w:val="7"/>
    <w:qFormat/>
    <w:uiPriority w:val="42"/>
    <w:rPr>
      <w:rFonts w:asciiTheme="minorHAnsi" w:hAnsiTheme="minorHAnsi" w:cstheme="minorBidi"/>
      <w:sz w:val="22"/>
      <w:szCs w:val="22"/>
      <w:lang w:val="hr-HR"/>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4">
    <w:name w:val="批注框文本 字符"/>
    <w:basedOn w:val="9"/>
    <w:link w:val="3"/>
    <w:qFormat/>
    <w:uiPriority w:val="0"/>
    <w:rPr>
      <w:sz w:val="18"/>
      <w:szCs w:val="18"/>
    </w:rPr>
  </w:style>
  <w:style w:type="character" w:customStyle="1" w:styleId="15">
    <w:name w:val="批注文字 字符"/>
    <w:basedOn w:val="9"/>
    <w:link w:val="2"/>
    <w:qFormat/>
    <w:uiPriority w:val="0"/>
    <w:rPr>
      <w:sz w:val="24"/>
      <w:szCs w:val="24"/>
    </w:rPr>
  </w:style>
  <w:style w:type="character" w:customStyle="1" w:styleId="16">
    <w:name w:val="批注主题 字符"/>
    <w:basedOn w:val="15"/>
    <w:link w:val="6"/>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10677</Words>
  <Characters>60861</Characters>
  <Lines>507</Lines>
  <Paragraphs>142</Paragraphs>
  <TotalTime>0</TotalTime>
  <ScaleCrop>false</ScaleCrop>
  <LinksUpToDate>false</LinksUpToDate>
  <CharactersWithSpaces>71396</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2022-06-13T04:13:00Z</dcterms:created>
  <dc:creator>ISkrlec</dc:creator>
  <cp:lastModifiedBy>千</cp:lastModifiedBy>
  <dcterms:modified xsi:type="dcterms:W3CDTF">2022-07-18T06:22:22Z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3A347BB885A94C1CBA0D6E3BE0144C50</vt:lpwstr>
  </property>
</Properties>
</file>