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66A7" w14:textId="77777777" w:rsidR="003D3BEE" w:rsidRDefault="00B212C7">
      <w:pPr>
        <w:spacing w:line="360" w:lineRule="auto"/>
        <w:jc w:val="both"/>
        <w:rPr>
          <w:rFonts w:ascii="Book Antiqua" w:hAnsi="Book Antiqua"/>
        </w:rPr>
      </w:pPr>
      <w:bookmarkStart w:id="0" w:name="_Hlk102052273"/>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903C778"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74948</w:t>
      </w:r>
    </w:p>
    <w:p w14:paraId="51082647"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B149E9" w14:textId="77777777" w:rsidR="003D3BEE" w:rsidRDefault="003D3BEE">
      <w:pPr>
        <w:spacing w:line="360" w:lineRule="auto"/>
        <w:jc w:val="both"/>
        <w:rPr>
          <w:rFonts w:ascii="Book Antiqua" w:hAnsi="Book Antiqua"/>
        </w:rPr>
      </w:pPr>
    </w:p>
    <w:p w14:paraId="6C6D3A7F"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Retrospective Study</w:t>
      </w:r>
    </w:p>
    <w:p w14:paraId="356A0596" w14:textId="77777777" w:rsidR="003D3BEE" w:rsidRDefault="00B212C7">
      <w:pPr>
        <w:spacing w:line="360" w:lineRule="auto"/>
        <w:jc w:val="both"/>
        <w:rPr>
          <w:rFonts w:ascii="Book Antiqua" w:hAnsi="Book Antiqua"/>
          <w:b/>
        </w:rPr>
      </w:pPr>
      <w:r>
        <w:rPr>
          <w:rFonts w:ascii="Book Antiqua" w:eastAsia="Book Antiqua" w:hAnsi="Book Antiqua" w:cs="Book Antiqua"/>
          <w:b/>
          <w:color w:val="000000"/>
        </w:rPr>
        <w:t xml:space="preserve">Direct-acting antivirals for </w:t>
      </w:r>
      <w:r>
        <w:rPr>
          <w:rFonts w:ascii="Book Antiqua" w:eastAsia="Book Antiqua" w:hAnsi="Book Antiqua" w:cs="Book Antiqua"/>
          <w:b/>
          <w:color w:val="000000"/>
          <w:shd w:val="clear" w:color="auto" w:fill="FFFFFF"/>
        </w:rPr>
        <w:t>hepatitis C virus</w:t>
      </w:r>
      <w:r>
        <w:rPr>
          <w:rFonts w:ascii="Book Antiqua" w:eastAsia="Book Antiqua" w:hAnsi="Book Antiqua" w:cs="Book Antiqua"/>
          <w:b/>
          <w:color w:val="000000"/>
        </w:rPr>
        <w:t>-infected patients with hepatocellular carcinoma</w:t>
      </w:r>
    </w:p>
    <w:p w14:paraId="3F651140" w14:textId="77777777" w:rsidR="003D3BEE" w:rsidRDefault="003D3BEE">
      <w:pPr>
        <w:spacing w:line="360" w:lineRule="auto"/>
        <w:jc w:val="both"/>
        <w:rPr>
          <w:rFonts w:ascii="Book Antiqua" w:hAnsi="Book Antiqua"/>
        </w:rPr>
      </w:pPr>
    </w:p>
    <w:p w14:paraId="2353A236"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 xml:space="preserve">Tajiri </w:t>
      </w:r>
      <w:r>
        <w:rPr>
          <w:rFonts w:ascii="Book Antiqua" w:eastAsia="宋体" w:hAnsi="Book Antiqua" w:cs="Book Antiqua" w:hint="eastAsia"/>
          <w:color w:val="000000"/>
          <w:lang w:eastAsia="zh-CN"/>
        </w:rPr>
        <w:t xml:space="preserve">K </w:t>
      </w:r>
      <w:r>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DAA-therapy in HCC patients</w:t>
      </w:r>
    </w:p>
    <w:p w14:paraId="5A82C2EA" w14:textId="77777777" w:rsidR="003D3BEE" w:rsidRDefault="003D3BEE">
      <w:pPr>
        <w:spacing w:line="360" w:lineRule="auto"/>
        <w:jc w:val="both"/>
        <w:rPr>
          <w:rFonts w:ascii="Book Antiqua" w:hAnsi="Book Antiqua"/>
        </w:rPr>
      </w:pPr>
    </w:p>
    <w:p w14:paraId="657C67EB"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Kazuto Tajiri, Hiroyuki Ito, Kengo Kawai, Yoshiro Kashii, Yuka Hayashi, Aiko Murayama, Masami Minemura, Terumi Takahara, Yukihiro Shimizu, Ichiro Yasuda</w:t>
      </w:r>
    </w:p>
    <w:p w14:paraId="70AB8533" w14:textId="77777777" w:rsidR="003D3BEE" w:rsidRDefault="003D3BEE">
      <w:pPr>
        <w:spacing w:line="360" w:lineRule="auto"/>
        <w:jc w:val="both"/>
        <w:rPr>
          <w:rFonts w:ascii="Book Antiqua" w:hAnsi="Book Antiqua"/>
        </w:rPr>
      </w:pPr>
    </w:p>
    <w:p w14:paraId="7F21E5C4"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Kazuto Tajiri, Yuka Hayashi, Aiko Murayama, Masami Minemura, Terumi Takahara, Ichiro Yasuda, </w:t>
      </w:r>
      <w:r>
        <w:rPr>
          <w:rFonts w:ascii="Book Antiqua" w:eastAsia="Book Antiqua" w:hAnsi="Book Antiqua" w:cs="Book Antiqua"/>
          <w:color w:val="000000"/>
        </w:rPr>
        <w:t>Department of Gastroenterology, Toyama University Hospital, Toyama 930-0194, Japan</w:t>
      </w:r>
    </w:p>
    <w:p w14:paraId="5278944D" w14:textId="77777777" w:rsidR="003D3BEE" w:rsidRDefault="003D3BEE">
      <w:pPr>
        <w:spacing w:line="360" w:lineRule="auto"/>
        <w:jc w:val="both"/>
        <w:rPr>
          <w:rFonts w:ascii="Book Antiqua" w:hAnsi="Book Antiqua"/>
        </w:rPr>
      </w:pPr>
    </w:p>
    <w:p w14:paraId="76DE30CD"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Hiroyuki Ito, </w:t>
      </w:r>
      <w:r>
        <w:rPr>
          <w:rFonts w:ascii="Book Antiqua" w:eastAsia="Book Antiqua" w:hAnsi="Book Antiqua" w:cs="Book Antiqua"/>
          <w:color w:val="000000"/>
        </w:rPr>
        <w:t>Department of Gastroenterology, Takaoka Municipal Hospital, Takaoka 933-8550, Japan</w:t>
      </w:r>
    </w:p>
    <w:p w14:paraId="450318B7" w14:textId="77777777" w:rsidR="003D3BEE" w:rsidRDefault="003D3BEE">
      <w:pPr>
        <w:spacing w:line="360" w:lineRule="auto"/>
        <w:jc w:val="both"/>
        <w:rPr>
          <w:rFonts w:ascii="Book Antiqua" w:hAnsi="Book Antiqua"/>
        </w:rPr>
      </w:pPr>
    </w:p>
    <w:p w14:paraId="22D80238"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Kengo Kawai, Yukihiro Shimizu, </w:t>
      </w:r>
      <w:r>
        <w:rPr>
          <w:rFonts w:ascii="Book Antiqua" w:eastAsia="Book Antiqua" w:hAnsi="Book Antiqua" w:cs="Book Antiqua"/>
          <w:color w:val="000000"/>
        </w:rPr>
        <w:t>Gastroenterology Center, Nanto Municipal Hospital, Nanto 932-0211, Japan</w:t>
      </w:r>
    </w:p>
    <w:p w14:paraId="53D9DABC" w14:textId="77777777" w:rsidR="003D3BEE" w:rsidRDefault="003D3BEE">
      <w:pPr>
        <w:spacing w:line="360" w:lineRule="auto"/>
        <w:jc w:val="both"/>
        <w:rPr>
          <w:rFonts w:ascii="Book Antiqua" w:hAnsi="Book Antiqua"/>
        </w:rPr>
      </w:pPr>
    </w:p>
    <w:p w14:paraId="67A94792"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Yoshiro Kashii, </w:t>
      </w:r>
      <w:r>
        <w:rPr>
          <w:rFonts w:ascii="Book Antiqua" w:eastAsia="Book Antiqua" w:hAnsi="Book Antiqua" w:cs="Book Antiqua"/>
          <w:color w:val="000000"/>
        </w:rPr>
        <w:t>Department of Gastroenterology, Saiseikai Toyama Hospital, Toyama 931-8533, Japan</w:t>
      </w:r>
    </w:p>
    <w:p w14:paraId="642B8DBE" w14:textId="77777777" w:rsidR="003D3BEE" w:rsidRDefault="003D3BEE">
      <w:pPr>
        <w:spacing w:line="360" w:lineRule="auto"/>
        <w:jc w:val="both"/>
        <w:rPr>
          <w:rFonts w:ascii="Book Antiqua" w:eastAsia="宋体" w:hAnsi="Book Antiqua"/>
          <w:lang w:eastAsia="zh-CN"/>
        </w:rPr>
      </w:pPr>
    </w:p>
    <w:p w14:paraId="75E9ACD4"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Tajiri K designed and performed the research and wrote the paper; Ito H, Kawai K, Murayama A, Hayashi Y, Minemura M, Takahara T, and Shimizu Y contributed to the management of patients; Shimizu Y and Yasuda I supervised the work.</w:t>
      </w:r>
    </w:p>
    <w:p w14:paraId="2098360E" w14:textId="77777777" w:rsidR="003D3BEE" w:rsidRDefault="003D3BEE">
      <w:pPr>
        <w:spacing w:line="360" w:lineRule="auto"/>
        <w:jc w:val="both"/>
        <w:rPr>
          <w:rFonts w:ascii="Book Antiqua" w:hAnsi="Book Antiqua"/>
        </w:rPr>
      </w:pPr>
    </w:p>
    <w:p w14:paraId="0A5E8670"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Corresponding author: Kazuto Tajiri, MD, PhD, Associate Professor, </w:t>
      </w:r>
      <w:r>
        <w:rPr>
          <w:rFonts w:ascii="Book Antiqua" w:eastAsia="Book Antiqua" w:hAnsi="Book Antiqua" w:cs="Book Antiqua"/>
          <w:color w:val="000000"/>
        </w:rPr>
        <w:t>Department of Gastroenterology, Toyama University Hospital, 2630 Sugitani, Toyama 930-0194, Japan. tajikazu@med.u-toyama.ac.jp</w:t>
      </w:r>
    </w:p>
    <w:p w14:paraId="675837DF" w14:textId="77777777" w:rsidR="003D3BEE" w:rsidRDefault="003D3BEE">
      <w:pPr>
        <w:spacing w:line="360" w:lineRule="auto"/>
        <w:jc w:val="both"/>
        <w:rPr>
          <w:rFonts w:ascii="Book Antiqua" w:hAnsi="Book Antiqua"/>
        </w:rPr>
      </w:pPr>
    </w:p>
    <w:p w14:paraId="3E646743"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2022</w:t>
      </w:r>
    </w:p>
    <w:p w14:paraId="2CDA5BD8"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18, 2022</w:t>
      </w:r>
    </w:p>
    <w:p w14:paraId="50023387"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28, 2022</w:t>
      </w:r>
    </w:p>
    <w:p w14:paraId="7F7F9582" w14:textId="77777777" w:rsidR="003D3BEE" w:rsidRDefault="00B212C7">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5C97A9C4" w14:textId="77777777" w:rsidR="003D3BEE" w:rsidRDefault="003D3BEE">
      <w:pPr>
        <w:spacing w:line="360" w:lineRule="auto"/>
        <w:jc w:val="both"/>
        <w:rPr>
          <w:rFonts w:ascii="Book Antiqua" w:hAnsi="Book Antiqua"/>
        </w:rPr>
      </w:pPr>
    </w:p>
    <w:p w14:paraId="4158A2B0" w14:textId="77777777" w:rsidR="003D3BEE" w:rsidRDefault="003D3BEE">
      <w:pPr>
        <w:spacing w:line="360" w:lineRule="auto"/>
        <w:jc w:val="both"/>
        <w:rPr>
          <w:rFonts w:ascii="Book Antiqua" w:hAnsi="Book Antiqua"/>
        </w:rPr>
        <w:sectPr w:rsidR="003D3BEE">
          <w:footerReference w:type="default" r:id="rId7"/>
          <w:pgSz w:w="12240" w:h="15840"/>
          <w:pgMar w:top="1440" w:right="1440" w:bottom="1440" w:left="1440" w:header="720" w:footer="720" w:gutter="0"/>
          <w:cols w:space="720"/>
          <w:docGrid w:linePitch="360"/>
        </w:sectPr>
      </w:pPr>
    </w:p>
    <w:p w14:paraId="006615A7"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75967BB"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BACKGROUND</w:t>
      </w:r>
    </w:p>
    <w:p w14:paraId="6BED5663" w14:textId="77777777" w:rsidR="003D3BEE" w:rsidRDefault="00B212C7">
      <w:pPr>
        <w:spacing w:line="360" w:lineRule="auto"/>
        <w:jc w:val="both"/>
        <w:rPr>
          <w:rFonts w:ascii="Book Antiqua" w:hAnsi="Book Antiqua"/>
        </w:rPr>
      </w:pPr>
      <w:r>
        <w:rPr>
          <w:rFonts w:ascii="Book Antiqua" w:eastAsia="Book Antiqua" w:hAnsi="Book Antiqua" w:cs="Book Antiqua"/>
          <w:color w:val="000000"/>
          <w:shd w:val="clear" w:color="auto" w:fill="FFFFFF"/>
        </w:rPr>
        <w:t>Hepatocellular carcinoma (HCC) in hepatitis C virus (HCV)-infected patients has a high risk of recurrence. Although eradication of HCV is expected to reduce this risk, the risk in patients with a history of HCC may be high after treatment with direct-acting antivirals (DAAs).</w:t>
      </w:r>
    </w:p>
    <w:p w14:paraId="0B17F9F2" w14:textId="77777777" w:rsidR="003D3BEE" w:rsidRDefault="003D3BEE">
      <w:pPr>
        <w:spacing w:line="360" w:lineRule="auto"/>
        <w:jc w:val="both"/>
        <w:rPr>
          <w:rFonts w:ascii="Book Antiqua" w:hAnsi="Book Antiqua"/>
        </w:rPr>
      </w:pPr>
    </w:p>
    <w:p w14:paraId="31DC74A2"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AIM</w:t>
      </w:r>
    </w:p>
    <w:p w14:paraId="71733BC5" w14:textId="77777777" w:rsidR="003D3BEE" w:rsidRDefault="00B212C7">
      <w:pPr>
        <w:spacing w:line="360" w:lineRule="auto"/>
        <w:jc w:val="both"/>
        <w:rPr>
          <w:rFonts w:ascii="Book Antiqua" w:hAnsi="Book Antiqua"/>
        </w:rPr>
      </w:pPr>
      <w:r>
        <w:rPr>
          <w:rFonts w:ascii="Book Antiqua" w:eastAsia="Book Antiqua" w:hAnsi="Book Antiqua" w:cs="Book Antiqua"/>
          <w:color w:val="000000"/>
          <w:shd w:val="clear" w:color="auto" w:fill="FFFFFF"/>
        </w:rPr>
        <w:t>To determine the risk factors for HCC recurrence in patients with HCV and a history of HCC.</w:t>
      </w:r>
    </w:p>
    <w:p w14:paraId="6CC8FB5C" w14:textId="77777777" w:rsidR="003D3BEE" w:rsidRDefault="003D3BEE">
      <w:pPr>
        <w:spacing w:line="360" w:lineRule="auto"/>
        <w:jc w:val="both"/>
        <w:rPr>
          <w:rFonts w:ascii="Book Antiqua" w:hAnsi="Book Antiqua"/>
        </w:rPr>
      </w:pPr>
    </w:p>
    <w:p w14:paraId="755FEFEE"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METHODS</w:t>
      </w:r>
    </w:p>
    <w:p w14:paraId="7C8472DF" w14:textId="77777777" w:rsidR="003D3BEE" w:rsidRDefault="00B212C7">
      <w:pPr>
        <w:spacing w:line="360" w:lineRule="auto"/>
        <w:jc w:val="both"/>
        <w:rPr>
          <w:rFonts w:ascii="Book Antiqua" w:hAnsi="Book Antiqua"/>
        </w:rPr>
      </w:pPr>
      <w:r>
        <w:rPr>
          <w:rFonts w:ascii="Book Antiqua" w:eastAsia="Book Antiqua" w:hAnsi="Book Antiqua" w:cs="Book Antiqua"/>
          <w:color w:val="000000"/>
          <w:shd w:val="clear" w:color="auto" w:fill="FFFFFF"/>
        </w:rPr>
        <w:t>The risk of HCC recurrence in patients with a history of HCC and/or of HCC occurrence in patients without a history of HCC</w:t>
      </w:r>
      <w:r>
        <w:rPr>
          <w:rFonts w:ascii="Book Antiqua" w:eastAsia="Book Antiqua" w:hAnsi="Book Antiqua" w:cs="Book Antiqua"/>
          <w:vanish/>
          <w:color w:val="000000"/>
          <w:shd w:val="clear" w:color="auto" w:fill="FFFFFF"/>
        </w:rPr>
        <w:t xml:space="preserve"> </w:t>
      </w:r>
      <w:r>
        <w:rPr>
          <w:rFonts w:ascii="Book Antiqua" w:eastAsia="Book Antiqua" w:hAnsi="Book Antiqua" w:cs="Book Antiqua"/>
          <w:color w:val="000000"/>
          <w:shd w:val="clear" w:color="auto" w:fill="FFFFFF"/>
        </w:rPr>
        <w:t>after DAA therapy was retrospectively analyzed in 311 HCV patients treated at our institution and several neighboring hospitals. The frequency and predictors of HCC recurrence/occurrence after DAA treatment were included in these analyses. The clinical course of HCC before and after DAA treatment was also evaluated.</w:t>
      </w:r>
    </w:p>
    <w:p w14:paraId="0037C722" w14:textId="77777777" w:rsidR="003D3BEE" w:rsidRDefault="003D3BEE">
      <w:pPr>
        <w:spacing w:line="360" w:lineRule="auto"/>
        <w:jc w:val="both"/>
        <w:rPr>
          <w:rFonts w:ascii="Book Antiqua" w:hAnsi="Book Antiqua"/>
        </w:rPr>
      </w:pPr>
    </w:p>
    <w:p w14:paraId="76DF090A"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RESULTS</w:t>
      </w:r>
    </w:p>
    <w:p w14:paraId="656AAC7C"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 xml:space="preserve">HCV patients with a history of HCC were older and had greater progression of liver fibrosis and diabetes than patients without a history of HCC. Median </w:t>
      </w:r>
      <w:r>
        <w:rPr>
          <w:rFonts w:ascii="Book Antiqua" w:eastAsia="Book Antiqua" w:hAnsi="Book Antiqua" w:cs="Book Antiqua"/>
          <w:color w:val="000000"/>
          <w:shd w:val="clear" w:color="auto" w:fill="FFFFFF"/>
        </w:rPr>
        <w:t>recurrence</w:t>
      </w:r>
      <w:r>
        <w:rPr>
          <w:rFonts w:ascii="Book Antiqua" w:eastAsia="Book Antiqua" w:hAnsi="Book Antiqua" w:cs="Book Antiqua"/>
          <w:color w:val="000000"/>
        </w:rPr>
        <w:t xml:space="preserve">-free survival (RFS) was 1092 d in patients with a history of HCC, and post-DAA HCC </w:t>
      </w:r>
      <w:r>
        <w:rPr>
          <w:rFonts w:ascii="Book Antiqua" w:eastAsia="Book Antiqua" w:hAnsi="Book Antiqua" w:cs="Book Antiqua"/>
          <w:color w:val="000000"/>
          <w:shd w:val="clear" w:color="auto" w:fill="FFFFFF"/>
        </w:rPr>
        <w:t>recurrence/occurrence</w:t>
      </w:r>
      <w:r>
        <w:rPr>
          <w:rFonts w:ascii="Book Antiqua" w:eastAsia="Book Antiqua" w:hAnsi="Book Antiqua" w:cs="Book Antiqua"/>
          <w:color w:val="000000"/>
        </w:rPr>
        <w:t xml:space="preserve"> was observed in 29 patients (53.7%) with and 5 (1.9%) without a history of HCC over 6 years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RFS in patients with a history of HCC did not differ significantly before and after DAA treatment. The frequency of HCC recurrence/occurrence in patients with a history of HCC was lower after than before DAA treatment. Multivariate analysis showed that the incidence rate of HCC recurrence/occurrence before DAA treatment was the only independent predictor of </w:t>
      </w:r>
      <w:r>
        <w:rPr>
          <w:rFonts w:ascii="Book Antiqua" w:eastAsia="Book Antiqua" w:hAnsi="Book Antiqua" w:cs="Book Antiqua"/>
          <w:color w:val="000000"/>
        </w:rPr>
        <w:lastRenderedPageBreak/>
        <w:t xml:space="preserve">HCC </w:t>
      </w:r>
      <w:r>
        <w:rPr>
          <w:rFonts w:ascii="Book Antiqua" w:eastAsia="Book Antiqua" w:hAnsi="Book Antiqua" w:cs="Book Antiqua"/>
          <w:color w:val="000000"/>
          <w:shd w:val="clear" w:color="auto" w:fill="FFFFFF"/>
        </w:rPr>
        <w:t xml:space="preserve">recurrence/occurrence </w:t>
      </w:r>
      <w:r>
        <w:rPr>
          <w:rFonts w:ascii="Book Antiqua" w:eastAsia="Book Antiqua" w:hAnsi="Book Antiqua" w:cs="Book Antiqua"/>
          <w:color w:val="000000"/>
        </w:rPr>
        <w:t xml:space="preserve">after DAA treatment. Liver function was well preserved and clinical course was good in patients with HCC </w:t>
      </w:r>
      <w:r>
        <w:rPr>
          <w:rFonts w:ascii="Book Antiqua" w:eastAsia="Book Antiqua" w:hAnsi="Book Antiqua" w:cs="Book Antiqua"/>
          <w:color w:val="000000"/>
          <w:shd w:val="clear" w:color="auto" w:fill="FFFFFF"/>
        </w:rPr>
        <w:t xml:space="preserve">recurrence/occurrence </w:t>
      </w:r>
      <w:r>
        <w:rPr>
          <w:rFonts w:ascii="Book Antiqua" w:eastAsia="Book Antiqua" w:hAnsi="Book Antiqua" w:cs="Book Antiqua"/>
          <w:color w:val="000000"/>
        </w:rPr>
        <w:t>after DAA therapy.</w:t>
      </w:r>
    </w:p>
    <w:p w14:paraId="4867EFD5" w14:textId="77777777" w:rsidR="003D3BEE" w:rsidRDefault="003D3BEE">
      <w:pPr>
        <w:spacing w:line="360" w:lineRule="auto"/>
        <w:jc w:val="both"/>
        <w:rPr>
          <w:rFonts w:ascii="Book Antiqua" w:hAnsi="Book Antiqua"/>
        </w:rPr>
      </w:pPr>
    </w:p>
    <w:p w14:paraId="56688F9A"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CONCLUSION</w:t>
      </w:r>
    </w:p>
    <w:p w14:paraId="0459DCE4"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 xml:space="preserve">DAA therapy in patients infected with HCV is also effective in patients with a history of HCC. Curative treatment for HCC is desirable before DAA therapy. The frequency of HCC recurrence/occurrence before DAA therapy was associated with a significantly increased risk of HCC </w:t>
      </w:r>
      <w:r>
        <w:rPr>
          <w:rFonts w:ascii="Book Antiqua" w:eastAsia="Book Antiqua" w:hAnsi="Book Antiqua" w:cs="Book Antiqua"/>
          <w:color w:val="000000"/>
          <w:shd w:val="clear" w:color="auto" w:fill="FFFFFF"/>
        </w:rPr>
        <w:t xml:space="preserve">recurrence </w:t>
      </w:r>
      <w:r>
        <w:rPr>
          <w:rFonts w:ascii="Book Antiqua" w:eastAsia="Book Antiqua" w:hAnsi="Book Antiqua" w:cs="Book Antiqua"/>
          <w:color w:val="000000"/>
        </w:rPr>
        <w:t>after DAA therapy. Careful observation after DAA therapy is required in patients with a history of HCC.</w:t>
      </w:r>
      <w:bookmarkEnd w:id="0"/>
    </w:p>
    <w:p w14:paraId="067BD76C" w14:textId="77777777" w:rsidR="003D3BEE" w:rsidRDefault="003D3BEE">
      <w:pPr>
        <w:spacing w:line="360" w:lineRule="auto"/>
        <w:jc w:val="both"/>
        <w:rPr>
          <w:rFonts w:ascii="Book Antiqua" w:hAnsi="Book Antiqua"/>
        </w:rPr>
      </w:pPr>
    </w:p>
    <w:p w14:paraId="5803ED60" w14:textId="77777777" w:rsidR="003D3BEE" w:rsidRDefault="00B212C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irect-acting antivirals;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epatitis C virus;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epatocellular carcinoma;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ecurrence;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iver fibrosis; </w:t>
      </w:r>
      <w:r>
        <w:rPr>
          <w:rFonts w:ascii="Book Antiqua" w:eastAsia="宋体" w:hAnsi="Book Antiqua" w:cs="Book Antiqua" w:hint="eastAsia"/>
          <w:color w:val="000000"/>
          <w:lang w:eastAsia="zh-CN"/>
        </w:rPr>
        <w:t>C</w:t>
      </w:r>
      <w:r>
        <w:rPr>
          <w:rFonts w:ascii="Book Antiqua" w:eastAsia="Book Antiqua" w:hAnsi="Book Antiqua" w:cs="Book Antiqua"/>
          <w:color w:val="000000"/>
        </w:rPr>
        <w:t>urative treatment</w:t>
      </w:r>
    </w:p>
    <w:p w14:paraId="29B65CFC" w14:textId="63ADBEC5" w:rsidR="003D3BEE" w:rsidRDefault="003D3BEE">
      <w:pPr>
        <w:spacing w:line="360" w:lineRule="auto"/>
        <w:jc w:val="both"/>
        <w:rPr>
          <w:rFonts w:ascii="Book Antiqua" w:eastAsia="Book Antiqua" w:hAnsi="Book Antiqua" w:cs="Book Antiqua"/>
          <w:color w:val="000000"/>
        </w:rPr>
      </w:pPr>
    </w:p>
    <w:p w14:paraId="0C8208CE" w14:textId="77777777" w:rsidR="005C106D" w:rsidRDefault="005C106D" w:rsidP="005C106D">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B7C754B" w14:textId="77777777" w:rsidR="005C106D" w:rsidRDefault="005C106D">
      <w:pPr>
        <w:spacing w:line="360" w:lineRule="auto"/>
        <w:jc w:val="both"/>
        <w:rPr>
          <w:rFonts w:ascii="Book Antiqua" w:eastAsia="Book Antiqua" w:hAnsi="Book Antiqua" w:cs="Book Antiqua"/>
          <w:color w:val="000000"/>
        </w:rPr>
      </w:pPr>
    </w:p>
    <w:p w14:paraId="6A1891CC" w14:textId="04E0020F" w:rsidR="00AA0C84" w:rsidRDefault="00AA0C84">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B212C7">
        <w:rPr>
          <w:rFonts w:ascii="Book Antiqua" w:eastAsia="Book Antiqua" w:hAnsi="Book Antiqua" w:cs="Book Antiqua"/>
          <w:color w:val="000000"/>
        </w:rPr>
        <w:t xml:space="preserve">Tajiri K, Ito H, Kawai K, Kashii Y, Hayashi Y, Murayama A, Minemura M, Takahara T, Shimizu Y, Yasuda I. Direct-acting antivirals for </w:t>
      </w:r>
      <w:r w:rsidR="00B212C7">
        <w:rPr>
          <w:rFonts w:ascii="Book Antiqua" w:eastAsia="Book Antiqua" w:hAnsi="Book Antiqua" w:cs="Book Antiqua"/>
          <w:color w:val="000000"/>
          <w:shd w:val="clear" w:color="auto" w:fill="FFFFFF"/>
        </w:rPr>
        <w:t>hepatitis C virus</w:t>
      </w:r>
      <w:r w:rsidR="00B212C7">
        <w:rPr>
          <w:rFonts w:ascii="Book Antiqua" w:eastAsia="Book Antiqua" w:hAnsi="Book Antiqua" w:cs="Book Antiqua"/>
          <w:color w:val="000000"/>
        </w:rPr>
        <w:t xml:space="preserve">-infected patients with hepatocellular carcinoma. </w:t>
      </w:r>
      <w:r w:rsidR="00B212C7">
        <w:rPr>
          <w:rFonts w:ascii="Book Antiqua" w:eastAsia="Book Antiqua" w:hAnsi="Book Antiqua" w:cs="Book Antiqua"/>
          <w:i/>
          <w:iCs/>
          <w:color w:val="000000"/>
        </w:rPr>
        <w:t>World J Hepatol</w:t>
      </w:r>
      <w:r w:rsidR="00B212C7">
        <w:rPr>
          <w:rFonts w:ascii="Book Antiqua" w:eastAsia="Book Antiqua" w:hAnsi="Book Antiqua" w:cs="Book Antiqua"/>
          <w:color w:val="000000"/>
        </w:rPr>
        <w:t xml:space="preserve"> 2022; </w:t>
      </w:r>
      <w:r w:rsidR="00B212C7">
        <w:rPr>
          <w:rFonts w:ascii="Book Antiqua" w:eastAsia="Book Antiqua" w:hAnsi="Book Antiqua" w:cs="Book Antiqua" w:hint="eastAsia"/>
          <w:color w:val="000000"/>
        </w:rPr>
        <w:t>14(6):</w:t>
      </w:r>
      <w:r>
        <w:rPr>
          <w:rFonts w:ascii="Book Antiqua" w:eastAsia="Book Antiqua" w:hAnsi="Book Antiqua" w:cs="Book Antiqua"/>
          <w:color w:val="000000"/>
        </w:rPr>
        <w:t xml:space="preserve"> 1190</w:t>
      </w:r>
      <w:r w:rsidR="00B212C7">
        <w:rPr>
          <w:rFonts w:ascii="Book Antiqua" w:eastAsia="Book Antiqua" w:hAnsi="Book Antiqua" w:cs="Book Antiqua" w:hint="eastAsia"/>
          <w:color w:val="000000"/>
        </w:rPr>
        <w:t>-</w:t>
      </w:r>
      <w:r>
        <w:rPr>
          <w:rFonts w:ascii="Book Antiqua" w:eastAsia="Book Antiqua" w:hAnsi="Book Antiqua" w:cs="Book Antiqua"/>
          <w:color w:val="000000"/>
        </w:rPr>
        <w:t>1199</w:t>
      </w:r>
      <w:r w:rsidR="00B212C7">
        <w:rPr>
          <w:rFonts w:ascii="Book Antiqua" w:eastAsia="Book Antiqua" w:hAnsi="Book Antiqua" w:cs="Book Antiqua" w:hint="eastAsia"/>
          <w:color w:val="000000"/>
        </w:rPr>
        <w:t xml:space="preserve"> </w:t>
      </w:r>
    </w:p>
    <w:p w14:paraId="0F156714" w14:textId="676BAAC5" w:rsidR="00AA0C84" w:rsidRPr="00AA0C84" w:rsidRDefault="00B212C7">
      <w:pPr>
        <w:spacing w:line="360" w:lineRule="auto"/>
        <w:jc w:val="both"/>
        <w:rPr>
          <w:rFonts w:ascii="Book Antiqua" w:eastAsia="Book Antiqua" w:hAnsi="Book Antiqua" w:cs="Book Antiqua"/>
        </w:rPr>
      </w:pPr>
      <w:r w:rsidRPr="00AA0C84">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8" w:history="1">
        <w:r w:rsidR="00AA0C84" w:rsidRPr="00AA0C84">
          <w:rPr>
            <w:rStyle w:val="aa"/>
            <w:rFonts w:ascii="Book Antiqua" w:eastAsia="Book Antiqua" w:hAnsi="Book Antiqua" w:cs="Book Antiqua" w:hint="eastAsia"/>
            <w:color w:val="auto"/>
            <w:u w:val="none"/>
          </w:rPr>
          <w:t>https://www.wjgnet.com/1948-5182/full/v14/i6/</w:t>
        </w:r>
        <w:r w:rsidR="00AA0C84" w:rsidRPr="00AA0C84">
          <w:rPr>
            <w:rStyle w:val="aa"/>
            <w:rFonts w:ascii="Book Antiqua" w:eastAsia="Book Antiqua" w:hAnsi="Book Antiqua" w:cs="Book Antiqua"/>
            <w:color w:val="auto"/>
            <w:u w:val="none"/>
          </w:rPr>
          <w:t>1190</w:t>
        </w:r>
        <w:r w:rsidR="00AA0C84" w:rsidRPr="00AA0C84">
          <w:rPr>
            <w:rStyle w:val="aa"/>
            <w:rFonts w:ascii="Book Antiqua" w:eastAsia="Book Antiqua" w:hAnsi="Book Antiqua" w:cs="Book Antiqua" w:hint="eastAsia"/>
            <w:color w:val="auto"/>
            <w:u w:val="none"/>
          </w:rPr>
          <w:t>.htm</w:t>
        </w:r>
      </w:hyperlink>
      <w:r w:rsidRPr="00AA0C84">
        <w:rPr>
          <w:rFonts w:ascii="Book Antiqua" w:eastAsia="Book Antiqua" w:hAnsi="Book Antiqua" w:cs="Book Antiqua" w:hint="eastAsia"/>
        </w:rPr>
        <w:t xml:space="preserve"> </w:t>
      </w:r>
    </w:p>
    <w:p w14:paraId="5419F29B" w14:textId="5E3A0FAB" w:rsidR="003D3BEE" w:rsidRDefault="00B212C7">
      <w:pPr>
        <w:spacing w:line="360" w:lineRule="auto"/>
        <w:jc w:val="both"/>
        <w:rPr>
          <w:rFonts w:ascii="Book Antiqua" w:eastAsia="Book Antiqua" w:hAnsi="Book Antiqua" w:cs="Book Antiqua"/>
          <w:color w:val="000000"/>
        </w:rPr>
      </w:pPr>
      <w:r w:rsidRPr="00AA0C84">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AA0C84">
        <w:rPr>
          <w:rFonts w:ascii="Book Antiqua" w:eastAsia="Book Antiqua" w:hAnsi="Book Antiqua" w:cs="Book Antiqua"/>
          <w:color w:val="000000"/>
        </w:rPr>
        <w:t>1190</w:t>
      </w:r>
    </w:p>
    <w:p w14:paraId="027D13F5" w14:textId="77777777" w:rsidR="003D3BEE" w:rsidRDefault="003D3BEE">
      <w:pPr>
        <w:spacing w:line="360" w:lineRule="auto"/>
        <w:jc w:val="both"/>
        <w:rPr>
          <w:rFonts w:ascii="Book Antiqua" w:hAnsi="Book Antiqua"/>
        </w:rPr>
      </w:pPr>
    </w:p>
    <w:p w14:paraId="137343D9" w14:textId="77777777" w:rsidR="003D3BEE" w:rsidRDefault="003D3BEE">
      <w:pPr>
        <w:spacing w:line="360" w:lineRule="auto"/>
        <w:jc w:val="both"/>
        <w:rPr>
          <w:rFonts w:ascii="Book Antiqua" w:eastAsia="宋体" w:hAnsi="Book Antiqua"/>
          <w:lang w:eastAsia="zh-CN"/>
        </w:rPr>
      </w:pPr>
    </w:p>
    <w:p w14:paraId="47FE84E5" w14:textId="77777777" w:rsidR="003D3BEE" w:rsidRDefault="00B212C7">
      <w:pPr>
        <w:spacing w:line="360" w:lineRule="auto"/>
        <w:jc w:val="both"/>
        <w:rPr>
          <w:rFonts w:ascii="Book Antiqua" w:hAnsi="Book Antiqua"/>
        </w:rPr>
      </w:pPr>
      <w:bookmarkStart w:id="1" w:name="_Hlk102052308"/>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estimate the therapeutic value of direct-acting antivirals (DAAs) in hepatitis C virus (HCV)-infected patients with a history of hepatocellular carcinoma (HCC), the clinical course of HCV patients with or without a history of HCC after DAA therapy was retrospectively analyzed. DAA treatment did not increase the incidence rate of HCC recurrence/occurrence or enhance malignant transformation of HCC in patients with a </w:t>
      </w:r>
      <w:r>
        <w:rPr>
          <w:rFonts w:ascii="Book Antiqua" w:eastAsia="Book Antiqua" w:hAnsi="Book Antiqua" w:cs="Book Antiqua"/>
          <w:color w:val="000000"/>
        </w:rPr>
        <w:lastRenderedPageBreak/>
        <w:t>history of HCC. The risk of HCC recurrence after DAA therapy was significantly associated with the frequency of HCC recurrence/occurrence before DAA therapy.</w:t>
      </w:r>
    </w:p>
    <w:bookmarkEnd w:id="1"/>
    <w:p w14:paraId="0A3D245B" w14:textId="77777777" w:rsidR="003D3BEE" w:rsidRDefault="003D3BEE">
      <w:pPr>
        <w:spacing w:line="360" w:lineRule="auto"/>
        <w:jc w:val="both"/>
        <w:rPr>
          <w:rFonts w:ascii="Book Antiqua" w:hAnsi="Book Antiqua"/>
        </w:rPr>
      </w:pPr>
    </w:p>
    <w:p w14:paraId="66A85E65"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43A3064"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Hepatocellular carcinoma (HCC) is one of the most frequent malignancies and a major cause of cancer-related deaths worldwide. Although HCC detected at an early stage can often be cured by surgical resection or local ablative therapy, HCC is often diagnosed at an advanced stage, precluding curative treatment and resulting in a high mortality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Viral hepatitis is associated with the development of HCC, with hepatitis C virus (HCV) and hepatitis B virus (HBV) infections being major causes of HCC, along with nonviral etiologies such as alcoholic liver disease and nonalcoholic fatty liver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HCV-related HCC often recurs after curative therapies for HCC, such as surgical resection or ablative therapies, with 5-year recurrence rates ranging from 60%-80%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275F5528" w14:textId="77777777" w:rsidR="003D3BEE" w:rsidRDefault="00B212C7">
      <w:pPr>
        <w:spacing w:line="360" w:lineRule="auto"/>
        <w:ind w:firstLineChars="112" w:firstLine="269"/>
        <w:jc w:val="both"/>
        <w:rPr>
          <w:rFonts w:ascii="Book Antiqua" w:eastAsia="宋体" w:hAnsi="Book Antiqua"/>
          <w:lang w:eastAsia="zh-CN"/>
        </w:rPr>
      </w:pPr>
      <w:r>
        <w:rPr>
          <w:rFonts w:ascii="Book Antiqua" w:eastAsia="Book Antiqua" w:hAnsi="Book Antiqua" w:cs="Book Antiqua"/>
          <w:color w:val="000000"/>
        </w:rPr>
        <w:t>Interferon-based HCV eradication reduces the incidence rates of HCC</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anti-HCV and anti-carcinogenic effects of interferon reduce liver inflammation, contributing to reductions in the rate of HCC </w:t>
      </w:r>
      <w:r>
        <w:rPr>
          <w:rFonts w:ascii="Book Antiqua" w:eastAsia="Book Antiqua" w:hAnsi="Book Antiqua" w:cs="Book Antiqua"/>
          <w:color w:val="000000"/>
          <w:shd w:val="clear" w:color="auto" w:fill="FFFFFF"/>
        </w:rPr>
        <w:t>recurrence/occurrence. It is unclear, however, whether</w:t>
      </w:r>
      <w:r>
        <w:rPr>
          <w:rFonts w:ascii="Book Antiqua" w:eastAsia="Book Antiqua" w:hAnsi="Book Antiqua" w:cs="Book Antiqua"/>
          <w:color w:val="000000"/>
        </w:rPr>
        <w:t xml:space="preserve"> HCV eradication with direct-acting antivirals (DAAs) increase the risk of HCC, as DAA treatment disrupts immune surveillance during rapid elimination of HCV</w:t>
      </w:r>
      <w:r>
        <w:rPr>
          <w:rFonts w:ascii="Book Antiqua" w:eastAsia="Book Antiqua" w:hAnsi="Book Antiqua" w:cs="Book Antiqua"/>
          <w:color w:val="000000"/>
          <w:vertAlign w:val="superscript"/>
        </w:rPr>
        <w:t>[5]</w:t>
      </w:r>
      <w:r>
        <w:rPr>
          <w:rFonts w:ascii="Book Antiqua" w:eastAsia="Book Antiqua" w:hAnsi="Book Antiqua" w:cs="Book Antiqua"/>
          <w:color w:val="000000"/>
        </w:rPr>
        <w:t>. Large-scale studies, however, have shown that DAA eradication of HCV increases the risk of HCC, whereas basal liver fibrosis is associated with the risk of HCC</w:t>
      </w:r>
      <w:r>
        <w:rPr>
          <w:rFonts w:ascii="Book Antiqua" w:eastAsia="Book Antiqua" w:hAnsi="Book Antiqua" w:cs="Book Antiqua"/>
          <w:color w:val="000000"/>
          <w:vertAlign w:val="superscript"/>
        </w:rPr>
        <w:t>[6-8]</w:t>
      </w:r>
      <w:r>
        <w:rPr>
          <w:rFonts w:ascii="Book Antiqua" w:eastAsia="Book Antiqua" w:hAnsi="Book Antiqua" w:cs="Book Antiqua"/>
          <w:color w:val="000000"/>
        </w:rPr>
        <w:t>. Because other studies have reported that DAA eradication results in malignant transformation, suggesting that DAA had adverse carcinogenic effects</w:t>
      </w:r>
      <w:r>
        <w:rPr>
          <w:rFonts w:ascii="Book Antiqua" w:eastAsia="Book Antiqua" w:hAnsi="Book Antiqua" w:cs="Book Antiqua"/>
          <w:color w:val="000000"/>
          <w:vertAlign w:val="superscript"/>
        </w:rPr>
        <w:t>[5,9]</w:t>
      </w:r>
      <w:r>
        <w:rPr>
          <w:rFonts w:ascii="Book Antiqua" w:eastAsia="Book Antiqua" w:hAnsi="Book Antiqua" w:cs="Book Antiqua"/>
          <w:color w:val="000000"/>
        </w:rPr>
        <w:t>, these carcinogenic risks should be especially considered in patients with a history of HCC. The effects of DAA therapy have therefore been assessed in patients with a history of HCC. Studies have suggested that factors associated with pre-existing malignant potential, such as advanced liver fibrosis, high serum alpha-fetoprotein (AFP) concentration, and the presence of precancerous nodules, might lead to HCC recurrence in patients with a history of HCC</w:t>
      </w:r>
      <w:r>
        <w:rPr>
          <w:rFonts w:ascii="Book Antiqua" w:eastAsia="Book Antiqua" w:hAnsi="Book Antiqua" w:cs="Book Antiqua"/>
          <w:color w:val="000000"/>
          <w:vertAlign w:val="superscript"/>
        </w:rPr>
        <w:t>[10-14]</w:t>
      </w:r>
      <w:r>
        <w:rPr>
          <w:rFonts w:ascii="Book Antiqua" w:eastAsia="Book Antiqua" w:hAnsi="Book Antiqua" w:cs="Book Antiqua"/>
          <w:color w:val="000000"/>
        </w:rPr>
        <w:t>.</w:t>
      </w:r>
    </w:p>
    <w:p w14:paraId="0F52976E" w14:textId="77777777" w:rsidR="003D3BEE" w:rsidRDefault="00B212C7">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This study retrospectively evaluated the risks of HCC recurrence/occurrence, defined as HCC </w:t>
      </w:r>
      <w:r>
        <w:rPr>
          <w:rFonts w:ascii="Book Antiqua" w:eastAsia="Book Antiqua" w:hAnsi="Book Antiqua" w:cs="Book Antiqua"/>
          <w:color w:val="000000"/>
          <w:shd w:val="clear" w:color="auto" w:fill="FFFFFF"/>
        </w:rPr>
        <w:t xml:space="preserve">recurrence in patients with a history of HCC and/or of HCC occurrence in those </w:t>
      </w:r>
      <w:r>
        <w:rPr>
          <w:rFonts w:ascii="Book Antiqua" w:eastAsia="Book Antiqua" w:hAnsi="Book Antiqua" w:cs="Book Antiqua"/>
          <w:color w:val="000000"/>
          <w:shd w:val="clear" w:color="auto" w:fill="FFFFFF"/>
        </w:rPr>
        <w:lastRenderedPageBreak/>
        <w:t>without a history of HCC,</w:t>
      </w:r>
      <w:r>
        <w:rPr>
          <w:rFonts w:ascii="Book Antiqua" w:eastAsia="Book Antiqua" w:hAnsi="Book Antiqua" w:cs="Book Antiqua"/>
          <w:color w:val="000000"/>
        </w:rPr>
        <w:t xml:space="preserve"> and the clinical course of HCC in HCV patients treated with DAA. The results of this study suggest that a history of HCC prior to DAA treatment is a major factor contributing to HCC recurrence/occurrence after DAA treatment</w:t>
      </w:r>
      <w:r>
        <w:rPr>
          <w:rFonts w:ascii="Book Antiqua" w:eastAsia="Book Antiqua" w:hAnsi="Book Antiqua" w:cs="Book Antiqua"/>
          <w:color w:val="000000"/>
          <w:shd w:val="clear" w:color="auto" w:fill="FFFFFF"/>
        </w:rPr>
        <w:t>.</w:t>
      </w:r>
    </w:p>
    <w:p w14:paraId="6E881DC4" w14:textId="77777777" w:rsidR="003D3BEE" w:rsidRDefault="003D3BEE">
      <w:pPr>
        <w:spacing w:line="360" w:lineRule="auto"/>
        <w:jc w:val="both"/>
        <w:rPr>
          <w:rFonts w:ascii="Book Antiqua" w:hAnsi="Book Antiqua"/>
        </w:rPr>
      </w:pPr>
    </w:p>
    <w:p w14:paraId="76EADAFE"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AE0269B"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Patients</w:t>
      </w:r>
    </w:p>
    <w:p w14:paraId="7435C42C"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This study enrolled HCV patients treated with DAA at Toyama University Hospital, Takaoka Municipal Hospital, Nanto Municipal Hospital, and Saiseikai Toyama Hospital (all in Toyama, Japan) between November 2014 and July 2020. HCV infection was confirmed by HCV-RNA quantification and the genotype of HCV was determined in all patients. The fibrosis-4 (Fib-4) index, a useful noninvasive method of assessing liver fibrosis</w:t>
      </w:r>
      <w:r>
        <w:rPr>
          <w:rFonts w:ascii="Book Antiqua" w:eastAsia="Book Antiqua" w:hAnsi="Book Antiqua" w:cs="Book Antiqua"/>
          <w:color w:val="000000"/>
          <w:vertAlign w:val="superscript"/>
        </w:rPr>
        <w:t>[15]</w:t>
      </w:r>
      <w:r>
        <w:rPr>
          <w:rFonts w:ascii="Book Antiqua" w:eastAsia="Book Antiqua" w:hAnsi="Book Antiqua" w:cs="Book Antiqua"/>
          <w:color w:val="000000"/>
        </w:rPr>
        <w:t>, was also evaluated in all patients. Liver cirrhosis was diagnosed by hepatologists, each with over 20 years’ of experience, based on the results of imaging modalities such as ultrasonography (US), computed tomography (CT), and elastography, and the titers of fibrosis markers such as platelet count and Fib-4 index. HCC was diagnosed based on histological and/or imaging data such as contrast-enhanced CT or magnetic resonance imaging (MRI), according to the diagnostic criteria of the American Association for the Study of Liver Diseases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Before DAA therapy, all patients were screened using US, CT, or MRI to rule out the presence of viable HCC. This multicenter study was performed in accordance with the 1975 Declaration of Helsinki and was approved by the Ethics Committee of Toyama University (Approval No. R2019-131). </w:t>
      </w:r>
    </w:p>
    <w:p w14:paraId="4DB3D135" w14:textId="77777777" w:rsidR="003D3BEE" w:rsidRDefault="003D3BEE">
      <w:pPr>
        <w:spacing w:line="360" w:lineRule="auto"/>
        <w:jc w:val="both"/>
        <w:rPr>
          <w:rFonts w:ascii="Book Antiqua" w:hAnsi="Book Antiqua"/>
        </w:rPr>
      </w:pPr>
    </w:p>
    <w:p w14:paraId="066DB699" w14:textId="77777777" w:rsidR="003D3BEE" w:rsidRDefault="00B212C7">
      <w:pPr>
        <w:spacing w:line="360" w:lineRule="auto"/>
        <w:jc w:val="both"/>
        <w:rPr>
          <w:rFonts w:ascii="Book Antiqua" w:eastAsia="宋体" w:hAnsi="Book Antiqua"/>
          <w:lang w:eastAsia="zh-CN"/>
        </w:rPr>
      </w:pPr>
      <w:r>
        <w:rPr>
          <w:rFonts w:ascii="Book Antiqua" w:eastAsia="Book Antiqua" w:hAnsi="Book Antiqua" w:cs="Book Antiqua"/>
          <w:b/>
          <w:bCs/>
          <w:i/>
          <w:iCs/>
          <w:color w:val="000000"/>
        </w:rPr>
        <w:t xml:space="preserve">Treatment with </w:t>
      </w:r>
      <w:r>
        <w:rPr>
          <w:rFonts w:ascii="Book Antiqua" w:eastAsia="宋体" w:hAnsi="Book Antiqua" w:cs="Book Antiqua" w:hint="eastAsia"/>
          <w:b/>
          <w:bCs/>
          <w:i/>
          <w:iCs/>
          <w:color w:val="000000"/>
          <w:lang w:eastAsia="zh-CN"/>
        </w:rPr>
        <w:t>DAA</w:t>
      </w:r>
      <w:r>
        <w:rPr>
          <w:rFonts w:ascii="Book Antiqua" w:eastAsia="宋体" w:hAnsi="Book Antiqua" w:cs="Book Antiqua"/>
          <w:b/>
          <w:bCs/>
          <w:i/>
          <w:iCs/>
          <w:color w:val="000000"/>
          <w:lang w:eastAsia="zh-CN"/>
        </w:rPr>
        <w:t>s</w:t>
      </w:r>
    </w:p>
    <w:p w14:paraId="3A02C4FA"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Before the start of DAA therapy, patients with viable HCC were treated with surgery, radiofrequency ablation (RFA), or transarterial chemoembolization (TACE). Patients who did not show viable HCC lesions on contrast-enhanced CT or MRI performed 1 to 3 mo after HCC treatment were considered eligible for DAA therapy. Treatment regimens were determined by hepatologists according to HCV treatment guidelines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Treatment regimens included daclatasvir plus asunaprevir (DCV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ASV) in patients with </w:t>
      </w:r>
      <w:r>
        <w:rPr>
          <w:rFonts w:ascii="Book Antiqua" w:eastAsia="Book Antiqua" w:hAnsi="Book Antiqua" w:cs="Book Antiqua"/>
          <w:color w:val="000000"/>
        </w:rPr>
        <w:lastRenderedPageBreak/>
        <w:t>HCV genotype 1b from 2014 to 2016; sofosbuvir plus ledipasvir (SOF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LDV) for patients with HCV genotypes 1b and 2a/2b from 2015 to 2020; </w:t>
      </w:r>
      <w:r>
        <w:rPr>
          <w:rFonts w:ascii="Book Antiqua" w:eastAsia="宋体" w:hAnsi="Book Antiqua" w:cs="Book Antiqua" w:hint="eastAsia"/>
          <w:color w:val="000000"/>
          <w:lang w:eastAsia="zh-CN"/>
        </w:rPr>
        <w:t>SOF</w:t>
      </w:r>
      <w:r>
        <w:rPr>
          <w:rFonts w:ascii="Book Antiqua" w:eastAsia="Book Antiqua" w:hAnsi="Book Antiqua" w:cs="Book Antiqua"/>
          <w:color w:val="000000"/>
        </w:rPr>
        <w:t xml:space="preserve"> plus ribavirin (SOF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Rib) for patients with HCV genotypes 2a/2b from 2015 to 2017; and glecaprevir and pibrentasvir (GLE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PIB) for patients with any HCV genotype from 2017 to 2020. Other regimens considered included ombitasvir, paritaprevir, and ritonavir from 2016 to 2017; elbasvir plus grazoprevir in 2017; and SOF plus velpatasvir from 2019 to 2020 depending on the patient’s condition and the timing of treatment. Patients were monitored every 4 wk during DAA treatment, and every 12 wk thereafter, with HCC evaluated by imaging modalities. A sustained viral response (SVR) was defined as complete clearance of HCV-RNA clearance 12 wk after the end of DAA treatment. The flow chart of this study is shown in Supplementary Figure 1. Patients were monitored for a median 1311 d (range: 28 d to 2231 d) after the end of DAA therapy.</w:t>
      </w:r>
    </w:p>
    <w:p w14:paraId="174B89E8" w14:textId="77777777" w:rsidR="003D3BEE" w:rsidRDefault="003D3BEE">
      <w:pPr>
        <w:spacing w:line="360" w:lineRule="auto"/>
        <w:jc w:val="both"/>
        <w:rPr>
          <w:rFonts w:ascii="Book Antiqua" w:hAnsi="Book Antiqua"/>
        </w:rPr>
      </w:pPr>
    </w:p>
    <w:p w14:paraId="47F65003"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HCC Treatment</w:t>
      </w:r>
    </w:p>
    <w:p w14:paraId="4F686EE9"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HCC treatment in each patient was determined by discussions among surgeons, hepatologists, and radiologists at each institution and was based on Japanese practice guidelines for HCC</w:t>
      </w:r>
      <w:r>
        <w:rPr>
          <w:rFonts w:ascii="Book Antiqua" w:eastAsia="Book Antiqua" w:hAnsi="Book Antiqua" w:cs="Book Antiqua"/>
          <w:color w:val="000000"/>
          <w:vertAlign w:val="superscript"/>
        </w:rPr>
        <w:t>[19]</w:t>
      </w:r>
      <w:r>
        <w:rPr>
          <w:rFonts w:ascii="Book Antiqua" w:eastAsia="Book Antiqua" w:hAnsi="Book Antiqua" w:cs="Book Antiqua"/>
          <w:color w:val="000000"/>
        </w:rPr>
        <w:t>. Treatments of patients with early-stage HCC included surgical resection or RFA. Treatments of patients with multiple HCCs included TACE or systemic chemotherapy such as sorafenib, according to liver function and tumor progression and following treatment guidelines.</w:t>
      </w:r>
    </w:p>
    <w:p w14:paraId="7473C917" w14:textId="77777777" w:rsidR="003D3BEE" w:rsidRDefault="003D3BEE">
      <w:pPr>
        <w:spacing w:line="360" w:lineRule="auto"/>
        <w:jc w:val="both"/>
        <w:rPr>
          <w:rFonts w:ascii="Book Antiqua" w:hAnsi="Book Antiqua"/>
        </w:rPr>
      </w:pPr>
    </w:p>
    <w:p w14:paraId="18F67F81"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Statistical analyses</w:t>
      </w:r>
    </w:p>
    <w:p w14:paraId="43862CFD"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Variable distributions were reported as mean ±</w:t>
      </w:r>
      <w:r>
        <w:rPr>
          <w:rFonts w:ascii="Book Antiqua" w:eastAsia="宋体" w:hAnsi="Book Antiqua" w:cs="Book Antiqua" w:hint="eastAsia"/>
          <w:color w:val="000000"/>
          <w:lang w:eastAsia="zh-CN"/>
        </w:rPr>
        <w:t xml:space="preserve"> SD</w:t>
      </w:r>
      <w:r>
        <w:rPr>
          <w:rFonts w:ascii="Book Antiqua" w:eastAsia="Book Antiqua" w:hAnsi="Book Antiqua" w:cs="Book Antiqua"/>
          <w:color w:val="000000"/>
        </w:rPr>
        <w:t xml:space="preserve">. Categorical variables were compared by the Fisher’s exact test. Continuous variables were compared by the Student’s </w:t>
      </w:r>
      <w:r>
        <w:rPr>
          <w:rFonts w:ascii="Book Antiqua" w:eastAsia="Book Antiqua" w:hAnsi="Book Antiqua" w:cs="Book Antiqua"/>
          <w:i/>
          <w:iCs/>
          <w:color w:val="000000"/>
        </w:rPr>
        <w:t>t</w:t>
      </w:r>
      <w:r>
        <w:rPr>
          <w:rFonts w:ascii="Book Antiqua" w:eastAsia="Book Antiqua" w:hAnsi="Book Antiqua" w:cs="Book Antiqua"/>
          <w:color w:val="000000"/>
        </w:rPr>
        <w:t>-test or the Mann-Whitney U test. Survival was evaluated using the Kaplan-Meier method, with differences in survival curve compared by log-rank tests. The incidence rates of HCC recurrence/occurrence were reported as person-years. All statistical analyses were performed using SPSS software, version 19.0 (IBM Corp., Armonk, NY, U</w:t>
      </w:r>
      <w:r>
        <w:rPr>
          <w:rFonts w:ascii="Book Antiqua" w:eastAsia="宋体" w:hAnsi="Book Antiqua" w:cs="Book Antiqua" w:hint="eastAsia"/>
          <w:color w:val="000000"/>
          <w:lang w:eastAsia="zh-CN"/>
        </w:rPr>
        <w:t>nited States</w:t>
      </w:r>
      <w:r>
        <w:rPr>
          <w:rFonts w:ascii="Book Antiqua" w:eastAsia="Book Antiqua" w:hAnsi="Book Antiqua" w:cs="Book Antiqua"/>
          <w:color w:val="000000"/>
        </w:rPr>
        <w:t xml:space="preserve">), with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considered statistically significant.</w:t>
      </w:r>
    </w:p>
    <w:p w14:paraId="0D78B770" w14:textId="77777777" w:rsidR="003D3BEE" w:rsidRDefault="003D3BEE">
      <w:pPr>
        <w:spacing w:line="360" w:lineRule="auto"/>
        <w:jc w:val="both"/>
        <w:rPr>
          <w:rFonts w:ascii="Book Antiqua" w:hAnsi="Book Antiqua"/>
        </w:rPr>
      </w:pPr>
    </w:p>
    <w:p w14:paraId="6B21E8C6"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EEBF0C3"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Patients and recurrence/occurrence of HCC</w:t>
      </w:r>
    </w:p>
    <w:p w14:paraId="0C8033FF"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A total of 311 patients, 143 (46.0%) men and 168 (54.0%) women, were included in this study (Table 1). Of these 311 patients, 87 (28.0%) had cirrhosis, 229 (73.6%) were infected with HCV genotype 1b, and 53 (17.0%) had a previous history of HCC. Their mean Fib-4 index was 3.87 ± 3.24 and their mean AFP concentration was 12.0 ± 35.2 ng/mL. The 53 patients with a history of HCC were significantly older (75.6 y</w:t>
      </w:r>
      <w:r>
        <w:rPr>
          <w:rFonts w:ascii="Book Antiqua" w:eastAsia="宋体" w:hAnsi="Book Antiqua" w:cs="Book Antiqua" w:hint="eastAsia"/>
          <w:color w:val="000000"/>
          <w:lang w:eastAsia="zh-CN"/>
        </w:rPr>
        <w:t>ea</w:t>
      </w:r>
      <w:r>
        <w:rPr>
          <w:rFonts w:ascii="Book Antiqua" w:eastAsia="Book Antiqua" w:hAnsi="Book Antiqua" w:cs="Book Antiqua"/>
          <w:color w:val="000000"/>
        </w:rPr>
        <w:t>rs</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66.5 y</w:t>
      </w:r>
      <w:r>
        <w:rPr>
          <w:rFonts w:ascii="Book Antiqua" w:eastAsia="宋体" w:hAnsi="Book Antiqua" w:cs="Book Antiqua" w:hint="eastAsia"/>
          <w:color w:val="000000"/>
          <w:lang w:eastAsia="zh-CN"/>
        </w:rPr>
        <w:t>ea</w:t>
      </w:r>
      <w:r>
        <w:rPr>
          <w:rFonts w:ascii="Book Antiqua" w:eastAsia="Book Antiqua" w:hAnsi="Book Antiqua" w:cs="Book Antiqua"/>
          <w:color w:val="000000"/>
        </w:rPr>
        <w:t>rs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than the 258 patients with no history of HCC. The rates of diabetes, a risk factor for HCC after DAA treatment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(35.8% </w:t>
      </w:r>
      <w:r>
        <w:rPr>
          <w:rFonts w:ascii="Book Antiqua" w:eastAsia="Book Antiqua" w:hAnsi="Book Antiqua" w:cs="Book Antiqua"/>
          <w:i/>
          <w:iCs/>
          <w:color w:val="000000"/>
        </w:rPr>
        <w:t>vs</w:t>
      </w:r>
      <w:r>
        <w:rPr>
          <w:rFonts w:ascii="Book Antiqua" w:eastAsia="Book Antiqua" w:hAnsi="Book Antiqua" w:cs="Book Antiqua"/>
          <w:color w:val="000000"/>
        </w:rPr>
        <w:t xml:space="preserve"> 3.1%;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and liver cirrhosis (34.0% </w:t>
      </w:r>
      <w:r>
        <w:rPr>
          <w:rFonts w:ascii="Book Antiqua" w:eastAsia="Book Antiqua" w:hAnsi="Book Antiqua" w:cs="Book Antiqua"/>
          <w:i/>
          <w:iCs/>
          <w:color w:val="000000"/>
        </w:rPr>
        <w:t>vs</w:t>
      </w:r>
      <w:r>
        <w:rPr>
          <w:rFonts w:ascii="Book Antiqua" w:eastAsia="Book Antiqua" w:hAnsi="Book Antiqua" w:cs="Book Antiqua"/>
          <w:color w:val="000000"/>
        </w:rPr>
        <w:t xml:space="preserve"> 20.2%;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were significantly higher, whereas the rates of HCV genotype 2 (13.2% </w:t>
      </w:r>
      <w:r>
        <w:rPr>
          <w:rFonts w:ascii="Book Antiqua" w:eastAsia="Book Antiqua" w:hAnsi="Book Antiqua" w:cs="Book Antiqua"/>
          <w:i/>
          <w:iCs/>
          <w:color w:val="000000"/>
        </w:rPr>
        <w:t>vs</w:t>
      </w:r>
      <w:r>
        <w:rPr>
          <w:rFonts w:ascii="Book Antiqua" w:eastAsia="Book Antiqua" w:hAnsi="Book Antiqua" w:cs="Book Antiqua"/>
          <w:color w:val="000000"/>
        </w:rPr>
        <w:t xml:space="preserve"> 25.6%;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were significantly lower, in patients with than without a history of HCC. In addition, serum albumin concentrations (3.5 g/dL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 g/dL; </w:t>
      </w:r>
      <w:r>
        <w:rPr>
          <w:rFonts w:ascii="Book Antiqua" w:eastAsia="宋体" w:hAnsi="Book Antiqua" w:cs="Book Antiqua" w:hint="eastAsia"/>
          <w:i/>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and platelet counts (12.9</w:t>
      </w:r>
      <w:r>
        <w:rPr>
          <w:rFonts w:ascii="Book Antiqua" w:eastAsia="宋体" w:hAnsi="Book Antiqua" w:cs="Book Antiqua" w:hint="eastAsia"/>
          <w:color w:val="000000"/>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/mL </w:t>
      </w:r>
      <w:r>
        <w:rPr>
          <w:rFonts w:ascii="Book Antiqua" w:eastAsia="Book Antiqua" w:hAnsi="Book Antiqua" w:cs="Book Antiqua"/>
          <w:i/>
          <w:iCs/>
          <w:color w:val="000000"/>
        </w:rPr>
        <w:t>vs</w:t>
      </w:r>
      <w:r>
        <w:rPr>
          <w:rFonts w:ascii="Book Antiqua" w:eastAsia="Book Antiqua" w:hAnsi="Book Antiqua" w:cs="Book Antiqua"/>
          <w:color w:val="000000"/>
        </w:rPr>
        <w:t xml:space="preserve"> 16.7</w:t>
      </w:r>
      <w:r>
        <w:rPr>
          <w:rFonts w:ascii="Book Antiqua" w:eastAsia="宋体" w:hAnsi="Book Antiqua" w:cs="Book Antiqua" w:hint="eastAsia"/>
          <w:color w:val="000000"/>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/mL;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were significantly lower, whereas Fib-4 index (6.27 </w:t>
      </w:r>
      <w:r>
        <w:rPr>
          <w:rFonts w:ascii="Book Antiqua" w:eastAsia="Book Antiqua" w:hAnsi="Book Antiqua" w:cs="Book Antiqua"/>
          <w:i/>
          <w:iCs/>
          <w:color w:val="000000"/>
        </w:rPr>
        <w:t>vs</w:t>
      </w:r>
      <w:r>
        <w:rPr>
          <w:rFonts w:ascii="Book Antiqua" w:eastAsia="Book Antiqua" w:hAnsi="Book Antiqua" w:cs="Book Antiqua"/>
          <w:color w:val="000000"/>
        </w:rPr>
        <w:t xml:space="preserve"> 3.37;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and AFP concentrations (23.7 ng/mL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9.4 ng/mL;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0.047) were significantly higher in patients who had a previous history of HCC. Of the 311 patients, 56 (21.9%) had a history of habitual alcohol use, but these rates did not differ significantly in patients with and without a history of HCC. Thus patients with a history of HCC were older and had more advanced liver fibrosis progression and diabetes than patients without a history of HCC.</w:t>
      </w:r>
    </w:p>
    <w:p w14:paraId="2D57783B" w14:textId="77777777" w:rsidR="003D3BEE" w:rsidRDefault="003D3BEE">
      <w:pPr>
        <w:spacing w:line="360" w:lineRule="auto"/>
        <w:jc w:val="both"/>
        <w:rPr>
          <w:rFonts w:ascii="Book Antiqua" w:hAnsi="Book Antiqua"/>
        </w:rPr>
      </w:pPr>
    </w:p>
    <w:p w14:paraId="0FAC4AED"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 xml:space="preserve">Treatment with </w:t>
      </w:r>
      <w:r>
        <w:rPr>
          <w:rFonts w:ascii="Book Antiqua" w:eastAsia="宋体" w:hAnsi="Book Antiqua" w:cs="Book Antiqua" w:hint="eastAsia"/>
          <w:b/>
          <w:bCs/>
          <w:i/>
          <w:iCs/>
          <w:color w:val="000000"/>
          <w:lang w:eastAsia="zh-CN"/>
        </w:rPr>
        <w:t>DAA</w:t>
      </w:r>
      <w:r>
        <w:rPr>
          <w:rFonts w:ascii="Book Antiqua" w:eastAsia="Book Antiqua" w:hAnsi="Book Antiqua" w:cs="Book Antiqua"/>
          <w:b/>
          <w:bCs/>
          <w:i/>
          <w:iCs/>
          <w:color w:val="000000"/>
        </w:rPr>
        <w:t xml:space="preserve"> </w:t>
      </w:r>
    </w:p>
    <w:p w14:paraId="5FC31141"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Patients infected with HCV genotype 1b were administered DCV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ASV, SOF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LDV, GLE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PIB, or other regimens in accordance with contemporary guidelines. Similarly patients infected with HCV genotypes 2a/2b were administered SOF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Rib, SOF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LDV, GLE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PIB, or other regimens; and patients with other genotypes such as genotypes 3a/3b/4s were administered GLE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PIB. SVR was achieved by 52 (98.1%) of the 53 patients with and by 250 (96.9%) of the 258 patients without a history of HCC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1.00). Several patients who did not initially achieve SVR were switched to another DAA </w:t>
      </w:r>
      <w:r>
        <w:rPr>
          <w:rFonts w:ascii="Book Antiqua" w:eastAsia="Book Antiqua" w:hAnsi="Book Antiqua" w:cs="Book Antiqua"/>
          <w:color w:val="000000"/>
        </w:rPr>
        <w:lastRenderedPageBreak/>
        <w:t>regimen, with SVR achieved in all treated patients. Post-DAA treatment AFP levels were higher in patients with, than without, a history of HCC history, both at end of treatment and SVR, but these concentrations were lower than those before DAA therapy (Table 2).</w:t>
      </w:r>
    </w:p>
    <w:p w14:paraId="5979DC6E" w14:textId="77777777" w:rsidR="003D3BEE" w:rsidRDefault="003D3BEE">
      <w:pPr>
        <w:spacing w:line="360" w:lineRule="auto"/>
        <w:jc w:val="both"/>
        <w:rPr>
          <w:rFonts w:ascii="Book Antiqua" w:hAnsi="Book Antiqua"/>
        </w:rPr>
      </w:pPr>
    </w:p>
    <w:p w14:paraId="330A3E6E"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HCC after DAA-therapy</w:t>
      </w:r>
    </w:p>
    <w:p w14:paraId="2B09CCF7"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 xml:space="preserve">Following DAA therapy, HCC </w:t>
      </w:r>
      <w:r>
        <w:rPr>
          <w:rFonts w:ascii="Book Antiqua" w:eastAsia="Book Antiqua" w:hAnsi="Book Antiqua" w:cs="Book Antiqua"/>
          <w:color w:val="000000"/>
          <w:shd w:val="clear" w:color="auto" w:fill="FFFFFF"/>
        </w:rPr>
        <w:t xml:space="preserve">recurrence/occurrence </w:t>
      </w:r>
      <w:r>
        <w:rPr>
          <w:rFonts w:ascii="Book Antiqua" w:eastAsia="Book Antiqua" w:hAnsi="Book Antiqua" w:cs="Book Antiqua"/>
          <w:color w:val="000000"/>
        </w:rPr>
        <w:t xml:space="preserve">was found in 29 patients (53.7%) with and 5 (1.9%) without a history of HCC, with 3-year incidence rates of 50.9% (27/53) and 1.2% (3/258), respectively. Median </w:t>
      </w:r>
      <w:r>
        <w:rPr>
          <w:rFonts w:ascii="Book Antiqua" w:eastAsia="Book Antiqua" w:hAnsi="Book Antiqua" w:cs="Book Antiqua"/>
          <w:color w:val="000000"/>
          <w:shd w:val="clear" w:color="auto" w:fill="FFFFFF"/>
        </w:rPr>
        <w:t>recurrence</w:t>
      </w:r>
      <w:r>
        <w:rPr>
          <w:rFonts w:ascii="Book Antiqua" w:eastAsia="Book Antiqua" w:hAnsi="Book Antiqua" w:cs="Book Antiqua"/>
          <w:color w:val="000000"/>
        </w:rPr>
        <w:t>-free survival (RFS) in patients with a history of HCC was 1092 d, whereas none of those without a history of HCC died during the 6-year study period (</w:t>
      </w:r>
      <w:r>
        <w:rPr>
          <w:rFonts w:ascii="Book Antiqua" w:eastAsia="宋体" w:hAnsi="Book Antiqua" w:cs="Book Antiqua" w:hint="eastAsia"/>
          <w:i/>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Figure 1</w:t>
      </w:r>
      <w:r>
        <w:rPr>
          <w:rFonts w:ascii="Book Antiqua" w:eastAsia="宋体" w:hAnsi="Book Antiqua" w:cs="Book Antiqua"/>
          <w:color w:val="000000"/>
          <w:lang w:eastAsia="zh-CN"/>
        </w:rPr>
        <w:t>A</w:t>
      </w:r>
      <w:r>
        <w:rPr>
          <w:rFonts w:ascii="Book Antiqua" w:eastAsia="Book Antiqua" w:hAnsi="Book Antiqua" w:cs="Book Antiqua"/>
          <w:color w:val="000000"/>
        </w:rPr>
        <w:t xml:space="preserve">). </w:t>
      </w:r>
    </w:p>
    <w:p w14:paraId="3208F2C1" w14:textId="77777777" w:rsidR="003D3BEE" w:rsidRDefault="003D3BEE">
      <w:pPr>
        <w:spacing w:line="360" w:lineRule="auto"/>
        <w:jc w:val="both"/>
        <w:rPr>
          <w:rFonts w:ascii="Book Antiqua" w:hAnsi="Book Antiqua"/>
        </w:rPr>
      </w:pPr>
    </w:p>
    <w:p w14:paraId="1C55937B"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HCC before and after DAA treatment</w:t>
      </w:r>
    </w:p>
    <w:p w14:paraId="1A07A675"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 xml:space="preserve">HCC recurrence and other parameters before and after DAA therapy were compared in patients with a history of HCC. Median RFS did not differ significantly in patients with HCC recurrence before and after DAA therapy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1293 d </w:t>
      </w:r>
      <w:r>
        <w:rPr>
          <w:rFonts w:ascii="Book Antiqua" w:eastAsia="宋体" w:hAnsi="Book Antiqua" w:cs="Book Antiqua" w:hint="eastAsia"/>
          <w:color w:val="000000"/>
          <w:lang w:eastAsia="zh-CN"/>
        </w:rPr>
        <w:t>(</w:t>
      </w:r>
      <w:r>
        <w:rPr>
          <w:rFonts w:ascii="Book Antiqua" w:eastAsia="Book Antiqua" w:hAnsi="Book Antiqua" w:cs="Book Antiqua"/>
          <w:color w:val="000000"/>
        </w:rPr>
        <w:t>range 554-2032 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1053 d </w:t>
      </w:r>
      <w:r>
        <w:rPr>
          <w:rFonts w:ascii="Book Antiqua" w:eastAsia="宋体" w:hAnsi="Book Antiqua" w:cs="Book Antiqua" w:hint="eastAsia"/>
          <w:color w:val="000000"/>
          <w:lang w:eastAsia="zh-CN"/>
        </w:rPr>
        <w:t>(</w:t>
      </w:r>
      <w:r>
        <w:rPr>
          <w:rFonts w:ascii="Book Antiqua" w:eastAsia="Book Antiqua" w:hAnsi="Book Antiqua" w:cs="Book Antiqua"/>
          <w:color w:val="000000"/>
        </w:rPr>
        <w:t>range 741-1443 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0.884) (Figure 2A</w:t>
      </w:r>
      <w:r>
        <w:rPr>
          <w:rFonts w:ascii="Book Antiqua" w:eastAsia="宋体" w:hAnsi="Book Antiqua" w:cs="Book Antiqua"/>
          <w:color w:val="000000"/>
          <w:lang w:eastAsia="zh-CN"/>
        </w:rPr>
        <w:t>)</w:t>
      </w:r>
      <w:r>
        <w:rPr>
          <w:rFonts w:ascii="Book Antiqua" w:eastAsia="Book Antiqua" w:hAnsi="Book Antiqua" w:cs="Book Antiqua"/>
          <w:color w:val="000000"/>
        </w:rPr>
        <w:t>, with incidence rates of HCC recurrence of 1/1.25 and 1/2.99 person-years, respectively (Figure 2B). HCV clearance induced by DAA treatment did not increase HCC recurrence rate. Univariate analysis showed that AFP concentration at SVR and frequency of HCC recurrence before DAA treatment were risk factors for HCC recurrence after DAA treatment</w:t>
      </w:r>
      <w:r>
        <w:rPr>
          <w:rFonts w:ascii="Book Antiqua" w:eastAsia="Book Antiqua" w:hAnsi="Book Antiqua" w:cs="Book Antiqua"/>
          <w:color w:val="000000"/>
          <w:shd w:val="clear" w:color="auto" w:fill="FFFFFF"/>
        </w:rPr>
        <w:t>, whereas</w:t>
      </w:r>
      <w:r>
        <w:rPr>
          <w:rFonts w:ascii="Book Antiqua" w:eastAsia="Book Antiqua" w:hAnsi="Book Antiqua" w:cs="Book Antiqua"/>
          <w:color w:val="000000"/>
        </w:rPr>
        <w:t xml:space="preserve"> multivariate analysis showed that only the frequency of HCC recurrence before DAA treatment was an independent predictor of HCC recurrence after DAA treatment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3). Only a history of HCC before DAA treatment contributed to the risk of HCC recurrence after DAA treatment, whereas HCV clearance by DAA alone did not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1-year rates of HCC recurrence after DAA treatment in patients with 1, 2, and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HCC events before DAA treatment were 28%, 40% and 38.5%, respectively (Figure </w:t>
      </w:r>
      <w:r>
        <w:rPr>
          <w:rFonts w:ascii="Book Antiqua" w:eastAsia="宋体" w:hAnsi="Book Antiqua" w:cs="Book Antiqua"/>
          <w:color w:val="000000"/>
          <w:lang w:eastAsia="zh-CN"/>
        </w:rPr>
        <w:t>1B</w:t>
      </w:r>
      <w:r>
        <w:rPr>
          <w:rFonts w:ascii="Book Antiqua" w:eastAsia="Book Antiqua" w:hAnsi="Book Antiqua" w:cs="Book Antiqua"/>
          <w:color w:val="000000"/>
        </w:rPr>
        <w:t xml:space="preserve">). </w:t>
      </w:r>
    </w:p>
    <w:p w14:paraId="3289A900" w14:textId="77777777" w:rsidR="003D3BEE" w:rsidRDefault="003D3BEE">
      <w:pPr>
        <w:spacing w:line="360" w:lineRule="auto"/>
        <w:jc w:val="both"/>
        <w:rPr>
          <w:rFonts w:ascii="Book Antiqua" w:hAnsi="Book Antiqua"/>
        </w:rPr>
      </w:pPr>
    </w:p>
    <w:p w14:paraId="66253E50" w14:textId="77777777" w:rsidR="003D3BEE" w:rsidRDefault="00B212C7">
      <w:pPr>
        <w:spacing w:line="360" w:lineRule="auto"/>
        <w:jc w:val="both"/>
        <w:rPr>
          <w:rFonts w:ascii="Book Antiqua" w:hAnsi="Book Antiqua"/>
        </w:rPr>
      </w:pPr>
      <w:r>
        <w:rPr>
          <w:rFonts w:ascii="Book Antiqua" w:eastAsia="Book Antiqua" w:hAnsi="Book Antiqua" w:cs="Book Antiqua"/>
          <w:b/>
          <w:bCs/>
          <w:i/>
          <w:iCs/>
          <w:color w:val="000000"/>
        </w:rPr>
        <w:t>Clinical course after HCC recurrence</w:t>
      </w:r>
    </w:p>
    <w:p w14:paraId="3DD470AF"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lastRenderedPageBreak/>
        <w:t>All 29 patients with a history of HCC who experienced HCC recurrence after DAA therapy had been treated according to HCC treatment guidelines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Six and seventeen of these patients underwent surgical resection and RFA, respectively. Multiple recurrences were observed in 6 patients, including one with portal invasion. These 6 patients were subsequently treated with TACE, hepatic artery infusion chemotherapy, or sorafenib. Two died due to advanced HCC, with survival times following DAA therapy completion of 49.7 and 52.6 mo, respectively. </w:t>
      </w:r>
    </w:p>
    <w:p w14:paraId="19F3B973" w14:textId="77777777" w:rsidR="003D3BEE" w:rsidRDefault="003D3BEE">
      <w:pPr>
        <w:spacing w:line="360" w:lineRule="auto"/>
        <w:jc w:val="both"/>
        <w:rPr>
          <w:rFonts w:ascii="Book Antiqua" w:hAnsi="Book Antiqua"/>
        </w:rPr>
      </w:pPr>
    </w:p>
    <w:p w14:paraId="361E3C62"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0FF39A4"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This study found that DAA-induced eradication of HCV did not increase the risk of HCC recurrence, with multivariate analysis showing that a prior history of HCC was the only independent factor predicting the risk of HCC recurrence after DAA therapy. DAA treatment, however, did not worsen the clinical course of subsequent HCC events. Rather, liver reserve function was preserved following DAA treatment, allowing curative and continuous treatment of HCC. Although malignant transformation after DAA treatment has been reported</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this study found that DAA therapy itself was not the causal agent. </w:t>
      </w:r>
    </w:p>
    <w:p w14:paraId="1A5331B5" w14:textId="77777777" w:rsidR="003D3BEE" w:rsidRDefault="00B212C7">
      <w:pPr>
        <w:spacing w:line="360" w:lineRule="auto"/>
        <w:ind w:firstLineChars="112" w:firstLine="269"/>
        <w:jc w:val="both"/>
        <w:rPr>
          <w:rFonts w:ascii="Book Antiqua" w:hAnsi="Book Antiqua"/>
        </w:rPr>
      </w:pPr>
      <w:r>
        <w:rPr>
          <w:rFonts w:ascii="Book Antiqua" w:eastAsia="Book Antiqua" w:hAnsi="Book Antiqua" w:cs="Book Antiqua"/>
          <w:color w:val="000000"/>
        </w:rPr>
        <w:t>In this study, SVR rates in DAA-treated patients were similar in those with (98.1%) and without (96.9%), a previous history of HCC. Systematic reviews, however, have reported lower SVR rates in patients with a history of HCC</w:t>
      </w:r>
      <w:r>
        <w:rPr>
          <w:rFonts w:ascii="Book Antiqua" w:eastAsia="Book Antiqua" w:hAnsi="Book Antiqua" w:cs="Book Antiqua"/>
          <w:color w:val="000000"/>
          <w:vertAlign w:val="superscript"/>
        </w:rPr>
        <w:t>[21]</w:t>
      </w:r>
      <w:r>
        <w:rPr>
          <w:rFonts w:ascii="Book Antiqua" w:eastAsia="Book Antiqua" w:hAnsi="Book Antiqua" w:cs="Book Antiqua"/>
          <w:color w:val="000000"/>
        </w:rPr>
        <w:t>. This study found that treatment with DAAs was highly effective in eradicating HCV in patients with a history of HCC, despite their being older and more likely to have liver fibrosis and diabetes mellitus than patients without a history of HCC. DAAs are also effective in patients with advanced HCC</w:t>
      </w:r>
      <w:r>
        <w:rPr>
          <w:rFonts w:ascii="Book Antiqua" w:eastAsia="Book Antiqua" w:hAnsi="Book Antiqua" w:cs="Book Antiqua"/>
          <w:color w:val="000000"/>
          <w:vertAlign w:val="superscript"/>
        </w:rPr>
        <w:t>[22-24]</w:t>
      </w:r>
      <w:r>
        <w:rPr>
          <w:rFonts w:ascii="Book Antiqua" w:eastAsia="Book Antiqua" w:hAnsi="Book Antiqua" w:cs="Book Antiqua"/>
          <w:color w:val="000000"/>
        </w:rPr>
        <w:t>. HCV eradication by DAAs ameliorates liver inflammation and suppresses liver fibrosis progression, preserving or improving liver function. Since the introduction of DAAs as treatment for HCV, mortality rates in patients with HCV-associated HCC have improved compared with mortality rates in patients with HBV-related and nonviral HCC</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findings suggest that HCV eradication might prolong overall survival in patients with HCV-related HCC. </w:t>
      </w:r>
    </w:p>
    <w:p w14:paraId="04A69A2A" w14:textId="77777777" w:rsidR="003D3BEE" w:rsidRDefault="00B212C7">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lastRenderedPageBreak/>
        <w:t>Although HCV eradication by DAAs has been suggested to increase the subsequent risk of HCC, most studies have found that preexisting risk factors for HCC development were present at the time of DAA initiation. The progression of liver fibrosis and the presence of cirrhosis have been shown to be associated with HCC development</w:t>
      </w:r>
      <w:r>
        <w:rPr>
          <w:rFonts w:ascii="Book Antiqua" w:eastAsia="Book Antiqua" w:hAnsi="Book Antiqua" w:cs="Book Antiqua"/>
          <w:color w:val="000000"/>
          <w:vertAlign w:val="superscript"/>
        </w:rPr>
        <w:t>[6-8]</w:t>
      </w:r>
      <w:r>
        <w:rPr>
          <w:rFonts w:ascii="Book Antiqua" w:eastAsia="Book Antiqua" w:hAnsi="Book Antiqua" w:cs="Book Antiqua"/>
          <w:color w:val="000000"/>
        </w:rPr>
        <w:t>. Chronic HCV infection leads to the progression of liver fibrosis, the factor that contributes most to HCC development through various epigenetic changes and the creation of a microenvironment favorable to carcinogenesis</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risk of HCC recurrence/occurrence after DAA treatment was shown to be higher in patients with than without advanced liver fibrosis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suggesting that earlier achievement of SVR before the development of fibrosis may reduce the likelihood of HCC recurrence/occurrence. </w:t>
      </w:r>
    </w:p>
    <w:p w14:paraId="0674F396" w14:textId="77777777" w:rsidR="003D3BEE" w:rsidRDefault="00B212C7">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Serum AFP concentration has also been found to predict HCC development</w:t>
      </w:r>
      <w:r>
        <w:rPr>
          <w:rFonts w:ascii="Book Antiqua" w:eastAsia="Book Antiqua" w:hAnsi="Book Antiqua" w:cs="Book Antiqua"/>
          <w:color w:val="000000"/>
          <w:vertAlign w:val="superscript"/>
        </w:rPr>
        <w:t>[10,13]</w:t>
      </w:r>
      <w:r>
        <w:rPr>
          <w:rFonts w:ascii="Book Antiqua" w:eastAsia="Book Antiqua" w:hAnsi="Book Antiqua" w:cs="Book Antiqua"/>
          <w:color w:val="000000"/>
        </w:rPr>
        <w:t>. Higher AFP concentration is a major biomarker for HCC occurrence after SVR</w:t>
      </w:r>
      <w:r>
        <w:rPr>
          <w:rFonts w:ascii="Book Antiqua" w:eastAsia="Book Antiqua" w:hAnsi="Book Antiqua" w:cs="Book Antiqua"/>
          <w:color w:val="000000"/>
          <w:vertAlign w:val="superscript"/>
        </w:rPr>
        <w:t>[28,29]</w:t>
      </w:r>
      <w:r>
        <w:rPr>
          <w:rFonts w:ascii="Book Antiqua" w:eastAsia="Book Antiqua" w:hAnsi="Book Antiqua" w:cs="Book Antiqua"/>
          <w:color w:val="000000"/>
        </w:rPr>
        <w:t>, as well as being associated with liver inflammation, making AFP concentration at the end of treatment very important</w:t>
      </w:r>
      <w:r>
        <w:rPr>
          <w:rFonts w:ascii="Book Antiqua" w:eastAsia="Book Antiqua" w:hAnsi="Book Antiqua" w:cs="Book Antiqua"/>
          <w:color w:val="000000"/>
          <w:vertAlign w:val="superscript"/>
        </w:rPr>
        <w:t>[30]</w:t>
      </w:r>
      <w:r>
        <w:rPr>
          <w:rFonts w:ascii="Book Antiqua" w:eastAsia="Book Antiqua" w:hAnsi="Book Antiqua" w:cs="Book Antiqua"/>
          <w:color w:val="000000"/>
        </w:rPr>
        <w:t>. AFP concentrations before and after DAA treatment should therefore be measured to estimate the risk of HCC recurrence/occurrence. Another factor associated with HCC development is the presence of preexisting hepatic nodules</w:t>
      </w:r>
      <w:r>
        <w:rPr>
          <w:rFonts w:ascii="Book Antiqua" w:eastAsia="Book Antiqua" w:hAnsi="Book Antiqua" w:cs="Book Antiqua"/>
          <w:color w:val="000000"/>
          <w:vertAlign w:val="superscript"/>
        </w:rPr>
        <w:t>[14]</w:t>
      </w:r>
      <w:r>
        <w:rPr>
          <w:rFonts w:ascii="Book Antiqua" w:eastAsia="Book Antiqua" w:hAnsi="Book Antiqua" w:cs="Book Antiqua"/>
          <w:color w:val="000000"/>
        </w:rPr>
        <w:t>. Although all patients in the present study who were treated with DAAs were evaluated by imaging modalities, some did not undergo enhanced CT or MRI. Thus, the exact proportion of patients with dysplastic nodules was unclear. For example, a patient found to have a 1.5 cm dysplastic nodule in the liver on ethoxybenzyl-diethylenetriamine pentaacetic acid enhanced (EOB)-MRI developed HCC from the dysplastic nodule 3-years after DAA completion, akin to hypervascular transformation of 9 mm hypovascular nodules with a 3-year incidence rate of 30%</w:t>
      </w:r>
      <w:r>
        <w:rPr>
          <w:rFonts w:ascii="Book Antiqua" w:eastAsia="Book Antiqua" w:hAnsi="Book Antiqua" w:cs="Book Antiqua"/>
          <w:color w:val="000000"/>
          <w:vertAlign w:val="superscript"/>
        </w:rPr>
        <w:t>[31]</w:t>
      </w:r>
      <w:r>
        <w:rPr>
          <w:rFonts w:ascii="Book Antiqua" w:eastAsia="Book Antiqua" w:hAnsi="Book Antiqua" w:cs="Book Antiqua"/>
          <w:color w:val="000000"/>
        </w:rPr>
        <w:t>. Certain types of DAAs, such as SOF and DCV, were found to have greater oncogenic potential through off-target DAA effects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the present study, HCC recurrence/occurrence was not frequent in patients treated with SOF or DCV (data not shown). </w:t>
      </w:r>
    </w:p>
    <w:p w14:paraId="4FB1690E" w14:textId="77777777" w:rsidR="003D3BEE" w:rsidRDefault="00B212C7">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Collectively, DAA treatment was effective in patients with a history of HCC, as shown by their high SVR rates. DAAs eliminated hepatic inflammation and suppressed the progression of hepatic fibrosis, leading to preserved liver function. Improvement or </w:t>
      </w:r>
      <w:r>
        <w:rPr>
          <w:rFonts w:ascii="Book Antiqua" w:eastAsia="Book Antiqua" w:hAnsi="Book Antiqua" w:cs="Book Antiqua"/>
          <w:color w:val="000000"/>
        </w:rPr>
        <w:lastRenderedPageBreak/>
        <w:t xml:space="preserve">preservation of liver function provides benefits in the management of HCC. Further prospective studies are required to evaluate the risk of DAA-associated transformation of precancerous lesions to HCC and the effects of specific DAAs on the risks of HCC recurrence/occurrence. </w:t>
      </w:r>
    </w:p>
    <w:p w14:paraId="64181454" w14:textId="77777777" w:rsidR="003D3BEE" w:rsidRDefault="00B212C7">
      <w:pPr>
        <w:spacing w:line="360" w:lineRule="auto"/>
        <w:ind w:firstLineChars="112" w:firstLine="269"/>
        <w:jc w:val="both"/>
        <w:rPr>
          <w:rFonts w:ascii="Book Antiqua" w:hAnsi="Book Antiqua"/>
        </w:rPr>
      </w:pPr>
      <w:r>
        <w:rPr>
          <w:rFonts w:ascii="Book Antiqua" w:eastAsia="Book Antiqua" w:hAnsi="Book Antiqua" w:cs="Book Antiqua"/>
          <w:color w:val="000000"/>
        </w:rPr>
        <w:t>Multivariate analysis of patients in the present study also found that liver fibrosis, diabetes mellitus, and serum AFP concentration before DAA treatment were unassociated with HCC recurrence/occurrence after DAA treatment. Rather, the only factor significantly associated with HCC recurrence/occurrence after DAA treatment was history of prior HCC events. DAA treatment has been reported effective in patients with multiple prior courses of HCC recurrence</w:t>
      </w:r>
      <w:r>
        <w:rPr>
          <w:rFonts w:ascii="Book Antiqua" w:eastAsia="Book Antiqua" w:hAnsi="Book Antiqua" w:cs="Book Antiqua"/>
          <w:color w:val="000000"/>
          <w:vertAlign w:val="superscript"/>
        </w:rPr>
        <w:t>[33]</w:t>
      </w:r>
      <w:r>
        <w:rPr>
          <w:rFonts w:ascii="Book Antiqua" w:eastAsia="Book Antiqua" w:hAnsi="Book Antiqua" w:cs="Book Antiqua"/>
          <w:color w:val="000000"/>
        </w:rPr>
        <w:t>, suggesting the need for careful screening for HCC before DAA treatment of patients with a history of HCC, as well as diligent follow-up of these patients after DAA therapy. Estimating the risk of HCC after DAA treatment is important, with the degree of liver fibrosis predicting the risk HCC recurrence</w:t>
      </w:r>
      <w:r>
        <w:rPr>
          <w:rFonts w:ascii="Book Antiqua" w:eastAsia="Book Antiqua" w:hAnsi="Book Antiqua" w:cs="Book Antiqua"/>
          <w:color w:val="000000"/>
          <w:vertAlign w:val="superscript"/>
        </w:rPr>
        <w:t>[34,35]</w:t>
      </w:r>
      <w:r>
        <w:rPr>
          <w:rFonts w:ascii="Book Antiqua" w:eastAsia="Book Antiqua" w:hAnsi="Book Antiqua" w:cs="Book Antiqua"/>
          <w:color w:val="000000"/>
        </w:rPr>
        <w:t>. A previous history of HCC and stratification by the Fib-4 index can be used to construct a novel predictive model for HCC development after DAA treatment</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need for careful screening and follow-up in patients with a history of HCC increases with the number of times patients have experienced HCC recurrence.</w:t>
      </w:r>
    </w:p>
    <w:p w14:paraId="0AD0B6FB" w14:textId="77777777" w:rsidR="003D3BEE" w:rsidRDefault="00B212C7">
      <w:pPr>
        <w:spacing w:line="360" w:lineRule="auto"/>
        <w:ind w:firstLineChars="112" w:firstLine="269"/>
        <w:jc w:val="both"/>
        <w:rPr>
          <w:rFonts w:ascii="Book Antiqua" w:hAnsi="Book Antiqua"/>
        </w:rPr>
      </w:pPr>
      <w:r>
        <w:rPr>
          <w:rFonts w:ascii="Book Antiqua" w:eastAsia="Book Antiqua" w:hAnsi="Book Antiqua" w:cs="Book Antiqua"/>
          <w:color w:val="000000"/>
        </w:rPr>
        <w:t>This study had several limitations. First, its retrospective design precluded accurate determination of the effects of DAA treatment on the risks of HCC recurrence/occurrence. Second, the number of patients included in the present study, especially of those with a history of multiple HCC events, was relatively small. Third, not all patients underwent EOB-MRI, preventing actual determination of their HCC or non-HCC status. Although all underwent enhanced CT or US performed by experienced hepatologists rather than EOB-MRI, further studies are required to evaluate precancerous lesions and HCC more precisely. In addition, other risk factors for HCC, including tobacco use, obesity, and metabolic diseases, were not analyzed.</w:t>
      </w:r>
    </w:p>
    <w:p w14:paraId="04087435" w14:textId="77777777" w:rsidR="003D3BEE" w:rsidRDefault="003D3BEE">
      <w:pPr>
        <w:spacing w:line="360" w:lineRule="auto"/>
        <w:jc w:val="both"/>
        <w:rPr>
          <w:rFonts w:ascii="Book Antiqua" w:hAnsi="Book Antiqua"/>
        </w:rPr>
      </w:pPr>
    </w:p>
    <w:p w14:paraId="535ED17F"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97D079"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lastRenderedPageBreak/>
        <w:t>DAA treatment of HCV-infected patients can also preserve liver function in patients with HCC. Curative treatment of HCC is desirable before DAA therapy. A history of multiple courses of HCC events before DAA treatment significantly increases the risk of HCC recurrence. Careful HCC screening prior to DAA treatment and thorough follow-up observation after DAA treatment is recommended in such patients.</w:t>
      </w:r>
    </w:p>
    <w:p w14:paraId="16259BE9" w14:textId="77777777" w:rsidR="003D3BEE" w:rsidRDefault="003D3BEE">
      <w:pPr>
        <w:spacing w:line="360" w:lineRule="auto"/>
        <w:jc w:val="both"/>
        <w:rPr>
          <w:rFonts w:ascii="Book Antiqua" w:hAnsi="Book Antiqua"/>
        </w:rPr>
      </w:pPr>
    </w:p>
    <w:p w14:paraId="3BDAE720" w14:textId="77777777" w:rsidR="003D3BEE" w:rsidRDefault="00B212C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7E19A47"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background</w:t>
      </w:r>
    </w:p>
    <w:p w14:paraId="04E885F7"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Treatment with direct-acting antivirals (DAAs) has provided many benefits to hepatitis C virus (HCV)-infected patients. Hepatocellular carcinoma (HCC) development after treatment with DAAs remains a serious issue.</w:t>
      </w:r>
    </w:p>
    <w:p w14:paraId="676804FB" w14:textId="77777777" w:rsidR="003D3BEE" w:rsidRDefault="003D3BEE">
      <w:pPr>
        <w:spacing w:line="360" w:lineRule="auto"/>
        <w:jc w:val="both"/>
        <w:rPr>
          <w:rFonts w:ascii="Book Antiqua" w:hAnsi="Book Antiqua"/>
        </w:rPr>
      </w:pPr>
    </w:p>
    <w:p w14:paraId="1C94107D"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motivation</w:t>
      </w:r>
    </w:p>
    <w:p w14:paraId="7749562F"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The effect of DAA treatment on the risk of HCC development is an important clinical question.</w:t>
      </w:r>
    </w:p>
    <w:p w14:paraId="537C53EA" w14:textId="77777777" w:rsidR="003D3BEE" w:rsidRDefault="003D3BEE">
      <w:pPr>
        <w:spacing w:line="360" w:lineRule="auto"/>
        <w:jc w:val="both"/>
        <w:rPr>
          <w:rFonts w:ascii="Book Antiqua" w:hAnsi="Book Antiqua"/>
        </w:rPr>
      </w:pPr>
    </w:p>
    <w:p w14:paraId="63AC282C"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objectives</w:t>
      </w:r>
    </w:p>
    <w:p w14:paraId="5E8E1CF7"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To clarify the risk of HCC development after DAA treatment in patients HCV-infected patients at high risk for HCC development.</w:t>
      </w:r>
    </w:p>
    <w:p w14:paraId="0CFA08AC" w14:textId="77777777" w:rsidR="003D3BEE" w:rsidRDefault="003D3BEE">
      <w:pPr>
        <w:spacing w:line="360" w:lineRule="auto"/>
        <w:jc w:val="both"/>
        <w:rPr>
          <w:rFonts w:ascii="Book Antiqua" w:hAnsi="Book Antiqua"/>
        </w:rPr>
      </w:pPr>
    </w:p>
    <w:p w14:paraId="6F2B7943"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methods</w:t>
      </w:r>
    </w:p>
    <w:p w14:paraId="71D7E3D1"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HCC occurrence after DAA treatment was retrospectively evaluated in patients with and without a history of HCC.</w:t>
      </w:r>
    </w:p>
    <w:p w14:paraId="024BB919" w14:textId="77777777" w:rsidR="003D3BEE" w:rsidRDefault="003D3BEE">
      <w:pPr>
        <w:spacing w:line="360" w:lineRule="auto"/>
        <w:jc w:val="both"/>
        <w:rPr>
          <w:rFonts w:ascii="Book Antiqua" w:hAnsi="Book Antiqua"/>
        </w:rPr>
      </w:pPr>
    </w:p>
    <w:p w14:paraId="2E08A46A"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results</w:t>
      </w:r>
    </w:p>
    <w:p w14:paraId="1C98300F"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The frequency of HCC recurrence/occurrence was similar before and after treatment with DAAs. The number of HCC occurrences before DAA treatment was an independent risk factor for HCC recurrence/occurrence.</w:t>
      </w:r>
    </w:p>
    <w:p w14:paraId="157866C0" w14:textId="77777777" w:rsidR="003D3BEE" w:rsidRDefault="003D3BEE">
      <w:pPr>
        <w:spacing w:line="360" w:lineRule="auto"/>
        <w:jc w:val="both"/>
        <w:rPr>
          <w:rFonts w:ascii="Book Antiqua" w:hAnsi="Book Antiqua"/>
        </w:rPr>
      </w:pPr>
    </w:p>
    <w:p w14:paraId="470A892C"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7A3D4A60"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HCV-infected patients with a history of multiple HCCs should be monitored carefully for HCC recurrence.</w:t>
      </w:r>
    </w:p>
    <w:p w14:paraId="1C5B4C93" w14:textId="77777777" w:rsidR="003D3BEE" w:rsidRDefault="003D3BEE">
      <w:pPr>
        <w:spacing w:line="360" w:lineRule="auto"/>
        <w:jc w:val="both"/>
        <w:rPr>
          <w:rFonts w:ascii="Book Antiqua" w:hAnsi="Book Antiqua"/>
        </w:rPr>
      </w:pPr>
    </w:p>
    <w:p w14:paraId="75955514" w14:textId="77777777" w:rsidR="003D3BEE" w:rsidRDefault="00B212C7">
      <w:pPr>
        <w:spacing w:line="360" w:lineRule="auto"/>
        <w:jc w:val="both"/>
        <w:rPr>
          <w:rFonts w:ascii="Book Antiqua" w:hAnsi="Book Antiqua"/>
        </w:rPr>
      </w:pPr>
      <w:r>
        <w:rPr>
          <w:rFonts w:ascii="Book Antiqua" w:eastAsia="Book Antiqua" w:hAnsi="Book Antiqua" w:cs="Book Antiqua"/>
          <w:b/>
          <w:i/>
          <w:color w:val="000000"/>
        </w:rPr>
        <w:t>Research perspectives</w:t>
      </w:r>
    </w:p>
    <w:p w14:paraId="7CEDCA83" w14:textId="77777777" w:rsidR="003D3BEE" w:rsidRDefault="00B212C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 effective screening method should be established for patients at high risk of HCC recurrence/occurrence.</w:t>
      </w:r>
    </w:p>
    <w:p w14:paraId="497EF34F" w14:textId="77777777" w:rsidR="003D3BEE" w:rsidRDefault="003D3BEE">
      <w:pPr>
        <w:spacing w:line="360" w:lineRule="auto"/>
        <w:jc w:val="both"/>
        <w:rPr>
          <w:rFonts w:ascii="Book Antiqua" w:eastAsia="Book Antiqua" w:hAnsi="Book Antiqua" w:cs="Book Antiqua"/>
          <w:b/>
          <w:color w:val="000000"/>
        </w:rPr>
      </w:pPr>
    </w:p>
    <w:p w14:paraId="2648F0F2"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REFERENCES</w:t>
      </w:r>
    </w:p>
    <w:p w14:paraId="5750462F" w14:textId="77777777" w:rsidR="003D3BEE" w:rsidRDefault="00B212C7">
      <w:pPr>
        <w:spacing w:line="360" w:lineRule="auto"/>
        <w:jc w:val="both"/>
        <w:rPr>
          <w:rFonts w:ascii="Book Antiqua" w:hAnsi="Book Antiqua"/>
        </w:rPr>
      </w:pPr>
      <w:r>
        <w:rPr>
          <w:rFonts w:ascii="Book Antiqua" w:hAnsi="Book Antiqua"/>
        </w:rPr>
        <w:t xml:space="preserve">1 </w:t>
      </w:r>
      <w:r>
        <w:rPr>
          <w:rFonts w:ascii="Book Antiqua" w:hAnsi="Book Antiqua"/>
          <w:b/>
          <w:bCs/>
        </w:rPr>
        <w:t>Artinyan A</w:t>
      </w:r>
      <w:r>
        <w:rPr>
          <w:rFonts w:ascii="Book Antiqua" w:hAnsi="Book Antiqua"/>
        </w:rPr>
        <w:t xml:space="preserve">, Mailey B, Sanchez-Luege N, Khalili J, Sun CL, Bhatia S, Wagman LD, Nissen N, Colquhoun SD, Kim J. Race, ethnicity, and socioeconomic status influence the survival of patients with hepatocellular carcinoma in the United States. </w:t>
      </w:r>
      <w:r>
        <w:rPr>
          <w:rFonts w:ascii="Book Antiqua" w:hAnsi="Book Antiqua"/>
          <w:i/>
          <w:iCs/>
        </w:rPr>
        <w:t>Cancer</w:t>
      </w:r>
      <w:r>
        <w:rPr>
          <w:rFonts w:ascii="Book Antiqua" w:hAnsi="Book Antiqua"/>
        </w:rPr>
        <w:t xml:space="preserve"> 2010; </w:t>
      </w:r>
      <w:r>
        <w:rPr>
          <w:rFonts w:ascii="Book Antiqua" w:hAnsi="Book Antiqua"/>
          <w:b/>
          <w:bCs/>
        </w:rPr>
        <w:t>116</w:t>
      </w:r>
      <w:r>
        <w:rPr>
          <w:rFonts w:ascii="Book Antiqua" w:hAnsi="Book Antiqua"/>
        </w:rPr>
        <w:t>: 1367-1377 [PMID: 20101732 DOI: 10.1002/cncr.24817]</w:t>
      </w:r>
    </w:p>
    <w:p w14:paraId="3DA163D9" w14:textId="77777777" w:rsidR="003D3BEE" w:rsidRDefault="00B212C7">
      <w:pPr>
        <w:spacing w:line="360" w:lineRule="auto"/>
        <w:jc w:val="both"/>
        <w:rPr>
          <w:rFonts w:ascii="Book Antiqua" w:hAnsi="Book Antiqua"/>
        </w:rPr>
      </w:pPr>
      <w:r>
        <w:rPr>
          <w:rFonts w:ascii="Book Antiqua" w:hAnsi="Book Antiqua"/>
        </w:rPr>
        <w:t xml:space="preserve">2 </w:t>
      </w:r>
      <w:r>
        <w:rPr>
          <w:rFonts w:ascii="Book Antiqua" w:hAnsi="Book Antiqua"/>
          <w:b/>
          <w:bCs/>
        </w:rPr>
        <w:t>Tateishi R</w:t>
      </w:r>
      <w:r>
        <w:rPr>
          <w:rFonts w:ascii="Book Antiqua" w:hAnsi="Book Antiqua"/>
        </w:rPr>
        <w:t xml:space="preserve">, Uchino K, Fujiwara N, Takehara T, Okanoue T, Seike M, Yoshiji H, Yatsuhashi H, Shimizu M, Torimura T, Moriyama M, Sakaida I, Okada H, Chiba T, Chuma M, Nakao K, Isomoto H, Sasaki Y, Kaneko S, Masaki T, Chayama K, Koike K. A nationwide survey on non-B, non-C hepatocellular carcinoma in Japan: 2011-2015 update. </w:t>
      </w:r>
      <w:r>
        <w:rPr>
          <w:rFonts w:ascii="Book Antiqua" w:hAnsi="Book Antiqua"/>
          <w:i/>
          <w:iCs/>
        </w:rPr>
        <w:t>J Gastroenterol</w:t>
      </w:r>
      <w:r>
        <w:rPr>
          <w:rFonts w:ascii="Book Antiqua" w:hAnsi="Book Antiqua"/>
        </w:rPr>
        <w:t xml:space="preserve"> 2019; </w:t>
      </w:r>
      <w:r>
        <w:rPr>
          <w:rFonts w:ascii="Book Antiqua" w:hAnsi="Book Antiqua"/>
          <w:b/>
          <w:bCs/>
        </w:rPr>
        <w:t>54</w:t>
      </w:r>
      <w:r>
        <w:rPr>
          <w:rFonts w:ascii="Book Antiqua" w:hAnsi="Book Antiqua"/>
        </w:rPr>
        <w:t>: 367-376 [PMID: 30498904 DOI: 10.1007/s00535-018-1532-5]</w:t>
      </w:r>
    </w:p>
    <w:p w14:paraId="73804F73" w14:textId="77777777" w:rsidR="003D3BEE" w:rsidRDefault="00B212C7">
      <w:pPr>
        <w:spacing w:line="360" w:lineRule="auto"/>
        <w:jc w:val="both"/>
        <w:rPr>
          <w:rFonts w:ascii="Book Antiqua" w:hAnsi="Book Antiqua"/>
        </w:rPr>
      </w:pPr>
      <w:r>
        <w:rPr>
          <w:rFonts w:ascii="Book Antiqua" w:hAnsi="Book Antiqua"/>
        </w:rPr>
        <w:t xml:space="preserve">3 </w:t>
      </w:r>
      <w:r>
        <w:rPr>
          <w:rFonts w:ascii="Book Antiqua" w:hAnsi="Book Antiqua"/>
          <w:b/>
          <w:bCs/>
        </w:rPr>
        <w:t>Hasegawa K</w:t>
      </w:r>
      <w:r>
        <w:rPr>
          <w:rFonts w:ascii="Book Antiqua" w:hAnsi="Book Antiqua"/>
        </w:rPr>
        <w:t xml:space="preserve">, Makuuchi M, Takayama T, Kokudo N, Arii S, Okazaki M, Okita K, Omata M, Kudo M, Kojiro M, Nakanuma Y, Takayasu K, Monden M, Matsuyama Y, Ikai I. Surgical resection vs. percutaneous ablation for hepatocellular carcinoma: a preliminary report of the Japanese nationwide survey. </w:t>
      </w:r>
      <w:r>
        <w:rPr>
          <w:rFonts w:ascii="Book Antiqua" w:hAnsi="Book Antiqua"/>
          <w:i/>
          <w:iCs/>
        </w:rPr>
        <w:t>J Hepatol</w:t>
      </w:r>
      <w:r>
        <w:rPr>
          <w:rFonts w:ascii="Book Antiqua" w:hAnsi="Book Antiqua"/>
        </w:rPr>
        <w:t xml:space="preserve"> 2008; </w:t>
      </w:r>
      <w:r>
        <w:rPr>
          <w:rFonts w:ascii="Book Antiqua" w:hAnsi="Book Antiqua"/>
          <w:b/>
          <w:bCs/>
        </w:rPr>
        <w:t>49</w:t>
      </w:r>
      <w:r>
        <w:rPr>
          <w:rFonts w:ascii="Book Antiqua" w:hAnsi="Book Antiqua"/>
        </w:rPr>
        <w:t>: 589-594 [PMID: 18620773 DOI: 10.1016/j.jhep.2008.05.018]</w:t>
      </w:r>
    </w:p>
    <w:p w14:paraId="1C74E3E5" w14:textId="77777777" w:rsidR="003D3BEE" w:rsidRDefault="00B212C7">
      <w:pPr>
        <w:spacing w:line="360" w:lineRule="auto"/>
        <w:jc w:val="both"/>
        <w:rPr>
          <w:rFonts w:ascii="Book Antiqua" w:hAnsi="Book Antiqua"/>
        </w:rPr>
      </w:pPr>
      <w:r>
        <w:rPr>
          <w:rFonts w:ascii="Book Antiqua" w:hAnsi="Book Antiqua"/>
        </w:rPr>
        <w:t xml:space="preserve">4 </w:t>
      </w:r>
      <w:r>
        <w:rPr>
          <w:rFonts w:ascii="Book Antiqua" w:hAnsi="Book Antiqua"/>
          <w:b/>
          <w:bCs/>
        </w:rPr>
        <w:t>Ikeda K</w:t>
      </w:r>
      <w:r>
        <w:rPr>
          <w:rFonts w:ascii="Book Antiqua" w:hAnsi="Book Antiqua"/>
        </w:rPr>
        <w:t xml:space="preserve">, Saitoh S, Arase Y, Chayama K, Suzuki Y, Kobayashi M, Tsubota A, Nakamura I, Murashima N, Kumada H, Kawanishi M. Effect of interferon therapy on hepatocellular carcinogenesis in patients with chronic hepatitis type C: A long-term observation study of 1,643 patients using statistical bias correction with proportional hazard analysis. </w:t>
      </w:r>
      <w:r>
        <w:rPr>
          <w:rFonts w:ascii="Book Antiqua" w:hAnsi="Book Antiqua"/>
          <w:i/>
          <w:iCs/>
        </w:rPr>
        <w:t>Hepatology</w:t>
      </w:r>
      <w:r>
        <w:rPr>
          <w:rFonts w:ascii="Book Antiqua" w:hAnsi="Book Antiqua"/>
        </w:rPr>
        <w:t xml:space="preserve"> 1999; </w:t>
      </w:r>
      <w:r>
        <w:rPr>
          <w:rFonts w:ascii="Book Antiqua" w:hAnsi="Book Antiqua"/>
          <w:b/>
          <w:bCs/>
        </w:rPr>
        <w:t>29</w:t>
      </w:r>
      <w:r>
        <w:rPr>
          <w:rFonts w:ascii="Book Antiqua" w:hAnsi="Book Antiqua"/>
        </w:rPr>
        <w:t>: 1124-1130 [PMID: 10094956 DOI: 10.1002/hep.510290439]</w:t>
      </w:r>
    </w:p>
    <w:p w14:paraId="4B577812" w14:textId="77777777" w:rsidR="003D3BEE" w:rsidRDefault="00B212C7">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Reig M</w:t>
      </w:r>
      <w:r>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rPr>
        <w:t>: 719-726 [PMID: 27084592 DOI: 10.1016/j.jhep.2016.04.008]</w:t>
      </w:r>
    </w:p>
    <w:p w14:paraId="75A626FF" w14:textId="77777777" w:rsidR="003D3BEE" w:rsidRDefault="00B212C7">
      <w:pPr>
        <w:spacing w:line="360" w:lineRule="auto"/>
        <w:jc w:val="both"/>
        <w:rPr>
          <w:rFonts w:ascii="Book Antiqua" w:hAnsi="Book Antiqua"/>
        </w:rPr>
      </w:pPr>
      <w:r>
        <w:rPr>
          <w:rFonts w:ascii="Book Antiqua" w:hAnsi="Book Antiqua"/>
        </w:rPr>
        <w:t xml:space="preserve">6 </w:t>
      </w:r>
      <w:r>
        <w:rPr>
          <w:rFonts w:ascii="Book Antiqua" w:hAnsi="Book Antiqua"/>
          <w:b/>
          <w:bCs/>
        </w:rPr>
        <w:t>Kanwal F</w:t>
      </w:r>
      <w:r>
        <w:rPr>
          <w:rFonts w:ascii="Book Antiqua" w:hAnsi="Book Antiqua"/>
        </w:rPr>
        <w:t xml:space="preserve">, Kramer J, Asch SM, Chayanupatkul M, Cao Y, El-Serag HB. Risk of Hepatocellular Cancer in HCV Patients Treated With Direct-Acting Antiviral Agents.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996-1005.e1 [PMID: 28642197 DOI: 10.1053/j.gastro.2017.06.012]</w:t>
      </w:r>
    </w:p>
    <w:p w14:paraId="02330A63" w14:textId="77777777" w:rsidR="003D3BEE" w:rsidRDefault="00B212C7">
      <w:pPr>
        <w:spacing w:line="360" w:lineRule="auto"/>
        <w:jc w:val="both"/>
        <w:rPr>
          <w:rFonts w:ascii="Book Antiqua" w:hAnsi="Book Antiqua"/>
        </w:rPr>
      </w:pPr>
      <w:r>
        <w:rPr>
          <w:rFonts w:ascii="Book Antiqua" w:hAnsi="Book Antiqua"/>
        </w:rPr>
        <w:t xml:space="preserve">7 </w:t>
      </w:r>
      <w:r>
        <w:rPr>
          <w:rFonts w:ascii="Book Antiqua" w:hAnsi="Book Antiqua"/>
          <w:b/>
          <w:bCs/>
        </w:rPr>
        <w:t>Ioannou GN</w:t>
      </w:r>
      <w:r>
        <w:rPr>
          <w:rFonts w:ascii="Book Antiqua" w:hAnsi="Book Antiqua"/>
        </w:rPr>
        <w:t xml:space="preserve">, Beste LA, Green PK, Singal AG, Tapper EB, Waljee AK, Sterling RK, Feld JJ, Kaplan DE, Taddei TH, Berry K. Increased Risk for Hepatocellular Carcinoma Persists Up to 10 Years After HCV Eradication in Patients With Baseline Cirrhosis or High FIB-4 Scores.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1264-1278.e4 [PMID: 31356807 DOI: 10.1053/j.gastro.2019.07.033]</w:t>
      </w:r>
    </w:p>
    <w:p w14:paraId="7B223447" w14:textId="77777777" w:rsidR="003D3BEE" w:rsidRDefault="00B212C7">
      <w:pPr>
        <w:spacing w:line="360" w:lineRule="auto"/>
        <w:jc w:val="both"/>
        <w:rPr>
          <w:rFonts w:ascii="Book Antiqua" w:hAnsi="Book Antiqua"/>
        </w:rPr>
      </w:pPr>
      <w:r>
        <w:rPr>
          <w:rFonts w:ascii="Book Antiqua" w:hAnsi="Book Antiqua"/>
        </w:rPr>
        <w:t xml:space="preserve">8 </w:t>
      </w:r>
      <w:r>
        <w:rPr>
          <w:rFonts w:ascii="Book Antiqua" w:hAnsi="Book Antiqua"/>
          <w:b/>
          <w:bCs/>
        </w:rPr>
        <w:t>Singal AG</w:t>
      </w:r>
      <w:r>
        <w:rPr>
          <w:rFonts w:ascii="Book Antiqua" w:hAnsi="Book Antiqua"/>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1683-1692.e1 [PMID: 30660729 DOI: 10.1053/j.gastro.2019.01.027]</w:t>
      </w:r>
    </w:p>
    <w:p w14:paraId="6A3C9076" w14:textId="77777777" w:rsidR="003D3BEE" w:rsidRDefault="00B212C7">
      <w:pPr>
        <w:spacing w:line="360" w:lineRule="auto"/>
        <w:jc w:val="both"/>
        <w:rPr>
          <w:rFonts w:ascii="Book Antiqua" w:hAnsi="Book Antiqua"/>
        </w:rPr>
      </w:pPr>
      <w:r>
        <w:rPr>
          <w:rFonts w:ascii="Book Antiqua" w:hAnsi="Book Antiqua"/>
        </w:rPr>
        <w:t xml:space="preserve">9 </w:t>
      </w:r>
      <w:r>
        <w:rPr>
          <w:rFonts w:ascii="Book Antiqua" w:hAnsi="Book Antiqua"/>
          <w:b/>
          <w:bCs/>
        </w:rPr>
        <w:t>Fouad M</w:t>
      </w:r>
      <w:r>
        <w:rPr>
          <w:rFonts w:ascii="Book Antiqua" w:hAnsi="Book Antiqua"/>
        </w:rPr>
        <w:t xml:space="preserve">, El Kassas M, Ahmed E, El Sheemy R. Tumor characteristics of hepatocellular carcinoma after direct-acting antiviral treatment for hepatitis C: Comparative analysis with antiviral therapy-naive patients. </w:t>
      </w:r>
      <w:r>
        <w:rPr>
          <w:rFonts w:ascii="Book Antiqua" w:hAnsi="Book Antiqua"/>
          <w:i/>
          <w:iCs/>
        </w:rPr>
        <w:t>World J Hepatol</w:t>
      </w:r>
      <w:r>
        <w:rPr>
          <w:rFonts w:ascii="Book Antiqua" w:hAnsi="Book Antiqua"/>
        </w:rPr>
        <w:t xml:space="preserve"> 2021; </w:t>
      </w:r>
      <w:r>
        <w:rPr>
          <w:rFonts w:ascii="Book Antiqua" w:hAnsi="Book Antiqua"/>
          <w:b/>
          <w:bCs/>
        </w:rPr>
        <w:t>13</w:t>
      </w:r>
      <w:r>
        <w:rPr>
          <w:rFonts w:ascii="Book Antiqua" w:hAnsi="Book Antiqua"/>
        </w:rPr>
        <w:t>: 1743-1752 [PMID: 34904042 DOI: 10.4254/wjh.v13.i11.1743]</w:t>
      </w:r>
    </w:p>
    <w:p w14:paraId="307EFBC6" w14:textId="77777777" w:rsidR="003D3BEE" w:rsidRDefault="00B212C7">
      <w:pPr>
        <w:spacing w:line="360" w:lineRule="auto"/>
        <w:jc w:val="both"/>
        <w:rPr>
          <w:rFonts w:ascii="Book Antiqua" w:hAnsi="Book Antiqua"/>
        </w:rPr>
      </w:pPr>
      <w:r>
        <w:rPr>
          <w:rFonts w:ascii="Book Antiqua" w:hAnsi="Book Antiqua"/>
        </w:rPr>
        <w:t xml:space="preserve">10 </w:t>
      </w:r>
      <w:r>
        <w:rPr>
          <w:rFonts w:ascii="Book Antiqua" w:hAnsi="Book Antiqua"/>
          <w:b/>
          <w:bCs/>
        </w:rPr>
        <w:t>Ikeda K</w:t>
      </w:r>
      <w:r>
        <w:rPr>
          <w:rFonts w:ascii="Book Antiqua" w:hAnsi="Book Antiqua"/>
        </w:rPr>
        <w:t xml:space="preserve">, Kawamura Y, Kobayashi M, Kominami Y, Fujiyama S, Sezaki H, Hosaka T, Akuta N, Saitoh S, Suzuki F, Suzuki Y, Arase Y, Kumada H. Direct-Acting Antivirals </w:t>
      </w:r>
      <w:r>
        <w:rPr>
          <w:rFonts w:ascii="Book Antiqua" w:hAnsi="Book Antiqua"/>
        </w:rPr>
        <w:lastRenderedPageBreak/>
        <w:t xml:space="preserve">Decreased Tumor Recurrence After Initial Treatment of Hepatitis C Virus-Related Hepatocellular Carcinoma. </w:t>
      </w:r>
      <w:r>
        <w:rPr>
          <w:rFonts w:ascii="Book Antiqua" w:hAnsi="Book Antiqua"/>
          <w:i/>
          <w:iCs/>
        </w:rPr>
        <w:t>Dig Dis Sci</w:t>
      </w:r>
      <w:r>
        <w:rPr>
          <w:rFonts w:ascii="Book Antiqua" w:hAnsi="Book Antiqua"/>
        </w:rPr>
        <w:t xml:space="preserve"> 2017; </w:t>
      </w:r>
      <w:r>
        <w:rPr>
          <w:rFonts w:ascii="Book Antiqua" w:hAnsi="Book Antiqua"/>
          <w:b/>
          <w:bCs/>
        </w:rPr>
        <w:t>62</w:t>
      </w:r>
      <w:r>
        <w:rPr>
          <w:rFonts w:ascii="Book Antiqua" w:hAnsi="Book Antiqua"/>
        </w:rPr>
        <w:t>: 2932-2942 [PMID: 28884320 DOI: 10.1007/s10620-017-4739-z]</w:t>
      </w:r>
    </w:p>
    <w:p w14:paraId="128DACE8" w14:textId="77777777" w:rsidR="003D3BEE" w:rsidRDefault="00B212C7">
      <w:pPr>
        <w:spacing w:line="360" w:lineRule="auto"/>
        <w:jc w:val="both"/>
        <w:rPr>
          <w:rFonts w:ascii="Book Antiqua" w:hAnsi="Book Antiqua"/>
        </w:rPr>
      </w:pPr>
      <w:r>
        <w:rPr>
          <w:rFonts w:ascii="Book Antiqua" w:hAnsi="Book Antiqua"/>
        </w:rPr>
        <w:t xml:space="preserve">11 </w:t>
      </w:r>
      <w:r>
        <w:rPr>
          <w:rFonts w:ascii="Book Antiqua" w:hAnsi="Book Antiqua"/>
          <w:b/>
          <w:bCs/>
        </w:rPr>
        <w:t>Cabibbo G</w:t>
      </w:r>
      <w:r>
        <w:rPr>
          <w:rFonts w:ascii="Book Antiqua" w:hAnsi="Book Antiqua"/>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688-695 [PMID: 28791711 DOI: 10.1111/apt.14256]</w:t>
      </w:r>
    </w:p>
    <w:p w14:paraId="602EE8D1" w14:textId="77777777" w:rsidR="003D3BEE" w:rsidRDefault="00B212C7">
      <w:pPr>
        <w:spacing w:line="360" w:lineRule="auto"/>
        <w:jc w:val="both"/>
        <w:rPr>
          <w:rFonts w:ascii="Book Antiqua" w:hAnsi="Book Antiqua"/>
        </w:rPr>
      </w:pPr>
      <w:r>
        <w:rPr>
          <w:rFonts w:ascii="Book Antiqua" w:hAnsi="Book Antiqua"/>
        </w:rPr>
        <w:t xml:space="preserve">12 </w:t>
      </w:r>
      <w:r>
        <w:rPr>
          <w:rFonts w:ascii="Book Antiqua" w:hAnsi="Book Antiqua"/>
          <w:b/>
          <w:bCs/>
        </w:rPr>
        <w:t>Ogawa E</w:t>
      </w:r>
      <w:r>
        <w:rPr>
          <w:rFonts w:ascii="Book Antiqua" w:hAnsi="Book Antiqua"/>
        </w:rPr>
        <w:t xml:space="preserve">, Furusyo N, Nomura H, Dohmen K, Higashi N, Takahashi K, Kawano A, Azuma K, Satoh T, Nakamuta M, Koyanagi T, Kato M, Shimoda S, Kajiwara E, Hayashi J; Kyushu University Liver Disease Study (KULDS) Group. Short-term risk of hepatocellular carcinoma after hepatitis C virus eradication following direct-acting anti-viral treatment. </w:t>
      </w:r>
      <w:r>
        <w:rPr>
          <w:rFonts w:ascii="Book Antiqua" w:hAnsi="Book Antiqua"/>
          <w:i/>
          <w:iCs/>
        </w:rPr>
        <w:t>Aliment Pharmacol Ther</w:t>
      </w:r>
      <w:r>
        <w:rPr>
          <w:rFonts w:ascii="Book Antiqua" w:hAnsi="Book Antiqua"/>
        </w:rPr>
        <w:t xml:space="preserve"> 2018; </w:t>
      </w:r>
      <w:r>
        <w:rPr>
          <w:rFonts w:ascii="Book Antiqua" w:hAnsi="Book Antiqua"/>
          <w:b/>
          <w:bCs/>
        </w:rPr>
        <w:t>47</w:t>
      </w:r>
      <w:r>
        <w:rPr>
          <w:rFonts w:ascii="Book Antiqua" w:hAnsi="Book Antiqua"/>
        </w:rPr>
        <w:t>: 104-113 [PMID: 29035002 DOI: 10.1111/apt.14380]</w:t>
      </w:r>
    </w:p>
    <w:p w14:paraId="02A67E09" w14:textId="77777777" w:rsidR="003D3BEE" w:rsidRDefault="00B212C7">
      <w:pPr>
        <w:spacing w:line="360" w:lineRule="auto"/>
        <w:jc w:val="both"/>
        <w:rPr>
          <w:rFonts w:ascii="Book Antiqua" w:hAnsi="Book Antiqua"/>
        </w:rPr>
      </w:pPr>
      <w:r>
        <w:rPr>
          <w:rFonts w:ascii="Book Antiqua" w:hAnsi="Book Antiqua"/>
        </w:rPr>
        <w:t xml:space="preserve">13 </w:t>
      </w:r>
      <w:r>
        <w:rPr>
          <w:rFonts w:ascii="Book Antiqua" w:hAnsi="Book Antiqua"/>
          <w:b/>
          <w:bCs/>
        </w:rPr>
        <w:t>Mashiba T</w:t>
      </w:r>
      <w:r>
        <w:rPr>
          <w:rFonts w:ascii="Book Antiqua" w:hAnsi="Book Antiqua"/>
        </w:rPr>
        <w:t xml:space="preserve">, Joko K, Kurosaki M, Ochi H, Osaki Y, Kojima Y, Nakata R, Goto T, Takehiro A, Kimura H, Mitsuda A, Kawanami C, Uchida Y, Ogawa C, Kusakabe A, Narita R, Ide Y, Abe T, Tsuji K, Kitamura T, Okada K, Sohda T, Shigeno M, Satou T, Izumi N. Does interferon-free direct-acting antiviral therapy for hepatitis C after curative treatment for hepatocellular carcinoma lead to unexpected recurrences of HCC? A multicenter study by the Japanese Red Cross Hospital Liver Study Group.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e0194704 [PMID: 29659591 DOI: 10.1371/journal.pone.0194704]</w:t>
      </w:r>
    </w:p>
    <w:p w14:paraId="483DC628" w14:textId="77777777" w:rsidR="003D3BEE" w:rsidRDefault="00B212C7">
      <w:pPr>
        <w:spacing w:line="360" w:lineRule="auto"/>
        <w:jc w:val="both"/>
        <w:rPr>
          <w:rFonts w:ascii="Book Antiqua" w:hAnsi="Book Antiqua"/>
        </w:rPr>
      </w:pPr>
      <w:r>
        <w:rPr>
          <w:rFonts w:ascii="Book Antiqua" w:hAnsi="Book Antiqua"/>
        </w:rPr>
        <w:t xml:space="preserve">14 </w:t>
      </w:r>
      <w:r>
        <w:rPr>
          <w:rFonts w:ascii="Book Antiqua" w:hAnsi="Book Antiqua"/>
          <w:b/>
          <w:bCs/>
        </w:rPr>
        <w:t>Ooka Y</w:t>
      </w:r>
      <w:r>
        <w:rPr>
          <w:rFonts w:ascii="Book Antiqua" w:hAnsi="Book Antiqua"/>
        </w:rPr>
        <w:t xml:space="preserve">, Miho K, Shuntaro O, Nakamura M, Ogasawara S, Suzuki E, Yasui S, Chiba T, Arai M, Kanda T, Maruyama H, Yokosuka O, Kato N, Mochizuki H, Omata M. Prediction of the very early occurrence of HCC right after DAA therapy for HCV infection.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523-530 [PMID: 30242733 DOI: 10.1007/s12072-018-9895-5]</w:t>
      </w:r>
    </w:p>
    <w:p w14:paraId="04E7D0CB" w14:textId="77777777" w:rsidR="003D3BEE" w:rsidRDefault="00B212C7">
      <w:pPr>
        <w:spacing w:line="360" w:lineRule="auto"/>
        <w:jc w:val="both"/>
        <w:rPr>
          <w:rFonts w:ascii="Book Antiqua" w:hAnsi="Book Antiqua"/>
        </w:rPr>
      </w:pPr>
      <w:r>
        <w:rPr>
          <w:rFonts w:ascii="Book Antiqua" w:hAnsi="Book Antiqua"/>
        </w:rPr>
        <w:t xml:space="preserve">15 </w:t>
      </w:r>
      <w:r>
        <w:rPr>
          <w:rFonts w:ascii="Book Antiqua" w:hAnsi="Book Antiqua"/>
          <w:b/>
          <w:bCs/>
        </w:rPr>
        <w:t>Sterling RK</w:t>
      </w:r>
      <w:r>
        <w:rPr>
          <w:rFonts w:ascii="Book Antiqua" w:hAnsi="Book Antiqua"/>
        </w:rPr>
        <w:t xml:space="preserve">, Lissen E, Clumeck N, Sola R, Correa MC, Montaner J, S Sulkowski M, Torriani FJ, Dieterich DT, Thomas DL, Messinger D, Nelson M; APRICOT Clinical </w:t>
      </w:r>
      <w:r>
        <w:rPr>
          <w:rFonts w:ascii="Book Antiqua" w:hAnsi="Book Antiqua"/>
        </w:rPr>
        <w:lastRenderedPageBreak/>
        <w:t xml:space="preserve">Investigators. Development of a simple noninvasive index to predict significant fibrosis in patients with HIV/HCV coinfection. </w:t>
      </w:r>
      <w:r>
        <w:rPr>
          <w:rFonts w:ascii="Book Antiqua" w:hAnsi="Book Antiqua"/>
          <w:i/>
          <w:iCs/>
        </w:rPr>
        <w:t>Hepatology</w:t>
      </w:r>
      <w:r>
        <w:rPr>
          <w:rFonts w:ascii="Book Antiqua" w:hAnsi="Book Antiqua"/>
        </w:rPr>
        <w:t xml:space="preserve"> 2006; </w:t>
      </w:r>
      <w:r>
        <w:rPr>
          <w:rFonts w:ascii="Book Antiqua" w:hAnsi="Book Antiqua"/>
          <w:b/>
          <w:bCs/>
        </w:rPr>
        <w:t>43</w:t>
      </w:r>
      <w:r>
        <w:rPr>
          <w:rFonts w:ascii="Book Antiqua" w:hAnsi="Book Antiqua"/>
        </w:rPr>
        <w:t>: 1317-1325 [PMID: 16729309 DOI: 10.1002/hep.21178]</w:t>
      </w:r>
    </w:p>
    <w:p w14:paraId="4C41A136" w14:textId="77777777" w:rsidR="003D3BEE" w:rsidRDefault="00B212C7">
      <w:pPr>
        <w:spacing w:line="360" w:lineRule="auto"/>
        <w:jc w:val="both"/>
        <w:rPr>
          <w:rFonts w:ascii="Book Antiqua" w:hAnsi="Book Antiqua"/>
        </w:rPr>
      </w:pPr>
      <w:r>
        <w:rPr>
          <w:rFonts w:ascii="Book Antiqua" w:hAnsi="Book Antiqua"/>
        </w:rPr>
        <w:t xml:space="preserve">16 </w:t>
      </w:r>
      <w:r>
        <w:rPr>
          <w:rFonts w:ascii="Book Antiqua" w:hAnsi="Book Antiqua"/>
          <w:b/>
          <w:bCs/>
        </w:rPr>
        <w:t>Marrero JA</w:t>
      </w:r>
      <w:r>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723-750 [PMID: 29624699 DOI: 10.1002/hep.29913]</w:t>
      </w:r>
    </w:p>
    <w:p w14:paraId="0CD26791" w14:textId="77777777" w:rsidR="003D3BEE" w:rsidRDefault="00B212C7">
      <w:pPr>
        <w:spacing w:line="360" w:lineRule="auto"/>
        <w:jc w:val="both"/>
        <w:rPr>
          <w:rFonts w:ascii="Book Antiqua" w:hAnsi="Book Antiqua"/>
        </w:rPr>
      </w:pPr>
      <w:r>
        <w:rPr>
          <w:rFonts w:ascii="Book Antiqua" w:hAnsi="Book Antiqua"/>
        </w:rPr>
        <w:t xml:space="preserve">17 </w:t>
      </w:r>
      <w:r>
        <w:rPr>
          <w:rFonts w:ascii="Book Antiqua" w:hAnsi="Book Antiqua"/>
          <w:b/>
          <w:bCs/>
        </w:rPr>
        <w:t>Omata M</w:t>
      </w:r>
      <w:r>
        <w:rPr>
          <w:rFonts w:ascii="Book Antiqua" w:hAnsi="Book Antiqua"/>
        </w:rPr>
        <w:t xml:space="preserve">, Kanda T, Wei L, Yu ML, Chuang WL, Ibrahim A, Lesmana CR, Sollano J, Kumar M, Jindal A, Sharma BC, Hamid SS, Dokmeci AK, Mamun-Al-Mahtab, McCaughan GW, Wasim J, Crawford DH, Kao JH, Yokosuka O, Lau GK, Sarin SK. APASL consensus statements and recommendation on treatment of hepatitis C.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702-726 [PMID: 27130427 DOI: 10.1007/s12072-016-9717-6]</w:t>
      </w:r>
    </w:p>
    <w:p w14:paraId="7EDBDC12" w14:textId="77777777" w:rsidR="003D3BEE" w:rsidRDefault="00B212C7">
      <w:pPr>
        <w:spacing w:line="360" w:lineRule="auto"/>
        <w:jc w:val="both"/>
        <w:rPr>
          <w:rFonts w:ascii="Book Antiqua" w:hAnsi="Book Antiqua"/>
        </w:rPr>
      </w:pPr>
      <w:r>
        <w:rPr>
          <w:rFonts w:ascii="Book Antiqua" w:hAnsi="Book Antiqua"/>
        </w:rPr>
        <w:t xml:space="preserve">18 </w:t>
      </w:r>
      <w:r>
        <w:rPr>
          <w:rFonts w:ascii="Book Antiqua" w:hAnsi="Book Antiqua"/>
          <w:b/>
          <w:bCs/>
        </w:rPr>
        <w:t>Tanaka A</w:t>
      </w:r>
      <w:r>
        <w:rPr>
          <w:rFonts w:ascii="Book Antiqua" w:hAnsi="Book Antiqua"/>
        </w:rPr>
        <w:t xml:space="preserve">. [JSH guidelines for the management of hepatitis C virus infection (version 3)]. </w:t>
      </w:r>
      <w:r>
        <w:rPr>
          <w:rFonts w:ascii="Book Antiqua" w:hAnsi="Book Antiqua"/>
          <w:i/>
          <w:iCs/>
        </w:rPr>
        <w:t>Nihon Rinsho</w:t>
      </w:r>
      <w:r>
        <w:rPr>
          <w:rFonts w:ascii="Book Antiqua" w:hAnsi="Book Antiqua"/>
        </w:rPr>
        <w:t xml:space="preserve"> 2015; </w:t>
      </w:r>
      <w:r>
        <w:rPr>
          <w:rFonts w:ascii="Book Antiqua" w:hAnsi="Book Antiqua"/>
          <w:b/>
          <w:bCs/>
        </w:rPr>
        <w:t>73</w:t>
      </w:r>
      <w:r>
        <w:rPr>
          <w:rFonts w:ascii="Book Antiqua" w:hAnsi="Book Antiqua"/>
        </w:rPr>
        <w:t>: 221-227 [PMID: 25764674]</w:t>
      </w:r>
    </w:p>
    <w:p w14:paraId="539699CC" w14:textId="77777777" w:rsidR="003D3BEE" w:rsidRDefault="00B212C7">
      <w:pPr>
        <w:spacing w:line="360" w:lineRule="auto"/>
        <w:jc w:val="both"/>
        <w:rPr>
          <w:rFonts w:ascii="Book Antiqua" w:hAnsi="Book Antiqua"/>
        </w:rPr>
      </w:pPr>
      <w:r>
        <w:rPr>
          <w:rFonts w:ascii="Book Antiqua" w:hAnsi="Book Antiqua"/>
        </w:rPr>
        <w:t xml:space="preserve">19 </w:t>
      </w:r>
      <w:r>
        <w:rPr>
          <w:rFonts w:ascii="Book Antiqua" w:hAnsi="Book Antiqua"/>
          <w:b/>
          <w:bCs/>
        </w:rPr>
        <w:t>Kokudo N</w:t>
      </w:r>
      <w:r>
        <w:rPr>
          <w:rFonts w:ascii="Book Antiqua" w:hAnsi="Book Antiqua"/>
        </w:rPr>
        <w:t xml:space="preserve">, Hasegawa K, Akahane M, Igaki H, Izumi N, Ichida T, Uemoto S, Kaneko S, Kawasaki S, Ku Y, Kudo M, Kubo S, Takayama T, Tateishi R, Fukuda T, Matsui O, Matsuyama Y, Murakami T, Arii S, Okazaki M, Makuuchi M. Evidence-based Clinical Practice Guidelines for Hepatocellular Carcinoma: The Japan Society of Hepatology 2013 update (3rd JSH-HCC Guidelines). </w:t>
      </w:r>
      <w:r>
        <w:rPr>
          <w:rFonts w:ascii="Book Antiqua" w:hAnsi="Book Antiqua"/>
          <w:i/>
          <w:iCs/>
        </w:rPr>
        <w:t>Hepatol Res</w:t>
      </w:r>
      <w:r>
        <w:rPr>
          <w:rFonts w:ascii="Book Antiqua" w:hAnsi="Book Antiqua"/>
        </w:rPr>
        <w:t xml:space="preserve"> 2015; </w:t>
      </w:r>
      <w:r>
        <w:rPr>
          <w:rFonts w:ascii="Book Antiqua" w:hAnsi="Book Antiqua"/>
          <w:b/>
          <w:bCs/>
        </w:rPr>
        <w:t>45</w:t>
      </w:r>
      <w:r>
        <w:rPr>
          <w:rFonts w:ascii="Book Antiqua" w:hAnsi="Book Antiqua"/>
        </w:rPr>
        <w:t xml:space="preserve"> [PMID: 25625806 DOI: 10.1111/hepr.12464]</w:t>
      </w:r>
    </w:p>
    <w:p w14:paraId="5396F94E" w14:textId="77777777" w:rsidR="003D3BEE" w:rsidRDefault="00B212C7">
      <w:pPr>
        <w:spacing w:line="360" w:lineRule="auto"/>
        <w:jc w:val="both"/>
        <w:rPr>
          <w:rFonts w:ascii="Book Antiqua" w:hAnsi="Book Antiqua"/>
        </w:rPr>
      </w:pPr>
      <w:r>
        <w:rPr>
          <w:rFonts w:ascii="Book Antiqua" w:hAnsi="Book Antiqua"/>
        </w:rPr>
        <w:t xml:space="preserve">20 </w:t>
      </w:r>
      <w:r>
        <w:rPr>
          <w:rFonts w:ascii="Book Antiqua" w:hAnsi="Book Antiqua"/>
          <w:b/>
          <w:bCs/>
        </w:rPr>
        <w:t>Váncsa S</w:t>
      </w:r>
      <w:r>
        <w:rPr>
          <w:rFonts w:ascii="Book Antiqua" w:hAnsi="Book Antiqua"/>
        </w:rPr>
        <w:t xml:space="preserve">, Németh D, Hegyi P, Szakács Z, Farkas Á, Kiss S, Hegyi PJ, Kanjo A, Sarlós P, Erőss B, Pár G. Diabetes Mellitus Increases the Risk of Hepatocellular Carcinoma After Direct-Acting Antiviral Therapy: Systematic Review and Meta-Analysis.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744512 [PMID: 34733865 DOI: 10.3389/fmed.2021.744512]</w:t>
      </w:r>
    </w:p>
    <w:p w14:paraId="61E70924" w14:textId="77777777" w:rsidR="003D3BEE" w:rsidRDefault="00B212C7">
      <w:pPr>
        <w:spacing w:line="360" w:lineRule="auto"/>
        <w:jc w:val="both"/>
        <w:rPr>
          <w:rFonts w:ascii="Book Antiqua" w:hAnsi="Book Antiqua"/>
        </w:rPr>
      </w:pPr>
      <w:r>
        <w:rPr>
          <w:rFonts w:ascii="Book Antiqua" w:hAnsi="Book Antiqua"/>
        </w:rPr>
        <w:t xml:space="preserve">21 </w:t>
      </w:r>
      <w:r>
        <w:rPr>
          <w:rFonts w:ascii="Book Antiqua" w:hAnsi="Book Antiqua"/>
          <w:b/>
          <w:bCs/>
        </w:rPr>
        <w:t>He S</w:t>
      </w:r>
      <w:r>
        <w:rPr>
          <w:rFonts w:ascii="Book Antiqua" w:hAnsi="Book Antiqua"/>
        </w:rPr>
        <w:t xml:space="preserve">, Lockart I, Alavi M, Danta M, Hajarizadeh B, Dore GJ. Systematic review with meta-analysis: effectiveness of direct-acting antiviral treatment for hepatitis C in patients with hepatocellular carcinoma. </w:t>
      </w:r>
      <w:r>
        <w:rPr>
          <w:rFonts w:ascii="Book Antiqua" w:hAnsi="Book Antiqua"/>
          <w:i/>
          <w:iCs/>
        </w:rPr>
        <w:t>Aliment Pharmacol Ther</w:t>
      </w:r>
      <w:r>
        <w:rPr>
          <w:rFonts w:ascii="Book Antiqua" w:hAnsi="Book Antiqua"/>
        </w:rPr>
        <w:t xml:space="preserve"> 2020; </w:t>
      </w:r>
      <w:r>
        <w:rPr>
          <w:rFonts w:ascii="Book Antiqua" w:hAnsi="Book Antiqua"/>
          <w:b/>
          <w:bCs/>
        </w:rPr>
        <w:t>51</w:t>
      </w:r>
      <w:r>
        <w:rPr>
          <w:rFonts w:ascii="Book Antiqua" w:hAnsi="Book Antiqua"/>
        </w:rPr>
        <w:t>: 34-52 [PMID: 31808566 DOI: 10.1111/apt.15598]</w:t>
      </w:r>
    </w:p>
    <w:p w14:paraId="775681D1" w14:textId="77777777" w:rsidR="003D3BEE" w:rsidRDefault="00B212C7">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Tsai HY</w:t>
      </w:r>
      <w:r>
        <w:rPr>
          <w:rFonts w:ascii="Book Antiqua" w:hAnsi="Book Antiqua"/>
        </w:rPr>
        <w:t xml:space="preserve">, Chang HP, Chen CJ, Hsu WL, Huang LY, Lee PC. Effects of direct-acting antiviral therapy for patients with advanced hepatocellular carcinoma and concomitant hepatitis C-A population-based cohort study. </w:t>
      </w:r>
      <w:r>
        <w:rPr>
          <w:rFonts w:ascii="Book Antiqua" w:hAnsi="Book Antiqua"/>
          <w:i/>
          <w:iCs/>
        </w:rPr>
        <w:t>Eur Rev Med Pharmacol Sci</w:t>
      </w:r>
      <w:r>
        <w:rPr>
          <w:rFonts w:ascii="Book Antiqua" w:hAnsi="Book Antiqua"/>
        </w:rPr>
        <w:t xml:space="preserve"> 2021; </w:t>
      </w:r>
      <w:r>
        <w:rPr>
          <w:rFonts w:ascii="Book Antiqua" w:hAnsi="Book Antiqua"/>
          <w:b/>
          <w:bCs/>
        </w:rPr>
        <w:t>25</w:t>
      </w:r>
      <w:r>
        <w:rPr>
          <w:rFonts w:ascii="Book Antiqua" w:hAnsi="Book Antiqua"/>
        </w:rPr>
        <w:t>: 7543-7552 [PMID: 34919256 DOI: 10.26355/eurrev_202112_27454]</w:t>
      </w:r>
    </w:p>
    <w:p w14:paraId="4CBF23AA" w14:textId="77777777" w:rsidR="003D3BEE" w:rsidRDefault="00B212C7">
      <w:pPr>
        <w:spacing w:line="360" w:lineRule="auto"/>
        <w:jc w:val="both"/>
        <w:rPr>
          <w:rFonts w:ascii="Book Antiqua" w:hAnsi="Book Antiqua"/>
        </w:rPr>
      </w:pPr>
      <w:r>
        <w:rPr>
          <w:rFonts w:ascii="Book Antiqua" w:hAnsi="Book Antiqua"/>
        </w:rPr>
        <w:t xml:space="preserve">23 </w:t>
      </w:r>
      <w:r>
        <w:rPr>
          <w:rFonts w:ascii="Book Antiqua" w:hAnsi="Book Antiqua"/>
          <w:b/>
          <w:bCs/>
        </w:rPr>
        <w:t>Kawaoka T</w:t>
      </w:r>
      <w:r>
        <w:rPr>
          <w:rFonts w:ascii="Book Antiqua" w:hAnsi="Book Antiqua"/>
        </w:rPr>
        <w:t xml:space="preserve">, Aikata H, Teraoka Y, Inagaki Y, Honda F, Hatooka M, Morio K, Morio R, Kobayashi T, Nagaoki Y, Nakahara T, Hiramatsu A, Tsuge M, Imamura M, Kawakami Y, Chayama K. Impact of Hepatitis C Virus Eradication on the Clinical Outcome of Patients with Hepatitis C Virus-Related Advanced Hepatocellular Carcinoma Treated with Sorafenib. </w:t>
      </w:r>
      <w:r>
        <w:rPr>
          <w:rFonts w:ascii="Book Antiqua" w:hAnsi="Book Antiqua"/>
          <w:i/>
          <w:iCs/>
        </w:rPr>
        <w:t>Oncology</w:t>
      </w:r>
      <w:r>
        <w:rPr>
          <w:rFonts w:ascii="Book Antiqua" w:hAnsi="Book Antiqua"/>
        </w:rPr>
        <w:t xml:space="preserve"> 2017; </w:t>
      </w:r>
      <w:r>
        <w:rPr>
          <w:rFonts w:ascii="Book Antiqua" w:hAnsi="Book Antiqua"/>
          <w:b/>
          <w:bCs/>
        </w:rPr>
        <w:t>92</w:t>
      </w:r>
      <w:r>
        <w:rPr>
          <w:rFonts w:ascii="Book Antiqua" w:hAnsi="Book Antiqua"/>
        </w:rPr>
        <w:t>: 335-346 [PMID: 28245484 DOI: 10.1159/000458532]</w:t>
      </w:r>
    </w:p>
    <w:p w14:paraId="5BC80A98" w14:textId="77777777" w:rsidR="003D3BEE" w:rsidRDefault="00B212C7">
      <w:pPr>
        <w:spacing w:line="360" w:lineRule="auto"/>
        <w:jc w:val="both"/>
        <w:rPr>
          <w:rFonts w:ascii="Book Antiqua" w:hAnsi="Book Antiqua"/>
        </w:rPr>
      </w:pPr>
      <w:r>
        <w:rPr>
          <w:rFonts w:ascii="Book Antiqua" w:hAnsi="Book Antiqua"/>
        </w:rPr>
        <w:t xml:space="preserve">24 </w:t>
      </w:r>
      <w:r>
        <w:rPr>
          <w:rFonts w:ascii="Book Antiqua" w:hAnsi="Book Antiqua"/>
          <w:b/>
          <w:bCs/>
        </w:rPr>
        <w:t>Yeh ML</w:t>
      </w:r>
      <w:r>
        <w:rPr>
          <w:rFonts w:ascii="Book Antiqua" w:hAnsi="Book Antiqua"/>
        </w:rPr>
        <w:t xml:space="preserve">, Kuo HT, Huang CI, Huang CF, Hsieh MY, Liang PC, Lin IH, Hsieh MH, Lin ZY, Chen SC, Dai CY, Huang JF, Yu ML, Chuang WL. Eradication of hepatitis C virus preserve liver function and prolong survival in advanced hepatocellular carcinoma patients with limited life expectancy. </w:t>
      </w:r>
      <w:r>
        <w:rPr>
          <w:rFonts w:ascii="Book Antiqua" w:hAnsi="Book Antiqua"/>
          <w:i/>
          <w:iCs/>
        </w:rPr>
        <w:t>Kaohsiung J Med Sci</w:t>
      </w:r>
      <w:r>
        <w:rPr>
          <w:rFonts w:ascii="Book Antiqua" w:hAnsi="Book Antiqua"/>
        </w:rPr>
        <w:t xml:space="preserve"> 2021; </w:t>
      </w:r>
      <w:r>
        <w:rPr>
          <w:rFonts w:ascii="Book Antiqua" w:hAnsi="Book Antiqua"/>
          <w:b/>
          <w:bCs/>
        </w:rPr>
        <w:t>37</w:t>
      </w:r>
      <w:r>
        <w:rPr>
          <w:rFonts w:ascii="Book Antiqua" w:hAnsi="Book Antiqua"/>
        </w:rPr>
        <w:t>: 145-153 [PMID: 33022892 DOI: 10.1002/kjm2.12303]</w:t>
      </w:r>
    </w:p>
    <w:p w14:paraId="244B6142" w14:textId="77777777" w:rsidR="003D3BEE" w:rsidRDefault="00B212C7">
      <w:pPr>
        <w:spacing w:line="360" w:lineRule="auto"/>
        <w:jc w:val="both"/>
        <w:rPr>
          <w:rFonts w:ascii="Book Antiqua" w:hAnsi="Book Antiqua"/>
        </w:rPr>
      </w:pPr>
      <w:r>
        <w:rPr>
          <w:rFonts w:ascii="Book Antiqua" w:hAnsi="Book Antiqua"/>
        </w:rPr>
        <w:t xml:space="preserve">25 </w:t>
      </w:r>
      <w:r>
        <w:rPr>
          <w:rFonts w:ascii="Book Antiqua" w:hAnsi="Book Antiqua"/>
          <w:b/>
          <w:bCs/>
        </w:rPr>
        <w:t>Lockart I</w:t>
      </w:r>
      <w:r>
        <w:rPr>
          <w:rFonts w:ascii="Book Antiqua" w:hAnsi="Book Antiqua"/>
        </w:rPr>
        <w:t xml:space="preserve">, Hajarizadeh B, Buckley N, Davison S, Prakoso E, Levy MT, George J, Dore GJ, Danta M. All-cause hepatocellular carcinoma survival in the era of direct-acting antiviral therapy.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3515-3523 [PMID: 34520088 DOI: 10.1111/jgh.15687]</w:t>
      </w:r>
    </w:p>
    <w:p w14:paraId="7ADED400" w14:textId="77777777" w:rsidR="003D3BEE" w:rsidRDefault="00B212C7">
      <w:pPr>
        <w:spacing w:line="360" w:lineRule="auto"/>
        <w:jc w:val="both"/>
        <w:rPr>
          <w:rFonts w:ascii="Book Antiqua" w:hAnsi="Book Antiqua"/>
        </w:rPr>
      </w:pPr>
      <w:r>
        <w:rPr>
          <w:rFonts w:ascii="Book Antiqua" w:hAnsi="Book Antiqua"/>
        </w:rPr>
        <w:t xml:space="preserve">26 </w:t>
      </w:r>
      <w:r>
        <w:rPr>
          <w:rFonts w:ascii="Book Antiqua" w:hAnsi="Book Antiqua"/>
          <w:b/>
          <w:bCs/>
        </w:rPr>
        <w:t>Ahumada A</w:t>
      </w:r>
      <w:r>
        <w:rPr>
          <w:rFonts w:ascii="Book Antiqua" w:hAnsi="Book Antiqua"/>
        </w:rPr>
        <w:t xml:space="preserve">, Rayón L, Usón C, Bañares R, Alonso Lopez S. Hepatocellular carcinoma risk after viral response in hepatitis C virus-advanced fibrosis: Who to screen and for how long?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6737-6749 [PMID: 34790004 DOI: 10.3748/wjg.v27.i40.6737]</w:t>
      </w:r>
    </w:p>
    <w:p w14:paraId="5177F896" w14:textId="77777777" w:rsidR="003D3BEE" w:rsidRDefault="00B212C7">
      <w:pPr>
        <w:spacing w:line="360" w:lineRule="auto"/>
        <w:jc w:val="both"/>
        <w:rPr>
          <w:rFonts w:ascii="Book Antiqua" w:hAnsi="Book Antiqua"/>
        </w:rPr>
      </w:pPr>
      <w:r>
        <w:rPr>
          <w:rFonts w:ascii="Book Antiqua" w:hAnsi="Book Antiqua"/>
        </w:rPr>
        <w:t xml:space="preserve">27 </w:t>
      </w:r>
      <w:r>
        <w:rPr>
          <w:rFonts w:ascii="Book Antiqua" w:hAnsi="Book Antiqua"/>
          <w:b/>
          <w:bCs/>
        </w:rPr>
        <w:t>Sanduzzi-Zamparelli M</w:t>
      </w:r>
      <w:r>
        <w:rPr>
          <w:rFonts w:ascii="Book Antiqua" w:hAnsi="Book Antiqua"/>
        </w:rPr>
        <w:t xml:space="preserve">, Mariño Z, Lens S, Sapena V, Iserte G, Pla A, Granel N, Bartres C, Llarch N, Vilana R, Nuñez I, Darnell A, Belmonte E, García-Criado A, Díaz A, Muñoz-Martinez S, Ayuso C, Bianchi L, Fuster-Anglada C, Rimola J, Forner A, Torres F, Bruix J, Forns X, Reig M. Liver cancer risk after HCV cure in patients with advanced liver disease without non-characterized nodules.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874-882 [PMID: 34856322 DOI: 10.1016/j.jhep.2021.11.023]</w:t>
      </w:r>
    </w:p>
    <w:p w14:paraId="0288849D" w14:textId="77777777" w:rsidR="003D3BEE" w:rsidRDefault="00B212C7">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Oze T</w:t>
      </w:r>
      <w:r>
        <w:rPr>
          <w:rFonts w:ascii="Book Antiqua" w:hAnsi="Book Antiqua"/>
        </w:rPr>
        <w:t xml:space="preserve">, Hiramatsu N, Yakushijin T, Miyazaki M, Yamada A, Oshita M, Hagiwara H, Mita E, Ito T, Fukui H, Inui Y, Hijioka T, Inada M, Katayama K, Tamura S, Yoshihara H, Inoue A, Imai Y, Hayashi E, Kato M, Miyagi T, Yoshida Y, Tatsumi T, Kasahara A, Hamasaki T, Hayashi N, Takehara T; Osaka Liver Forum. Post-treatment levels of α-fetoprotein predict incidence of hepatocellular carcinoma after interferon therapy. </w:t>
      </w:r>
      <w:r>
        <w:rPr>
          <w:rFonts w:ascii="Book Antiqua" w:hAnsi="Book Antiqua"/>
          <w:i/>
          <w:iCs/>
        </w:rPr>
        <w:t>Clin Gastroenterol Hepatol</w:t>
      </w:r>
      <w:r>
        <w:rPr>
          <w:rFonts w:ascii="Book Antiqua" w:hAnsi="Book Antiqua"/>
        </w:rPr>
        <w:t xml:space="preserve"> 2014; </w:t>
      </w:r>
      <w:r>
        <w:rPr>
          <w:rFonts w:ascii="Book Antiqua" w:hAnsi="Book Antiqua"/>
          <w:b/>
          <w:bCs/>
        </w:rPr>
        <w:t>12</w:t>
      </w:r>
      <w:r>
        <w:rPr>
          <w:rFonts w:ascii="Book Antiqua" w:hAnsi="Book Antiqua"/>
        </w:rPr>
        <w:t>: 1186-1195 [PMID: 24321207 DOI: 10.1016/j.cgh.2013.11.033]</w:t>
      </w:r>
    </w:p>
    <w:p w14:paraId="4A5420A6" w14:textId="77777777" w:rsidR="003D3BEE" w:rsidRDefault="00B212C7">
      <w:pPr>
        <w:spacing w:line="360" w:lineRule="auto"/>
        <w:jc w:val="both"/>
        <w:rPr>
          <w:rFonts w:ascii="Book Antiqua" w:hAnsi="Book Antiqua"/>
        </w:rPr>
      </w:pPr>
      <w:r>
        <w:rPr>
          <w:rFonts w:ascii="Book Antiqua" w:hAnsi="Book Antiqua"/>
        </w:rPr>
        <w:t xml:space="preserve">29 </w:t>
      </w:r>
      <w:r>
        <w:rPr>
          <w:rFonts w:ascii="Book Antiqua" w:hAnsi="Book Antiqua"/>
          <w:b/>
          <w:bCs/>
        </w:rPr>
        <w:t>Huang CM</w:t>
      </w:r>
      <w:r>
        <w:rPr>
          <w:rFonts w:ascii="Book Antiqua" w:hAnsi="Book Antiqua"/>
        </w:rPr>
        <w:t xml:space="preserve">, Hu TH, Chang KC, Tseng PL, Lu SN, Chen CH, Wang JH, Lee CM, Tsai MC, Lin MT, Yen YH, Hung CH, Cho CL, Wu CK. Dynamic noninvasive markers predict hepatocellular carcinoma in chronic hepatitis C patients without sustained virological response after interferon-based therapy: Prioritize who needs urgent direct-acting antiviral agents.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e8696 [PMID: 29145306 DOI: 10.1097/MD.0000000000008696]</w:t>
      </w:r>
    </w:p>
    <w:p w14:paraId="18756131" w14:textId="77777777" w:rsidR="003D3BEE" w:rsidRDefault="00B212C7">
      <w:pPr>
        <w:spacing w:line="360" w:lineRule="auto"/>
        <w:jc w:val="both"/>
        <w:rPr>
          <w:rFonts w:ascii="Book Antiqua" w:hAnsi="Book Antiqua"/>
        </w:rPr>
      </w:pPr>
      <w:r>
        <w:rPr>
          <w:rFonts w:ascii="Book Antiqua" w:hAnsi="Book Antiqua"/>
        </w:rPr>
        <w:t xml:space="preserve">30 </w:t>
      </w:r>
      <w:r>
        <w:rPr>
          <w:rFonts w:ascii="Book Antiqua" w:hAnsi="Book Antiqua"/>
          <w:b/>
          <w:bCs/>
        </w:rPr>
        <w:t>Kuwano A</w:t>
      </w:r>
      <w:r>
        <w:rPr>
          <w:rFonts w:ascii="Book Antiqua" w:hAnsi="Book Antiqua"/>
        </w:rPr>
        <w:t xml:space="preserve">, Yada M, Nagasawa S, Tanaka K, Morita Y, Masumoto A, Motomura K. Serum α-fetoprotein level at treatment completion is a useful predictor of hepatocellular carcinoma occurrence more than one year after hepatitis C virus eradication by direct-acting antiviral treatment. </w:t>
      </w:r>
      <w:r>
        <w:rPr>
          <w:rFonts w:ascii="Book Antiqua" w:hAnsi="Book Antiqua"/>
          <w:i/>
          <w:iCs/>
        </w:rPr>
        <w:t>J Viral Hepat</w:t>
      </w:r>
      <w:r>
        <w:rPr>
          <w:rFonts w:ascii="Book Antiqua" w:hAnsi="Book Antiqua"/>
        </w:rPr>
        <w:t xml:space="preserve"> 2022; </w:t>
      </w:r>
      <w:r>
        <w:rPr>
          <w:rFonts w:ascii="Book Antiqua" w:hAnsi="Book Antiqua"/>
          <w:b/>
          <w:bCs/>
        </w:rPr>
        <w:t>29</w:t>
      </w:r>
      <w:r>
        <w:rPr>
          <w:rFonts w:ascii="Book Antiqua" w:hAnsi="Book Antiqua"/>
        </w:rPr>
        <w:t>: 35-42 [PMID: 34661320 DOI: 10.1111/jvh.13625]</w:t>
      </w:r>
    </w:p>
    <w:p w14:paraId="6A1E59F5" w14:textId="77777777" w:rsidR="003D3BEE" w:rsidRDefault="00B212C7">
      <w:pPr>
        <w:spacing w:line="360" w:lineRule="auto"/>
        <w:jc w:val="both"/>
        <w:rPr>
          <w:rFonts w:ascii="Book Antiqua" w:hAnsi="Book Antiqua"/>
        </w:rPr>
      </w:pPr>
      <w:r>
        <w:rPr>
          <w:rFonts w:ascii="Book Antiqua" w:hAnsi="Book Antiqua"/>
        </w:rPr>
        <w:t xml:space="preserve">31 </w:t>
      </w:r>
      <w:r>
        <w:rPr>
          <w:rFonts w:ascii="Book Antiqua" w:hAnsi="Book Antiqua"/>
          <w:b/>
          <w:bCs/>
        </w:rPr>
        <w:t>Suh CH</w:t>
      </w:r>
      <w:r>
        <w:rPr>
          <w:rFonts w:ascii="Book Antiqua" w:hAnsi="Book Antiqua"/>
        </w:rPr>
        <w:t xml:space="preserve">, Kim KW, Pyo J, Lee J, Kim SY, Park SH. Hypervascular Transformation of Hypovascular Hypointense Nodules in the Hepatobiliary Phase of Gadoxetic Acid-Enhanced MRI: A Systematic Review and Meta-Analysis. </w:t>
      </w:r>
      <w:r>
        <w:rPr>
          <w:rFonts w:ascii="Book Antiqua" w:hAnsi="Book Antiqua"/>
          <w:i/>
          <w:iCs/>
        </w:rPr>
        <w:t>AJR Am J Roentgenol</w:t>
      </w:r>
      <w:r>
        <w:rPr>
          <w:rFonts w:ascii="Book Antiqua" w:hAnsi="Book Antiqua"/>
        </w:rPr>
        <w:t xml:space="preserve"> 2017; </w:t>
      </w:r>
      <w:r>
        <w:rPr>
          <w:rFonts w:ascii="Book Antiqua" w:hAnsi="Book Antiqua"/>
          <w:b/>
          <w:bCs/>
        </w:rPr>
        <w:t>209</w:t>
      </w:r>
      <w:r>
        <w:rPr>
          <w:rFonts w:ascii="Book Antiqua" w:hAnsi="Book Antiqua"/>
        </w:rPr>
        <w:t>: 781-789 [PMID: 28742376 DOI: 10.2214/AJR.16.17711]</w:t>
      </w:r>
    </w:p>
    <w:p w14:paraId="296DFEF2" w14:textId="77777777" w:rsidR="003D3BEE" w:rsidRDefault="00B212C7">
      <w:pPr>
        <w:spacing w:line="360" w:lineRule="auto"/>
        <w:jc w:val="both"/>
        <w:rPr>
          <w:rFonts w:ascii="Book Antiqua" w:hAnsi="Book Antiqua"/>
        </w:rPr>
      </w:pPr>
      <w:r>
        <w:rPr>
          <w:rFonts w:ascii="Book Antiqua" w:hAnsi="Book Antiqua"/>
        </w:rPr>
        <w:t xml:space="preserve">32 </w:t>
      </w:r>
      <w:r>
        <w:rPr>
          <w:rFonts w:ascii="Book Antiqua" w:hAnsi="Book Antiqua"/>
          <w:b/>
          <w:bCs/>
        </w:rPr>
        <w:t>Giovannini C</w:t>
      </w:r>
      <w:r>
        <w:rPr>
          <w:rFonts w:ascii="Book Antiqua" w:hAnsi="Book Antiqua"/>
        </w:rPr>
        <w:t xml:space="preserve">, Fornari F, Indio V, Trerè D, Renzulli M, Vasuri F, Cescon M, Ravaioli M, Perrucci A, Astolfi A, Piscaglia F, Gramantieri L. Direct Antiviral Treatments for Hepatitis C Virus Have Off-Target Effects of Oncologic Relevance in Hepatocellular Carcinoma.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32961688 DOI: 10.3390/cancers12092674]</w:t>
      </w:r>
    </w:p>
    <w:p w14:paraId="7BDA55D0" w14:textId="77777777" w:rsidR="003D3BEE" w:rsidRDefault="00B212C7">
      <w:pPr>
        <w:spacing w:line="360" w:lineRule="auto"/>
        <w:jc w:val="both"/>
        <w:rPr>
          <w:rFonts w:ascii="Book Antiqua" w:hAnsi="Book Antiqua"/>
        </w:rPr>
      </w:pPr>
      <w:r>
        <w:rPr>
          <w:rFonts w:ascii="Book Antiqua" w:hAnsi="Book Antiqua"/>
        </w:rPr>
        <w:t xml:space="preserve">33 </w:t>
      </w:r>
      <w:r>
        <w:rPr>
          <w:rFonts w:ascii="Book Antiqua" w:hAnsi="Book Antiqua"/>
          <w:b/>
          <w:bCs/>
        </w:rPr>
        <w:t>Ohki T</w:t>
      </w:r>
      <w:r>
        <w:rPr>
          <w:rFonts w:ascii="Book Antiqua" w:hAnsi="Book Antiqua"/>
        </w:rPr>
        <w:t xml:space="preserve">, Sato K, Kondo M, Goto E, Sato T, Kondo Y, Akamatsu M, Sato S, Yoshida H, Koike Y, Obi S. Effectiveness of direct acting antiviral agents for hepatitis C virus related recurrent hepatocellular carcinoma patients who had multiple courses of recurrence. </w:t>
      </w:r>
      <w:r>
        <w:rPr>
          <w:rFonts w:ascii="Book Antiqua" w:hAnsi="Book Antiqua"/>
          <w:i/>
          <w:iCs/>
        </w:rPr>
        <w:t>J Viral Hepat</w:t>
      </w:r>
      <w:r>
        <w:rPr>
          <w:rFonts w:ascii="Book Antiqua" w:hAnsi="Book Antiqua"/>
        </w:rPr>
        <w:t xml:space="preserve"> 2021; </w:t>
      </w:r>
      <w:r>
        <w:rPr>
          <w:rFonts w:ascii="Book Antiqua" w:hAnsi="Book Antiqua"/>
          <w:b/>
          <w:bCs/>
        </w:rPr>
        <w:t>28</w:t>
      </w:r>
      <w:r>
        <w:rPr>
          <w:rFonts w:ascii="Book Antiqua" w:hAnsi="Book Antiqua"/>
        </w:rPr>
        <w:t>: 1597-1603 [PMID: 34312954 DOI: 10.1111/jvh.13579]</w:t>
      </w:r>
    </w:p>
    <w:p w14:paraId="021B0CD8" w14:textId="77777777" w:rsidR="003D3BEE" w:rsidRDefault="00B212C7">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Degasperi E</w:t>
      </w:r>
      <w:r>
        <w:rPr>
          <w:rFonts w:ascii="Book Antiqua" w:hAnsi="Book Antiqua"/>
        </w:rPr>
        <w:t xml:space="preserve">, D'Ambrosio R, Iavarone M, Sangiovanni A, Aghemo A, Soffredini R, Borghi M, Lunghi G, Colombo M, Lampertico P. Factors Associated With Increased Risk of De Novo or Recurrent Hepatocellular Carcinoma in Patients With Cirrhosis Treated With Direct-Acting Antivirals for HCV Infection.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1183-1191.e7 [PMID: 30613002 DOI: 10.1016/j.cgh.2018.10.038]</w:t>
      </w:r>
    </w:p>
    <w:p w14:paraId="62C86CBE" w14:textId="77777777" w:rsidR="003D3BEE" w:rsidRDefault="00B212C7">
      <w:pPr>
        <w:spacing w:line="360" w:lineRule="auto"/>
        <w:jc w:val="both"/>
        <w:rPr>
          <w:rFonts w:ascii="Book Antiqua" w:hAnsi="Book Antiqua"/>
        </w:rPr>
      </w:pPr>
      <w:r>
        <w:rPr>
          <w:rFonts w:ascii="Book Antiqua" w:hAnsi="Book Antiqua"/>
        </w:rPr>
        <w:t xml:space="preserve">35 </w:t>
      </w:r>
      <w:r>
        <w:rPr>
          <w:rFonts w:ascii="Book Antiqua" w:hAnsi="Book Antiqua"/>
          <w:b/>
          <w:bCs/>
        </w:rPr>
        <w:t>Ogasawara N</w:t>
      </w:r>
      <w:r>
        <w:rPr>
          <w:rFonts w:ascii="Book Antiqua" w:hAnsi="Book Antiqua"/>
        </w:rPr>
        <w:t xml:space="preserve">, Saitoh S, Akuta N, Sezaki H, Suzuki F, Fujiyama S, Kawamura Y, Hosaka T, Kobayashi M, Suzuki Y, Arase Y, Ikeda K, Kumada H. Advantage of liver stiffness measurement before and after direct-acting antiviral therapy to predict hepatocellular carcinoma and exacerbation of esophageal varices in chronic hepatitis C. </w:t>
      </w:r>
      <w:r>
        <w:rPr>
          <w:rFonts w:ascii="Book Antiqua" w:hAnsi="Book Antiqua"/>
          <w:i/>
          <w:iCs/>
        </w:rPr>
        <w:t>Hepatol Res</w:t>
      </w:r>
      <w:r>
        <w:rPr>
          <w:rFonts w:ascii="Book Antiqua" w:hAnsi="Book Antiqua"/>
        </w:rPr>
        <w:t xml:space="preserve"> 2020; </w:t>
      </w:r>
      <w:r>
        <w:rPr>
          <w:rFonts w:ascii="Book Antiqua" w:hAnsi="Book Antiqua"/>
          <w:b/>
          <w:bCs/>
        </w:rPr>
        <w:t>50</w:t>
      </w:r>
      <w:r>
        <w:rPr>
          <w:rFonts w:ascii="Book Antiqua" w:hAnsi="Book Antiqua"/>
        </w:rPr>
        <w:t>: 426-438 [PMID: 31785120 DOI: 10.1111/hepr.13467]</w:t>
      </w:r>
    </w:p>
    <w:p w14:paraId="3E00B0A8" w14:textId="77777777" w:rsidR="003D3BEE" w:rsidRDefault="00B212C7">
      <w:pPr>
        <w:spacing w:line="360" w:lineRule="auto"/>
        <w:jc w:val="both"/>
        <w:rPr>
          <w:rFonts w:ascii="Book Antiqua" w:hAnsi="Book Antiqua"/>
        </w:rPr>
      </w:pPr>
      <w:r>
        <w:rPr>
          <w:rFonts w:ascii="Book Antiqua" w:hAnsi="Book Antiqua"/>
        </w:rPr>
        <w:t xml:space="preserve">36 </w:t>
      </w:r>
      <w:r>
        <w:rPr>
          <w:rFonts w:ascii="Book Antiqua" w:hAnsi="Book Antiqua"/>
          <w:b/>
          <w:bCs/>
        </w:rPr>
        <w:t>Miyasaka A</w:t>
      </w:r>
      <w:r>
        <w:rPr>
          <w:rFonts w:ascii="Book Antiqua" w:hAnsi="Book Antiqua"/>
        </w:rPr>
        <w:t xml:space="preserve">, Yoshida Y, Suzuki A, Sawara K, Takikawa Y. A Novel Standard for Hepatocellular Carcinoma Screening Intensity After Hepatitis C Elimination. </w:t>
      </w:r>
      <w:r>
        <w:rPr>
          <w:rFonts w:ascii="Book Antiqua" w:hAnsi="Book Antiqua"/>
          <w:i/>
          <w:iCs/>
        </w:rPr>
        <w:t>Int J Gen Med</w:t>
      </w:r>
      <w:r>
        <w:rPr>
          <w:rFonts w:ascii="Book Antiqua" w:hAnsi="Book Antiqua"/>
        </w:rPr>
        <w:t xml:space="preserve"> 2021; </w:t>
      </w:r>
      <w:r>
        <w:rPr>
          <w:rFonts w:ascii="Book Antiqua" w:hAnsi="Book Antiqua"/>
          <w:b/>
          <w:bCs/>
        </w:rPr>
        <w:t>14</w:t>
      </w:r>
      <w:r>
        <w:rPr>
          <w:rFonts w:ascii="Book Antiqua" w:hAnsi="Book Antiqua"/>
        </w:rPr>
        <w:t>: 8935-8943 [PMID: 34866934 DOI: 10.2147/IJGM.S344492]</w:t>
      </w:r>
    </w:p>
    <w:p w14:paraId="3B8602A2" w14:textId="77777777" w:rsidR="003D3BEE" w:rsidRDefault="003D3BEE">
      <w:pPr>
        <w:spacing w:line="360" w:lineRule="auto"/>
        <w:jc w:val="both"/>
        <w:rPr>
          <w:rFonts w:ascii="Book Antiqua" w:eastAsia="宋体" w:hAnsi="Book Antiqua"/>
          <w:lang w:eastAsia="zh-CN"/>
        </w:rPr>
        <w:sectPr w:rsidR="003D3BEE">
          <w:pgSz w:w="12240" w:h="15840"/>
          <w:pgMar w:top="1440" w:right="1440" w:bottom="1440" w:left="1440" w:header="720" w:footer="720" w:gutter="0"/>
          <w:cols w:space="720"/>
          <w:docGrid w:linePitch="360"/>
        </w:sectPr>
      </w:pPr>
    </w:p>
    <w:p w14:paraId="1F1FE662"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5D5F5CD"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w:t>
      </w:r>
      <w:r>
        <w:rPr>
          <w:rFonts w:ascii="Book Antiqua" w:eastAsia="Book Antiqua" w:hAnsi="Book Antiqua" w:cs="Book Antiqua"/>
          <w:b/>
          <w:bCs/>
          <w:color w:val="000000"/>
        </w:rPr>
        <w:t xml:space="preserve"> </w:t>
      </w:r>
      <w:r>
        <w:rPr>
          <w:rFonts w:ascii="Book Antiqua" w:eastAsia="Book Antiqua" w:hAnsi="Book Antiqua" w:cs="Book Antiqua"/>
          <w:color w:val="000000"/>
        </w:rPr>
        <w:t>was reviewed and approved by the ETHICs Committee of Toyama University</w:t>
      </w:r>
      <w:r>
        <w:rPr>
          <w:rFonts w:ascii="Book Antiqua" w:eastAsia="Book Antiqua" w:hAnsi="Book Antiqua" w:cs="Book Antiqua"/>
          <w:bCs/>
          <w:color w:val="000000"/>
        </w:rPr>
        <w:t>.</w:t>
      </w:r>
    </w:p>
    <w:p w14:paraId="1C4375CB" w14:textId="77777777" w:rsidR="003D3BEE" w:rsidRDefault="003D3BEE">
      <w:pPr>
        <w:spacing w:line="360" w:lineRule="auto"/>
        <w:jc w:val="both"/>
        <w:rPr>
          <w:rFonts w:ascii="Book Antiqua" w:hAnsi="Book Antiqua"/>
        </w:rPr>
      </w:pPr>
    </w:p>
    <w:p w14:paraId="630AA8B0"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had agreed to treatment with confirmed written consent. </w:t>
      </w:r>
    </w:p>
    <w:p w14:paraId="2AF64DC4" w14:textId="77777777" w:rsidR="003D3BEE" w:rsidRDefault="003D3BEE">
      <w:pPr>
        <w:spacing w:line="360" w:lineRule="auto"/>
        <w:jc w:val="both"/>
        <w:rPr>
          <w:rFonts w:ascii="Book Antiqua" w:hAnsi="Book Antiqua"/>
        </w:rPr>
      </w:pPr>
    </w:p>
    <w:p w14:paraId="46122C46"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42394BA0" w14:textId="77777777" w:rsidR="003D3BEE" w:rsidRDefault="003D3BEE">
      <w:pPr>
        <w:spacing w:line="360" w:lineRule="auto"/>
        <w:jc w:val="both"/>
        <w:rPr>
          <w:rFonts w:ascii="Book Antiqua" w:hAnsi="Book Antiqua"/>
        </w:rPr>
      </w:pPr>
    </w:p>
    <w:p w14:paraId="2B171CEE"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0BDAE34" w14:textId="77777777" w:rsidR="003D3BEE" w:rsidRDefault="003D3BEE">
      <w:pPr>
        <w:spacing w:line="360" w:lineRule="auto"/>
        <w:jc w:val="both"/>
        <w:rPr>
          <w:rFonts w:ascii="Book Antiqua" w:hAnsi="Book Antiqua"/>
        </w:rPr>
      </w:pPr>
    </w:p>
    <w:p w14:paraId="77D0CF43" w14:textId="77777777" w:rsidR="003D3BEE" w:rsidRDefault="00B212C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AC3D65" w14:textId="77777777" w:rsidR="003D3BEE" w:rsidRDefault="003D3BEE">
      <w:pPr>
        <w:spacing w:line="360" w:lineRule="auto"/>
        <w:jc w:val="both"/>
        <w:rPr>
          <w:rFonts w:ascii="Book Antiqua" w:hAnsi="Book Antiqua"/>
        </w:rPr>
      </w:pPr>
    </w:p>
    <w:p w14:paraId="0ABC0F81" w14:textId="77777777" w:rsidR="003D3BEE" w:rsidRDefault="00B212C7">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AB8A19" w14:textId="77777777" w:rsidR="003D3BEE" w:rsidRDefault="003D3BEE">
      <w:pPr>
        <w:spacing w:line="360" w:lineRule="auto"/>
        <w:jc w:val="both"/>
        <w:rPr>
          <w:rFonts w:ascii="Book Antiqua" w:eastAsia="宋体" w:hAnsi="Book Antiqua"/>
          <w:lang w:eastAsia="zh-CN"/>
        </w:rPr>
      </w:pPr>
    </w:p>
    <w:p w14:paraId="2EDDD0CD"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A01BB9" w14:textId="77777777" w:rsidR="003D3BEE" w:rsidRDefault="003D3BEE">
      <w:pPr>
        <w:spacing w:line="360" w:lineRule="auto"/>
        <w:jc w:val="both"/>
        <w:rPr>
          <w:rFonts w:ascii="Book Antiqua" w:hAnsi="Book Antiqua"/>
        </w:rPr>
      </w:pPr>
    </w:p>
    <w:p w14:paraId="2F54341E"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2022</w:t>
      </w:r>
    </w:p>
    <w:p w14:paraId="4C60274F"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2022</w:t>
      </w:r>
    </w:p>
    <w:p w14:paraId="1FD0D552"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28, 2022</w:t>
      </w:r>
    </w:p>
    <w:p w14:paraId="2994798A" w14:textId="77777777" w:rsidR="003D3BEE" w:rsidRDefault="003D3BEE">
      <w:pPr>
        <w:spacing w:line="360" w:lineRule="auto"/>
        <w:jc w:val="both"/>
        <w:rPr>
          <w:rFonts w:ascii="Book Antiqua" w:hAnsi="Book Antiqua"/>
        </w:rPr>
      </w:pPr>
    </w:p>
    <w:p w14:paraId="4007794D"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color w:val="000000"/>
          <w:lang w:eastAsia="zh-CN"/>
        </w:rPr>
        <w:t>h</w:t>
      </w:r>
      <w:r>
        <w:rPr>
          <w:rFonts w:ascii="Book Antiqua" w:eastAsia="Book Antiqua" w:hAnsi="Book Antiqua" w:cs="Book Antiqua"/>
          <w:color w:val="000000"/>
        </w:rPr>
        <w:t>epatology</w:t>
      </w:r>
    </w:p>
    <w:p w14:paraId="79C55476"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Japan</w:t>
      </w:r>
    </w:p>
    <w:p w14:paraId="22463CBD" w14:textId="77777777" w:rsidR="003D3BEE" w:rsidRDefault="00B212C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B94DA86"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Grade A (Excellent): A</w:t>
      </w:r>
    </w:p>
    <w:p w14:paraId="18904BE8"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Grade B (Very good): 0</w:t>
      </w:r>
    </w:p>
    <w:p w14:paraId="72BCB541"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Grade C (Good): C</w:t>
      </w:r>
    </w:p>
    <w:p w14:paraId="4C8284BC"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Grade D (Fair): 0</w:t>
      </w:r>
    </w:p>
    <w:p w14:paraId="462AFF88" w14:textId="77777777" w:rsidR="003D3BEE" w:rsidRDefault="00B212C7">
      <w:pPr>
        <w:spacing w:line="360" w:lineRule="auto"/>
        <w:jc w:val="both"/>
        <w:rPr>
          <w:rFonts w:ascii="Book Antiqua" w:hAnsi="Book Antiqua"/>
        </w:rPr>
      </w:pPr>
      <w:r>
        <w:rPr>
          <w:rFonts w:ascii="Book Antiqua" w:eastAsia="Book Antiqua" w:hAnsi="Book Antiqua" w:cs="Book Antiqua"/>
          <w:color w:val="000000"/>
        </w:rPr>
        <w:t>Grade E (Poor): 0</w:t>
      </w:r>
    </w:p>
    <w:p w14:paraId="7A99D912" w14:textId="77777777" w:rsidR="003D3BEE" w:rsidRDefault="003D3BEE">
      <w:pPr>
        <w:spacing w:line="360" w:lineRule="auto"/>
        <w:jc w:val="both"/>
        <w:rPr>
          <w:rFonts w:ascii="Book Antiqua" w:hAnsi="Book Antiqua"/>
        </w:rPr>
      </w:pPr>
    </w:p>
    <w:p w14:paraId="7B29917B" w14:textId="77777777" w:rsidR="003D3BEE" w:rsidRDefault="00B212C7">
      <w:pPr>
        <w:pStyle w:val="a9"/>
        <w:spacing w:before="0" w:beforeAutospacing="0" w:after="0" w:afterAutospacing="0" w:line="360" w:lineRule="auto"/>
        <w:jc w:val="both"/>
        <w:rPr>
          <w:rFonts w:ascii="Book Antiqua" w:hAnsi="Book Antiqua"/>
        </w:rPr>
      </w:pPr>
      <w:r>
        <w:rPr>
          <w:rFonts w:ascii="Book Antiqua" w:hAnsi="Book Antiqua"/>
          <w:b/>
          <w:bCs/>
        </w:rPr>
        <w:t xml:space="preserve">P-Reviewer: </w:t>
      </w:r>
      <w:r>
        <w:rPr>
          <w:rFonts w:ascii="Book Antiqua" w:hAnsi="Book Antiqua"/>
        </w:rPr>
        <w:t>Chen C, China; Ghoneim S, United States</w:t>
      </w:r>
      <w:r>
        <w:rPr>
          <w:rFonts w:ascii="Book Antiqua" w:hAnsi="Book Antiqua"/>
          <w:b/>
          <w:bCs/>
        </w:rPr>
        <w:t xml:space="preserve"> A-Editor: </w:t>
      </w:r>
      <w:r>
        <w:rPr>
          <w:rFonts w:ascii="Book Antiqua" w:hAnsi="Book Antiqua"/>
        </w:rPr>
        <w:t>Yao (Online Science Editor) QG, China</w:t>
      </w:r>
      <w:r>
        <w:rPr>
          <w:rFonts w:ascii="Book Antiqua" w:hAnsi="Book Antiqua"/>
          <w:b/>
          <w:bCs/>
        </w:rPr>
        <w:t xml:space="preserve"> S-Editor: </w:t>
      </w:r>
      <w:r>
        <w:rPr>
          <w:rFonts w:ascii="Book Antiqua" w:hAnsi="Book Antiqua"/>
        </w:rPr>
        <w:t>Fan JR</w:t>
      </w:r>
      <w:r>
        <w:rPr>
          <w:rFonts w:ascii="Book Antiqua" w:hAnsi="Book Antiqua"/>
          <w:b/>
          <w:bCs/>
        </w:rPr>
        <w:t xml:space="preserve"> L-Editor: </w:t>
      </w:r>
      <w:r>
        <w:rPr>
          <w:rFonts w:ascii="Book Antiqua" w:hAnsi="Book Antiqua"/>
        </w:rPr>
        <w:t>Filipodia</w:t>
      </w:r>
      <w:r>
        <w:rPr>
          <w:rFonts w:ascii="Book Antiqua" w:hAnsi="Book Antiqua"/>
          <w:b/>
          <w:bCs/>
        </w:rPr>
        <w:t xml:space="preserve"> P-Editor: </w:t>
      </w:r>
      <w:r>
        <w:rPr>
          <w:rFonts w:ascii="Book Antiqua" w:hAnsi="Book Antiqua"/>
        </w:rPr>
        <w:t>Fan JR</w:t>
      </w:r>
    </w:p>
    <w:p w14:paraId="04BF04F6" w14:textId="77777777" w:rsidR="003D3BEE" w:rsidRDefault="003D3BEE">
      <w:pPr>
        <w:spacing w:line="360" w:lineRule="auto"/>
        <w:jc w:val="both"/>
        <w:rPr>
          <w:rFonts w:ascii="Book Antiqua" w:hAnsi="Book Antiqua"/>
        </w:rPr>
      </w:pPr>
    </w:p>
    <w:p w14:paraId="2F2E0CC9" w14:textId="77777777" w:rsidR="003D3BEE" w:rsidRDefault="00B212C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4AD566F" w14:textId="77777777" w:rsidR="003D3BEE" w:rsidRDefault="00B212C7">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lastRenderedPageBreak/>
        <w:t>Figure Legends</w:t>
      </w:r>
    </w:p>
    <w:p w14:paraId="58D9AAE0" w14:textId="76045E85" w:rsidR="003D3BEE" w:rsidRDefault="00270AEE">
      <w:pPr>
        <w:spacing w:line="360" w:lineRule="auto"/>
        <w:jc w:val="both"/>
        <w:rPr>
          <w:rFonts w:ascii="Book Antiqua" w:eastAsia="宋体" w:hAnsi="Book Antiqua"/>
          <w:lang w:eastAsia="zh-CN"/>
        </w:rPr>
      </w:pPr>
      <w:r>
        <w:rPr>
          <w:noProof/>
        </w:rPr>
        <w:drawing>
          <wp:inline distT="0" distB="0" distL="0" distR="0" wp14:anchorId="04C7BE76" wp14:editId="51579FAF">
            <wp:extent cx="4495800" cy="2476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2476500"/>
                    </a:xfrm>
                    <a:prstGeom prst="rect">
                      <a:avLst/>
                    </a:prstGeom>
                    <a:noFill/>
                    <a:ln>
                      <a:noFill/>
                    </a:ln>
                  </pic:spPr>
                </pic:pic>
              </a:graphicData>
            </a:graphic>
          </wp:inline>
        </w:drawing>
      </w:r>
    </w:p>
    <w:p w14:paraId="317D4950" w14:textId="77777777" w:rsidR="003D3BEE" w:rsidRDefault="00B212C7">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Kaplan-Meier analysis</w:t>
      </w:r>
      <w:r>
        <w:rPr>
          <w:rFonts w:ascii="Book Antiqua" w:eastAsia="宋体" w:hAnsi="Book Antiqua" w:cs="Book Antiqua"/>
          <w:b/>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Hepatocellular carcinoma (HCC) recurrence/occurrence after direct-acting antiviral (DAA) treatment of patients with (solid line) and without (dotted line) a history of HCC</w:t>
      </w:r>
      <w:r>
        <w:rPr>
          <w:rFonts w:ascii="Book Antiqua" w:eastAsia="宋体" w:hAnsi="Book Antiqua" w:cs="Book Antiqua"/>
          <w:color w:val="000000"/>
          <w:lang w:eastAsia="zh-CN"/>
        </w:rPr>
        <w:t xml:space="preserve">; </w:t>
      </w:r>
      <w:r>
        <w:rPr>
          <w:rFonts w:ascii="Book Antiqua" w:eastAsia="Book Antiqua" w:hAnsi="Book Antiqua" w:cs="Book Antiqua"/>
          <w:color w:val="000000"/>
        </w:rPr>
        <w:t>B: Kaplan-Meier analysis of HCC events after DAA treatment in patients with 1 (solid line), 2 (dotted line),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(dashed line) HCC events before DAA treatment. Numbers in parenthesis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95% confidence interval. NR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N</w:t>
      </w:r>
      <w:r>
        <w:rPr>
          <w:rFonts w:ascii="Book Antiqua" w:eastAsia="Book Antiqua" w:hAnsi="Book Antiqua" w:cs="Book Antiqua"/>
          <w:color w:val="000000"/>
        </w:rPr>
        <w:t>ot reached; RFS</w:t>
      </w:r>
      <w:r>
        <w:rPr>
          <w:rFonts w:ascii="Book Antiqua" w:eastAsia="宋体" w:hAnsi="Book Antiqua" w:cs="Book Antiqua"/>
          <w:color w:val="000000"/>
          <w:lang w:eastAsia="zh-CN"/>
        </w:rPr>
        <w:t>: R</w:t>
      </w:r>
      <w:r>
        <w:rPr>
          <w:rFonts w:ascii="Book Antiqua" w:eastAsia="Book Antiqua" w:hAnsi="Book Antiqua" w:cs="Book Antiqua"/>
          <w:color w:val="000000"/>
        </w:rPr>
        <w:t>ecurrence-free survival</w:t>
      </w:r>
      <w:r>
        <w:rPr>
          <w:rFonts w:ascii="Book Antiqua" w:eastAsia="宋体" w:hAnsi="Book Antiqua" w:cs="Book Antiqua" w:hint="eastAsia"/>
          <w:color w:val="000000"/>
          <w:lang w:eastAsia="zh-CN"/>
        </w:rPr>
        <w:t>; CI: C</w:t>
      </w:r>
      <w:r>
        <w:rPr>
          <w:rFonts w:ascii="Book Antiqua" w:eastAsia="Book Antiqua" w:hAnsi="Book Antiqua" w:cs="Book Antiqu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Hepatocellular carcinoma</w:t>
      </w:r>
      <w:r>
        <w:rPr>
          <w:rFonts w:ascii="Book Antiqua" w:eastAsia="宋体" w:hAnsi="Book Antiqua" w:cs="Book Antiqua" w:hint="eastAsia"/>
          <w:color w:val="000000"/>
          <w:lang w:eastAsia="zh-CN"/>
        </w:rPr>
        <w:t>.</w:t>
      </w:r>
    </w:p>
    <w:p w14:paraId="2E725828" w14:textId="77777777" w:rsidR="003D3BEE" w:rsidRDefault="00B212C7">
      <w:pPr>
        <w:spacing w:line="360" w:lineRule="auto"/>
        <w:jc w:val="both"/>
        <w:rPr>
          <w:rFonts w:ascii="Book Antiqua" w:hAnsi="Book Antiqua"/>
        </w:rPr>
      </w:pPr>
      <w:r>
        <w:rPr>
          <w:rFonts w:ascii="Book Antiqua" w:hAnsi="Book Antiqua"/>
        </w:rPr>
        <w:br w:type="page"/>
      </w:r>
    </w:p>
    <w:p w14:paraId="73ACC50E" w14:textId="58816DB1" w:rsidR="003D3BEE" w:rsidRDefault="00270AEE">
      <w:pPr>
        <w:spacing w:line="360" w:lineRule="auto"/>
        <w:jc w:val="both"/>
        <w:rPr>
          <w:rFonts w:ascii="Book Antiqua" w:hAnsi="Book Antiqua"/>
        </w:rPr>
      </w:pPr>
      <w:r>
        <w:rPr>
          <w:noProof/>
        </w:rPr>
        <w:lastRenderedPageBreak/>
        <w:drawing>
          <wp:inline distT="0" distB="0" distL="0" distR="0" wp14:anchorId="6E5B8046" wp14:editId="4316B097">
            <wp:extent cx="4883150" cy="2520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3150" cy="2520950"/>
                    </a:xfrm>
                    <a:prstGeom prst="rect">
                      <a:avLst/>
                    </a:prstGeom>
                    <a:noFill/>
                    <a:ln>
                      <a:noFill/>
                    </a:ln>
                  </pic:spPr>
                </pic:pic>
              </a:graphicData>
            </a:graphic>
          </wp:inline>
        </w:drawing>
      </w:r>
    </w:p>
    <w:p w14:paraId="461091B6" w14:textId="77777777" w:rsidR="003D3BEE" w:rsidRDefault="00B212C7">
      <w:pPr>
        <w:spacing w:line="360" w:lineRule="auto"/>
        <w:jc w:val="both"/>
        <w:rPr>
          <w:rFonts w:ascii="Book Antiqua" w:eastAsia="宋体" w:hAnsi="Book Antiqua"/>
          <w:lang w:eastAsia="zh-CN"/>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Median recurrence-free survival in patients with </w:t>
      </w:r>
      <w:r>
        <w:rPr>
          <w:rFonts w:ascii="Book Antiqua" w:eastAsia="宋体" w:hAnsi="Book Antiqua" w:cs="Book Antiqua"/>
          <w:b/>
          <w:color w:val="000000"/>
          <w:lang w:eastAsia="zh-CN"/>
        </w:rPr>
        <w:t>h</w:t>
      </w:r>
      <w:r>
        <w:rPr>
          <w:rFonts w:ascii="Book Antiqua" w:eastAsia="Book Antiqua" w:hAnsi="Book Antiqua" w:cs="Book Antiqua"/>
          <w:b/>
          <w:color w:val="000000"/>
        </w:rPr>
        <w:t xml:space="preserve">epatocellular carcinoma recurrence before and after direct-acting antivirals treatment. </w:t>
      </w:r>
      <w:r>
        <w:rPr>
          <w:rFonts w:ascii="Book Antiqua" w:eastAsia="Book Antiqua" w:hAnsi="Book Antiqua" w:cs="Book Antiqua"/>
          <w:color w:val="000000"/>
        </w:rPr>
        <w:t>A</w:t>
      </w:r>
      <w:r>
        <w:rPr>
          <w:rFonts w:ascii="Book Antiqua" w:eastAsia="宋体" w:hAnsi="Book Antiqua" w:cs="Book Antiqua"/>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Kaplan-Meier analysis of </w:t>
      </w:r>
      <w:r>
        <w:rPr>
          <w:rFonts w:ascii="Book Antiqua" w:eastAsia="宋体" w:hAnsi="Book Antiqua" w:cs="Book Antiqua"/>
          <w:color w:val="000000"/>
          <w:lang w:eastAsia="zh-CN"/>
        </w:rPr>
        <w:t>h</w:t>
      </w:r>
      <w:r>
        <w:rPr>
          <w:rFonts w:ascii="Book Antiqua" w:eastAsia="Book Antiqua" w:hAnsi="Book Antiqua" w:cs="Book Antiqua"/>
          <w:color w:val="000000"/>
        </w:rPr>
        <w:t>epatocellular carcinoma (HCC) recurrence before (solid line) and after (dotted line) direct-acting antiviral (DAA) treatment in patients with a history of HCC</w:t>
      </w:r>
      <w:r>
        <w:rPr>
          <w:rFonts w:ascii="Book Antiqua" w:eastAsia="宋体" w:hAnsi="Book Antiqua" w:cs="Book Antiqua"/>
          <w:color w:val="000000"/>
          <w:lang w:eastAsia="zh-CN"/>
        </w:rPr>
        <w:t>;</w:t>
      </w:r>
      <w:r>
        <w:rPr>
          <w:rFonts w:ascii="Book Antiqua" w:eastAsia="Book Antiqua" w:hAnsi="Book Antiqua" w:cs="Book Antiqua"/>
          <w:color w:val="000000"/>
        </w:rPr>
        <w:t xml:space="preserve"> B</w:t>
      </w:r>
      <w:r>
        <w:rPr>
          <w:rFonts w:ascii="Book Antiqua" w:eastAsia="宋体" w:hAnsi="Book Antiqua" w:cs="Book Antiqua"/>
          <w:color w:val="000000"/>
          <w:lang w:eastAsia="zh-CN"/>
        </w:rPr>
        <w:t>:</w:t>
      </w:r>
      <w:r>
        <w:rPr>
          <w:rFonts w:ascii="Book Antiqua" w:eastAsia="Book Antiqua" w:hAnsi="Book Antiqua" w:cs="Book Antiqua"/>
          <w:color w:val="000000"/>
        </w:rPr>
        <w:t xml:space="preserve"> Schema of HCC events. Solid triangle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one event. Black bar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period in days. Numbers in parenthesis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95% confidence interval. RFS</w:t>
      </w:r>
      <w:r>
        <w:rPr>
          <w:rFonts w:ascii="Book Antiqua" w:eastAsia="宋体" w:hAnsi="Book Antiqua" w:cs="Book Antiqua"/>
          <w:color w:val="000000"/>
          <w:lang w:eastAsia="zh-CN"/>
        </w:rPr>
        <w:t>: R</w:t>
      </w:r>
      <w:r>
        <w:rPr>
          <w:rFonts w:ascii="Book Antiqua" w:eastAsia="Book Antiqua" w:hAnsi="Book Antiqua" w:cs="Book Antiqua"/>
          <w:color w:val="000000"/>
        </w:rPr>
        <w:t>ecurrence-free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Hepatocellular carcinoma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irect-acting antiviral</w:t>
      </w:r>
      <w:r>
        <w:rPr>
          <w:rFonts w:ascii="Book Antiqua" w:eastAsia="宋体" w:hAnsi="Book Antiqua" w:cs="Book Antiqua" w:hint="eastAsia"/>
          <w:color w:val="000000"/>
          <w:lang w:eastAsia="zh-CN"/>
        </w:rPr>
        <w:t>.</w:t>
      </w:r>
    </w:p>
    <w:p w14:paraId="04B2D50D" w14:textId="77777777" w:rsidR="003D3BEE" w:rsidRDefault="00B212C7">
      <w:pPr>
        <w:spacing w:line="360" w:lineRule="auto"/>
        <w:jc w:val="both"/>
        <w:rPr>
          <w:rFonts w:ascii="Book Antiqua" w:hAnsi="Book Antiqua"/>
        </w:rPr>
      </w:pPr>
      <w:r>
        <w:rPr>
          <w:rFonts w:ascii="Book Antiqua" w:hAnsi="Book Antiqua"/>
        </w:rPr>
        <w:br w:type="page"/>
      </w:r>
    </w:p>
    <w:p w14:paraId="5BA416B5" w14:textId="77777777" w:rsidR="003D3BEE" w:rsidRDefault="00B212C7">
      <w:pPr>
        <w:spacing w:line="360" w:lineRule="auto"/>
        <w:jc w:val="both"/>
        <w:rPr>
          <w:rFonts w:ascii="Book Antiqua" w:eastAsia="宋体" w:hAnsi="Book Antiqua"/>
          <w:b/>
          <w:bCs/>
          <w:lang w:eastAsia="zh-CN"/>
        </w:rPr>
      </w:pPr>
      <w:r>
        <w:rPr>
          <w:rFonts w:ascii="Book Antiqua" w:hAnsi="Book Antiqua"/>
          <w:b/>
          <w:bCs/>
        </w:rPr>
        <w:lastRenderedPageBreak/>
        <w:t xml:space="preserve">Table 1 Characteristics of </w:t>
      </w:r>
      <w:r>
        <w:rPr>
          <w:rFonts w:ascii="Book Antiqua" w:eastAsia="宋体" w:hAnsi="Book Antiqua"/>
          <w:b/>
          <w:bCs/>
          <w:lang w:eastAsia="zh-CN"/>
        </w:rPr>
        <w:t>p</w:t>
      </w:r>
      <w:r>
        <w:rPr>
          <w:rFonts w:ascii="Book Antiqua" w:hAnsi="Book Antiqua"/>
          <w:b/>
          <w:bCs/>
        </w:rPr>
        <w:t>atients</w:t>
      </w:r>
    </w:p>
    <w:tbl>
      <w:tblPr>
        <w:tblW w:w="5144"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37"/>
        <w:gridCol w:w="2001"/>
        <w:gridCol w:w="1824"/>
        <w:gridCol w:w="1849"/>
        <w:gridCol w:w="1219"/>
      </w:tblGrid>
      <w:tr w:rsidR="003D3BEE" w14:paraId="3A3DF617" w14:textId="77777777">
        <w:trPr>
          <w:trHeight w:val="353"/>
        </w:trPr>
        <w:tc>
          <w:tcPr>
            <w:tcW w:w="1421" w:type="pct"/>
            <w:tcBorders>
              <w:top w:val="single" w:sz="4" w:space="0" w:color="auto"/>
              <w:bottom w:val="single" w:sz="4" w:space="0" w:color="auto"/>
            </w:tcBorders>
            <w:shd w:val="clear" w:color="auto" w:fill="FFFFFF"/>
            <w:tcMar>
              <w:top w:w="72" w:type="dxa"/>
              <w:left w:w="144" w:type="dxa"/>
              <w:bottom w:w="72" w:type="dxa"/>
              <w:right w:w="144" w:type="dxa"/>
            </w:tcMar>
          </w:tcPr>
          <w:p w14:paraId="4108066E" w14:textId="77777777" w:rsidR="003D3BEE" w:rsidRDefault="003D3BEE">
            <w:pPr>
              <w:spacing w:line="360" w:lineRule="auto"/>
              <w:jc w:val="both"/>
              <w:rPr>
                <w:rFonts w:ascii="Book Antiqua" w:hAnsi="Book Antiqua"/>
                <w:b/>
              </w:rPr>
            </w:pPr>
          </w:p>
        </w:tc>
        <w:tc>
          <w:tcPr>
            <w:tcW w:w="1039" w:type="pct"/>
            <w:tcBorders>
              <w:top w:val="single" w:sz="4" w:space="0" w:color="auto"/>
              <w:bottom w:val="single" w:sz="4" w:space="0" w:color="auto"/>
            </w:tcBorders>
            <w:shd w:val="clear" w:color="auto" w:fill="FFFFFF"/>
            <w:tcMar>
              <w:top w:w="72" w:type="dxa"/>
              <w:left w:w="144" w:type="dxa"/>
              <w:bottom w:w="72" w:type="dxa"/>
              <w:right w:w="144" w:type="dxa"/>
            </w:tcMar>
          </w:tcPr>
          <w:p w14:paraId="6BEB7A48" w14:textId="77777777" w:rsidR="003D3BEE" w:rsidRDefault="00B212C7">
            <w:pPr>
              <w:spacing w:line="360" w:lineRule="auto"/>
              <w:jc w:val="both"/>
              <w:rPr>
                <w:rFonts w:ascii="Book Antiqua" w:hAnsi="Book Antiqua"/>
                <w:b/>
              </w:rPr>
            </w:pPr>
            <w:r>
              <w:rPr>
                <w:rFonts w:ascii="Book Antiqua" w:hAnsi="Book Antiqua"/>
                <w:b/>
              </w:rPr>
              <w:t xml:space="preserve">Overall </w:t>
            </w:r>
          </w:p>
        </w:tc>
        <w:tc>
          <w:tcPr>
            <w:tcW w:w="947" w:type="pct"/>
            <w:tcBorders>
              <w:top w:val="single" w:sz="4" w:space="0" w:color="auto"/>
              <w:bottom w:val="single" w:sz="4" w:space="0" w:color="auto"/>
            </w:tcBorders>
            <w:shd w:val="clear" w:color="auto" w:fill="FFFFFF"/>
            <w:tcMar>
              <w:top w:w="72" w:type="dxa"/>
              <w:left w:w="144" w:type="dxa"/>
              <w:bottom w:w="72" w:type="dxa"/>
              <w:right w:w="144" w:type="dxa"/>
            </w:tcMar>
          </w:tcPr>
          <w:p w14:paraId="43BF1192" w14:textId="77777777" w:rsidR="003D3BEE" w:rsidRDefault="00B212C7">
            <w:pPr>
              <w:spacing w:line="360" w:lineRule="auto"/>
              <w:jc w:val="both"/>
              <w:rPr>
                <w:rFonts w:ascii="Book Antiqua" w:hAnsi="Book Antiqua"/>
                <w:b/>
              </w:rPr>
            </w:pPr>
            <w:r>
              <w:rPr>
                <w:rFonts w:ascii="Book Antiqua" w:hAnsi="Book Antiqua"/>
                <w:b/>
              </w:rPr>
              <w:t xml:space="preserve">With HCC </w:t>
            </w:r>
          </w:p>
        </w:tc>
        <w:tc>
          <w:tcPr>
            <w:tcW w:w="960" w:type="pct"/>
            <w:tcBorders>
              <w:top w:val="single" w:sz="4" w:space="0" w:color="auto"/>
              <w:bottom w:val="single" w:sz="4" w:space="0" w:color="auto"/>
            </w:tcBorders>
            <w:shd w:val="clear" w:color="auto" w:fill="FFFFFF"/>
            <w:tcMar>
              <w:top w:w="72" w:type="dxa"/>
              <w:left w:w="144" w:type="dxa"/>
              <w:bottom w:w="72" w:type="dxa"/>
              <w:right w:w="144" w:type="dxa"/>
            </w:tcMar>
          </w:tcPr>
          <w:p w14:paraId="1411D9CB" w14:textId="77777777" w:rsidR="003D3BEE" w:rsidRDefault="00B212C7">
            <w:pPr>
              <w:spacing w:line="360" w:lineRule="auto"/>
              <w:jc w:val="both"/>
              <w:rPr>
                <w:rFonts w:ascii="Book Antiqua" w:hAnsi="Book Antiqua"/>
                <w:b/>
              </w:rPr>
            </w:pPr>
            <w:r>
              <w:rPr>
                <w:rFonts w:ascii="Book Antiqua" w:hAnsi="Book Antiqua"/>
                <w:b/>
              </w:rPr>
              <w:t>Without HCC</w:t>
            </w:r>
          </w:p>
        </w:tc>
        <w:tc>
          <w:tcPr>
            <w:tcW w:w="633" w:type="pct"/>
            <w:tcBorders>
              <w:top w:val="single" w:sz="4" w:space="0" w:color="auto"/>
              <w:bottom w:val="single" w:sz="4" w:space="0" w:color="auto"/>
            </w:tcBorders>
            <w:shd w:val="clear" w:color="auto" w:fill="FFFFFF"/>
            <w:tcMar>
              <w:top w:w="72" w:type="dxa"/>
              <w:left w:w="144" w:type="dxa"/>
              <w:bottom w:w="72" w:type="dxa"/>
              <w:right w:w="144" w:type="dxa"/>
            </w:tcMar>
          </w:tcPr>
          <w:p w14:paraId="0BDD0CBA" w14:textId="77777777" w:rsidR="003D3BEE" w:rsidRDefault="00B212C7">
            <w:pPr>
              <w:spacing w:line="360" w:lineRule="auto"/>
              <w:jc w:val="both"/>
              <w:rPr>
                <w:rFonts w:ascii="Book Antiqua" w:eastAsia="宋体" w:hAnsi="Book Antiqua"/>
                <w:b/>
                <w:lang w:eastAsia="zh-CN"/>
              </w:rPr>
            </w:pPr>
            <w:r>
              <w:rPr>
                <w:rFonts w:ascii="Book Antiqua" w:eastAsia="宋体" w:hAnsi="Book Antiqua"/>
                <w:b/>
                <w:i/>
                <w:lang w:eastAsia="zh-CN"/>
              </w:rPr>
              <w:t>P</w:t>
            </w:r>
            <w:r>
              <w:rPr>
                <w:rFonts w:ascii="Book Antiqua" w:eastAsia="宋体" w:hAnsi="Book Antiqua"/>
                <w:b/>
                <w:lang w:eastAsia="zh-CN"/>
              </w:rPr>
              <w:t xml:space="preserve"> value</w:t>
            </w:r>
            <w:r>
              <w:rPr>
                <w:rFonts w:ascii="Book Antiqua" w:eastAsia="宋体" w:hAnsi="Book Antiqua"/>
                <w:b/>
                <w:vertAlign w:val="superscript"/>
                <w:lang w:eastAsia="zh-CN"/>
              </w:rPr>
              <w:t>1</w:t>
            </w:r>
          </w:p>
        </w:tc>
      </w:tr>
      <w:tr w:rsidR="003D3BEE" w14:paraId="243FFF24" w14:textId="77777777">
        <w:trPr>
          <w:trHeight w:val="353"/>
        </w:trPr>
        <w:tc>
          <w:tcPr>
            <w:tcW w:w="1421" w:type="pct"/>
            <w:tcBorders>
              <w:top w:val="single" w:sz="4" w:space="0" w:color="auto"/>
            </w:tcBorders>
            <w:shd w:val="clear" w:color="auto" w:fill="FFFFFF"/>
            <w:tcMar>
              <w:top w:w="72" w:type="dxa"/>
              <w:left w:w="144" w:type="dxa"/>
              <w:bottom w:w="72" w:type="dxa"/>
              <w:right w:w="144" w:type="dxa"/>
            </w:tcMar>
          </w:tcPr>
          <w:p w14:paraId="7616A4DF" w14:textId="77777777" w:rsidR="003D3BEE" w:rsidRDefault="00B212C7">
            <w:pPr>
              <w:spacing w:line="360" w:lineRule="auto"/>
              <w:jc w:val="both"/>
              <w:rPr>
                <w:rFonts w:ascii="Book Antiqua" w:hAnsi="Book Antiqua"/>
              </w:rPr>
            </w:pPr>
            <w:r>
              <w:rPr>
                <w:rFonts w:ascii="Book Antiqua" w:hAnsi="Book Antiqua"/>
              </w:rPr>
              <w:t>Case</w:t>
            </w:r>
          </w:p>
        </w:tc>
        <w:tc>
          <w:tcPr>
            <w:tcW w:w="1039" w:type="pct"/>
            <w:tcBorders>
              <w:top w:val="single" w:sz="4" w:space="0" w:color="auto"/>
            </w:tcBorders>
            <w:shd w:val="clear" w:color="auto" w:fill="FFFFFF"/>
            <w:tcMar>
              <w:top w:w="72" w:type="dxa"/>
              <w:left w:w="144" w:type="dxa"/>
              <w:bottom w:w="72" w:type="dxa"/>
              <w:right w:w="144" w:type="dxa"/>
            </w:tcMar>
          </w:tcPr>
          <w:p w14:paraId="5DBFFB04" w14:textId="77777777" w:rsidR="003D3BEE" w:rsidRDefault="00B212C7">
            <w:pPr>
              <w:spacing w:line="360" w:lineRule="auto"/>
              <w:jc w:val="both"/>
              <w:rPr>
                <w:rFonts w:ascii="Book Antiqua" w:hAnsi="Book Antiqua"/>
              </w:rPr>
            </w:pPr>
            <w:r>
              <w:rPr>
                <w:rFonts w:ascii="Book Antiqua" w:hAnsi="Book Antiqua"/>
              </w:rPr>
              <w:t>311</w:t>
            </w:r>
          </w:p>
        </w:tc>
        <w:tc>
          <w:tcPr>
            <w:tcW w:w="947" w:type="pct"/>
            <w:tcBorders>
              <w:top w:val="single" w:sz="4" w:space="0" w:color="auto"/>
            </w:tcBorders>
            <w:shd w:val="clear" w:color="auto" w:fill="FFFFFF"/>
            <w:tcMar>
              <w:top w:w="72" w:type="dxa"/>
              <w:left w:w="144" w:type="dxa"/>
              <w:bottom w:w="72" w:type="dxa"/>
              <w:right w:w="144" w:type="dxa"/>
            </w:tcMar>
          </w:tcPr>
          <w:p w14:paraId="290DB9F9" w14:textId="77777777" w:rsidR="003D3BEE" w:rsidRDefault="00B212C7">
            <w:pPr>
              <w:spacing w:line="360" w:lineRule="auto"/>
              <w:jc w:val="both"/>
              <w:rPr>
                <w:rFonts w:ascii="Book Antiqua" w:hAnsi="Book Antiqua"/>
              </w:rPr>
            </w:pPr>
            <w:r>
              <w:rPr>
                <w:rFonts w:ascii="Book Antiqua" w:hAnsi="Book Antiqua"/>
              </w:rPr>
              <w:t>53</w:t>
            </w:r>
          </w:p>
        </w:tc>
        <w:tc>
          <w:tcPr>
            <w:tcW w:w="960" w:type="pct"/>
            <w:tcBorders>
              <w:top w:val="single" w:sz="4" w:space="0" w:color="auto"/>
            </w:tcBorders>
            <w:shd w:val="clear" w:color="auto" w:fill="FFFFFF"/>
            <w:tcMar>
              <w:top w:w="72" w:type="dxa"/>
              <w:left w:w="144" w:type="dxa"/>
              <w:bottom w:w="72" w:type="dxa"/>
              <w:right w:w="144" w:type="dxa"/>
            </w:tcMar>
          </w:tcPr>
          <w:p w14:paraId="0EA4400E" w14:textId="77777777" w:rsidR="003D3BEE" w:rsidRDefault="00B212C7">
            <w:pPr>
              <w:spacing w:line="360" w:lineRule="auto"/>
              <w:jc w:val="both"/>
              <w:rPr>
                <w:rFonts w:ascii="Book Antiqua" w:hAnsi="Book Antiqua"/>
              </w:rPr>
            </w:pPr>
            <w:r>
              <w:rPr>
                <w:rFonts w:ascii="Book Antiqua" w:hAnsi="Book Antiqua"/>
              </w:rPr>
              <w:t>258</w:t>
            </w:r>
          </w:p>
        </w:tc>
        <w:tc>
          <w:tcPr>
            <w:tcW w:w="633" w:type="pct"/>
            <w:tcBorders>
              <w:top w:val="single" w:sz="4" w:space="0" w:color="auto"/>
            </w:tcBorders>
            <w:shd w:val="clear" w:color="auto" w:fill="FFFFFF"/>
            <w:tcMar>
              <w:top w:w="72" w:type="dxa"/>
              <w:left w:w="144" w:type="dxa"/>
              <w:bottom w:w="72" w:type="dxa"/>
              <w:right w:w="144" w:type="dxa"/>
            </w:tcMar>
          </w:tcPr>
          <w:p w14:paraId="4E3A0E36" w14:textId="77777777" w:rsidR="003D3BEE" w:rsidRDefault="003D3BEE">
            <w:pPr>
              <w:spacing w:line="360" w:lineRule="auto"/>
              <w:jc w:val="both"/>
              <w:rPr>
                <w:rFonts w:ascii="Book Antiqua" w:hAnsi="Book Antiqua"/>
              </w:rPr>
            </w:pPr>
          </w:p>
        </w:tc>
      </w:tr>
      <w:tr w:rsidR="003D3BEE" w14:paraId="79EC8186" w14:textId="77777777">
        <w:trPr>
          <w:trHeight w:val="353"/>
        </w:trPr>
        <w:tc>
          <w:tcPr>
            <w:tcW w:w="1421" w:type="pct"/>
            <w:shd w:val="clear" w:color="auto" w:fill="FFFFFF"/>
            <w:tcMar>
              <w:top w:w="72" w:type="dxa"/>
              <w:left w:w="144" w:type="dxa"/>
              <w:bottom w:w="72" w:type="dxa"/>
              <w:right w:w="144" w:type="dxa"/>
            </w:tcMar>
          </w:tcPr>
          <w:p w14:paraId="462BD388" w14:textId="77777777" w:rsidR="003D3BEE" w:rsidRDefault="00B212C7">
            <w:pPr>
              <w:spacing w:line="360" w:lineRule="auto"/>
              <w:jc w:val="both"/>
              <w:rPr>
                <w:rFonts w:ascii="Book Antiqua" w:hAnsi="Book Antiqua"/>
              </w:rPr>
            </w:pPr>
            <w:r>
              <w:rPr>
                <w:rFonts w:ascii="Book Antiqua" w:hAnsi="Book Antiqua"/>
              </w:rPr>
              <w:t>Age in yr</w:t>
            </w:r>
          </w:p>
        </w:tc>
        <w:tc>
          <w:tcPr>
            <w:tcW w:w="1039" w:type="pct"/>
            <w:shd w:val="clear" w:color="auto" w:fill="FFFFFF"/>
            <w:tcMar>
              <w:top w:w="72" w:type="dxa"/>
              <w:left w:w="144" w:type="dxa"/>
              <w:bottom w:w="72" w:type="dxa"/>
              <w:right w:w="144" w:type="dxa"/>
            </w:tcMar>
          </w:tcPr>
          <w:p w14:paraId="1A5EDEE0" w14:textId="77777777" w:rsidR="003D3BEE" w:rsidRDefault="00B212C7">
            <w:pPr>
              <w:spacing w:line="360" w:lineRule="auto"/>
              <w:jc w:val="both"/>
              <w:rPr>
                <w:rFonts w:ascii="Book Antiqua" w:hAnsi="Book Antiqua"/>
              </w:rPr>
            </w:pPr>
            <w:r>
              <w:rPr>
                <w:rFonts w:ascii="Book Antiqua" w:hAnsi="Book Antiqua"/>
              </w:rPr>
              <w:t>68.1</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13.5</w:t>
            </w:r>
          </w:p>
        </w:tc>
        <w:tc>
          <w:tcPr>
            <w:tcW w:w="947" w:type="pct"/>
            <w:shd w:val="clear" w:color="auto" w:fill="FFFFFF"/>
            <w:tcMar>
              <w:top w:w="72" w:type="dxa"/>
              <w:left w:w="144" w:type="dxa"/>
              <w:bottom w:w="72" w:type="dxa"/>
              <w:right w:w="144" w:type="dxa"/>
            </w:tcMar>
          </w:tcPr>
          <w:p w14:paraId="44990261" w14:textId="77777777" w:rsidR="003D3BEE" w:rsidRDefault="00B212C7">
            <w:pPr>
              <w:spacing w:line="360" w:lineRule="auto"/>
              <w:jc w:val="both"/>
              <w:rPr>
                <w:rFonts w:ascii="Book Antiqua" w:hAnsi="Book Antiqua"/>
              </w:rPr>
            </w:pPr>
            <w:r>
              <w:rPr>
                <w:rFonts w:ascii="Book Antiqua" w:hAnsi="Book Antiqua"/>
              </w:rPr>
              <w:t>75.8</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6.7</w:t>
            </w:r>
          </w:p>
        </w:tc>
        <w:tc>
          <w:tcPr>
            <w:tcW w:w="960" w:type="pct"/>
            <w:shd w:val="clear" w:color="auto" w:fill="FFFFFF"/>
            <w:tcMar>
              <w:top w:w="72" w:type="dxa"/>
              <w:left w:w="144" w:type="dxa"/>
              <w:bottom w:w="72" w:type="dxa"/>
              <w:right w:w="144" w:type="dxa"/>
            </w:tcMar>
          </w:tcPr>
          <w:p w14:paraId="3CFD1642" w14:textId="77777777" w:rsidR="003D3BEE" w:rsidRDefault="00B212C7">
            <w:pPr>
              <w:spacing w:line="360" w:lineRule="auto"/>
              <w:jc w:val="both"/>
              <w:rPr>
                <w:rFonts w:ascii="Book Antiqua" w:hAnsi="Book Antiqua"/>
              </w:rPr>
            </w:pPr>
            <w:r>
              <w:rPr>
                <w:rFonts w:ascii="Book Antiqua" w:hAnsi="Book Antiqua"/>
              </w:rPr>
              <w:t>66.5</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14.1</w:t>
            </w:r>
          </w:p>
        </w:tc>
        <w:tc>
          <w:tcPr>
            <w:tcW w:w="633" w:type="pct"/>
            <w:shd w:val="clear" w:color="auto" w:fill="FFFFFF"/>
            <w:tcMar>
              <w:top w:w="72" w:type="dxa"/>
              <w:left w:w="144" w:type="dxa"/>
              <w:bottom w:w="72" w:type="dxa"/>
              <w:right w:w="144" w:type="dxa"/>
            </w:tcMar>
          </w:tcPr>
          <w:p w14:paraId="544BC5B5"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15ADC8EF" w14:textId="77777777">
        <w:trPr>
          <w:trHeight w:val="353"/>
        </w:trPr>
        <w:tc>
          <w:tcPr>
            <w:tcW w:w="1421" w:type="pct"/>
            <w:shd w:val="clear" w:color="auto" w:fill="FFFFFF"/>
            <w:tcMar>
              <w:top w:w="72" w:type="dxa"/>
              <w:left w:w="144" w:type="dxa"/>
              <w:bottom w:w="72" w:type="dxa"/>
              <w:right w:w="144" w:type="dxa"/>
            </w:tcMar>
          </w:tcPr>
          <w:p w14:paraId="0131EA8B" w14:textId="77777777" w:rsidR="003D3BEE" w:rsidRDefault="00B212C7">
            <w:pPr>
              <w:spacing w:line="360" w:lineRule="auto"/>
              <w:jc w:val="both"/>
              <w:rPr>
                <w:rFonts w:ascii="Book Antiqua" w:hAnsi="Book Antiqua"/>
              </w:rPr>
            </w:pPr>
            <w:r>
              <w:rPr>
                <w:rFonts w:ascii="Book Antiqua" w:hAnsi="Book Antiqua"/>
              </w:rPr>
              <w:t>Male/Female</w:t>
            </w:r>
          </w:p>
        </w:tc>
        <w:tc>
          <w:tcPr>
            <w:tcW w:w="1039" w:type="pct"/>
            <w:shd w:val="clear" w:color="auto" w:fill="FFFFFF"/>
            <w:tcMar>
              <w:top w:w="72" w:type="dxa"/>
              <w:left w:w="144" w:type="dxa"/>
              <w:bottom w:w="72" w:type="dxa"/>
              <w:right w:w="144" w:type="dxa"/>
            </w:tcMar>
          </w:tcPr>
          <w:p w14:paraId="72FF8985" w14:textId="77777777" w:rsidR="003D3BEE" w:rsidRDefault="00B212C7">
            <w:pPr>
              <w:spacing w:line="360" w:lineRule="auto"/>
              <w:jc w:val="both"/>
              <w:rPr>
                <w:rFonts w:ascii="Book Antiqua" w:hAnsi="Book Antiqua"/>
              </w:rPr>
            </w:pPr>
            <w:r>
              <w:rPr>
                <w:rFonts w:ascii="Book Antiqua" w:hAnsi="Book Antiqua"/>
              </w:rPr>
              <w:t>143/168</w:t>
            </w:r>
          </w:p>
        </w:tc>
        <w:tc>
          <w:tcPr>
            <w:tcW w:w="947" w:type="pct"/>
            <w:shd w:val="clear" w:color="auto" w:fill="FFFFFF"/>
            <w:tcMar>
              <w:top w:w="72" w:type="dxa"/>
              <w:left w:w="144" w:type="dxa"/>
              <w:bottom w:w="72" w:type="dxa"/>
              <w:right w:w="144" w:type="dxa"/>
            </w:tcMar>
          </w:tcPr>
          <w:p w14:paraId="504BA7E8" w14:textId="77777777" w:rsidR="003D3BEE" w:rsidRDefault="00B212C7">
            <w:pPr>
              <w:spacing w:line="360" w:lineRule="auto"/>
              <w:jc w:val="both"/>
              <w:rPr>
                <w:rFonts w:ascii="Book Antiqua" w:hAnsi="Book Antiqua"/>
              </w:rPr>
            </w:pPr>
            <w:r>
              <w:rPr>
                <w:rFonts w:ascii="Book Antiqua" w:hAnsi="Book Antiqua"/>
              </w:rPr>
              <w:t>27/26</w:t>
            </w:r>
          </w:p>
        </w:tc>
        <w:tc>
          <w:tcPr>
            <w:tcW w:w="960" w:type="pct"/>
            <w:shd w:val="clear" w:color="auto" w:fill="FFFFFF"/>
            <w:tcMar>
              <w:top w:w="72" w:type="dxa"/>
              <w:left w:w="144" w:type="dxa"/>
              <w:bottom w:w="72" w:type="dxa"/>
              <w:right w:w="144" w:type="dxa"/>
            </w:tcMar>
          </w:tcPr>
          <w:p w14:paraId="01754694" w14:textId="77777777" w:rsidR="003D3BEE" w:rsidRDefault="00B212C7">
            <w:pPr>
              <w:spacing w:line="360" w:lineRule="auto"/>
              <w:jc w:val="both"/>
              <w:rPr>
                <w:rFonts w:ascii="Book Antiqua" w:hAnsi="Book Antiqua"/>
              </w:rPr>
            </w:pPr>
            <w:r>
              <w:rPr>
                <w:rFonts w:ascii="Book Antiqua" w:hAnsi="Book Antiqua"/>
              </w:rPr>
              <w:t>116/142</w:t>
            </w:r>
          </w:p>
        </w:tc>
        <w:tc>
          <w:tcPr>
            <w:tcW w:w="633" w:type="pct"/>
            <w:shd w:val="clear" w:color="auto" w:fill="FFFFFF"/>
            <w:tcMar>
              <w:top w:w="72" w:type="dxa"/>
              <w:left w:w="144" w:type="dxa"/>
              <w:bottom w:w="72" w:type="dxa"/>
              <w:right w:w="144" w:type="dxa"/>
            </w:tcMar>
          </w:tcPr>
          <w:p w14:paraId="0B214056" w14:textId="77777777" w:rsidR="003D3BEE" w:rsidRDefault="00B212C7">
            <w:pPr>
              <w:spacing w:line="360" w:lineRule="auto"/>
              <w:jc w:val="both"/>
              <w:rPr>
                <w:rFonts w:ascii="Book Antiqua" w:hAnsi="Book Antiqua"/>
              </w:rPr>
            </w:pPr>
            <w:r>
              <w:rPr>
                <w:rFonts w:ascii="Book Antiqua" w:hAnsi="Book Antiqua"/>
              </w:rPr>
              <w:t>0.45</w:t>
            </w:r>
          </w:p>
        </w:tc>
      </w:tr>
      <w:tr w:rsidR="003D3BEE" w14:paraId="69EA89E7" w14:textId="77777777">
        <w:trPr>
          <w:trHeight w:val="353"/>
        </w:trPr>
        <w:tc>
          <w:tcPr>
            <w:tcW w:w="1421" w:type="pct"/>
            <w:shd w:val="clear" w:color="auto" w:fill="FFFFFF"/>
            <w:tcMar>
              <w:top w:w="72" w:type="dxa"/>
              <w:left w:w="144" w:type="dxa"/>
              <w:bottom w:w="72" w:type="dxa"/>
              <w:right w:w="144" w:type="dxa"/>
            </w:tcMar>
          </w:tcPr>
          <w:p w14:paraId="470245D0" w14:textId="77777777" w:rsidR="003D3BEE" w:rsidRDefault="00B212C7">
            <w:pPr>
              <w:spacing w:line="360" w:lineRule="auto"/>
              <w:jc w:val="both"/>
              <w:rPr>
                <w:rFonts w:ascii="Book Antiqua" w:hAnsi="Book Antiqua"/>
              </w:rPr>
            </w:pPr>
            <w:r>
              <w:rPr>
                <w:rFonts w:ascii="Book Antiqua" w:hAnsi="Book Antiqua"/>
              </w:rPr>
              <w:t>Diabetes, yes/no</w:t>
            </w:r>
          </w:p>
        </w:tc>
        <w:tc>
          <w:tcPr>
            <w:tcW w:w="1039" w:type="pct"/>
            <w:shd w:val="clear" w:color="auto" w:fill="FFFFFF"/>
            <w:tcMar>
              <w:top w:w="72" w:type="dxa"/>
              <w:left w:w="144" w:type="dxa"/>
              <w:bottom w:w="72" w:type="dxa"/>
              <w:right w:w="144" w:type="dxa"/>
            </w:tcMar>
          </w:tcPr>
          <w:p w14:paraId="3D3D1B9C" w14:textId="77777777" w:rsidR="003D3BEE" w:rsidRDefault="00B212C7">
            <w:pPr>
              <w:spacing w:line="360" w:lineRule="auto"/>
              <w:jc w:val="both"/>
              <w:rPr>
                <w:rFonts w:ascii="Book Antiqua" w:hAnsi="Book Antiqua"/>
              </w:rPr>
            </w:pPr>
            <w:r>
              <w:rPr>
                <w:rFonts w:ascii="Book Antiqua" w:hAnsi="Book Antiqua"/>
              </w:rPr>
              <w:t>47/264</w:t>
            </w:r>
          </w:p>
        </w:tc>
        <w:tc>
          <w:tcPr>
            <w:tcW w:w="947" w:type="pct"/>
            <w:shd w:val="clear" w:color="auto" w:fill="FFFFFF"/>
            <w:tcMar>
              <w:top w:w="72" w:type="dxa"/>
              <w:left w:w="144" w:type="dxa"/>
              <w:bottom w:w="72" w:type="dxa"/>
              <w:right w:w="144" w:type="dxa"/>
            </w:tcMar>
          </w:tcPr>
          <w:p w14:paraId="6C590623" w14:textId="77777777" w:rsidR="003D3BEE" w:rsidRDefault="00B212C7">
            <w:pPr>
              <w:spacing w:line="360" w:lineRule="auto"/>
              <w:jc w:val="both"/>
              <w:rPr>
                <w:rFonts w:ascii="Book Antiqua" w:hAnsi="Book Antiqua"/>
              </w:rPr>
            </w:pPr>
            <w:r>
              <w:rPr>
                <w:rFonts w:ascii="Book Antiqua" w:hAnsi="Book Antiqua"/>
              </w:rPr>
              <w:t>19/34</w:t>
            </w:r>
          </w:p>
        </w:tc>
        <w:tc>
          <w:tcPr>
            <w:tcW w:w="960" w:type="pct"/>
            <w:shd w:val="clear" w:color="auto" w:fill="FFFFFF"/>
            <w:tcMar>
              <w:top w:w="72" w:type="dxa"/>
              <w:left w:w="144" w:type="dxa"/>
              <w:bottom w:w="72" w:type="dxa"/>
              <w:right w:w="144" w:type="dxa"/>
            </w:tcMar>
          </w:tcPr>
          <w:p w14:paraId="2E4D5E15" w14:textId="77777777" w:rsidR="003D3BEE" w:rsidRDefault="00B212C7">
            <w:pPr>
              <w:spacing w:line="360" w:lineRule="auto"/>
              <w:jc w:val="both"/>
              <w:rPr>
                <w:rFonts w:ascii="Book Antiqua" w:hAnsi="Book Antiqua"/>
              </w:rPr>
            </w:pPr>
            <w:r>
              <w:rPr>
                <w:rFonts w:ascii="Book Antiqua" w:hAnsi="Book Antiqua"/>
              </w:rPr>
              <w:t>28/230</w:t>
            </w:r>
          </w:p>
        </w:tc>
        <w:tc>
          <w:tcPr>
            <w:tcW w:w="633" w:type="pct"/>
            <w:shd w:val="clear" w:color="auto" w:fill="FFFFFF"/>
            <w:tcMar>
              <w:top w:w="72" w:type="dxa"/>
              <w:left w:w="144" w:type="dxa"/>
              <w:bottom w:w="72" w:type="dxa"/>
              <w:right w:w="144" w:type="dxa"/>
            </w:tcMar>
          </w:tcPr>
          <w:p w14:paraId="691F1EB9"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268B7D2C" w14:textId="77777777">
        <w:trPr>
          <w:trHeight w:val="353"/>
        </w:trPr>
        <w:tc>
          <w:tcPr>
            <w:tcW w:w="1421" w:type="pct"/>
            <w:shd w:val="clear" w:color="auto" w:fill="FFFFFF"/>
            <w:tcMar>
              <w:top w:w="72" w:type="dxa"/>
              <w:left w:w="144" w:type="dxa"/>
              <w:bottom w:w="72" w:type="dxa"/>
              <w:right w:w="144" w:type="dxa"/>
            </w:tcMar>
          </w:tcPr>
          <w:p w14:paraId="65B955EE" w14:textId="77777777" w:rsidR="003D3BEE" w:rsidRDefault="00B212C7">
            <w:pPr>
              <w:spacing w:line="360" w:lineRule="auto"/>
              <w:jc w:val="both"/>
              <w:rPr>
                <w:rFonts w:ascii="Book Antiqua" w:hAnsi="Book Antiqua"/>
              </w:rPr>
            </w:pPr>
            <w:r>
              <w:rPr>
                <w:rFonts w:ascii="Book Antiqua" w:hAnsi="Book Antiqua"/>
              </w:rPr>
              <w:t>Habitual alcohol use</w:t>
            </w:r>
            <w:r>
              <w:rPr>
                <w:rFonts w:ascii="Book Antiqua" w:eastAsia="宋体" w:hAnsi="Book Antiqua"/>
                <w:vertAlign w:val="superscript"/>
                <w:lang w:eastAsia="zh-CN"/>
              </w:rPr>
              <w:t>2</w:t>
            </w:r>
            <w:r>
              <w:rPr>
                <w:rFonts w:ascii="Book Antiqua" w:hAnsi="Book Antiqua"/>
              </w:rPr>
              <w:t>, yes/no</w:t>
            </w:r>
          </w:p>
        </w:tc>
        <w:tc>
          <w:tcPr>
            <w:tcW w:w="1039" w:type="pct"/>
            <w:shd w:val="clear" w:color="auto" w:fill="FFFFFF"/>
            <w:tcMar>
              <w:top w:w="72" w:type="dxa"/>
              <w:left w:w="144" w:type="dxa"/>
              <w:bottom w:w="72" w:type="dxa"/>
              <w:right w:w="144" w:type="dxa"/>
            </w:tcMar>
          </w:tcPr>
          <w:p w14:paraId="122284B3" w14:textId="77777777" w:rsidR="003D3BEE" w:rsidRDefault="00B212C7">
            <w:pPr>
              <w:spacing w:line="360" w:lineRule="auto"/>
              <w:jc w:val="both"/>
              <w:rPr>
                <w:rFonts w:ascii="Book Antiqua" w:hAnsi="Book Antiqua"/>
              </w:rPr>
            </w:pPr>
            <w:r>
              <w:rPr>
                <w:rFonts w:ascii="Book Antiqua" w:hAnsi="Book Antiqua"/>
              </w:rPr>
              <w:t>56/255</w:t>
            </w:r>
          </w:p>
        </w:tc>
        <w:tc>
          <w:tcPr>
            <w:tcW w:w="947" w:type="pct"/>
            <w:shd w:val="clear" w:color="auto" w:fill="FFFFFF"/>
            <w:tcMar>
              <w:top w:w="72" w:type="dxa"/>
              <w:left w:w="144" w:type="dxa"/>
              <w:bottom w:w="72" w:type="dxa"/>
              <w:right w:w="144" w:type="dxa"/>
            </w:tcMar>
          </w:tcPr>
          <w:p w14:paraId="51497675" w14:textId="77777777" w:rsidR="003D3BEE" w:rsidRDefault="00B212C7">
            <w:pPr>
              <w:spacing w:line="360" w:lineRule="auto"/>
              <w:jc w:val="both"/>
              <w:rPr>
                <w:rFonts w:ascii="Book Antiqua" w:hAnsi="Book Antiqua"/>
              </w:rPr>
            </w:pPr>
            <w:r>
              <w:rPr>
                <w:rFonts w:ascii="Book Antiqua" w:hAnsi="Book Antiqua"/>
              </w:rPr>
              <w:t>12/41</w:t>
            </w:r>
          </w:p>
        </w:tc>
        <w:tc>
          <w:tcPr>
            <w:tcW w:w="960" w:type="pct"/>
            <w:shd w:val="clear" w:color="auto" w:fill="FFFFFF"/>
            <w:tcMar>
              <w:top w:w="72" w:type="dxa"/>
              <w:left w:w="144" w:type="dxa"/>
              <w:bottom w:w="72" w:type="dxa"/>
              <w:right w:w="144" w:type="dxa"/>
            </w:tcMar>
          </w:tcPr>
          <w:p w14:paraId="0A523F86" w14:textId="77777777" w:rsidR="003D3BEE" w:rsidRDefault="00B212C7">
            <w:pPr>
              <w:spacing w:line="360" w:lineRule="auto"/>
              <w:jc w:val="both"/>
              <w:rPr>
                <w:rFonts w:ascii="Book Antiqua" w:hAnsi="Book Antiqua"/>
              </w:rPr>
            </w:pPr>
            <w:r>
              <w:rPr>
                <w:rFonts w:ascii="Book Antiqua" w:hAnsi="Book Antiqua"/>
              </w:rPr>
              <w:t>44/214</w:t>
            </w:r>
          </w:p>
        </w:tc>
        <w:tc>
          <w:tcPr>
            <w:tcW w:w="633" w:type="pct"/>
            <w:shd w:val="clear" w:color="auto" w:fill="FFFFFF"/>
            <w:tcMar>
              <w:top w:w="72" w:type="dxa"/>
              <w:left w:w="144" w:type="dxa"/>
              <w:bottom w:w="72" w:type="dxa"/>
              <w:right w:w="144" w:type="dxa"/>
            </w:tcMar>
          </w:tcPr>
          <w:p w14:paraId="105BA311" w14:textId="77777777" w:rsidR="003D3BEE" w:rsidRDefault="00B212C7">
            <w:pPr>
              <w:spacing w:line="360" w:lineRule="auto"/>
              <w:jc w:val="both"/>
              <w:rPr>
                <w:rFonts w:ascii="Book Antiqua" w:hAnsi="Book Antiqua"/>
              </w:rPr>
            </w:pPr>
            <w:r>
              <w:rPr>
                <w:rFonts w:ascii="Book Antiqua" w:hAnsi="Book Antiqua"/>
              </w:rPr>
              <w:t>0.33</w:t>
            </w:r>
          </w:p>
        </w:tc>
      </w:tr>
      <w:tr w:rsidR="003D3BEE" w14:paraId="4CA99BFE" w14:textId="77777777">
        <w:trPr>
          <w:trHeight w:val="363"/>
        </w:trPr>
        <w:tc>
          <w:tcPr>
            <w:tcW w:w="1421" w:type="pct"/>
            <w:shd w:val="clear" w:color="auto" w:fill="FFFFFF"/>
            <w:tcMar>
              <w:top w:w="72" w:type="dxa"/>
              <w:left w:w="144" w:type="dxa"/>
              <w:bottom w:w="72" w:type="dxa"/>
              <w:right w:w="144" w:type="dxa"/>
            </w:tcMar>
          </w:tcPr>
          <w:p w14:paraId="504DCB16" w14:textId="77777777" w:rsidR="003D3BEE" w:rsidRDefault="00B212C7">
            <w:pPr>
              <w:spacing w:line="360" w:lineRule="auto"/>
              <w:jc w:val="both"/>
              <w:rPr>
                <w:rFonts w:ascii="Book Antiqua" w:hAnsi="Book Antiqua"/>
              </w:rPr>
            </w:pPr>
            <w:r>
              <w:rPr>
                <w:rFonts w:ascii="Book Antiqua" w:hAnsi="Book Antiqua"/>
              </w:rPr>
              <w:t>Liver cirrhosis, yes/no</w:t>
            </w:r>
          </w:p>
        </w:tc>
        <w:tc>
          <w:tcPr>
            <w:tcW w:w="1039" w:type="pct"/>
            <w:shd w:val="clear" w:color="auto" w:fill="FFFFFF"/>
            <w:tcMar>
              <w:top w:w="72" w:type="dxa"/>
              <w:left w:w="144" w:type="dxa"/>
              <w:bottom w:w="72" w:type="dxa"/>
              <w:right w:w="144" w:type="dxa"/>
            </w:tcMar>
          </w:tcPr>
          <w:p w14:paraId="5374FD7B" w14:textId="77777777" w:rsidR="003D3BEE" w:rsidRDefault="00B212C7">
            <w:pPr>
              <w:spacing w:line="360" w:lineRule="auto"/>
              <w:jc w:val="both"/>
              <w:rPr>
                <w:rFonts w:ascii="Book Antiqua" w:hAnsi="Book Antiqua"/>
              </w:rPr>
            </w:pPr>
            <w:r>
              <w:rPr>
                <w:rFonts w:ascii="Book Antiqua" w:hAnsi="Book Antiqua"/>
              </w:rPr>
              <w:t>224/87</w:t>
            </w:r>
          </w:p>
        </w:tc>
        <w:tc>
          <w:tcPr>
            <w:tcW w:w="947" w:type="pct"/>
            <w:shd w:val="clear" w:color="auto" w:fill="FFFFFF"/>
            <w:tcMar>
              <w:top w:w="72" w:type="dxa"/>
              <w:left w:w="144" w:type="dxa"/>
              <w:bottom w:w="72" w:type="dxa"/>
              <w:right w:w="144" w:type="dxa"/>
            </w:tcMar>
          </w:tcPr>
          <w:p w14:paraId="4A2D4681" w14:textId="77777777" w:rsidR="003D3BEE" w:rsidRDefault="00B212C7">
            <w:pPr>
              <w:spacing w:line="360" w:lineRule="auto"/>
              <w:jc w:val="both"/>
              <w:rPr>
                <w:rFonts w:ascii="Book Antiqua" w:hAnsi="Book Antiqua"/>
              </w:rPr>
            </w:pPr>
            <w:r>
              <w:rPr>
                <w:rFonts w:ascii="Book Antiqua" w:hAnsi="Book Antiqua"/>
              </w:rPr>
              <w:t xml:space="preserve">18/35 </w:t>
            </w:r>
          </w:p>
        </w:tc>
        <w:tc>
          <w:tcPr>
            <w:tcW w:w="960" w:type="pct"/>
            <w:shd w:val="clear" w:color="auto" w:fill="FFFFFF"/>
            <w:tcMar>
              <w:top w:w="72" w:type="dxa"/>
              <w:left w:w="144" w:type="dxa"/>
              <w:bottom w:w="72" w:type="dxa"/>
              <w:right w:w="144" w:type="dxa"/>
            </w:tcMar>
          </w:tcPr>
          <w:p w14:paraId="45F68F24" w14:textId="77777777" w:rsidR="003D3BEE" w:rsidRDefault="00B212C7">
            <w:pPr>
              <w:spacing w:line="360" w:lineRule="auto"/>
              <w:jc w:val="both"/>
              <w:rPr>
                <w:rFonts w:ascii="Book Antiqua" w:hAnsi="Book Antiqua"/>
              </w:rPr>
            </w:pPr>
            <w:r>
              <w:rPr>
                <w:rFonts w:ascii="Book Antiqua" w:hAnsi="Book Antiqua"/>
              </w:rPr>
              <w:t>52/206</w:t>
            </w:r>
          </w:p>
        </w:tc>
        <w:tc>
          <w:tcPr>
            <w:tcW w:w="633" w:type="pct"/>
            <w:shd w:val="clear" w:color="auto" w:fill="FFFFFF"/>
            <w:tcMar>
              <w:top w:w="72" w:type="dxa"/>
              <w:left w:w="144" w:type="dxa"/>
              <w:bottom w:w="72" w:type="dxa"/>
              <w:right w:w="144" w:type="dxa"/>
            </w:tcMar>
          </w:tcPr>
          <w:p w14:paraId="1EDE2E79"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0F40B839" w14:textId="77777777">
        <w:trPr>
          <w:trHeight w:val="589"/>
        </w:trPr>
        <w:tc>
          <w:tcPr>
            <w:tcW w:w="1421" w:type="pct"/>
            <w:shd w:val="clear" w:color="auto" w:fill="FFFFFF"/>
            <w:tcMar>
              <w:top w:w="72" w:type="dxa"/>
              <w:left w:w="144" w:type="dxa"/>
              <w:bottom w:w="72" w:type="dxa"/>
              <w:right w:w="144" w:type="dxa"/>
            </w:tcMar>
          </w:tcPr>
          <w:p w14:paraId="21D2366B" w14:textId="77777777" w:rsidR="003D3BEE" w:rsidRDefault="00B212C7">
            <w:pPr>
              <w:spacing w:line="360" w:lineRule="auto"/>
              <w:jc w:val="both"/>
              <w:rPr>
                <w:rFonts w:ascii="Book Antiqua" w:hAnsi="Book Antiqua"/>
              </w:rPr>
            </w:pPr>
            <w:r>
              <w:rPr>
                <w:rFonts w:ascii="Book Antiqua" w:hAnsi="Book Antiqua"/>
              </w:rPr>
              <w:t>Genotype,</w:t>
            </w:r>
            <w:r>
              <w:rPr>
                <w:rFonts w:ascii="Book Antiqua" w:eastAsia="宋体" w:hAnsi="Book Antiqua"/>
                <w:lang w:eastAsia="zh-CN"/>
              </w:rPr>
              <w:t xml:space="preserve"> </w:t>
            </w:r>
            <w:r>
              <w:rPr>
                <w:rFonts w:ascii="Book Antiqua" w:hAnsi="Book Antiqua"/>
              </w:rPr>
              <w:t>1b/2a, 2b/others</w:t>
            </w:r>
          </w:p>
        </w:tc>
        <w:tc>
          <w:tcPr>
            <w:tcW w:w="1039" w:type="pct"/>
            <w:shd w:val="clear" w:color="auto" w:fill="FFFFFF"/>
            <w:tcMar>
              <w:top w:w="72" w:type="dxa"/>
              <w:left w:w="144" w:type="dxa"/>
              <w:bottom w:w="72" w:type="dxa"/>
              <w:right w:w="144" w:type="dxa"/>
            </w:tcMar>
          </w:tcPr>
          <w:p w14:paraId="187E63DE" w14:textId="77777777" w:rsidR="003D3BEE" w:rsidRDefault="00B212C7">
            <w:pPr>
              <w:spacing w:line="360" w:lineRule="auto"/>
              <w:jc w:val="both"/>
              <w:rPr>
                <w:rFonts w:ascii="Book Antiqua" w:hAnsi="Book Antiqua"/>
              </w:rPr>
            </w:pPr>
            <w:r>
              <w:rPr>
                <w:rFonts w:ascii="Book Antiqua" w:hAnsi="Book Antiqua"/>
              </w:rPr>
              <w:t>229/73/10</w:t>
            </w:r>
          </w:p>
        </w:tc>
        <w:tc>
          <w:tcPr>
            <w:tcW w:w="947" w:type="pct"/>
            <w:shd w:val="clear" w:color="auto" w:fill="FFFFFF"/>
            <w:tcMar>
              <w:top w:w="72" w:type="dxa"/>
              <w:left w:w="144" w:type="dxa"/>
              <w:bottom w:w="72" w:type="dxa"/>
              <w:right w:w="144" w:type="dxa"/>
            </w:tcMar>
          </w:tcPr>
          <w:p w14:paraId="43C9E994" w14:textId="77777777" w:rsidR="003D3BEE" w:rsidRDefault="00B212C7">
            <w:pPr>
              <w:spacing w:line="360" w:lineRule="auto"/>
              <w:jc w:val="both"/>
              <w:rPr>
                <w:rFonts w:ascii="Book Antiqua" w:hAnsi="Book Antiqua"/>
              </w:rPr>
            </w:pPr>
            <w:r>
              <w:rPr>
                <w:rFonts w:ascii="Book Antiqua" w:hAnsi="Book Antiqua"/>
              </w:rPr>
              <w:t>45/7/1</w:t>
            </w:r>
          </w:p>
        </w:tc>
        <w:tc>
          <w:tcPr>
            <w:tcW w:w="960" w:type="pct"/>
            <w:shd w:val="clear" w:color="auto" w:fill="FFFFFF"/>
            <w:tcMar>
              <w:top w:w="72" w:type="dxa"/>
              <w:left w:w="144" w:type="dxa"/>
              <w:bottom w:w="72" w:type="dxa"/>
              <w:right w:w="144" w:type="dxa"/>
            </w:tcMar>
          </w:tcPr>
          <w:p w14:paraId="3412B9DE" w14:textId="77777777" w:rsidR="003D3BEE" w:rsidRDefault="00B212C7">
            <w:pPr>
              <w:spacing w:line="360" w:lineRule="auto"/>
              <w:jc w:val="both"/>
              <w:rPr>
                <w:rFonts w:ascii="Book Antiqua" w:hAnsi="Book Antiqua"/>
              </w:rPr>
            </w:pPr>
            <w:r>
              <w:rPr>
                <w:rFonts w:ascii="Book Antiqua" w:hAnsi="Book Antiqua"/>
              </w:rPr>
              <w:t>183/66/9</w:t>
            </w:r>
          </w:p>
        </w:tc>
        <w:tc>
          <w:tcPr>
            <w:tcW w:w="633" w:type="pct"/>
            <w:shd w:val="clear" w:color="auto" w:fill="FFFFFF"/>
            <w:tcMar>
              <w:top w:w="72" w:type="dxa"/>
              <w:left w:w="144" w:type="dxa"/>
              <w:bottom w:w="72" w:type="dxa"/>
              <w:right w:w="144" w:type="dxa"/>
            </w:tcMar>
          </w:tcPr>
          <w:p w14:paraId="4D715117" w14:textId="77777777" w:rsidR="003D3BEE" w:rsidRDefault="00B212C7">
            <w:pPr>
              <w:spacing w:line="360" w:lineRule="auto"/>
              <w:jc w:val="both"/>
              <w:rPr>
                <w:rFonts w:ascii="Book Antiqua" w:hAnsi="Book Antiqua"/>
              </w:rPr>
            </w:pPr>
            <w:r>
              <w:rPr>
                <w:rFonts w:ascii="Book Antiqua" w:hAnsi="Book Antiqua"/>
              </w:rPr>
              <w:t>0.04</w:t>
            </w:r>
          </w:p>
        </w:tc>
      </w:tr>
      <w:tr w:rsidR="003D3BEE" w14:paraId="0E89FC20" w14:textId="77777777">
        <w:trPr>
          <w:trHeight w:val="353"/>
        </w:trPr>
        <w:tc>
          <w:tcPr>
            <w:tcW w:w="1421" w:type="pct"/>
            <w:shd w:val="clear" w:color="auto" w:fill="FFFFFF"/>
            <w:tcMar>
              <w:top w:w="72" w:type="dxa"/>
              <w:left w:w="144" w:type="dxa"/>
              <w:bottom w:w="72" w:type="dxa"/>
              <w:right w:w="144" w:type="dxa"/>
            </w:tcMar>
          </w:tcPr>
          <w:p w14:paraId="40E82684" w14:textId="77777777" w:rsidR="003D3BEE" w:rsidRDefault="00B212C7">
            <w:pPr>
              <w:spacing w:line="360" w:lineRule="auto"/>
              <w:jc w:val="both"/>
              <w:rPr>
                <w:rFonts w:ascii="Book Antiqua" w:hAnsi="Book Antiqua"/>
              </w:rPr>
            </w:pPr>
            <w:r>
              <w:rPr>
                <w:rFonts w:ascii="Book Antiqua" w:hAnsi="Book Antiqua"/>
              </w:rPr>
              <w:t>Alb in g/dL</w:t>
            </w:r>
          </w:p>
        </w:tc>
        <w:tc>
          <w:tcPr>
            <w:tcW w:w="1039" w:type="pct"/>
            <w:shd w:val="clear" w:color="auto" w:fill="FFFFFF"/>
            <w:tcMar>
              <w:top w:w="72" w:type="dxa"/>
              <w:left w:w="144" w:type="dxa"/>
              <w:bottom w:w="72" w:type="dxa"/>
              <w:right w:w="144" w:type="dxa"/>
            </w:tcMar>
          </w:tcPr>
          <w:p w14:paraId="251A7E8E" w14:textId="77777777" w:rsidR="003D3BEE" w:rsidRDefault="00B212C7">
            <w:pPr>
              <w:spacing w:line="360" w:lineRule="auto"/>
              <w:jc w:val="both"/>
              <w:rPr>
                <w:rFonts w:ascii="Book Antiqua" w:hAnsi="Book Antiqua"/>
              </w:rPr>
            </w:pPr>
            <w:r>
              <w:rPr>
                <w:rFonts w:ascii="Book Antiqua" w:hAnsi="Book Antiqua"/>
              </w:rPr>
              <w:t>3.9</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0.4</w:t>
            </w:r>
          </w:p>
        </w:tc>
        <w:tc>
          <w:tcPr>
            <w:tcW w:w="947" w:type="pct"/>
            <w:shd w:val="clear" w:color="auto" w:fill="FFFFFF"/>
            <w:tcMar>
              <w:top w:w="72" w:type="dxa"/>
              <w:left w:w="144" w:type="dxa"/>
              <w:bottom w:w="72" w:type="dxa"/>
              <w:right w:w="144" w:type="dxa"/>
            </w:tcMar>
          </w:tcPr>
          <w:p w14:paraId="0475D6F2" w14:textId="77777777" w:rsidR="003D3BEE" w:rsidRDefault="00B212C7">
            <w:pPr>
              <w:spacing w:line="360" w:lineRule="auto"/>
              <w:jc w:val="both"/>
              <w:rPr>
                <w:rFonts w:ascii="Book Antiqua" w:hAnsi="Book Antiqua"/>
              </w:rPr>
            </w:pPr>
            <w:r>
              <w:rPr>
                <w:rFonts w:ascii="Book Antiqua" w:hAnsi="Book Antiqua"/>
              </w:rPr>
              <w:t>3.5</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0.4</w:t>
            </w:r>
          </w:p>
        </w:tc>
        <w:tc>
          <w:tcPr>
            <w:tcW w:w="960" w:type="pct"/>
            <w:shd w:val="clear" w:color="auto" w:fill="FFFFFF"/>
            <w:tcMar>
              <w:top w:w="72" w:type="dxa"/>
              <w:left w:w="144" w:type="dxa"/>
              <w:bottom w:w="72" w:type="dxa"/>
              <w:right w:w="144" w:type="dxa"/>
            </w:tcMar>
          </w:tcPr>
          <w:p w14:paraId="37C3AEB9" w14:textId="77777777" w:rsidR="003D3BEE" w:rsidRDefault="00B212C7">
            <w:pPr>
              <w:spacing w:line="360" w:lineRule="auto"/>
              <w:jc w:val="both"/>
              <w:rPr>
                <w:rFonts w:ascii="Book Antiqua" w:hAnsi="Book Antiqua"/>
              </w:rPr>
            </w:pPr>
            <w:r>
              <w:rPr>
                <w:rFonts w:ascii="Book Antiqua" w:hAnsi="Book Antiqua"/>
              </w:rPr>
              <w:t>4.0</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0.4</w:t>
            </w:r>
          </w:p>
        </w:tc>
        <w:tc>
          <w:tcPr>
            <w:tcW w:w="633" w:type="pct"/>
            <w:shd w:val="clear" w:color="auto" w:fill="FFFFFF"/>
            <w:tcMar>
              <w:top w:w="72" w:type="dxa"/>
              <w:left w:w="144" w:type="dxa"/>
              <w:bottom w:w="72" w:type="dxa"/>
              <w:right w:w="144" w:type="dxa"/>
            </w:tcMar>
          </w:tcPr>
          <w:p w14:paraId="6912BA82"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54A4544F" w14:textId="77777777">
        <w:trPr>
          <w:trHeight w:val="353"/>
        </w:trPr>
        <w:tc>
          <w:tcPr>
            <w:tcW w:w="1421" w:type="pct"/>
            <w:shd w:val="clear" w:color="auto" w:fill="FFFFFF"/>
            <w:tcMar>
              <w:top w:w="72" w:type="dxa"/>
              <w:left w:w="144" w:type="dxa"/>
              <w:bottom w:w="72" w:type="dxa"/>
              <w:right w:w="144" w:type="dxa"/>
            </w:tcMar>
          </w:tcPr>
          <w:p w14:paraId="5E9A0481" w14:textId="77777777" w:rsidR="003D3BEE" w:rsidRDefault="00B212C7">
            <w:pPr>
              <w:spacing w:line="360" w:lineRule="auto"/>
              <w:jc w:val="both"/>
              <w:rPr>
                <w:rFonts w:ascii="Book Antiqua" w:hAnsi="Book Antiqua"/>
              </w:rPr>
            </w:pPr>
            <w:r>
              <w:rPr>
                <w:rFonts w:ascii="Book Antiqua" w:hAnsi="Book Antiqua"/>
              </w:rPr>
              <w:t>ALT in U/L</w:t>
            </w:r>
          </w:p>
        </w:tc>
        <w:tc>
          <w:tcPr>
            <w:tcW w:w="1039" w:type="pct"/>
            <w:shd w:val="clear" w:color="auto" w:fill="FFFFFF"/>
            <w:tcMar>
              <w:top w:w="72" w:type="dxa"/>
              <w:left w:w="144" w:type="dxa"/>
              <w:bottom w:w="72" w:type="dxa"/>
              <w:right w:w="144" w:type="dxa"/>
            </w:tcMar>
          </w:tcPr>
          <w:p w14:paraId="55ABC17F" w14:textId="77777777" w:rsidR="003D3BEE" w:rsidRDefault="00B212C7">
            <w:pPr>
              <w:spacing w:line="360" w:lineRule="auto"/>
              <w:jc w:val="both"/>
              <w:rPr>
                <w:rFonts w:ascii="Book Antiqua" w:hAnsi="Book Antiqua"/>
              </w:rPr>
            </w:pPr>
            <w:r>
              <w:rPr>
                <w:rFonts w:ascii="Book Antiqua" w:hAnsi="Book Antiqua"/>
              </w:rPr>
              <w:t>44.3</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45.0</w:t>
            </w:r>
          </w:p>
        </w:tc>
        <w:tc>
          <w:tcPr>
            <w:tcW w:w="947" w:type="pct"/>
            <w:shd w:val="clear" w:color="auto" w:fill="FFFFFF"/>
            <w:tcMar>
              <w:top w:w="72" w:type="dxa"/>
              <w:left w:w="144" w:type="dxa"/>
              <w:bottom w:w="72" w:type="dxa"/>
              <w:right w:w="144" w:type="dxa"/>
            </w:tcMar>
          </w:tcPr>
          <w:p w14:paraId="392B0FE9" w14:textId="77777777" w:rsidR="003D3BEE" w:rsidRDefault="00B212C7">
            <w:pPr>
              <w:spacing w:line="360" w:lineRule="auto"/>
              <w:jc w:val="both"/>
              <w:rPr>
                <w:rFonts w:ascii="Book Antiqua" w:hAnsi="Book Antiqua"/>
              </w:rPr>
            </w:pPr>
            <w:r>
              <w:rPr>
                <w:rFonts w:ascii="Book Antiqua" w:hAnsi="Book Antiqua"/>
              </w:rPr>
              <w:t>40.3</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22.0</w:t>
            </w:r>
          </w:p>
        </w:tc>
        <w:tc>
          <w:tcPr>
            <w:tcW w:w="960" w:type="pct"/>
            <w:shd w:val="clear" w:color="auto" w:fill="FFFFFF"/>
            <w:tcMar>
              <w:top w:w="72" w:type="dxa"/>
              <w:left w:w="144" w:type="dxa"/>
              <w:bottom w:w="72" w:type="dxa"/>
              <w:right w:w="144" w:type="dxa"/>
            </w:tcMar>
          </w:tcPr>
          <w:p w14:paraId="440E3144" w14:textId="77777777" w:rsidR="003D3BEE" w:rsidRDefault="00B212C7">
            <w:pPr>
              <w:spacing w:line="360" w:lineRule="auto"/>
              <w:jc w:val="both"/>
              <w:rPr>
                <w:rFonts w:ascii="Book Antiqua" w:hAnsi="Book Antiqua"/>
              </w:rPr>
            </w:pPr>
            <w:r>
              <w:rPr>
                <w:rFonts w:ascii="Book Antiqua" w:hAnsi="Book Antiqua"/>
              </w:rPr>
              <w:t>45.1</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48.3</w:t>
            </w:r>
          </w:p>
        </w:tc>
        <w:tc>
          <w:tcPr>
            <w:tcW w:w="633" w:type="pct"/>
            <w:shd w:val="clear" w:color="auto" w:fill="FFFFFF"/>
            <w:tcMar>
              <w:top w:w="72" w:type="dxa"/>
              <w:left w:w="144" w:type="dxa"/>
              <w:bottom w:w="72" w:type="dxa"/>
              <w:right w:w="144" w:type="dxa"/>
            </w:tcMar>
          </w:tcPr>
          <w:p w14:paraId="6F84CC73" w14:textId="77777777" w:rsidR="003D3BEE" w:rsidRDefault="00B212C7">
            <w:pPr>
              <w:spacing w:line="360" w:lineRule="auto"/>
              <w:jc w:val="both"/>
              <w:rPr>
                <w:rFonts w:ascii="Book Antiqua" w:hAnsi="Book Antiqua"/>
              </w:rPr>
            </w:pPr>
            <w:r>
              <w:rPr>
                <w:rFonts w:ascii="Book Antiqua" w:hAnsi="Book Antiqua"/>
              </w:rPr>
              <w:t>0.48</w:t>
            </w:r>
          </w:p>
        </w:tc>
      </w:tr>
      <w:tr w:rsidR="003D3BEE" w14:paraId="32964E01" w14:textId="77777777">
        <w:trPr>
          <w:trHeight w:val="353"/>
        </w:trPr>
        <w:tc>
          <w:tcPr>
            <w:tcW w:w="1421" w:type="pct"/>
            <w:shd w:val="clear" w:color="auto" w:fill="FFFFFF"/>
            <w:tcMar>
              <w:top w:w="72" w:type="dxa"/>
              <w:left w:w="144" w:type="dxa"/>
              <w:bottom w:w="72" w:type="dxa"/>
              <w:right w:w="144" w:type="dxa"/>
            </w:tcMar>
          </w:tcPr>
          <w:p w14:paraId="3F433058" w14:textId="77777777" w:rsidR="003D3BEE" w:rsidRDefault="00B212C7">
            <w:pPr>
              <w:spacing w:line="360" w:lineRule="auto"/>
              <w:jc w:val="both"/>
              <w:rPr>
                <w:rFonts w:ascii="Book Antiqua" w:hAnsi="Book Antiqua"/>
              </w:rPr>
            </w:pPr>
            <w:r>
              <w:rPr>
                <w:rFonts w:ascii="Book Antiqua" w:hAnsi="Book Antiqua"/>
              </w:rPr>
              <w:t>Plt as ×</w:t>
            </w:r>
            <w:r>
              <w:rPr>
                <w:rFonts w:ascii="Book Antiqua" w:eastAsia="宋体" w:hAnsi="Book Antiqua"/>
                <w:lang w:eastAsia="zh-CN"/>
              </w:rPr>
              <w:t xml:space="preserve"> </w:t>
            </w:r>
            <w:r>
              <w:rPr>
                <w:rFonts w:ascii="Book Antiqua" w:hAnsi="Book Antiqua"/>
              </w:rPr>
              <w:t>10</w:t>
            </w:r>
            <w:r>
              <w:rPr>
                <w:rFonts w:ascii="Book Antiqua" w:hAnsi="Book Antiqua"/>
                <w:vertAlign w:val="superscript"/>
              </w:rPr>
              <w:t>4</w:t>
            </w:r>
            <w:r>
              <w:rPr>
                <w:rFonts w:ascii="Book Antiqua" w:hAnsi="Book Antiqua"/>
              </w:rPr>
              <w:t>/μL</w:t>
            </w:r>
          </w:p>
        </w:tc>
        <w:tc>
          <w:tcPr>
            <w:tcW w:w="1039" w:type="pct"/>
            <w:shd w:val="clear" w:color="auto" w:fill="FFFFFF"/>
            <w:tcMar>
              <w:top w:w="72" w:type="dxa"/>
              <w:left w:w="144" w:type="dxa"/>
              <w:bottom w:w="72" w:type="dxa"/>
              <w:right w:w="144" w:type="dxa"/>
            </w:tcMar>
          </w:tcPr>
          <w:p w14:paraId="0FA26B0D" w14:textId="77777777" w:rsidR="003D3BEE" w:rsidRDefault="00B212C7">
            <w:pPr>
              <w:spacing w:line="360" w:lineRule="auto"/>
              <w:jc w:val="both"/>
              <w:rPr>
                <w:rFonts w:ascii="Book Antiqua" w:hAnsi="Book Antiqua"/>
              </w:rPr>
            </w:pPr>
            <w:r>
              <w:rPr>
                <w:rFonts w:ascii="Book Antiqua" w:hAnsi="Book Antiqua"/>
              </w:rPr>
              <w:t>16.0</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5.9</w:t>
            </w:r>
          </w:p>
        </w:tc>
        <w:tc>
          <w:tcPr>
            <w:tcW w:w="947" w:type="pct"/>
            <w:shd w:val="clear" w:color="auto" w:fill="FFFFFF"/>
            <w:tcMar>
              <w:top w:w="72" w:type="dxa"/>
              <w:left w:w="144" w:type="dxa"/>
              <w:bottom w:w="72" w:type="dxa"/>
              <w:right w:w="144" w:type="dxa"/>
            </w:tcMar>
          </w:tcPr>
          <w:p w14:paraId="64F18559" w14:textId="77777777" w:rsidR="003D3BEE" w:rsidRDefault="00B212C7">
            <w:pPr>
              <w:spacing w:line="360" w:lineRule="auto"/>
              <w:jc w:val="both"/>
              <w:rPr>
                <w:rFonts w:ascii="Book Antiqua" w:hAnsi="Book Antiqua"/>
              </w:rPr>
            </w:pPr>
            <w:r>
              <w:rPr>
                <w:rFonts w:ascii="Book Antiqua" w:hAnsi="Book Antiqua"/>
              </w:rPr>
              <w:t>12.9</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5.6</w:t>
            </w:r>
          </w:p>
        </w:tc>
        <w:tc>
          <w:tcPr>
            <w:tcW w:w="960" w:type="pct"/>
            <w:shd w:val="clear" w:color="auto" w:fill="FFFFFF"/>
            <w:tcMar>
              <w:top w:w="72" w:type="dxa"/>
              <w:left w:w="144" w:type="dxa"/>
              <w:bottom w:w="72" w:type="dxa"/>
              <w:right w:w="144" w:type="dxa"/>
            </w:tcMar>
          </w:tcPr>
          <w:p w14:paraId="209586F1" w14:textId="77777777" w:rsidR="003D3BEE" w:rsidRDefault="00B212C7">
            <w:pPr>
              <w:spacing w:line="360" w:lineRule="auto"/>
              <w:jc w:val="both"/>
              <w:rPr>
                <w:rFonts w:ascii="Book Antiqua" w:hAnsi="Book Antiqua"/>
              </w:rPr>
            </w:pPr>
            <w:r>
              <w:rPr>
                <w:rFonts w:ascii="Book Antiqua" w:hAnsi="Book Antiqua"/>
              </w:rPr>
              <w:t>16.7</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5.8</w:t>
            </w:r>
          </w:p>
        </w:tc>
        <w:tc>
          <w:tcPr>
            <w:tcW w:w="633" w:type="pct"/>
            <w:shd w:val="clear" w:color="auto" w:fill="FFFFFF"/>
            <w:tcMar>
              <w:top w:w="72" w:type="dxa"/>
              <w:left w:w="144" w:type="dxa"/>
              <w:bottom w:w="72" w:type="dxa"/>
              <w:right w:w="144" w:type="dxa"/>
            </w:tcMar>
          </w:tcPr>
          <w:p w14:paraId="23669CB3"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214B3F88" w14:textId="77777777">
        <w:trPr>
          <w:trHeight w:val="353"/>
        </w:trPr>
        <w:tc>
          <w:tcPr>
            <w:tcW w:w="1421" w:type="pct"/>
            <w:shd w:val="clear" w:color="auto" w:fill="FFFFFF"/>
            <w:tcMar>
              <w:top w:w="72" w:type="dxa"/>
              <w:left w:w="144" w:type="dxa"/>
              <w:bottom w:w="72" w:type="dxa"/>
              <w:right w:w="144" w:type="dxa"/>
            </w:tcMar>
          </w:tcPr>
          <w:p w14:paraId="4B3B4112" w14:textId="77777777" w:rsidR="003D3BEE" w:rsidRDefault="00B212C7">
            <w:pPr>
              <w:spacing w:line="360" w:lineRule="auto"/>
              <w:jc w:val="both"/>
              <w:rPr>
                <w:rFonts w:ascii="Book Antiqua" w:hAnsi="Book Antiqua"/>
              </w:rPr>
            </w:pPr>
            <w:r>
              <w:rPr>
                <w:rFonts w:ascii="Book Antiqua" w:hAnsi="Book Antiqua"/>
              </w:rPr>
              <w:t>Fib-4 index</w:t>
            </w:r>
          </w:p>
        </w:tc>
        <w:tc>
          <w:tcPr>
            <w:tcW w:w="1039" w:type="pct"/>
            <w:shd w:val="clear" w:color="auto" w:fill="FFFFFF"/>
            <w:tcMar>
              <w:top w:w="72" w:type="dxa"/>
              <w:left w:w="144" w:type="dxa"/>
              <w:bottom w:w="72" w:type="dxa"/>
              <w:right w:w="144" w:type="dxa"/>
            </w:tcMar>
          </w:tcPr>
          <w:p w14:paraId="3B3C3F08" w14:textId="77777777" w:rsidR="003D3BEE" w:rsidRDefault="00B212C7">
            <w:pPr>
              <w:spacing w:line="360" w:lineRule="auto"/>
              <w:jc w:val="both"/>
              <w:rPr>
                <w:rFonts w:ascii="Book Antiqua" w:hAnsi="Book Antiqua"/>
              </w:rPr>
            </w:pPr>
            <w:r>
              <w:rPr>
                <w:rFonts w:ascii="Book Antiqua" w:hAnsi="Book Antiqua"/>
              </w:rPr>
              <w:t>3.87</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3.24</w:t>
            </w:r>
          </w:p>
        </w:tc>
        <w:tc>
          <w:tcPr>
            <w:tcW w:w="947" w:type="pct"/>
            <w:shd w:val="clear" w:color="auto" w:fill="FFFFFF"/>
            <w:tcMar>
              <w:top w:w="72" w:type="dxa"/>
              <w:left w:w="144" w:type="dxa"/>
              <w:bottom w:w="72" w:type="dxa"/>
              <w:right w:w="144" w:type="dxa"/>
            </w:tcMar>
          </w:tcPr>
          <w:p w14:paraId="114AFA8A" w14:textId="77777777" w:rsidR="003D3BEE" w:rsidRDefault="00B212C7">
            <w:pPr>
              <w:spacing w:line="360" w:lineRule="auto"/>
              <w:jc w:val="both"/>
              <w:rPr>
                <w:rFonts w:ascii="Book Antiqua" w:hAnsi="Book Antiqua"/>
              </w:rPr>
            </w:pPr>
            <w:r>
              <w:rPr>
                <w:rFonts w:ascii="Book Antiqua" w:hAnsi="Book Antiqua"/>
              </w:rPr>
              <w:t>6.27</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4.64</w:t>
            </w:r>
          </w:p>
        </w:tc>
        <w:tc>
          <w:tcPr>
            <w:tcW w:w="960" w:type="pct"/>
            <w:shd w:val="clear" w:color="auto" w:fill="FFFFFF"/>
            <w:tcMar>
              <w:top w:w="72" w:type="dxa"/>
              <w:left w:w="144" w:type="dxa"/>
              <w:bottom w:w="72" w:type="dxa"/>
              <w:right w:w="144" w:type="dxa"/>
            </w:tcMar>
          </w:tcPr>
          <w:p w14:paraId="047A3171" w14:textId="77777777" w:rsidR="003D3BEE" w:rsidRDefault="00B212C7">
            <w:pPr>
              <w:spacing w:line="360" w:lineRule="auto"/>
              <w:jc w:val="both"/>
              <w:rPr>
                <w:rFonts w:ascii="Book Antiqua" w:hAnsi="Book Antiqua"/>
              </w:rPr>
            </w:pPr>
            <w:r>
              <w:rPr>
                <w:rFonts w:ascii="Book Antiqua" w:hAnsi="Book Antiqua"/>
              </w:rPr>
              <w:t>3.37</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2.60</w:t>
            </w:r>
          </w:p>
        </w:tc>
        <w:tc>
          <w:tcPr>
            <w:tcW w:w="633" w:type="pct"/>
            <w:shd w:val="clear" w:color="auto" w:fill="FFFFFF"/>
            <w:tcMar>
              <w:top w:w="72" w:type="dxa"/>
              <w:left w:w="144" w:type="dxa"/>
              <w:bottom w:w="72" w:type="dxa"/>
              <w:right w:w="144" w:type="dxa"/>
            </w:tcMar>
          </w:tcPr>
          <w:p w14:paraId="5EC75D18"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r w:rsidR="003D3BEE" w14:paraId="6D26D165" w14:textId="77777777">
        <w:trPr>
          <w:trHeight w:val="353"/>
        </w:trPr>
        <w:tc>
          <w:tcPr>
            <w:tcW w:w="1421" w:type="pct"/>
            <w:shd w:val="clear" w:color="auto" w:fill="FFFFFF"/>
            <w:tcMar>
              <w:top w:w="72" w:type="dxa"/>
              <w:left w:w="144" w:type="dxa"/>
              <w:bottom w:w="72" w:type="dxa"/>
              <w:right w:w="144" w:type="dxa"/>
            </w:tcMar>
          </w:tcPr>
          <w:p w14:paraId="5ED107C4" w14:textId="77777777" w:rsidR="003D3BEE" w:rsidRDefault="00B212C7">
            <w:pPr>
              <w:spacing w:line="360" w:lineRule="auto"/>
              <w:jc w:val="both"/>
              <w:rPr>
                <w:rFonts w:ascii="Book Antiqua" w:hAnsi="Book Antiqua"/>
              </w:rPr>
            </w:pPr>
            <w:r>
              <w:rPr>
                <w:rFonts w:ascii="Book Antiqua" w:hAnsi="Book Antiqua"/>
              </w:rPr>
              <w:t>AFP in ng/mL</w:t>
            </w:r>
          </w:p>
        </w:tc>
        <w:tc>
          <w:tcPr>
            <w:tcW w:w="1039" w:type="pct"/>
            <w:shd w:val="clear" w:color="auto" w:fill="FFFFFF"/>
            <w:tcMar>
              <w:top w:w="72" w:type="dxa"/>
              <w:left w:w="144" w:type="dxa"/>
              <w:bottom w:w="72" w:type="dxa"/>
              <w:right w:w="144" w:type="dxa"/>
            </w:tcMar>
          </w:tcPr>
          <w:p w14:paraId="1423CF5C" w14:textId="77777777" w:rsidR="003D3BEE" w:rsidRDefault="00B212C7">
            <w:pPr>
              <w:spacing w:line="360" w:lineRule="auto"/>
              <w:jc w:val="both"/>
              <w:rPr>
                <w:rFonts w:ascii="Book Antiqua" w:hAnsi="Book Antiqua"/>
              </w:rPr>
            </w:pPr>
            <w:r>
              <w:rPr>
                <w:rFonts w:ascii="Book Antiqua" w:hAnsi="Book Antiqua"/>
              </w:rPr>
              <w:t>12.0</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35.2</w:t>
            </w:r>
          </w:p>
        </w:tc>
        <w:tc>
          <w:tcPr>
            <w:tcW w:w="947" w:type="pct"/>
            <w:shd w:val="clear" w:color="auto" w:fill="FFFFFF"/>
            <w:tcMar>
              <w:top w:w="72" w:type="dxa"/>
              <w:left w:w="144" w:type="dxa"/>
              <w:bottom w:w="72" w:type="dxa"/>
              <w:right w:w="144" w:type="dxa"/>
            </w:tcMar>
          </w:tcPr>
          <w:p w14:paraId="3CD6B824" w14:textId="77777777" w:rsidR="003D3BEE" w:rsidRDefault="00B212C7">
            <w:pPr>
              <w:spacing w:line="360" w:lineRule="auto"/>
              <w:jc w:val="both"/>
              <w:rPr>
                <w:rFonts w:ascii="Book Antiqua" w:hAnsi="Book Antiqua"/>
              </w:rPr>
            </w:pPr>
            <w:r>
              <w:rPr>
                <w:rFonts w:ascii="Book Antiqua" w:hAnsi="Book Antiqua"/>
              </w:rPr>
              <w:t>23.7</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52.4</w:t>
            </w:r>
          </w:p>
        </w:tc>
        <w:tc>
          <w:tcPr>
            <w:tcW w:w="960" w:type="pct"/>
            <w:shd w:val="clear" w:color="auto" w:fill="FFFFFF"/>
            <w:tcMar>
              <w:top w:w="72" w:type="dxa"/>
              <w:left w:w="144" w:type="dxa"/>
              <w:bottom w:w="72" w:type="dxa"/>
              <w:right w:w="144" w:type="dxa"/>
            </w:tcMar>
          </w:tcPr>
          <w:p w14:paraId="14630E01" w14:textId="77777777" w:rsidR="003D3BEE" w:rsidRDefault="00B212C7">
            <w:pPr>
              <w:spacing w:line="360" w:lineRule="auto"/>
              <w:jc w:val="both"/>
              <w:rPr>
                <w:rFonts w:ascii="Book Antiqua" w:hAnsi="Book Antiqua"/>
              </w:rPr>
            </w:pPr>
            <w:r>
              <w:rPr>
                <w:rFonts w:ascii="Book Antiqua" w:hAnsi="Book Antiqua"/>
              </w:rPr>
              <w:t>9.4</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29.6</w:t>
            </w:r>
          </w:p>
        </w:tc>
        <w:tc>
          <w:tcPr>
            <w:tcW w:w="633" w:type="pct"/>
            <w:shd w:val="clear" w:color="auto" w:fill="FFFFFF"/>
            <w:tcMar>
              <w:top w:w="72" w:type="dxa"/>
              <w:left w:w="144" w:type="dxa"/>
              <w:bottom w:w="72" w:type="dxa"/>
              <w:right w:w="144" w:type="dxa"/>
            </w:tcMar>
          </w:tcPr>
          <w:p w14:paraId="371CF66F" w14:textId="77777777" w:rsidR="003D3BEE" w:rsidRDefault="00B212C7">
            <w:pPr>
              <w:spacing w:line="360" w:lineRule="auto"/>
              <w:jc w:val="both"/>
              <w:rPr>
                <w:rFonts w:ascii="Book Antiqua" w:hAnsi="Book Antiqua"/>
              </w:rPr>
            </w:pPr>
            <w:r>
              <w:rPr>
                <w:rFonts w:ascii="Book Antiqua" w:hAnsi="Book Antiqua"/>
              </w:rPr>
              <w:t>0.047</w:t>
            </w:r>
          </w:p>
        </w:tc>
      </w:tr>
    </w:tbl>
    <w:p w14:paraId="053BFE11" w14:textId="77777777" w:rsidR="003D3BEE" w:rsidRDefault="00B212C7">
      <w:pPr>
        <w:spacing w:line="360" w:lineRule="auto"/>
        <w:jc w:val="both"/>
        <w:rPr>
          <w:rFonts w:ascii="Book Antiqua" w:eastAsia="宋体" w:hAnsi="Book Antiqua"/>
          <w:lang w:eastAsia="zh-CN"/>
        </w:rPr>
      </w:pPr>
      <w:r>
        <w:rPr>
          <w:rFonts w:ascii="Book Antiqua" w:eastAsia="宋体" w:hAnsi="Book Antiqua"/>
          <w:vertAlign w:val="superscript"/>
          <w:lang w:eastAsia="zh-CN"/>
        </w:rPr>
        <w:t>1</w:t>
      </w:r>
      <w:r>
        <w:rPr>
          <w:rFonts w:ascii="Book Antiqua" w:hAnsi="Book Antiqua"/>
        </w:rPr>
        <w:t xml:space="preserve">Statistical significance set up as </w:t>
      </w:r>
      <w:r>
        <w:rPr>
          <w:rFonts w:ascii="Book Antiqua" w:eastAsia="宋体" w:hAnsi="Book Antiqua"/>
          <w:i/>
          <w:lang w:eastAsia="zh-CN"/>
        </w:rPr>
        <w:t>P</w:t>
      </w:r>
      <w:r>
        <w:rPr>
          <w:rFonts w:ascii="Book Antiqua" w:eastAsia="宋体" w:hAnsi="Book Antiqua"/>
          <w:lang w:eastAsia="zh-CN"/>
        </w:rPr>
        <w:t xml:space="preserve"> </w:t>
      </w:r>
      <w:r>
        <w:rPr>
          <w:rFonts w:ascii="Book Antiqua" w:hAnsi="Book Antiqua"/>
        </w:rPr>
        <w:t>&lt;</w:t>
      </w:r>
      <w:r>
        <w:rPr>
          <w:rFonts w:ascii="Book Antiqua" w:eastAsia="宋体" w:hAnsi="Book Antiqua"/>
          <w:lang w:eastAsia="zh-CN"/>
        </w:rPr>
        <w:t xml:space="preserve"> </w:t>
      </w:r>
      <w:r>
        <w:rPr>
          <w:rFonts w:ascii="Book Antiqua" w:hAnsi="Book Antiqua"/>
        </w:rPr>
        <w:t xml:space="preserve">0.05 as compared between with HCC </w:t>
      </w:r>
      <w:r>
        <w:rPr>
          <w:rFonts w:ascii="Book Antiqua" w:hAnsi="Book Antiqua"/>
          <w:i/>
          <w:iCs/>
        </w:rPr>
        <w:t xml:space="preserve">vs </w:t>
      </w:r>
      <w:r>
        <w:rPr>
          <w:rFonts w:ascii="Book Antiqua" w:hAnsi="Book Antiqua"/>
        </w:rPr>
        <w:t>without HCC</w:t>
      </w:r>
      <w:r>
        <w:rPr>
          <w:rFonts w:ascii="Book Antiqua" w:eastAsia="宋体" w:hAnsi="Book Antiqua" w:hint="eastAsia"/>
          <w:lang w:eastAsia="zh-CN"/>
        </w:rPr>
        <w:t>.</w:t>
      </w:r>
    </w:p>
    <w:p w14:paraId="698E74B7" w14:textId="77777777" w:rsidR="003D3BEE" w:rsidRDefault="00B212C7">
      <w:pPr>
        <w:spacing w:line="360" w:lineRule="auto"/>
        <w:jc w:val="both"/>
        <w:rPr>
          <w:rFonts w:ascii="Book Antiqua" w:eastAsia="宋体" w:hAnsi="Book Antiqua"/>
          <w:lang w:eastAsia="zh-CN"/>
        </w:rPr>
      </w:pPr>
      <w:r>
        <w:rPr>
          <w:rFonts w:ascii="Book Antiqua" w:eastAsia="宋体" w:hAnsi="Book Antiqua"/>
          <w:vertAlign w:val="superscript"/>
          <w:lang w:eastAsia="zh-CN"/>
        </w:rPr>
        <w:t>2</w:t>
      </w:r>
      <w:r>
        <w:rPr>
          <w:rFonts w:ascii="Book Antiqua" w:hAnsi="Book Antiqua"/>
        </w:rPr>
        <w:t>Habitual alcohol use is defined as daily alcohol consumption of &gt;</w:t>
      </w:r>
      <w:r>
        <w:rPr>
          <w:rFonts w:ascii="Book Antiqua" w:eastAsia="宋体" w:hAnsi="Book Antiqua"/>
          <w:lang w:eastAsia="zh-CN"/>
        </w:rPr>
        <w:t xml:space="preserve"> </w:t>
      </w:r>
      <w:r>
        <w:rPr>
          <w:rFonts w:ascii="Book Antiqua" w:hAnsi="Book Antiqua"/>
        </w:rPr>
        <w:t>20 g a woman or &gt;</w:t>
      </w:r>
      <w:r>
        <w:rPr>
          <w:rFonts w:ascii="Book Antiqua" w:eastAsia="宋体" w:hAnsi="Book Antiqua"/>
          <w:lang w:eastAsia="zh-CN"/>
        </w:rPr>
        <w:t xml:space="preserve"> </w:t>
      </w:r>
      <w:r>
        <w:rPr>
          <w:rFonts w:ascii="Book Antiqua" w:hAnsi="Book Antiqua"/>
        </w:rPr>
        <w:t xml:space="preserve">30 g for a man. </w:t>
      </w:r>
    </w:p>
    <w:p w14:paraId="19208692" w14:textId="77777777" w:rsidR="003D3BEE" w:rsidRDefault="00B212C7">
      <w:pPr>
        <w:spacing w:line="360" w:lineRule="auto"/>
        <w:jc w:val="both"/>
        <w:rPr>
          <w:rFonts w:ascii="Book Antiqua" w:hAnsi="Book Antiqua"/>
        </w:rPr>
      </w:pPr>
      <w:r>
        <w:rPr>
          <w:rFonts w:ascii="Book Antiqua" w:hAnsi="Book Antiqua"/>
        </w:rPr>
        <w:t xml:space="preserve">Alb: </w:t>
      </w:r>
      <w:r>
        <w:rPr>
          <w:rFonts w:ascii="Book Antiqua" w:eastAsia="宋体" w:hAnsi="Book Antiqua"/>
          <w:lang w:eastAsia="zh-CN"/>
        </w:rPr>
        <w:t>A</w:t>
      </w:r>
      <w:r>
        <w:rPr>
          <w:rFonts w:ascii="Book Antiqua" w:hAnsi="Book Antiqua"/>
        </w:rPr>
        <w:t xml:space="preserve">lbumin; AFP: </w:t>
      </w:r>
      <w:r>
        <w:rPr>
          <w:rFonts w:ascii="Book Antiqua" w:eastAsia="宋体" w:hAnsi="Book Antiqua"/>
          <w:lang w:eastAsia="zh-CN"/>
        </w:rPr>
        <w:t>A</w:t>
      </w:r>
      <w:r>
        <w:rPr>
          <w:rFonts w:ascii="Book Antiqua" w:hAnsi="Book Antiqua"/>
        </w:rPr>
        <w:t>lpha fetoprotein</w:t>
      </w:r>
      <w:r>
        <w:rPr>
          <w:rFonts w:ascii="Book Antiqua" w:eastAsia="宋体" w:hAnsi="Book Antiqua"/>
          <w:lang w:eastAsia="zh-CN"/>
        </w:rPr>
        <w:t xml:space="preserve">; </w:t>
      </w:r>
      <w:r>
        <w:rPr>
          <w:rFonts w:ascii="Book Antiqua" w:hAnsi="Book Antiqua"/>
        </w:rPr>
        <w:t xml:space="preserve">ALT: </w:t>
      </w:r>
      <w:r>
        <w:rPr>
          <w:rFonts w:ascii="Book Antiqua" w:eastAsia="宋体" w:hAnsi="Book Antiqua"/>
          <w:lang w:eastAsia="zh-CN"/>
        </w:rPr>
        <w:t>A</w:t>
      </w:r>
      <w:r>
        <w:rPr>
          <w:rFonts w:ascii="Book Antiqua" w:hAnsi="Book Antiqua"/>
        </w:rPr>
        <w:t xml:space="preserve">lanine aminotransferase; Fib-4: Fibrosis-4; HCC: </w:t>
      </w:r>
      <w:r>
        <w:rPr>
          <w:rFonts w:ascii="Book Antiqua" w:eastAsia="宋体" w:hAnsi="Book Antiqua"/>
          <w:lang w:eastAsia="zh-CN"/>
        </w:rPr>
        <w:t>H</w:t>
      </w:r>
      <w:r>
        <w:rPr>
          <w:rFonts w:ascii="Book Antiqua" w:hAnsi="Book Antiqua"/>
        </w:rPr>
        <w:t xml:space="preserve">epatocellular carcinoma; Plt: </w:t>
      </w:r>
      <w:r>
        <w:rPr>
          <w:rFonts w:ascii="Book Antiqua" w:eastAsia="宋体" w:hAnsi="Book Antiqua"/>
          <w:lang w:eastAsia="zh-CN"/>
        </w:rPr>
        <w:t>P</w:t>
      </w:r>
      <w:r>
        <w:rPr>
          <w:rFonts w:ascii="Book Antiqua" w:hAnsi="Book Antiqua"/>
        </w:rPr>
        <w:t>latelet.</w:t>
      </w:r>
      <w:r>
        <w:rPr>
          <w:rFonts w:ascii="Book Antiqua" w:eastAsia="宋体" w:hAnsi="Book Antiqua"/>
          <w:lang w:eastAsia="zh-CN"/>
        </w:rPr>
        <w:t xml:space="preserve"> </w:t>
      </w:r>
    </w:p>
    <w:p w14:paraId="0FD74CB5" w14:textId="77777777" w:rsidR="003D3BEE" w:rsidRDefault="00B212C7">
      <w:pPr>
        <w:spacing w:line="360" w:lineRule="auto"/>
        <w:jc w:val="both"/>
        <w:rPr>
          <w:rFonts w:ascii="Book Antiqua" w:eastAsia="宋体" w:hAnsi="Book Antiqua"/>
          <w:lang w:eastAsia="zh-CN"/>
        </w:rPr>
      </w:pPr>
      <w:r>
        <w:rPr>
          <w:rFonts w:ascii="Book Antiqua" w:eastAsia="宋体" w:hAnsi="Book Antiqua"/>
          <w:lang w:eastAsia="zh-CN"/>
        </w:rPr>
        <w:br w:type="page"/>
      </w:r>
    </w:p>
    <w:p w14:paraId="51A68209" w14:textId="77777777" w:rsidR="003D3BEE" w:rsidRDefault="00B212C7">
      <w:pPr>
        <w:spacing w:line="360" w:lineRule="auto"/>
        <w:jc w:val="both"/>
        <w:rPr>
          <w:rFonts w:ascii="Book Antiqua" w:eastAsia="宋体" w:hAnsi="Book Antiqua"/>
          <w:b/>
          <w:bCs/>
          <w:lang w:eastAsia="zh-CN"/>
        </w:rPr>
      </w:pPr>
      <w:r>
        <w:rPr>
          <w:rFonts w:ascii="Book Antiqua" w:hAnsi="Book Antiqua"/>
          <w:b/>
          <w:bCs/>
        </w:rPr>
        <w:lastRenderedPageBreak/>
        <w:t>Table 2 Treatment with direct-acting antivirals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460"/>
        <w:gridCol w:w="1710"/>
        <w:gridCol w:w="2190"/>
      </w:tblGrid>
      <w:tr w:rsidR="003D3BEE" w14:paraId="4C89047C" w14:textId="77777777">
        <w:trPr>
          <w:trHeight w:val="271"/>
        </w:trPr>
        <w:tc>
          <w:tcPr>
            <w:tcW w:w="2979" w:type="pct"/>
            <w:tcBorders>
              <w:top w:val="single" w:sz="4" w:space="0" w:color="auto"/>
              <w:bottom w:val="single" w:sz="4" w:space="0" w:color="auto"/>
            </w:tcBorders>
            <w:shd w:val="clear" w:color="auto" w:fill="FFFFFF"/>
            <w:tcMar>
              <w:top w:w="72" w:type="dxa"/>
              <w:left w:w="144" w:type="dxa"/>
              <w:bottom w:w="72" w:type="dxa"/>
              <w:right w:w="144" w:type="dxa"/>
            </w:tcMar>
          </w:tcPr>
          <w:p w14:paraId="7BD77BA4" w14:textId="77777777" w:rsidR="003D3BEE" w:rsidRDefault="00B212C7">
            <w:pPr>
              <w:spacing w:line="360" w:lineRule="auto"/>
              <w:jc w:val="both"/>
              <w:rPr>
                <w:rFonts w:ascii="Book Antiqua" w:hAnsi="Book Antiqua"/>
                <w:b/>
              </w:rPr>
            </w:pPr>
            <w:r>
              <w:rPr>
                <w:rFonts w:ascii="Book Antiqua" w:hAnsi="Book Antiqua"/>
                <w:b/>
              </w:rPr>
              <w:t>Regimens</w:t>
            </w:r>
          </w:p>
        </w:tc>
        <w:tc>
          <w:tcPr>
            <w:tcW w:w="886" w:type="pct"/>
            <w:tcBorders>
              <w:top w:val="single" w:sz="4" w:space="0" w:color="auto"/>
              <w:bottom w:val="single" w:sz="4" w:space="0" w:color="auto"/>
            </w:tcBorders>
            <w:shd w:val="clear" w:color="auto" w:fill="FFFFFF"/>
            <w:tcMar>
              <w:top w:w="72" w:type="dxa"/>
              <w:left w:w="144" w:type="dxa"/>
              <w:bottom w:w="72" w:type="dxa"/>
              <w:right w:w="144" w:type="dxa"/>
            </w:tcMar>
          </w:tcPr>
          <w:p w14:paraId="14AF43C2" w14:textId="77777777" w:rsidR="003D3BEE" w:rsidRDefault="00B212C7">
            <w:pPr>
              <w:spacing w:line="360" w:lineRule="auto"/>
              <w:jc w:val="both"/>
              <w:rPr>
                <w:rFonts w:ascii="Book Antiqua" w:hAnsi="Book Antiqua"/>
                <w:b/>
              </w:rPr>
            </w:pPr>
            <w:r>
              <w:rPr>
                <w:rFonts w:ascii="Book Antiqua" w:hAnsi="Book Antiqua"/>
                <w:b/>
              </w:rPr>
              <w:t xml:space="preserve">With HCC </w:t>
            </w:r>
          </w:p>
        </w:tc>
        <w:tc>
          <w:tcPr>
            <w:tcW w:w="1135" w:type="pct"/>
            <w:tcBorders>
              <w:top w:val="single" w:sz="4" w:space="0" w:color="auto"/>
              <w:bottom w:val="single" w:sz="4" w:space="0" w:color="auto"/>
            </w:tcBorders>
            <w:shd w:val="clear" w:color="auto" w:fill="FFFFFF"/>
            <w:tcMar>
              <w:top w:w="72" w:type="dxa"/>
              <w:left w:w="144" w:type="dxa"/>
              <w:bottom w:w="72" w:type="dxa"/>
              <w:right w:w="144" w:type="dxa"/>
            </w:tcMar>
          </w:tcPr>
          <w:p w14:paraId="22C722A6" w14:textId="77777777" w:rsidR="003D3BEE" w:rsidRDefault="00B212C7">
            <w:pPr>
              <w:spacing w:line="360" w:lineRule="auto"/>
              <w:jc w:val="both"/>
              <w:rPr>
                <w:rFonts w:ascii="Book Antiqua" w:hAnsi="Book Antiqua"/>
                <w:b/>
              </w:rPr>
            </w:pPr>
            <w:r>
              <w:rPr>
                <w:rFonts w:ascii="Book Antiqua" w:hAnsi="Book Antiqua"/>
                <w:b/>
              </w:rPr>
              <w:t>Without HCC</w:t>
            </w:r>
          </w:p>
        </w:tc>
      </w:tr>
      <w:tr w:rsidR="003D3BEE" w14:paraId="6928CFC8" w14:textId="77777777">
        <w:trPr>
          <w:trHeight w:val="283"/>
        </w:trPr>
        <w:tc>
          <w:tcPr>
            <w:tcW w:w="2979" w:type="pct"/>
            <w:tcBorders>
              <w:top w:val="single" w:sz="4" w:space="0" w:color="auto"/>
            </w:tcBorders>
            <w:shd w:val="clear" w:color="auto" w:fill="FFFFFF"/>
            <w:tcMar>
              <w:top w:w="72" w:type="dxa"/>
              <w:left w:w="144" w:type="dxa"/>
              <w:bottom w:w="72" w:type="dxa"/>
              <w:right w:w="144" w:type="dxa"/>
            </w:tcMar>
          </w:tcPr>
          <w:p w14:paraId="3F7DDC25" w14:textId="77777777" w:rsidR="003D3BEE" w:rsidRDefault="00B212C7">
            <w:pPr>
              <w:spacing w:line="360" w:lineRule="auto"/>
              <w:jc w:val="both"/>
              <w:rPr>
                <w:rFonts w:ascii="Book Antiqua" w:hAnsi="Book Antiqua"/>
              </w:rPr>
            </w:pPr>
            <w:r>
              <w:rPr>
                <w:rFonts w:ascii="Book Antiqua" w:hAnsi="Book Antiqua"/>
              </w:rPr>
              <w:t>DCV</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ASV/SOF</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LDV/SOF</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Rib/GLE</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PIB/</w:t>
            </w:r>
            <w:r>
              <w:rPr>
                <w:rFonts w:ascii="Book Antiqua" w:eastAsia="宋体" w:hAnsi="Book Antiqua"/>
                <w:lang w:eastAsia="zh-CN"/>
              </w:rPr>
              <w:t>o</w:t>
            </w:r>
            <w:r>
              <w:rPr>
                <w:rFonts w:ascii="Book Antiqua" w:hAnsi="Book Antiqua"/>
              </w:rPr>
              <w:t>thers</w:t>
            </w:r>
          </w:p>
        </w:tc>
        <w:tc>
          <w:tcPr>
            <w:tcW w:w="886" w:type="pct"/>
            <w:tcBorders>
              <w:top w:val="single" w:sz="4" w:space="0" w:color="auto"/>
            </w:tcBorders>
            <w:shd w:val="clear" w:color="auto" w:fill="FFFFFF"/>
            <w:tcMar>
              <w:top w:w="72" w:type="dxa"/>
              <w:left w:w="144" w:type="dxa"/>
              <w:bottom w:w="72" w:type="dxa"/>
              <w:right w:w="144" w:type="dxa"/>
            </w:tcMar>
          </w:tcPr>
          <w:p w14:paraId="5A733BC6" w14:textId="77777777" w:rsidR="003D3BEE" w:rsidRDefault="00B212C7">
            <w:pPr>
              <w:spacing w:line="360" w:lineRule="auto"/>
              <w:jc w:val="both"/>
              <w:rPr>
                <w:rFonts w:ascii="Book Antiqua" w:hAnsi="Book Antiqua"/>
              </w:rPr>
            </w:pPr>
            <w:r>
              <w:rPr>
                <w:rFonts w:ascii="Book Antiqua" w:hAnsi="Book Antiqua"/>
              </w:rPr>
              <w:t>13/24/6/6/4</w:t>
            </w:r>
          </w:p>
        </w:tc>
        <w:tc>
          <w:tcPr>
            <w:tcW w:w="1135" w:type="pct"/>
            <w:tcBorders>
              <w:top w:val="single" w:sz="4" w:space="0" w:color="auto"/>
            </w:tcBorders>
            <w:shd w:val="clear" w:color="auto" w:fill="FFFFFF"/>
            <w:tcMar>
              <w:top w:w="72" w:type="dxa"/>
              <w:left w:w="144" w:type="dxa"/>
              <w:bottom w:w="72" w:type="dxa"/>
              <w:right w:w="144" w:type="dxa"/>
            </w:tcMar>
          </w:tcPr>
          <w:p w14:paraId="11C90DF3" w14:textId="77777777" w:rsidR="003D3BEE" w:rsidRDefault="00B212C7">
            <w:pPr>
              <w:spacing w:line="360" w:lineRule="auto"/>
              <w:jc w:val="both"/>
              <w:rPr>
                <w:rFonts w:ascii="Book Antiqua" w:hAnsi="Book Antiqua"/>
              </w:rPr>
            </w:pPr>
            <w:r>
              <w:rPr>
                <w:rFonts w:ascii="Book Antiqua" w:hAnsi="Book Antiqua"/>
              </w:rPr>
              <w:t>45/103/35/58/20</w:t>
            </w:r>
          </w:p>
        </w:tc>
      </w:tr>
      <w:tr w:rsidR="003D3BEE" w14:paraId="51450C06" w14:textId="77777777">
        <w:trPr>
          <w:trHeight w:val="250"/>
        </w:trPr>
        <w:tc>
          <w:tcPr>
            <w:tcW w:w="2979" w:type="pct"/>
            <w:shd w:val="clear" w:color="auto" w:fill="FFFFFF"/>
            <w:tcMar>
              <w:top w:w="72" w:type="dxa"/>
              <w:left w:w="144" w:type="dxa"/>
              <w:bottom w:w="72" w:type="dxa"/>
              <w:right w:w="144" w:type="dxa"/>
            </w:tcMar>
          </w:tcPr>
          <w:p w14:paraId="5DB827D0" w14:textId="77777777" w:rsidR="003D3BEE" w:rsidRDefault="00B212C7">
            <w:pPr>
              <w:spacing w:line="360" w:lineRule="auto"/>
              <w:jc w:val="both"/>
              <w:rPr>
                <w:rFonts w:ascii="Book Antiqua" w:hAnsi="Book Antiqua"/>
              </w:rPr>
            </w:pPr>
            <w:r>
              <w:rPr>
                <w:rFonts w:ascii="Book Antiqua" w:hAnsi="Book Antiqua"/>
              </w:rPr>
              <w:t>SVR at 12 wk post</w:t>
            </w:r>
            <w:r>
              <w:rPr>
                <w:rFonts w:ascii="Book Antiqua" w:eastAsia="宋体" w:hAnsi="Book Antiqua"/>
                <w:lang w:eastAsia="zh-CN"/>
              </w:rPr>
              <w:t>-</w:t>
            </w:r>
            <w:r>
              <w:rPr>
                <w:rFonts w:ascii="Book Antiqua" w:hAnsi="Book Antiqua"/>
              </w:rPr>
              <w:t>treatment, yes/no</w:t>
            </w:r>
          </w:p>
        </w:tc>
        <w:tc>
          <w:tcPr>
            <w:tcW w:w="886" w:type="pct"/>
            <w:shd w:val="clear" w:color="auto" w:fill="FFFFFF"/>
            <w:tcMar>
              <w:top w:w="72" w:type="dxa"/>
              <w:left w:w="144" w:type="dxa"/>
              <w:bottom w:w="72" w:type="dxa"/>
              <w:right w:w="144" w:type="dxa"/>
            </w:tcMar>
          </w:tcPr>
          <w:p w14:paraId="7CDC2F93" w14:textId="77777777" w:rsidR="003D3BEE" w:rsidRDefault="00B212C7">
            <w:pPr>
              <w:spacing w:line="360" w:lineRule="auto"/>
              <w:jc w:val="both"/>
              <w:rPr>
                <w:rFonts w:ascii="Book Antiqua" w:hAnsi="Book Antiqua"/>
              </w:rPr>
            </w:pPr>
            <w:r>
              <w:rPr>
                <w:rFonts w:ascii="Book Antiqua" w:hAnsi="Book Antiqua"/>
              </w:rPr>
              <w:t>52/1</w:t>
            </w:r>
          </w:p>
        </w:tc>
        <w:tc>
          <w:tcPr>
            <w:tcW w:w="1135" w:type="pct"/>
            <w:shd w:val="clear" w:color="auto" w:fill="FFFFFF"/>
            <w:tcMar>
              <w:top w:w="72" w:type="dxa"/>
              <w:left w:w="144" w:type="dxa"/>
              <w:bottom w:w="72" w:type="dxa"/>
              <w:right w:w="144" w:type="dxa"/>
            </w:tcMar>
          </w:tcPr>
          <w:p w14:paraId="261A1284" w14:textId="77777777" w:rsidR="003D3BEE" w:rsidRDefault="00B212C7">
            <w:pPr>
              <w:spacing w:line="360" w:lineRule="auto"/>
              <w:jc w:val="both"/>
              <w:rPr>
                <w:rFonts w:ascii="Book Antiqua" w:hAnsi="Book Antiqua"/>
              </w:rPr>
            </w:pPr>
            <w:r>
              <w:rPr>
                <w:rFonts w:ascii="Book Antiqua" w:hAnsi="Book Antiqua"/>
              </w:rPr>
              <w:t>250/8</w:t>
            </w:r>
          </w:p>
        </w:tc>
      </w:tr>
      <w:tr w:rsidR="003D3BEE" w14:paraId="3AE707FA" w14:textId="77777777">
        <w:trPr>
          <w:trHeight w:val="250"/>
        </w:trPr>
        <w:tc>
          <w:tcPr>
            <w:tcW w:w="2979" w:type="pct"/>
            <w:shd w:val="clear" w:color="auto" w:fill="FFFFFF"/>
            <w:tcMar>
              <w:top w:w="72" w:type="dxa"/>
              <w:left w:w="144" w:type="dxa"/>
              <w:bottom w:w="72" w:type="dxa"/>
              <w:right w:w="144" w:type="dxa"/>
            </w:tcMar>
          </w:tcPr>
          <w:p w14:paraId="60EB1340" w14:textId="77777777" w:rsidR="003D3BEE" w:rsidRDefault="00B212C7">
            <w:pPr>
              <w:spacing w:line="360" w:lineRule="auto"/>
              <w:jc w:val="both"/>
              <w:rPr>
                <w:rFonts w:ascii="Book Antiqua" w:hAnsi="Book Antiqua"/>
              </w:rPr>
            </w:pPr>
            <w:r>
              <w:rPr>
                <w:rFonts w:ascii="Book Antiqua" w:hAnsi="Book Antiqua"/>
              </w:rPr>
              <w:t>AFP at EOT in ng/mL</w:t>
            </w:r>
          </w:p>
        </w:tc>
        <w:tc>
          <w:tcPr>
            <w:tcW w:w="886" w:type="pct"/>
            <w:shd w:val="clear" w:color="auto" w:fill="FFFFFF"/>
            <w:tcMar>
              <w:top w:w="72" w:type="dxa"/>
              <w:left w:w="144" w:type="dxa"/>
              <w:bottom w:w="72" w:type="dxa"/>
              <w:right w:w="144" w:type="dxa"/>
            </w:tcMar>
          </w:tcPr>
          <w:p w14:paraId="354E6C9F" w14:textId="77777777" w:rsidR="003D3BEE" w:rsidRDefault="00B212C7">
            <w:pPr>
              <w:spacing w:line="360" w:lineRule="auto"/>
              <w:jc w:val="both"/>
              <w:rPr>
                <w:rFonts w:ascii="Book Antiqua" w:eastAsia="宋体" w:hAnsi="Book Antiqua"/>
                <w:lang w:eastAsia="zh-CN"/>
              </w:rPr>
            </w:pPr>
            <w:r>
              <w:rPr>
                <w:rFonts w:ascii="Book Antiqua" w:hAnsi="Book Antiqua"/>
              </w:rPr>
              <w:t>7.64</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6.81</w:t>
            </w:r>
            <w:r>
              <w:rPr>
                <w:rFonts w:ascii="Book Antiqua" w:eastAsia="宋体" w:hAnsi="Book Antiqua"/>
                <w:vertAlign w:val="superscript"/>
                <w:lang w:eastAsia="zh-CN"/>
              </w:rPr>
              <w:t>a</w:t>
            </w:r>
          </w:p>
        </w:tc>
        <w:tc>
          <w:tcPr>
            <w:tcW w:w="1135" w:type="pct"/>
            <w:shd w:val="clear" w:color="auto" w:fill="FFFFFF"/>
            <w:tcMar>
              <w:top w:w="72" w:type="dxa"/>
              <w:left w:w="144" w:type="dxa"/>
              <w:bottom w:w="72" w:type="dxa"/>
              <w:right w:w="144" w:type="dxa"/>
            </w:tcMar>
          </w:tcPr>
          <w:p w14:paraId="1CA9D898" w14:textId="77777777" w:rsidR="003D3BEE" w:rsidRDefault="00B212C7">
            <w:pPr>
              <w:spacing w:line="360" w:lineRule="auto"/>
              <w:jc w:val="both"/>
              <w:rPr>
                <w:rFonts w:ascii="Book Antiqua" w:hAnsi="Book Antiqua"/>
              </w:rPr>
            </w:pPr>
            <w:r>
              <w:rPr>
                <w:rFonts w:ascii="Book Antiqua" w:hAnsi="Book Antiqua"/>
              </w:rPr>
              <w:t>3.93</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3.99</w:t>
            </w:r>
          </w:p>
        </w:tc>
      </w:tr>
      <w:tr w:rsidR="003D3BEE" w14:paraId="5C34FCD0" w14:textId="77777777">
        <w:trPr>
          <w:trHeight w:val="271"/>
        </w:trPr>
        <w:tc>
          <w:tcPr>
            <w:tcW w:w="2979" w:type="pct"/>
            <w:shd w:val="clear" w:color="auto" w:fill="FFFFFF"/>
            <w:tcMar>
              <w:top w:w="72" w:type="dxa"/>
              <w:left w:w="144" w:type="dxa"/>
              <w:bottom w:w="72" w:type="dxa"/>
              <w:right w:w="144" w:type="dxa"/>
            </w:tcMar>
          </w:tcPr>
          <w:p w14:paraId="4C29C39B" w14:textId="77777777" w:rsidR="003D3BEE" w:rsidRDefault="00B212C7">
            <w:pPr>
              <w:spacing w:line="360" w:lineRule="auto"/>
              <w:jc w:val="both"/>
              <w:rPr>
                <w:rFonts w:ascii="Book Antiqua" w:hAnsi="Book Antiqua"/>
              </w:rPr>
            </w:pPr>
            <w:r>
              <w:rPr>
                <w:rFonts w:ascii="Book Antiqua" w:hAnsi="Book Antiqua"/>
              </w:rPr>
              <w:t>AFP at SVR in ng/mL</w:t>
            </w:r>
          </w:p>
        </w:tc>
        <w:tc>
          <w:tcPr>
            <w:tcW w:w="886" w:type="pct"/>
            <w:shd w:val="clear" w:color="auto" w:fill="FFFFFF"/>
            <w:tcMar>
              <w:top w:w="72" w:type="dxa"/>
              <w:left w:w="144" w:type="dxa"/>
              <w:bottom w:w="72" w:type="dxa"/>
              <w:right w:w="144" w:type="dxa"/>
            </w:tcMar>
          </w:tcPr>
          <w:p w14:paraId="7941FD94" w14:textId="77777777" w:rsidR="003D3BEE" w:rsidRDefault="00B212C7">
            <w:pPr>
              <w:spacing w:line="360" w:lineRule="auto"/>
              <w:jc w:val="both"/>
              <w:rPr>
                <w:rFonts w:ascii="Book Antiqua" w:hAnsi="Book Antiqua"/>
              </w:rPr>
            </w:pPr>
            <w:r>
              <w:rPr>
                <w:rFonts w:ascii="Book Antiqua" w:hAnsi="Book Antiqua"/>
              </w:rPr>
              <w:t>6.60</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6.27</w:t>
            </w:r>
            <w:r>
              <w:rPr>
                <w:rFonts w:ascii="Book Antiqua" w:eastAsia="宋体" w:hAnsi="Book Antiqua"/>
                <w:vertAlign w:val="superscript"/>
                <w:lang w:eastAsia="zh-CN"/>
              </w:rPr>
              <w:t>a</w:t>
            </w:r>
          </w:p>
        </w:tc>
        <w:tc>
          <w:tcPr>
            <w:tcW w:w="1135" w:type="pct"/>
            <w:shd w:val="clear" w:color="auto" w:fill="FFFFFF"/>
            <w:tcMar>
              <w:top w:w="72" w:type="dxa"/>
              <w:left w:w="144" w:type="dxa"/>
              <w:bottom w:w="72" w:type="dxa"/>
              <w:right w:w="144" w:type="dxa"/>
            </w:tcMar>
          </w:tcPr>
          <w:p w14:paraId="73AA02A9" w14:textId="77777777" w:rsidR="003D3BEE" w:rsidRDefault="00B212C7">
            <w:pPr>
              <w:spacing w:line="360" w:lineRule="auto"/>
              <w:jc w:val="both"/>
              <w:rPr>
                <w:rFonts w:ascii="Book Antiqua" w:hAnsi="Book Antiqua"/>
              </w:rPr>
            </w:pPr>
            <w:r>
              <w:rPr>
                <w:rFonts w:ascii="Book Antiqua" w:hAnsi="Book Antiqua"/>
              </w:rPr>
              <w:t>3.68</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2.64</w:t>
            </w:r>
          </w:p>
        </w:tc>
      </w:tr>
    </w:tbl>
    <w:p w14:paraId="77D3954B" w14:textId="77777777" w:rsidR="003D3BEE" w:rsidRDefault="00B212C7">
      <w:pPr>
        <w:spacing w:line="360" w:lineRule="auto"/>
        <w:jc w:val="both"/>
        <w:rPr>
          <w:rFonts w:ascii="Book Antiqua" w:eastAsia="宋体" w:hAnsi="Book Antiqua"/>
          <w:lang w:eastAsia="zh-CN"/>
        </w:rPr>
      </w:pPr>
      <w:r>
        <w:rPr>
          <w:rFonts w:ascii="Book Antiqua" w:eastAsia="宋体" w:hAnsi="Book Antiqua"/>
          <w:vertAlign w:val="superscript"/>
          <w:lang w:eastAsia="zh-CN"/>
        </w:rPr>
        <w:t>a</w:t>
      </w:r>
      <w:r>
        <w:rPr>
          <w:rFonts w:ascii="Book Antiqua" w:eastAsia="宋体" w:hAnsi="Book Antiqua"/>
          <w:i/>
          <w:lang w:eastAsia="zh-CN"/>
        </w:rPr>
        <w:t>P</w:t>
      </w:r>
      <w:r>
        <w:rPr>
          <w:rFonts w:ascii="Book Antiqua" w:eastAsia="宋体" w:hAnsi="Book Antiqua"/>
          <w:lang w:eastAsia="zh-CN"/>
        </w:rPr>
        <w:t xml:space="preserve"> </w:t>
      </w:r>
      <w:r>
        <w:rPr>
          <w:rFonts w:ascii="Book Antiqua" w:hAnsi="Book Antiqua"/>
        </w:rPr>
        <w:t>&lt;</w:t>
      </w:r>
      <w:r>
        <w:rPr>
          <w:rFonts w:ascii="Book Antiqua" w:eastAsia="宋体" w:hAnsi="Book Antiqua"/>
          <w:lang w:eastAsia="zh-CN"/>
        </w:rPr>
        <w:t xml:space="preserve"> </w:t>
      </w:r>
      <w:r>
        <w:rPr>
          <w:rFonts w:ascii="Book Antiqua" w:hAnsi="Book Antiqua"/>
        </w:rPr>
        <w:t xml:space="preserve">0.05 as compared between with HCC </w:t>
      </w:r>
      <w:r>
        <w:rPr>
          <w:rFonts w:ascii="Book Antiqua" w:hAnsi="Book Antiqua"/>
          <w:i/>
        </w:rPr>
        <w:t>vs</w:t>
      </w:r>
      <w:r>
        <w:rPr>
          <w:rFonts w:ascii="Book Antiqua" w:hAnsi="Book Antiqua"/>
        </w:rPr>
        <w:t xml:space="preserve"> without HCC. </w:t>
      </w:r>
    </w:p>
    <w:p w14:paraId="0B13675E" w14:textId="77777777" w:rsidR="003D3BEE" w:rsidRDefault="00B212C7">
      <w:pPr>
        <w:spacing w:line="360" w:lineRule="auto"/>
        <w:jc w:val="both"/>
        <w:rPr>
          <w:rFonts w:ascii="Book Antiqua" w:eastAsia="宋体" w:hAnsi="Book Antiqua"/>
          <w:lang w:eastAsia="zh-CN"/>
        </w:rPr>
      </w:pPr>
      <w:r>
        <w:rPr>
          <w:rFonts w:ascii="Book Antiqua" w:hAnsi="Book Antiqua"/>
        </w:rPr>
        <w:t xml:space="preserve">AFP: </w:t>
      </w:r>
      <w:r>
        <w:rPr>
          <w:rFonts w:ascii="Book Antiqua" w:eastAsia="宋体" w:hAnsi="Book Antiqua"/>
          <w:lang w:eastAsia="zh-CN"/>
        </w:rPr>
        <w:t>A</w:t>
      </w:r>
      <w:r>
        <w:rPr>
          <w:rFonts w:ascii="Book Antiqua" w:hAnsi="Book Antiqua"/>
        </w:rPr>
        <w:t xml:space="preserve">lpha fetoprotein; ASV: </w:t>
      </w:r>
      <w:r>
        <w:rPr>
          <w:rFonts w:ascii="Book Antiqua" w:eastAsia="宋体" w:hAnsi="Book Antiqua"/>
          <w:lang w:eastAsia="zh-CN"/>
        </w:rPr>
        <w:t>A</w:t>
      </w:r>
      <w:r>
        <w:rPr>
          <w:rFonts w:ascii="Book Antiqua" w:hAnsi="Book Antiqua"/>
        </w:rPr>
        <w:t xml:space="preserve">sunaprevir; EOT: </w:t>
      </w:r>
      <w:r>
        <w:rPr>
          <w:rFonts w:ascii="Book Antiqua" w:eastAsia="宋体" w:hAnsi="Book Antiqua"/>
          <w:lang w:eastAsia="zh-CN"/>
        </w:rPr>
        <w:t>E</w:t>
      </w:r>
      <w:r>
        <w:rPr>
          <w:rFonts w:ascii="Book Antiqua" w:hAnsi="Book Antiqua"/>
        </w:rPr>
        <w:t xml:space="preserve">nd of treatment; DCV: </w:t>
      </w:r>
      <w:r>
        <w:rPr>
          <w:rFonts w:ascii="Book Antiqua" w:eastAsia="宋体" w:hAnsi="Book Antiqua"/>
          <w:lang w:eastAsia="zh-CN"/>
        </w:rPr>
        <w:t>D</w:t>
      </w:r>
      <w:r>
        <w:rPr>
          <w:rFonts w:ascii="Book Antiqua" w:hAnsi="Book Antiqua"/>
        </w:rPr>
        <w:t xml:space="preserve">aclatasvir; GLE: </w:t>
      </w:r>
      <w:r>
        <w:rPr>
          <w:rFonts w:ascii="Book Antiqua" w:eastAsia="宋体" w:hAnsi="Book Antiqua"/>
          <w:lang w:eastAsia="zh-CN"/>
        </w:rPr>
        <w:t>G</w:t>
      </w:r>
      <w:r>
        <w:rPr>
          <w:rFonts w:ascii="Book Antiqua" w:hAnsi="Book Antiqua"/>
        </w:rPr>
        <w:t xml:space="preserve">lecaprevir; HCC: </w:t>
      </w:r>
      <w:r>
        <w:rPr>
          <w:rFonts w:ascii="Book Antiqua" w:eastAsia="宋体" w:hAnsi="Book Antiqua"/>
          <w:lang w:eastAsia="zh-CN"/>
        </w:rPr>
        <w:t>H</w:t>
      </w:r>
      <w:r>
        <w:rPr>
          <w:rFonts w:ascii="Book Antiqua" w:hAnsi="Book Antiqua"/>
        </w:rPr>
        <w:t>epatocellular carcinoma; LDV</w:t>
      </w:r>
      <w:r>
        <w:rPr>
          <w:rFonts w:ascii="Book Antiqua" w:eastAsia="宋体" w:hAnsi="Book Antiqua"/>
          <w:lang w:eastAsia="zh-CN"/>
        </w:rPr>
        <w:t>:</w:t>
      </w:r>
      <w:r>
        <w:rPr>
          <w:rFonts w:ascii="Book Antiqua" w:hAnsi="Book Antiqua"/>
        </w:rPr>
        <w:t xml:space="preserve"> </w:t>
      </w:r>
      <w:r>
        <w:rPr>
          <w:rFonts w:ascii="Book Antiqua" w:eastAsia="宋体" w:hAnsi="Book Antiqua"/>
          <w:lang w:eastAsia="zh-CN"/>
        </w:rPr>
        <w:t>L</w:t>
      </w:r>
      <w:r>
        <w:rPr>
          <w:rFonts w:ascii="Book Antiqua" w:hAnsi="Book Antiqua"/>
        </w:rPr>
        <w:t xml:space="preserve">edipasvir; PIB: </w:t>
      </w:r>
      <w:r>
        <w:rPr>
          <w:rFonts w:ascii="Book Antiqua" w:eastAsia="宋体" w:hAnsi="Book Antiqua"/>
          <w:lang w:eastAsia="zh-CN"/>
        </w:rPr>
        <w:t>P</w:t>
      </w:r>
      <w:r>
        <w:rPr>
          <w:rFonts w:ascii="Book Antiqua" w:hAnsi="Book Antiqua"/>
        </w:rPr>
        <w:t xml:space="preserve">ibrentasvir; Rib: </w:t>
      </w:r>
      <w:r>
        <w:rPr>
          <w:rFonts w:ascii="Book Antiqua" w:eastAsia="宋体" w:hAnsi="Book Antiqua"/>
          <w:lang w:eastAsia="zh-CN"/>
        </w:rPr>
        <w:t>R</w:t>
      </w:r>
      <w:r>
        <w:rPr>
          <w:rFonts w:ascii="Book Antiqua" w:hAnsi="Book Antiqua"/>
        </w:rPr>
        <w:t xml:space="preserve">ibavirin; SOF: </w:t>
      </w:r>
      <w:r>
        <w:rPr>
          <w:rFonts w:ascii="Book Antiqua" w:eastAsia="宋体" w:hAnsi="Book Antiqua"/>
          <w:lang w:eastAsia="zh-CN"/>
        </w:rPr>
        <w:t>S</w:t>
      </w:r>
      <w:r>
        <w:rPr>
          <w:rFonts w:ascii="Book Antiqua" w:hAnsi="Book Antiqua"/>
        </w:rPr>
        <w:t xml:space="preserve">ofosbuvir; SVR: </w:t>
      </w:r>
      <w:r>
        <w:rPr>
          <w:rFonts w:ascii="Book Antiqua" w:eastAsia="宋体" w:hAnsi="Book Antiqua"/>
          <w:lang w:eastAsia="zh-CN"/>
        </w:rPr>
        <w:t>S</w:t>
      </w:r>
      <w:r>
        <w:rPr>
          <w:rFonts w:ascii="Book Antiqua" w:hAnsi="Book Antiqua"/>
        </w:rPr>
        <w:t>ustained viral response</w:t>
      </w:r>
      <w:r>
        <w:rPr>
          <w:rFonts w:ascii="Book Antiqua" w:eastAsia="宋体" w:hAnsi="Book Antiqua"/>
          <w:lang w:eastAsia="zh-CN"/>
        </w:rPr>
        <w:t>.</w:t>
      </w:r>
    </w:p>
    <w:p w14:paraId="02714437" w14:textId="77777777" w:rsidR="003D3BEE" w:rsidRDefault="00B212C7">
      <w:pPr>
        <w:spacing w:line="360" w:lineRule="auto"/>
        <w:jc w:val="both"/>
        <w:rPr>
          <w:rFonts w:ascii="Book Antiqua" w:eastAsia="宋体" w:hAnsi="Book Antiqua"/>
          <w:lang w:eastAsia="zh-CN"/>
        </w:rPr>
      </w:pPr>
      <w:r>
        <w:rPr>
          <w:rFonts w:ascii="Book Antiqua" w:eastAsia="宋体" w:hAnsi="Book Antiqua"/>
          <w:lang w:eastAsia="zh-CN"/>
        </w:rPr>
        <w:br w:type="page"/>
      </w:r>
    </w:p>
    <w:p w14:paraId="4E5294E6" w14:textId="77777777" w:rsidR="003D3BEE" w:rsidRDefault="00B212C7">
      <w:pPr>
        <w:spacing w:line="360" w:lineRule="auto"/>
        <w:jc w:val="both"/>
        <w:rPr>
          <w:rFonts w:ascii="Book Antiqua" w:eastAsia="宋体" w:hAnsi="Book Antiqua"/>
          <w:b/>
          <w:bCs/>
          <w:lang w:eastAsia="zh-CN"/>
        </w:rPr>
      </w:pPr>
      <w:r>
        <w:rPr>
          <w:rFonts w:ascii="Book Antiqua" w:hAnsi="Book Antiqua"/>
          <w:b/>
          <w:bCs/>
        </w:rPr>
        <w:lastRenderedPageBreak/>
        <w:t>Table 3 Univariate and multivariate analyses for hepatocellular carcinoma recurrence after direct-acting antiviral treatment</w:t>
      </w:r>
    </w:p>
    <w:tbl>
      <w:tblPr>
        <w:tblW w:w="5291"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12"/>
        <w:gridCol w:w="951"/>
        <w:gridCol w:w="1363"/>
        <w:gridCol w:w="1282"/>
        <w:gridCol w:w="1101"/>
        <w:gridCol w:w="1097"/>
        <w:gridCol w:w="1099"/>
      </w:tblGrid>
      <w:tr w:rsidR="003D3BEE" w14:paraId="3916861B" w14:textId="77777777">
        <w:trPr>
          <w:trHeight w:val="287"/>
        </w:trPr>
        <w:tc>
          <w:tcPr>
            <w:tcW w:w="1520" w:type="pct"/>
            <w:vMerge w:val="restart"/>
            <w:tcBorders>
              <w:top w:val="single" w:sz="4" w:space="0" w:color="auto"/>
              <w:bottom w:val="nil"/>
            </w:tcBorders>
            <w:shd w:val="clear" w:color="auto" w:fill="FFFFFF"/>
            <w:tcMar>
              <w:top w:w="72" w:type="dxa"/>
              <w:left w:w="144" w:type="dxa"/>
              <w:bottom w:w="72" w:type="dxa"/>
              <w:right w:w="144" w:type="dxa"/>
            </w:tcMar>
          </w:tcPr>
          <w:p w14:paraId="512707C2" w14:textId="77777777" w:rsidR="003D3BEE" w:rsidRDefault="00B212C7">
            <w:pPr>
              <w:spacing w:line="360" w:lineRule="auto"/>
              <w:jc w:val="both"/>
              <w:rPr>
                <w:rFonts w:ascii="Book Antiqua" w:hAnsi="Book Antiqua"/>
                <w:b/>
              </w:rPr>
            </w:pPr>
            <w:r>
              <w:rPr>
                <w:rFonts w:ascii="Book Antiqua" w:hAnsi="Book Antiqua"/>
                <w:b/>
              </w:rPr>
              <w:t>Factors</w:t>
            </w:r>
          </w:p>
        </w:tc>
        <w:tc>
          <w:tcPr>
            <w:tcW w:w="1815" w:type="pct"/>
            <w:gridSpan w:val="3"/>
            <w:tcBorders>
              <w:top w:val="single" w:sz="4" w:space="0" w:color="auto"/>
              <w:bottom w:val="single" w:sz="4" w:space="0" w:color="auto"/>
            </w:tcBorders>
            <w:shd w:val="clear" w:color="auto" w:fill="FFFFFF"/>
            <w:tcMar>
              <w:top w:w="72" w:type="dxa"/>
              <w:left w:w="144" w:type="dxa"/>
              <w:bottom w:w="72" w:type="dxa"/>
              <w:right w:w="144" w:type="dxa"/>
            </w:tcMar>
          </w:tcPr>
          <w:p w14:paraId="616183E7" w14:textId="77777777" w:rsidR="003D3BEE" w:rsidRDefault="00B212C7">
            <w:pPr>
              <w:spacing w:line="360" w:lineRule="auto"/>
              <w:jc w:val="both"/>
              <w:rPr>
                <w:rFonts w:ascii="Book Antiqua" w:hAnsi="Book Antiqua"/>
                <w:b/>
              </w:rPr>
            </w:pPr>
            <w:r>
              <w:rPr>
                <w:rFonts w:ascii="Book Antiqua" w:hAnsi="Book Antiqua"/>
                <w:b/>
                <w:bCs/>
              </w:rPr>
              <w:t>Univariate</w:t>
            </w:r>
          </w:p>
        </w:tc>
        <w:tc>
          <w:tcPr>
            <w:tcW w:w="1664" w:type="pct"/>
            <w:gridSpan w:val="3"/>
            <w:tcBorders>
              <w:top w:val="single" w:sz="4" w:space="0" w:color="auto"/>
              <w:bottom w:val="single" w:sz="4" w:space="0" w:color="auto"/>
            </w:tcBorders>
            <w:shd w:val="clear" w:color="auto" w:fill="FFFFFF"/>
            <w:tcMar>
              <w:top w:w="72" w:type="dxa"/>
              <w:left w:w="144" w:type="dxa"/>
              <w:bottom w:w="72" w:type="dxa"/>
              <w:right w:w="144" w:type="dxa"/>
            </w:tcMar>
          </w:tcPr>
          <w:p w14:paraId="750E1A5E" w14:textId="77777777" w:rsidR="003D3BEE" w:rsidRDefault="00B212C7">
            <w:pPr>
              <w:spacing w:line="360" w:lineRule="auto"/>
              <w:jc w:val="both"/>
              <w:rPr>
                <w:rFonts w:ascii="Book Antiqua" w:hAnsi="Book Antiqua"/>
                <w:b/>
              </w:rPr>
            </w:pPr>
            <w:r>
              <w:rPr>
                <w:rFonts w:ascii="Book Antiqua" w:hAnsi="Book Antiqua"/>
                <w:b/>
                <w:bCs/>
              </w:rPr>
              <w:t>Multivariate</w:t>
            </w:r>
          </w:p>
        </w:tc>
      </w:tr>
      <w:tr w:rsidR="003D3BEE" w14:paraId="15B93418" w14:textId="77777777">
        <w:trPr>
          <w:trHeight w:val="295"/>
        </w:trPr>
        <w:tc>
          <w:tcPr>
            <w:tcW w:w="1520" w:type="pct"/>
            <w:vMerge/>
            <w:tcBorders>
              <w:top w:val="nil"/>
              <w:bottom w:val="single" w:sz="4" w:space="0" w:color="auto"/>
            </w:tcBorders>
            <w:shd w:val="clear" w:color="auto" w:fill="FFFFFF"/>
            <w:tcMar>
              <w:top w:w="72" w:type="dxa"/>
              <w:left w:w="144" w:type="dxa"/>
              <w:bottom w:w="72" w:type="dxa"/>
              <w:right w:w="144" w:type="dxa"/>
            </w:tcMar>
          </w:tcPr>
          <w:p w14:paraId="30237A53" w14:textId="77777777" w:rsidR="003D3BEE" w:rsidRDefault="003D3BEE">
            <w:pPr>
              <w:spacing w:line="360" w:lineRule="auto"/>
              <w:jc w:val="both"/>
              <w:rPr>
                <w:rFonts w:ascii="Book Antiqua" w:hAnsi="Book Antiqua"/>
                <w:b/>
              </w:rPr>
            </w:pPr>
          </w:p>
        </w:tc>
        <w:tc>
          <w:tcPr>
            <w:tcW w:w="480" w:type="pct"/>
            <w:tcBorders>
              <w:top w:val="single" w:sz="4" w:space="0" w:color="auto"/>
              <w:bottom w:val="single" w:sz="4" w:space="0" w:color="auto"/>
            </w:tcBorders>
            <w:shd w:val="clear" w:color="auto" w:fill="FFFFFF"/>
            <w:tcMar>
              <w:top w:w="72" w:type="dxa"/>
              <w:left w:w="144" w:type="dxa"/>
              <w:bottom w:w="72" w:type="dxa"/>
              <w:right w:w="144" w:type="dxa"/>
            </w:tcMar>
          </w:tcPr>
          <w:p w14:paraId="5C1884B0" w14:textId="77777777" w:rsidR="003D3BEE" w:rsidRDefault="00B212C7">
            <w:pPr>
              <w:spacing w:line="360" w:lineRule="auto"/>
              <w:jc w:val="both"/>
              <w:rPr>
                <w:rFonts w:ascii="Book Antiqua" w:hAnsi="Book Antiqua"/>
                <w:b/>
              </w:rPr>
            </w:pPr>
            <w:r>
              <w:rPr>
                <w:rFonts w:ascii="Book Antiqua" w:hAnsi="Book Antiqua"/>
                <w:b/>
              </w:rPr>
              <w:t>HR</w:t>
            </w:r>
          </w:p>
        </w:tc>
        <w:tc>
          <w:tcPr>
            <w:tcW w:w="688" w:type="pct"/>
            <w:tcBorders>
              <w:top w:val="single" w:sz="4" w:space="0" w:color="auto"/>
              <w:bottom w:val="single" w:sz="4" w:space="0" w:color="auto"/>
            </w:tcBorders>
            <w:shd w:val="clear" w:color="auto" w:fill="FFFFFF"/>
            <w:tcMar>
              <w:top w:w="72" w:type="dxa"/>
              <w:left w:w="144" w:type="dxa"/>
              <w:bottom w:w="72" w:type="dxa"/>
              <w:right w:w="144" w:type="dxa"/>
            </w:tcMar>
          </w:tcPr>
          <w:p w14:paraId="33A7392B" w14:textId="77777777" w:rsidR="003D3BEE" w:rsidRDefault="00B212C7">
            <w:pPr>
              <w:spacing w:line="360" w:lineRule="auto"/>
              <w:jc w:val="both"/>
              <w:rPr>
                <w:rFonts w:ascii="Book Antiqua" w:hAnsi="Book Antiqua"/>
                <w:b/>
              </w:rPr>
            </w:pPr>
            <w:r>
              <w:rPr>
                <w:rFonts w:ascii="Book Antiqua" w:hAnsi="Book Antiqua"/>
                <w:b/>
              </w:rPr>
              <w:t>95% CI</w:t>
            </w:r>
          </w:p>
        </w:tc>
        <w:tc>
          <w:tcPr>
            <w:tcW w:w="647" w:type="pct"/>
            <w:tcBorders>
              <w:top w:val="single" w:sz="4" w:space="0" w:color="auto"/>
              <w:bottom w:val="single" w:sz="4" w:space="0" w:color="auto"/>
            </w:tcBorders>
            <w:shd w:val="clear" w:color="auto" w:fill="FFFFFF"/>
            <w:tcMar>
              <w:top w:w="72" w:type="dxa"/>
              <w:left w:w="144" w:type="dxa"/>
              <w:bottom w:w="72" w:type="dxa"/>
              <w:right w:w="144" w:type="dxa"/>
            </w:tcMar>
          </w:tcPr>
          <w:p w14:paraId="3148E94F" w14:textId="77777777" w:rsidR="003D3BEE" w:rsidRDefault="00B212C7">
            <w:pPr>
              <w:spacing w:line="360" w:lineRule="auto"/>
              <w:jc w:val="both"/>
              <w:rPr>
                <w:rFonts w:ascii="Book Antiqua" w:eastAsia="宋体" w:hAnsi="Book Antiqua"/>
                <w:b/>
                <w:lang w:eastAsia="zh-CN"/>
              </w:rPr>
            </w:pPr>
            <w:r>
              <w:rPr>
                <w:rFonts w:ascii="Book Antiqua" w:hAnsi="Book Antiqua"/>
                <w:b/>
                <w:i/>
              </w:rPr>
              <w:t>P</w:t>
            </w:r>
            <w:r>
              <w:rPr>
                <w:rFonts w:ascii="Book Antiqua" w:eastAsia="宋体" w:hAnsi="Book Antiqua"/>
                <w:b/>
                <w:lang w:eastAsia="zh-CN"/>
              </w:rPr>
              <w:t xml:space="preserve"> value</w:t>
            </w:r>
          </w:p>
        </w:tc>
        <w:tc>
          <w:tcPr>
            <w:tcW w:w="556" w:type="pct"/>
            <w:tcBorders>
              <w:top w:val="single" w:sz="4" w:space="0" w:color="auto"/>
              <w:bottom w:val="single" w:sz="4" w:space="0" w:color="auto"/>
            </w:tcBorders>
            <w:shd w:val="clear" w:color="auto" w:fill="FFFFFF"/>
            <w:tcMar>
              <w:top w:w="72" w:type="dxa"/>
              <w:left w:w="144" w:type="dxa"/>
              <w:bottom w:w="72" w:type="dxa"/>
              <w:right w:w="144" w:type="dxa"/>
            </w:tcMar>
          </w:tcPr>
          <w:p w14:paraId="552B4880" w14:textId="77777777" w:rsidR="003D3BEE" w:rsidRDefault="00B212C7">
            <w:pPr>
              <w:spacing w:line="360" w:lineRule="auto"/>
              <w:jc w:val="both"/>
              <w:rPr>
                <w:rFonts w:ascii="Book Antiqua" w:hAnsi="Book Antiqua"/>
                <w:b/>
              </w:rPr>
            </w:pPr>
            <w:r>
              <w:rPr>
                <w:rFonts w:ascii="Book Antiqua" w:hAnsi="Book Antiqua"/>
                <w:b/>
              </w:rPr>
              <w:t>HR</w:t>
            </w:r>
          </w:p>
        </w:tc>
        <w:tc>
          <w:tcPr>
            <w:tcW w:w="554" w:type="pct"/>
            <w:tcBorders>
              <w:top w:val="single" w:sz="4" w:space="0" w:color="auto"/>
              <w:bottom w:val="single" w:sz="4" w:space="0" w:color="auto"/>
            </w:tcBorders>
            <w:shd w:val="clear" w:color="auto" w:fill="FFFFFF"/>
            <w:tcMar>
              <w:top w:w="72" w:type="dxa"/>
              <w:left w:w="144" w:type="dxa"/>
              <w:bottom w:w="72" w:type="dxa"/>
              <w:right w:w="144" w:type="dxa"/>
            </w:tcMar>
          </w:tcPr>
          <w:p w14:paraId="7889374E" w14:textId="77777777" w:rsidR="003D3BEE" w:rsidRDefault="00B212C7">
            <w:pPr>
              <w:spacing w:line="360" w:lineRule="auto"/>
              <w:jc w:val="both"/>
              <w:rPr>
                <w:rFonts w:ascii="Book Antiqua" w:hAnsi="Book Antiqua"/>
                <w:b/>
              </w:rPr>
            </w:pPr>
            <w:r>
              <w:rPr>
                <w:rFonts w:ascii="Book Antiqua" w:hAnsi="Book Antiqua"/>
                <w:b/>
              </w:rPr>
              <w:t>95% CI</w:t>
            </w:r>
          </w:p>
        </w:tc>
        <w:tc>
          <w:tcPr>
            <w:tcW w:w="555" w:type="pct"/>
            <w:tcBorders>
              <w:top w:val="single" w:sz="4" w:space="0" w:color="auto"/>
              <w:bottom w:val="single" w:sz="4" w:space="0" w:color="auto"/>
            </w:tcBorders>
            <w:shd w:val="clear" w:color="auto" w:fill="FFFFFF"/>
            <w:tcMar>
              <w:top w:w="72" w:type="dxa"/>
              <w:left w:w="144" w:type="dxa"/>
              <w:bottom w:w="72" w:type="dxa"/>
              <w:right w:w="144" w:type="dxa"/>
            </w:tcMar>
          </w:tcPr>
          <w:p w14:paraId="431B9F40" w14:textId="77777777" w:rsidR="003D3BEE" w:rsidRDefault="00B212C7">
            <w:pPr>
              <w:spacing w:line="360" w:lineRule="auto"/>
              <w:jc w:val="both"/>
              <w:rPr>
                <w:rFonts w:ascii="Book Antiqua" w:hAnsi="Book Antiqua"/>
                <w:b/>
              </w:rPr>
            </w:pPr>
            <w:r>
              <w:rPr>
                <w:rFonts w:ascii="Book Antiqua" w:hAnsi="Book Antiqua"/>
                <w:b/>
                <w:i/>
              </w:rPr>
              <w:t>P</w:t>
            </w:r>
            <w:r>
              <w:rPr>
                <w:rFonts w:ascii="Book Antiqua" w:eastAsia="宋体" w:hAnsi="Book Antiqua"/>
                <w:b/>
                <w:lang w:eastAsia="zh-CN"/>
              </w:rPr>
              <w:t xml:space="preserve"> value</w:t>
            </w:r>
          </w:p>
        </w:tc>
      </w:tr>
      <w:tr w:rsidR="003D3BEE" w14:paraId="12CA595F" w14:textId="77777777">
        <w:trPr>
          <w:trHeight w:val="298"/>
        </w:trPr>
        <w:tc>
          <w:tcPr>
            <w:tcW w:w="1520" w:type="pct"/>
            <w:tcBorders>
              <w:top w:val="single" w:sz="4" w:space="0" w:color="auto"/>
            </w:tcBorders>
            <w:shd w:val="clear" w:color="auto" w:fill="FFFFFF"/>
            <w:tcMar>
              <w:top w:w="72" w:type="dxa"/>
              <w:left w:w="144" w:type="dxa"/>
              <w:bottom w:w="72" w:type="dxa"/>
              <w:right w:w="144" w:type="dxa"/>
            </w:tcMar>
          </w:tcPr>
          <w:p w14:paraId="7D102806" w14:textId="77777777" w:rsidR="003D3BEE" w:rsidRDefault="00B212C7">
            <w:pPr>
              <w:spacing w:line="360" w:lineRule="auto"/>
              <w:jc w:val="both"/>
              <w:rPr>
                <w:rFonts w:ascii="Book Antiqua" w:hAnsi="Book Antiqua"/>
              </w:rPr>
            </w:pPr>
            <w:r>
              <w:rPr>
                <w:rFonts w:ascii="Book Antiqua" w:hAnsi="Book Antiqua"/>
              </w:rPr>
              <w:t>Age</w:t>
            </w:r>
          </w:p>
        </w:tc>
        <w:tc>
          <w:tcPr>
            <w:tcW w:w="480" w:type="pct"/>
            <w:tcBorders>
              <w:top w:val="single" w:sz="4" w:space="0" w:color="auto"/>
            </w:tcBorders>
            <w:shd w:val="clear" w:color="auto" w:fill="FFFFFF"/>
            <w:tcMar>
              <w:top w:w="72" w:type="dxa"/>
              <w:left w:w="144" w:type="dxa"/>
              <w:bottom w:w="72" w:type="dxa"/>
              <w:right w:w="144" w:type="dxa"/>
            </w:tcMar>
          </w:tcPr>
          <w:p w14:paraId="6FDC6DEE" w14:textId="77777777" w:rsidR="003D3BEE" w:rsidRDefault="00B212C7">
            <w:pPr>
              <w:spacing w:line="360" w:lineRule="auto"/>
              <w:jc w:val="both"/>
              <w:rPr>
                <w:rFonts w:ascii="Book Antiqua" w:hAnsi="Book Antiqua"/>
              </w:rPr>
            </w:pPr>
            <w:r>
              <w:rPr>
                <w:rFonts w:ascii="Book Antiqua" w:hAnsi="Book Antiqua"/>
              </w:rPr>
              <w:t>0.98</w:t>
            </w:r>
          </w:p>
        </w:tc>
        <w:tc>
          <w:tcPr>
            <w:tcW w:w="688" w:type="pct"/>
            <w:tcBorders>
              <w:top w:val="single" w:sz="4" w:space="0" w:color="auto"/>
            </w:tcBorders>
            <w:shd w:val="clear" w:color="auto" w:fill="FFFFFF"/>
            <w:tcMar>
              <w:top w:w="72" w:type="dxa"/>
              <w:left w:w="144" w:type="dxa"/>
              <w:bottom w:w="72" w:type="dxa"/>
              <w:right w:w="144" w:type="dxa"/>
            </w:tcMar>
          </w:tcPr>
          <w:p w14:paraId="7672381F" w14:textId="77777777" w:rsidR="003D3BEE" w:rsidRDefault="00B212C7">
            <w:pPr>
              <w:spacing w:line="360" w:lineRule="auto"/>
              <w:jc w:val="both"/>
              <w:rPr>
                <w:rFonts w:ascii="Book Antiqua" w:hAnsi="Book Antiqua"/>
              </w:rPr>
            </w:pPr>
            <w:r>
              <w:rPr>
                <w:rFonts w:ascii="Book Antiqua" w:hAnsi="Book Antiqua"/>
              </w:rPr>
              <w:t>0.92-1.04</w:t>
            </w:r>
          </w:p>
        </w:tc>
        <w:tc>
          <w:tcPr>
            <w:tcW w:w="647" w:type="pct"/>
            <w:tcBorders>
              <w:top w:val="single" w:sz="4" w:space="0" w:color="auto"/>
            </w:tcBorders>
            <w:shd w:val="clear" w:color="auto" w:fill="FFFFFF"/>
            <w:tcMar>
              <w:top w:w="72" w:type="dxa"/>
              <w:left w:w="144" w:type="dxa"/>
              <w:bottom w:w="72" w:type="dxa"/>
              <w:right w:w="144" w:type="dxa"/>
            </w:tcMar>
          </w:tcPr>
          <w:p w14:paraId="16DFF66C" w14:textId="77777777" w:rsidR="003D3BEE" w:rsidRDefault="00B212C7">
            <w:pPr>
              <w:spacing w:line="360" w:lineRule="auto"/>
              <w:jc w:val="both"/>
              <w:rPr>
                <w:rFonts w:ascii="Book Antiqua" w:hAnsi="Book Antiqua"/>
              </w:rPr>
            </w:pPr>
            <w:r>
              <w:rPr>
                <w:rFonts w:ascii="Book Antiqua" w:hAnsi="Book Antiqua"/>
              </w:rPr>
              <w:t>0.52</w:t>
            </w:r>
          </w:p>
        </w:tc>
        <w:tc>
          <w:tcPr>
            <w:tcW w:w="556" w:type="pct"/>
            <w:tcBorders>
              <w:top w:val="single" w:sz="4" w:space="0" w:color="auto"/>
            </w:tcBorders>
            <w:shd w:val="clear" w:color="auto" w:fill="FFFFFF"/>
            <w:tcMar>
              <w:top w:w="72" w:type="dxa"/>
              <w:left w:w="144" w:type="dxa"/>
              <w:bottom w:w="72" w:type="dxa"/>
              <w:right w:w="144" w:type="dxa"/>
            </w:tcMar>
          </w:tcPr>
          <w:p w14:paraId="28FD5C23" w14:textId="77777777" w:rsidR="003D3BEE" w:rsidRDefault="003D3BEE">
            <w:pPr>
              <w:spacing w:line="360" w:lineRule="auto"/>
              <w:jc w:val="both"/>
              <w:rPr>
                <w:rFonts w:ascii="Book Antiqua" w:hAnsi="Book Antiqua"/>
              </w:rPr>
            </w:pPr>
          </w:p>
        </w:tc>
        <w:tc>
          <w:tcPr>
            <w:tcW w:w="554" w:type="pct"/>
            <w:tcBorders>
              <w:top w:val="single" w:sz="4" w:space="0" w:color="auto"/>
            </w:tcBorders>
            <w:shd w:val="clear" w:color="auto" w:fill="FFFFFF"/>
            <w:tcMar>
              <w:top w:w="72" w:type="dxa"/>
              <w:left w:w="144" w:type="dxa"/>
              <w:bottom w:w="72" w:type="dxa"/>
              <w:right w:w="144" w:type="dxa"/>
            </w:tcMar>
          </w:tcPr>
          <w:p w14:paraId="1AC46875" w14:textId="77777777" w:rsidR="003D3BEE" w:rsidRDefault="003D3BEE">
            <w:pPr>
              <w:spacing w:line="360" w:lineRule="auto"/>
              <w:jc w:val="both"/>
              <w:rPr>
                <w:rFonts w:ascii="Book Antiqua" w:hAnsi="Book Antiqua"/>
              </w:rPr>
            </w:pPr>
          </w:p>
        </w:tc>
        <w:tc>
          <w:tcPr>
            <w:tcW w:w="555" w:type="pct"/>
            <w:tcBorders>
              <w:top w:val="single" w:sz="4" w:space="0" w:color="auto"/>
            </w:tcBorders>
            <w:shd w:val="clear" w:color="auto" w:fill="FFFFFF"/>
            <w:tcMar>
              <w:top w:w="72" w:type="dxa"/>
              <w:left w:w="144" w:type="dxa"/>
              <w:bottom w:w="72" w:type="dxa"/>
              <w:right w:w="144" w:type="dxa"/>
            </w:tcMar>
          </w:tcPr>
          <w:p w14:paraId="7BE81DC0" w14:textId="77777777" w:rsidR="003D3BEE" w:rsidRDefault="003D3BEE">
            <w:pPr>
              <w:spacing w:line="360" w:lineRule="auto"/>
              <w:jc w:val="both"/>
              <w:rPr>
                <w:rFonts w:ascii="Book Antiqua" w:hAnsi="Book Antiqua"/>
              </w:rPr>
            </w:pPr>
          </w:p>
        </w:tc>
      </w:tr>
      <w:tr w:rsidR="003D3BEE" w14:paraId="5C021901" w14:textId="77777777">
        <w:trPr>
          <w:trHeight w:val="180"/>
        </w:trPr>
        <w:tc>
          <w:tcPr>
            <w:tcW w:w="1520" w:type="pct"/>
            <w:shd w:val="clear" w:color="auto" w:fill="FFFFFF"/>
            <w:tcMar>
              <w:top w:w="72" w:type="dxa"/>
              <w:left w:w="144" w:type="dxa"/>
              <w:bottom w:w="72" w:type="dxa"/>
              <w:right w:w="144" w:type="dxa"/>
            </w:tcMar>
          </w:tcPr>
          <w:p w14:paraId="77D3467C" w14:textId="77777777" w:rsidR="003D3BEE" w:rsidRDefault="00B212C7">
            <w:pPr>
              <w:spacing w:line="360" w:lineRule="auto"/>
              <w:jc w:val="both"/>
              <w:rPr>
                <w:rFonts w:ascii="Book Antiqua" w:hAnsi="Book Antiqua"/>
              </w:rPr>
            </w:pPr>
            <w:r>
              <w:rPr>
                <w:rFonts w:ascii="Book Antiqua" w:hAnsi="Book Antiqua"/>
              </w:rPr>
              <w:t>CH or LC</w:t>
            </w:r>
          </w:p>
        </w:tc>
        <w:tc>
          <w:tcPr>
            <w:tcW w:w="480" w:type="pct"/>
            <w:shd w:val="clear" w:color="auto" w:fill="FFFFFF"/>
            <w:tcMar>
              <w:top w:w="72" w:type="dxa"/>
              <w:left w:w="144" w:type="dxa"/>
              <w:bottom w:w="72" w:type="dxa"/>
              <w:right w:w="144" w:type="dxa"/>
            </w:tcMar>
          </w:tcPr>
          <w:p w14:paraId="7F43ECFE" w14:textId="77777777" w:rsidR="003D3BEE" w:rsidRDefault="00B212C7">
            <w:pPr>
              <w:spacing w:line="360" w:lineRule="auto"/>
              <w:jc w:val="both"/>
              <w:rPr>
                <w:rFonts w:ascii="Book Antiqua" w:hAnsi="Book Antiqua"/>
              </w:rPr>
            </w:pPr>
            <w:r>
              <w:rPr>
                <w:rFonts w:ascii="Book Antiqua" w:hAnsi="Book Antiqua"/>
              </w:rPr>
              <w:t>0.50</w:t>
            </w:r>
          </w:p>
        </w:tc>
        <w:tc>
          <w:tcPr>
            <w:tcW w:w="688" w:type="pct"/>
            <w:shd w:val="clear" w:color="auto" w:fill="FFFFFF"/>
            <w:tcMar>
              <w:top w:w="72" w:type="dxa"/>
              <w:left w:w="144" w:type="dxa"/>
              <w:bottom w:w="72" w:type="dxa"/>
              <w:right w:w="144" w:type="dxa"/>
            </w:tcMar>
          </w:tcPr>
          <w:p w14:paraId="6BE7C67B" w14:textId="77777777" w:rsidR="003D3BEE" w:rsidRDefault="00B212C7">
            <w:pPr>
              <w:spacing w:line="360" w:lineRule="auto"/>
              <w:jc w:val="both"/>
              <w:rPr>
                <w:rFonts w:ascii="Book Antiqua" w:hAnsi="Book Antiqua"/>
              </w:rPr>
            </w:pPr>
            <w:r>
              <w:rPr>
                <w:rFonts w:ascii="Book Antiqua" w:hAnsi="Book Antiqua"/>
              </w:rPr>
              <w:t>0.21-1.21</w:t>
            </w:r>
          </w:p>
        </w:tc>
        <w:tc>
          <w:tcPr>
            <w:tcW w:w="647" w:type="pct"/>
            <w:shd w:val="clear" w:color="auto" w:fill="FFFFFF"/>
            <w:tcMar>
              <w:top w:w="72" w:type="dxa"/>
              <w:left w:w="144" w:type="dxa"/>
              <w:bottom w:w="72" w:type="dxa"/>
              <w:right w:w="144" w:type="dxa"/>
            </w:tcMar>
          </w:tcPr>
          <w:p w14:paraId="35B6406A" w14:textId="77777777" w:rsidR="003D3BEE" w:rsidRDefault="00B212C7">
            <w:pPr>
              <w:spacing w:line="360" w:lineRule="auto"/>
              <w:jc w:val="both"/>
              <w:rPr>
                <w:rFonts w:ascii="Book Antiqua" w:hAnsi="Book Antiqua"/>
              </w:rPr>
            </w:pPr>
            <w:r>
              <w:rPr>
                <w:rFonts w:ascii="Book Antiqua" w:hAnsi="Book Antiqua"/>
              </w:rPr>
              <w:t>0.12</w:t>
            </w:r>
          </w:p>
        </w:tc>
        <w:tc>
          <w:tcPr>
            <w:tcW w:w="556" w:type="pct"/>
            <w:shd w:val="clear" w:color="auto" w:fill="FFFFFF"/>
            <w:tcMar>
              <w:top w:w="72" w:type="dxa"/>
              <w:left w:w="144" w:type="dxa"/>
              <w:bottom w:w="72" w:type="dxa"/>
              <w:right w:w="144" w:type="dxa"/>
            </w:tcMar>
          </w:tcPr>
          <w:p w14:paraId="2BD1F35B"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3071C386"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1766C0E0" w14:textId="77777777" w:rsidR="003D3BEE" w:rsidRDefault="003D3BEE">
            <w:pPr>
              <w:spacing w:line="360" w:lineRule="auto"/>
              <w:jc w:val="both"/>
              <w:rPr>
                <w:rFonts w:ascii="Book Antiqua" w:hAnsi="Book Antiqua"/>
              </w:rPr>
            </w:pPr>
          </w:p>
        </w:tc>
      </w:tr>
      <w:tr w:rsidR="003D3BEE" w14:paraId="1D15A309" w14:textId="77777777">
        <w:trPr>
          <w:trHeight w:val="257"/>
        </w:trPr>
        <w:tc>
          <w:tcPr>
            <w:tcW w:w="1520" w:type="pct"/>
            <w:shd w:val="clear" w:color="auto" w:fill="FFFFFF"/>
            <w:tcMar>
              <w:top w:w="72" w:type="dxa"/>
              <w:left w:w="144" w:type="dxa"/>
              <w:bottom w:w="72" w:type="dxa"/>
              <w:right w:w="144" w:type="dxa"/>
            </w:tcMar>
          </w:tcPr>
          <w:p w14:paraId="57862E14" w14:textId="77777777" w:rsidR="003D3BEE" w:rsidRDefault="00B212C7">
            <w:pPr>
              <w:spacing w:line="360" w:lineRule="auto"/>
              <w:jc w:val="both"/>
              <w:rPr>
                <w:rFonts w:ascii="Book Antiqua" w:eastAsia="宋体" w:hAnsi="Book Antiqua"/>
                <w:lang w:eastAsia="zh-CN"/>
              </w:rPr>
            </w:pPr>
            <w:r>
              <w:rPr>
                <w:rFonts w:ascii="Book Antiqua" w:hAnsi="Book Antiqua"/>
              </w:rPr>
              <w:t>Diabetes</w:t>
            </w:r>
          </w:p>
        </w:tc>
        <w:tc>
          <w:tcPr>
            <w:tcW w:w="480" w:type="pct"/>
            <w:shd w:val="clear" w:color="auto" w:fill="FFFFFF"/>
            <w:tcMar>
              <w:top w:w="72" w:type="dxa"/>
              <w:left w:w="144" w:type="dxa"/>
              <w:bottom w:w="72" w:type="dxa"/>
              <w:right w:w="144" w:type="dxa"/>
            </w:tcMar>
          </w:tcPr>
          <w:p w14:paraId="51A292A0" w14:textId="77777777" w:rsidR="003D3BEE" w:rsidRDefault="00B212C7">
            <w:pPr>
              <w:spacing w:line="360" w:lineRule="auto"/>
              <w:jc w:val="both"/>
              <w:rPr>
                <w:rFonts w:ascii="Book Antiqua" w:hAnsi="Book Antiqua"/>
              </w:rPr>
            </w:pPr>
            <w:r>
              <w:rPr>
                <w:rFonts w:ascii="Book Antiqua" w:hAnsi="Book Antiqua"/>
              </w:rPr>
              <w:t>1.12</w:t>
            </w:r>
          </w:p>
        </w:tc>
        <w:tc>
          <w:tcPr>
            <w:tcW w:w="688" w:type="pct"/>
            <w:shd w:val="clear" w:color="auto" w:fill="FFFFFF"/>
            <w:tcMar>
              <w:top w:w="72" w:type="dxa"/>
              <w:left w:w="144" w:type="dxa"/>
              <w:bottom w:w="72" w:type="dxa"/>
              <w:right w:w="144" w:type="dxa"/>
            </w:tcMar>
          </w:tcPr>
          <w:p w14:paraId="64DFEA66" w14:textId="77777777" w:rsidR="003D3BEE" w:rsidRDefault="00B212C7">
            <w:pPr>
              <w:spacing w:line="360" w:lineRule="auto"/>
              <w:jc w:val="both"/>
              <w:rPr>
                <w:rFonts w:ascii="Book Antiqua" w:hAnsi="Book Antiqua"/>
              </w:rPr>
            </w:pPr>
            <w:r>
              <w:rPr>
                <w:rFonts w:ascii="Book Antiqua" w:hAnsi="Book Antiqua"/>
              </w:rPr>
              <w:t>0.79-1.59</w:t>
            </w:r>
          </w:p>
        </w:tc>
        <w:tc>
          <w:tcPr>
            <w:tcW w:w="647" w:type="pct"/>
            <w:shd w:val="clear" w:color="auto" w:fill="FFFFFF"/>
            <w:tcMar>
              <w:top w:w="72" w:type="dxa"/>
              <w:left w:w="144" w:type="dxa"/>
              <w:bottom w:w="72" w:type="dxa"/>
              <w:right w:w="144" w:type="dxa"/>
            </w:tcMar>
          </w:tcPr>
          <w:p w14:paraId="7D3048EE" w14:textId="77777777" w:rsidR="003D3BEE" w:rsidRDefault="00B212C7">
            <w:pPr>
              <w:spacing w:line="360" w:lineRule="auto"/>
              <w:jc w:val="both"/>
              <w:rPr>
                <w:rFonts w:ascii="Book Antiqua" w:hAnsi="Book Antiqua"/>
              </w:rPr>
            </w:pPr>
            <w:r>
              <w:rPr>
                <w:rFonts w:ascii="Book Antiqua" w:hAnsi="Book Antiqua"/>
              </w:rPr>
              <w:t>0.53</w:t>
            </w:r>
          </w:p>
        </w:tc>
        <w:tc>
          <w:tcPr>
            <w:tcW w:w="556" w:type="pct"/>
            <w:shd w:val="clear" w:color="auto" w:fill="FFFFFF"/>
            <w:tcMar>
              <w:top w:w="72" w:type="dxa"/>
              <w:left w:w="144" w:type="dxa"/>
              <w:bottom w:w="72" w:type="dxa"/>
              <w:right w:w="144" w:type="dxa"/>
            </w:tcMar>
          </w:tcPr>
          <w:p w14:paraId="406AD8A8"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5E068B28"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3C156D7A" w14:textId="77777777" w:rsidR="003D3BEE" w:rsidRDefault="003D3BEE">
            <w:pPr>
              <w:spacing w:line="360" w:lineRule="auto"/>
              <w:jc w:val="both"/>
              <w:rPr>
                <w:rFonts w:ascii="Book Antiqua" w:hAnsi="Book Antiqua"/>
              </w:rPr>
            </w:pPr>
          </w:p>
        </w:tc>
      </w:tr>
      <w:tr w:rsidR="003D3BEE" w14:paraId="7F49B50B" w14:textId="77777777">
        <w:trPr>
          <w:trHeight w:val="257"/>
        </w:trPr>
        <w:tc>
          <w:tcPr>
            <w:tcW w:w="1520" w:type="pct"/>
            <w:shd w:val="clear" w:color="auto" w:fill="FFFFFF"/>
            <w:tcMar>
              <w:top w:w="72" w:type="dxa"/>
              <w:left w:w="144" w:type="dxa"/>
              <w:bottom w:w="72" w:type="dxa"/>
              <w:right w:w="144" w:type="dxa"/>
            </w:tcMar>
          </w:tcPr>
          <w:p w14:paraId="621C4F35" w14:textId="77777777" w:rsidR="003D3BEE" w:rsidRDefault="00B212C7">
            <w:pPr>
              <w:spacing w:line="360" w:lineRule="auto"/>
              <w:jc w:val="both"/>
              <w:rPr>
                <w:rFonts w:ascii="Book Antiqua" w:hAnsi="Book Antiqua"/>
              </w:rPr>
            </w:pPr>
            <w:r>
              <w:rPr>
                <w:rFonts w:ascii="Book Antiqua" w:hAnsi="Book Antiqua"/>
              </w:rPr>
              <w:t>Habitual alcohol use</w:t>
            </w:r>
          </w:p>
        </w:tc>
        <w:tc>
          <w:tcPr>
            <w:tcW w:w="480" w:type="pct"/>
            <w:shd w:val="clear" w:color="auto" w:fill="FFFFFF"/>
            <w:tcMar>
              <w:top w:w="72" w:type="dxa"/>
              <w:left w:w="144" w:type="dxa"/>
              <w:bottom w:w="72" w:type="dxa"/>
              <w:right w:w="144" w:type="dxa"/>
            </w:tcMar>
          </w:tcPr>
          <w:p w14:paraId="73179445" w14:textId="77777777" w:rsidR="003D3BEE" w:rsidRDefault="00B212C7">
            <w:pPr>
              <w:spacing w:line="360" w:lineRule="auto"/>
              <w:jc w:val="both"/>
              <w:rPr>
                <w:rFonts w:ascii="Book Antiqua" w:hAnsi="Book Antiqua"/>
              </w:rPr>
            </w:pPr>
            <w:r>
              <w:rPr>
                <w:rFonts w:ascii="Book Antiqua" w:hAnsi="Book Antiqua"/>
              </w:rPr>
              <w:t>1.08</w:t>
            </w:r>
          </w:p>
        </w:tc>
        <w:tc>
          <w:tcPr>
            <w:tcW w:w="688" w:type="pct"/>
            <w:shd w:val="clear" w:color="auto" w:fill="FFFFFF"/>
            <w:tcMar>
              <w:top w:w="72" w:type="dxa"/>
              <w:left w:w="144" w:type="dxa"/>
              <w:bottom w:w="72" w:type="dxa"/>
              <w:right w:w="144" w:type="dxa"/>
            </w:tcMar>
          </w:tcPr>
          <w:p w14:paraId="6AA00A1C" w14:textId="77777777" w:rsidR="003D3BEE" w:rsidRDefault="00B212C7">
            <w:pPr>
              <w:spacing w:line="360" w:lineRule="auto"/>
              <w:jc w:val="both"/>
              <w:rPr>
                <w:rFonts w:ascii="Book Antiqua" w:hAnsi="Book Antiqua"/>
              </w:rPr>
            </w:pPr>
            <w:r>
              <w:rPr>
                <w:rFonts w:ascii="Book Antiqua" w:hAnsi="Book Antiqua"/>
              </w:rPr>
              <w:t>0.68-1.51</w:t>
            </w:r>
          </w:p>
        </w:tc>
        <w:tc>
          <w:tcPr>
            <w:tcW w:w="647" w:type="pct"/>
            <w:shd w:val="clear" w:color="auto" w:fill="FFFFFF"/>
            <w:tcMar>
              <w:top w:w="72" w:type="dxa"/>
              <w:left w:w="144" w:type="dxa"/>
              <w:bottom w:w="72" w:type="dxa"/>
              <w:right w:w="144" w:type="dxa"/>
            </w:tcMar>
          </w:tcPr>
          <w:p w14:paraId="18B0B582" w14:textId="77777777" w:rsidR="003D3BEE" w:rsidRDefault="00B212C7">
            <w:pPr>
              <w:spacing w:line="360" w:lineRule="auto"/>
              <w:jc w:val="both"/>
              <w:rPr>
                <w:rFonts w:ascii="Book Antiqua" w:hAnsi="Book Antiqua"/>
              </w:rPr>
            </w:pPr>
            <w:r>
              <w:rPr>
                <w:rFonts w:ascii="Book Antiqua" w:hAnsi="Book Antiqua"/>
              </w:rPr>
              <w:t>0.51</w:t>
            </w:r>
          </w:p>
        </w:tc>
        <w:tc>
          <w:tcPr>
            <w:tcW w:w="556" w:type="pct"/>
            <w:shd w:val="clear" w:color="auto" w:fill="FFFFFF"/>
            <w:tcMar>
              <w:top w:w="72" w:type="dxa"/>
              <w:left w:w="144" w:type="dxa"/>
              <w:bottom w:w="72" w:type="dxa"/>
              <w:right w:w="144" w:type="dxa"/>
            </w:tcMar>
          </w:tcPr>
          <w:p w14:paraId="4E2FEDD4"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1FC3C14C"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33DB4DF0" w14:textId="77777777" w:rsidR="003D3BEE" w:rsidRDefault="003D3BEE">
            <w:pPr>
              <w:spacing w:line="360" w:lineRule="auto"/>
              <w:jc w:val="both"/>
              <w:rPr>
                <w:rFonts w:ascii="Book Antiqua" w:hAnsi="Book Antiqua"/>
              </w:rPr>
            </w:pPr>
          </w:p>
        </w:tc>
      </w:tr>
      <w:tr w:rsidR="003D3BEE" w14:paraId="186A11FF" w14:textId="77777777">
        <w:trPr>
          <w:trHeight w:val="257"/>
        </w:trPr>
        <w:tc>
          <w:tcPr>
            <w:tcW w:w="1520" w:type="pct"/>
            <w:shd w:val="clear" w:color="auto" w:fill="FFFFFF"/>
            <w:tcMar>
              <w:top w:w="72" w:type="dxa"/>
              <w:left w:w="144" w:type="dxa"/>
              <w:bottom w:w="72" w:type="dxa"/>
              <w:right w:w="144" w:type="dxa"/>
            </w:tcMar>
          </w:tcPr>
          <w:p w14:paraId="49B3646D" w14:textId="77777777" w:rsidR="003D3BEE" w:rsidRDefault="00B212C7">
            <w:pPr>
              <w:spacing w:line="360" w:lineRule="auto"/>
              <w:jc w:val="both"/>
              <w:rPr>
                <w:rFonts w:ascii="Book Antiqua" w:hAnsi="Book Antiqua"/>
              </w:rPr>
            </w:pPr>
            <w:r>
              <w:rPr>
                <w:rFonts w:ascii="Book Antiqua" w:hAnsi="Book Antiqua"/>
              </w:rPr>
              <w:t>Fib-4</w:t>
            </w:r>
          </w:p>
        </w:tc>
        <w:tc>
          <w:tcPr>
            <w:tcW w:w="480" w:type="pct"/>
            <w:shd w:val="clear" w:color="auto" w:fill="FFFFFF"/>
            <w:tcMar>
              <w:top w:w="72" w:type="dxa"/>
              <w:left w:w="144" w:type="dxa"/>
              <w:bottom w:w="72" w:type="dxa"/>
              <w:right w:w="144" w:type="dxa"/>
            </w:tcMar>
          </w:tcPr>
          <w:p w14:paraId="02208623" w14:textId="77777777" w:rsidR="003D3BEE" w:rsidRDefault="00B212C7">
            <w:pPr>
              <w:spacing w:line="360" w:lineRule="auto"/>
              <w:jc w:val="both"/>
              <w:rPr>
                <w:rFonts w:ascii="Book Antiqua" w:hAnsi="Book Antiqua"/>
              </w:rPr>
            </w:pPr>
            <w:r>
              <w:rPr>
                <w:rFonts w:ascii="Book Antiqua" w:hAnsi="Book Antiqua"/>
              </w:rPr>
              <w:t>1.01</w:t>
            </w:r>
          </w:p>
        </w:tc>
        <w:tc>
          <w:tcPr>
            <w:tcW w:w="688" w:type="pct"/>
            <w:shd w:val="clear" w:color="auto" w:fill="FFFFFF"/>
            <w:tcMar>
              <w:top w:w="72" w:type="dxa"/>
              <w:left w:w="144" w:type="dxa"/>
              <w:bottom w:w="72" w:type="dxa"/>
              <w:right w:w="144" w:type="dxa"/>
            </w:tcMar>
          </w:tcPr>
          <w:p w14:paraId="34C6ACB4" w14:textId="77777777" w:rsidR="003D3BEE" w:rsidRDefault="00B212C7">
            <w:pPr>
              <w:spacing w:line="360" w:lineRule="auto"/>
              <w:jc w:val="both"/>
              <w:rPr>
                <w:rFonts w:ascii="Book Antiqua" w:hAnsi="Book Antiqua"/>
              </w:rPr>
            </w:pPr>
            <w:r>
              <w:rPr>
                <w:rFonts w:ascii="Book Antiqua" w:hAnsi="Book Antiqua"/>
              </w:rPr>
              <w:t>0.93-1.09</w:t>
            </w:r>
          </w:p>
        </w:tc>
        <w:tc>
          <w:tcPr>
            <w:tcW w:w="647" w:type="pct"/>
            <w:shd w:val="clear" w:color="auto" w:fill="FFFFFF"/>
            <w:tcMar>
              <w:top w:w="72" w:type="dxa"/>
              <w:left w:w="144" w:type="dxa"/>
              <w:bottom w:w="72" w:type="dxa"/>
              <w:right w:w="144" w:type="dxa"/>
            </w:tcMar>
          </w:tcPr>
          <w:p w14:paraId="44DC53E1" w14:textId="77777777" w:rsidR="003D3BEE" w:rsidRDefault="00B212C7">
            <w:pPr>
              <w:spacing w:line="360" w:lineRule="auto"/>
              <w:jc w:val="both"/>
              <w:rPr>
                <w:rFonts w:ascii="Book Antiqua" w:hAnsi="Book Antiqua"/>
              </w:rPr>
            </w:pPr>
            <w:r>
              <w:rPr>
                <w:rFonts w:ascii="Book Antiqua" w:hAnsi="Book Antiqua"/>
              </w:rPr>
              <w:t>0.86</w:t>
            </w:r>
          </w:p>
        </w:tc>
        <w:tc>
          <w:tcPr>
            <w:tcW w:w="556" w:type="pct"/>
            <w:shd w:val="clear" w:color="auto" w:fill="FFFFFF"/>
            <w:tcMar>
              <w:top w:w="72" w:type="dxa"/>
              <w:left w:w="144" w:type="dxa"/>
              <w:bottom w:w="72" w:type="dxa"/>
              <w:right w:w="144" w:type="dxa"/>
            </w:tcMar>
          </w:tcPr>
          <w:p w14:paraId="538AAB17"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09D26EB8"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68EE48C1" w14:textId="77777777" w:rsidR="003D3BEE" w:rsidRDefault="003D3BEE">
            <w:pPr>
              <w:spacing w:line="360" w:lineRule="auto"/>
              <w:jc w:val="both"/>
              <w:rPr>
                <w:rFonts w:ascii="Book Antiqua" w:hAnsi="Book Antiqua"/>
              </w:rPr>
            </w:pPr>
          </w:p>
        </w:tc>
      </w:tr>
      <w:tr w:rsidR="003D3BEE" w14:paraId="35D4CF73" w14:textId="77777777">
        <w:trPr>
          <w:trHeight w:val="257"/>
        </w:trPr>
        <w:tc>
          <w:tcPr>
            <w:tcW w:w="1520" w:type="pct"/>
            <w:shd w:val="clear" w:color="auto" w:fill="FFFFFF"/>
            <w:tcMar>
              <w:top w:w="72" w:type="dxa"/>
              <w:left w:w="144" w:type="dxa"/>
              <w:bottom w:w="72" w:type="dxa"/>
              <w:right w:w="144" w:type="dxa"/>
            </w:tcMar>
          </w:tcPr>
          <w:p w14:paraId="38411D1C" w14:textId="77777777" w:rsidR="003D3BEE" w:rsidRDefault="00B212C7">
            <w:pPr>
              <w:spacing w:line="360" w:lineRule="auto"/>
              <w:jc w:val="both"/>
              <w:rPr>
                <w:rFonts w:ascii="Book Antiqua" w:hAnsi="Book Antiqua"/>
              </w:rPr>
            </w:pPr>
            <w:r>
              <w:rPr>
                <w:rFonts w:ascii="Book Antiqua" w:hAnsi="Book Antiqua"/>
              </w:rPr>
              <w:t>AFP at baseline</w:t>
            </w:r>
          </w:p>
        </w:tc>
        <w:tc>
          <w:tcPr>
            <w:tcW w:w="480" w:type="pct"/>
            <w:shd w:val="clear" w:color="auto" w:fill="FFFFFF"/>
            <w:tcMar>
              <w:top w:w="72" w:type="dxa"/>
              <w:left w:w="144" w:type="dxa"/>
              <w:bottom w:w="72" w:type="dxa"/>
              <w:right w:w="144" w:type="dxa"/>
            </w:tcMar>
          </w:tcPr>
          <w:p w14:paraId="35067ADD" w14:textId="77777777" w:rsidR="003D3BEE" w:rsidRDefault="00B212C7">
            <w:pPr>
              <w:spacing w:line="360" w:lineRule="auto"/>
              <w:jc w:val="both"/>
              <w:rPr>
                <w:rFonts w:ascii="Book Antiqua" w:hAnsi="Book Antiqua"/>
              </w:rPr>
            </w:pPr>
            <w:r>
              <w:rPr>
                <w:rFonts w:ascii="Book Antiqua" w:hAnsi="Book Antiqua"/>
              </w:rPr>
              <w:t>1.01</w:t>
            </w:r>
          </w:p>
        </w:tc>
        <w:tc>
          <w:tcPr>
            <w:tcW w:w="688" w:type="pct"/>
            <w:shd w:val="clear" w:color="auto" w:fill="FFFFFF"/>
            <w:tcMar>
              <w:top w:w="72" w:type="dxa"/>
              <w:left w:w="144" w:type="dxa"/>
              <w:bottom w:w="72" w:type="dxa"/>
              <w:right w:w="144" w:type="dxa"/>
            </w:tcMar>
          </w:tcPr>
          <w:p w14:paraId="54A432E5" w14:textId="77777777" w:rsidR="003D3BEE" w:rsidRDefault="00B212C7">
            <w:pPr>
              <w:spacing w:line="360" w:lineRule="auto"/>
              <w:jc w:val="both"/>
              <w:rPr>
                <w:rFonts w:ascii="Book Antiqua" w:hAnsi="Book Antiqua"/>
              </w:rPr>
            </w:pPr>
            <w:r>
              <w:rPr>
                <w:rFonts w:ascii="Book Antiqua" w:hAnsi="Book Antiqua"/>
              </w:rPr>
              <w:t>1.00-1.01</w:t>
            </w:r>
          </w:p>
        </w:tc>
        <w:tc>
          <w:tcPr>
            <w:tcW w:w="647" w:type="pct"/>
            <w:shd w:val="clear" w:color="auto" w:fill="FFFFFF"/>
            <w:tcMar>
              <w:top w:w="72" w:type="dxa"/>
              <w:left w:w="144" w:type="dxa"/>
              <w:bottom w:w="72" w:type="dxa"/>
              <w:right w:w="144" w:type="dxa"/>
            </w:tcMar>
          </w:tcPr>
          <w:p w14:paraId="3A416763" w14:textId="77777777" w:rsidR="003D3BEE" w:rsidRDefault="00B212C7">
            <w:pPr>
              <w:spacing w:line="360" w:lineRule="auto"/>
              <w:jc w:val="both"/>
              <w:rPr>
                <w:rFonts w:ascii="Book Antiqua" w:hAnsi="Book Antiqua"/>
              </w:rPr>
            </w:pPr>
            <w:r>
              <w:rPr>
                <w:rFonts w:ascii="Book Antiqua" w:hAnsi="Book Antiqua"/>
              </w:rPr>
              <w:t>0.22</w:t>
            </w:r>
          </w:p>
        </w:tc>
        <w:tc>
          <w:tcPr>
            <w:tcW w:w="556" w:type="pct"/>
            <w:shd w:val="clear" w:color="auto" w:fill="FFFFFF"/>
            <w:tcMar>
              <w:top w:w="72" w:type="dxa"/>
              <w:left w:w="144" w:type="dxa"/>
              <w:bottom w:w="72" w:type="dxa"/>
              <w:right w:w="144" w:type="dxa"/>
            </w:tcMar>
          </w:tcPr>
          <w:p w14:paraId="7A2825E4"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71428F5D"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2182E696" w14:textId="77777777" w:rsidR="003D3BEE" w:rsidRDefault="003D3BEE">
            <w:pPr>
              <w:spacing w:line="360" w:lineRule="auto"/>
              <w:jc w:val="both"/>
              <w:rPr>
                <w:rFonts w:ascii="Book Antiqua" w:hAnsi="Book Antiqua"/>
              </w:rPr>
            </w:pPr>
          </w:p>
        </w:tc>
      </w:tr>
      <w:tr w:rsidR="003D3BEE" w14:paraId="6A4BEF07" w14:textId="77777777">
        <w:trPr>
          <w:trHeight w:val="257"/>
        </w:trPr>
        <w:tc>
          <w:tcPr>
            <w:tcW w:w="1520" w:type="pct"/>
            <w:shd w:val="clear" w:color="auto" w:fill="FFFFFF"/>
            <w:tcMar>
              <w:top w:w="72" w:type="dxa"/>
              <w:left w:w="144" w:type="dxa"/>
              <w:bottom w:w="72" w:type="dxa"/>
              <w:right w:w="144" w:type="dxa"/>
            </w:tcMar>
          </w:tcPr>
          <w:p w14:paraId="40274924" w14:textId="77777777" w:rsidR="003D3BEE" w:rsidRDefault="00B212C7">
            <w:pPr>
              <w:spacing w:line="360" w:lineRule="auto"/>
              <w:jc w:val="both"/>
              <w:rPr>
                <w:rFonts w:ascii="Book Antiqua" w:hAnsi="Book Antiqua"/>
              </w:rPr>
            </w:pPr>
            <w:r>
              <w:rPr>
                <w:rFonts w:ascii="Book Antiqua" w:hAnsi="Book Antiqua"/>
              </w:rPr>
              <w:t>AFP at EOT</w:t>
            </w:r>
          </w:p>
        </w:tc>
        <w:tc>
          <w:tcPr>
            <w:tcW w:w="480" w:type="pct"/>
            <w:shd w:val="clear" w:color="auto" w:fill="FFFFFF"/>
            <w:tcMar>
              <w:top w:w="72" w:type="dxa"/>
              <w:left w:w="144" w:type="dxa"/>
              <w:bottom w:w="72" w:type="dxa"/>
              <w:right w:w="144" w:type="dxa"/>
            </w:tcMar>
          </w:tcPr>
          <w:p w14:paraId="3E2DC62A" w14:textId="77777777" w:rsidR="003D3BEE" w:rsidRDefault="00B212C7">
            <w:pPr>
              <w:spacing w:line="360" w:lineRule="auto"/>
              <w:jc w:val="both"/>
              <w:rPr>
                <w:rFonts w:ascii="Book Antiqua" w:hAnsi="Book Antiqua"/>
              </w:rPr>
            </w:pPr>
            <w:r>
              <w:rPr>
                <w:rFonts w:ascii="Book Antiqua" w:hAnsi="Book Antiqua"/>
              </w:rPr>
              <w:t>1.09</w:t>
            </w:r>
          </w:p>
        </w:tc>
        <w:tc>
          <w:tcPr>
            <w:tcW w:w="688" w:type="pct"/>
            <w:shd w:val="clear" w:color="auto" w:fill="FFFFFF"/>
            <w:tcMar>
              <w:top w:w="72" w:type="dxa"/>
              <w:left w:w="144" w:type="dxa"/>
              <w:bottom w:w="72" w:type="dxa"/>
              <w:right w:w="144" w:type="dxa"/>
            </w:tcMar>
          </w:tcPr>
          <w:p w14:paraId="7D181C29" w14:textId="77777777" w:rsidR="003D3BEE" w:rsidRDefault="00B212C7">
            <w:pPr>
              <w:spacing w:line="360" w:lineRule="auto"/>
              <w:jc w:val="both"/>
              <w:rPr>
                <w:rFonts w:ascii="Book Antiqua" w:hAnsi="Book Antiqua"/>
              </w:rPr>
            </w:pPr>
            <w:r>
              <w:rPr>
                <w:rFonts w:ascii="Book Antiqua" w:hAnsi="Book Antiqua"/>
              </w:rPr>
              <w:t>1.00-1.19</w:t>
            </w:r>
          </w:p>
        </w:tc>
        <w:tc>
          <w:tcPr>
            <w:tcW w:w="647" w:type="pct"/>
            <w:shd w:val="clear" w:color="auto" w:fill="FFFFFF"/>
            <w:tcMar>
              <w:top w:w="72" w:type="dxa"/>
              <w:left w:w="144" w:type="dxa"/>
              <w:bottom w:w="72" w:type="dxa"/>
              <w:right w:w="144" w:type="dxa"/>
            </w:tcMar>
          </w:tcPr>
          <w:p w14:paraId="20FD481C" w14:textId="77777777" w:rsidR="003D3BEE" w:rsidRDefault="00B212C7">
            <w:pPr>
              <w:spacing w:line="360" w:lineRule="auto"/>
              <w:jc w:val="both"/>
              <w:rPr>
                <w:rFonts w:ascii="Book Antiqua" w:hAnsi="Book Antiqua"/>
              </w:rPr>
            </w:pPr>
            <w:r>
              <w:rPr>
                <w:rFonts w:ascii="Book Antiqua" w:hAnsi="Book Antiqua"/>
              </w:rPr>
              <w:t>0.05</w:t>
            </w:r>
          </w:p>
        </w:tc>
        <w:tc>
          <w:tcPr>
            <w:tcW w:w="556" w:type="pct"/>
            <w:shd w:val="clear" w:color="auto" w:fill="FFFFFF"/>
            <w:tcMar>
              <w:top w:w="72" w:type="dxa"/>
              <w:left w:w="144" w:type="dxa"/>
              <w:bottom w:w="72" w:type="dxa"/>
              <w:right w:w="144" w:type="dxa"/>
            </w:tcMar>
          </w:tcPr>
          <w:p w14:paraId="2FC40D59" w14:textId="77777777" w:rsidR="003D3BEE" w:rsidRDefault="00B212C7">
            <w:pPr>
              <w:spacing w:line="360" w:lineRule="auto"/>
              <w:jc w:val="both"/>
              <w:rPr>
                <w:rFonts w:ascii="Book Antiqua" w:hAnsi="Book Antiqua"/>
              </w:rPr>
            </w:pPr>
            <w:r>
              <w:rPr>
                <w:rFonts w:ascii="Book Antiqua" w:hAnsi="Book Antiqua"/>
              </w:rPr>
              <w:t>1.10</w:t>
            </w:r>
          </w:p>
        </w:tc>
        <w:tc>
          <w:tcPr>
            <w:tcW w:w="554" w:type="pct"/>
            <w:shd w:val="clear" w:color="auto" w:fill="FFFFFF"/>
            <w:tcMar>
              <w:top w:w="72" w:type="dxa"/>
              <w:left w:w="144" w:type="dxa"/>
              <w:bottom w:w="72" w:type="dxa"/>
              <w:right w:w="144" w:type="dxa"/>
            </w:tcMar>
          </w:tcPr>
          <w:p w14:paraId="0F40EB7F" w14:textId="77777777" w:rsidR="003D3BEE" w:rsidRDefault="00B212C7">
            <w:pPr>
              <w:spacing w:line="360" w:lineRule="auto"/>
              <w:jc w:val="both"/>
              <w:rPr>
                <w:rFonts w:ascii="Book Antiqua" w:hAnsi="Book Antiqua"/>
              </w:rPr>
            </w:pPr>
            <w:r>
              <w:rPr>
                <w:rFonts w:ascii="Book Antiqua" w:hAnsi="Book Antiqua"/>
              </w:rPr>
              <w:t>1.00-1.01</w:t>
            </w:r>
          </w:p>
        </w:tc>
        <w:tc>
          <w:tcPr>
            <w:tcW w:w="555" w:type="pct"/>
            <w:shd w:val="clear" w:color="auto" w:fill="FFFFFF"/>
            <w:tcMar>
              <w:top w:w="72" w:type="dxa"/>
              <w:left w:w="144" w:type="dxa"/>
              <w:bottom w:w="72" w:type="dxa"/>
              <w:right w:w="144" w:type="dxa"/>
            </w:tcMar>
          </w:tcPr>
          <w:p w14:paraId="48972AA6" w14:textId="77777777" w:rsidR="003D3BEE" w:rsidRDefault="00B212C7">
            <w:pPr>
              <w:spacing w:line="360" w:lineRule="auto"/>
              <w:jc w:val="both"/>
              <w:rPr>
                <w:rFonts w:ascii="Book Antiqua" w:hAnsi="Book Antiqua"/>
              </w:rPr>
            </w:pPr>
            <w:r>
              <w:rPr>
                <w:rFonts w:ascii="Book Antiqua" w:hAnsi="Book Antiqua"/>
              </w:rPr>
              <w:t>0.05</w:t>
            </w:r>
          </w:p>
        </w:tc>
      </w:tr>
      <w:tr w:rsidR="003D3BEE" w14:paraId="752E772E" w14:textId="77777777">
        <w:trPr>
          <w:trHeight w:val="257"/>
        </w:trPr>
        <w:tc>
          <w:tcPr>
            <w:tcW w:w="1520" w:type="pct"/>
            <w:shd w:val="clear" w:color="auto" w:fill="FFFFFF"/>
            <w:tcMar>
              <w:top w:w="72" w:type="dxa"/>
              <w:left w:w="144" w:type="dxa"/>
              <w:bottom w:w="72" w:type="dxa"/>
              <w:right w:w="144" w:type="dxa"/>
            </w:tcMar>
          </w:tcPr>
          <w:p w14:paraId="7E1DDFBE" w14:textId="77777777" w:rsidR="003D3BEE" w:rsidRDefault="00B212C7">
            <w:pPr>
              <w:spacing w:line="360" w:lineRule="auto"/>
              <w:jc w:val="both"/>
              <w:rPr>
                <w:rFonts w:ascii="Book Antiqua" w:hAnsi="Book Antiqua"/>
              </w:rPr>
            </w:pPr>
            <w:r>
              <w:rPr>
                <w:rFonts w:ascii="Book Antiqua" w:hAnsi="Book Antiqua"/>
              </w:rPr>
              <w:t>AFP at SVR</w:t>
            </w:r>
          </w:p>
        </w:tc>
        <w:tc>
          <w:tcPr>
            <w:tcW w:w="480" w:type="pct"/>
            <w:shd w:val="clear" w:color="auto" w:fill="FFFFFF"/>
            <w:tcMar>
              <w:top w:w="72" w:type="dxa"/>
              <w:left w:w="144" w:type="dxa"/>
              <w:bottom w:w="72" w:type="dxa"/>
              <w:right w:w="144" w:type="dxa"/>
            </w:tcMar>
          </w:tcPr>
          <w:p w14:paraId="5B1D740F" w14:textId="77777777" w:rsidR="003D3BEE" w:rsidRDefault="00B212C7">
            <w:pPr>
              <w:spacing w:line="360" w:lineRule="auto"/>
              <w:jc w:val="both"/>
              <w:rPr>
                <w:rFonts w:ascii="Book Antiqua" w:hAnsi="Book Antiqua"/>
              </w:rPr>
            </w:pPr>
            <w:r>
              <w:rPr>
                <w:rFonts w:ascii="Book Antiqua" w:hAnsi="Book Antiqua"/>
              </w:rPr>
              <w:t>1.01</w:t>
            </w:r>
          </w:p>
        </w:tc>
        <w:tc>
          <w:tcPr>
            <w:tcW w:w="688" w:type="pct"/>
            <w:shd w:val="clear" w:color="auto" w:fill="FFFFFF"/>
            <w:tcMar>
              <w:top w:w="72" w:type="dxa"/>
              <w:left w:w="144" w:type="dxa"/>
              <w:bottom w:w="72" w:type="dxa"/>
              <w:right w:w="144" w:type="dxa"/>
            </w:tcMar>
          </w:tcPr>
          <w:p w14:paraId="13FA3CFE" w14:textId="77777777" w:rsidR="003D3BEE" w:rsidRDefault="00B212C7">
            <w:pPr>
              <w:spacing w:line="360" w:lineRule="auto"/>
              <w:jc w:val="both"/>
              <w:rPr>
                <w:rFonts w:ascii="Book Antiqua" w:hAnsi="Book Antiqua"/>
              </w:rPr>
            </w:pPr>
            <w:r>
              <w:rPr>
                <w:rFonts w:ascii="Book Antiqua" w:hAnsi="Book Antiqua"/>
              </w:rPr>
              <w:t>1.00-1.01</w:t>
            </w:r>
          </w:p>
        </w:tc>
        <w:tc>
          <w:tcPr>
            <w:tcW w:w="647" w:type="pct"/>
            <w:shd w:val="clear" w:color="auto" w:fill="FFFFFF"/>
            <w:tcMar>
              <w:top w:w="72" w:type="dxa"/>
              <w:left w:w="144" w:type="dxa"/>
              <w:bottom w:w="72" w:type="dxa"/>
              <w:right w:w="144" w:type="dxa"/>
            </w:tcMar>
          </w:tcPr>
          <w:p w14:paraId="02029213" w14:textId="77777777" w:rsidR="003D3BEE" w:rsidRDefault="00B212C7">
            <w:pPr>
              <w:spacing w:line="360" w:lineRule="auto"/>
              <w:jc w:val="both"/>
              <w:rPr>
                <w:rFonts w:ascii="Book Antiqua" w:hAnsi="Book Antiqua"/>
              </w:rPr>
            </w:pPr>
            <w:r>
              <w:rPr>
                <w:rFonts w:ascii="Book Antiqua" w:hAnsi="Book Antiqua"/>
              </w:rPr>
              <w:t>0.04</w:t>
            </w:r>
          </w:p>
        </w:tc>
        <w:tc>
          <w:tcPr>
            <w:tcW w:w="556" w:type="pct"/>
            <w:shd w:val="clear" w:color="auto" w:fill="FFFFFF"/>
            <w:tcMar>
              <w:top w:w="72" w:type="dxa"/>
              <w:left w:w="144" w:type="dxa"/>
              <w:bottom w:w="72" w:type="dxa"/>
              <w:right w:w="144" w:type="dxa"/>
            </w:tcMar>
          </w:tcPr>
          <w:p w14:paraId="37AAA66A" w14:textId="77777777" w:rsidR="003D3BEE" w:rsidRDefault="00B212C7">
            <w:pPr>
              <w:spacing w:line="360" w:lineRule="auto"/>
              <w:jc w:val="both"/>
              <w:rPr>
                <w:rFonts w:ascii="Book Antiqua" w:hAnsi="Book Antiqua"/>
              </w:rPr>
            </w:pPr>
            <w:r>
              <w:rPr>
                <w:rFonts w:ascii="Book Antiqua" w:hAnsi="Book Antiqua"/>
              </w:rPr>
              <w:t>1.01</w:t>
            </w:r>
          </w:p>
        </w:tc>
        <w:tc>
          <w:tcPr>
            <w:tcW w:w="554" w:type="pct"/>
            <w:shd w:val="clear" w:color="auto" w:fill="FFFFFF"/>
            <w:tcMar>
              <w:top w:w="72" w:type="dxa"/>
              <w:left w:w="144" w:type="dxa"/>
              <w:bottom w:w="72" w:type="dxa"/>
              <w:right w:w="144" w:type="dxa"/>
            </w:tcMar>
          </w:tcPr>
          <w:p w14:paraId="28BEFD3D" w14:textId="77777777" w:rsidR="003D3BEE" w:rsidRDefault="00B212C7">
            <w:pPr>
              <w:spacing w:line="360" w:lineRule="auto"/>
              <w:jc w:val="both"/>
              <w:rPr>
                <w:rFonts w:ascii="Book Antiqua" w:hAnsi="Book Antiqua"/>
              </w:rPr>
            </w:pPr>
            <w:r>
              <w:rPr>
                <w:rFonts w:ascii="Book Antiqua" w:hAnsi="Book Antiqua"/>
              </w:rPr>
              <w:t>1.00-1.01</w:t>
            </w:r>
          </w:p>
        </w:tc>
        <w:tc>
          <w:tcPr>
            <w:tcW w:w="555" w:type="pct"/>
            <w:shd w:val="clear" w:color="auto" w:fill="FFFFFF"/>
            <w:tcMar>
              <w:top w:w="72" w:type="dxa"/>
              <w:left w:w="144" w:type="dxa"/>
              <w:bottom w:w="72" w:type="dxa"/>
              <w:right w:w="144" w:type="dxa"/>
            </w:tcMar>
          </w:tcPr>
          <w:p w14:paraId="4205D7A4" w14:textId="77777777" w:rsidR="003D3BEE" w:rsidRDefault="00B212C7">
            <w:pPr>
              <w:spacing w:line="360" w:lineRule="auto"/>
              <w:jc w:val="both"/>
              <w:rPr>
                <w:rFonts w:ascii="Book Antiqua" w:hAnsi="Book Antiqua"/>
              </w:rPr>
            </w:pPr>
            <w:r>
              <w:rPr>
                <w:rFonts w:ascii="Book Antiqua" w:hAnsi="Book Antiqua"/>
              </w:rPr>
              <w:t>0.08</w:t>
            </w:r>
          </w:p>
        </w:tc>
      </w:tr>
      <w:tr w:rsidR="003D3BEE" w14:paraId="72B36128" w14:textId="77777777">
        <w:trPr>
          <w:trHeight w:val="428"/>
        </w:trPr>
        <w:tc>
          <w:tcPr>
            <w:tcW w:w="1520" w:type="pct"/>
            <w:shd w:val="clear" w:color="auto" w:fill="FFFFFF"/>
            <w:tcMar>
              <w:top w:w="72" w:type="dxa"/>
              <w:left w:w="144" w:type="dxa"/>
              <w:bottom w:w="72" w:type="dxa"/>
              <w:right w:w="144" w:type="dxa"/>
            </w:tcMar>
          </w:tcPr>
          <w:p w14:paraId="129F204A" w14:textId="77777777" w:rsidR="003D3BEE" w:rsidRDefault="00B212C7">
            <w:pPr>
              <w:spacing w:line="360" w:lineRule="auto"/>
              <w:jc w:val="both"/>
              <w:rPr>
                <w:rFonts w:ascii="Book Antiqua" w:hAnsi="Book Antiqua"/>
              </w:rPr>
            </w:pPr>
            <w:r>
              <w:rPr>
                <w:rFonts w:ascii="Book Antiqua" w:hAnsi="Book Antiqua"/>
              </w:rPr>
              <w:t xml:space="preserve">Duration between first HCC and DAAs treatment </w:t>
            </w:r>
          </w:p>
        </w:tc>
        <w:tc>
          <w:tcPr>
            <w:tcW w:w="480" w:type="pct"/>
            <w:shd w:val="clear" w:color="auto" w:fill="FFFFFF"/>
            <w:tcMar>
              <w:top w:w="72" w:type="dxa"/>
              <w:left w:w="144" w:type="dxa"/>
              <w:bottom w:w="72" w:type="dxa"/>
              <w:right w:w="144" w:type="dxa"/>
            </w:tcMar>
          </w:tcPr>
          <w:p w14:paraId="7DA68508" w14:textId="77777777" w:rsidR="003D3BEE" w:rsidRDefault="00B212C7">
            <w:pPr>
              <w:spacing w:line="360" w:lineRule="auto"/>
              <w:jc w:val="both"/>
              <w:rPr>
                <w:rFonts w:ascii="Book Antiqua" w:hAnsi="Book Antiqua"/>
              </w:rPr>
            </w:pPr>
            <w:r>
              <w:rPr>
                <w:rFonts w:ascii="Book Antiqua" w:hAnsi="Book Antiqua"/>
              </w:rPr>
              <w:t>1.00</w:t>
            </w:r>
          </w:p>
        </w:tc>
        <w:tc>
          <w:tcPr>
            <w:tcW w:w="688" w:type="pct"/>
            <w:shd w:val="clear" w:color="auto" w:fill="FFFFFF"/>
            <w:tcMar>
              <w:top w:w="72" w:type="dxa"/>
              <w:left w:w="144" w:type="dxa"/>
              <w:bottom w:w="72" w:type="dxa"/>
              <w:right w:w="144" w:type="dxa"/>
            </w:tcMar>
          </w:tcPr>
          <w:p w14:paraId="784A6F0D" w14:textId="77777777" w:rsidR="003D3BEE" w:rsidRDefault="00B212C7">
            <w:pPr>
              <w:spacing w:line="360" w:lineRule="auto"/>
              <w:jc w:val="both"/>
              <w:rPr>
                <w:rFonts w:ascii="Book Antiqua" w:hAnsi="Book Antiqua"/>
              </w:rPr>
            </w:pPr>
            <w:r>
              <w:rPr>
                <w:rFonts w:ascii="Book Antiqua" w:hAnsi="Book Antiqua"/>
              </w:rPr>
              <w:t>1.00-1.00</w:t>
            </w:r>
          </w:p>
        </w:tc>
        <w:tc>
          <w:tcPr>
            <w:tcW w:w="647" w:type="pct"/>
            <w:shd w:val="clear" w:color="auto" w:fill="FFFFFF"/>
            <w:tcMar>
              <w:top w:w="72" w:type="dxa"/>
              <w:left w:w="144" w:type="dxa"/>
              <w:bottom w:w="72" w:type="dxa"/>
              <w:right w:w="144" w:type="dxa"/>
            </w:tcMar>
          </w:tcPr>
          <w:p w14:paraId="5A933C55" w14:textId="77777777" w:rsidR="003D3BEE" w:rsidRDefault="00B212C7">
            <w:pPr>
              <w:spacing w:line="360" w:lineRule="auto"/>
              <w:jc w:val="both"/>
              <w:rPr>
                <w:rFonts w:ascii="Book Antiqua" w:hAnsi="Book Antiqua"/>
              </w:rPr>
            </w:pPr>
            <w:r>
              <w:rPr>
                <w:rFonts w:ascii="Book Antiqua" w:hAnsi="Book Antiqua"/>
              </w:rPr>
              <w:t>0.18</w:t>
            </w:r>
          </w:p>
        </w:tc>
        <w:tc>
          <w:tcPr>
            <w:tcW w:w="556" w:type="pct"/>
            <w:shd w:val="clear" w:color="auto" w:fill="FFFFFF"/>
            <w:tcMar>
              <w:top w:w="72" w:type="dxa"/>
              <w:left w:w="144" w:type="dxa"/>
              <w:bottom w:w="72" w:type="dxa"/>
              <w:right w:w="144" w:type="dxa"/>
            </w:tcMar>
          </w:tcPr>
          <w:p w14:paraId="5D7E7766" w14:textId="77777777" w:rsidR="003D3BEE" w:rsidRDefault="003D3BEE">
            <w:pPr>
              <w:spacing w:line="360" w:lineRule="auto"/>
              <w:jc w:val="both"/>
              <w:rPr>
                <w:rFonts w:ascii="Book Antiqua" w:hAnsi="Book Antiqua"/>
              </w:rPr>
            </w:pPr>
          </w:p>
        </w:tc>
        <w:tc>
          <w:tcPr>
            <w:tcW w:w="554" w:type="pct"/>
            <w:shd w:val="clear" w:color="auto" w:fill="FFFFFF"/>
            <w:tcMar>
              <w:top w:w="72" w:type="dxa"/>
              <w:left w:w="144" w:type="dxa"/>
              <w:bottom w:w="72" w:type="dxa"/>
              <w:right w:w="144" w:type="dxa"/>
            </w:tcMar>
          </w:tcPr>
          <w:p w14:paraId="57B75AD2" w14:textId="77777777" w:rsidR="003D3BEE" w:rsidRDefault="003D3BEE">
            <w:pPr>
              <w:spacing w:line="360" w:lineRule="auto"/>
              <w:jc w:val="both"/>
              <w:rPr>
                <w:rFonts w:ascii="Book Antiqua" w:hAnsi="Book Antiqua"/>
              </w:rPr>
            </w:pPr>
          </w:p>
        </w:tc>
        <w:tc>
          <w:tcPr>
            <w:tcW w:w="555" w:type="pct"/>
            <w:shd w:val="clear" w:color="auto" w:fill="FFFFFF"/>
            <w:tcMar>
              <w:top w:w="72" w:type="dxa"/>
              <w:left w:w="144" w:type="dxa"/>
              <w:bottom w:w="72" w:type="dxa"/>
              <w:right w:w="144" w:type="dxa"/>
            </w:tcMar>
          </w:tcPr>
          <w:p w14:paraId="3024112B" w14:textId="77777777" w:rsidR="003D3BEE" w:rsidRDefault="003D3BEE">
            <w:pPr>
              <w:spacing w:line="360" w:lineRule="auto"/>
              <w:jc w:val="both"/>
              <w:rPr>
                <w:rFonts w:ascii="Book Antiqua" w:hAnsi="Book Antiqua"/>
              </w:rPr>
            </w:pPr>
          </w:p>
        </w:tc>
      </w:tr>
      <w:tr w:rsidR="003D3BEE" w14:paraId="0BCCABAB" w14:textId="77777777">
        <w:trPr>
          <w:trHeight w:val="13"/>
        </w:trPr>
        <w:tc>
          <w:tcPr>
            <w:tcW w:w="1520" w:type="pct"/>
            <w:shd w:val="clear" w:color="auto" w:fill="FFFFFF"/>
            <w:tcMar>
              <w:top w:w="72" w:type="dxa"/>
              <w:left w:w="144" w:type="dxa"/>
              <w:bottom w:w="72" w:type="dxa"/>
              <w:right w:w="144" w:type="dxa"/>
            </w:tcMar>
          </w:tcPr>
          <w:p w14:paraId="66A320C2" w14:textId="77777777" w:rsidR="003D3BEE" w:rsidRDefault="00B212C7">
            <w:pPr>
              <w:spacing w:line="360" w:lineRule="auto"/>
              <w:jc w:val="both"/>
              <w:rPr>
                <w:rFonts w:ascii="Book Antiqua" w:hAnsi="Book Antiqua"/>
              </w:rPr>
            </w:pPr>
            <w:r>
              <w:rPr>
                <w:rFonts w:ascii="Book Antiqua" w:hAnsi="Book Antiqua"/>
              </w:rPr>
              <w:t>Number of HCC occurrence</w:t>
            </w:r>
          </w:p>
        </w:tc>
        <w:tc>
          <w:tcPr>
            <w:tcW w:w="480" w:type="pct"/>
            <w:shd w:val="clear" w:color="auto" w:fill="FFFFFF"/>
            <w:tcMar>
              <w:top w:w="72" w:type="dxa"/>
              <w:left w:w="144" w:type="dxa"/>
              <w:bottom w:w="72" w:type="dxa"/>
              <w:right w:w="144" w:type="dxa"/>
            </w:tcMar>
          </w:tcPr>
          <w:p w14:paraId="1B2C9B9B" w14:textId="77777777" w:rsidR="003D3BEE" w:rsidRDefault="00B212C7">
            <w:pPr>
              <w:spacing w:line="360" w:lineRule="auto"/>
              <w:jc w:val="both"/>
              <w:rPr>
                <w:rFonts w:ascii="Book Antiqua" w:hAnsi="Book Antiqua"/>
              </w:rPr>
            </w:pPr>
            <w:r>
              <w:rPr>
                <w:rFonts w:ascii="Book Antiqua" w:hAnsi="Book Antiqua"/>
              </w:rPr>
              <w:t>1.32</w:t>
            </w:r>
          </w:p>
        </w:tc>
        <w:tc>
          <w:tcPr>
            <w:tcW w:w="688" w:type="pct"/>
            <w:shd w:val="clear" w:color="auto" w:fill="FFFFFF"/>
            <w:tcMar>
              <w:top w:w="72" w:type="dxa"/>
              <w:left w:w="144" w:type="dxa"/>
              <w:bottom w:w="72" w:type="dxa"/>
              <w:right w:w="144" w:type="dxa"/>
            </w:tcMar>
          </w:tcPr>
          <w:p w14:paraId="195A36B8" w14:textId="77777777" w:rsidR="003D3BEE" w:rsidRDefault="00B212C7">
            <w:pPr>
              <w:spacing w:line="360" w:lineRule="auto"/>
              <w:jc w:val="both"/>
              <w:rPr>
                <w:rFonts w:ascii="Book Antiqua" w:hAnsi="Book Antiqua"/>
              </w:rPr>
            </w:pPr>
            <w:r>
              <w:rPr>
                <w:rFonts w:ascii="Book Antiqua" w:hAnsi="Book Antiqua"/>
              </w:rPr>
              <w:t>1.06-1.64</w:t>
            </w:r>
          </w:p>
        </w:tc>
        <w:tc>
          <w:tcPr>
            <w:tcW w:w="647" w:type="pct"/>
            <w:shd w:val="clear" w:color="auto" w:fill="FFFFFF"/>
            <w:tcMar>
              <w:top w:w="72" w:type="dxa"/>
              <w:left w:w="144" w:type="dxa"/>
              <w:bottom w:w="72" w:type="dxa"/>
              <w:right w:w="144" w:type="dxa"/>
            </w:tcMar>
          </w:tcPr>
          <w:p w14:paraId="34F1E72B" w14:textId="77777777" w:rsidR="003D3BEE" w:rsidRDefault="00B212C7">
            <w:pPr>
              <w:spacing w:line="360" w:lineRule="auto"/>
              <w:jc w:val="both"/>
              <w:rPr>
                <w:rFonts w:ascii="Book Antiqua" w:hAnsi="Book Antiqua"/>
              </w:rPr>
            </w:pPr>
            <w:r>
              <w:rPr>
                <w:rFonts w:ascii="Book Antiqua" w:hAnsi="Book Antiqua"/>
              </w:rPr>
              <w:t>0.02</w:t>
            </w:r>
          </w:p>
        </w:tc>
        <w:tc>
          <w:tcPr>
            <w:tcW w:w="556" w:type="pct"/>
            <w:shd w:val="clear" w:color="auto" w:fill="FFFFFF"/>
            <w:tcMar>
              <w:top w:w="72" w:type="dxa"/>
              <w:left w:w="144" w:type="dxa"/>
              <w:bottom w:w="72" w:type="dxa"/>
              <w:right w:w="144" w:type="dxa"/>
            </w:tcMar>
          </w:tcPr>
          <w:p w14:paraId="3F3E2A8C" w14:textId="77777777" w:rsidR="003D3BEE" w:rsidRDefault="00B212C7">
            <w:pPr>
              <w:spacing w:line="360" w:lineRule="auto"/>
              <w:jc w:val="both"/>
              <w:rPr>
                <w:rFonts w:ascii="Book Antiqua" w:hAnsi="Book Antiqua"/>
              </w:rPr>
            </w:pPr>
            <w:r>
              <w:rPr>
                <w:rFonts w:ascii="Book Antiqua" w:hAnsi="Book Antiqua"/>
              </w:rPr>
              <w:t>1.61</w:t>
            </w:r>
          </w:p>
        </w:tc>
        <w:tc>
          <w:tcPr>
            <w:tcW w:w="554" w:type="pct"/>
            <w:shd w:val="clear" w:color="auto" w:fill="FFFFFF"/>
            <w:tcMar>
              <w:top w:w="72" w:type="dxa"/>
              <w:left w:w="144" w:type="dxa"/>
              <w:bottom w:w="72" w:type="dxa"/>
              <w:right w:w="144" w:type="dxa"/>
            </w:tcMar>
          </w:tcPr>
          <w:p w14:paraId="4EF3131A" w14:textId="77777777" w:rsidR="003D3BEE" w:rsidRDefault="00B212C7">
            <w:pPr>
              <w:spacing w:line="360" w:lineRule="auto"/>
              <w:jc w:val="both"/>
              <w:rPr>
                <w:rFonts w:ascii="Book Antiqua" w:hAnsi="Book Antiqua"/>
              </w:rPr>
            </w:pPr>
            <w:r>
              <w:rPr>
                <w:rFonts w:ascii="Book Antiqua" w:hAnsi="Book Antiqua"/>
              </w:rPr>
              <w:t>1.18-2.19</w:t>
            </w:r>
          </w:p>
        </w:tc>
        <w:tc>
          <w:tcPr>
            <w:tcW w:w="555" w:type="pct"/>
            <w:shd w:val="clear" w:color="auto" w:fill="FFFFFF"/>
            <w:tcMar>
              <w:top w:w="72" w:type="dxa"/>
              <w:left w:w="144" w:type="dxa"/>
              <w:bottom w:w="72" w:type="dxa"/>
              <w:right w:w="144" w:type="dxa"/>
            </w:tcMar>
          </w:tcPr>
          <w:p w14:paraId="5E30A8E8" w14:textId="77777777" w:rsidR="003D3BEE" w:rsidRDefault="00B212C7">
            <w:pPr>
              <w:spacing w:line="360" w:lineRule="auto"/>
              <w:jc w:val="both"/>
              <w:rPr>
                <w:rFonts w:ascii="Book Antiqua" w:hAnsi="Book Antiqua"/>
              </w:rPr>
            </w:pPr>
            <w:r>
              <w:rPr>
                <w:rFonts w:ascii="Book Antiqua" w:hAnsi="Book Antiqua"/>
              </w:rPr>
              <w:t>&lt;</w:t>
            </w:r>
            <w:r>
              <w:rPr>
                <w:rFonts w:ascii="Book Antiqua" w:eastAsia="宋体" w:hAnsi="Book Antiqua"/>
                <w:lang w:eastAsia="zh-CN"/>
              </w:rPr>
              <w:t xml:space="preserve"> </w:t>
            </w:r>
            <w:r>
              <w:rPr>
                <w:rFonts w:ascii="Book Antiqua" w:hAnsi="Book Antiqua"/>
              </w:rPr>
              <w:t>0.01</w:t>
            </w:r>
          </w:p>
        </w:tc>
      </w:tr>
    </w:tbl>
    <w:p w14:paraId="45E27B5D" w14:textId="77777777" w:rsidR="003D3BEE" w:rsidRDefault="00B212C7">
      <w:pPr>
        <w:spacing w:line="360" w:lineRule="auto"/>
        <w:jc w:val="both"/>
        <w:rPr>
          <w:rFonts w:ascii="Book Antiqua" w:eastAsia="宋体" w:hAnsi="Book Antiqua"/>
          <w:lang w:eastAsia="zh-CN"/>
        </w:rPr>
      </w:pPr>
      <w:r>
        <w:rPr>
          <w:rFonts w:ascii="Book Antiqua" w:hAnsi="Book Antiqua"/>
        </w:rPr>
        <w:t xml:space="preserve">AFP: </w:t>
      </w:r>
      <w:r>
        <w:rPr>
          <w:rFonts w:ascii="Book Antiqua" w:eastAsia="宋体" w:hAnsi="Book Antiqua"/>
          <w:lang w:eastAsia="zh-CN"/>
        </w:rPr>
        <w:t>A</w:t>
      </w:r>
      <w:r>
        <w:rPr>
          <w:rFonts w:ascii="Book Antiqua" w:hAnsi="Book Antiqua"/>
        </w:rPr>
        <w:t xml:space="preserve">lpha fetoprotein; CH: </w:t>
      </w:r>
      <w:r>
        <w:rPr>
          <w:rFonts w:ascii="Book Antiqua" w:eastAsia="宋体" w:hAnsi="Book Antiqua"/>
          <w:lang w:eastAsia="zh-CN"/>
        </w:rPr>
        <w:t>C</w:t>
      </w:r>
      <w:r>
        <w:rPr>
          <w:rFonts w:ascii="Book Antiqua" w:hAnsi="Book Antiqua"/>
        </w:rPr>
        <w:t>hronic hepatitis; CI</w:t>
      </w:r>
      <w:r>
        <w:rPr>
          <w:rFonts w:ascii="Book Antiqua" w:eastAsia="宋体" w:hAnsi="Book Antiqua"/>
          <w:lang w:eastAsia="zh-CN"/>
        </w:rPr>
        <w:t>:</w:t>
      </w:r>
      <w:r>
        <w:rPr>
          <w:rFonts w:ascii="Book Antiqua" w:hAnsi="Book Antiqua"/>
        </w:rPr>
        <w:t xml:space="preserve"> </w:t>
      </w:r>
      <w:r>
        <w:rPr>
          <w:rFonts w:ascii="Book Antiqua" w:eastAsia="宋体" w:hAnsi="Book Antiqua"/>
          <w:lang w:eastAsia="zh-CN"/>
        </w:rPr>
        <w:t>C</w:t>
      </w:r>
      <w:r>
        <w:rPr>
          <w:rFonts w:ascii="Book Antiqua" w:hAnsi="Book Antiqua"/>
        </w:rPr>
        <w:t xml:space="preserve">onfidence interval; DAAs: </w:t>
      </w:r>
      <w:r>
        <w:rPr>
          <w:rFonts w:ascii="Book Antiqua" w:eastAsia="宋体" w:hAnsi="Book Antiqua"/>
          <w:lang w:eastAsia="zh-CN"/>
        </w:rPr>
        <w:t>D</w:t>
      </w:r>
      <w:r>
        <w:rPr>
          <w:rFonts w:ascii="Book Antiqua" w:hAnsi="Book Antiqua"/>
        </w:rPr>
        <w:t>irect-acting antivirals</w:t>
      </w:r>
      <w:r>
        <w:rPr>
          <w:rFonts w:ascii="Book Antiqua" w:eastAsia="宋体" w:hAnsi="Book Antiqua"/>
          <w:lang w:eastAsia="zh-CN"/>
        </w:rPr>
        <w:t xml:space="preserve">; </w:t>
      </w:r>
      <w:r>
        <w:rPr>
          <w:rFonts w:ascii="Book Antiqua" w:hAnsi="Book Antiqua"/>
        </w:rPr>
        <w:t xml:space="preserve">EOT: </w:t>
      </w:r>
      <w:r>
        <w:rPr>
          <w:rFonts w:ascii="Book Antiqua" w:eastAsia="宋体" w:hAnsi="Book Antiqua"/>
          <w:lang w:eastAsia="zh-CN"/>
        </w:rPr>
        <w:t>E</w:t>
      </w:r>
      <w:r>
        <w:rPr>
          <w:rFonts w:ascii="Book Antiqua" w:hAnsi="Book Antiqua"/>
        </w:rPr>
        <w:t xml:space="preserve">nd of treatment; HCC: </w:t>
      </w:r>
      <w:r>
        <w:rPr>
          <w:rFonts w:ascii="Book Antiqua" w:eastAsia="宋体" w:hAnsi="Book Antiqua"/>
          <w:lang w:eastAsia="zh-CN"/>
        </w:rPr>
        <w:t>H</w:t>
      </w:r>
      <w:r>
        <w:rPr>
          <w:rFonts w:ascii="Book Antiqua" w:hAnsi="Book Antiqua"/>
        </w:rPr>
        <w:t xml:space="preserve">epatocellular carcinoma; HR: </w:t>
      </w:r>
      <w:r>
        <w:rPr>
          <w:rFonts w:ascii="Book Antiqua" w:eastAsia="宋体" w:hAnsi="Book Antiqua"/>
          <w:lang w:eastAsia="zh-CN"/>
        </w:rPr>
        <w:t>H</w:t>
      </w:r>
      <w:r>
        <w:rPr>
          <w:rFonts w:ascii="Book Antiqua" w:hAnsi="Book Antiqua"/>
        </w:rPr>
        <w:t xml:space="preserve">azard ratio; LC: </w:t>
      </w:r>
      <w:r>
        <w:rPr>
          <w:rFonts w:ascii="Book Antiqua" w:eastAsia="宋体" w:hAnsi="Book Antiqua"/>
          <w:lang w:eastAsia="zh-CN"/>
        </w:rPr>
        <w:t>L</w:t>
      </w:r>
      <w:r>
        <w:rPr>
          <w:rFonts w:ascii="Book Antiqua" w:hAnsi="Book Antiqua"/>
        </w:rPr>
        <w:t xml:space="preserve">iver cirrhosis; SVR: </w:t>
      </w:r>
      <w:r>
        <w:rPr>
          <w:rFonts w:ascii="Book Antiqua" w:eastAsia="宋体" w:hAnsi="Book Antiqua"/>
          <w:lang w:eastAsia="zh-CN"/>
        </w:rPr>
        <w:t>S</w:t>
      </w:r>
      <w:r>
        <w:rPr>
          <w:rFonts w:ascii="Book Antiqua" w:hAnsi="Book Antiqua"/>
        </w:rPr>
        <w:t>ustained viral response.</w:t>
      </w:r>
    </w:p>
    <w:p w14:paraId="1CA37A20" w14:textId="110543AB" w:rsidR="00356163" w:rsidRDefault="00356163">
      <w:pPr>
        <w:spacing w:line="360" w:lineRule="auto"/>
        <w:jc w:val="both"/>
        <w:rPr>
          <w:rFonts w:ascii="Book Antiqua" w:eastAsia="宋体" w:hAnsi="Book Antiqua"/>
          <w:lang w:eastAsia="zh-CN"/>
        </w:rPr>
      </w:pPr>
    </w:p>
    <w:p w14:paraId="1201AB80" w14:textId="77777777" w:rsidR="00356163" w:rsidRDefault="00356163">
      <w:pPr>
        <w:rPr>
          <w:rFonts w:ascii="Book Antiqua" w:eastAsia="宋体" w:hAnsi="Book Antiqua"/>
          <w:lang w:eastAsia="zh-CN"/>
        </w:rPr>
      </w:pPr>
      <w:r>
        <w:rPr>
          <w:rFonts w:ascii="Book Antiqua" w:eastAsia="宋体" w:hAnsi="Book Antiqua"/>
          <w:lang w:eastAsia="zh-CN"/>
        </w:rPr>
        <w:br w:type="page"/>
      </w:r>
    </w:p>
    <w:p w14:paraId="651CFFB3" w14:textId="77777777" w:rsidR="00356163" w:rsidRDefault="00356163" w:rsidP="00356163">
      <w:pPr>
        <w:snapToGrid w:val="0"/>
        <w:ind w:leftChars="100" w:left="240"/>
        <w:jc w:val="center"/>
        <w:rPr>
          <w:rFonts w:ascii="Book Antiqua" w:hAnsi="Book Antiqua"/>
        </w:rPr>
      </w:pPr>
    </w:p>
    <w:p w14:paraId="248A6AB1" w14:textId="77777777" w:rsidR="00356163" w:rsidRDefault="00356163" w:rsidP="00356163">
      <w:pPr>
        <w:snapToGrid w:val="0"/>
        <w:ind w:leftChars="100" w:left="240"/>
        <w:jc w:val="center"/>
        <w:rPr>
          <w:rFonts w:ascii="Book Antiqua" w:hAnsi="Book Antiqua"/>
        </w:rPr>
      </w:pPr>
    </w:p>
    <w:p w14:paraId="6D2BDB05" w14:textId="77777777" w:rsidR="00356163" w:rsidRDefault="00356163" w:rsidP="00356163">
      <w:pPr>
        <w:snapToGrid w:val="0"/>
        <w:ind w:leftChars="100" w:left="240"/>
        <w:jc w:val="center"/>
        <w:rPr>
          <w:rFonts w:ascii="Book Antiqua" w:hAnsi="Book Antiqua"/>
        </w:rPr>
      </w:pPr>
    </w:p>
    <w:p w14:paraId="467E3D09" w14:textId="77777777" w:rsidR="00356163" w:rsidRDefault="00356163" w:rsidP="00356163">
      <w:pPr>
        <w:snapToGrid w:val="0"/>
        <w:ind w:leftChars="100" w:left="240"/>
        <w:jc w:val="center"/>
        <w:rPr>
          <w:rFonts w:ascii="Book Antiqua" w:hAnsi="Book Antiqua"/>
        </w:rPr>
      </w:pPr>
    </w:p>
    <w:p w14:paraId="73F86399" w14:textId="77777777" w:rsidR="00356163" w:rsidRDefault="00356163" w:rsidP="00356163">
      <w:pPr>
        <w:snapToGrid w:val="0"/>
        <w:ind w:leftChars="100" w:left="240"/>
        <w:jc w:val="center"/>
        <w:rPr>
          <w:rFonts w:ascii="Book Antiqua" w:hAnsi="Book Antiqua"/>
        </w:rPr>
      </w:pPr>
      <w:r>
        <w:rPr>
          <w:rFonts w:ascii="Book Antiqua" w:hAnsi="Book Antiqua"/>
          <w:noProof/>
        </w:rPr>
        <w:drawing>
          <wp:inline distT="0" distB="0" distL="0" distR="0" wp14:anchorId="451CEC4E" wp14:editId="01A255C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11E2EA" w14:textId="77777777" w:rsidR="00356163" w:rsidRDefault="00356163" w:rsidP="00356163">
      <w:pPr>
        <w:snapToGrid w:val="0"/>
        <w:ind w:leftChars="100" w:left="240"/>
        <w:jc w:val="center"/>
        <w:rPr>
          <w:rFonts w:ascii="Book Antiqua" w:hAnsi="Book Antiqua"/>
        </w:rPr>
      </w:pPr>
    </w:p>
    <w:p w14:paraId="183AE814" w14:textId="77777777" w:rsidR="00356163" w:rsidRDefault="00356163" w:rsidP="0035616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E5FC2B" w14:textId="77777777" w:rsidR="00356163" w:rsidRDefault="00356163" w:rsidP="003561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07BA3D" w14:textId="77777777" w:rsidR="00356163" w:rsidRDefault="00356163" w:rsidP="003561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808DFA" w14:textId="77777777" w:rsidR="00356163" w:rsidRDefault="00356163" w:rsidP="003561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D3852B" w14:textId="77777777" w:rsidR="00356163" w:rsidRDefault="00356163" w:rsidP="003561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A871D3" w14:textId="77777777" w:rsidR="00356163" w:rsidRDefault="00356163" w:rsidP="0035616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239620" w14:textId="77777777" w:rsidR="00356163" w:rsidRDefault="00356163" w:rsidP="00356163">
      <w:pPr>
        <w:snapToGrid w:val="0"/>
        <w:ind w:leftChars="100" w:left="240"/>
        <w:jc w:val="center"/>
        <w:rPr>
          <w:rFonts w:ascii="Book Antiqua" w:hAnsi="Book Antiqua"/>
        </w:rPr>
      </w:pPr>
    </w:p>
    <w:p w14:paraId="234327D0" w14:textId="77777777" w:rsidR="00356163" w:rsidRDefault="00356163" w:rsidP="00356163">
      <w:pPr>
        <w:snapToGrid w:val="0"/>
        <w:ind w:leftChars="100" w:left="240"/>
        <w:jc w:val="center"/>
        <w:rPr>
          <w:rFonts w:ascii="Book Antiqua" w:hAnsi="Book Antiqua"/>
        </w:rPr>
      </w:pPr>
    </w:p>
    <w:p w14:paraId="625B1666" w14:textId="77777777" w:rsidR="00356163" w:rsidRDefault="00356163" w:rsidP="00356163">
      <w:pPr>
        <w:snapToGrid w:val="0"/>
        <w:ind w:leftChars="100" w:left="240"/>
        <w:jc w:val="center"/>
        <w:rPr>
          <w:rFonts w:ascii="Book Antiqua" w:hAnsi="Book Antiqua"/>
        </w:rPr>
      </w:pPr>
    </w:p>
    <w:p w14:paraId="5B773DF7" w14:textId="77777777" w:rsidR="00356163" w:rsidRDefault="00356163" w:rsidP="00356163">
      <w:pPr>
        <w:snapToGrid w:val="0"/>
        <w:ind w:leftChars="100" w:left="240"/>
        <w:jc w:val="center"/>
        <w:rPr>
          <w:rFonts w:ascii="Book Antiqua" w:hAnsi="Book Antiqua"/>
        </w:rPr>
      </w:pPr>
      <w:r>
        <w:rPr>
          <w:rFonts w:ascii="Book Antiqua" w:hAnsi="Book Antiqua"/>
          <w:noProof/>
        </w:rPr>
        <w:drawing>
          <wp:inline distT="0" distB="0" distL="0" distR="0" wp14:anchorId="4BC0E31F" wp14:editId="41D5E8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9110B0" w14:textId="77777777" w:rsidR="00356163" w:rsidRDefault="00356163" w:rsidP="00356163">
      <w:pPr>
        <w:snapToGrid w:val="0"/>
        <w:ind w:leftChars="100" w:left="240"/>
        <w:jc w:val="center"/>
        <w:rPr>
          <w:rFonts w:ascii="Book Antiqua" w:hAnsi="Book Antiqua"/>
        </w:rPr>
      </w:pPr>
    </w:p>
    <w:p w14:paraId="4039EF41" w14:textId="77777777" w:rsidR="00356163" w:rsidRDefault="00356163" w:rsidP="00356163">
      <w:pPr>
        <w:snapToGrid w:val="0"/>
        <w:ind w:leftChars="100" w:left="240"/>
        <w:jc w:val="center"/>
        <w:rPr>
          <w:rFonts w:ascii="Book Antiqua" w:hAnsi="Book Antiqua"/>
        </w:rPr>
      </w:pPr>
    </w:p>
    <w:p w14:paraId="099C56C0" w14:textId="77777777" w:rsidR="00356163" w:rsidRDefault="00356163" w:rsidP="00356163">
      <w:pPr>
        <w:snapToGrid w:val="0"/>
        <w:ind w:leftChars="100" w:left="240"/>
        <w:jc w:val="center"/>
        <w:rPr>
          <w:rFonts w:ascii="Book Antiqua" w:hAnsi="Book Antiqua"/>
        </w:rPr>
      </w:pPr>
    </w:p>
    <w:p w14:paraId="4DB8B7D3" w14:textId="77777777" w:rsidR="00356163" w:rsidRDefault="00356163" w:rsidP="00356163">
      <w:pPr>
        <w:snapToGrid w:val="0"/>
        <w:ind w:leftChars="100" w:left="240"/>
        <w:jc w:val="center"/>
        <w:rPr>
          <w:rFonts w:ascii="Book Antiqua" w:hAnsi="Book Antiqua"/>
        </w:rPr>
      </w:pPr>
    </w:p>
    <w:p w14:paraId="4270FCB5" w14:textId="77777777" w:rsidR="00356163" w:rsidRDefault="00356163" w:rsidP="00356163">
      <w:pPr>
        <w:snapToGrid w:val="0"/>
        <w:ind w:leftChars="100" w:left="240"/>
        <w:jc w:val="center"/>
        <w:rPr>
          <w:rFonts w:ascii="Book Antiqua" w:hAnsi="Book Antiqua"/>
        </w:rPr>
      </w:pPr>
    </w:p>
    <w:p w14:paraId="039B8A8B" w14:textId="77777777" w:rsidR="00356163" w:rsidRDefault="00356163" w:rsidP="00356163">
      <w:pPr>
        <w:snapToGrid w:val="0"/>
        <w:ind w:leftChars="100" w:left="240"/>
        <w:jc w:val="center"/>
        <w:rPr>
          <w:rFonts w:ascii="Book Antiqua" w:hAnsi="Book Antiqua"/>
        </w:rPr>
      </w:pPr>
    </w:p>
    <w:p w14:paraId="011EA15C" w14:textId="77777777" w:rsidR="00356163" w:rsidRDefault="00356163" w:rsidP="00356163">
      <w:pPr>
        <w:snapToGrid w:val="0"/>
        <w:ind w:leftChars="100" w:left="240"/>
        <w:jc w:val="center"/>
        <w:rPr>
          <w:rFonts w:ascii="Book Antiqua" w:hAnsi="Book Antiqua"/>
        </w:rPr>
      </w:pPr>
    </w:p>
    <w:p w14:paraId="0F20F601" w14:textId="77777777" w:rsidR="00356163" w:rsidRDefault="00356163" w:rsidP="00356163">
      <w:pPr>
        <w:snapToGrid w:val="0"/>
        <w:ind w:leftChars="100" w:left="240"/>
        <w:jc w:val="center"/>
        <w:rPr>
          <w:rFonts w:ascii="Book Antiqua" w:hAnsi="Book Antiqua"/>
        </w:rPr>
      </w:pPr>
    </w:p>
    <w:p w14:paraId="7E8A44F3" w14:textId="77777777" w:rsidR="00356163" w:rsidRDefault="00356163" w:rsidP="00356163">
      <w:pPr>
        <w:snapToGrid w:val="0"/>
        <w:ind w:leftChars="100" w:left="240"/>
        <w:jc w:val="center"/>
        <w:rPr>
          <w:rFonts w:ascii="Book Antiqua" w:hAnsi="Book Antiqua"/>
        </w:rPr>
      </w:pPr>
    </w:p>
    <w:p w14:paraId="198419A6" w14:textId="77777777" w:rsidR="00356163" w:rsidRDefault="00356163" w:rsidP="00356163">
      <w:pPr>
        <w:snapToGrid w:val="0"/>
        <w:ind w:leftChars="100" w:left="240"/>
        <w:jc w:val="right"/>
        <w:rPr>
          <w:rFonts w:ascii="Book Antiqua" w:hAnsi="Book Antiqua"/>
          <w:color w:val="000000" w:themeColor="text1"/>
        </w:rPr>
      </w:pPr>
    </w:p>
    <w:p w14:paraId="7BD8BECE" w14:textId="77777777" w:rsidR="00356163" w:rsidRDefault="00356163" w:rsidP="0035616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45E4EE3" w14:textId="77777777" w:rsidR="003D3BEE" w:rsidRPr="00356163" w:rsidRDefault="003D3BEE">
      <w:pPr>
        <w:spacing w:line="360" w:lineRule="auto"/>
        <w:jc w:val="both"/>
        <w:rPr>
          <w:rFonts w:ascii="Book Antiqua" w:eastAsia="宋体" w:hAnsi="Book Antiqua"/>
          <w:lang w:eastAsia="zh-CN"/>
        </w:rPr>
      </w:pPr>
    </w:p>
    <w:sectPr w:rsidR="003D3BEE" w:rsidRPr="00356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3FC6" w14:textId="77777777" w:rsidR="00C27C2A" w:rsidRDefault="00C27C2A">
      <w:r>
        <w:separator/>
      </w:r>
    </w:p>
  </w:endnote>
  <w:endnote w:type="continuationSeparator" w:id="0">
    <w:p w14:paraId="697DF17D" w14:textId="77777777" w:rsidR="00C27C2A" w:rsidRDefault="00C2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59153"/>
      <w:docPartObj>
        <w:docPartGallery w:val="AutoText"/>
      </w:docPartObj>
    </w:sdtPr>
    <w:sdtEndPr>
      <w:rPr>
        <w:rFonts w:ascii="Book Antiqua" w:hAnsi="Book Antiqua"/>
      </w:rPr>
    </w:sdtEndPr>
    <w:sdtContent>
      <w:sdt>
        <w:sdtPr>
          <w:id w:val="860082579"/>
          <w:docPartObj>
            <w:docPartGallery w:val="AutoText"/>
          </w:docPartObj>
        </w:sdtPr>
        <w:sdtEndPr>
          <w:rPr>
            <w:rFonts w:ascii="Book Antiqua" w:hAnsi="Book Antiqua"/>
          </w:rPr>
        </w:sdtEndPr>
        <w:sdtContent>
          <w:p w14:paraId="27ADB49E" w14:textId="77777777" w:rsidR="003D3BEE" w:rsidRDefault="00B212C7">
            <w:pPr>
              <w:pStyle w:val="a5"/>
              <w:jc w:val="right"/>
              <w:rPr>
                <w:rFonts w:ascii="Book Antiqua" w:hAnsi="Book Antiqua"/>
              </w:rPr>
            </w:pPr>
            <w:r>
              <w:rPr>
                <w:rFonts w:ascii="Book Antiqua" w:hAnsi="Book Antiqua"/>
                <w:lang w:val="zh-CN" w:eastAsia="zh-CN"/>
              </w:rPr>
              <w:t xml:space="preserve"> </w:t>
            </w:r>
            <w:r>
              <w:rPr>
                <w:rFonts w:ascii="Book Antiqua" w:hAnsi="Book Antiqua"/>
              </w:rPr>
              <w:fldChar w:fldCharType="begin"/>
            </w:r>
            <w:r>
              <w:rPr>
                <w:rFonts w:ascii="Book Antiqua" w:hAnsi="Book Antiqua"/>
              </w:rPr>
              <w:instrText>PAGE</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w:instrText>
            </w:r>
            <w:r>
              <w:rPr>
                <w:rFonts w:ascii="Book Antiqua" w:hAnsi="Book Antiqua"/>
              </w:rPr>
              <w:fldChar w:fldCharType="separate"/>
            </w:r>
            <w:r>
              <w:rPr>
                <w:rFonts w:ascii="Book Antiqua" w:hAnsi="Book Antiqua"/>
              </w:rPr>
              <w:t>27</w:t>
            </w:r>
            <w:r>
              <w:rPr>
                <w:rFonts w:ascii="Book Antiqua" w:hAnsi="Book Antiqua"/>
              </w:rPr>
              <w:fldChar w:fldCharType="end"/>
            </w:r>
          </w:p>
        </w:sdtContent>
      </w:sdt>
    </w:sdtContent>
  </w:sdt>
  <w:p w14:paraId="4DF6CA32" w14:textId="77777777" w:rsidR="003D3BEE" w:rsidRDefault="003D3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B84D" w14:textId="77777777" w:rsidR="00C27C2A" w:rsidRDefault="00C27C2A">
      <w:r>
        <w:separator/>
      </w:r>
    </w:p>
  </w:footnote>
  <w:footnote w:type="continuationSeparator" w:id="0">
    <w:p w14:paraId="0F3EB0A2" w14:textId="77777777" w:rsidR="00C27C2A" w:rsidRDefault="00C2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27BCF"/>
    <w:rsid w:val="00032BE8"/>
    <w:rsid w:val="00040F7B"/>
    <w:rsid w:val="0005282B"/>
    <w:rsid w:val="00063FDC"/>
    <w:rsid w:val="0006505D"/>
    <w:rsid w:val="00097E21"/>
    <w:rsid w:val="000B2D61"/>
    <w:rsid w:val="000C01D2"/>
    <w:rsid w:val="000F1942"/>
    <w:rsid w:val="000F4296"/>
    <w:rsid w:val="00136D19"/>
    <w:rsid w:val="00197723"/>
    <w:rsid w:val="001A1D20"/>
    <w:rsid w:val="001C3D79"/>
    <w:rsid w:val="001C41A1"/>
    <w:rsid w:val="001C44F7"/>
    <w:rsid w:val="001C6F38"/>
    <w:rsid w:val="001F1AA4"/>
    <w:rsid w:val="001F2508"/>
    <w:rsid w:val="00217445"/>
    <w:rsid w:val="002502CA"/>
    <w:rsid w:val="00270AEE"/>
    <w:rsid w:val="00283BD8"/>
    <w:rsid w:val="00291B96"/>
    <w:rsid w:val="002C4540"/>
    <w:rsid w:val="002E4537"/>
    <w:rsid w:val="002F1323"/>
    <w:rsid w:val="002F4EB7"/>
    <w:rsid w:val="00356163"/>
    <w:rsid w:val="003638B3"/>
    <w:rsid w:val="00374110"/>
    <w:rsid w:val="00391FEF"/>
    <w:rsid w:val="003C06A3"/>
    <w:rsid w:val="003C7BC5"/>
    <w:rsid w:val="003D1280"/>
    <w:rsid w:val="003D3BEE"/>
    <w:rsid w:val="003E1CAF"/>
    <w:rsid w:val="003F238B"/>
    <w:rsid w:val="0041439A"/>
    <w:rsid w:val="004247BC"/>
    <w:rsid w:val="00435AAA"/>
    <w:rsid w:val="00437A02"/>
    <w:rsid w:val="00447434"/>
    <w:rsid w:val="00472BCC"/>
    <w:rsid w:val="0048578D"/>
    <w:rsid w:val="004927B0"/>
    <w:rsid w:val="004D108A"/>
    <w:rsid w:val="004E7246"/>
    <w:rsid w:val="004F04E4"/>
    <w:rsid w:val="00513E78"/>
    <w:rsid w:val="005150E5"/>
    <w:rsid w:val="00524AC2"/>
    <w:rsid w:val="00550294"/>
    <w:rsid w:val="00555AED"/>
    <w:rsid w:val="0055749B"/>
    <w:rsid w:val="005748AE"/>
    <w:rsid w:val="0058021A"/>
    <w:rsid w:val="005808CE"/>
    <w:rsid w:val="0059061B"/>
    <w:rsid w:val="005B01A2"/>
    <w:rsid w:val="005C106D"/>
    <w:rsid w:val="005D50B8"/>
    <w:rsid w:val="005E03FC"/>
    <w:rsid w:val="005F0FDC"/>
    <w:rsid w:val="005F23ED"/>
    <w:rsid w:val="005F2E5E"/>
    <w:rsid w:val="00607CE3"/>
    <w:rsid w:val="006108F4"/>
    <w:rsid w:val="00632284"/>
    <w:rsid w:val="00642768"/>
    <w:rsid w:val="0065356C"/>
    <w:rsid w:val="00671423"/>
    <w:rsid w:val="00684D0B"/>
    <w:rsid w:val="00693001"/>
    <w:rsid w:val="006B09A9"/>
    <w:rsid w:val="006B62F7"/>
    <w:rsid w:val="006C52CF"/>
    <w:rsid w:val="006E23B0"/>
    <w:rsid w:val="006E4937"/>
    <w:rsid w:val="00730112"/>
    <w:rsid w:val="00736C3F"/>
    <w:rsid w:val="0074203C"/>
    <w:rsid w:val="00772093"/>
    <w:rsid w:val="007747D3"/>
    <w:rsid w:val="00783A47"/>
    <w:rsid w:val="007A56B4"/>
    <w:rsid w:val="007B1B33"/>
    <w:rsid w:val="007D3EC3"/>
    <w:rsid w:val="007D5D38"/>
    <w:rsid w:val="007E2D6D"/>
    <w:rsid w:val="00820604"/>
    <w:rsid w:val="008230F3"/>
    <w:rsid w:val="00836586"/>
    <w:rsid w:val="008639D7"/>
    <w:rsid w:val="0086665C"/>
    <w:rsid w:val="008808DE"/>
    <w:rsid w:val="00894E43"/>
    <w:rsid w:val="008B02B2"/>
    <w:rsid w:val="008B0F4A"/>
    <w:rsid w:val="008C198C"/>
    <w:rsid w:val="008C79FD"/>
    <w:rsid w:val="008E5460"/>
    <w:rsid w:val="009117C4"/>
    <w:rsid w:val="00931BFB"/>
    <w:rsid w:val="00972775"/>
    <w:rsid w:val="009A7F8A"/>
    <w:rsid w:val="009B56A5"/>
    <w:rsid w:val="00A22931"/>
    <w:rsid w:val="00A23A07"/>
    <w:rsid w:val="00A30B60"/>
    <w:rsid w:val="00A45010"/>
    <w:rsid w:val="00A52642"/>
    <w:rsid w:val="00A75EE6"/>
    <w:rsid w:val="00A77B3E"/>
    <w:rsid w:val="00AA0C84"/>
    <w:rsid w:val="00AA5122"/>
    <w:rsid w:val="00AB3EEF"/>
    <w:rsid w:val="00AB5B9A"/>
    <w:rsid w:val="00AC1FE1"/>
    <w:rsid w:val="00AD16F9"/>
    <w:rsid w:val="00AF7753"/>
    <w:rsid w:val="00B06293"/>
    <w:rsid w:val="00B212C7"/>
    <w:rsid w:val="00B2328A"/>
    <w:rsid w:val="00B25B52"/>
    <w:rsid w:val="00B30AE3"/>
    <w:rsid w:val="00B372AA"/>
    <w:rsid w:val="00B4662C"/>
    <w:rsid w:val="00B608D8"/>
    <w:rsid w:val="00B84631"/>
    <w:rsid w:val="00B8767E"/>
    <w:rsid w:val="00B936A6"/>
    <w:rsid w:val="00BC0ADE"/>
    <w:rsid w:val="00BD3447"/>
    <w:rsid w:val="00BE3BB2"/>
    <w:rsid w:val="00BF2ECC"/>
    <w:rsid w:val="00BF4C1D"/>
    <w:rsid w:val="00BF524D"/>
    <w:rsid w:val="00BF53C4"/>
    <w:rsid w:val="00C25BC7"/>
    <w:rsid w:val="00C27C2A"/>
    <w:rsid w:val="00C3026E"/>
    <w:rsid w:val="00C34C0A"/>
    <w:rsid w:val="00C368AA"/>
    <w:rsid w:val="00C42E95"/>
    <w:rsid w:val="00C50AAF"/>
    <w:rsid w:val="00C75EEB"/>
    <w:rsid w:val="00C85A22"/>
    <w:rsid w:val="00CA2A55"/>
    <w:rsid w:val="00CB5B89"/>
    <w:rsid w:val="00CC1933"/>
    <w:rsid w:val="00CC5982"/>
    <w:rsid w:val="00CD7453"/>
    <w:rsid w:val="00CE670B"/>
    <w:rsid w:val="00CF0E94"/>
    <w:rsid w:val="00CF54C0"/>
    <w:rsid w:val="00D118C6"/>
    <w:rsid w:val="00D22B5D"/>
    <w:rsid w:val="00D317F9"/>
    <w:rsid w:val="00D35F5A"/>
    <w:rsid w:val="00D36F16"/>
    <w:rsid w:val="00D90E28"/>
    <w:rsid w:val="00DA52E8"/>
    <w:rsid w:val="00DD3B62"/>
    <w:rsid w:val="00DD6692"/>
    <w:rsid w:val="00DF2494"/>
    <w:rsid w:val="00E216AD"/>
    <w:rsid w:val="00E36E5E"/>
    <w:rsid w:val="00E44D99"/>
    <w:rsid w:val="00E51D5B"/>
    <w:rsid w:val="00E65E06"/>
    <w:rsid w:val="00E95705"/>
    <w:rsid w:val="00EA0BBB"/>
    <w:rsid w:val="00EA7EA3"/>
    <w:rsid w:val="00EC4DB5"/>
    <w:rsid w:val="00EC592C"/>
    <w:rsid w:val="00ED30E5"/>
    <w:rsid w:val="00EF6B05"/>
    <w:rsid w:val="00EF7AED"/>
    <w:rsid w:val="00F01BB7"/>
    <w:rsid w:val="00F125F5"/>
    <w:rsid w:val="00F137DF"/>
    <w:rsid w:val="00F2303F"/>
    <w:rsid w:val="00F3470C"/>
    <w:rsid w:val="00F36B7D"/>
    <w:rsid w:val="00FA70B7"/>
    <w:rsid w:val="00FB5F77"/>
    <w:rsid w:val="00FD3CC6"/>
    <w:rsid w:val="00FD4370"/>
    <w:rsid w:val="00FE5E33"/>
    <w:rsid w:val="6870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CE4C5"/>
  <w15:docId w15:val="{966C52DF-B180-4FF5-8C46-69BD004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nhideWhenUsed/>
    <w:qFormat/>
    <w:pPr>
      <w:tabs>
        <w:tab w:val="center" w:pos="4252"/>
        <w:tab w:val="right" w:pos="8504"/>
      </w:tabs>
      <w:snapToGrid w:val="0"/>
    </w:p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4">
    <w:name w:val="批注框文本 字符"/>
    <w:basedOn w:val="a0"/>
    <w:link w:val="a3"/>
    <w:qFormat/>
    <w:rPr>
      <w:rFonts w:ascii="Tahoma" w:hAnsi="Tahoma" w:cs="Tahoma"/>
      <w:sz w:val="16"/>
      <w:szCs w:val="16"/>
    </w:rPr>
  </w:style>
  <w:style w:type="character" w:customStyle="1" w:styleId="a8">
    <w:name w:val="页眉 字符"/>
    <w:basedOn w:val="a0"/>
    <w:link w:val="a7"/>
    <w:qFormat/>
    <w:rPr>
      <w:sz w:val="24"/>
      <w:szCs w:val="24"/>
    </w:rPr>
  </w:style>
  <w:style w:type="character" w:customStyle="1" w:styleId="a6">
    <w:name w:val="页脚 字符"/>
    <w:basedOn w:val="a0"/>
    <w:link w:val="a5"/>
    <w:uiPriority w:val="99"/>
    <w:qFormat/>
    <w:rPr>
      <w:sz w:val="24"/>
      <w:szCs w:val="24"/>
    </w:rPr>
  </w:style>
  <w:style w:type="character" w:customStyle="1" w:styleId="q4iawc">
    <w:name w:val="q4iawc"/>
    <w:basedOn w:val="a0"/>
    <w:qFormat/>
  </w:style>
  <w:style w:type="paragraph" w:customStyle="1" w:styleId="1">
    <w:name w:val="修订1"/>
    <w:hidden/>
    <w:uiPriority w:val="99"/>
    <w:semiHidden/>
    <w:qFormat/>
    <w:rPr>
      <w:sz w:val="24"/>
      <w:szCs w:val="24"/>
      <w:lang w:eastAsia="en-US"/>
    </w:rPr>
  </w:style>
  <w:style w:type="character" w:styleId="aa">
    <w:name w:val="Hyperlink"/>
    <w:basedOn w:val="a0"/>
    <w:unhideWhenUsed/>
    <w:rsid w:val="00AA0C84"/>
    <w:rPr>
      <w:color w:val="0000FF" w:themeColor="hyperlink"/>
      <w:u w:val="single"/>
    </w:rPr>
  </w:style>
  <w:style w:type="character" w:styleId="ab">
    <w:name w:val="Unresolved Mention"/>
    <w:basedOn w:val="a0"/>
    <w:uiPriority w:val="99"/>
    <w:semiHidden/>
    <w:unhideWhenUsed/>
    <w:rsid w:val="00AA0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8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6/119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7C9F-DA40-48F1-80FC-AAB96E84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6294</Words>
  <Characters>35880</Characters>
  <Application>Microsoft Office Word</Application>
  <DocSecurity>0</DocSecurity>
  <Lines>299</Lines>
  <Paragraphs>84</Paragraphs>
  <ScaleCrop>false</ScaleCrop>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DAPICS</dc:creator>
  <cp:lastModifiedBy>wdm</cp:lastModifiedBy>
  <cp:revision>6</cp:revision>
  <dcterms:created xsi:type="dcterms:W3CDTF">2022-05-28T02:52:00Z</dcterms:created>
  <dcterms:modified xsi:type="dcterms:W3CDTF">2022-06-23T11:05:00Z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9FC912ED56A14612ABE887F74D48E008</vt:lpwstr>
  </property>
</Properties>
</file>