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246BE" w14:textId="77777777" w:rsidR="00723895" w:rsidRDefault="00000000">
      <w:pPr>
        <w:wordWrap/>
        <w:spacing w:after="0" w:line="360" w:lineRule="auto"/>
        <w:rPr>
          <w:rFonts w:ascii="Book Antiqua" w:hAnsi="Book Antiqua" w:cs="Arial"/>
          <w:b/>
          <w:bCs/>
          <w:sz w:val="24"/>
          <w:szCs w:val="24"/>
        </w:rPr>
      </w:pPr>
      <w:r>
        <w:rPr>
          <w:rFonts w:ascii="Book Antiqua" w:hAnsi="Book Antiqua" w:cs="Arial"/>
          <w:b/>
          <w:bCs/>
          <w:sz w:val="24"/>
          <w:szCs w:val="24"/>
        </w:rPr>
        <w:t xml:space="preserve">Name of journal: </w:t>
      </w:r>
      <w:r>
        <w:rPr>
          <w:rFonts w:ascii="Book Antiqua" w:hAnsi="Book Antiqua" w:cs="Arial"/>
          <w:bCs/>
          <w:i/>
          <w:iCs/>
          <w:sz w:val="24"/>
          <w:szCs w:val="24"/>
        </w:rPr>
        <w:t>World Journal of Clinical Cases</w:t>
      </w:r>
    </w:p>
    <w:p w14:paraId="7510A92F" w14:textId="77777777" w:rsidR="00723895" w:rsidRDefault="00000000">
      <w:pPr>
        <w:wordWrap/>
        <w:adjustRightInd w:val="0"/>
        <w:spacing w:after="0" w:line="360" w:lineRule="auto"/>
        <w:rPr>
          <w:rFonts w:ascii="Book Antiqua" w:hAnsi="Book Antiqua" w:cs="ArialNarrow-BoldItalic"/>
          <w:kern w:val="0"/>
          <w:sz w:val="24"/>
          <w:szCs w:val="24"/>
        </w:rPr>
      </w:pPr>
      <w:r>
        <w:rPr>
          <w:rFonts w:ascii="Book Antiqua" w:hAnsi="Book Antiqua" w:cs="Arial"/>
          <w:b/>
          <w:bCs/>
          <w:sz w:val="24"/>
          <w:szCs w:val="24"/>
        </w:rPr>
        <w:t xml:space="preserve">Manuscript NO: </w:t>
      </w:r>
      <w:r>
        <w:rPr>
          <w:rFonts w:ascii="Book Antiqua" w:hAnsi="Book Antiqua" w:cs="Arial"/>
          <w:bCs/>
          <w:sz w:val="24"/>
          <w:szCs w:val="24"/>
        </w:rPr>
        <w:t>74958</w:t>
      </w:r>
    </w:p>
    <w:p w14:paraId="1B3758D4" w14:textId="77777777" w:rsidR="00723895" w:rsidRDefault="00000000">
      <w:pPr>
        <w:wordWrap/>
        <w:spacing w:after="0" w:line="360" w:lineRule="auto"/>
        <w:rPr>
          <w:rFonts w:ascii="Book Antiqua" w:hAnsi="Book Antiqua" w:cs="Times New Roman"/>
          <w:sz w:val="24"/>
          <w:szCs w:val="24"/>
        </w:rPr>
      </w:pPr>
      <w:r>
        <w:rPr>
          <w:rFonts w:ascii="Book Antiqua" w:hAnsi="Book Antiqua" w:cs="Arial"/>
          <w:b/>
          <w:bCs/>
          <w:sz w:val="24"/>
          <w:szCs w:val="24"/>
        </w:rPr>
        <w:t>Manuscript Type:</w:t>
      </w:r>
      <w:r>
        <w:rPr>
          <w:rFonts w:ascii="Book Antiqua" w:hAnsi="Book Antiqua" w:cs="Arial"/>
          <w:bCs/>
          <w:sz w:val="24"/>
          <w:szCs w:val="24"/>
        </w:rPr>
        <w:t xml:space="preserve"> CASE REPORT</w:t>
      </w:r>
    </w:p>
    <w:p w14:paraId="35578506" w14:textId="77777777" w:rsidR="00723895" w:rsidRDefault="00723895">
      <w:pPr>
        <w:wordWrap/>
        <w:spacing w:after="0" w:line="360" w:lineRule="auto"/>
        <w:rPr>
          <w:rFonts w:ascii="Book Antiqua" w:hAnsi="Book Antiqua" w:cs="Times New Roman"/>
          <w:b/>
          <w:sz w:val="24"/>
          <w:szCs w:val="24"/>
        </w:rPr>
      </w:pPr>
    </w:p>
    <w:p w14:paraId="79970002" w14:textId="77777777" w:rsidR="00723895" w:rsidRDefault="00000000">
      <w:pPr>
        <w:wordWrap/>
        <w:spacing w:after="0" w:line="360" w:lineRule="auto"/>
        <w:rPr>
          <w:rFonts w:ascii="Book Antiqua" w:eastAsia="함초롬바탕" w:hAnsi="Book Antiqua" w:cs="Times New Roman"/>
          <w:b/>
          <w:bCs/>
          <w:sz w:val="24"/>
          <w:szCs w:val="24"/>
        </w:rPr>
      </w:pPr>
      <w:bookmarkStart w:id="0" w:name="OLE_LINK42"/>
      <w:r>
        <w:rPr>
          <w:rFonts w:ascii="Book Antiqua" w:hAnsi="Book Antiqua" w:cs="Times New Roman"/>
          <w:b/>
          <w:sz w:val="24"/>
          <w:szCs w:val="24"/>
        </w:rPr>
        <w:t>Complete resection of large-cell neuroendocrine and hepatocellular carcinoma of the liver: A case report</w:t>
      </w:r>
    </w:p>
    <w:bookmarkEnd w:id="0"/>
    <w:p w14:paraId="30E83BD9" w14:textId="77777777" w:rsidR="00723895" w:rsidRDefault="00723895">
      <w:pPr>
        <w:pStyle w:val="af3"/>
        <w:wordWrap/>
        <w:spacing w:line="360" w:lineRule="auto"/>
        <w:rPr>
          <w:rFonts w:ascii="Book Antiqua" w:eastAsia="함초롬바탕" w:hAnsi="Book Antiqua" w:cs="Times New Roman"/>
          <w:b/>
          <w:bCs/>
          <w:sz w:val="24"/>
          <w:szCs w:val="24"/>
        </w:rPr>
      </w:pPr>
    </w:p>
    <w:p w14:paraId="584CB5B1" w14:textId="77777777" w:rsidR="00723895" w:rsidRDefault="00000000">
      <w:pPr>
        <w:wordWrap/>
        <w:spacing w:after="0" w:line="360" w:lineRule="auto"/>
        <w:rPr>
          <w:rFonts w:ascii="Book Antiqua" w:hAnsi="Book Antiqua"/>
          <w:sz w:val="24"/>
          <w:szCs w:val="24"/>
        </w:rPr>
      </w:pPr>
      <w:r>
        <w:rPr>
          <w:rFonts w:ascii="Book Antiqua" w:eastAsia="함초롬바탕" w:hAnsi="Book Antiqua" w:cs="Times New Roman"/>
          <w:sz w:val="24"/>
          <w:szCs w:val="24"/>
        </w:rPr>
        <w:t xml:space="preserve">Noh BG </w:t>
      </w:r>
      <w:r>
        <w:rPr>
          <w:rFonts w:ascii="Book Antiqua" w:eastAsia="함초롬바탕" w:hAnsi="Book Antiqua" w:cs="Times New Roman"/>
          <w:i/>
          <w:sz w:val="24"/>
          <w:szCs w:val="24"/>
        </w:rPr>
        <w:t>et al</w:t>
      </w:r>
      <w:r>
        <w:rPr>
          <w:rFonts w:ascii="Book Antiqua" w:eastAsia="함초롬바탕" w:hAnsi="Book Antiqua" w:cs="Times New Roman"/>
          <w:sz w:val="24"/>
          <w:szCs w:val="24"/>
        </w:rPr>
        <w:t xml:space="preserve">. </w:t>
      </w:r>
      <w:r>
        <w:rPr>
          <w:rFonts w:ascii="Book Antiqua" w:hAnsi="Book Antiqua" w:cs="Times New Roman"/>
          <w:sz w:val="24"/>
          <w:szCs w:val="24"/>
        </w:rPr>
        <w:t>Complete resection of a combined liver tumor</w:t>
      </w:r>
    </w:p>
    <w:p w14:paraId="11E33A8B" w14:textId="77777777" w:rsidR="00723895" w:rsidRDefault="00723895">
      <w:pPr>
        <w:pStyle w:val="af3"/>
        <w:wordWrap/>
        <w:spacing w:line="360" w:lineRule="auto"/>
        <w:rPr>
          <w:rFonts w:ascii="Book Antiqua" w:eastAsia="함초롬바탕" w:hAnsi="Book Antiqua" w:cs="Times New Roman"/>
          <w:sz w:val="24"/>
          <w:szCs w:val="24"/>
        </w:rPr>
      </w:pPr>
    </w:p>
    <w:p w14:paraId="5549A7E8" w14:textId="77777777" w:rsidR="00723895" w:rsidRDefault="00000000">
      <w:pPr>
        <w:wordWrap/>
        <w:spacing w:after="0" w:line="360" w:lineRule="auto"/>
        <w:rPr>
          <w:rFonts w:ascii="Book Antiqua" w:hAnsi="Book Antiqua" w:cs="Times New Roman"/>
          <w:sz w:val="24"/>
          <w:szCs w:val="24"/>
          <w:vertAlign w:val="superscript"/>
        </w:rPr>
      </w:pPr>
      <w:r>
        <w:rPr>
          <w:rFonts w:ascii="Book Antiqua" w:hAnsi="Book Antiqua" w:cs="Times New Roman"/>
          <w:sz w:val="24"/>
          <w:szCs w:val="24"/>
        </w:rPr>
        <w:t>Byeong Gwan Noh, Hyung-Il Seo, Young Mok Park, Suk Kim, Seung Baek Hong, So Jeong Lee</w:t>
      </w:r>
    </w:p>
    <w:p w14:paraId="05BB5F14" w14:textId="77777777" w:rsidR="00723895" w:rsidRDefault="00723895">
      <w:pPr>
        <w:wordWrap/>
        <w:spacing w:after="0" w:line="360" w:lineRule="auto"/>
        <w:rPr>
          <w:rFonts w:ascii="Book Antiqua" w:eastAsia="함초롬바탕" w:hAnsi="Book Antiqua" w:cs="Times New Roman"/>
          <w:sz w:val="24"/>
          <w:szCs w:val="24"/>
        </w:rPr>
      </w:pPr>
    </w:p>
    <w:p w14:paraId="003B360C" w14:textId="77777777" w:rsidR="00723895" w:rsidRDefault="00000000">
      <w:pPr>
        <w:pStyle w:val="af3"/>
        <w:wordWrap/>
        <w:spacing w:line="360" w:lineRule="auto"/>
        <w:rPr>
          <w:rFonts w:ascii="Book Antiqua" w:hAnsi="Book Antiqua" w:cs="Times New Roman"/>
          <w:sz w:val="24"/>
          <w:szCs w:val="24"/>
        </w:rPr>
      </w:pPr>
      <w:r>
        <w:rPr>
          <w:rFonts w:ascii="Book Antiqua" w:hAnsi="Book Antiqua" w:cs="Times New Roman"/>
          <w:b/>
          <w:bCs/>
          <w:sz w:val="24"/>
          <w:szCs w:val="24"/>
        </w:rPr>
        <w:t xml:space="preserve">Byeong Gwan Noh, Hyung-Il Seo, Young Mok Park, </w:t>
      </w:r>
      <w:r>
        <w:rPr>
          <w:rFonts w:ascii="Book Antiqua" w:hAnsi="Book Antiqua" w:cs="Times New Roman"/>
          <w:sz w:val="24"/>
          <w:szCs w:val="24"/>
        </w:rPr>
        <w:t xml:space="preserve">Division of HBP Surgery and Transplantation, Department of Surgery, Pusan National University School of Medicine, Biomedical Research Institute, Pusan National University Hospital, Busan </w:t>
      </w:r>
      <w:r>
        <w:rPr>
          <w:rFonts w:ascii="Book Antiqua" w:hAnsi="Book Antiqua" w:cs="Times New Roman"/>
          <w:color w:val="222222"/>
          <w:sz w:val="24"/>
          <w:szCs w:val="24"/>
          <w:shd w:val="clear" w:color="auto" w:fill="FFFFFF"/>
        </w:rPr>
        <w:t>49241</w:t>
      </w:r>
      <w:r>
        <w:rPr>
          <w:rFonts w:ascii="Book Antiqua" w:hAnsi="Book Antiqua" w:cs="Times New Roman"/>
          <w:sz w:val="24"/>
          <w:szCs w:val="24"/>
        </w:rPr>
        <w:t xml:space="preserve">, </w:t>
      </w:r>
      <w:r>
        <w:rPr>
          <w:rFonts w:ascii="Book Antiqua" w:hAnsi="Book Antiqua" w:cs="Times New Roman"/>
          <w:color w:val="222222"/>
          <w:sz w:val="24"/>
          <w:szCs w:val="24"/>
          <w:shd w:val="clear" w:color="auto" w:fill="FFFFFF"/>
        </w:rPr>
        <w:t>South Korea</w:t>
      </w:r>
    </w:p>
    <w:p w14:paraId="7A950B2D" w14:textId="77777777" w:rsidR="00723895" w:rsidRDefault="00723895">
      <w:pPr>
        <w:pStyle w:val="af3"/>
        <w:wordWrap/>
        <w:spacing w:line="360" w:lineRule="auto"/>
        <w:rPr>
          <w:rFonts w:ascii="Book Antiqua" w:hAnsi="Book Antiqua" w:cs="Times New Roman"/>
          <w:sz w:val="24"/>
          <w:szCs w:val="24"/>
        </w:rPr>
      </w:pPr>
    </w:p>
    <w:p w14:paraId="42DAAC9E" w14:textId="77777777" w:rsidR="00723895" w:rsidRDefault="00000000">
      <w:pPr>
        <w:pStyle w:val="af3"/>
        <w:wordWrap/>
        <w:spacing w:line="360" w:lineRule="auto"/>
        <w:rPr>
          <w:rFonts w:ascii="Book Antiqua" w:hAnsi="Book Antiqua" w:cs="Times New Roman"/>
          <w:sz w:val="24"/>
          <w:szCs w:val="24"/>
        </w:rPr>
      </w:pPr>
      <w:r>
        <w:rPr>
          <w:rFonts w:ascii="Book Antiqua" w:hAnsi="Book Antiqua" w:cs="Times New Roman"/>
          <w:b/>
          <w:bCs/>
          <w:sz w:val="24"/>
          <w:szCs w:val="24"/>
        </w:rPr>
        <w:t>Suk Kim, Seung Baek Hong,</w:t>
      </w:r>
      <w:r>
        <w:rPr>
          <w:rFonts w:ascii="Book Antiqua" w:hAnsi="Book Antiqua" w:cs="Times New Roman"/>
          <w:sz w:val="24"/>
          <w:szCs w:val="24"/>
          <w:vertAlign w:val="superscript"/>
        </w:rPr>
        <w:t xml:space="preserve"> </w:t>
      </w:r>
      <w:r>
        <w:rPr>
          <w:rFonts w:ascii="Book Antiqua" w:hAnsi="Book Antiqua" w:cs="Times New Roman"/>
          <w:sz w:val="24"/>
          <w:szCs w:val="24"/>
        </w:rPr>
        <w:t xml:space="preserve">Department of Radiology, Pusan National University School of Medicine, Biomedical Research Institute, Pusan National University Hospital, Busan </w:t>
      </w:r>
      <w:r>
        <w:rPr>
          <w:rFonts w:ascii="Book Antiqua" w:hAnsi="Book Antiqua" w:cs="Times New Roman"/>
          <w:color w:val="222222"/>
          <w:sz w:val="24"/>
          <w:szCs w:val="24"/>
          <w:shd w:val="clear" w:color="auto" w:fill="FFFFFF"/>
        </w:rPr>
        <w:t>49241</w:t>
      </w:r>
      <w:r>
        <w:rPr>
          <w:rFonts w:ascii="Book Antiqua" w:hAnsi="Book Antiqua" w:cs="Times New Roman"/>
          <w:sz w:val="24"/>
          <w:szCs w:val="24"/>
        </w:rPr>
        <w:t xml:space="preserve">, </w:t>
      </w:r>
      <w:r>
        <w:rPr>
          <w:rFonts w:ascii="Book Antiqua" w:hAnsi="Book Antiqua" w:cs="Times New Roman"/>
          <w:color w:val="222222"/>
          <w:sz w:val="24"/>
          <w:szCs w:val="24"/>
          <w:shd w:val="clear" w:color="auto" w:fill="FFFFFF"/>
        </w:rPr>
        <w:t>South Korea</w:t>
      </w:r>
    </w:p>
    <w:p w14:paraId="5A1D0795" w14:textId="77777777" w:rsidR="00723895" w:rsidRDefault="00723895">
      <w:pPr>
        <w:pStyle w:val="af3"/>
        <w:wordWrap/>
        <w:spacing w:line="360" w:lineRule="auto"/>
        <w:rPr>
          <w:rFonts w:ascii="Book Antiqua" w:hAnsi="Book Antiqua" w:cs="Times New Roman"/>
          <w:sz w:val="24"/>
          <w:szCs w:val="24"/>
        </w:rPr>
      </w:pPr>
    </w:p>
    <w:p w14:paraId="26B8C555" w14:textId="77777777" w:rsidR="00723895" w:rsidRDefault="00000000">
      <w:pPr>
        <w:pStyle w:val="af3"/>
        <w:wordWrap/>
        <w:spacing w:line="360" w:lineRule="auto"/>
        <w:rPr>
          <w:rFonts w:ascii="Book Antiqua" w:eastAsia="함초롬바탕" w:hAnsi="Book Antiqua" w:cs="Times New Roman"/>
          <w:sz w:val="24"/>
          <w:szCs w:val="24"/>
        </w:rPr>
      </w:pPr>
      <w:r>
        <w:rPr>
          <w:rFonts w:ascii="Book Antiqua" w:hAnsi="Book Antiqua" w:cs="Times New Roman"/>
          <w:b/>
          <w:bCs/>
          <w:sz w:val="24"/>
          <w:szCs w:val="24"/>
        </w:rPr>
        <w:t>So Jeong Lee,</w:t>
      </w:r>
      <w:r>
        <w:rPr>
          <w:rFonts w:ascii="Book Antiqua" w:hAnsi="Book Antiqua" w:cs="Times New Roman"/>
          <w:sz w:val="24"/>
          <w:szCs w:val="24"/>
        </w:rPr>
        <w:t xml:space="preserve"> Department of Pathology, Pusan National University School of Medicine, Biomedical Research Institute, Pusan National University Hospital, Busan </w:t>
      </w:r>
      <w:r>
        <w:rPr>
          <w:rFonts w:ascii="Book Antiqua" w:hAnsi="Book Antiqua" w:cs="Times New Roman"/>
          <w:color w:val="222222"/>
          <w:sz w:val="24"/>
          <w:szCs w:val="24"/>
          <w:shd w:val="clear" w:color="auto" w:fill="FFFFFF"/>
        </w:rPr>
        <w:t>49241</w:t>
      </w:r>
      <w:r>
        <w:rPr>
          <w:rFonts w:ascii="Book Antiqua" w:hAnsi="Book Antiqua" w:cs="Times New Roman"/>
          <w:sz w:val="24"/>
          <w:szCs w:val="24"/>
        </w:rPr>
        <w:t xml:space="preserve">, </w:t>
      </w:r>
      <w:r>
        <w:rPr>
          <w:rFonts w:ascii="Book Antiqua" w:hAnsi="Book Antiqua" w:cs="Times New Roman"/>
          <w:color w:val="222222"/>
          <w:sz w:val="24"/>
          <w:szCs w:val="24"/>
          <w:shd w:val="clear" w:color="auto" w:fill="FFFFFF"/>
        </w:rPr>
        <w:t>South Korea</w:t>
      </w:r>
    </w:p>
    <w:p w14:paraId="19771E6E" w14:textId="77777777" w:rsidR="00723895" w:rsidRDefault="00723895">
      <w:pPr>
        <w:pStyle w:val="af3"/>
        <w:wordWrap/>
        <w:spacing w:line="360" w:lineRule="auto"/>
        <w:rPr>
          <w:rFonts w:ascii="Book Antiqua" w:eastAsia="함초롬바탕" w:hAnsi="Book Antiqua" w:cs="Times New Roman"/>
          <w:b/>
          <w:bCs/>
          <w:sz w:val="24"/>
          <w:szCs w:val="24"/>
        </w:rPr>
      </w:pPr>
    </w:p>
    <w:p w14:paraId="09D71F8E" w14:textId="77777777" w:rsidR="00723895" w:rsidRDefault="00000000">
      <w:pPr>
        <w:pStyle w:val="af3"/>
        <w:wordWrap/>
        <w:spacing w:line="360" w:lineRule="auto"/>
        <w:rPr>
          <w:rFonts w:ascii="Book Antiqua" w:hAnsi="Book Antiqua"/>
          <w:b/>
          <w:sz w:val="24"/>
          <w:szCs w:val="24"/>
        </w:rPr>
      </w:pPr>
      <w:r>
        <w:rPr>
          <w:rFonts w:ascii="Book Antiqua" w:hAnsi="Book Antiqua"/>
          <w:b/>
          <w:spacing w:val="-7"/>
          <w:sz w:val="24"/>
          <w:szCs w:val="24"/>
        </w:rPr>
        <w:t xml:space="preserve">Author contributions: </w:t>
      </w:r>
      <w:r>
        <w:rPr>
          <w:rFonts w:ascii="Book Antiqua" w:hAnsi="Book Antiqua"/>
          <w:sz w:val="24"/>
          <w:szCs w:val="24"/>
        </w:rPr>
        <w:t>All authors contributed to the acquisition of data for this study; Noh BG analyzed the data and wrote the draft manuscript; Seo HI designed the research study; Park YM contributed to the data analysis; Noh BG, Park YM, Seo HI, Kim S, Hong SB, and Lee SJ performed the research; all authors have read and approved the final manuscript.</w:t>
      </w:r>
    </w:p>
    <w:p w14:paraId="1CE249E7" w14:textId="77777777" w:rsidR="00723895" w:rsidRDefault="00723895">
      <w:pPr>
        <w:pStyle w:val="af3"/>
        <w:wordWrap/>
        <w:spacing w:line="360" w:lineRule="auto"/>
        <w:rPr>
          <w:rFonts w:ascii="Book Antiqua" w:hAnsi="Book Antiqua"/>
          <w:sz w:val="24"/>
          <w:szCs w:val="24"/>
        </w:rPr>
      </w:pPr>
    </w:p>
    <w:p w14:paraId="3039E90D" w14:textId="77777777" w:rsidR="00723895" w:rsidRDefault="00000000">
      <w:pPr>
        <w:wordWrap/>
        <w:spacing w:after="0" w:line="360" w:lineRule="auto"/>
        <w:rPr>
          <w:rFonts w:ascii="Book Antiqua" w:hAnsi="Book Antiqua" w:cs="Times New Roman"/>
          <w:sz w:val="24"/>
          <w:szCs w:val="24"/>
          <w:shd w:val="clear" w:color="auto" w:fill="FFFFFF"/>
        </w:rPr>
      </w:pPr>
      <w:r>
        <w:rPr>
          <w:rFonts w:ascii="Book Antiqua" w:hAnsi="Book Antiqua" w:cs="Times New Roman"/>
          <w:b/>
          <w:sz w:val="24"/>
          <w:szCs w:val="24"/>
        </w:rPr>
        <w:t xml:space="preserve">Corresponding author: </w:t>
      </w:r>
      <w:r>
        <w:rPr>
          <w:rFonts w:ascii="Book Antiqua" w:hAnsi="Book Antiqua" w:cs="Times New Roman"/>
          <w:b/>
          <w:bCs/>
          <w:color w:val="222222"/>
          <w:sz w:val="24"/>
          <w:szCs w:val="24"/>
          <w:shd w:val="clear" w:color="auto" w:fill="FFFFFF"/>
        </w:rPr>
        <w:t xml:space="preserve">Hyung-Il Seo, PhD, Professor, </w:t>
      </w:r>
      <w:r>
        <w:rPr>
          <w:rFonts w:ascii="Book Antiqua" w:hAnsi="Book Antiqua" w:cs="Times New Roman"/>
          <w:sz w:val="24"/>
          <w:szCs w:val="24"/>
        </w:rPr>
        <w:t>Division of HBP Surgery and Transplantation, Department of Surgery, Pusan National University School of Medicine, Biomedical Research Institute, Pusan National University Hospital</w:t>
      </w:r>
      <w:r>
        <w:rPr>
          <w:rFonts w:ascii="Book Antiqua" w:hAnsi="Book Antiqua" w:cs="Times New Roman"/>
          <w:color w:val="222222"/>
          <w:sz w:val="24"/>
          <w:szCs w:val="24"/>
          <w:shd w:val="clear" w:color="auto" w:fill="FFFFFF"/>
        </w:rPr>
        <w:t xml:space="preserve">, 179 Gudeok-ro, Seo-gu, Busan 49241, South Korea. </w:t>
      </w:r>
      <w:r>
        <w:rPr>
          <w:rFonts w:ascii="Book Antiqua" w:hAnsi="Book Antiqua" w:cs="Times New Roman"/>
          <w:sz w:val="24"/>
          <w:szCs w:val="24"/>
          <w:shd w:val="clear" w:color="auto" w:fill="FFFFFF"/>
        </w:rPr>
        <w:t>seohi71@hanmail.net</w:t>
      </w:r>
    </w:p>
    <w:p w14:paraId="38AE7229" w14:textId="77777777" w:rsidR="00723895" w:rsidRDefault="00723895">
      <w:pPr>
        <w:wordWrap/>
        <w:spacing w:after="0" w:line="360" w:lineRule="auto"/>
        <w:rPr>
          <w:rFonts w:ascii="Book Antiqua" w:hAnsi="Book Antiqua" w:cs="Times New Roman"/>
          <w:color w:val="222222"/>
          <w:sz w:val="24"/>
          <w:szCs w:val="24"/>
        </w:rPr>
      </w:pPr>
    </w:p>
    <w:p w14:paraId="175E71F4" w14:textId="77777777" w:rsidR="00723895" w:rsidRDefault="00000000">
      <w:pPr>
        <w:wordWrap/>
        <w:spacing w:after="0" w:line="360" w:lineRule="auto"/>
        <w:rPr>
          <w:rFonts w:ascii="Book Antiqua" w:eastAsia="함초롬바탕" w:hAnsi="Book Antiqua" w:cs="Times New Roman"/>
          <w:sz w:val="24"/>
          <w:szCs w:val="24"/>
        </w:rPr>
      </w:pPr>
      <w:r>
        <w:rPr>
          <w:rFonts w:ascii="Book Antiqua" w:eastAsia="함초롬바탕" w:hAnsi="Book Antiqua" w:cs="Times New Roman"/>
          <w:b/>
          <w:bCs/>
          <w:sz w:val="24"/>
          <w:szCs w:val="24"/>
        </w:rPr>
        <w:t>Received:</w:t>
      </w:r>
      <w:r>
        <w:rPr>
          <w:rFonts w:ascii="Book Antiqua" w:eastAsia="함초롬바탕" w:hAnsi="Book Antiqua" w:cs="Times New Roman"/>
          <w:sz w:val="24"/>
          <w:szCs w:val="24"/>
        </w:rPr>
        <w:t xml:space="preserve"> February 16, 2022</w:t>
      </w:r>
    </w:p>
    <w:p w14:paraId="1D465610" w14:textId="77777777" w:rsidR="00723895" w:rsidRDefault="00000000">
      <w:pPr>
        <w:wordWrap/>
        <w:spacing w:after="0" w:line="360" w:lineRule="auto"/>
        <w:rPr>
          <w:rFonts w:ascii="Book Antiqua" w:eastAsia="함초롬바탕" w:hAnsi="Book Antiqua" w:cs="Times New Roman"/>
          <w:b/>
          <w:bCs/>
          <w:sz w:val="24"/>
          <w:szCs w:val="24"/>
        </w:rPr>
      </w:pPr>
      <w:r>
        <w:rPr>
          <w:rFonts w:ascii="Book Antiqua" w:eastAsia="함초롬바탕" w:hAnsi="Book Antiqua" w:cs="Times New Roman"/>
          <w:b/>
          <w:bCs/>
          <w:sz w:val="24"/>
          <w:szCs w:val="24"/>
        </w:rPr>
        <w:t xml:space="preserve">Revised: </w:t>
      </w:r>
      <w:r>
        <w:rPr>
          <w:rFonts w:ascii="Book Antiqua" w:eastAsia="함초롬바탕" w:hAnsi="Book Antiqua" w:cs="Times New Roman"/>
          <w:sz w:val="24"/>
          <w:szCs w:val="24"/>
        </w:rPr>
        <w:t>June 5, 2022</w:t>
      </w:r>
    </w:p>
    <w:p w14:paraId="2E607509" w14:textId="77777777" w:rsidR="00723895" w:rsidRDefault="00000000">
      <w:pPr>
        <w:wordWrap/>
        <w:spacing w:after="0" w:line="360" w:lineRule="auto"/>
        <w:rPr>
          <w:rFonts w:ascii="Book Antiqua" w:eastAsia="함초롬바탕" w:hAnsi="Book Antiqua" w:cs="Times New Roman"/>
          <w:b/>
          <w:bCs/>
          <w:sz w:val="24"/>
          <w:szCs w:val="24"/>
        </w:rPr>
      </w:pPr>
      <w:r>
        <w:rPr>
          <w:rFonts w:ascii="Book Antiqua" w:eastAsia="함초롬바탕" w:hAnsi="Book Antiqua" w:cs="Times New Roman"/>
          <w:b/>
          <w:bCs/>
          <w:sz w:val="24"/>
          <w:szCs w:val="24"/>
        </w:rPr>
        <w:t>Accepted:</w:t>
      </w:r>
      <w:r>
        <w:t xml:space="preserve"> </w:t>
      </w:r>
      <w:r>
        <w:rPr>
          <w:rFonts w:ascii="Book Antiqua" w:eastAsia="함초롬바탕" w:hAnsi="Book Antiqua" w:cs="Times New Roman"/>
          <w:sz w:val="24"/>
          <w:szCs w:val="24"/>
        </w:rPr>
        <w:t>July 11, 2022</w:t>
      </w:r>
      <w:r>
        <w:rPr>
          <w:rFonts w:ascii="Book Antiqua" w:eastAsia="함초롬바탕" w:hAnsi="Book Antiqua" w:cs="Times New Roman"/>
          <w:b/>
          <w:bCs/>
          <w:sz w:val="24"/>
          <w:szCs w:val="24"/>
        </w:rPr>
        <w:t xml:space="preserve"> </w:t>
      </w:r>
    </w:p>
    <w:p w14:paraId="4576B036" w14:textId="77777777" w:rsidR="00723895" w:rsidRDefault="00000000">
      <w:pPr>
        <w:wordWrap/>
        <w:spacing w:after="0" w:line="360" w:lineRule="auto"/>
        <w:rPr>
          <w:rFonts w:ascii="Book Antiqua" w:eastAsia="함초롬바탕" w:hAnsi="Book Antiqua" w:cs="Times New Roman"/>
          <w:b/>
          <w:bCs/>
          <w:sz w:val="24"/>
          <w:szCs w:val="24"/>
          <w:lang w:eastAsia="zh-CN"/>
        </w:rPr>
      </w:pPr>
      <w:r>
        <w:rPr>
          <w:rFonts w:ascii="Book Antiqua" w:eastAsia="함초롬바탕" w:hAnsi="Book Antiqua" w:cs="Times New Roman"/>
          <w:b/>
          <w:bCs/>
          <w:sz w:val="24"/>
          <w:szCs w:val="24"/>
        </w:rPr>
        <w:t>Published online:</w:t>
      </w:r>
      <w:r>
        <w:rPr>
          <w:rFonts w:ascii="Book Antiqua" w:eastAsia="함초롬바탕" w:hAnsi="Book Antiqua" w:cs="Times New Roman" w:hint="eastAsia"/>
          <w:b/>
          <w:bCs/>
          <w:sz w:val="24"/>
          <w:szCs w:val="24"/>
          <w:lang w:eastAsia="zh-CN"/>
        </w:rPr>
        <w:t xml:space="preserve"> </w:t>
      </w:r>
      <w:r>
        <w:rPr>
          <w:rFonts w:ascii="Book Antiqua" w:eastAsia="Book Antiqua" w:hAnsi="Book Antiqua" w:cs="Book Antiqua" w:hint="eastAsia"/>
          <w:color w:val="000000"/>
        </w:rPr>
        <w:t>August 16, 2022</w:t>
      </w:r>
    </w:p>
    <w:p w14:paraId="7552EE91" w14:textId="77777777" w:rsidR="00723895" w:rsidRDefault="00723895">
      <w:pPr>
        <w:wordWrap/>
        <w:spacing w:after="0" w:line="360" w:lineRule="auto"/>
        <w:rPr>
          <w:rFonts w:ascii="Book Antiqua" w:eastAsia="함초롬바탕" w:hAnsi="Book Antiqua" w:cs="Times New Roman"/>
          <w:sz w:val="24"/>
          <w:szCs w:val="24"/>
        </w:rPr>
      </w:pPr>
    </w:p>
    <w:p w14:paraId="0997208C" w14:textId="77777777" w:rsidR="00723895" w:rsidRDefault="00723895">
      <w:pPr>
        <w:pStyle w:val="af3"/>
        <w:wordWrap/>
        <w:spacing w:line="360" w:lineRule="auto"/>
        <w:rPr>
          <w:rFonts w:ascii="Book Antiqua" w:eastAsia="함초롬바탕" w:hAnsi="Book Antiqua" w:cs="Times New Roman"/>
          <w:b/>
          <w:bCs/>
          <w:sz w:val="24"/>
          <w:szCs w:val="24"/>
        </w:rPr>
        <w:sectPr w:rsidR="00723895">
          <w:footerReference w:type="default" r:id="rId8"/>
          <w:pgSz w:w="11906" w:h="16838"/>
          <w:pgMar w:top="1701" w:right="1440" w:bottom="1440" w:left="1440" w:header="851" w:footer="992" w:gutter="0"/>
          <w:cols w:space="425"/>
          <w:docGrid w:linePitch="360"/>
        </w:sectPr>
      </w:pPr>
    </w:p>
    <w:p w14:paraId="05C855AF" w14:textId="77777777" w:rsidR="00723895" w:rsidRDefault="00000000">
      <w:pPr>
        <w:pStyle w:val="af3"/>
        <w:wordWrap/>
        <w:spacing w:line="360" w:lineRule="auto"/>
        <w:rPr>
          <w:rFonts w:ascii="Book Antiqua" w:hAnsi="Book Antiqua" w:cs="Times New Roman"/>
          <w:sz w:val="24"/>
          <w:szCs w:val="24"/>
        </w:rPr>
      </w:pPr>
      <w:r>
        <w:rPr>
          <w:rFonts w:ascii="Book Antiqua" w:eastAsia="함초롬바탕" w:hAnsi="Book Antiqua" w:cs="Times New Roman"/>
          <w:b/>
          <w:bCs/>
          <w:sz w:val="24"/>
          <w:szCs w:val="24"/>
        </w:rPr>
        <w:lastRenderedPageBreak/>
        <w:t>Abstract</w:t>
      </w:r>
    </w:p>
    <w:p w14:paraId="718BBE3D" w14:textId="77777777" w:rsidR="00723895" w:rsidRDefault="00000000">
      <w:pPr>
        <w:pStyle w:val="af3"/>
        <w:wordWrap/>
        <w:spacing w:line="360" w:lineRule="auto"/>
        <w:rPr>
          <w:rFonts w:ascii="Book Antiqua" w:hAnsi="Book Antiqua" w:cs="Times New Roman"/>
          <w:sz w:val="24"/>
          <w:szCs w:val="24"/>
        </w:rPr>
      </w:pPr>
      <w:r>
        <w:rPr>
          <w:rFonts w:ascii="Book Antiqua" w:hAnsi="Book Antiqua" w:cs="Times New Roman"/>
          <w:sz w:val="24"/>
          <w:szCs w:val="24"/>
        </w:rPr>
        <w:t>BACKGROUND</w:t>
      </w:r>
    </w:p>
    <w:p w14:paraId="190E15AF" w14:textId="77777777" w:rsidR="00723895" w:rsidRDefault="00000000">
      <w:pPr>
        <w:pStyle w:val="af3"/>
        <w:wordWrap/>
        <w:spacing w:line="360" w:lineRule="auto"/>
        <w:rPr>
          <w:rFonts w:ascii="Book Antiqua" w:hAnsi="Book Antiqua" w:cs="Times New Roman"/>
          <w:sz w:val="24"/>
          <w:szCs w:val="24"/>
        </w:rPr>
      </w:pPr>
      <w:r>
        <w:rPr>
          <w:rFonts w:ascii="Book Antiqua" w:hAnsi="Book Antiqua" w:cs="Times New Roman"/>
          <w:sz w:val="24"/>
          <w:szCs w:val="24"/>
        </w:rPr>
        <w:t>Combined tumors comprising large-cell neuroendocrine carcinoma and hepatocellular carcinoma have been rarely reported in the literature.</w:t>
      </w:r>
    </w:p>
    <w:p w14:paraId="4C62A73A" w14:textId="77777777" w:rsidR="00723895" w:rsidRDefault="00723895">
      <w:pPr>
        <w:pStyle w:val="af3"/>
        <w:wordWrap/>
        <w:spacing w:line="360" w:lineRule="auto"/>
        <w:rPr>
          <w:rFonts w:ascii="Book Antiqua" w:hAnsi="Book Antiqua" w:cs="Times New Roman"/>
          <w:sz w:val="24"/>
          <w:szCs w:val="24"/>
        </w:rPr>
      </w:pPr>
    </w:p>
    <w:p w14:paraId="7FB62EF0" w14:textId="77777777" w:rsidR="00723895" w:rsidRDefault="00000000">
      <w:pPr>
        <w:pStyle w:val="af3"/>
        <w:wordWrap/>
        <w:spacing w:line="360" w:lineRule="auto"/>
        <w:rPr>
          <w:rFonts w:ascii="Book Antiqua" w:hAnsi="Book Antiqua" w:cs="Times New Roman"/>
          <w:sz w:val="24"/>
          <w:szCs w:val="24"/>
        </w:rPr>
      </w:pPr>
      <w:r>
        <w:rPr>
          <w:rFonts w:ascii="Book Antiqua" w:hAnsi="Book Antiqua" w:cs="Times New Roman"/>
          <w:sz w:val="24"/>
          <w:szCs w:val="24"/>
        </w:rPr>
        <w:t>CASE SUMMARY</w:t>
      </w:r>
    </w:p>
    <w:p w14:paraId="0B33A959" w14:textId="77777777" w:rsidR="00723895" w:rsidRDefault="00000000">
      <w:pPr>
        <w:pStyle w:val="af3"/>
        <w:wordWrap/>
        <w:spacing w:line="360" w:lineRule="auto"/>
        <w:rPr>
          <w:rFonts w:ascii="Book Antiqua" w:hAnsi="Book Antiqua" w:cs="Times New Roman"/>
          <w:sz w:val="24"/>
          <w:szCs w:val="24"/>
        </w:rPr>
      </w:pPr>
      <w:r>
        <w:rPr>
          <w:rFonts w:ascii="Book Antiqua" w:hAnsi="Book Antiqua" w:cs="Times New Roman"/>
          <w:sz w:val="24"/>
          <w:szCs w:val="24"/>
        </w:rPr>
        <w:t>We report a case of a 73-year-old woman with chronic hepatitis B suspected to have a malignant hepatic mass (segment 3; size, 4.5 cm) and lymph node metastasis based on computed tomography and magnetic resonance imaging. Despite being Child-Pugh class A, esophageal varices were present. She underwent left lateral sectionectomy and lymph node dissection. Pathological examination revealed a collision tumor consisting of large-cell neuroendocrine (90%) and hepatocellular (10%) carcinomas. The combined carcinoma had metastasized to one of the three lymph nodes excised. The patient recovered without any postoperative complications and was discharged in good condition on postoperative day 13. Adjuvant chemotherapy was not performed. No recurrence occurred during a follow-up period of 24 mo.</w:t>
      </w:r>
    </w:p>
    <w:p w14:paraId="57F46E0F" w14:textId="77777777" w:rsidR="00723895" w:rsidRDefault="00723895">
      <w:pPr>
        <w:pStyle w:val="af3"/>
        <w:wordWrap/>
        <w:spacing w:line="360" w:lineRule="auto"/>
        <w:rPr>
          <w:rFonts w:ascii="Book Antiqua" w:eastAsia="함초롬바탕" w:hAnsi="Book Antiqua" w:cs="Times New Roman"/>
          <w:sz w:val="24"/>
          <w:szCs w:val="24"/>
        </w:rPr>
      </w:pPr>
    </w:p>
    <w:p w14:paraId="572F0E2A" w14:textId="77777777" w:rsidR="00723895" w:rsidRDefault="00000000">
      <w:pPr>
        <w:pStyle w:val="af3"/>
        <w:wordWrap/>
        <w:spacing w:line="360" w:lineRule="auto"/>
        <w:rPr>
          <w:rFonts w:ascii="Book Antiqua" w:eastAsia="함초롬바탕" w:hAnsi="Book Antiqua" w:cs="Times New Roman"/>
          <w:sz w:val="24"/>
          <w:szCs w:val="24"/>
        </w:rPr>
      </w:pPr>
      <w:r>
        <w:rPr>
          <w:rFonts w:ascii="Book Antiqua" w:eastAsia="함초롬바탕" w:hAnsi="Book Antiqua" w:cs="Times New Roman"/>
          <w:sz w:val="24"/>
          <w:szCs w:val="24"/>
        </w:rPr>
        <w:t>CONCLUSION</w:t>
      </w:r>
    </w:p>
    <w:p w14:paraId="433F3D7F" w14:textId="77777777" w:rsidR="00723895" w:rsidRDefault="00000000">
      <w:pPr>
        <w:pStyle w:val="af3"/>
        <w:wordWrap/>
        <w:spacing w:line="360" w:lineRule="auto"/>
        <w:rPr>
          <w:rFonts w:ascii="Book Antiqua" w:eastAsia="Malgun Gothic" w:hAnsi="Book Antiqua" w:cs="Times New Roman"/>
          <w:sz w:val="24"/>
          <w:szCs w:val="24"/>
        </w:rPr>
      </w:pPr>
      <w:r>
        <w:rPr>
          <w:rFonts w:ascii="Book Antiqua" w:hAnsi="Book Antiqua" w:cs="Times New Roman"/>
          <w:sz w:val="24"/>
          <w:szCs w:val="24"/>
        </w:rPr>
        <w:t xml:space="preserve">To improve the therapeutic management of combined tumors in </w:t>
      </w:r>
      <w:r>
        <w:rPr>
          <w:rFonts w:ascii="Book Antiqua" w:eastAsia="Malgun Gothic" w:hAnsi="Book Antiqua" w:cs="Times New Roman"/>
          <w:sz w:val="24"/>
          <w:szCs w:val="24"/>
        </w:rPr>
        <w:t>the liver, it is necessary to discuss each clinical experience and consider an appropriate method for the preoperative diagnosis and treatment.</w:t>
      </w:r>
    </w:p>
    <w:p w14:paraId="6C26FB9D" w14:textId="77777777" w:rsidR="00723895" w:rsidRDefault="00723895">
      <w:pPr>
        <w:pStyle w:val="af3"/>
        <w:wordWrap/>
        <w:spacing w:line="360" w:lineRule="auto"/>
        <w:rPr>
          <w:rFonts w:ascii="Book Antiqua" w:eastAsia="함초롬바탕" w:hAnsi="Book Antiqua" w:cs="Times New Roman"/>
          <w:sz w:val="24"/>
          <w:szCs w:val="24"/>
        </w:rPr>
      </w:pPr>
    </w:p>
    <w:p w14:paraId="2E8FA501" w14:textId="77777777" w:rsidR="00723895" w:rsidRDefault="00000000">
      <w:pPr>
        <w:pStyle w:val="af3"/>
        <w:wordWrap/>
        <w:spacing w:line="360" w:lineRule="auto"/>
        <w:rPr>
          <w:rFonts w:ascii="Book Antiqua" w:eastAsia="함초롬바탕" w:hAnsi="Book Antiqua" w:cs="Times New Roman"/>
          <w:iCs/>
          <w:sz w:val="24"/>
          <w:szCs w:val="24"/>
        </w:rPr>
      </w:pPr>
      <w:r>
        <w:rPr>
          <w:rFonts w:ascii="Book Antiqua" w:eastAsia="함초롬바탕" w:hAnsi="Book Antiqua" w:cs="Times New Roman"/>
          <w:b/>
          <w:iCs/>
          <w:sz w:val="24"/>
          <w:szCs w:val="24"/>
        </w:rPr>
        <w:t xml:space="preserve">Key Words: </w:t>
      </w:r>
      <w:r>
        <w:rPr>
          <w:rFonts w:ascii="Book Antiqua" w:eastAsia="함초롬바탕" w:hAnsi="Book Antiqua" w:cs="Times New Roman"/>
          <w:iCs/>
          <w:sz w:val="24"/>
          <w:szCs w:val="24"/>
        </w:rPr>
        <w:t>Hepatocellular carcinoma; Neuroendocrine carcinoma; Chronic hepatitis B; Case report</w:t>
      </w:r>
    </w:p>
    <w:p w14:paraId="57B9F1A7" w14:textId="77777777" w:rsidR="00723895" w:rsidRDefault="00723895">
      <w:pPr>
        <w:pStyle w:val="af3"/>
        <w:wordWrap/>
        <w:spacing w:line="360" w:lineRule="auto"/>
        <w:rPr>
          <w:rFonts w:ascii="Book Antiqua" w:hAnsi="Book Antiqua" w:cs="Times New Roman"/>
          <w:sz w:val="24"/>
          <w:szCs w:val="24"/>
        </w:rPr>
      </w:pPr>
    </w:p>
    <w:p w14:paraId="292F684F" w14:textId="77777777" w:rsidR="00900580" w:rsidRPr="00900580" w:rsidRDefault="00900580" w:rsidP="00900580">
      <w:pPr>
        <w:spacing w:line="360" w:lineRule="auto"/>
        <w:rPr>
          <w:rFonts w:ascii="Book Antiqua" w:eastAsia="함초롬바탕" w:hAnsi="Book Antiqua" w:cs="Times New Roman"/>
          <w:iCs/>
          <w:color w:val="000000"/>
          <w:kern w:val="0"/>
          <w:sz w:val="24"/>
          <w:szCs w:val="24"/>
        </w:rPr>
      </w:pPr>
      <w:bookmarkStart w:id="1" w:name="_Hlk88512344"/>
      <w:bookmarkStart w:id="2" w:name="_Hlk88512883"/>
      <w:bookmarkStart w:id="3" w:name="_Hlk88513225"/>
      <w:bookmarkStart w:id="4" w:name="_Hlk88512545"/>
      <w:r w:rsidRPr="00900580">
        <w:rPr>
          <w:rFonts w:ascii="Book Antiqua" w:eastAsia="함초롬바탕" w:hAnsi="Book Antiqua" w:cs="Times New Roman" w:hint="eastAsia"/>
          <w:b/>
          <w:bCs/>
          <w:iCs/>
          <w:color w:val="000000"/>
          <w:kern w:val="0"/>
          <w:sz w:val="24"/>
          <w:szCs w:val="24"/>
        </w:rPr>
        <w:t>©</w:t>
      </w:r>
      <w:r w:rsidRPr="00900580">
        <w:rPr>
          <w:rFonts w:ascii="Book Antiqua" w:eastAsia="함초롬바탕" w:hAnsi="Book Antiqua" w:cs="Times New Roman"/>
          <w:b/>
          <w:bCs/>
          <w:iCs/>
          <w:color w:val="000000"/>
          <w:kern w:val="0"/>
          <w:sz w:val="24"/>
          <w:szCs w:val="24"/>
        </w:rPr>
        <w:t xml:space="preserve">The Author(s) 2022. </w:t>
      </w:r>
      <w:r w:rsidRPr="00900580">
        <w:rPr>
          <w:rFonts w:ascii="Book Antiqua" w:eastAsia="함초롬바탕" w:hAnsi="Book Antiqua" w:cs="Times New Roman"/>
          <w:iCs/>
          <w:color w:val="000000"/>
          <w:kern w:val="0"/>
          <w:sz w:val="24"/>
          <w:szCs w:val="24"/>
        </w:rPr>
        <w:t>Published by Baishideng Publishing Group Inc. All rights reserved.</w:t>
      </w:r>
      <w:bookmarkEnd w:id="1"/>
      <w:r w:rsidRPr="00900580">
        <w:rPr>
          <w:rFonts w:ascii="Book Antiqua" w:eastAsia="함초롬바탕" w:hAnsi="Book Antiqua" w:cs="Times New Roman"/>
          <w:iCs/>
          <w:color w:val="000000"/>
          <w:kern w:val="0"/>
          <w:sz w:val="24"/>
          <w:szCs w:val="24"/>
        </w:rPr>
        <w:t xml:space="preserve"> </w:t>
      </w:r>
    </w:p>
    <w:bookmarkEnd w:id="2"/>
    <w:p w14:paraId="1AC16B0E" w14:textId="77777777" w:rsidR="00900580" w:rsidRPr="00E61B50" w:rsidRDefault="00900580" w:rsidP="00900580">
      <w:pPr>
        <w:spacing w:line="360" w:lineRule="auto"/>
        <w:rPr>
          <w:lang w:eastAsia="zh-CN"/>
        </w:rPr>
      </w:pPr>
    </w:p>
    <w:p w14:paraId="291DDC4A" w14:textId="77777777" w:rsidR="00900580" w:rsidRDefault="00900580" w:rsidP="00900580">
      <w:pPr>
        <w:pStyle w:val="af3"/>
        <w:wordWrap/>
        <w:spacing w:line="360" w:lineRule="auto"/>
        <w:rPr>
          <w:rFonts w:ascii="Book Antiqua" w:eastAsia="함초롬바탕" w:hAnsi="Book Antiqua" w:cs="Times New Roman"/>
          <w:iCs/>
          <w:sz w:val="24"/>
          <w:szCs w:val="24"/>
        </w:rPr>
      </w:pPr>
      <w:bookmarkStart w:id="5" w:name="_Hlk88512899"/>
      <w:bookmarkStart w:id="6" w:name="_Hlk88512352"/>
      <w:bookmarkEnd w:id="3"/>
      <w:r w:rsidRPr="00900580">
        <w:rPr>
          <w:rFonts w:ascii="Book Antiqua" w:eastAsia="함초롬바탕" w:hAnsi="Book Antiqua" w:cs="Times New Roman" w:hint="eastAsia"/>
          <w:b/>
          <w:bCs/>
          <w:iCs/>
          <w:sz w:val="24"/>
          <w:szCs w:val="24"/>
        </w:rPr>
        <w:t>Citation:</w:t>
      </w:r>
      <w:bookmarkEnd w:id="4"/>
      <w:bookmarkEnd w:id="5"/>
      <w:r w:rsidRPr="00900580">
        <w:rPr>
          <w:rFonts w:ascii="Book Antiqua" w:eastAsia="함초롬바탕" w:hAnsi="Book Antiqua" w:cs="Times New Roman" w:hint="eastAsia"/>
          <w:b/>
          <w:bCs/>
          <w:iCs/>
          <w:sz w:val="24"/>
          <w:szCs w:val="24"/>
        </w:rPr>
        <w:t xml:space="preserve"> </w:t>
      </w:r>
      <w:bookmarkEnd w:id="6"/>
      <w:r>
        <w:rPr>
          <w:rFonts w:ascii="Book Antiqua" w:eastAsia="함초롬바탕" w:hAnsi="Book Antiqua" w:cs="Times New Roman"/>
          <w:iCs/>
          <w:sz w:val="24"/>
          <w:szCs w:val="24"/>
        </w:rPr>
        <w:t xml:space="preserve">Noh BG, Seo HI, Park YM, Kim S, Hong SB, Lee SJ. Complete resection of </w:t>
      </w:r>
      <w:r>
        <w:rPr>
          <w:rFonts w:ascii="Book Antiqua" w:eastAsia="함초롬바탕" w:hAnsi="Book Antiqua" w:cs="Times New Roman"/>
          <w:iCs/>
          <w:sz w:val="24"/>
          <w:szCs w:val="24"/>
        </w:rPr>
        <w:lastRenderedPageBreak/>
        <w:t xml:space="preserve">large-cell neuroendocrine and hepatocellular carcinoma of the liver: A case report. </w:t>
      </w:r>
      <w:r>
        <w:rPr>
          <w:rFonts w:ascii="Book Antiqua" w:eastAsia="함초롬바탕" w:hAnsi="Book Antiqua" w:cs="Times New Roman"/>
          <w:i/>
          <w:sz w:val="24"/>
          <w:szCs w:val="24"/>
        </w:rPr>
        <w:t>World J Clin Cases</w:t>
      </w:r>
      <w:r>
        <w:rPr>
          <w:rFonts w:ascii="Book Antiqua" w:eastAsia="함초롬바탕" w:hAnsi="Book Antiqua" w:cs="Times New Roman"/>
          <w:iCs/>
          <w:sz w:val="24"/>
          <w:szCs w:val="24"/>
        </w:rPr>
        <w:t xml:space="preserve"> 2022; </w:t>
      </w:r>
      <w:r>
        <w:rPr>
          <w:rFonts w:ascii="Book Antiqua" w:eastAsia="함초롬바탕" w:hAnsi="Book Antiqua" w:cs="Times New Roman" w:hint="eastAsia"/>
          <w:iCs/>
          <w:sz w:val="24"/>
          <w:szCs w:val="24"/>
        </w:rPr>
        <w:t xml:space="preserve">10(23): </w:t>
      </w:r>
      <w:r>
        <w:rPr>
          <w:rFonts w:ascii="Book Antiqua" w:eastAsia="함초롬바탕" w:hAnsi="Book Antiqua" w:cs="Times New Roman"/>
          <w:iCs/>
          <w:sz w:val="24"/>
          <w:szCs w:val="24"/>
        </w:rPr>
        <w:t>8277</w:t>
      </w:r>
      <w:r>
        <w:rPr>
          <w:rFonts w:ascii="Book Antiqua" w:eastAsia="함초롬바탕" w:hAnsi="Book Antiqua" w:cs="Times New Roman" w:hint="eastAsia"/>
          <w:iCs/>
          <w:sz w:val="24"/>
          <w:szCs w:val="24"/>
        </w:rPr>
        <w:t>-</w:t>
      </w:r>
      <w:r>
        <w:rPr>
          <w:rFonts w:ascii="Book Antiqua" w:eastAsia="함초롬바탕" w:hAnsi="Book Antiqua" w:cs="Times New Roman"/>
          <w:iCs/>
          <w:sz w:val="24"/>
          <w:szCs w:val="24"/>
        </w:rPr>
        <w:t>8283</w:t>
      </w:r>
    </w:p>
    <w:p w14:paraId="39D4E3A7" w14:textId="2F64334D" w:rsidR="00900580" w:rsidRDefault="00000000" w:rsidP="00900580">
      <w:pPr>
        <w:pStyle w:val="af3"/>
        <w:wordWrap/>
        <w:spacing w:line="360" w:lineRule="auto"/>
        <w:rPr>
          <w:rFonts w:ascii="Book Antiqua" w:eastAsia="함초롬바탕" w:hAnsi="Book Antiqua" w:cs="Times New Roman"/>
          <w:iCs/>
          <w:sz w:val="24"/>
          <w:szCs w:val="24"/>
        </w:rPr>
      </w:pPr>
      <w:r w:rsidRPr="00900580">
        <w:rPr>
          <w:rFonts w:ascii="Book Antiqua" w:eastAsia="함초롬바탕" w:hAnsi="Book Antiqua" w:cs="Times New Roman" w:hint="eastAsia"/>
          <w:b/>
          <w:bCs/>
          <w:iCs/>
          <w:sz w:val="24"/>
          <w:szCs w:val="24"/>
        </w:rPr>
        <w:t xml:space="preserve">URL: </w:t>
      </w:r>
      <w:hyperlink r:id="rId9" w:history="1">
        <w:r w:rsidR="00900580" w:rsidRPr="005E5228">
          <w:rPr>
            <w:rStyle w:val="af1"/>
            <w:rFonts w:ascii="Book Antiqua" w:eastAsia="함초롬바탕" w:hAnsi="Book Antiqua" w:cs="Times New Roman" w:hint="eastAsia"/>
            <w:iCs/>
            <w:sz w:val="24"/>
            <w:szCs w:val="24"/>
          </w:rPr>
          <w:t>https://www.wjgnet.com/2307-8960/full/v10/i23/</w:t>
        </w:r>
        <w:r w:rsidR="00900580" w:rsidRPr="005E5228">
          <w:rPr>
            <w:rStyle w:val="af1"/>
            <w:rFonts w:ascii="Book Antiqua" w:eastAsia="함초롬바탕" w:hAnsi="Book Antiqua" w:cs="Times New Roman"/>
            <w:iCs/>
            <w:sz w:val="24"/>
            <w:szCs w:val="24"/>
          </w:rPr>
          <w:t>8277</w:t>
        </w:r>
        <w:r w:rsidR="00900580" w:rsidRPr="005E5228">
          <w:rPr>
            <w:rStyle w:val="af1"/>
            <w:rFonts w:ascii="Book Antiqua" w:eastAsia="함초롬바탕" w:hAnsi="Book Antiqua" w:cs="Times New Roman" w:hint="eastAsia"/>
            <w:iCs/>
            <w:sz w:val="24"/>
            <w:szCs w:val="24"/>
          </w:rPr>
          <w:t>.htm</w:t>
        </w:r>
      </w:hyperlink>
    </w:p>
    <w:p w14:paraId="137868CA" w14:textId="77E57C0D" w:rsidR="00723895" w:rsidRDefault="00000000" w:rsidP="00900580">
      <w:pPr>
        <w:pStyle w:val="af3"/>
        <w:wordWrap/>
        <w:spacing w:line="360" w:lineRule="auto"/>
        <w:rPr>
          <w:rFonts w:ascii="Book Antiqua" w:eastAsia="함초롬바탕" w:hAnsi="Book Antiqua" w:cs="Times New Roman"/>
          <w:iCs/>
          <w:sz w:val="24"/>
          <w:szCs w:val="24"/>
        </w:rPr>
      </w:pPr>
      <w:r w:rsidRPr="00900580">
        <w:rPr>
          <w:rFonts w:ascii="Book Antiqua" w:eastAsia="함초롬바탕" w:hAnsi="Book Antiqua" w:cs="Times New Roman" w:hint="eastAsia"/>
          <w:b/>
          <w:bCs/>
          <w:iCs/>
          <w:sz w:val="24"/>
          <w:szCs w:val="24"/>
        </w:rPr>
        <w:t>DOI:</w:t>
      </w:r>
      <w:r>
        <w:rPr>
          <w:rFonts w:ascii="Book Antiqua" w:eastAsia="함초롬바탕" w:hAnsi="Book Antiqua" w:cs="Times New Roman" w:hint="eastAsia"/>
          <w:iCs/>
          <w:sz w:val="24"/>
          <w:szCs w:val="24"/>
        </w:rPr>
        <w:t xml:space="preserve"> https://dx.doi.org/10.12998/wjcc.v10.i23.</w:t>
      </w:r>
      <w:r w:rsidR="00900580">
        <w:rPr>
          <w:rFonts w:ascii="Book Antiqua" w:eastAsia="함초롬바탕" w:hAnsi="Book Antiqua" w:cs="Times New Roman"/>
          <w:iCs/>
          <w:sz w:val="24"/>
          <w:szCs w:val="24"/>
        </w:rPr>
        <w:t>8277</w:t>
      </w:r>
    </w:p>
    <w:p w14:paraId="0D58CE0D" w14:textId="77777777" w:rsidR="00723895" w:rsidRDefault="00723895">
      <w:pPr>
        <w:wordWrap/>
        <w:spacing w:after="0" w:line="360" w:lineRule="auto"/>
        <w:rPr>
          <w:rFonts w:ascii="Book Antiqua" w:hAnsi="Book Antiqua" w:cs="Times New Roman"/>
          <w:sz w:val="24"/>
          <w:szCs w:val="24"/>
        </w:rPr>
      </w:pPr>
    </w:p>
    <w:p w14:paraId="22E572D6" w14:textId="77777777" w:rsidR="00723895" w:rsidRDefault="00000000">
      <w:pPr>
        <w:wordWrap/>
        <w:spacing w:after="0" w:line="360" w:lineRule="auto"/>
        <w:rPr>
          <w:rFonts w:ascii="Book Antiqua" w:hAnsi="Book Antiqua" w:cs="Times New Roman"/>
          <w:b/>
          <w:sz w:val="24"/>
          <w:szCs w:val="24"/>
        </w:rPr>
      </w:pPr>
      <w:r>
        <w:rPr>
          <w:rFonts w:ascii="Book Antiqua" w:hAnsi="Book Antiqua" w:cs="Times New Roman"/>
          <w:b/>
          <w:sz w:val="24"/>
          <w:szCs w:val="24"/>
        </w:rPr>
        <w:t xml:space="preserve">Core Tip: </w:t>
      </w:r>
      <w:r>
        <w:rPr>
          <w:rFonts w:ascii="Book Antiqua" w:eastAsiaTheme="majorHAnsi" w:hAnsi="Book Antiqua" w:cs="Times New Roman"/>
          <w:color w:val="000000"/>
          <w:sz w:val="24"/>
          <w:szCs w:val="24"/>
          <w:shd w:val="clear" w:color="auto" w:fill="FFFFFF"/>
        </w:rPr>
        <w:t>C</w:t>
      </w:r>
      <w:r>
        <w:rPr>
          <w:rFonts w:ascii="Book Antiqua" w:eastAsia="Malgun Gothic" w:hAnsi="Book Antiqua" w:cs="Times New Roman"/>
          <w:sz w:val="24"/>
          <w:szCs w:val="24"/>
        </w:rPr>
        <w:t xml:space="preserve">ollision </w:t>
      </w:r>
      <w:r>
        <w:rPr>
          <w:rFonts w:ascii="Book Antiqua" w:hAnsi="Book Antiqua" w:cs="Times New Roman"/>
          <w:sz w:val="24"/>
          <w:szCs w:val="24"/>
        </w:rPr>
        <w:t xml:space="preserve">tumors originating from </w:t>
      </w:r>
      <w:r>
        <w:rPr>
          <w:rFonts w:ascii="Book Antiqua" w:eastAsia="Malgun Gothic" w:hAnsi="Book Antiqua" w:cs="Times New Roman"/>
          <w:sz w:val="24"/>
          <w:szCs w:val="24"/>
        </w:rPr>
        <w:t xml:space="preserve">the liver are extremely rare. </w:t>
      </w:r>
      <w:r>
        <w:rPr>
          <w:rFonts w:ascii="Book Antiqua" w:hAnsi="Book Antiqua" w:cs="Times New Roman"/>
          <w:color w:val="000000"/>
          <w:sz w:val="24"/>
          <w:szCs w:val="24"/>
          <w:shd w:val="clear" w:color="auto" w:fill="FFFFFF"/>
        </w:rPr>
        <w:t>No</w:t>
      </w:r>
      <w:r>
        <w:rPr>
          <w:rFonts w:ascii="Book Antiqua" w:hAnsi="Book Antiqua" w:cs="Times New Roman"/>
          <w:sz w:val="24"/>
          <w:szCs w:val="24"/>
        </w:rPr>
        <w:t xml:space="preserve"> rational surgical strategies for these tumors have been reported because of their rari</w:t>
      </w:r>
      <w:r>
        <w:rPr>
          <w:rFonts w:ascii="Book Antiqua" w:hAnsi="Book Antiqua" w:cs="Times New Roman"/>
          <w:color w:val="000000"/>
          <w:sz w:val="24"/>
          <w:szCs w:val="24"/>
          <w:shd w:val="clear" w:color="auto" w:fill="FFFFFF"/>
        </w:rPr>
        <w:t xml:space="preserve">ty, the shortness of knowledge of predictive prognostic factors, the inability to identify progression, and the limited understanding of the biohistology of these lesions. However, complete resection of a resectable locoregional neuroendocrine tumor has excellent outcomes. Because of their rarity, </w:t>
      </w:r>
      <w:r>
        <w:rPr>
          <w:rFonts w:ascii="Book Antiqua" w:hAnsi="Book Antiqua" w:cs="Times New Roman"/>
          <w:sz w:val="24"/>
          <w:szCs w:val="24"/>
        </w:rPr>
        <w:t>there are no proper guidelines for adjuvant treatment. I</w:t>
      </w:r>
      <w:r>
        <w:rPr>
          <w:rFonts w:ascii="Book Antiqua" w:eastAsia="Malgun Gothic" w:hAnsi="Book Antiqua" w:cs="Times New Roman"/>
          <w:sz w:val="24"/>
          <w:szCs w:val="24"/>
        </w:rPr>
        <w:t xml:space="preserve">t is necessary to discuss each clinical experience and consider an appropriate method for the preoperative diagnosis and treatment. </w:t>
      </w:r>
    </w:p>
    <w:p w14:paraId="5773325D" w14:textId="77777777" w:rsidR="00723895" w:rsidRDefault="00723895">
      <w:pPr>
        <w:pStyle w:val="11"/>
        <w:wordWrap/>
        <w:spacing w:line="360" w:lineRule="auto"/>
        <w:rPr>
          <w:rFonts w:ascii="Book Antiqua" w:eastAsiaTheme="minorEastAsia" w:hAnsi="Book Antiqua" w:cs="Times New Roman"/>
          <w:b/>
          <w:bCs/>
          <w:color w:val="004A82"/>
          <w:kern w:val="2"/>
          <w:sz w:val="24"/>
          <w:szCs w:val="24"/>
        </w:rPr>
      </w:pPr>
    </w:p>
    <w:p w14:paraId="79600395" w14:textId="77777777" w:rsidR="00723895" w:rsidRDefault="00000000">
      <w:pPr>
        <w:wordWrap/>
        <w:adjustRightInd w:val="0"/>
        <w:spacing w:after="0" w:line="360" w:lineRule="auto"/>
        <w:rPr>
          <w:rFonts w:ascii="Book Antiqua" w:eastAsia="GoudyOlSt BT Bold" w:hAnsi="Book Antiqua" w:cs="Times New Roman"/>
          <w:b/>
          <w:bCs/>
          <w:color w:val="000000"/>
          <w:sz w:val="24"/>
          <w:szCs w:val="24"/>
          <w:u w:val="single"/>
        </w:rPr>
      </w:pPr>
      <w:r>
        <w:rPr>
          <w:rFonts w:ascii="Book Antiqua" w:eastAsia="GoudyOlSt BT Bold" w:hAnsi="Book Antiqua" w:cs="Times New Roman"/>
          <w:b/>
          <w:bCs/>
          <w:color w:val="000000"/>
          <w:sz w:val="24"/>
          <w:szCs w:val="24"/>
          <w:u w:val="single"/>
        </w:rPr>
        <w:t>INTRODUCTION</w:t>
      </w:r>
    </w:p>
    <w:p w14:paraId="7376573F" w14:textId="77777777" w:rsidR="00723895" w:rsidRDefault="00000000">
      <w:pPr>
        <w:wordWrap/>
        <w:adjustRightInd w:val="0"/>
        <w:spacing w:after="0" w:line="360" w:lineRule="auto"/>
        <w:rPr>
          <w:rFonts w:ascii="Book Antiqua" w:hAnsi="Book Antiqua" w:cs="Times New Roman"/>
          <w:sz w:val="24"/>
          <w:szCs w:val="24"/>
        </w:rPr>
      </w:pPr>
      <w:r>
        <w:rPr>
          <w:rFonts w:ascii="Book Antiqua" w:hAnsi="Book Antiqua" w:cs="Times New Roman"/>
          <w:sz w:val="24"/>
          <w:szCs w:val="24"/>
        </w:rPr>
        <w:t>Primary hepatic neuroendocrine carcinoma is rare, accounting for 0.3% of all neuroendocrine tumors (NETs)</w:t>
      </w:r>
      <w:r>
        <w:rPr>
          <w:rFonts w:ascii="Book Antiqua" w:hAnsi="Book Antiqua" w:cs="Times New Roman"/>
          <w:sz w:val="24"/>
          <w:szCs w:val="24"/>
          <w:vertAlign w:val="superscript"/>
        </w:rPr>
        <w:t>[1]</w:t>
      </w:r>
      <w:r>
        <w:rPr>
          <w:rFonts w:ascii="Book Antiqua" w:hAnsi="Book Antiqua" w:cs="Times New Roman"/>
          <w:sz w:val="24"/>
          <w:szCs w:val="24"/>
        </w:rPr>
        <w:t>. To date, only a few cases have been reported</w:t>
      </w:r>
      <w:r>
        <w:rPr>
          <w:rFonts w:ascii="Book Antiqua" w:hAnsi="Book Antiqua" w:cs="Times New Roman"/>
          <w:sz w:val="24"/>
          <w:szCs w:val="24"/>
          <w:vertAlign w:val="superscript"/>
        </w:rPr>
        <w:t>[1]</w:t>
      </w:r>
      <w:r>
        <w:rPr>
          <w:rFonts w:ascii="Book Antiqua" w:hAnsi="Book Antiqua" w:cs="Times New Roman"/>
          <w:sz w:val="24"/>
          <w:szCs w:val="24"/>
        </w:rPr>
        <w:t xml:space="preserve">. Large-cell neuroendocrine carcinoma is </w:t>
      </w:r>
      <w:r>
        <w:rPr>
          <w:rFonts w:ascii="Book Antiqua" w:eastAsia="Malgun Gothic" w:hAnsi="Book Antiqua" w:cs="Times New Roman"/>
          <w:sz w:val="24"/>
          <w:szCs w:val="24"/>
        </w:rPr>
        <w:t xml:space="preserve">poorly differentiated, and </w:t>
      </w:r>
      <w:r>
        <w:rPr>
          <w:rFonts w:ascii="Book Antiqua" w:hAnsi="Book Antiqua" w:cs="Times New Roman"/>
          <w:sz w:val="24"/>
          <w:szCs w:val="24"/>
        </w:rPr>
        <w:t>its occurrence in the liver</w:t>
      </w:r>
      <w:r>
        <w:rPr>
          <w:rFonts w:ascii="Book Antiqua" w:eastAsia="Malgun Gothic" w:hAnsi="Book Antiqua" w:cs="Times New Roman"/>
          <w:sz w:val="24"/>
          <w:szCs w:val="24"/>
        </w:rPr>
        <w:t xml:space="preserve"> has been </w:t>
      </w:r>
      <w:r>
        <w:rPr>
          <w:rFonts w:ascii="Book Antiqua" w:hAnsi="Book Antiqua" w:cs="Times New Roman"/>
          <w:sz w:val="24"/>
          <w:szCs w:val="24"/>
        </w:rPr>
        <w:t>rarely studied. Preoperative diagnosis is difficult</w:t>
      </w:r>
      <w:r>
        <w:rPr>
          <w:rFonts w:ascii="Book Antiqua" w:eastAsia="Malgun Gothic" w:hAnsi="Book Antiqua" w:cs="Times New Roman"/>
          <w:sz w:val="24"/>
          <w:szCs w:val="24"/>
        </w:rPr>
        <w:t xml:space="preserve">, and most cases are diagnosed postoperatively. </w:t>
      </w:r>
      <w:r>
        <w:rPr>
          <w:rFonts w:ascii="Book Antiqua" w:hAnsi="Book Antiqua" w:cs="Times New Roman"/>
          <w:sz w:val="24"/>
          <w:szCs w:val="24"/>
        </w:rPr>
        <w:t>Resection of the primary hepatic NET is primary treatment</w:t>
      </w:r>
      <w:r>
        <w:rPr>
          <w:rFonts w:ascii="Book Antiqua" w:hAnsi="Book Antiqua" w:cs="Times New Roman"/>
          <w:sz w:val="24"/>
          <w:szCs w:val="24"/>
          <w:vertAlign w:val="superscript"/>
        </w:rPr>
        <w:t>[2]</w:t>
      </w:r>
      <w:r>
        <w:rPr>
          <w:rFonts w:ascii="Book Antiqua" w:hAnsi="Book Antiqua" w:cs="Times New Roman"/>
          <w:sz w:val="24"/>
          <w:szCs w:val="24"/>
        </w:rPr>
        <w:t xml:space="preserve"> because t</w:t>
      </w:r>
      <w:r>
        <w:rPr>
          <w:rFonts w:ascii="Book Antiqua" w:eastAsia="Malgun Gothic" w:hAnsi="Book Antiqua" w:cs="Times New Roman"/>
          <w:sz w:val="24"/>
          <w:szCs w:val="24"/>
        </w:rPr>
        <w:t xml:space="preserve">he </w:t>
      </w:r>
      <w:r>
        <w:rPr>
          <w:rFonts w:ascii="Book Antiqua" w:hAnsi="Book Antiqua" w:cs="Times New Roman"/>
          <w:sz w:val="24"/>
          <w:szCs w:val="24"/>
        </w:rPr>
        <w:t xml:space="preserve">biological behavior of neuroendocrine carcinoma </w:t>
      </w:r>
      <w:r>
        <w:rPr>
          <w:rFonts w:ascii="Book Antiqua" w:eastAsia="Malgun Gothic" w:hAnsi="Book Antiqua" w:cs="Times New Roman"/>
          <w:sz w:val="24"/>
          <w:szCs w:val="24"/>
        </w:rPr>
        <w:t>is more aggressive than that of adenocarcinoma</w:t>
      </w:r>
      <w:r>
        <w:rPr>
          <w:rFonts w:ascii="Book Antiqua" w:eastAsia="Malgun Gothic" w:hAnsi="Book Antiqua" w:cs="Times New Roman"/>
          <w:sz w:val="24"/>
          <w:szCs w:val="24"/>
          <w:vertAlign w:val="superscript"/>
        </w:rPr>
        <w:t>[</w:t>
      </w:r>
      <w:r>
        <w:rPr>
          <w:rFonts w:ascii="Book Antiqua" w:hAnsi="Book Antiqua" w:cs="Times New Roman"/>
          <w:sz w:val="24"/>
          <w:szCs w:val="24"/>
          <w:vertAlign w:val="superscript"/>
        </w:rPr>
        <w:t>3]</w:t>
      </w:r>
      <w:r>
        <w:rPr>
          <w:rFonts w:ascii="Book Antiqua" w:hAnsi="Book Antiqua" w:cs="Times New Roman"/>
          <w:sz w:val="24"/>
          <w:szCs w:val="24"/>
        </w:rPr>
        <w:t xml:space="preserve">. We report a rare case of a combined primary tumor [large-cell neuroendocrine carcinoma (90%) and hepatocellular carcinoma (10%)] of the liver. Through its pathogenesis and prognosis, we hope that clinicians </w:t>
      </w:r>
      <w:r>
        <w:rPr>
          <w:rFonts w:ascii="Book Antiqua" w:eastAsia="Malgun Gothic" w:hAnsi="Book Antiqua" w:cs="Times New Roman"/>
          <w:sz w:val="24"/>
          <w:szCs w:val="24"/>
        </w:rPr>
        <w:t>will gain a better</w:t>
      </w:r>
      <w:r>
        <w:rPr>
          <w:rFonts w:ascii="Book Antiqua" w:hAnsi="Book Antiqua" w:cs="Times New Roman"/>
          <w:sz w:val="24"/>
          <w:szCs w:val="24"/>
        </w:rPr>
        <w:t xml:space="preserve"> clinical understanding of collision tumors.</w:t>
      </w:r>
    </w:p>
    <w:p w14:paraId="1DFE104A" w14:textId="77777777" w:rsidR="00723895" w:rsidRDefault="00723895">
      <w:pPr>
        <w:wordWrap/>
        <w:spacing w:after="0" w:line="360" w:lineRule="auto"/>
        <w:rPr>
          <w:rFonts w:ascii="Book Antiqua" w:hAnsi="Book Antiqua" w:cs="Times New Roman"/>
          <w:sz w:val="24"/>
          <w:szCs w:val="24"/>
        </w:rPr>
      </w:pPr>
    </w:p>
    <w:p w14:paraId="36C398DC" w14:textId="77777777" w:rsidR="00723895" w:rsidRDefault="00000000">
      <w:pPr>
        <w:wordWrap/>
        <w:spacing w:after="0" w:line="360" w:lineRule="auto"/>
        <w:rPr>
          <w:rFonts w:ascii="Book Antiqua" w:hAnsi="Book Antiqua" w:cs="Times New Roman"/>
          <w:b/>
          <w:bCs/>
          <w:sz w:val="24"/>
          <w:szCs w:val="24"/>
          <w:u w:val="single"/>
        </w:rPr>
      </w:pPr>
      <w:r>
        <w:rPr>
          <w:rFonts w:ascii="Book Antiqua" w:hAnsi="Book Antiqua" w:cs="Times New Roman"/>
          <w:b/>
          <w:bCs/>
          <w:sz w:val="24"/>
          <w:szCs w:val="24"/>
          <w:u w:val="single"/>
        </w:rPr>
        <w:t>CASE PRESENTATION</w:t>
      </w:r>
    </w:p>
    <w:p w14:paraId="08CC0FAF" w14:textId="77777777" w:rsidR="00723895" w:rsidRDefault="00000000">
      <w:pPr>
        <w:wordWrap/>
        <w:spacing w:after="0" w:line="360" w:lineRule="auto"/>
        <w:rPr>
          <w:rFonts w:ascii="Book Antiqua" w:hAnsi="Book Antiqua" w:cs="Times New Roman"/>
          <w:b/>
          <w:bCs/>
          <w:i/>
          <w:iCs/>
          <w:sz w:val="24"/>
          <w:szCs w:val="24"/>
        </w:rPr>
      </w:pPr>
      <w:r>
        <w:rPr>
          <w:rFonts w:ascii="Book Antiqua" w:hAnsi="Book Antiqua" w:cs="Times New Roman"/>
          <w:b/>
          <w:bCs/>
          <w:i/>
          <w:iCs/>
          <w:sz w:val="24"/>
          <w:szCs w:val="24"/>
        </w:rPr>
        <w:t>Chief symptoms</w:t>
      </w:r>
    </w:p>
    <w:p w14:paraId="1782654C" w14:textId="77777777" w:rsidR="00723895" w:rsidRDefault="00000000">
      <w:pPr>
        <w:wordWrap/>
        <w:spacing w:after="0" w:line="360" w:lineRule="auto"/>
        <w:rPr>
          <w:rFonts w:ascii="Book Antiqua" w:eastAsia="Malgun Gothic" w:hAnsi="Book Antiqua" w:cs="Times New Roman"/>
          <w:sz w:val="24"/>
          <w:szCs w:val="24"/>
        </w:rPr>
      </w:pPr>
      <w:r>
        <w:rPr>
          <w:rFonts w:ascii="Book Antiqua" w:hAnsi="Book Antiqua" w:cs="Times New Roman"/>
          <w:sz w:val="24"/>
          <w:szCs w:val="24"/>
        </w:rPr>
        <w:t xml:space="preserve">A 73-year-old woman presented with a hepatic mass discovered during </w:t>
      </w:r>
      <w:r>
        <w:rPr>
          <w:rFonts w:ascii="Book Antiqua" w:eastAsia="Malgun Gothic" w:hAnsi="Book Antiqua" w:cs="Times New Roman"/>
          <w:sz w:val="24"/>
          <w:szCs w:val="24"/>
        </w:rPr>
        <w:t xml:space="preserve">a periodic follow-up for chronic hepatitis B. </w:t>
      </w:r>
    </w:p>
    <w:p w14:paraId="0074DB59" w14:textId="77777777" w:rsidR="00723895" w:rsidRDefault="00723895">
      <w:pPr>
        <w:wordWrap/>
        <w:spacing w:after="0" w:line="360" w:lineRule="auto"/>
        <w:rPr>
          <w:rFonts w:ascii="Book Antiqua" w:eastAsia="Malgun Gothic" w:hAnsi="Book Antiqua" w:cs="Times New Roman"/>
          <w:sz w:val="24"/>
          <w:szCs w:val="24"/>
        </w:rPr>
      </w:pPr>
    </w:p>
    <w:p w14:paraId="1E0F846E" w14:textId="77777777" w:rsidR="00723895" w:rsidRDefault="00000000">
      <w:pPr>
        <w:wordWrap/>
        <w:spacing w:after="0" w:line="360" w:lineRule="auto"/>
        <w:rPr>
          <w:rFonts w:ascii="Book Antiqua" w:eastAsia="Malgun Gothic" w:hAnsi="Book Antiqua" w:cs="Times New Roman"/>
          <w:b/>
          <w:bCs/>
          <w:i/>
          <w:iCs/>
          <w:sz w:val="24"/>
          <w:szCs w:val="24"/>
        </w:rPr>
      </w:pPr>
      <w:r>
        <w:rPr>
          <w:rFonts w:ascii="Book Antiqua" w:eastAsia="Malgun Gothic" w:hAnsi="Book Antiqua" w:cs="Times New Roman"/>
          <w:b/>
          <w:bCs/>
          <w:i/>
          <w:iCs/>
          <w:sz w:val="24"/>
          <w:szCs w:val="24"/>
        </w:rPr>
        <w:t>History of past illness</w:t>
      </w:r>
    </w:p>
    <w:p w14:paraId="5458320C" w14:textId="77777777" w:rsidR="00723895" w:rsidRDefault="00000000">
      <w:pPr>
        <w:wordWrap/>
        <w:spacing w:after="0" w:line="360" w:lineRule="auto"/>
        <w:rPr>
          <w:rFonts w:ascii="Book Antiqua" w:hAnsi="Book Antiqua"/>
          <w:sz w:val="24"/>
          <w:szCs w:val="24"/>
        </w:rPr>
      </w:pPr>
      <w:r>
        <w:rPr>
          <w:rFonts w:ascii="Book Antiqua" w:hAnsi="Book Antiqua" w:cs="Times New Roman"/>
          <w:sz w:val="24"/>
          <w:szCs w:val="24"/>
        </w:rPr>
        <w:t xml:space="preserve">The patient reported no clinical symptoms of illness. </w:t>
      </w:r>
      <w:r>
        <w:rPr>
          <w:rFonts w:ascii="Book Antiqua" w:hAnsi="Book Antiqua"/>
          <w:sz w:val="24"/>
          <w:szCs w:val="24"/>
        </w:rPr>
        <w:t>She also had a negative medical history.</w:t>
      </w:r>
    </w:p>
    <w:p w14:paraId="5684E3A4" w14:textId="77777777" w:rsidR="00723895" w:rsidRDefault="00723895">
      <w:pPr>
        <w:wordWrap/>
        <w:spacing w:after="0" w:line="360" w:lineRule="auto"/>
        <w:rPr>
          <w:rFonts w:ascii="Book Antiqua" w:hAnsi="Book Antiqua"/>
          <w:sz w:val="24"/>
          <w:szCs w:val="24"/>
        </w:rPr>
      </w:pPr>
    </w:p>
    <w:p w14:paraId="431DF4AD" w14:textId="77777777" w:rsidR="00723895" w:rsidRDefault="00000000">
      <w:pPr>
        <w:wordWrap/>
        <w:spacing w:after="0" w:line="360" w:lineRule="auto"/>
        <w:rPr>
          <w:rFonts w:ascii="Book Antiqua" w:hAnsi="Book Antiqua"/>
          <w:b/>
          <w:bCs/>
          <w:i/>
          <w:iCs/>
          <w:sz w:val="24"/>
          <w:szCs w:val="24"/>
        </w:rPr>
      </w:pPr>
      <w:r>
        <w:rPr>
          <w:rFonts w:ascii="Book Antiqua" w:hAnsi="Book Antiqua"/>
          <w:b/>
          <w:bCs/>
          <w:i/>
          <w:iCs/>
          <w:sz w:val="24"/>
          <w:szCs w:val="24"/>
        </w:rPr>
        <w:t>Personal and family history</w:t>
      </w:r>
    </w:p>
    <w:p w14:paraId="6F40727A" w14:textId="77777777" w:rsidR="00723895" w:rsidRDefault="00000000">
      <w:pPr>
        <w:wordWrap/>
        <w:spacing w:after="0" w:line="360" w:lineRule="auto"/>
        <w:rPr>
          <w:rFonts w:ascii="Book Antiqua" w:hAnsi="Book Antiqua"/>
          <w:sz w:val="24"/>
          <w:szCs w:val="24"/>
        </w:rPr>
      </w:pPr>
      <w:r>
        <w:rPr>
          <w:rFonts w:ascii="Book Antiqua" w:hAnsi="Book Antiqua"/>
          <w:sz w:val="24"/>
          <w:szCs w:val="24"/>
        </w:rPr>
        <w:t>The patient reported no family history of malignant tumors.</w:t>
      </w:r>
    </w:p>
    <w:p w14:paraId="1674A62A" w14:textId="77777777" w:rsidR="00723895" w:rsidRDefault="00723895">
      <w:pPr>
        <w:wordWrap/>
        <w:spacing w:after="0" w:line="360" w:lineRule="auto"/>
        <w:rPr>
          <w:rFonts w:ascii="Book Antiqua" w:hAnsi="Book Antiqua"/>
          <w:sz w:val="24"/>
          <w:szCs w:val="24"/>
        </w:rPr>
      </w:pPr>
    </w:p>
    <w:p w14:paraId="141745D8" w14:textId="77777777" w:rsidR="00723895" w:rsidRDefault="00000000">
      <w:pPr>
        <w:wordWrap/>
        <w:spacing w:after="0" w:line="360" w:lineRule="auto"/>
        <w:rPr>
          <w:rFonts w:ascii="Book Antiqua" w:hAnsi="Book Antiqua"/>
          <w:b/>
          <w:bCs/>
          <w:i/>
          <w:iCs/>
          <w:sz w:val="24"/>
          <w:szCs w:val="24"/>
        </w:rPr>
      </w:pPr>
      <w:r>
        <w:rPr>
          <w:rFonts w:ascii="Book Antiqua" w:hAnsi="Book Antiqua"/>
          <w:b/>
          <w:bCs/>
          <w:i/>
          <w:iCs/>
          <w:sz w:val="24"/>
          <w:szCs w:val="24"/>
        </w:rPr>
        <w:t>Physical examination</w:t>
      </w:r>
    </w:p>
    <w:p w14:paraId="5BDF25DE" w14:textId="77777777" w:rsidR="00723895" w:rsidRDefault="00000000">
      <w:pPr>
        <w:wordWrap/>
        <w:spacing w:after="0" w:line="360" w:lineRule="auto"/>
        <w:rPr>
          <w:rFonts w:ascii="Book Antiqua" w:hAnsi="Book Antiqua"/>
          <w:sz w:val="24"/>
          <w:szCs w:val="24"/>
        </w:rPr>
      </w:pPr>
      <w:r>
        <w:rPr>
          <w:rFonts w:ascii="Book Antiqua" w:hAnsi="Book Antiqua"/>
          <w:sz w:val="24"/>
          <w:szCs w:val="24"/>
        </w:rPr>
        <w:t>The clinical examination showed no tenderness in her abdomen. No palpable mass was detected. Her general condition was good.</w:t>
      </w:r>
    </w:p>
    <w:p w14:paraId="1ABC8A8B" w14:textId="77777777" w:rsidR="00723895" w:rsidRDefault="00723895">
      <w:pPr>
        <w:wordWrap/>
        <w:spacing w:after="0" w:line="360" w:lineRule="auto"/>
        <w:rPr>
          <w:rFonts w:ascii="Book Antiqua" w:hAnsi="Book Antiqua"/>
          <w:sz w:val="24"/>
          <w:szCs w:val="24"/>
        </w:rPr>
      </w:pPr>
    </w:p>
    <w:p w14:paraId="4E1BC89E" w14:textId="77777777" w:rsidR="00723895" w:rsidRDefault="00000000">
      <w:pPr>
        <w:wordWrap/>
        <w:spacing w:after="0" w:line="360" w:lineRule="auto"/>
        <w:rPr>
          <w:rFonts w:ascii="Book Antiqua" w:hAnsi="Book Antiqua"/>
          <w:b/>
          <w:bCs/>
          <w:i/>
          <w:iCs/>
          <w:sz w:val="24"/>
          <w:szCs w:val="24"/>
        </w:rPr>
      </w:pPr>
      <w:r>
        <w:rPr>
          <w:rFonts w:ascii="Book Antiqua" w:hAnsi="Book Antiqua"/>
          <w:b/>
          <w:bCs/>
          <w:i/>
          <w:iCs/>
          <w:sz w:val="24"/>
          <w:szCs w:val="24"/>
        </w:rPr>
        <w:t>Laboratory examinations</w:t>
      </w:r>
    </w:p>
    <w:p w14:paraId="1AEC323D" w14:textId="77777777" w:rsidR="00723895" w:rsidRDefault="00000000">
      <w:pPr>
        <w:wordWrap/>
        <w:spacing w:after="0" w:line="360" w:lineRule="auto"/>
        <w:rPr>
          <w:rFonts w:ascii="Book Antiqua" w:hAnsi="Book Antiqua"/>
          <w:sz w:val="24"/>
          <w:szCs w:val="24"/>
        </w:rPr>
      </w:pPr>
      <w:r>
        <w:rPr>
          <w:rFonts w:ascii="Book Antiqua" w:hAnsi="Book Antiqua" w:cs="Times New Roman"/>
          <w:sz w:val="24"/>
          <w:szCs w:val="24"/>
        </w:rPr>
        <w:t>Hepatobiliary and tumor enzyme levels (carcinoembryonic antigen, carbohydrate antigen 19-9, alpha-fetoprotein, and protein induced by vitamin K absence or antagonist-III) were all normal findings.</w:t>
      </w:r>
    </w:p>
    <w:p w14:paraId="725003A8" w14:textId="77777777" w:rsidR="00723895" w:rsidRDefault="00723895">
      <w:pPr>
        <w:wordWrap/>
        <w:spacing w:after="0" w:line="360" w:lineRule="auto"/>
        <w:rPr>
          <w:rFonts w:ascii="Book Antiqua" w:hAnsi="Book Antiqua"/>
          <w:sz w:val="24"/>
          <w:szCs w:val="24"/>
        </w:rPr>
      </w:pPr>
    </w:p>
    <w:p w14:paraId="02A93866" w14:textId="77777777" w:rsidR="00723895" w:rsidRDefault="00000000">
      <w:pPr>
        <w:wordWrap/>
        <w:spacing w:after="0" w:line="360" w:lineRule="auto"/>
        <w:rPr>
          <w:rFonts w:ascii="Book Antiqua" w:hAnsi="Book Antiqua"/>
          <w:b/>
          <w:bCs/>
          <w:i/>
          <w:iCs/>
          <w:sz w:val="24"/>
          <w:szCs w:val="24"/>
        </w:rPr>
      </w:pPr>
      <w:r>
        <w:rPr>
          <w:rFonts w:ascii="Book Antiqua" w:hAnsi="Book Antiqua"/>
          <w:b/>
          <w:bCs/>
          <w:i/>
          <w:iCs/>
          <w:sz w:val="24"/>
          <w:szCs w:val="24"/>
        </w:rPr>
        <w:t>Imaging examinations</w:t>
      </w:r>
    </w:p>
    <w:p w14:paraId="30E557FA" w14:textId="77777777" w:rsidR="00723895" w:rsidRDefault="00000000">
      <w:pPr>
        <w:wordWrap/>
        <w:spacing w:after="0" w:line="360" w:lineRule="auto"/>
        <w:rPr>
          <w:rFonts w:ascii="Book Antiqua" w:hAnsi="Book Antiqua" w:cs="Times New Roman"/>
          <w:sz w:val="24"/>
          <w:szCs w:val="24"/>
        </w:rPr>
      </w:pPr>
      <w:r>
        <w:rPr>
          <w:rFonts w:ascii="Book Antiqua" w:hAnsi="Book Antiqua" w:cs="Times New Roman"/>
          <w:sz w:val="24"/>
          <w:szCs w:val="24"/>
        </w:rPr>
        <w:t>Upper abdominal ultrasound, computed tomography (CT)</w:t>
      </w:r>
      <w:r>
        <w:rPr>
          <w:rFonts w:ascii="Book Antiqua" w:eastAsia="Malgun Gothic" w:hAnsi="Book Antiqua" w:cs="Times New Roman"/>
          <w:sz w:val="24"/>
          <w:szCs w:val="24"/>
        </w:rPr>
        <w:t>,</w:t>
      </w:r>
      <w:r>
        <w:rPr>
          <w:rFonts w:ascii="Book Antiqua" w:hAnsi="Book Antiqua" w:cs="Times New Roman"/>
          <w:sz w:val="24"/>
          <w:szCs w:val="24"/>
        </w:rPr>
        <w:t xml:space="preserve"> and magnetic resonance imaging (MRI) showed a solitary 4.5</w:t>
      </w:r>
      <w:r>
        <w:rPr>
          <w:rFonts w:ascii="Book Antiqua" w:eastAsia="Malgun Gothic" w:hAnsi="Book Antiqua" w:cs="Times New Roman"/>
          <w:sz w:val="24"/>
          <w:szCs w:val="24"/>
        </w:rPr>
        <w:t>-cm mass lesion in segment 3</w:t>
      </w:r>
      <w:r>
        <w:rPr>
          <w:rFonts w:ascii="Book Antiqua" w:hAnsi="Book Antiqua" w:cs="Times New Roman"/>
          <w:sz w:val="24"/>
          <w:szCs w:val="24"/>
        </w:rPr>
        <w:t xml:space="preserve"> of the liver (Figures 1 and 2). </w:t>
      </w:r>
      <w:r>
        <w:rPr>
          <w:rFonts w:ascii="Book Antiqua" w:eastAsia="Malgun Gothic" w:hAnsi="Book Antiqua" w:cs="Times New Roman"/>
          <w:sz w:val="24"/>
          <w:szCs w:val="24"/>
        </w:rPr>
        <w:t xml:space="preserve">The </w:t>
      </w:r>
      <w:r>
        <w:rPr>
          <w:rFonts w:ascii="Book Antiqua" w:hAnsi="Book Antiqua" w:cs="Times New Roman"/>
          <w:sz w:val="24"/>
          <w:szCs w:val="24"/>
        </w:rPr>
        <w:t xml:space="preserve">preoperative imaging diagnosis was an atypical hepatocellular carcinoma or hepatocellular cholangiocarcinoma combined with lymph node metastasis. The patient refused biopsy and decisively wanted surgery. However, a routine workup was performed to check for metastasis. The chest CT and bone scan showed no metastatic </w:t>
      </w:r>
      <w:r>
        <w:rPr>
          <w:rFonts w:ascii="Book Antiqua" w:hAnsi="Book Antiqua" w:cs="Times New Roman"/>
          <w:color w:val="000000" w:themeColor="text1"/>
          <w:sz w:val="24"/>
          <w:szCs w:val="24"/>
        </w:rPr>
        <w:t>lesions.</w:t>
      </w:r>
      <w:r>
        <w:rPr>
          <w:rFonts w:ascii="Book Antiqua" w:eastAsia="Dotum" w:hAnsi="Book Antiqua"/>
          <w:sz w:val="24"/>
          <w:szCs w:val="24"/>
        </w:rPr>
        <w:t xml:space="preserve"> </w:t>
      </w:r>
      <w:r>
        <w:rPr>
          <w:rFonts w:ascii="Book Antiqua" w:hAnsi="Book Antiqua" w:cs="Times New Roman"/>
          <w:color w:val="000000" w:themeColor="text1"/>
          <w:sz w:val="24"/>
          <w:szCs w:val="24"/>
          <w:shd w:val="clear" w:color="auto" w:fill="FCFCFC"/>
        </w:rPr>
        <w:t>18F-fluorodeoxyglucose positron emission tomography-CT was performed to exclude the possibility of n</w:t>
      </w:r>
      <w:r>
        <w:rPr>
          <w:rFonts w:ascii="Book Antiqua" w:eastAsia="Dotum" w:hAnsi="Book Antiqua"/>
          <w:sz w:val="24"/>
          <w:szCs w:val="24"/>
        </w:rPr>
        <w:t>euroendocrine tumors of the liver metastasizing from neuroendocrine carcinomas of other organs.</w:t>
      </w:r>
      <w:r>
        <w:rPr>
          <w:rFonts w:ascii="Book Antiqua" w:hAnsi="Book Antiqua" w:cs="Times New Roman"/>
          <w:color w:val="000000" w:themeColor="text1"/>
          <w:sz w:val="24"/>
          <w:szCs w:val="24"/>
        </w:rPr>
        <w:t xml:space="preserve"> Two hypermetabolic lesions (SUVmax, 12.6 and 7.8) in </w:t>
      </w:r>
      <w:r>
        <w:rPr>
          <w:rFonts w:ascii="Book Antiqua" w:eastAsia="Malgun Gothic" w:hAnsi="Book Antiqua" w:cs="Times New Roman"/>
          <w:color w:val="000000"/>
          <w:sz w:val="24"/>
          <w:szCs w:val="24"/>
        </w:rPr>
        <w:t xml:space="preserve">the left lateral section </w:t>
      </w:r>
      <w:r>
        <w:rPr>
          <w:rFonts w:ascii="Book Antiqua" w:hAnsi="Book Antiqua" w:cs="Times New Roman"/>
          <w:color w:val="000000" w:themeColor="text1"/>
          <w:sz w:val="24"/>
          <w:szCs w:val="24"/>
        </w:rPr>
        <w:t xml:space="preserve">were detected using </w:t>
      </w:r>
      <w:r>
        <w:rPr>
          <w:rFonts w:ascii="Book Antiqua" w:hAnsi="Book Antiqua" w:cs="Times New Roman"/>
          <w:color w:val="000000" w:themeColor="text1"/>
          <w:sz w:val="24"/>
          <w:szCs w:val="24"/>
          <w:shd w:val="clear" w:color="auto" w:fill="FCFCFC"/>
        </w:rPr>
        <w:t>18F-fluorodeoxyglucose positron emission tomography-computed tomography</w:t>
      </w:r>
      <w:r>
        <w:rPr>
          <w:rFonts w:ascii="Book Antiqua" w:eastAsia="Malgun Gothic" w:hAnsi="Book Antiqua" w:cs="Times New Roman"/>
          <w:sz w:val="24"/>
          <w:szCs w:val="24"/>
        </w:rPr>
        <w:t>.</w:t>
      </w:r>
      <w:r>
        <w:rPr>
          <w:rFonts w:ascii="Book Antiqua" w:hAnsi="Book Antiqua" w:cs="Times New Roman"/>
          <w:sz w:val="24"/>
          <w:szCs w:val="24"/>
        </w:rPr>
        <w:t xml:space="preserve"> No uptake was seen in the metastatic lymph nodes (Figure 3). </w:t>
      </w:r>
    </w:p>
    <w:p w14:paraId="696CF121" w14:textId="77777777" w:rsidR="00723895" w:rsidRDefault="00723895">
      <w:pPr>
        <w:wordWrap/>
        <w:spacing w:after="0" w:line="360" w:lineRule="auto"/>
        <w:rPr>
          <w:rFonts w:ascii="Book Antiqua" w:hAnsi="Book Antiqua" w:cs="Times New Roman"/>
          <w:sz w:val="24"/>
          <w:szCs w:val="24"/>
        </w:rPr>
      </w:pPr>
    </w:p>
    <w:p w14:paraId="136B71A2" w14:textId="77777777" w:rsidR="00723895" w:rsidRDefault="00000000">
      <w:pPr>
        <w:wordWrap/>
        <w:spacing w:after="0" w:line="360" w:lineRule="auto"/>
        <w:rPr>
          <w:rFonts w:ascii="Book Antiqua" w:hAnsi="Book Antiqua" w:cs="Times New Roman"/>
          <w:b/>
          <w:bCs/>
          <w:sz w:val="24"/>
          <w:szCs w:val="24"/>
          <w:u w:val="single"/>
        </w:rPr>
      </w:pPr>
      <w:r>
        <w:rPr>
          <w:rFonts w:ascii="Book Antiqua" w:hAnsi="Book Antiqua" w:cs="Times New Roman"/>
          <w:b/>
          <w:bCs/>
          <w:sz w:val="24"/>
          <w:szCs w:val="24"/>
          <w:u w:val="single"/>
        </w:rPr>
        <w:t>FURTHER DIAGNOSTIC WORK-UP</w:t>
      </w:r>
    </w:p>
    <w:p w14:paraId="1BF303E2" w14:textId="77777777" w:rsidR="00723895" w:rsidRDefault="00000000">
      <w:pPr>
        <w:wordWrap/>
        <w:spacing w:after="0" w:line="360" w:lineRule="auto"/>
        <w:rPr>
          <w:rFonts w:ascii="Book Antiqua" w:eastAsia="Times New Roman" w:hAnsi="Book Antiqua" w:cs="Times New Roman"/>
          <w:sz w:val="24"/>
          <w:szCs w:val="24"/>
        </w:rPr>
      </w:pPr>
      <w:r>
        <w:rPr>
          <w:rFonts w:ascii="Book Antiqua" w:hAnsi="Book Antiqua" w:cs="Times New Roman"/>
          <w:sz w:val="24"/>
          <w:szCs w:val="24"/>
        </w:rPr>
        <w:t xml:space="preserve">We performed a left lateral sectionectomy and </w:t>
      </w:r>
      <w:r>
        <w:rPr>
          <w:rFonts w:ascii="Book Antiqua" w:eastAsia="Malgun Gothic" w:hAnsi="Book Antiqua" w:cs="Times New Roman"/>
          <w:sz w:val="24"/>
          <w:szCs w:val="24"/>
        </w:rPr>
        <w:t xml:space="preserve">lymph node dissection around the hepatoduodenal ligament, retropancreas, and celiac trunk. Histopathology confirmed a collision tumor </w:t>
      </w:r>
      <w:r>
        <w:rPr>
          <w:rFonts w:ascii="Book Antiqua" w:hAnsi="Book Antiqua" w:cs="Times New Roman"/>
          <w:sz w:val="24"/>
          <w:szCs w:val="24"/>
        </w:rPr>
        <w:t xml:space="preserve">consisting of large-cell neuroendocrine carcinoma (90%) and hepatocellular carcinoma (10%) without a transitional zone. The solitary tumor was 6.0 </w:t>
      </w:r>
      <w:r>
        <w:rPr>
          <w:rFonts w:ascii="Book Antiqua" w:eastAsia="Malgun Gothic" w:hAnsi="Book Antiqua" w:cs="Times New Roman"/>
          <w:sz w:val="24"/>
          <w:szCs w:val="24"/>
        </w:rPr>
        <w:t xml:space="preserve">cm </w:t>
      </w:r>
      <w:r>
        <w:rPr>
          <w:rFonts w:ascii="Book Antiqua" w:hAnsi="Book Antiqua" w:cs="Times New Roman"/>
          <w:sz w:val="24"/>
          <w:szCs w:val="24"/>
        </w:rPr>
        <w:t xml:space="preserve">× 5.0 </w:t>
      </w:r>
      <w:r>
        <w:rPr>
          <w:rFonts w:ascii="Book Antiqua" w:eastAsia="Malgun Gothic" w:hAnsi="Book Antiqua" w:cs="Times New Roman"/>
          <w:sz w:val="24"/>
          <w:szCs w:val="24"/>
        </w:rPr>
        <w:t xml:space="preserve">cm </w:t>
      </w:r>
      <w:r>
        <w:rPr>
          <w:rFonts w:ascii="Book Antiqua" w:hAnsi="Book Antiqua" w:cs="Times New Roman"/>
          <w:sz w:val="24"/>
          <w:szCs w:val="24"/>
        </w:rPr>
        <w:t>× 3.5</w:t>
      </w:r>
      <w:r>
        <w:rPr>
          <w:rFonts w:ascii="Book Antiqua" w:eastAsia="Malgun Gothic" w:hAnsi="Book Antiqua" w:cs="Times New Roman"/>
          <w:sz w:val="24"/>
          <w:szCs w:val="24"/>
        </w:rPr>
        <w:t xml:space="preserve"> cm in size. Ninety percent of the </w:t>
      </w:r>
      <w:r>
        <w:rPr>
          <w:rFonts w:ascii="Book Antiqua" w:hAnsi="Book Antiqua" w:cs="Times New Roman"/>
          <w:sz w:val="24"/>
          <w:szCs w:val="24"/>
        </w:rPr>
        <w:t xml:space="preserve">tumor consisted of large-cell neuroendocrine carcinoma with a mitotic count of 110 per 10 high-power fields; it was positive for CD56 and negative for synaptophysin, chromogranin A, and glypcan-3 staining patterns. The other 10% of the tumor consisted of a hepatocellular carcinoma that was positive for glutamine synthetase, cytokeratin 7, cytokeratin 19, hepatocyte-specific antigen, arginase-1, and CD34 staining patterns according to immunohistochemistry (Figure 4). Necrosis was observed in 50% of the tumor. One of </w:t>
      </w:r>
      <w:r>
        <w:rPr>
          <w:rFonts w:ascii="Book Antiqua" w:eastAsia="Malgun Gothic" w:hAnsi="Book Antiqua" w:cs="Times New Roman"/>
          <w:sz w:val="24"/>
          <w:szCs w:val="24"/>
        </w:rPr>
        <w:t xml:space="preserve">the </w:t>
      </w:r>
      <w:r>
        <w:rPr>
          <w:rFonts w:ascii="Book Antiqua" w:hAnsi="Book Antiqua" w:cs="Times New Roman"/>
          <w:sz w:val="24"/>
          <w:szCs w:val="24"/>
        </w:rPr>
        <w:t>three resected lymph nodes was metastatic and contained neuroendocrine carcinoma without extranodal extension. The neuroendocrine carcinoma component showed lymphovascular invasion. The liver had an 18</w:t>
      </w:r>
      <w:r>
        <w:rPr>
          <w:rFonts w:ascii="Book Antiqua" w:eastAsia="Malgun Gothic" w:hAnsi="Book Antiqua" w:cs="Times New Roman"/>
          <w:sz w:val="24"/>
          <w:szCs w:val="24"/>
        </w:rPr>
        <w:t xml:space="preserve">-mm tumor-free margin. </w:t>
      </w:r>
    </w:p>
    <w:p w14:paraId="54E8B923" w14:textId="77777777" w:rsidR="00723895" w:rsidRDefault="00723895">
      <w:pPr>
        <w:wordWrap/>
        <w:spacing w:after="0" w:line="360" w:lineRule="auto"/>
        <w:rPr>
          <w:rFonts w:ascii="Book Antiqua" w:eastAsia="Times New Roman" w:hAnsi="Book Antiqua" w:cs="Times New Roman"/>
          <w:sz w:val="24"/>
          <w:szCs w:val="24"/>
        </w:rPr>
      </w:pPr>
    </w:p>
    <w:p w14:paraId="7F134ADA" w14:textId="77777777" w:rsidR="00723895" w:rsidRDefault="00000000">
      <w:pPr>
        <w:wordWrap/>
        <w:spacing w:after="0" w:line="360" w:lineRule="auto"/>
        <w:rPr>
          <w:rFonts w:ascii="Book Antiqua" w:eastAsia="Times New Roman" w:hAnsi="Book Antiqua" w:cs="Times New Roman"/>
          <w:b/>
          <w:bCs/>
          <w:sz w:val="24"/>
          <w:szCs w:val="24"/>
          <w:u w:val="single"/>
        </w:rPr>
      </w:pPr>
      <w:r>
        <w:rPr>
          <w:rFonts w:ascii="Book Antiqua" w:eastAsia="Times New Roman" w:hAnsi="Book Antiqua" w:cs="Times New Roman"/>
          <w:b/>
          <w:bCs/>
          <w:sz w:val="24"/>
          <w:szCs w:val="24"/>
          <w:u w:val="single"/>
        </w:rPr>
        <w:t>FINAL DIAGNOSIS</w:t>
      </w:r>
    </w:p>
    <w:p w14:paraId="222B96EA" w14:textId="77777777" w:rsidR="00723895" w:rsidRDefault="00000000">
      <w:pPr>
        <w:wordWrap/>
        <w:spacing w:after="0" w:line="360" w:lineRule="auto"/>
        <w:rPr>
          <w:rFonts w:ascii="Book Antiqua" w:hAnsi="Book Antiqua" w:cs="Times New Roman"/>
          <w:sz w:val="24"/>
          <w:szCs w:val="24"/>
        </w:rPr>
      </w:pPr>
      <w:r>
        <w:rPr>
          <w:rFonts w:ascii="Book Antiqua" w:eastAsia="Times New Roman" w:hAnsi="Book Antiqua" w:cs="Times New Roman"/>
          <w:sz w:val="24"/>
          <w:szCs w:val="24"/>
        </w:rPr>
        <w:t xml:space="preserve">Based on the histopathology results, the final diagnosis was </w:t>
      </w:r>
      <w:r>
        <w:rPr>
          <w:rFonts w:ascii="Book Antiqua" w:eastAsia="Malgun Gothic" w:hAnsi="Book Antiqua" w:cs="Times New Roman"/>
          <w:sz w:val="24"/>
          <w:szCs w:val="24"/>
        </w:rPr>
        <w:t xml:space="preserve">a collision tumor </w:t>
      </w:r>
      <w:r>
        <w:rPr>
          <w:rFonts w:ascii="Book Antiqua" w:hAnsi="Book Antiqua" w:cs="Times New Roman"/>
          <w:sz w:val="24"/>
          <w:szCs w:val="24"/>
        </w:rPr>
        <w:t>consisting of large-cell neuroendocrine carcinoma (90%) and hepatocellular carcinoma (10%) with lymph node metastasis.</w:t>
      </w:r>
    </w:p>
    <w:p w14:paraId="7D496373" w14:textId="77777777" w:rsidR="00723895" w:rsidRDefault="00723895">
      <w:pPr>
        <w:wordWrap/>
        <w:spacing w:after="0" w:line="360" w:lineRule="auto"/>
        <w:rPr>
          <w:rFonts w:ascii="Book Antiqua" w:hAnsi="Book Antiqua" w:cs="Times New Roman"/>
          <w:sz w:val="24"/>
          <w:szCs w:val="24"/>
        </w:rPr>
      </w:pPr>
    </w:p>
    <w:p w14:paraId="037927D2" w14:textId="77777777" w:rsidR="00723895" w:rsidRDefault="00000000">
      <w:pPr>
        <w:wordWrap/>
        <w:spacing w:after="0" w:line="360" w:lineRule="auto"/>
        <w:rPr>
          <w:rFonts w:ascii="Book Antiqua" w:hAnsi="Book Antiqua" w:cs="Times New Roman"/>
          <w:b/>
          <w:bCs/>
          <w:sz w:val="24"/>
          <w:szCs w:val="24"/>
          <w:u w:val="single"/>
        </w:rPr>
      </w:pPr>
      <w:r>
        <w:rPr>
          <w:rFonts w:ascii="Book Antiqua" w:hAnsi="Book Antiqua" w:cs="Times New Roman"/>
          <w:b/>
          <w:bCs/>
          <w:sz w:val="24"/>
          <w:szCs w:val="24"/>
          <w:u w:val="single"/>
        </w:rPr>
        <w:t>TREATMENT</w:t>
      </w:r>
    </w:p>
    <w:p w14:paraId="59F94C46" w14:textId="77777777" w:rsidR="00723895" w:rsidRDefault="00000000">
      <w:pPr>
        <w:wordWrap/>
        <w:spacing w:after="0" w:line="360" w:lineRule="auto"/>
        <w:rPr>
          <w:rFonts w:ascii="Book Antiqua" w:hAnsi="Book Antiqua" w:cs="Times New Roman"/>
          <w:sz w:val="24"/>
          <w:szCs w:val="24"/>
        </w:rPr>
      </w:pPr>
      <w:r>
        <w:rPr>
          <w:rFonts w:ascii="Book Antiqua" w:hAnsi="Book Antiqua" w:cs="Times New Roman"/>
          <w:sz w:val="24"/>
          <w:szCs w:val="24"/>
        </w:rPr>
        <w:t xml:space="preserve">After complete resection of combined tumor and </w:t>
      </w:r>
      <w:r>
        <w:rPr>
          <w:rFonts w:ascii="Book Antiqua" w:eastAsia="Malgun Gothic" w:hAnsi="Book Antiqua" w:cs="Times New Roman"/>
          <w:sz w:val="24"/>
          <w:szCs w:val="24"/>
        </w:rPr>
        <w:t xml:space="preserve">lymph node dissection around the hepatoduodenal ligament, retropancreas, and celiac trunk. The </w:t>
      </w:r>
      <w:r>
        <w:rPr>
          <w:rFonts w:ascii="Book Antiqua" w:hAnsi="Book Antiqua" w:cs="Times New Roman"/>
          <w:sz w:val="24"/>
          <w:szCs w:val="24"/>
        </w:rPr>
        <w:t xml:space="preserve">patient was discharged from </w:t>
      </w:r>
      <w:r>
        <w:rPr>
          <w:rFonts w:ascii="Book Antiqua" w:eastAsia="Malgun Gothic" w:hAnsi="Book Antiqua" w:cs="Times New Roman"/>
          <w:sz w:val="24"/>
          <w:szCs w:val="24"/>
        </w:rPr>
        <w:t>the hospital on postoperative</w:t>
      </w:r>
      <w:r>
        <w:rPr>
          <w:rFonts w:ascii="Book Antiqua" w:hAnsi="Book Antiqua" w:cs="Times New Roman"/>
          <w:sz w:val="24"/>
          <w:szCs w:val="24"/>
        </w:rPr>
        <w:t xml:space="preserve"> day 10 and refused adjuvant chemotherapy.</w:t>
      </w:r>
    </w:p>
    <w:p w14:paraId="4BF000FB" w14:textId="77777777" w:rsidR="00723895" w:rsidRDefault="00723895">
      <w:pPr>
        <w:wordWrap/>
        <w:spacing w:after="0" w:line="360" w:lineRule="auto"/>
        <w:rPr>
          <w:rFonts w:ascii="Book Antiqua" w:hAnsi="Book Antiqua" w:cs="Times New Roman"/>
          <w:sz w:val="24"/>
          <w:szCs w:val="24"/>
        </w:rPr>
      </w:pPr>
    </w:p>
    <w:p w14:paraId="51627812" w14:textId="77777777" w:rsidR="00723895" w:rsidRDefault="00000000">
      <w:pPr>
        <w:wordWrap/>
        <w:spacing w:after="0" w:line="360" w:lineRule="auto"/>
        <w:rPr>
          <w:rFonts w:ascii="Book Antiqua" w:hAnsi="Book Antiqua" w:cs="Times New Roman"/>
          <w:b/>
          <w:bCs/>
          <w:sz w:val="24"/>
          <w:szCs w:val="24"/>
          <w:u w:val="single"/>
        </w:rPr>
      </w:pPr>
      <w:r>
        <w:rPr>
          <w:rFonts w:ascii="Book Antiqua" w:hAnsi="Book Antiqua" w:cs="Times New Roman"/>
          <w:b/>
          <w:bCs/>
          <w:sz w:val="24"/>
          <w:szCs w:val="24"/>
          <w:u w:val="single"/>
        </w:rPr>
        <w:t>OUTCOME AND FOLLOW-UP</w:t>
      </w:r>
    </w:p>
    <w:p w14:paraId="49A5310A" w14:textId="77777777" w:rsidR="00723895" w:rsidRDefault="00000000">
      <w:pPr>
        <w:wordWrap/>
        <w:spacing w:after="0" w:line="360" w:lineRule="auto"/>
        <w:rPr>
          <w:rFonts w:ascii="Book Antiqua" w:hAnsi="Book Antiqua" w:cs="Times New Roman"/>
          <w:sz w:val="24"/>
          <w:szCs w:val="24"/>
        </w:rPr>
      </w:pPr>
      <w:r>
        <w:rPr>
          <w:rFonts w:ascii="Book Antiqua" w:hAnsi="Book Antiqua" w:cs="Times New Roman"/>
          <w:sz w:val="24"/>
          <w:szCs w:val="24"/>
        </w:rPr>
        <w:t>She was followed-up as an outpatient for 24 mo during which she had no recurrence.</w:t>
      </w:r>
    </w:p>
    <w:p w14:paraId="6157390D" w14:textId="77777777" w:rsidR="00723895" w:rsidRDefault="00723895">
      <w:pPr>
        <w:wordWrap/>
        <w:spacing w:after="0" w:line="360" w:lineRule="auto"/>
        <w:rPr>
          <w:rFonts w:ascii="Book Antiqua" w:hAnsi="Book Antiqua" w:cs="Times New Roman"/>
          <w:sz w:val="24"/>
          <w:szCs w:val="24"/>
        </w:rPr>
      </w:pPr>
    </w:p>
    <w:p w14:paraId="6A34A18E" w14:textId="77777777" w:rsidR="00723895" w:rsidRDefault="00000000">
      <w:pPr>
        <w:wordWrap/>
        <w:spacing w:after="0" w:line="360" w:lineRule="auto"/>
        <w:rPr>
          <w:rFonts w:ascii="Book Antiqua" w:hAnsi="Book Antiqua" w:cs="Times New Roman"/>
          <w:b/>
          <w:bCs/>
          <w:sz w:val="24"/>
          <w:szCs w:val="24"/>
          <w:u w:val="single"/>
        </w:rPr>
      </w:pPr>
      <w:r>
        <w:rPr>
          <w:rFonts w:ascii="Book Antiqua" w:hAnsi="Book Antiqua" w:cs="Times New Roman"/>
          <w:b/>
          <w:bCs/>
          <w:sz w:val="24"/>
          <w:szCs w:val="24"/>
          <w:u w:val="single"/>
        </w:rPr>
        <w:t>DISCUSSION</w:t>
      </w:r>
    </w:p>
    <w:p w14:paraId="0026ABC4" w14:textId="77777777" w:rsidR="00723895" w:rsidRDefault="00000000">
      <w:pPr>
        <w:wordWrap/>
        <w:spacing w:after="0" w:line="360" w:lineRule="auto"/>
        <w:rPr>
          <w:rFonts w:ascii="Book Antiqua" w:hAnsi="Book Antiqua" w:cs="Times New Roman"/>
          <w:sz w:val="24"/>
          <w:szCs w:val="24"/>
        </w:rPr>
      </w:pPr>
      <w:r>
        <w:rPr>
          <w:rFonts w:ascii="Book Antiqua" w:hAnsi="Book Antiqua" w:cs="Times New Roman"/>
          <w:sz w:val="24"/>
          <w:szCs w:val="24"/>
        </w:rPr>
        <w:t>The co-occurrence of two distinct tumors in the liver is histologically classified as a collision or combined tumor. It can show as a collision tumor in which properties of both tumors mixed and cannot be significantly separated in the transitional part within a single tumor lesion. A co-occurrence tumor presents two histologically different tumors involving the same body part with no histologic aggregation. They co-exist with distance or adherence, in which the tumors are divided by a fibrous</w:t>
      </w:r>
      <w:r>
        <w:rPr>
          <w:rFonts w:ascii="Book Antiqua" w:eastAsia="Malgun Gothic" w:hAnsi="Book Antiqua" w:cs="Times New Roman"/>
          <w:color w:val="000000"/>
          <w:sz w:val="24"/>
          <w:szCs w:val="24"/>
        </w:rPr>
        <w:t xml:space="preserve"> </w:t>
      </w:r>
      <w:r>
        <w:rPr>
          <w:rFonts w:ascii="Book Antiqua" w:hAnsi="Book Antiqua" w:cs="Times New Roman"/>
          <w:sz w:val="24"/>
          <w:szCs w:val="24"/>
        </w:rPr>
        <w:t>tissue</w:t>
      </w:r>
      <w:r>
        <w:rPr>
          <w:rFonts w:ascii="Book Antiqua" w:hAnsi="Book Antiqua" w:cs="Times New Roman"/>
          <w:sz w:val="24"/>
          <w:szCs w:val="24"/>
          <w:vertAlign w:val="superscript"/>
        </w:rPr>
        <w:t>[4]</w:t>
      </w:r>
      <w:r>
        <w:rPr>
          <w:rFonts w:ascii="Book Antiqua" w:hAnsi="Book Antiqua" w:cs="Times New Roman"/>
          <w:sz w:val="24"/>
          <w:szCs w:val="24"/>
        </w:rPr>
        <w:t>. In our case, the small hepatocellular carcinoma (HCC) component (10%)</w:t>
      </w:r>
      <w:r>
        <w:rPr>
          <w:rFonts w:ascii="Book Antiqua" w:eastAsiaTheme="majorHAnsi" w:hAnsi="Book Antiqua" w:cs="Times New Roman"/>
          <w:color w:val="000000"/>
          <w:sz w:val="24"/>
          <w:szCs w:val="24"/>
          <w:shd w:val="clear" w:color="auto" w:fill="FFFFFF"/>
        </w:rPr>
        <w:t xml:space="preserve"> was floating within the large-cell neuroendocrine carcinoma. The etiological </w:t>
      </w:r>
      <w:r>
        <w:rPr>
          <w:rFonts w:ascii="Book Antiqua" w:eastAsia="Malgun Gothic" w:hAnsi="Book Antiqua" w:cs="Times New Roman"/>
          <w:color w:val="000000"/>
          <w:sz w:val="24"/>
          <w:szCs w:val="24"/>
        </w:rPr>
        <w:t>id</w:t>
      </w:r>
      <w:r>
        <w:rPr>
          <w:rFonts w:ascii="Book Antiqua" w:eastAsiaTheme="majorHAnsi" w:hAnsi="Book Antiqua" w:cs="Times New Roman"/>
          <w:color w:val="000000"/>
          <w:sz w:val="24"/>
          <w:szCs w:val="24"/>
          <w:shd w:val="clear" w:color="auto" w:fill="FFFFFF"/>
        </w:rPr>
        <w:t xml:space="preserve">entification of </w:t>
      </w:r>
      <w:r>
        <w:rPr>
          <w:rFonts w:ascii="Book Antiqua" w:eastAsia="Malgun Gothic" w:hAnsi="Book Antiqua" w:cs="Times New Roman"/>
          <w:color w:val="000000"/>
          <w:sz w:val="24"/>
          <w:szCs w:val="24"/>
        </w:rPr>
        <w:t xml:space="preserve">neuroendocrine components in a combined NEC and HCC </w:t>
      </w:r>
      <w:r>
        <w:rPr>
          <w:rFonts w:ascii="Book Antiqua" w:eastAsiaTheme="majorHAnsi" w:hAnsi="Book Antiqua" w:cs="Times New Roman"/>
          <w:color w:val="000000"/>
          <w:sz w:val="24"/>
          <w:szCs w:val="24"/>
          <w:shd w:val="clear" w:color="auto" w:fill="FFFFFF"/>
        </w:rPr>
        <w:t>remains controversial. If a poorly developed tumor clone of HCC undergoes neuroendocrine differentiation and transforms into an NEC, then it is possible for an original HCC to be completely replaced by NEC</w:t>
      </w:r>
      <w:r>
        <w:rPr>
          <w:rFonts w:ascii="Book Antiqua" w:eastAsiaTheme="majorHAnsi" w:hAnsi="Book Antiqua" w:cs="Times New Roman"/>
          <w:color w:val="000000"/>
          <w:sz w:val="24"/>
          <w:szCs w:val="24"/>
          <w:shd w:val="clear" w:color="auto" w:fill="FFFFFF"/>
          <w:vertAlign w:val="superscript"/>
        </w:rPr>
        <w:t>[5]</w:t>
      </w:r>
      <w:r>
        <w:rPr>
          <w:rFonts w:ascii="Book Antiqua" w:eastAsiaTheme="majorHAnsi" w:hAnsi="Book Antiqua" w:cs="Times New Roman"/>
          <w:color w:val="000000"/>
          <w:sz w:val="24"/>
          <w:szCs w:val="24"/>
          <w:shd w:val="clear" w:color="auto" w:fill="FFFFFF"/>
        </w:rPr>
        <w:t xml:space="preserve">. This statement aligns with the findings of </w:t>
      </w:r>
      <w:r>
        <w:rPr>
          <w:rFonts w:ascii="Book Antiqua" w:eastAsia="함초롬바탕" w:hAnsi="Book Antiqua" w:cs="Times New Roman"/>
          <w:sz w:val="24"/>
          <w:szCs w:val="24"/>
        </w:rPr>
        <w:t xml:space="preserve">our report. </w:t>
      </w:r>
      <w:r>
        <w:rPr>
          <w:rFonts w:ascii="Book Antiqua" w:eastAsiaTheme="majorHAnsi" w:hAnsi="Book Antiqua" w:cs="Times New Roman"/>
          <w:color w:val="000000"/>
          <w:sz w:val="24"/>
          <w:szCs w:val="24"/>
          <w:shd w:val="clear" w:color="auto" w:fill="FFFFFF"/>
        </w:rPr>
        <w:t>Immunohistochemical staining with chromogranin-A, synaptophysin</w:t>
      </w:r>
      <w:r>
        <w:rPr>
          <w:rFonts w:ascii="Book Antiqua" w:eastAsia="Malgun Gothic" w:hAnsi="Book Antiqua" w:cs="Times New Roman"/>
          <w:color w:val="000000"/>
          <w:sz w:val="24"/>
          <w:szCs w:val="24"/>
        </w:rPr>
        <w:t xml:space="preserve">, and CD56 was performed on the resected specimens for the diagnosis of neuroendocrine neoplasms (NENs). Positive staining of &gt; 2 of these markers </w:t>
      </w:r>
      <w:r>
        <w:rPr>
          <w:rFonts w:ascii="Book Antiqua" w:eastAsiaTheme="majorHAnsi" w:hAnsi="Book Antiqua" w:cs="Times New Roman"/>
          <w:color w:val="000000"/>
          <w:sz w:val="24"/>
          <w:szCs w:val="24"/>
          <w:shd w:val="clear" w:color="auto" w:fill="FFFFFF"/>
        </w:rPr>
        <w:t>has been reported in &gt; 80% of large-cell neuroendocrine carcinomas (NECs)</w:t>
      </w:r>
      <w:r>
        <w:rPr>
          <w:rFonts w:ascii="Book Antiqua" w:eastAsiaTheme="majorHAnsi" w:hAnsi="Book Antiqua" w:cs="Times New Roman"/>
          <w:color w:val="000000"/>
          <w:sz w:val="24"/>
          <w:szCs w:val="24"/>
          <w:shd w:val="clear" w:color="auto" w:fill="FFFFFF"/>
          <w:vertAlign w:val="superscript"/>
        </w:rPr>
        <w:t>[6]</w:t>
      </w:r>
      <w:r>
        <w:rPr>
          <w:rFonts w:ascii="Book Antiqua" w:eastAsiaTheme="majorHAnsi" w:hAnsi="Book Antiqua" w:cs="Times New Roman"/>
          <w:color w:val="000000"/>
          <w:sz w:val="24"/>
          <w:szCs w:val="24"/>
          <w:shd w:val="clear" w:color="auto" w:fill="FFFFFF"/>
        </w:rPr>
        <w:t>. However, primary NEC with concurrent HCC is rare.</w:t>
      </w:r>
      <w:r>
        <w:rPr>
          <w:rFonts w:ascii="Book Antiqua" w:hAnsi="Book Antiqua" w:cs="Times New Roman"/>
          <w:sz w:val="24"/>
          <w:szCs w:val="24"/>
        </w:rPr>
        <w:t xml:space="preserve"> NECs, mixed neuroendocrine-non-neuroendocrine neoplasms</w:t>
      </w:r>
      <w:r>
        <w:rPr>
          <w:rFonts w:ascii="Book Antiqua" w:eastAsia="Malgun Gothic" w:hAnsi="Book Antiqua" w:cs="Times New Roman"/>
          <w:sz w:val="24"/>
          <w:szCs w:val="24"/>
        </w:rPr>
        <w:t xml:space="preserve">, or collision </w:t>
      </w:r>
      <w:r>
        <w:rPr>
          <w:rFonts w:ascii="Book Antiqua" w:hAnsi="Book Antiqua" w:cs="Times New Roman"/>
          <w:sz w:val="24"/>
          <w:szCs w:val="24"/>
        </w:rPr>
        <w:t xml:space="preserve">tumors originating from </w:t>
      </w:r>
      <w:r>
        <w:rPr>
          <w:rFonts w:ascii="Book Antiqua" w:eastAsia="Malgun Gothic" w:hAnsi="Book Antiqua" w:cs="Times New Roman"/>
          <w:sz w:val="24"/>
          <w:szCs w:val="24"/>
        </w:rPr>
        <w:t xml:space="preserve">the liver are extremely rare, and preoperative diagnosis can be difficult, especially in areas with a high prevalence of HCC. </w:t>
      </w:r>
      <w:r>
        <w:rPr>
          <w:rFonts w:ascii="Book Antiqua" w:hAnsi="Book Antiqua" w:cs="Times New Roman"/>
          <w:color w:val="000000"/>
          <w:sz w:val="24"/>
          <w:szCs w:val="24"/>
          <w:shd w:val="clear" w:color="auto" w:fill="FFFFFF"/>
        </w:rPr>
        <w:t>The management of NENs is complicated</w:t>
      </w:r>
      <w:r>
        <w:rPr>
          <w:rFonts w:ascii="Book Antiqua" w:eastAsia="Malgun Gothic" w:hAnsi="Book Antiqua" w:cs="Times New Roman"/>
          <w:color w:val="000000"/>
          <w:sz w:val="24"/>
          <w:szCs w:val="24"/>
        </w:rPr>
        <w:t xml:space="preserve">; therefore, </w:t>
      </w:r>
      <w:r>
        <w:rPr>
          <w:rFonts w:ascii="Book Antiqua" w:hAnsi="Book Antiqua" w:cs="Times New Roman"/>
          <w:color w:val="000000"/>
          <w:sz w:val="24"/>
          <w:szCs w:val="24"/>
          <w:shd w:val="clear" w:color="auto" w:fill="FFFFFF"/>
        </w:rPr>
        <w:t>histologic grading and staging of the lesion are essential for proper decision making. No</w:t>
      </w:r>
      <w:r>
        <w:rPr>
          <w:rFonts w:ascii="Book Antiqua" w:hAnsi="Book Antiqua" w:cs="Times New Roman"/>
          <w:sz w:val="24"/>
          <w:szCs w:val="24"/>
        </w:rPr>
        <w:t xml:space="preserve"> rational surgical strategies for these tumors have been reported for various reasons, including the rarity of the disease, the lack of predictive prognostic factors, the inability to identify progression, and the limited understanding of the biology of the lesion</w:t>
      </w:r>
      <w:r>
        <w:rPr>
          <w:rFonts w:ascii="Book Antiqua" w:hAnsi="Book Antiqua" w:cs="Times New Roman"/>
          <w:sz w:val="24"/>
          <w:szCs w:val="24"/>
          <w:vertAlign w:val="superscript"/>
        </w:rPr>
        <w:t>[7]</w:t>
      </w:r>
      <w:r>
        <w:rPr>
          <w:rFonts w:ascii="Book Antiqua" w:hAnsi="Book Antiqua" w:cs="Times New Roman"/>
          <w:sz w:val="24"/>
          <w:szCs w:val="24"/>
        </w:rPr>
        <w:t xml:space="preserve">. However, a </w:t>
      </w:r>
      <w:r>
        <w:rPr>
          <w:rFonts w:ascii="Book Antiqua" w:hAnsi="Book Antiqua" w:cs="Times New Roman"/>
          <w:color w:val="000000"/>
          <w:sz w:val="24"/>
          <w:szCs w:val="24"/>
          <w:shd w:val="clear" w:color="auto" w:fill="FFFFFF"/>
        </w:rPr>
        <w:t xml:space="preserve">complete resection of the resectable locoregional NET has excellent outcomes. </w:t>
      </w:r>
      <w:r>
        <w:rPr>
          <w:rFonts w:ascii="Book Antiqua" w:hAnsi="Book Antiqua" w:cs="Times New Roman"/>
          <w:sz w:val="24"/>
          <w:szCs w:val="24"/>
        </w:rPr>
        <w:t xml:space="preserve">Nodal involvement appears to have low significance in long-term survival. Because a more advanced stage does not predict a worse prognosis, staging using the American Joint Committee on Cancer TNM and European Neuroendocrine Tumor Society staging </w:t>
      </w:r>
      <w:r>
        <w:rPr>
          <w:rFonts w:ascii="Book Antiqua" w:hAnsi="Book Antiqua" w:cs="Times New Roman"/>
          <w:sz w:val="24"/>
          <w:szCs w:val="24"/>
        </w:rPr>
        <w:lastRenderedPageBreak/>
        <w:t xml:space="preserve">systems is insufficient in predicting prognosis. However, surgical resection with regional node resection is necessary for </w:t>
      </w:r>
      <w:r>
        <w:rPr>
          <w:rFonts w:ascii="Book Antiqua" w:eastAsia="Malgun Gothic" w:hAnsi="Book Antiqua" w:cs="Times New Roman"/>
          <w:sz w:val="24"/>
          <w:szCs w:val="24"/>
        </w:rPr>
        <w:t>treatment and staging</w:t>
      </w:r>
      <w:r>
        <w:rPr>
          <w:rFonts w:ascii="Book Antiqua" w:eastAsia="Malgun Gothic" w:hAnsi="Book Antiqua" w:cs="Times New Roman"/>
          <w:sz w:val="24"/>
          <w:szCs w:val="24"/>
          <w:vertAlign w:val="superscript"/>
        </w:rPr>
        <w:t>[</w:t>
      </w:r>
      <w:r>
        <w:rPr>
          <w:rFonts w:ascii="Book Antiqua" w:hAnsi="Book Antiqua" w:cs="Times New Roman"/>
          <w:sz w:val="24"/>
          <w:szCs w:val="24"/>
          <w:vertAlign w:val="superscript"/>
        </w:rPr>
        <w:t>8]</w:t>
      </w:r>
      <w:r>
        <w:rPr>
          <w:rFonts w:ascii="Book Antiqua" w:hAnsi="Book Antiqua" w:cs="Times New Roman"/>
          <w:sz w:val="24"/>
          <w:szCs w:val="24"/>
        </w:rPr>
        <w:t>. Despite the progress of imaging techniques, preoperative diagnosis of NETs is still complicated. In particular, cholangiocarcinoma has similar characteristics and morphology to NETs on various imaging modalities including ultrasound, CT and MRI. Preoperative tissue confirmation can be helpful, and endoscopic ultrasound-guided biopsy is considered to be more useful than endoscopic biopsy alone in obtaining an accurate preoperative diagnosis. However, preoperative biopsy cannot differentiate NET from NEC. Chromogranin A is known to be escalated in ninety percent of gut NETs and is related to tumor load and recurrence</w:t>
      </w:r>
      <w:r>
        <w:rPr>
          <w:rFonts w:ascii="Book Antiqua" w:hAnsi="Book Antiqua" w:cs="Times New Roman"/>
          <w:sz w:val="24"/>
          <w:szCs w:val="24"/>
          <w:vertAlign w:val="superscript"/>
        </w:rPr>
        <w:t>[9]</w:t>
      </w:r>
      <w:r>
        <w:rPr>
          <w:rFonts w:ascii="Book Antiqua" w:hAnsi="Book Antiqua" w:cs="Times New Roman"/>
          <w:sz w:val="24"/>
          <w:szCs w:val="24"/>
        </w:rPr>
        <w:t>. Consequently, serum chromogranin A could be a valuable marker for the diagnosis of NETs prior to surgery. However, it is not pragmatic because of the rarity of NETs. In our case, adjuvant chemotherapy with cisplatin and etoposide was recommended post-surgery</w:t>
      </w:r>
      <w:r>
        <w:rPr>
          <w:rFonts w:ascii="Book Antiqua" w:eastAsia="Malgun Gothic" w:hAnsi="Book Antiqua" w:cs="Times New Roman"/>
          <w:sz w:val="24"/>
          <w:szCs w:val="24"/>
        </w:rPr>
        <w:t xml:space="preserve"> because the patient</w:t>
      </w:r>
      <w:r>
        <w:rPr>
          <w:rFonts w:ascii="Book Antiqua" w:hAnsi="Book Antiqua" w:cs="Times New Roman"/>
          <w:sz w:val="24"/>
          <w:szCs w:val="24"/>
        </w:rPr>
        <w:t xml:space="preserve"> had a 90% large-cell neuroendocrine carcinoma with lymph node metastasis. However, the patient refused adjuvant treatment. No recurrence was observed after </w:t>
      </w:r>
      <w:r>
        <w:rPr>
          <w:rFonts w:ascii="Book Antiqua" w:eastAsia="Malgun Gothic" w:hAnsi="Book Antiqua" w:cs="Times New Roman"/>
          <w:sz w:val="24"/>
          <w:szCs w:val="24"/>
        </w:rPr>
        <w:t>the cur</w:t>
      </w:r>
      <w:r>
        <w:rPr>
          <w:rFonts w:ascii="Book Antiqua" w:hAnsi="Book Antiqua" w:cs="Times New Roman"/>
          <w:sz w:val="24"/>
          <w:szCs w:val="24"/>
        </w:rPr>
        <w:t>ative surgery. W</w:t>
      </w:r>
      <w:r>
        <w:rPr>
          <w:rFonts w:ascii="Book Antiqua" w:eastAsia="함초롬바탕" w:hAnsi="Book Antiqua" w:cs="Times New Roman"/>
          <w:sz w:val="24"/>
          <w:szCs w:val="24"/>
        </w:rPr>
        <w:t xml:space="preserve">e performed a retrospective review at a single center. </w:t>
      </w:r>
      <w:r>
        <w:rPr>
          <w:rFonts w:ascii="Book Antiqua" w:eastAsia="함초롬바탕" w:hAnsi="Book Antiqua" w:cs="Times New Roman"/>
          <w:sz w:val="24"/>
          <w:szCs w:val="24"/>
          <w:shd w:val="clear" w:color="auto" w:fill="FFFFFF"/>
        </w:rPr>
        <w:t xml:space="preserve">A prospective, randomized, multicenter </w:t>
      </w:r>
      <w:r>
        <w:rPr>
          <w:rFonts w:ascii="Book Antiqua" w:eastAsia="함초롬바탕" w:hAnsi="Book Antiqua" w:cs="Times New Roman"/>
          <w:sz w:val="24"/>
          <w:szCs w:val="24"/>
        </w:rPr>
        <w:t>investigations related to this issue are necessary.</w:t>
      </w:r>
      <w:r>
        <w:rPr>
          <w:rFonts w:ascii="Book Antiqua" w:hAnsi="Book Antiqua" w:cs="Times New Roman"/>
          <w:sz w:val="24"/>
          <w:szCs w:val="24"/>
        </w:rPr>
        <w:t xml:space="preserve"> </w:t>
      </w:r>
    </w:p>
    <w:p w14:paraId="6698363F" w14:textId="77777777" w:rsidR="00723895" w:rsidRDefault="00723895">
      <w:pPr>
        <w:wordWrap/>
        <w:spacing w:after="0" w:line="360" w:lineRule="auto"/>
        <w:rPr>
          <w:rFonts w:ascii="Book Antiqua" w:hAnsi="Book Antiqua" w:cs="Times New Roman"/>
          <w:sz w:val="24"/>
          <w:szCs w:val="24"/>
        </w:rPr>
      </w:pPr>
    </w:p>
    <w:p w14:paraId="786609FE" w14:textId="77777777" w:rsidR="00723895" w:rsidRDefault="00000000">
      <w:pPr>
        <w:wordWrap/>
        <w:spacing w:after="0" w:line="360" w:lineRule="auto"/>
        <w:rPr>
          <w:rFonts w:ascii="Book Antiqua" w:hAnsi="Book Antiqua" w:cs="Times New Roman"/>
          <w:b/>
          <w:bCs/>
          <w:sz w:val="24"/>
          <w:szCs w:val="24"/>
          <w:u w:val="single"/>
        </w:rPr>
      </w:pPr>
      <w:r>
        <w:rPr>
          <w:rFonts w:ascii="Book Antiqua" w:hAnsi="Book Antiqua" w:cs="Times New Roman"/>
          <w:b/>
          <w:bCs/>
          <w:sz w:val="24"/>
          <w:szCs w:val="24"/>
          <w:u w:val="single"/>
        </w:rPr>
        <w:t>CONCLUSION</w:t>
      </w:r>
    </w:p>
    <w:p w14:paraId="7D9A4E34" w14:textId="77777777" w:rsidR="00723895" w:rsidRDefault="00000000">
      <w:pPr>
        <w:pStyle w:val="af3"/>
        <w:wordWrap/>
        <w:spacing w:line="360" w:lineRule="auto"/>
        <w:rPr>
          <w:rFonts w:ascii="Book Antiqua" w:eastAsia="Malgun Gothic" w:hAnsi="Book Antiqua" w:cs="Times New Roman"/>
          <w:sz w:val="24"/>
          <w:szCs w:val="24"/>
        </w:rPr>
      </w:pPr>
      <w:r>
        <w:rPr>
          <w:rFonts w:ascii="Book Antiqua" w:hAnsi="Book Antiqua" w:cs="Times New Roman"/>
          <w:sz w:val="24"/>
          <w:szCs w:val="24"/>
        </w:rPr>
        <w:t xml:space="preserve">Because combined tumors based on neuroendocrine carcinoma in </w:t>
      </w:r>
      <w:r>
        <w:rPr>
          <w:rFonts w:ascii="Book Antiqua" w:eastAsia="Malgun Gothic" w:hAnsi="Book Antiqua" w:cs="Times New Roman"/>
          <w:sz w:val="24"/>
          <w:szCs w:val="24"/>
        </w:rPr>
        <w:t xml:space="preserve">the liver </w:t>
      </w:r>
      <w:r>
        <w:rPr>
          <w:rFonts w:ascii="Book Antiqua" w:hAnsi="Book Antiqua" w:cs="Times New Roman"/>
          <w:sz w:val="24"/>
          <w:szCs w:val="24"/>
        </w:rPr>
        <w:t xml:space="preserve">are rare, there are no proper guidelines for their treatment. Postoperative adjuvant chemotherapy may not be required after complete resection of combined tumors of the liver with lymph node metastasis. To improve the therapeutic management of combined tumors in </w:t>
      </w:r>
      <w:r>
        <w:rPr>
          <w:rFonts w:ascii="Book Antiqua" w:eastAsia="Malgun Gothic" w:hAnsi="Book Antiqua" w:cs="Times New Roman"/>
          <w:sz w:val="24"/>
          <w:szCs w:val="24"/>
        </w:rPr>
        <w:t xml:space="preserve">the liver, it is necessary to discuss each clinical experience and consider an appropriate method for the preoperative diagnosis and treatment. </w:t>
      </w:r>
    </w:p>
    <w:p w14:paraId="23B727B0" w14:textId="77777777" w:rsidR="00723895" w:rsidRDefault="00723895">
      <w:pPr>
        <w:pStyle w:val="af3"/>
        <w:wordWrap/>
        <w:spacing w:line="360" w:lineRule="auto"/>
        <w:rPr>
          <w:rFonts w:ascii="Book Antiqua" w:hAnsi="Book Antiqua"/>
          <w:sz w:val="24"/>
          <w:szCs w:val="24"/>
        </w:rPr>
      </w:pPr>
    </w:p>
    <w:p w14:paraId="447A5C16" w14:textId="77777777" w:rsidR="00723895" w:rsidRDefault="00000000">
      <w:pPr>
        <w:pStyle w:val="af3"/>
        <w:wordWrap/>
        <w:spacing w:line="360" w:lineRule="auto"/>
        <w:rPr>
          <w:rFonts w:ascii="Book Antiqua" w:hAnsi="Book Antiqua" w:cs="Times New Roman"/>
          <w:b/>
          <w:bCs/>
          <w:sz w:val="24"/>
          <w:szCs w:val="24"/>
        </w:rPr>
      </w:pPr>
      <w:r>
        <w:rPr>
          <w:rFonts w:ascii="Book Antiqua" w:hAnsi="Book Antiqua" w:cs="Times New Roman"/>
          <w:b/>
          <w:bCs/>
          <w:sz w:val="24"/>
          <w:szCs w:val="24"/>
        </w:rPr>
        <w:t>REFERENCES</w:t>
      </w:r>
    </w:p>
    <w:p w14:paraId="252B86F8"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t xml:space="preserve">1 </w:t>
      </w:r>
      <w:r>
        <w:rPr>
          <w:rFonts w:ascii="Book Antiqua" w:eastAsia="宋体" w:hAnsi="Book Antiqua" w:cs="Times New Roman"/>
          <w:b/>
          <w:bCs/>
          <w:kern w:val="0"/>
          <w:sz w:val="24"/>
          <w:szCs w:val="24"/>
          <w:lang w:eastAsia="en-US"/>
        </w:rPr>
        <w:t>Fenwick SW</w:t>
      </w:r>
      <w:r>
        <w:rPr>
          <w:rFonts w:ascii="Book Antiqua" w:eastAsia="宋体" w:hAnsi="Book Antiqua" w:cs="Times New Roman"/>
          <w:kern w:val="0"/>
          <w:sz w:val="24"/>
          <w:szCs w:val="24"/>
          <w:lang w:eastAsia="en-US"/>
        </w:rPr>
        <w:t xml:space="preserve">, Wyatt JI, Toogood GJ, Lodge JP. Hepatic resection and transplantation for primary carcinoid tumors of the liver. </w:t>
      </w:r>
      <w:r>
        <w:rPr>
          <w:rFonts w:ascii="Book Antiqua" w:eastAsia="宋体" w:hAnsi="Book Antiqua" w:cs="Times New Roman"/>
          <w:i/>
          <w:iCs/>
          <w:kern w:val="0"/>
          <w:sz w:val="24"/>
          <w:szCs w:val="24"/>
          <w:lang w:eastAsia="en-US"/>
        </w:rPr>
        <w:t>Ann Surg</w:t>
      </w:r>
      <w:r>
        <w:rPr>
          <w:rFonts w:ascii="Book Antiqua" w:eastAsia="宋体" w:hAnsi="Book Antiqua" w:cs="Times New Roman"/>
          <w:kern w:val="0"/>
          <w:sz w:val="24"/>
          <w:szCs w:val="24"/>
          <w:lang w:eastAsia="en-US"/>
        </w:rPr>
        <w:t xml:space="preserve"> 2004; </w:t>
      </w:r>
      <w:r>
        <w:rPr>
          <w:rFonts w:ascii="Book Antiqua" w:eastAsia="宋体" w:hAnsi="Book Antiqua" w:cs="Times New Roman"/>
          <w:b/>
          <w:bCs/>
          <w:kern w:val="0"/>
          <w:sz w:val="24"/>
          <w:szCs w:val="24"/>
          <w:lang w:eastAsia="en-US"/>
        </w:rPr>
        <w:t>239</w:t>
      </w:r>
      <w:r>
        <w:rPr>
          <w:rFonts w:ascii="Book Antiqua" w:eastAsia="宋体" w:hAnsi="Book Antiqua" w:cs="Times New Roman"/>
          <w:kern w:val="0"/>
          <w:sz w:val="24"/>
          <w:szCs w:val="24"/>
          <w:lang w:eastAsia="en-US"/>
        </w:rPr>
        <w:t>: 210-219 [PMID: 14745329 DOI: 10.1097/01.sla.0000109155.89514.42]</w:t>
      </w:r>
    </w:p>
    <w:p w14:paraId="11E59CCE"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lastRenderedPageBreak/>
        <w:t xml:space="preserve">2 </w:t>
      </w:r>
      <w:r>
        <w:rPr>
          <w:rFonts w:ascii="Book Antiqua" w:eastAsia="宋体" w:hAnsi="Book Antiqua" w:cs="Times New Roman"/>
          <w:b/>
          <w:bCs/>
          <w:kern w:val="0"/>
          <w:sz w:val="24"/>
          <w:szCs w:val="24"/>
          <w:lang w:eastAsia="en-US"/>
        </w:rPr>
        <w:t>Gravante G</w:t>
      </w:r>
      <w:r>
        <w:rPr>
          <w:rFonts w:ascii="Book Antiqua" w:eastAsia="宋体" w:hAnsi="Book Antiqua" w:cs="Times New Roman"/>
          <w:kern w:val="0"/>
          <w:sz w:val="24"/>
          <w:szCs w:val="24"/>
          <w:lang w:eastAsia="en-US"/>
        </w:rPr>
        <w:t xml:space="preserve">, De Liguori Carino N, Overton J, Manzia TM, Orlando G. Primary carcinoids of the liver: a review of symptoms, diagnosis and treatments. </w:t>
      </w:r>
      <w:r>
        <w:rPr>
          <w:rFonts w:ascii="Book Antiqua" w:eastAsia="宋体" w:hAnsi="Book Antiqua" w:cs="Times New Roman"/>
          <w:i/>
          <w:iCs/>
          <w:kern w:val="0"/>
          <w:sz w:val="24"/>
          <w:szCs w:val="24"/>
          <w:lang w:eastAsia="en-US"/>
        </w:rPr>
        <w:t>Dig Surg</w:t>
      </w:r>
      <w:r>
        <w:rPr>
          <w:rFonts w:ascii="Book Antiqua" w:eastAsia="宋体" w:hAnsi="Book Antiqua" w:cs="Times New Roman"/>
          <w:kern w:val="0"/>
          <w:sz w:val="24"/>
          <w:szCs w:val="24"/>
          <w:lang w:eastAsia="en-US"/>
        </w:rPr>
        <w:t xml:space="preserve"> 2008; </w:t>
      </w:r>
      <w:r>
        <w:rPr>
          <w:rFonts w:ascii="Book Antiqua" w:eastAsia="宋体" w:hAnsi="Book Antiqua" w:cs="Times New Roman"/>
          <w:b/>
          <w:bCs/>
          <w:kern w:val="0"/>
          <w:sz w:val="24"/>
          <w:szCs w:val="24"/>
          <w:lang w:eastAsia="en-US"/>
        </w:rPr>
        <w:t>25</w:t>
      </w:r>
      <w:r>
        <w:rPr>
          <w:rFonts w:ascii="Book Antiqua" w:eastAsia="宋体" w:hAnsi="Book Antiqua" w:cs="Times New Roman"/>
          <w:kern w:val="0"/>
          <w:sz w:val="24"/>
          <w:szCs w:val="24"/>
          <w:lang w:eastAsia="en-US"/>
        </w:rPr>
        <w:t>: 364-368 [PMID: 18984960 DOI: 10.1159/000167021]</w:t>
      </w:r>
    </w:p>
    <w:p w14:paraId="30BD53F8"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t xml:space="preserve">3 </w:t>
      </w:r>
      <w:r>
        <w:rPr>
          <w:rFonts w:ascii="Book Antiqua" w:eastAsia="宋体" w:hAnsi="Book Antiqua" w:cs="Times New Roman"/>
          <w:b/>
          <w:bCs/>
          <w:kern w:val="0"/>
          <w:sz w:val="24"/>
          <w:szCs w:val="24"/>
          <w:lang w:eastAsia="en-US"/>
        </w:rPr>
        <w:t>Shimizu T</w:t>
      </w:r>
      <w:r>
        <w:rPr>
          <w:rFonts w:ascii="Book Antiqua" w:eastAsia="宋体" w:hAnsi="Book Antiqua" w:cs="Times New Roman"/>
          <w:kern w:val="0"/>
          <w:sz w:val="24"/>
          <w:szCs w:val="24"/>
          <w:lang w:eastAsia="en-US"/>
        </w:rPr>
        <w:t xml:space="preserve">, Tajiri T, Akimaru K, Arima Y, Yoshida H, Yokomuro S, Mamada Y, Taniai N, Mizuguchi Y, Kawahigashi Y, Naito Z. Combined neuroendocrine cell carcinoma and adenocarcinoma of the gallbladder: report of a case. </w:t>
      </w:r>
      <w:r>
        <w:rPr>
          <w:rFonts w:ascii="Book Antiqua" w:eastAsia="宋体" w:hAnsi="Book Antiqua" w:cs="Times New Roman"/>
          <w:i/>
          <w:iCs/>
          <w:kern w:val="0"/>
          <w:sz w:val="24"/>
          <w:szCs w:val="24"/>
          <w:lang w:eastAsia="en-US"/>
        </w:rPr>
        <w:t>J Nippon Med Sch</w:t>
      </w:r>
      <w:r>
        <w:rPr>
          <w:rFonts w:ascii="Book Antiqua" w:eastAsia="宋体" w:hAnsi="Book Antiqua" w:cs="Times New Roman"/>
          <w:kern w:val="0"/>
          <w:sz w:val="24"/>
          <w:szCs w:val="24"/>
          <w:lang w:eastAsia="en-US"/>
        </w:rPr>
        <w:t xml:space="preserve"> 2006; </w:t>
      </w:r>
      <w:r>
        <w:rPr>
          <w:rFonts w:ascii="Book Antiqua" w:eastAsia="宋体" w:hAnsi="Book Antiqua" w:cs="Times New Roman"/>
          <w:b/>
          <w:bCs/>
          <w:kern w:val="0"/>
          <w:sz w:val="24"/>
          <w:szCs w:val="24"/>
          <w:lang w:eastAsia="en-US"/>
        </w:rPr>
        <w:t>73</w:t>
      </w:r>
      <w:r>
        <w:rPr>
          <w:rFonts w:ascii="Book Antiqua" w:eastAsia="宋体" w:hAnsi="Book Antiqua" w:cs="Times New Roman"/>
          <w:kern w:val="0"/>
          <w:sz w:val="24"/>
          <w:szCs w:val="24"/>
          <w:lang w:eastAsia="en-US"/>
        </w:rPr>
        <w:t>: 101-105 [PMID: 16641536 DOI: 10.1272/jnms.73.101]</w:t>
      </w:r>
    </w:p>
    <w:p w14:paraId="6A4B0F5B"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t xml:space="preserve">4 </w:t>
      </w:r>
      <w:r>
        <w:rPr>
          <w:rFonts w:ascii="Book Antiqua" w:eastAsia="宋体" w:hAnsi="Book Antiqua" w:cs="Times New Roman"/>
          <w:b/>
          <w:bCs/>
          <w:kern w:val="0"/>
          <w:sz w:val="24"/>
          <w:szCs w:val="24"/>
          <w:lang w:eastAsia="en-US"/>
        </w:rPr>
        <w:t>Garcia MT</w:t>
      </w:r>
      <w:r>
        <w:rPr>
          <w:rFonts w:ascii="Book Antiqua" w:eastAsia="宋体" w:hAnsi="Book Antiqua" w:cs="Times New Roman"/>
          <w:kern w:val="0"/>
          <w:sz w:val="24"/>
          <w:szCs w:val="24"/>
          <w:lang w:eastAsia="en-US"/>
        </w:rPr>
        <w:t xml:space="preserve">, Bejarano PA, Yssa M, Buitrago E, Livingstone A. Tumor of the liver (hepatocellular and high grade neuroendocrine carcinoma): a case report and review of the literature. </w:t>
      </w:r>
      <w:r>
        <w:rPr>
          <w:rFonts w:ascii="Book Antiqua" w:eastAsia="宋体" w:hAnsi="Book Antiqua" w:cs="Times New Roman"/>
          <w:i/>
          <w:iCs/>
          <w:kern w:val="0"/>
          <w:sz w:val="24"/>
          <w:szCs w:val="24"/>
          <w:lang w:eastAsia="en-US"/>
        </w:rPr>
        <w:t>Virchows Arch</w:t>
      </w:r>
      <w:r>
        <w:rPr>
          <w:rFonts w:ascii="Book Antiqua" w:eastAsia="宋体" w:hAnsi="Book Antiqua" w:cs="Times New Roman"/>
          <w:kern w:val="0"/>
          <w:sz w:val="24"/>
          <w:szCs w:val="24"/>
          <w:lang w:eastAsia="en-US"/>
        </w:rPr>
        <w:t xml:space="preserve"> 2006; </w:t>
      </w:r>
      <w:r>
        <w:rPr>
          <w:rFonts w:ascii="Book Antiqua" w:eastAsia="宋体" w:hAnsi="Book Antiqua" w:cs="Times New Roman"/>
          <w:b/>
          <w:bCs/>
          <w:kern w:val="0"/>
          <w:sz w:val="24"/>
          <w:szCs w:val="24"/>
          <w:lang w:eastAsia="en-US"/>
        </w:rPr>
        <w:t>449</w:t>
      </w:r>
      <w:r>
        <w:rPr>
          <w:rFonts w:ascii="Book Antiqua" w:eastAsia="宋体" w:hAnsi="Book Antiqua" w:cs="Times New Roman"/>
          <w:kern w:val="0"/>
          <w:sz w:val="24"/>
          <w:szCs w:val="24"/>
          <w:lang w:eastAsia="en-US"/>
        </w:rPr>
        <w:t>: 376-381 [PMID: 16896889 DOI: 10.1007/s00428-006-0251-0]</w:t>
      </w:r>
    </w:p>
    <w:p w14:paraId="5C991416"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t xml:space="preserve">5 </w:t>
      </w:r>
      <w:r>
        <w:rPr>
          <w:rFonts w:ascii="Book Antiqua" w:eastAsia="宋体" w:hAnsi="Book Antiqua" w:cs="Times New Roman"/>
          <w:b/>
          <w:bCs/>
          <w:kern w:val="0"/>
          <w:sz w:val="24"/>
          <w:szCs w:val="24"/>
          <w:lang w:eastAsia="en-US"/>
        </w:rPr>
        <w:t>Ishida M</w:t>
      </w:r>
      <w:r>
        <w:rPr>
          <w:rFonts w:ascii="Book Antiqua" w:eastAsia="宋体" w:hAnsi="Book Antiqua" w:cs="Times New Roman"/>
          <w:kern w:val="0"/>
          <w:sz w:val="24"/>
          <w:szCs w:val="24"/>
          <w:lang w:eastAsia="en-US"/>
        </w:rPr>
        <w:t xml:space="preserve">, Seki K, Tatsuzawa A, Katayama K, Hirose K, Azuma T, Imamura Y, Abraham A, Yamaguchi A. Primary hepatic neuroendocrine carcinoma coexisting with hepatocellular carcinoma in hepatitis C liver cirrhosis: report of a case. </w:t>
      </w:r>
      <w:r>
        <w:rPr>
          <w:rFonts w:ascii="Book Antiqua" w:eastAsia="宋体" w:hAnsi="Book Antiqua" w:cs="Times New Roman"/>
          <w:i/>
          <w:iCs/>
          <w:kern w:val="0"/>
          <w:sz w:val="24"/>
          <w:szCs w:val="24"/>
          <w:lang w:eastAsia="en-US"/>
        </w:rPr>
        <w:t>Surg Today</w:t>
      </w:r>
      <w:r>
        <w:rPr>
          <w:rFonts w:ascii="Book Antiqua" w:eastAsia="宋体" w:hAnsi="Book Antiqua" w:cs="Times New Roman"/>
          <w:kern w:val="0"/>
          <w:sz w:val="24"/>
          <w:szCs w:val="24"/>
          <w:lang w:eastAsia="en-US"/>
        </w:rPr>
        <w:t xml:space="preserve"> 2003; </w:t>
      </w:r>
      <w:r>
        <w:rPr>
          <w:rFonts w:ascii="Book Antiqua" w:eastAsia="宋体" w:hAnsi="Book Antiqua" w:cs="Times New Roman"/>
          <w:b/>
          <w:bCs/>
          <w:kern w:val="0"/>
          <w:sz w:val="24"/>
          <w:szCs w:val="24"/>
          <w:lang w:eastAsia="en-US"/>
        </w:rPr>
        <w:t>33</w:t>
      </w:r>
      <w:r>
        <w:rPr>
          <w:rFonts w:ascii="Book Antiqua" w:eastAsia="宋体" w:hAnsi="Book Antiqua" w:cs="Times New Roman"/>
          <w:kern w:val="0"/>
          <w:sz w:val="24"/>
          <w:szCs w:val="24"/>
          <w:lang w:eastAsia="en-US"/>
        </w:rPr>
        <w:t>: 214-218 [PMID: 12658390 DOI: 10.1007/s005950300048]</w:t>
      </w:r>
    </w:p>
    <w:p w14:paraId="77A47DC2"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t xml:space="preserve">6 </w:t>
      </w:r>
      <w:r>
        <w:rPr>
          <w:rFonts w:ascii="Book Antiqua" w:eastAsia="宋体" w:hAnsi="Book Antiqua" w:cs="Times New Roman"/>
          <w:b/>
          <w:bCs/>
          <w:kern w:val="0"/>
          <w:sz w:val="24"/>
          <w:szCs w:val="24"/>
          <w:lang w:eastAsia="en-US"/>
        </w:rPr>
        <w:t>Derks JL</w:t>
      </w:r>
      <w:r>
        <w:rPr>
          <w:rFonts w:ascii="Book Antiqua" w:eastAsia="宋体" w:hAnsi="Book Antiqua" w:cs="Times New Roman"/>
          <w:kern w:val="0"/>
          <w:sz w:val="24"/>
          <w:szCs w:val="24"/>
          <w:lang w:eastAsia="en-US"/>
        </w:rPr>
        <w:t xml:space="preserve">, Dingemans AC, van Suylen RJ, den Bakker MA, Damhuis RAM, van den Broek EC, Speel EJ, Thunnissen E. Is the sum of positive neuroendocrine immunohistochemical stains useful for diagnosis of large cell neuroendocrine carcinoma (LCNEC) on biopsy specimens? </w:t>
      </w:r>
      <w:r>
        <w:rPr>
          <w:rFonts w:ascii="Book Antiqua" w:eastAsia="宋体" w:hAnsi="Book Antiqua" w:cs="Times New Roman"/>
          <w:i/>
          <w:iCs/>
          <w:kern w:val="0"/>
          <w:sz w:val="24"/>
          <w:szCs w:val="24"/>
          <w:lang w:eastAsia="en-US"/>
        </w:rPr>
        <w:t>Histopathology</w:t>
      </w:r>
      <w:r>
        <w:rPr>
          <w:rFonts w:ascii="Book Antiqua" w:eastAsia="宋体" w:hAnsi="Book Antiqua" w:cs="Times New Roman"/>
          <w:kern w:val="0"/>
          <w:sz w:val="24"/>
          <w:szCs w:val="24"/>
          <w:lang w:eastAsia="en-US"/>
        </w:rPr>
        <w:t xml:space="preserve"> 2019; </w:t>
      </w:r>
      <w:r>
        <w:rPr>
          <w:rFonts w:ascii="Book Antiqua" w:eastAsia="宋体" w:hAnsi="Book Antiqua" w:cs="Times New Roman"/>
          <w:b/>
          <w:bCs/>
          <w:kern w:val="0"/>
          <w:sz w:val="24"/>
          <w:szCs w:val="24"/>
          <w:lang w:eastAsia="en-US"/>
        </w:rPr>
        <w:t>74</w:t>
      </w:r>
      <w:r>
        <w:rPr>
          <w:rFonts w:ascii="Book Antiqua" w:eastAsia="宋体" w:hAnsi="Book Antiqua" w:cs="Times New Roman"/>
          <w:kern w:val="0"/>
          <w:sz w:val="24"/>
          <w:szCs w:val="24"/>
          <w:lang w:eastAsia="en-US"/>
        </w:rPr>
        <w:t>: 555-566 [PMID: 30485478 DOI: 10.1111/his.13800]</w:t>
      </w:r>
    </w:p>
    <w:p w14:paraId="7C797FA6"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t xml:space="preserve">7 </w:t>
      </w:r>
      <w:r>
        <w:rPr>
          <w:rFonts w:ascii="Book Antiqua" w:eastAsia="宋体" w:hAnsi="Book Antiqua" w:cs="Times New Roman"/>
          <w:b/>
          <w:bCs/>
          <w:kern w:val="0"/>
          <w:sz w:val="24"/>
          <w:szCs w:val="24"/>
          <w:lang w:eastAsia="en-US"/>
        </w:rPr>
        <w:t>Eltawil KM</w:t>
      </w:r>
      <w:r>
        <w:rPr>
          <w:rFonts w:ascii="Book Antiqua" w:eastAsia="宋体" w:hAnsi="Book Antiqua" w:cs="Times New Roman"/>
          <w:kern w:val="0"/>
          <w:sz w:val="24"/>
          <w:szCs w:val="24"/>
          <w:lang w:eastAsia="en-US"/>
        </w:rPr>
        <w:t xml:space="preserve">, Gustafsson BI, Kidd M, Modlin IM. Neuroendocrine tumors of the gallbladder: an evaluation and reassessment of management strategy. </w:t>
      </w:r>
      <w:r>
        <w:rPr>
          <w:rFonts w:ascii="Book Antiqua" w:eastAsia="宋体" w:hAnsi="Book Antiqua" w:cs="Times New Roman"/>
          <w:i/>
          <w:iCs/>
          <w:kern w:val="0"/>
          <w:sz w:val="24"/>
          <w:szCs w:val="24"/>
          <w:lang w:eastAsia="en-US"/>
        </w:rPr>
        <w:t>J Clin Gastroenterol</w:t>
      </w:r>
      <w:r>
        <w:rPr>
          <w:rFonts w:ascii="Book Antiqua" w:eastAsia="宋体" w:hAnsi="Book Antiqua" w:cs="Times New Roman"/>
          <w:kern w:val="0"/>
          <w:sz w:val="24"/>
          <w:szCs w:val="24"/>
          <w:lang w:eastAsia="en-US"/>
        </w:rPr>
        <w:t xml:space="preserve"> 2010; </w:t>
      </w:r>
      <w:r>
        <w:rPr>
          <w:rFonts w:ascii="Book Antiqua" w:eastAsia="宋体" w:hAnsi="Book Antiqua" w:cs="Times New Roman"/>
          <w:b/>
          <w:bCs/>
          <w:kern w:val="0"/>
          <w:sz w:val="24"/>
          <w:szCs w:val="24"/>
          <w:lang w:eastAsia="en-US"/>
        </w:rPr>
        <w:t>44</w:t>
      </w:r>
      <w:r>
        <w:rPr>
          <w:rFonts w:ascii="Book Antiqua" w:eastAsia="宋体" w:hAnsi="Book Antiqua" w:cs="Times New Roman"/>
          <w:kern w:val="0"/>
          <w:sz w:val="24"/>
          <w:szCs w:val="24"/>
          <w:lang w:eastAsia="en-US"/>
        </w:rPr>
        <w:t>: 687-695 [PMID: 20375728 DOI: 10.1097/MCG.0b013e3181d7a6d4]</w:t>
      </w:r>
    </w:p>
    <w:p w14:paraId="5C22ED07"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t xml:space="preserve">8 </w:t>
      </w:r>
      <w:r>
        <w:rPr>
          <w:rFonts w:ascii="Book Antiqua" w:eastAsia="宋体" w:hAnsi="Book Antiqua" w:cs="Times New Roman"/>
          <w:b/>
          <w:bCs/>
          <w:kern w:val="0"/>
          <w:sz w:val="24"/>
          <w:szCs w:val="24"/>
          <w:lang w:eastAsia="en-US"/>
        </w:rPr>
        <w:t>Burns WR</w:t>
      </w:r>
      <w:r>
        <w:rPr>
          <w:rFonts w:ascii="Book Antiqua" w:eastAsia="宋体" w:hAnsi="Book Antiqua" w:cs="Times New Roman"/>
          <w:kern w:val="0"/>
          <w:sz w:val="24"/>
          <w:szCs w:val="24"/>
          <w:lang w:eastAsia="en-US"/>
        </w:rPr>
        <w:t xml:space="preserve">, Edil BH. Neuroendocrine pancreatic tumors: guidelines for management and update. </w:t>
      </w:r>
      <w:r>
        <w:rPr>
          <w:rFonts w:ascii="Book Antiqua" w:eastAsia="宋体" w:hAnsi="Book Antiqua" w:cs="Times New Roman"/>
          <w:i/>
          <w:iCs/>
          <w:kern w:val="0"/>
          <w:sz w:val="24"/>
          <w:szCs w:val="24"/>
          <w:lang w:eastAsia="en-US"/>
        </w:rPr>
        <w:t>Curr Treat Options Oncol</w:t>
      </w:r>
      <w:r>
        <w:rPr>
          <w:rFonts w:ascii="Book Antiqua" w:eastAsia="宋体" w:hAnsi="Book Antiqua" w:cs="Times New Roman"/>
          <w:kern w:val="0"/>
          <w:sz w:val="24"/>
          <w:szCs w:val="24"/>
          <w:lang w:eastAsia="en-US"/>
        </w:rPr>
        <w:t xml:space="preserve"> 2012; </w:t>
      </w:r>
      <w:r>
        <w:rPr>
          <w:rFonts w:ascii="Book Antiqua" w:eastAsia="宋体" w:hAnsi="Book Antiqua" w:cs="Times New Roman"/>
          <w:b/>
          <w:bCs/>
          <w:kern w:val="0"/>
          <w:sz w:val="24"/>
          <w:szCs w:val="24"/>
          <w:lang w:eastAsia="en-US"/>
        </w:rPr>
        <w:t>13</w:t>
      </w:r>
      <w:r>
        <w:rPr>
          <w:rFonts w:ascii="Book Antiqua" w:eastAsia="宋体" w:hAnsi="Book Antiqua" w:cs="Times New Roman"/>
          <w:kern w:val="0"/>
          <w:sz w:val="24"/>
          <w:szCs w:val="24"/>
          <w:lang w:eastAsia="en-US"/>
        </w:rPr>
        <w:t>: 24-34 [PMID: 22198808 DOI: 10.1007/s11864-011-0172-2]</w:t>
      </w:r>
    </w:p>
    <w:p w14:paraId="42EC0AC5" w14:textId="77777777" w:rsidR="00723895" w:rsidRDefault="00000000">
      <w:pPr>
        <w:widowControl/>
        <w:wordWrap/>
        <w:autoSpaceDE/>
        <w:autoSpaceDN/>
        <w:spacing w:after="0" w:line="360" w:lineRule="auto"/>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t xml:space="preserve">9 </w:t>
      </w:r>
      <w:r>
        <w:rPr>
          <w:rFonts w:ascii="Book Antiqua" w:eastAsia="宋体" w:hAnsi="Book Antiqua" w:cs="Times New Roman"/>
          <w:b/>
          <w:bCs/>
          <w:kern w:val="0"/>
          <w:sz w:val="24"/>
          <w:szCs w:val="24"/>
          <w:lang w:eastAsia="en-US"/>
        </w:rPr>
        <w:t>Modlin IM</w:t>
      </w:r>
      <w:r>
        <w:rPr>
          <w:rFonts w:ascii="Book Antiqua" w:eastAsia="宋体" w:hAnsi="Book Antiqua" w:cs="Times New Roman"/>
          <w:kern w:val="0"/>
          <w:sz w:val="24"/>
          <w:szCs w:val="24"/>
          <w:lang w:eastAsia="en-US"/>
        </w:rPr>
        <w:t xml:space="preserve">, Gustafsson BI, Moss SF, Pavel M, Tsolakis AV, Kidd M. Chromogranin A--biological function and clinical utility in neuro endocrine tumor disease. </w:t>
      </w:r>
      <w:r>
        <w:rPr>
          <w:rFonts w:ascii="Book Antiqua" w:eastAsia="宋体" w:hAnsi="Book Antiqua" w:cs="Times New Roman"/>
          <w:i/>
          <w:iCs/>
          <w:kern w:val="0"/>
          <w:sz w:val="24"/>
          <w:szCs w:val="24"/>
          <w:lang w:eastAsia="en-US"/>
        </w:rPr>
        <w:t>Ann Surg Oncol</w:t>
      </w:r>
      <w:r>
        <w:rPr>
          <w:rFonts w:ascii="Book Antiqua" w:eastAsia="宋体" w:hAnsi="Book Antiqua" w:cs="Times New Roman"/>
          <w:kern w:val="0"/>
          <w:sz w:val="24"/>
          <w:szCs w:val="24"/>
          <w:lang w:eastAsia="en-US"/>
        </w:rPr>
        <w:t xml:space="preserve"> 2010; </w:t>
      </w:r>
      <w:r>
        <w:rPr>
          <w:rFonts w:ascii="Book Antiqua" w:eastAsia="宋体" w:hAnsi="Book Antiqua" w:cs="Times New Roman"/>
          <w:b/>
          <w:bCs/>
          <w:kern w:val="0"/>
          <w:sz w:val="24"/>
          <w:szCs w:val="24"/>
          <w:lang w:eastAsia="en-US"/>
        </w:rPr>
        <w:t>17</w:t>
      </w:r>
      <w:r>
        <w:rPr>
          <w:rFonts w:ascii="Book Antiqua" w:eastAsia="宋体" w:hAnsi="Book Antiqua" w:cs="Times New Roman"/>
          <w:kern w:val="0"/>
          <w:sz w:val="24"/>
          <w:szCs w:val="24"/>
          <w:lang w:eastAsia="en-US"/>
        </w:rPr>
        <w:t>: 2427-2443 [PMID: 20217257 DOI: 10.1245/s10434-010-1006-3]</w:t>
      </w:r>
    </w:p>
    <w:p w14:paraId="7466109D" w14:textId="77777777" w:rsidR="00723895" w:rsidRDefault="00723895">
      <w:pPr>
        <w:pStyle w:val="11"/>
        <w:wordWrap/>
        <w:spacing w:line="360" w:lineRule="auto"/>
        <w:rPr>
          <w:rFonts w:ascii="Book Antiqua" w:hAnsi="Book Antiqua" w:cs="Times New Roman"/>
          <w:color w:val="000000" w:themeColor="text1"/>
          <w:sz w:val="24"/>
          <w:szCs w:val="24"/>
          <w:shd w:val="clear" w:color="auto" w:fill="FFFFFF"/>
        </w:rPr>
      </w:pPr>
    </w:p>
    <w:p w14:paraId="0A984A34" w14:textId="77777777" w:rsidR="00723895" w:rsidRDefault="00723895">
      <w:pPr>
        <w:widowControl/>
        <w:wordWrap/>
        <w:autoSpaceDE/>
        <w:autoSpaceDN/>
        <w:spacing w:after="0" w:line="360" w:lineRule="auto"/>
        <w:rPr>
          <w:rFonts w:ascii="Book Antiqua" w:eastAsia="Book Antiqua" w:hAnsi="Book Antiqua" w:cs="Book Antiqua"/>
          <w:b/>
          <w:color w:val="000000"/>
          <w:kern w:val="0"/>
          <w:sz w:val="24"/>
          <w:szCs w:val="24"/>
          <w:lang w:eastAsia="en-US"/>
        </w:rPr>
        <w:sectPr w:rsidR="00723895">
          <w:pgSz w:w="11906" w:h="16838"/>
          <w:pgMar w:top="1701" w:right="1440" w:bottom="1440" w:left="1440" w:header="851" w:footer="992" w:gutter="0"/>
          <w:cols w:space="425"/>
          <w:docGrid w:linePitch="360"/>
        </w:sectPr>
      </w:pPr>
    </w:p>
    <w:p w14:paraId="0F63676A"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lastRenderedPageBreak/>
        <w:t>Footnotes</w:t>
      </w:r>
    </w:p>
    <w:p w14:paraId="7382FBA9"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bCs/>
          <w:color w:val="000000"/>
          <w:kern w:val="0"/>
          <w:sz w:val="24"/>
          <w:szCs w:val="24"/>
          <w:lang w:eastAsia="en-US"/>
        </w:rPr>
        <w:t xml:space="preserve">Informed consent statement: </w:t>
      </w:r>
      <w:r>
        <w:rPr>
          <w:rFonts w:ascii="Book Antiqua" w:eastAsia="Book Antiqua" w:hAnsi="Book Antiqua" w:cs="Book Antiqua"/>
          <w:color w:val="000000"/>
          <w:kern w:val="0"/>
          <w:sz w:val="24"/>
          <w:szCs w:val="24"/>
          <w:lang w:eastAsia="en-US"/>
        </w:rPr>
        <w:t xml:space="preserve">Informed written consent was obtained from the patient for publication of this report and any accompanying images. </w:t>
      </w:r>
    </w:p>
    <w:p w14:paraId="02FD7E68" w14:textId="77777777" w:rsidR="00723895" w:rsidRDefault="00723895">
      <w:pPr>
        <w:widowControl/>
        <w:wordWrap/>
        <w:autoSpaceDE/>
        <w:autoSpaceDN/>
        <w:spacing w:after="0" w:line="360" w:lineRule="auto"/>
        <w:rPr>
          <w:rFonts w:ascii="Times New Roman" w:eastAsia="宋体" w:hAnsi="Times New Roman" w:cs="Times New Roman"/>
          <w:kern w:val="0"/>
          <w:sz w:val="24"/>
          <w:szCs w:val="24"/>
          <w:lang w:eastAsia="en-US"/>
        </w:rPr>
      </w:pPr>
    </w:p>
    <w:p w14:paraId="51E70092"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bCs/>
          <w:color w:val="000000"/>
          <w:kern w:val="0"/>
          <w:sz w:val="24"/>
          <w:szCs w:val="24"/>
          <w:lang w:eastAsia="en-US"/>
        </w:rPr>
        <w:t xml:space="preserve">Conflict-of-interest statement: </w:t>
      </w:r>
      <w:r>
        <w:rPr>
          <w:rFonts w:ascii="Book Antiqua" w:eastAsia="Book Antiqua" w:hAnsi="Book Antiqua" w:cs="Book Antiqua"/>
          <w:color w:val="000000"/>
          <w:kern w:val="0"/>
          <w:sz w:val="24"/>
          <w:szCs w:val="24"/>
          <w:shd w:val="clear" w:color="auto" w:fill="FFFFFF"/>
          <w:lang w:eastAsia="en-US"/>
        </w:rPr>
        <w:t>All authors report no relevant conflict of interest for this article.</w:t>
      </w:r>
    </w:p>
    <w:p w14:paraId="260DC200" w14:textId="77777777" w:rsidR="00723895" w:rsidRDefault="00723895">
      <w:pPr>
        <w:widowControl/>
        <w:wordWrap/>
        <w:autoSpaceDE/>
        <w:autoSpaceDN/>
        <w:spacing w:after="0" w:line="360" w:lineRule="auto"/>
        <w:rPr>
          <w:rFonts w:ascii="Times New Roman" w:eastAsia="宋体" w:hAnsi="Times New Roman" w:cs="Times New Roman"/>
          <w:kern w:val="0"/>
          <w:sz w:val="24"/>
          <w:szCs w:val="24"/>
          <w:lang w:eastAsia="en-US"/>
        </w:rPr>
      </w:pPr>
    </w:p>
    <w:p w14:paraId="78D84620"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bCs/>
          <w:color w:val="000000"/>
          <w:kern w:val="0"/>
          <w:sz w:val="24"/>
          <w:szCs w:val="24"/>
          <w:lang w:eastAsia="en-US"/>
        </w:rPr>
        <w:t xml:space="preserve">CARE Checklist (2016) statement: </w:t>
      </w:r>
      <w:r>
        <w:rPr>
          <w:rFonts w:ascii="Book Antiqua" w:eastAsia="Book Antiqua" w:hAnsi="Book Antiqua" w:cs="Book Antiqua"/>
          <w:color w:val="000000"/>
          <w:kern w:val="0"/>
          <w:sz w:val="24"/>
          <w:szCs w:val="24"/>
          <w:lang w:eastAsia="en-US"/>
        </w:rPr>
        <w:t>The authors have read the CARE Checklist (2016), and the manuscript was prepared and revised according to the CARE Checklist (2016)</w:t>
      </w:r>
    </w:p>
    <w:p w14:paraId="1C072872" w14:textId="77777777" w:rsidR="00723895" w:rsidRDefault="00723895">
      <w:pPr>
        <w:widowControl/>
        <w:wordWrap/>
        <w:autoSpaceDE/>
        <w:autoSpaceDN/>
        <w:spacing w:after="0" w:line="360" w:lineRule="auto"/>
        <w:rPr>
          <w:rFonts w:ascii="Times New Roman" w:eastAsia="宋体" w:hAnsi="Times New Roman" w:cs="Times New Roman"/>
          <w:kern w:val="0"/>
          <w:sz w:val="24"/>
          <w:szCs w:val="24"/>
          <w:lang w:eastAsia="en-US"/>
        </w:rPr>
      </w:pPr>
    </w:p>
    <w:p w14:paraId="59A769C4"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bCs/>
          <w:color w:val="000000"/>
          <w:kern w:val="0"/>
          <w:sz w:val="24"/>
          <w:szCs w:val="24"/>
          <w:lang w:eastAsia="en-US"/>
        </w:rPr>
        <w:t xml:space="preserve">Open-Access: </w:t>
      </w:r>
      <w:r>
        <w:rPr>
          <w:rFonts w:ascii="Book Antiqua" w:eastAsia="Book Antiqua" w:hAnsi="Book Antiqua" w:cs="Book Antiqua"/>
          <w:color w:val="000000"/>
          <w:kern w:val="0"/>
          <w:sz w:val="24"/>
          <w:szCs w:val="24"/>
          <w:lang w:eastAsia="en-US"/>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916191" w14:textId="77777777" w:rsidR="00723895" w:rsidRDefault="00723895">
      <w:pPr>
        <w:widowControl/>
        <w:wordWrap/>
        <w:autoSpaceDE/>
        <w:autoSpaceDN/>
        <w:spacing w:after="0" w:line="360" w:lineRule="auto"/>
        <w:rPr>
          <w:rFonts w:ascii="Times New Roman" w:eastAsia="宋体" w:hAnsi="Times New Roman" w:cs="Times New Roman"/>
          <w:kern w:val="0"/>
          <w:sz w:val="24"/>
          <w:szCs w:val="24"/>
          <w:lang w:eastAsia="en-US"/>
        </w:rPr>
      </w:pPr>
    </w:p>
    <w:p w14:paraId="1258B798"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t xml:space="preserve">Provenance and peer review: </w:t>
      </w:r>
      <w:r>
        <w:rPr>
          <w:rFonts w:ascii="Book Antiqua" w:eastAsia="Book Antiqua" w:hAnsi="Book Antiqua" w:cs="Book Antiqua"/>
          <w:color w:val="000000"/>
          <w:kern w:val="0"/>
          <w:sz w:val="24"/>
          <w:szCs w:val="24"/>
          <w:lang w:eastAsia="en-US"/>
        </w:rPr>
        <w:t>Unsolicited article; Externally peer reviewed.</w:t>
      </w:r>
    </w:p>
    <w:p w14:paraId="7087F35E"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t xml:space="preserve">Peer-review model: </w:t>
      </w:r>
      <w:r>
        <w:rPr>
          <w:rFonts w:ascii="Book Antiqua" w:eastAsia="Book Antiqua" w:hAnsi="Book Antiqua" w:cs="Book Antiqua"/>
          <w:color w:val="000000"/>
          <w:kern w:val="0"/>
          <w:sz w:val="24"/>
          <w:szCs w:val="24"/>
          <w:lang w:eastAsia="en-US"/>
        </w:rPr>
        <w:t>Single blind</w:t>
      </w:r>
    </w:p>
    <w:p w14:paraId="2A906359" w14:textId="77777777" w:rsidR="00723895" w:rsidRDefault="00723895">
      <w:pPr>
        <w:widowControl/>
        <w:wordWrap/>
        <w:autoSpaceDE/>
        <w:autoSpaceDN/>
        <w:spacing w:after="0" w:line="360" w:lineRule="auto"/>
        <w:rPr>
          <w:rFonts w:ascii="Times New Roman" w:eastAsia="宋体" w:hAnsi="Times New Roman" w:cs="Times New Roman"/>
          <w:kern w:val="0"/>
          <w:sz w:val="24"/>
          <w:szCs w:val="24"/>
          <w:lang w:eastAsia="en-US"/>
        </w:rPr>
      </w:pPr>
    </w:p>
    <w:p w14:paraId="00400D1A"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t xml:space="preserve">Peer-review started: </w:t>
      </w:r>
      <w:r>
        <w:rPr>
          <w:rFonts w:ascii="Book Antiqua" w:eastAsia="Book Antiqua" w:hAnsi="Book Antiqua" w:cs="Book Antiqua"/>
          <w:color w:val="000000"/>
          <w:kern w:val="0"/>
          <w:sz w:val="24"/>
          <w:szCs w:val="24"/>
          <w:lang w:eastAsia="en-US"/>
        </w:rPr>
        <w:t>February 16, 2022</w:t>
      </w:r>
    </w:p>
    <w:p w14:paraId="344341AA"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t xml:space="preserve">First decision: </w:t>
      </w:r>
      <w:r>
        <w:rPr>
          <w:rFonts w:ascii="Book Antiqua" w:eastAsia="Book Antiqua" w:hAnsi="Book Antiqua" w:cs="Book Antiqua"/>
          <w:color w:val="000000"/>
          <w:kern w:val="0"/>
          <w:sz w:val="24"/>
          <w:szCs w:val="24"/>
          <w:lang w:eastAsia="en-US"/>
        </w:rPr>
        <w:t>May 30, 2022</w:t>
      </w:r>
    </w:p>
    <w:p w14:paraId="133AD879"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t>Article in press:</w:t>
      </w:r>
      <w:r>
        <w:rPr>
          <w:rFonts w:ascii="Book Antiqua" w:eastAsia="宋体" w:hAnsi="Book Antiqua" w:cs="Book Antiqua" w:hint="eastAsia"/>
          <w:b/>
          <w:color w:val="000000"/>
          <w:kern w:val="0"/>
          <w:sz w:val="24"/>
          <w:szCs w:val="24"/>
          <w:lang w:eastAsia="zh-CN"/>
        </w:rPr>
        <w:t xml:space="preserve"> </w:t>
      </w:r>
      <w:r>
        <w:rPr>
          <w:rFonts w:ascii="Book Antiqua" w:eastAsia="함초롬바탕" w:hAnsi="Book Antiqua" w:cs="Times New Roman"/>
          <w:sz w:val="24"/>
          <w:szCs w:val="24"/>
        </w:rPr>
        <w:t>July 11, 2022</w:t>
      </w:r>
    </w:p>
    <w:p w14:paraId="538F6748" w14:textId="77777777" w:rsidR="00723895" w:rsidRDefault="00723895">
      <w:pPr>
        <w:widowControl/>
        <w:wordWrap/>
        <w:autoSpaceDE/>
        <w:autoSpaceDN/>
        <w:spacing w:after="0" w:line="360" w:lineRule="auto"/>
        <w:rPr>
          <w:rFonts w:ascii="Times New Roman" w:eastAsia="宋体" w:hAnsi="Times New Roman" w:cs="Times New Roman"/>
          <w:kern w:val="0"/>
          <w:sz w:val="24"/>
          <w:szCs w:val="24"/>
          <w:lang w:eastAsia="en-US"/>
        </w:rPr>
      </w:pPr>
    </w:p>
    <w:p w14:paraId="3F7A2061"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t xml:space="preserve">Specialty type: </w:t>
      </w:r>
      <w:r>
        <w:rPr>
          <w:rFonts w:ascii="Book Antiqua" w:eastAsia="Book Antiqua" w:hAnsi="Book Antiqua" w:cs="Book Antiqua"/>
          <w:color w:val="000000"/>
          <w:kern w:val="0"/>
          <w:sz w:val="24"/>
          <w:szCs w:val="24"/>
          <w:lang w:eastAsia="en-US"/>
        </w:rPr>
        <w:t>Gastroenterology and hepatology</w:t>
      </w:r>
    </w:p>
    <w:p w14:paraId="4B39004E"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t xml:space="preserve">Country/Territory of origin: </w:t>
      </w:r>
      <w:r>
        <w:rPr>
          <w:rFonts w:ascii="Book Antiqua" w:eastAsia="Book Antiqua" w:hAnsi="Book Antiqua" w:cs="Book Antiqua"/>
          <w:color w:val="000000"/>
          <w:kern w:val="0"/>
          <w:sz w:val="24"/>
          <w:szCs w:val="24"/>
          <w:lang w:eastAsia="en-US"/>
        </w:rPr>
        <w:t>South Korea</w:t>
      </w:r>
    </w:p>
    <w:p w14:paraId="64CD8CB8"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b/>
          <w:color w:val="000000"/>
          <w:kern w:val="0"/>
          <w:sz w:val="24"/>
          <w:szCs w:val="24"/>
          <w:lang w:eastAsia="en-US"/>
        </w:rPr>
        <w:t>Peer-review report’s scientific quality classification</w:t>
      </w:r>
    </w:p>
    <w:p w14:paraId="3C9C6D9F"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color w:val="000000"/>
          <w:kern w:val="0"/>
          <w:sz w:val="24"/>
          <w:szCs w:val="24"/>
          <w:lang w:eastAsia="en-US"/>
        </w:rPr>
        <w:t>Grade A (Excellent): 0</w:t>
      </w:r>
    </w:p>
    <w:p w14:paraId="5826537D"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color w:val="000000"/>
          <w:kern w:val="0"/>
          <w:sz w:val="24"/>
          <w:szCs w:val="24"/>
          <w:lang w:eastAsia="en-US"/>
        </w:rPr>
        <w:t>Grade B (Very good): 0</w:t>
      </w:r>
    </w:p>
    <w:p w14:paraId="515DBD5F"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color w:val="000000"/>
          <w:kern w:val="0"/>
          <w:sz w:val="24"/>
          <w:szCs w:val="24"/>
          <w:lang w:eastAsia="en-US"/>
        </w:rPr>
        <w:t>Grade C (Good): C, C</w:t>
      </w:r>
    </w:p>
    <w:p w14:paraId="1436D2FC"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color w:val="000000"/>
          <w:kern w:val="0"/>
          <w:sz w:val="24"/>
          <w:szCs w:val="24"/>
          <w:lang w:eastAsia="en-US"/>
        </w:rPr>
        <w:lastRenderedPageBreak/>
        <w:t>Grade D (Fair): 0</w:t>
      </w:r>
    </w:p>
    <w:p w14:paraId="1648CF7D" w14:textId="77777777" w:rsidR="00723895" w:rsidRDefault="00000000">
      <w:pPr>
        <w:widowControl/>
        <w:wordWrap/>
        <w:autoSpaceDE/>
        <w:autoSpaceDN/>
        <w:spacing w:after="0" w:line="360" w:lineRule="auto"/>
        <w:rPr>
          <w:rFonts w:ascii="Times New Roman" w:eastAsia="宋体" w:hAnsi="Times New Roman" w:cs="Times New Roman"/>
          <w:kern w:val="0"/>
          <w:sz w:val="24"/>
          <w:szCs w:val="24"/>
          <w:lang w:eastAsia="en-US"/>
        </w:rPr>
      </w:pPr>
      <w:r>
        <w:rPr>
          <w:rFonts w:ascii="Book Antiqua" w:eastAsia="Book Antiqua" w:hAnsi="Book Antiqua" w:cs="Book Antiqua"/>
          <w:color w:val="000000"/>
          <w:kern w:val="0"/>
          <w:sz w:val="24"/>
          <w:szCs w:val="24"/>
          <w:lang w:eastAsia="en-US"/>
        </w:rPr>
        <w:t>Grade E (Poor): 0</w:t>
      </w:r>
    </w:p>
    <w:p w14:paraId="024C9BE5" w14:textId="77777777" w:rsidR="00723895" w:rsidRDefault="00723895">
      <w:pPr>
        <w:widowControl/>
        <w:wordWrap/>
        <w:autoSpaceDE/>
        <w:autoSpaceDN/>
        <w:spacing w:after="0" w:line="360" w:lineRule="auto"/>
        <w:rPr>
          <w:rFonts w:ascii="Times New Roman" w:eastAsia="宋体" w:hAnsi="Times New Roman" w:cs="Times New Roman"/>
          <w:kern w:val="0"/>
          <w:sz w:val="24"/>
          <w:szCs w:val="24"/>
          <w:lang w:eastAsia="en-US"/>
        </w:rPr>
      </w:pPr>
    </w:p>
    <w:p w14:paraId="50055D7B" w14:textId="77777777" w:rsidR="00723895" w:rsidRDefault="00000000">
      <w:pPr>
        <w:pStyle w:val="11"/>
        <w:wordWrap/>
        <w:spacing w:line="360" w:lineRule="auto"/>
        <w:rPr>
          <w:rFonts w:ascii="Book Antiqua" w:eastAsia="Book Antiqua" w:hAnsi="Book Antiqua" w:cs="Book Antiqua"/>
          <w:bCs/>
          <w:sz w:val="24"/>
          <w:szCs w:val="24"/>
          <w:lang w:eastAsia="en-US"/>
        </w:rPr>
      </w:pPr>
      <w:r>
        <w:rPr>
          <w:rFonts w:ascii="Book Antiqua" w:eastAsia="Book Antiqua" w:hAnsi="Book Antiqua" w:cs="Book Antiqua"/>
          <w:b/>
          <w:sz w:val="24"/>
          <w:szCs w:val="24"/>
          <w:lang w:eastAsia="en-US"/>
        </w:rPr>
        <w:t xml:space="preserve">P-Reviewer: </w:t>
      </w:r>
      <w:r>
        <w:rPr>
          <w:rFonts w:ascii="Book Antiqua" w:eastAsia="Book Antiqua" w:hAnsi="Book Antiqua" w:cs="Book Antiqua"/>
          <w:sz w:val="24"/>
          <w:szCs w:val="24"/>
          <w:lang w:eastAsia="en-US"/>
        </w:rPr>
        <w:t>Cheng H, China; Hu HG, China</w:t>
      </w:r>
      <w:r>
        <w:rPr>
          <w:rFonts w:ascii="Book Antiqua" w:eastAsia="Book Antiqua" w:hAnsi="Book Antiqua" w:cs="Book Antiqua"/>
          <w:b/>
          <w:sz w:val="24"/>
          <w:szCs w:val="24"/>
          <w:lang w:eastAsia="en-US"/>
        </w:rPr>
        <w:t xml:space="preserve"> S-Editor: </w:t>
      </w:r>
      <w:r>
        <w:rPr>
          <w:rFonts w:ascii="Book Antiqua" w:eastAsia="Book Antiqua" w:hAnsi="Book Antiqua" w:cs="Book Antiqua"/>
          <w:bCs/>
          <w:sz w:val="24"/>
          <w:szCs w:val="24"/>
          <w:lang w:eastAsia="en-US"/>
        </w:rPr>
        <w:t>Wu YXJ</w:t>
      </w:r>
      <w:r>
        <w:rPr>
          <w:rFonts w:ascii="Book Antiqua" w:eastAsia="Book Antiqua" w:hAnsi="Book Antiqua" w:cs="Book Antiqua"/>
          <w:b/>
          <w:sz w:val="24"/>
          <w:szCs w:val="24"/>
          <w:lang w:eastAsia="en-US"/>
        </w:rPr>
        <w:t xml:space="preserve"> L-Editor: </w:t>
      </w:r>
      <w:r>
        <w:rPr>
          <w:rFonts w:ascii="Book Antiqua" w:eastAsia="Book Antiqua" w:hAnsi="Book Antiqua" w:cs="Book Antiqua"/>
          <w:bCs/>
          <w:sz w:val="24"/>
          <w:szCs w:val="24"/>
          <w:lang w:eastAsia="en-US"/>
        </w:rPr>
        <w:t xml:space="preserve">A </w:t>
      </w:r>
      <w:r>
        <w:rPr>
          <w:rFonts w:ascii="Book Antiqua" w:eastAsia="Book Antiqua" w:hAnsi="Book Antiqua" w:cs="Book Antiqua"/>
          <w:b/>
          <w:sz w:val="24"/>
          <w:szCs w:val="24"/>
          <w:lang w:eastAsia="en-US"/>
        </w:rPr>
        <w:t xml:space="preserve">P-Editor: </w:t>
      </w:r>
      <w:r>
        <w:rPr>
          <w:rFonts w:ascii="Book Antiqua" w:eastAsia="Book Antiqua" w:hAnsi="Book Antiqua" w:cs="Book Antiqua"/>
          <w:bCs/>
          <w:sz w:val="24"/>
          <w:szCs w:val="24"/>
          <w:lang w:eastAsia="en-US"/>
        </w:rPr>
        <w:t>Wu YXJ</w:t>
      </w:r>
    </w:p>
    <w:p w14:paraId="78E027DA" w14:textId="77777777" w:rsidR="00723895" w:rsidRDefault="00723895">
      <w:pPr>
        <w:pStyle w:val="11"/>
        <w:wordWrap/>
        <w:spacing w:line="360" w:lineRule="auto"/>
        <w:rPr>
          <w:rFonts w:ascii="Book Antiqua" w:eastAsia="Book Antiqua" w:hAnsi="Book Antiqua" w:cs="Book Antiqua"/>
          <w:b/>
          <w:sz w:val="24"/>
          <w:szCs w:val="24"/>
          <w:lang w:eastAsia="en-US"/>
        </w:rPr>
      </w:pPr>
    </w:p>
    <w:p w14:paraId="4A65C3D1" w14:textId="77777777" w:rsidR="00723895" w:rsidRDefault="00000000">
      <w:pPr>
        <w:pStyle w:val="11"/>
        <w:wordWrap/>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Figure Legends</w:t>
      </w:r>
    </w:p>
    <w:p w14:paraId="3D15F8E0" w14:textId="082C62D8" w:rsidR="00723895" w:rsidRDefault="00963595">
      <w:pPr>
        <w:pStyle w:val="11"/>
        <w:wordWrap/>
        <w:spacing w:line="360" w:lineRule="auto"/>
        <w:rPr>
          <w:rFonts w:ascii="Book Antiqua" w:hAnsi="Book Antiqua" w:cs="Times New Roman"/>
          <w:b/>
          <w:bCs/>
          <w:sz w:val="24"/>
          <w:szCs w:val="24"/>
        </w:rPr>
      </w:pPr>
      <w:r>
        <w:rPr>
          <w:noProof/>
        </w:rPr>
        <w:drawing>
          <wp:inline distT="0" distB="0" distL="0" distR="0" wp14:anchorId="7BB17551" wp14:editId="7F1949AD">
            <wp:extent cx="5571490" cy="39662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1490" cy="3966210"/>
                    </a:xfrm>
                    <a:prstGeom prst="rect">
                      <a:avLst/>
                    </a:prstGeom>
                    <a:noFill/>
                    <a:ln>
                      <a:noFill/>
                    </a:ln>
                  </pic:spPr>
                </pic:pic>
              </a:graphicData>
            </a:graphic>
          </wp:inline>
        </w:drawing>
      </w:r>
    </w:p>
    <w:p w14:paraId="0EF97BF3" w14:textId="77777777" w:rsidR="00723895" w:rsidRDefault="00000000">
      <w:pPr>
        <w:pStyle w:val="af3"/>
        <w:wordWrap/>
        <w:spacing w:line="360" w:lineRule="auto"/>
        <w:rPr>
          <w:rFonts w:ascii="Book Antiqua" w:hAnsi="Book Antiqua" w:cs="Times New Roman"/>
          <w:bCs/>
          <w:sz w:val="24"/>
          <w:szCs w:val="24"/>
        </w:rPr>
      </w:pPr>
      <w:r>
        <w:rPr>
          <w:rFonts w:ascii="Book Antiqua" w:hAnsi="Book Antiqua" w:cs="Times New Roman"/>
          <w:b/>
          <w:bCs/>
          <w:sz w:val="24"/>
          <w:szCs w:val="24"/>
        </w:rPr>
        <w:t>Figure 1</w:t>
      </w:r>
      <w:r>
        <w:rPr>
          <w:rFonts w:ascii="Book Antiqua" w:hAnsi="Book Antiqua" w:cs="Times New Roman"/>
          <w:b/>
          <w:sz w:val="24"/>
          <w:szCs w:val="24"/>
        </w:rPr>
        <w:t xml:space="preserve"> Abdominal contrast-enhanced </w:t>
      </w:r>
      <w:bookmarkStart w:id="7" w:name="_Hlk107850836"/>
      <w:r>
        <w:rPr>
          <w:rFonts w:ascii="Book Antiqua" w:hAnsi="Book Antiqua" w:cs="Times New Roman"/>
          <w:b/>
          <w:sz w:val="24"/>
          <w:szCs w:val="24"/>
        </w:rPr>
        <w:t>computed tomography (CT)</w:t>
      </w:r>
      <w:bookmarkEnd w:id="7"/>
      <w:r>
        <w:rPr>
          <w:rFonts w:ascii="Book Antiqua" w:hAnsi="Book Antiqua" w:cs="Times New Roman"/>
          <w:b/>
          <w:sz w:val="24"/>
          <w:szCs w:val="24"/>
        </w:rPr>
        <w:t xml:space="preserve"> examination of the collision tumor. </w:t>
      </w:r>
      <w:r>
        <w:rPr>
          <w:rFonts w:ascii="Book Antiqua" w:hAnsi="Book Antiqua" w:cs="Times New Roman"/>
          <w:bCs/>
          <w:sz w:val="24"/>
          <w:szCs w:val="24"/>
        </w:rPr>
        <w:t xml:space="preserve">A: Before contrast; B: Arterial phase; C: Portal venous phase; D: Delayed phases. Computed tomography (CT) images demonstrate a 4.5-cm mass (arrowhead) in S3. This mass shows peripheral rim enhancement during the arterial phase and washout during the portal venous phase and delayed phase. This mass was categorized using liver imaging reporting and data system M observations. CT images also demonstrate a 1.3-cm metastatic lymph (arrow) node along the common hepatic artery. </w:t>
      </w:r>
    </w:p>
    <w:p w14:paraId="1414D333" w14:textId="77777777" w:rsidR="00723895" w:rsidRDefault="00723895">
      <w:pPr>
        <w:pStyle w:val="af3"/>
        <w:wordWrap/>
        <w:spacing w:line="360" w:lineRule="auto"/>
        <w:rPr>
          <w:rFonts w:ascii="Book Antiqua" w:hAnsi="Book Antiqua" w:cs="Times New Roman"/>
          <w:b/>
          <w:bCs/>
          <w:sz w:val="24"/>
          <w:szCs w:val="24"/>
        </w:rPr>
      </w:pPr>
    </w:p>
    <w:p w14:paraId="7DF70EA9" w14:textId="54544EE3" w:rsidR="00723895" w:rsidRDefault="00963595">
      <w:pPr>
        <w:pStyle w:val="af3"/>
        <w:wordWrap/>
        <w:spacing w:line="360" w:lineRule="auto"/>
        <w:rPr>
          <w:rFonts w:ascii="Book Antiqua" w:hAnsi="Book Antiqua" w:cs="Times New Roman"/>
          <w:b/>
          <w:bCs/>
          <w:sz w:val="24"/>
          <w:szCs w:val="24"/>
        </w:rPr>
      </w:pPr>
      <w:r>
        <w:rPr>
          <w:noProof/>
        </w:rPr>
        <w:lastRenderedPageBreak/>
        <w:drawing>
          <wp:inline distT="0" distB="0" distL="0" distR="0" wp14:anchorId="128B4D8B" wp14:editId="6AAB9A88">
            <wp:extent cx="5730875" cy="268986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689860"/>
                    </a:xfrm>
                    <a:prstGeom prst="rect">
                      <a:avLst/>
                    </a:prstGeom>
                    <a:noFill/>
                    <a:ln>
                      <a:noFill/>
                    </a:ln>
                  </pic:spPr>
                </pic:pic>
              </a:graphicData>
            </a:graphic>
          </wp:inline>
        </w:drawing>
      </w:r>
    </w:p>
    <w:p w14:paraId="09FA6002" w14:textId="77777777" w:rsidR="00723895" w:rsidRDefault="00000000">
      <w:pPr>
        <w:pStyle w:val="af3"/>
        <w:wordWrap/>
        <w:spacing w:line="360" w:lineRule="auto"/>
        <w:rPr>
          <w:rFonts w:ascii="Book Antiqua" w:hAnsi="Book Antiqua" w:cs="Times New Roman"/>
          <w:bCs/>
          <w:sz w:val="24"/>
          <w:szCs w:val="24"/>
        </w:rPr>
      </w:pPr>
      <w:r>
        <w:rPr>
          <w:rFonts w:ascii="Book Antiqua" w:hAnsi="Book Antiqua" w:cs="Times New Roman"/>
          <w:b/>
          <w:bCs/>
          <w:sz w:val="24"/>
          <w:szCs w:val="24"/>
        </w:rPr>
        <w:t>Figure 2</w:t>
      </w:r>
      <w:r>
        <w:rPr>
          <w:rFonts w:ascii="Book Antiqua" w:hAnsi="Book Antiqua" w:cs="Times New Roman"/>
          <w:b/>
          <w:sz w:val="24"/>
          <w:szCs w:val="24"/>
        </w:rPr>
        <w:t xml:space="preserve"> Gadoxetic acid-enhanced liver magnetic resonance imaging. </w:t>
      </w:r>
      <w:r>
        <w:rPr>
          <w:rFonts w:ascii="Book Antiqua" w:hAnsi="Book Antiqua" w:cs="Times New Roman"/>
          <w:bCs/>
          <w:sz w:val="24"/>
          <w:szCs w:val="24"/>
        </w:rPr>
        <w:t xml:space="preserve">A: T2-weighted image; B: Before contrast; C: Arterial phase; D: Portal venous phase; E: Transitional phase; F: Hepatobiliary phase. </w:t>
      </w:r>
      <w:r>
        <w:rPr>
          <w:rFonts w:ascii="Book Antiqua" w:hAnsi="Book Antiqua" w:cs="Times New Roman"/>
          <w:sz w:val="24"/>
          <w:szCs w:val="24"/>
        </w:rPr>
        <w:t xml:space="preserve">Magnetic resonance </w:t>
      </w:r>
      <w:r>
        <w:rPr>
          <w:rFonts w:ascii="Book Antiqua" w:hAnsi="Book Antiqua" w:cs="Times New Roman"/>
          <w:bCs/>
          <w:sz w:val="24"/>
          <w:szCs w:val="24"/>
        </w:rPr>
        <w:t>images</w:t>
      </w:r>
      <w:r>
        <w:rPr>
          <w:rFonts w:ascii="Book Antiqua" w:hAnsi="Book Antiqua" w:cs="Times New Roman"/>
          <w:sz w:val="24"/>
          <w:szCs w:val="24"/>
        </w:rPr>
        <w:t xml:space="preserve"> </w:t>
      </w:r>
      <w:r>
        <w:rPr>
          <w:rFonts w:ascii="Book Antiqua" w:hAnsi="Book Antiqua" w:cs="Times New Roman"/>
          <w:bCs/>
          <w:sz w:val="24"/>
          <w:szCs w:val="24"/>
        </w:rPr>
        <w:t>(MRIs) demonstrate a 4.5-cm mass (arrowhead) in S3. This mass presents subtle high signal intensity to adjacent hepatic parenchyma, peripheral rim enhancement during the arterial phase, and washout during the portal venous phase, transitional phase, and hepatobiliary phase. This mass was categorized using liver imaging reporting and data system M observations. MRIs demonstrate a 1.3-cm metastatic lymph (arrow) node along the common hepatic artery.</w:t>
      </w:r>
    </w:p>
    <w:p w14:paraId="6541F4E1" w14:textId="77777777" w:rsidR="00723895" w:rsidRDefault="00723895">
      <w:pPr>
        <w:pStyle w:val="af3"/>
        <w:wordWrap/>
        <w:spacing w:line="360" w:lineRule="auto"/>
        <w:rPr>
          <w:rFonts w:ascii="Book Antiqua" w:hAnsi="Book Antiqua" w:cs="Times New Roman"/>
          <w:b/>
          <w:bCs/>
          <w:sz w:val="24"/>
          <w:szCs w:val="24"/>
        </w:rPr>
      </w:pPr>
    </w:p>
    <w:p w14:paraId="2E5C58DF" w14:textId="30247EDE" w:rsidR="00723895" w:rsidRDefault="00963595">
      <w:pPr>
        <w:pStyle w:val="af3"/>
        <w:wordWrap/>
        <w:spacing w:line="360" w:lineRule="auto"/>
        <w:rPr>
          <w:rFonts w:ascii="Book Antiqua" w:hAnsi="Book Antiqua" w:cs="Times New Roman"/>
          <w:b/>
          <w:bCs/>
          <w:sz w:val="24"/>
          <w:szCs w:val="24"/>
        </w:rPr>
      </w:pPr>
      <w:r>
        <w:rPr>
          <w:noProof/>
        </w:rPr>
        <w:drawing>
          <wp:inline distT="0" distB="0" distL="0" distR="0" wp14:anchorId="0276F429" wp14:editId="47B61A87">
            <wp:extent cx="3019425" cy="2147570"/>
            <wp:effectExtent l="0" t="0" r="952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2147570"/>
                    </a:xfrm>
                    <a:prstGeom prst="rect">
                      <a:avLst/>
                    </a:prstGeom>
                    <a:noFill/>
                    <a:ln>
                      <a:noFill/>
                    </a:ln>
                  </pic:spPr>
                </pic:pic>
              </a:graphicData>
            </a:graphic>
          </wp:inline>
        </w:drawing>
      </w:r>
    </w:p>
    <w:p w14:paraId="27CA2387" w14:textId="77777777" w:rsidR="00723895" w:rsidRDefault="00000000">
      <w:pPr>
        <w:pStyle w:val="af3"/>
        <w:wordWrap/>
        <w:spacing w:line="360" w:lineRule="auto"/>
        <w:rPr>
          <w:rFonts w:ascii="Book Antiqua" w:hAnsi="Book Antiqua" w:cs="Times New Roman"/>
          <w:bCs/>
          <w:sz w:val="24"/>
          <w:szCs w:val="24"/>
        </w:rPr>
      </w:pPr>
      <w:r>
        <w:rPr>
          <w:rFonts w:ascii="Book Antiqua" w:hAnsi="Book Antiqua" w:cs="Times New Roman"/>
          <w:b/>
          <w:bCs/>
          <w:sz w:val="24"/>
          <w:szCs w:val="24"/>
        </w:rPr>
        <w:t xml:space="preserve">Figure 3 </w:t>
      </w:r>
      <w:r>
        <w:rPr>
          <w:rFonts w:ascii="Book Antiqua" w:hAnsi="Book Antiqua" w:cs="Times New Roman"/>
          <w:b/>
          <w:bCs/>
          <w:color w:val="000000" w:themeColor="text1"/>
          <w:sz w:val="24"/>
          <w:szCs w:val="24"/>
          <w:shd w:val="clear" w:color="auto" w:fill="FCFCFC"/>
        </w:rPr>
        <w:t>18F-fluorodeoxyglucose positron emission tomography-computed tomography</w:t>
      </w:r>
      <w:r>
        <w:rPr>
          <w:rFonts w:ascii="Book Antiqua" w:hAnsi="Book Antiqua" w:cs="Times New Roman"/>
          <w:b/>
          <w:bCs/>
          <w:sz w:val="24"/>
          <w:szCs w:val="24"/>
        </w:rPr>
        <w:t xml:space="preserve"> examination.</w:t>
      </w:r>
      <w:r>
        <w:rPr>
          <w:rFonts w:ascii="Book Antiqua" w:hAnsi="Book Antiqua" w:cs="Times New Roman"/>
          <w:bCs/>
          <w:sz w:val="24"/>
          <w:szCs w:val="24"/>
        </w:rPr>
        <w:t xml:space="preserve"> </w:t>
      </w:r>
      <w:r>
        <w:rPr>
          <w:rFonts w:ascii="Book Antiqua" w:hAnsi="Book Antiqua" w:cs="Times New Roman"/>
          <w:color w:val="000000" w:themeColor="text1"/>
          <w:sz w:val="24"/>
          <w:szCs w:val="24"/>
          <w:shd w:val="clear" w:color="auto" w:fill="FCFCFC"/>
        </w:rPr>
        <w:t>Positron emission tomography-computed tomography</w:t>
      </w:r>
      <w:r>
        <w:rPr>
          <w:rFonts w:ascii="Book Antiqua" w:hAnsi="Book Antiqua" w:cs="Times New Roman"/>
          <w:bCs/>
          <w:sz w:val="24"/>
          <w:szCs w:val="24"/>
        </w:rPr>
        <w:t xml:space="preserve"> </w:t>
      </w:r>
      <w:r>
        <w:rPr>
          <w:rFonts w:ascii="Book Antiqua" w:hAnsi="Book Antiqua" w:cs="Times New Roman"/>
          <w:bCs/>
          <w:sz w:val="24"/>
          <w:szCs w:val="24"/>
        </w:rPr>
        <w:lastRenderedPageBreak/>
        <w:t>examination image demonstrates a 4.5-cm hypermetabolic mass (arrowhead) in S3 and a 1.3-cm metastatic lymph with avid FDG uptake (arrow) in the node along the common hepatic artery.</w:t>
      </w:r>
    </w:p>
    <w:p w14:paraId="10C1B495" w14:textId="77777777" w:rsidR="00723895" w:rsidRDefault="00723895">
      <w:pPr>
        <w:pStyle w:val="af3"/>
        <w:wordWrap/>
        <w:spacing w:line="360" w:lineRule="auto"/>
        <w:rPr>
          <w:rFonts w:ascii="Book Antiqua" w:hAnsi="Book Antiqua" w:cs="Times New Roman"/>
          <w:b/>
          <w:bCs/>
          <w:sz w:val="24"/>
          <w:szCs w:val="24"/>
        </w:rPr>
      </w:pPr>
    </w:p>
    <w:p w14:paraId="723976FE" w14:textId="2F401174" w:rsidR="00723895" w:rsidRDefault="00963595">
      <w:pPr>
        <w:pStyle w:val="af3"/>
        <w:wordWrap/>
        <w:spacing w:line="360" w:lineRule="auto"/>
        <w:rPr>
          <w:rFonts w:ascii="Book Antiqua" w:hAnsi="Book Antiqua" w:cs="Times New Roman"/>
          <w:b/>
          <w:bCs/>
          <w:sz w:val="24"/>
          <w:szCs w:val="24"/>
        </w:rPr>
      </w:pPr>
      <w:r>
        <w:rPr>
          <w:noProof/>
        </w:rPr>
        <w:drawing>
          <wp:inline distT="0" distB="0" distL="0" distR="0" wp14:anchorId="0B6CB33F" wp14:editId="52916798">
            <wp:extent cx="5730875" cy="375348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753485"/>
                    </a:xfrm>
                    <a:prstGeom prst="rect">
                      <a:avLst/>
                    </a:prstGeom>
                    <a:noFill/>
                    <a:ln>
                      <a:noFill/>
                    </a:ln>
                  </pic:spPr>
                </pic:pic>
              </a:graphicData>
            </a:graphic>
          </wp:inline>
        </w:drawing>
      </w:r>
    </w:p>
    <w:p w14:paraId="2196D753" w14:textId="77777777" w:rsidR="00723895" w:rsidRDefault="00000000">
      <w:pPr>
        <w:pStyle w:val="af3"/>
        <w:wordWrap/>
        <w:spacing w:line="360" w:lineRule="auto"/>
        <w:rPr>
          <w:rFonts w:ascii="Book Antiqua" w:hAnsi="Book Antiqua" w:cs="Times New Roman"/>
          <w:bCs/>
          <w:sz w:val="24"/>
          <w:szCs w:val="24"/>
        </w:rPr>
      </w:pPr>
      <w:r>
        <w:rPr>
          <w:rFonts w:ascii="Book Antiqua" w:hAnsi="Book Antiqua" w:cs="Times New Roman"/>
          <w:b/>
          <w:bCs/>
          <w:sz w:val="24"/>
          <w:szCs w:val="24"/>
        </w:rPr>
        <w:t>Figure 4</w:t>
      </w:r>
      <w:r>
        <w:rPr>
          <w:rFonts w:ascii="Book Antiqua" w:hAnsi="Book Antiqua" w:cs="Times New Roman"/>
          <w:bCs/>
          <w:sz w:val="24"/>
          <w:szCs w:val="24"/>
        </w:rPr>
        <w:t xml:space="preserve"> </w:t>
      </w:r>
      <w:r>
        <w:rPr>
          <w:rFonts w:ascii="Book Antiqua" w:hAnsi="Book Antiqua" w:cs="Times New Roman"/>
          <w:b/>
          <w:sz w:val="24"/>
          <w:szCs w:val="24"/>
        </w:rPr>
        <w:t>Histopathological analysis and immunohistochemical examination of the resected specimen.</w:t>
      </w:r>
      <w:r>
        <w:rPr>
          <w:rFonts w:ascii="Book Antiqua" w:hAnsi="Book Antiqua" w:cs="Times New Roman"/>
          <w:bCs/>
          <w:sz w:val="24"/>
          <w:szCs w:val="24"/>
        </w:rPr>
        <w:t xml:space="preserve"> The collision tumor comprises two distinct components: large-cell neuroendocrine carcinoma (red arrow) and hepatocellular carcinoma (black arrow). A: Hematoxylin-eosin staining (× 40); B and C: Immunohistochemical staining (B) for CD56 (× 100) and (C) glutamine synthetase staining (× 100); D: Hepatocyte-specific antigen staining (× 40). </w:t>
      </w:r>
    </w:p>
    <w:p w14:paraId="6DB2D0FE" w14:textId="77777777" w:rsidR="00900580" w:rsidRDefault="00900580">
      <w:pPr>
        <w:pStyle w:val="af3"/>
        <w:wordWrap/>
        <w:spacing w:line="360" w:lineRule="auto"/>
        <w:rPr>
          <w:rFonts w:ascii="Book Antiqua" w:hAnsi="Book Antiqua" w:cs="Times New Roman"/>
          <w:b/>
          <w:bCs/>
          <w:sz w:val="24"/>
          <w:szCs w:val="24"/>
        </w:rPr>
        <w:sectPr w:rsidR="00900580">
          <w:pgSz w:w="11906" w:h="16838"/>
          <w:pgMar w:top="1701" w:right="1440" w:bottom="1440" w:left="1440" w:header="851" w:footer="992" w:gutter="0"/>
          <w:cols w:space="425"/>
          <w:docGrid w:linePitch="360"/>
        </w:sectPr>
      </w:pPr>
    </w:p>
    <w:p w14:paraId="62CB1F0D" w14:textId="77777777" w:rsidR="00900580" w:rsidRPr="00CC78C2" w:rsidRDefault="00900580" w:rsidP="00900580">
      <w:pPr>
        <w:spacing w:line="240" w:lineRule="auto"/>
        <w:ind w:leftChars="100" w:left="200"/>
        <w:jc w:val="center"/>
        <w:rPr>
          <w:rFonts w:ascii="Book Antiqua" w:hAnsi="Book Antiqua"/>
          <w:lang w:val="pt-BR" w:eastAsia="zh-CN"/>
        </w:rPr>
      </w:pPr>
      <w:bookmarkStart w:id="8" w:name="_Hlk88512952"/>
    </w:p>
    <w:p w14:paraId="257331CF" w14:textId="77777777" w:rsidR="00900580" w:rsidRPr="00CC78C2" w:rsidRDefault="00900580" w:rsidP="00900580">
      <w:pPr>
        <w:spacing w:line="240" w:lineRule="auto"/>
        <w:ind w:leftChars="100" w:left="200"/>
        <w:jc w:val="center"/>
        <w:rPr>
          <w:rFonts w:ascii="Book Antiqua" w:hAnsi="Book Antiqua"/>
          <w:lang w:val="pt-BR" w:eastAsia="zh-CN"/>
        </w:rPr>
      </w:pPr>
    </w:p>
    <w:p w14:paraId="4F4A8B85" w14:textId="77777777" w:rsidR="00900580" w:rsidRPr="00CC78C2" w:rsidRDefault="00900580" w:rsidP="00900580">
      <w:pPr>
        <w:spacing w:line="240" w:lineRule="auto"/>
        <w:ind w:leftChars="100" w:left="200"/>
        <w:jc w:val="center"/>
        <w:rPr>
          <w:rFonts w:ascii="Book Antiqua" w:hAnsi="Book Antiqua"/>
          <w:lang w:val="pt-BR" w:eastAsia="zh-CN"/>
        </w:rPr>
      </w:pPr>
    </w:p>
    <w:p w14:paraId="79D7456E" w14:textId="77777777" w:rsidR="00900580" w:rsidRDefault="00900580" w:rsidP="00900580">
      <w:pPr>
        <w:spacing w:line="240" w:lineRule="auto"/>
        <w:ind w:leftChars="100" w:left="200"/>
        <w:jc w:val="center"/>
        <w:rPr>
          <w:rFonts w:ascii="Book Antiqua" w:hAnsi="Book Antiqua"/>
          <w:lang w:eastAsia="zh-CN"/>
        </w:rPr>
      </w:pPr>
      <w:r>
        <w:rPr>
          <w:rFonts w:ascii="Book Antiqua" w:hAnsi="Book Antiqua"/>
          <w:noProof/>
          <w:lang w:eastAsia="zh-CN"/>
        </w:rPr>
        <w:drawing>
          <wp:inline distT="0" distB="0" distL="0" distR="0" wp14:anchorId="35E520F3" wp14:editId="322DE6A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8F7E2D" w14:textId="77777777" w:rsidR="00900580" w:rsidRDefault="00900580" w:rsidP="00900580">
      <w:pPr>
        <w:spacing w:line="240" w:lineRule="auto"/>
        <w:ind w:leftChars="100" w:left="200"/>
        <w:jc w:val="center"/>
        <w:rPr>
          <w:rFonts w:ascii="Book Antiqua" w:hAnsi="Book Antiqua"/>
          <w:lang w:eastAsia="zh-CN"/>
        </w:rPr>
      </w:pPr>
    </w:p>
    <w:p w14:paraId="65E86FDE" w14:textId="77777777" w:rsidR="00900580" w:rsidRPr="00763D22" w:rsidRDefault="00900580" w:rsidP="00900580">
      <w:pPr>
        <w:adjustRightInd w:val="0"/>
        <w:spacing w:line="240" w:lineRule="auto"/>
        <w:ind w:leftChars="100" w:left="20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188A97" w14:textId="77777777" w:rsidR="00900580" w:rsidRPr="00763D22" w:rsidRDefault="00900580" w:rsidP="00900580">
      <w:pPr>
        <w:adjustRightInd w:val="0"/>
        <w:spacing w:line="240" w:lineRule="auto"/>
        <w:ind w:leftChars="100" w:left="20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5898EC2" w14:textId="77777777" w:rsidR="00900580" w:rsidRPr="00763D22" w:rsidRDefault="00900580" w:rsidP="00900580">
      <w:pPr>
        <w:adjustRightInd w:val="0"/>
        <w:spacing w:line="240" w:lineRule="auto"/>
        <w:ind w:leftChars="100" w:left="20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9368264" w14:textId="77777777" w:rsidR="00900580" w:rsidRPr="00763D22" w:rsidRDefault="00900580" w:rsidP="00900580">
      <w:pPr>
        <w:adjustRightInd w:val="0"/>
        <w:spacing w:line="240" w:lineRule="auto"/>
        <w:ind w:leftChars="100" w:left="20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B350EF8" w14:textId="77777777" w:rsidR="00900580" w:rsidRPr="00763D22" w:rsidRDefault="00900580" w:rsidP="00900580">
      <w:pPr>
        <w:adjustRightInd w:val="0"/>
        <w:spacing w:line="240" w:lineRule="auto"/>
        <w:ind w:leftChars="100" w:left="20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D8C155D" w14:textId="77777777" w:rsidR="00900580" w:rsidRPr="00763D22" w:rsidRDefault="00900580" w:rsidP="00900580">
      <w:pPr>
        <w:spacing w:line="240" w:lineRule="auto"/>
        <w:ind w:leftChars="100" w:left="20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21C5F63" w14:textId="77777777" w:rsidR="00900580" w:rsidRDefault="00900580" w:rsidP="00900580">
      <w:pPr>
        <w:spacing w:line="240" w:lineRule="auto"/>
        <w:ind w:leftChars="100" w:left="200"/>
        <w:jc w:val="center"/>
        <w:rPr>
          <w:rFonts w:ascii="Book Antiqua" w:hAnsi="Book Antiqua"/>
          <w:lang w:eastAsia="zh-CN"/>
        </w:rPr>
      </w:pPr>
    </w:p>
    <w:p w14:paraId="65842132" w14:textId="77777777" w:rsidR="00900580" w:rsidRDefault="00900580" w:rsidP="00900580">
      <w:pPr>
        <w:spacing w:line="240" w:lineRule="auto"/>
        <w:ind w:leftChars="100" w:left="200"/>
        <w:jc w:val="center"/>
        <w:rPr>
          <w:rFonts w:ascii="Book Antiqua" w:hAnsi="Book Antiqua"/>
          <w:lang w:eastAsia="zh-CN"/>
        </w:rPr>
      </w:pPr>
    </w:p>
    <w:p w14:paraId="18FA58E7" w14:textId="77777777" w:rsidR="00900580" w:rsidRDefault="00900580" w:rsidP="00900580">
      <w:pPr>
        <w:spacing w:line="240" w:lineRule="auto"/>
        <w:ind w:leftChars="100" w:left="200"/>
        <w:jc w:val="center"/>
        <w:rPr>
          <w:rFonts w:ascii="Book Antiqua" w:hAnsi="Book Antiqua"/>
          <w:lang w:eastAsia="zh-CN"/>
        </w:rPr>
      </w:pPr>
    </w:p>
    <w:p w14:paraId="5731524F" w14:textId="77777777" w:rsidR="00900580" w:rsidRDefault="00900580" w:rsidP="00900580">
      <w:pPr>
        <w:spacing w:line="240" w:lineRule="auto"/>
        <w:ind w:leftChars="100" w:left="200"/>
        <w:jc w:val="center"/>
        <w:rPr>
          <w:rFonts w:ascii="Book Antiqua" w:hAnsi="Book Antiqua"/>
          <w:lang w:eastAsia="zh-CN"/>
        </w:rPr>
      </w:pPr>
      <w:r>
        <w:rPr>
          <w:rFonts w:ascii="Book Antiqua" w:hAnsi="Book Antiqua"/>
          <w:noProof/>
          <w:lang w:eastAsia="zh-CN"/>
        </w:rPr>
        <w:drawing>
          <wp:inline distT="0" distB="0" distL="0" distR="0" wp14:anchorId="25F6E02D" wp14:editId="0B02DEB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2F89FA" w14:textId="77777777" w:rsidR="00900580" w:rsidRDefault="00900580" w:rsidP="00900580">
      <w:pPr>
        <w:spacing w:line="240" w:lineRule="auto"/>
        <w:ind w:leftChars="100" w:left="200"/>
        <w:jc w:val="center"/>
        <w:rPr>
          <w:rFonts w:ascii="Book Antiqua" w:hAnsi="Book Antiqua"/>
          <w:lang w:eastAsia="zh-CN"/>
        </w:rPr>
      </w:pPr>
    </w:p>
    <w:p w14:paraId="2CCCF72A" w14:textId="77777777" w:rsidR="00900580" w:rsidRDefault="00900580" w:rsidP="00900580">
      <w:pPr>
        <w:spacing w:line="240" w:lineRule="auto"/>
        <w:ind w:leftChars="100" w:left="200"/>
        <w:jc w:val="center"/>
        <w:rPr>
          <w:rFonts w:ascii="Book Antiqua" w:hAnsi="Book Antiqua"/>
          <w:lang w:eastAsia="zh-CN"/>
        </w:rPr>
      </w:pPr>
    </w:p>
    <w:p w14:paraId="4E32DAB4" w14:textId="77777777" w:rsidR="00900580" w:rsidRDefault="00900580" w:rsidP="00900580">
      <w:pPr>
        <w:spacing w:line="240" w:lineRule="auto"/>
        <w:ind w:leftChars="100" w:left="200"/>
        <w:jc w:val="center"/>
        <w:rPr>
          <w:rFonts w:ascii="Book Antiqua" w:hAnsi="Book Antiqua"/>
          <w:lang w:eastAsia="zh-CN"/>
        </w:rPr>
      </w:pPr>
    </w:p>
    <w:p w14:paraId="0FFCFA12" w14:textId="77777777" w:rsidR="00900580" w:rsidRDefault="00900580" w:rsidP="00900580">
      <w:pPr>
        <w:spacing w:line="240" w:lineRule="auto"/>
        <w:ind w:leftChars="100" w:left="200"/>
        <w:jc w:val="center"/>
        <w:rPr>
          <w:rFonts w:ascii="Book Antiqua" w:hAnsi="Book Antiqua"/>
          <w:lang w:eastAsia="zh-CN"/>
        </w:rPr>
      </w:pPr>
    </w:p>
    <w:p w14:paraId="7A6ABF89" w14:textId="77777777" w:rsidR="00900580" w:rsidRDefault="00900580" w:rsidP="00900580">
      <w:pPr>
        <w:spacing w:line="240" w:lineRule="auto"/>
        <w:ind w:leftChars="100" w:left="200"/>
        <w:jc w:val="center"/>
        <w:rPr>
          <w:rFonts w:ascii="Book Antiqua" w:hAnsi="Book Antiqua"/>
          <w:lang w:eastAsia="zh-CN"/>
        </w:rPr>
      </w:pPr>
    </w:p>
    <w:p w14:paraId="60062FB7" w14:textId="77777777" w:rsidR="00900580" w:rsidRDefault="00900580" w:rsidP="00900580">
      <w:pPr>
        <w:spacing w:line="240" w:lineRule="auto"/>
        <w:ind w:leftChars="100" w:left="200"/>
        <w:jc w:val="center"/>
        <w:rPr>
          <w:rFonts w:ascii="Book Antiqua" w:hAnsi="Book Antiqua"/>
          <w:lang w:eastAsia="zh-CN"/>
        </w:rPr>
      </w:pPr>
    </w:p>
    <w:p w14:paraId="686163CF" w14:textId="77777777" w:rsidR="00900580" w:rsidRPr="00763D22" w:rsidRDefault="00900580" w:rsidP="00900580">
      <w:pPr>
        <w:spacing w:line="240" w:lineRule="auto"/>
        <w:ind w:leftChars="100" w:left="200"/>
        <w:jc w:val="right"/>
        <w:rPr>
          <w:rFonts w:ascii="Book Antiqua" w:hAnsi="Book Antiqua"/>
          <w:color w:val="000000" w:themeColor="text1"/>
          <w:lang w:eastAsia="zh-CN"/>
        </w:rPr>
      </w:pPr>
    </w:p>
    <w:p w14:paraId="32CF581B" w14:textId="49C8ED5F" w:rsidR="00723895" w:rsidRPr="00900580" w:rsidRDefault="00900580" w:rsidP="00900580">
      <w:pPr>
        <w:spacing w:line="240" w:lineRule="auto"/>
        <w:ind w:leftChars="100" w:left="20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p>
    <w:sectPr w:rsidR="00723895" w:rsidRPr="00900580"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30C1C" w14:textId="77777777" w:rsidR="00815C45" w:rsidRDefault="00815C45">
      <w:pPr>
        <w:spacing w:line="240" w:lineRule="auto"/>
      </w:pPr>
      <w:r>
        <w:separator/>
      </w:r>
    </w:p>
  </w:endnote>
  <w:endnote w:type="continuationSeparator" w:id="0">
    <w:p w14:paraId="371580EC" w14:textId="77777777" w:rsidR="00815C45" w:rsidRDefault="00815C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함초롬바탕">
    <w:altName w:val="Batang"/>
    <w:charset w:val="81"/>
    <w:family w:val="roman"/>
    <w:pitch w:val="default"/>
    <w:sig w:usb0="00000000" w:usb1="00000000" w:usb2="001BFDD7" w:usb3="00000000" w:csb0="001F007F" w:csb1="00000000"/>
  </w:font>
  <w:font w:name="한양신명조">
    <w:altName w:val="Malgun Gothic"/>
    <w:charset w:val="81"/>
    <w:family w:val="roman"/>
    <w:pitch w:val="default"/>
    <w:sig w:usb0="00000000" w:usb1="0000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Italic">
    <w:altName w:val="Arial"/>
    <w:charset w:val="00"/>
    <w:family w:val="swiss"/>
    <w:pitch w:val="default"/>
    <w:sig w:usb0="00000000" w:usb1="00000000" w:usb2="00000000" w:usb3="00000000" w:csb0="00000001" w:csb1="00000000"/>
  </w:font>
  <w:font w:name="GoudyOlSt BT Bold">
    <w:altName w:val="Times New Roman"/>
    <w:charset w:val="00"/>
    <w:family w:val="roman"/>
    <w:pitch w:val="default"/>
  </w:font>
  <w:font w:name="Dotum">
    <w:altName w:val="돋움"/>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0" w:usb1="00000000" w:usb2="00000010" w:usb3="00000000" w:csb0="00040000"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E555" w14:textId="77777777" w:rsidR="00723895" w:rsidRDefault="00000000">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13</w:t>
    </w:r>
    <w:r>
      <w:rPr>
        <w:rFonts w:ascii="Book Antiqua" w:hAnsi="Book Antiqua"/>
        <w:sz w:val="24"/>
        <w:szCs w:val="24"/>
      </w:rPr>
      <w:fldChar w:fldCharType="end"/>
    </w:r>
  </w:p>
  <w:p w14:paraId="0B56DAC1" w14:textId="77777777" w:rsidR="00723895" w:rsidRDefault="0072389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0826C715" w14:textId="77777777" w:rsidR="001204A0" w:rsidRDefault="00000000"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52B037BC" w14:textId="77777777" w:rsidR="001204A0" w:rsidRDefault="00000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AEE41" w14:textId="77777777" w:rsidR="00815C45" w:rsidRDefault="00815C45">
      <w:pPr>
        <w:spacing w:after="0"/>
      </w:pPr>
      <w:r>
        <w:separator/>
      </w:r>
    </w:p>
  </w:footnote>
  <w:footnote w:type="continuationSeparator" w:id="0">
    <w:p w14:paraId="62786D84" w14:textId="77777777" w:rsidR="00815C45" w:rsidRDefault="00815C4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EEE"/>
    <w:rsid w:val="00001FE0"/>
    <w:rsid w:val="0000240A"/>
    <w:rsid w:val="00002C69"/>
    <w:rsid w:val="00005FFD"/>
    <w:rsid w:val="00007C10"/>
    <w:rsid w:val="0001074C"/>
    <w:rsid w:val="00016E16"/>
    <w:rsid w:val="00020422"/>
    <w:rsid w:val="00022433"/>
    <w:rsid w:val="00023A3F"/>
    <w:rsid w:val="000264AA"/>
    <w:rsid w:val="00026F47"/>
    <w:rsid w:val="00030A03"/>
    <w:rsid w:val="00030B0C"/>
    <w:rsid w:val="00030B24"/>
    <w:rsid w:val="00030D5C"/>
    <w:rsid w:val="00031544"/>
    <w:rsid w:val="00036791"/>
    <w:rsid w:val="0003693E"/>
    <w:rsid w:val="000376FD"/>
    <w:rsid w:val="00040E4C"/>
    <w:rsid w:val="00041CD4"/>
    <w:rsid w:val="000422FC"/>
    <w:rsid w:val="000423FB"/>
    <w:rsid w:val="000425FF"/>
    <w:rsid w:val="00042A23"/>
    <w:rsid w:val="000445D1"/>
    <w:rsid w:val="0004555C"/>
    <w:rsid w:val="00045699"/>
    <w:rsid w:val="000463E1"/>
    <w:rsid w:val="00051F5B"/>
    <w:rsid w:val="00052254"/>
    <w:rsid w:val="00053378"/>
    <w:rsid w:val="000535F9"/>
    <w:rsid w:val="00053F85"/>
    <w:rsid w:val="0005664E"/>
    <w:rsid w:val="000624C1"/>
    <w:rsid w:val="00062F39"/>
    <w:rsid w:val="000636D7"/>
    <w:rsid w:val="00064FC7"/>
    <w:rsid w:val="0006671C"/>
    <w:rsid w:val="000705E0"/>
    <w:rsid w:val="00070B5E"/>
    <w:rsid w:val="00071292"/>
    <w:rsid w:val="0007312B"/>
    <w:rsid w:val="00073D62"/>
    <w:rsid w:val="00074203"/>
    <w:rsid w:val="000745E2"/>
    <w:rsid w:val="00074A73"/>
    <w:rsid w:val="000767B8"/>
    <w:rsid w:val="00076D92"/>
    <w:rsid w:val="00080735"/>
    <w:rsid w:val="00082111"/>
    <w:rsid w:val="00084624"/>
    <w:rsid w:val="00084F80"/>
    <w:rsid w:val="00085A06"/>
    <w:rsid w:val="00086657"/>
    <w:rsid w:val="0008729F"/>
    <w:rsid w:val="0009058A"/>
    <w:rsid w:val="00091CD4"/>
    <w:rsid w:val="00094603"/>
    <w:rsid w:val="00094702"/>
    <w:rsid w:val="00095195"/>
    <w:rsid w:val="00095496"/>
    <w:rsid w:val="00096227"/>
    <w:rsid w:val="000A0117"/>
    <w:rsid w:val="000A2FE8"/>
    <w:rsid w:val="000A301F"/>
    <w:rsid w:val="000A3CEC"/>
    <w:rsid w:val="000A4791"/>
    <w:rsid w:val="000A540C"/>
    <w:rsid w:val="000A5B03"/>
    <w:rsid w:val="000B36CC"/>
    <w:rsid w:val="000B3A42"/>
    <w:rsid w:val="000B4EEE"/>
    <w:rsid w:val="000B5984"/>
    <w:rsid w:val="000B7743"/>
    <w:rsid w:val="000C060B"/>
    <w:rsid w:val="000C1C24"/>
    <w:rsid w:val="000C21BC"/>
    <w:rsid w:val="000C2729"/>
    <w:rsid w:val="000C4075"/>
    <w:rsid w:val="000C5956"/>
    <w:rsid w:val="000D0372"/>
    <w:rsid w:val="000D5AF4"/>
    <w:rsid w:val="000E0B53"/>
    <w:rsid w:val="000E1A02"/>
    <w:rsid w:val="000E3A82"/>
    <w:rsid w:val="000E3BB3"/>
    <w:rsid w:val="000E47C3"/>
    <w:rsid w:val="000E5E39"/>
    <w:rsid w:val="000E6531"/>
    <w:rsid w:val="000E6BCD"/>
    <w:rsid w:val="000E7262"/>
    <w:rsid w:val="000E773E"/>
    <w:rsid w:val="000F04D8"/>
    <w:rsid w:val="000F09DA"/>
    <w:rsid w:val="000F1267"/>
    <w:rsid w:val="000F1C6C"/>
    <w:rsid w:val="000F3B6D"/>
    <w:rsid w:val="000F3E14"/>
    <w:rsid w:val="000F40BE"/>
    <w:rsid w:val="000F5A42"/>
    <w:rsid w:val="000F668C"/>
    <w:rsid w:val="000F7048"/>
    <w:rsid w:val="000F7ECE"/>
    <w:rsid w:val="001016D0"/>
    <w:rsid w:val="00103CEC"/>
    <w:rsid w:val="0010566E"/>
    <w:rsid w:val="001074E1"/>
    <w:rsid w:val="00107E0E"/>
    <w:rsid w:val="0011002A"/>
    <w:rsid w:val="001105E0"/>
    <w:rsid w:val="00111029"/>
    <w:rsid w:val="00112789"/>
    <w:rsid w:val="00113EA1"/>
    <w:rsid w:val="00117A5A"/>
    <w:rsid w:val="001221B7"/>
    <w:rsid w:val="00123217"/>
    <w:rsid w:val="001250A9"/>
    <w:rsid w:val="001250C5"/>
    <w:rsid w:val="00126B01"/>
    <w:rsid w:val="00127688"/>
    <w:rsid w:val="0013071F"/>
    <w:rsid w:val="00131152"/>
    <w:rsid w:val="0013122F"/>
    <w:rsid w:val="00131541"/>
    <w:rsid w:val="001342E0"/>
    <w:rsid w:val="00135CFE"/>
    <w:rsid w:val="00135F16"/>
    <w:rsid w:val="00136881"/>
    <w:rsid w:val="00136D72"/>
    <w:rsid w:val="00140201"/>
    <w:rsid w:val="00141D3B"/>
    <w:rsid w:val="001444BD"/>
    <w:rsid w:val="00144C68"/>
    <w:rsid w:val="0014523F"/>
    <w:rsid w:val="00145676"/>
    <w:rsid w:val="001472B1"/>
    <w:rsid w:val="00151998"/>
    <w:rsid w:val="00152CEB"/>
    <w:rsid w:val="001530F3"/>
    <w:rsid w:val="0015416E"/>
    <w:rsid w:val="00156289"/>
    <w:rsid w:val="0015678E"/>
    <w:rsid w:val="00160179"/>
    <w:rsid w:val="0016262C"/>
    <w:rsid w:val="00167847"/>
    <w:rsid w:val="00167A16"/>
    <w:rsid w:val="00170859"/>
    <w:rsid w:val="001708A6"/>
    <w:rsid w:val="001708C6"/>
    <w:rsid w:val="00170FAC"/>
    <w:rsid w:val="00171B42"/>
    <w:rsid w:val="00172D9F"/>
    <w:rsid w:val="00173BF2"/>
    <w:rsid w:val="00175EBE"/>
    <w:rsid w:val="001768FB"/>
    <w:rsid w:val="00177277"/>
    <w:rsid w:val="00177D22"/>
    <w:rsid w:val="00180E06"/>
    <w:rsid w:val="0018193E"/>
    <w:rsid w:val="0018401E"/>
    <w:rsid w:val="00185A65"/>
    <w:rsid w:val="00187674"/>
    <w:rsid w:val="00193B37"/>
    <w:rsid w:val="0019431C"/>
    <w:rsid w:val="00194FBB"/>
    <w:rsid w:val="001A04A3"/>
    <w:rsid w:val="001A1A57"/>
    <w:rsid w:val="001A293C"/>
    <w:rsid w:val="001A2CF2"/>
    <w:rsid w:val="001A4F49"/>
    <w:rsid w:val="001A5FD3"/>
    <w:rsid w:val="001A627E"/>
    <w:rsid w:val="001A63A3"/>
    <w:rsid w:val="001B0F53"/>
    <w:rsid w:val="001B213F"/>
    <w:rsid w:val="001B776C"/>
    <w:rsid w:val="001B78A5"/>
    <w:rsid w:val="001B7D8F"/>
    <w:rsid w:val="001C0977"/>
    <w:rsid w:val="001C203D"/>
    <w:rsid w:val="001C3244"/>
    <w:rsid w:val="001C5D67"/>
    <w:rsid w:val="001C680D"/>
    <w:rsid w:val="001C7F26"/>
    <w:rsid w:val="001D1606"/>
    <w:rsid w:val="001D195F"/>
    <w:rsid w:val="001D1D01"/>
    <w:rsid w:val="001D274C"/>
    <w:rsid w:val="001D2CD2"/>
    <w:rsid w:val="001D2F35"/>
    <w:rsid w:val="001D3B72"/>
    <w:rsid w:val="001D6B9D"/>
    <w:rsid w:val="001E0240"/>
    <w:rsid w:val="001E0593"/>
    <w:rsid w:val="001E2AFD"/>
    <w:rsid w:val="001E2E9A"/>
    <w:rsid w:val="001E5DEB"/>
    <w:rsid w:val="001E7A78"/>
    <w:rsid w:val="001F0752"/>
    <w:rsid w:val="001F0C8A"/>
    <w:rsid w:val="001F37E3"/>
    <w:rsid w:val="001F3B48"/>
    <w:rsid w:val="001F4159"/>
    <w:rsid w:val="001F4867"/>
    <w:rsid w:val="001F4D87"/>
    <w:rsid w:val="00200E07"/>
    <w:rsid w:val="002022AA"/>
    <w:rsid w:val="00202C95"/>
    <w:rsid w:val="002031DE"/>
    <w:rsid w:val="00203215"/>
    <w:rsid w:val="0020389A"/>
    <w:rsid w:val="00205099"/>
    <w:rsid w:val="00205348"/>
    <w:rsid w:val="0020791E"/>
    <w:rsid w:val="00210800"/>
    <w:rsid w:val="00210957"/>
    <w:rsid w:val="002116FB"/>
    <w:rsid w:val="002153FF"/>
    <w:rsid w:val="002163D8"/>
    <w:rsid w:val="00216826"/>
    <w:rsid w:val="002224B8"/>
    <w:rsid w:val="002226E0"/>
    <w:rsid w:val="00222C1A"/>
    <w:rsid w:val="00223C64"/>
    <w:rsid w:val="00230726"/>
    <w:rsid w:val="00235B8E"/>
    <w:rsid w:val="00237CA4"/>
    <w:rsid w:val="002407DF"/>
    <w:rsid w:val="00240FBA"/>
    <w:rsid w:val="002413D1"/>
    <w:rsid w:val="0024163E"/>
    <w:rsid w:val="002419D6"/>
    <w:rsid w:val="00241D7F"/>
    <w:rsid w:val="00241FC0"/>
    <w:rsid w:val="00242536"/>
    <w:rsid w:val="002429FC"/>
    <w:rsid w:val="00242FEB"/>
    <w:rsid w:val="00245526"/>
    <w:rsid w:val="00245D9C"/>
    <w:rsid w:val="0024711B"/>
    <w:rsid w:val="00247444"/>
    <w:rsid w:val="002474FF"/>
    <w:rsid w:val="00250F03"/>
    <w:rsid w:val="00250FCB"/>
    <w:rsid w:val="00251C58"/>
    <w:rsid w:val="00256275"/>
    <w:rsid w:val="00261943"/>
    <w:rsid w:val="00262C5A"/>
    <w:rsid w:val="002632A8"/>
    <w:rsid w:val="00263F1B"/>
    <w:rsid w:val="0026644C"/>
    <w:rsid w:val="00266953"/>
    <w:rsid w:val="00267125"/>
    <w:rsid w:val="00267264"/>
    <w:rsid w:val="00271BB7"/>
    <w:rsid w:val="00272AE2"/>
    <w:rsid w:val="00272DDE"/>
    <w:rsid w:val="002740DA"/>
    <w:rsid w:val="00274A68"/>
    <w:rsid w:val="0027563A"/>
    <w:rsid w:val="00275993"/>
    <w:rsid w:val="00277138"/>
    <w:rsid w:val="00281DBA"/>
    <w:rsid w:val="002839D1"/>
    <w:rsid w:val="00283AB1"/>
    <w:rsid w:val="0028538D"/>
    <w:rsid w:val="00287805"/>
    <w:rsid w:val="00287AAA"/>
    <w:rsid w:val="00291F8F"/>
    <w:rsid w:val="00293953"/>
    <w:rsid w:val="002941DD"/>
    <w:rsid w:val="00296011"/>
    <w:rsid w:val="00297B6C"/>
    <w:rsid w:val="002A3ECD"/>
    <w:rsid w:val="002A3FBA"/>
    <w:rsid w:val="002A4DFF"/>
    <w:rsid w:val="002A63EC"/>
    <w:rsid w:val="002A6603"/>
    <w:rsid w:val="002A7575"/>
    <w:rsid w:val="002B1B46"/>
    <w:rsid w:val="002B4C62"/>
    <w:rsid w:val="002B4EAC"/>
    <w:rsid w:val="002B5783"/>
    <w:rsid w:val="002B6D33"/>
    <w:rsid w:val="002B7BC6"/>
    <w:rsid w:val="002C013A"/>
    <w:rsid w:val="002C0CD1"/>
    <w:rsid w:val="002C2DF3"/>
    <w:rsid w:val="002C67BE"/>
    <w:rsid w:val="002C6DFD"/>
    <w:rsid w:val="002C7E04"/>
    <w:rsid w:val="002D0803"/>
    <w:rsid w:val="002D2B0E"/>
    <w:rsid w:val="002D3D7C"/>
    <w:rsid w:val="002D46A1"/>
    <w:rsid w:val="002D4CD2"/>
    <w:rsid w:val="002D55EF"/>
    <w:rsid w:val="002E2B18"/>
    <w:rsid w:val="002E3D19"/>
    <w:rsid w:val="002E46E4"/>
    <w:rsid w:val="002E4DFD"/>
    <w:rsid w:val="002E7CAB"/>
    <w:rsid w:val="002F0087"/>
    <w:rsid w:val="002F01A7"/>
    <w:rsid w:val="002F085C"/>
    <w:rsid w:val="002F13D8"/>
    <w:rsid w:val="002F2AC0"/>
    <w:rsid w:val="002F2AD9"/>
    <w:rsid w:val="002F7553"/>
    <w:rsid w:val="0030074A"/>
    <w:rsid w:val="00301B78"/>
    <w:rsid w:val="0030481D"/>
    <w:rsid w:val="00304A8A"/>
    <w:rsid w:val="00304DF3"/>
    <w:rsid w:val="00305A91"/>
    <w:rsid w:val="00305BBE"/>
    <w:rsid w:val="003071F6"/>
    <w:rsid w:val="003107D9"/>
    <w:rsid w:val="00314906"/>
    <w:rsid w:val="003176EB"/>
    <w:rsid w:val="00321E8F"/>
    <w:rsid w:val="0032201A"/>
    <w:rsid w:val="0032280B"/>
    <w:rsid w:val="00323A89"/>
    <w:rsid w:val="00324A5D"/>
    <w:rsid w:val="0032638F"/>
    <w:rsid w:val="00327A11"/>
    <w:rsid w:val="003309D2"/>
    <w:rsid w:val="00330BB1"/>
    <w:rsid w:val="00331DE2"/>
    <w:rsid w:val="00333892"/>
    <w:rsid w:val="0033587F"/>
    <w:rsid w:val="00336350"/>
    <w:rsid w:val="00340BE4"/>
    <w:rsid w:val="00341E8F"/>
    <w:rsid w:val="0034201E"/>
    <w:rsid w:val="003425ED"/>
    <w:rsid w:val="00344123"/>
    <w:rsid w:val="003449C9"/>
    <w:rsid w:val="00344C56"/>
    <w:rsid w:val="0035012D"/>
    <w:rsid w:val="003501A7"/>
    <w:rsid w:val="00350CB2"/>
    <w:rsid w:val="00352722"/>
    <w:rsid w:val="00352CE8"/>
    <w:rsid w:val="003531DD"/>
    <w:rsid w:val="003534F9"/>
    <w:rsid w:val="00353706"/>
    <w:rsid w:val="00353FAE"/>
    <w:rsid w:val="00355143"/>
    <w:rsid w:val="00357E35"/>
    <w:rsid w:val="00360C7F"/>
    <w:rsid w:val="00363C61"/>
    <w:rsid w:val="00365A27"/>
    <w:rsid w:val="00366EC7"/>
    <w:rsid w:val="003717A1"/>
    <w:rsid w:val="003723E5"/>
    <w:rsid w:val="003738AD"/>
    <w:rsid w:val="00373D70"/>
    <w:rsid w:val="0037501B"/>
    <w:rsid w:val="00377837"/>
    <w:rsid w:val="003778FC"/>
    <w:rsid w:val="003812C1"/>
    <w:rsid w:val="00381309"/>
    <w:rsid w:val="00383AD6"/>
    <w:rsid w:val="003865A8"/>
    <w:rsid w:val="003870C8"/>
    <w:rsid w:val="00387914"/>
    <w:rsid w:val="00390A46"/>
    <w:rsid w:val="00391717"/>
    <w:rsid w:val="00392B84"/>
    <w:rsid w:val="00393723"/>
    <w:rsid w:val="003945FF"/>
    <w:rsid w:val="00394A8A"/>
    <w:rsid w:val="00395EF2"/>
    <w:rsid w:val="00396CA6"/>
    <w:rsid w:val="003975B7"/>
    <w:rsid w:val="003A067F"/>
    <w:rsid w:val="003A1116"/>
    <w:rsid w:val="003A20AC"/>
    <w:rsid w:val="003A2730"/>
    <w:rsid w:val="003A3006"/>
    <w:rsid w:val="003A36EE"/>
    <w:rsid w:val="003A566C"/>
    <w:rsid w:val="003A5B82"/>
    <w:rsid w:val="003A5E91"/>
    <w:rsid w:val="003A6B9C"/>
    <w:rsid w:val="003B03C8"/>
    <w:rsid w:val="003B0CB6"/>
    <w:rsid w:val="003B1227"/>
    <w:rsid w:val="003B444F"/>
    <w:rsid w:val="003B5C53"/>
    <w:rsid w:val="003B5D17"/>
    <w:rsid w:val="003B7298"/>
    <w:rsid w:val="003B7574"/>
    <w:rsid w:val="003C27B4"/>
    <w:rsid w:val="003C28FE"/>
    <w:rsid w:val="003C32FB"/>
    <w:rsid w:val="003C598F"/>
    <w:rsid w:val="003C6C0F"/>
    <w:rsid w:val="003C78DC"/>
    <w:rsid w:val="003D0F5A"/>
    <w:rsid w:val="003D1FD5"/>
    <w:rsid w:val="003D520F"/>
    <w:rsid w:val="003E019C"/>
    <w:rsid w:val="003E171C"/>
    <w:rsid w:val="003E21ED"/>
    <w:rsid w:val="003E236E"/>
    <w:rsid w:val="003E358F"/>
    <w:rsid w:val="003E3E23"/>
    <w:rsid w:val="003E462F"/>
    <w:rsid w:val="003E512F"/>
    <w:rsid w:val="003E6FD5"/>
    <w:rsid w:val="003E7C3D"/>
    <w:rsid w:val="003F0AFD"/>
    <w:rsid w:val="003F0C1B"/>
    <w:rsid w:val="003F15F3"/>
    <w:rsid w:val="003F2343"/>
    <w:rsid w:val="003F3CA5"/>
    <w:rsid w:val="003F64F3"/>
    <w:rsid w:val="003F6867"/>
    <w:rsid w:val="00403C07"/>
    <w:rsid w:val="004059BD"/>
    <w:rsid w:val="00406EE5"/>
    <w:rsid w:val="00407600"/>
    <w:rsid w:val="00407A19"/>
    <w:rsid w:val="004163AA"/>
    <w:rsid w:val="00416420"/>
    <w:rsid w:val="00416723"/>
    <w:rsid w:val="00416DA2"/>
    <w:rsid w:val="00417154"/>
    <w:rsid w:val="0041715E"/>
    <w:rsid w:val="00417C92"/>
    <w:rsid w:val="00421222"/>
    <w:rsid w:val="00423D62"/>
    <w:rsid w:val="0042466D"/>
    <w:rsid w:val="0042738A"/>
    <w:rsid w:val="00430EA2"/>
    <w:rsid w:val="004310D7"/>
    <w:rsid w:val="0043178B"/>
    <w:rsid w:val="00431AA6"/>
    <w:rsid w:val="0043305E"/>
    <w:rsid w:val="00434098"/>
    <w:rsid w:val="004368E8"/>
    <w:rsid w:val="004370BE"/>
    <w:rsid w:val="00442D83"/>
    <w:rsid w:val="00444A04"/>
    <w:rsid w:val="00446359"/>
    <w:rsid w:val="00447427"/>
    <w:rsid w:val="00452522"/>
    <w:rsid w:val="00454DCE"/>
    <w:rsid w:val="00460B99"/>
    <w:rsid w:val="004615A5"/>
    <w:rsid w:val="004615DB"/>
    <w:rsid w:val="00462C86"/>
    <w:rsid w:val="00466098"/>
    <w:rsid w:val="004665B9"/>
    <w:rsid w:val="00466E8D"/>
    <w:rsid w:val="004718B7"/>
    <w:rsid w:val="004723E6"/>
    <w:rsid w:val="004726DB"/>
    <w:rsid w:val="00473CE7"/>
    <w:rsid w:val="0047662B"/>
    <w:rsid w:val="00480849"/>
    <w:rsid w:val="00482615"/>
    <w:rsid w:val="00484C8D"/>
    <w:rsid w:val="0048768C"/>
    <w:rsid w:val="004906EA"/>
    <w:rsid w:val="004915AE"/>
    <w:rsid w:val="004920B6"/>
    <w:rsid w:val="004929EC"/>
    <w:rsid w:val="00492D5F"/>
    <w:rsid w:val="00494A47"/>
    <w:rsid w:val="00495049"/>
    <w:rsid w:val="0049555B"/>
    <w:rsid w:val="0049642F"/>
    <w:rsid w:val="00496ACF"/>
    <w:rsid w:val="00497351"/>
    <w:rsid w:val="004974E8"/>
    <w:rsid w:val="004A0619"/>
    <w:rsid w:val="004A1094"/>
    <w:rsid w:val="004A1647"/>
    <w:rsid w:val="004A172F"/>
    <w:rsid w:val="004A2F24"/>
    <w:rsid w:val="004A4352"/>
    <w:rsid w:val="004A4B72"/>
    <w:rsid w:val="004A4B82"/>
    <w:rsid w:val="004A6A2F"/>
    <w:rsid w:val="004B0EFB"/>
    <w:rsid w:val="004B1986"/>
    <w:rsid w:val="004B1DEF"/>
    <w:rsid w:val="004B3788"/>
    <w:rsid w:val="004B3B0B"/>
    <w:rsid w:val="004B3BAA"/>
    <w:rsid w:val="004B5978"/>
    <w:rsid w:val="004B5B8F"/>
    <w:rsid w:val="004C0E28"/>
    <w:rsid w:val="004C3730"/>
    <w:rsid w:val="004C4293"/>
    <w:rsid w:val="004C470C"/>
    <w:rsid w:val="004C6F3B"/>
    <w:rsid w:val="004D1333"/>
    <w:rsid w:val="004D26A3"/>
    <w:rsid w:val="004D48C2"/>
    <w:rsid w:val="004D48FD"/>
    <w:rsid w:val="004D586B"/>
    <w:rsid w:val="004D606E"/>
    <w:rsid w:val="004D6C01"/>
    <w:rsid w:val="004D72CB"/>
    <w:rsid w:val="004E0762"/>
    <w:rsid w:val="004E1352"/>
    <w:rsid w:val="004E26DA"/>
    <w:rsid w:val="004E2A4B"/>
    <w:rsid w:val="004E2AA0"/>
    <w:rsid w:val="004E6D20"/>
    <w:rsid w:val="004E7237"/>
    <w:rsid w:val="004F032B"/>
    <w:rsid w:val="004F1891"/>
    <w:rsid w:val="004F3D8D"/>
    <w:rsid w:val="004F66ED"/>
    <w:rsid w:val="004F67D9"/>
    <w:rsid w:val="004F7899"/>
    <w:rsid w:val="004F7A00"/>
    <w:rsid w:val="004F7F91"/>
    <w:rsid w:val="0050212F"/>
    <w:rsid w:val="005021E1"/>
    <w:rsid w:val="0050439F"/>
    <w:rsid w:val="005047A0"/>
    <w:rsid w:val="00505385"/>
    <w:rsid w:val="005055B7"/>
    <w:rsid w:val="00510DBB"/>
    <w:rsid w:val="005111E1"/>
    <w:rsid w:val="00512555"/>
    <w:rsid w:val="00512E42"/>
    <w:rsid w:val="00513158"/>
    <w:rsid w:val="00513DE1"/>
    <w:rsid w:val="005143D8"/>
    <w:rsid w:val="00521359"/>
    <w:rsid w:val="00521882"/>
    <w:rsid w:val="0052273A"/>
    <w:rsid w:val="00525A5A"/>
    <w:rsid w:val="005326CD"/>
    <w:rsid w:val="00535F66"/>
    <w:rsid w:val="0053721E"/>
    <w:rsid w:val="00537350"/>
    <w:rsid w:val="00540CBA"/>
    <w:rsid w:val="00542E6E"/>
    <w:rsid w:val="00543E48"/>
    <w:rsid w:val="00544EE4"/>
    <w:rsid w:val="00546B30"/>
    <w:rsid w:val="00550F00"/>
    <w:rsid w:val="00551D3C"/>
    <w:rsid w:val="00554168"/>
    <w:rsid w:val="00555786"/>
    <w:rsid w:val="00555CBA"/>
    <w:rsid w:val="00557CCC"/>
    <w:rsid w:val="00560351"/>
    <w:rsid w:val="005620A5"/>
    <w:rsid w:val="005630C3"/>
    <w:rsid w:val="005631F5"/>
    <w:rsid w:val="00563ACC"/>
    <w:rsid w:val="00563C61"/>
    <w:rsid w:val="005663D9"/>
    <w:rsid w:val="0056673E"/>
    <w:rsid w:val="00566F15"/>
    <w:rsid w:val="0057233A"/>
    <w:rsid w:val="00572DE8"/>
    <w:rsid w:val="0057477E"/>
    <w:rsid w:val="00577D6C"/>
    <w:rsid w:val="00580D4F"/>
    <w:rsid w:val="005842A5"/>
    <w:rsid w:val="00587BF7"/>
    <w:rsid w:val="00592665"/>
    <w:rsid w:val="00593E48"/>
    <w:rsid w:val="005969B3"/>
    <w:rsid w:val="00596E9A"/>
    <w:rsid w:val="00597384"/>
    <w:rsid w:val="00597878"/>
    <w:rsid w:val="00597BC8"/>
    <w:rsid w:val="00597DAE"/>
    <w:rsid w:val="00597F29"/>
    <w:rsid w:val="005A1161"/>
    <w:rsid w:val="005A4E1C"/>
    <w:rsid w:val="005A6839"/>
    <w:rsid w:val="005A7D4D"/>
    <w:rsid w:val="005B3EF5"/>
    <w:rsid w:val="005B5E07"/>
    <w:rsid w:val="005B61A6"/>
    <w:rsid w:val="005B6F9D"/>
    <w:rsid w:val="005B785A"/>
    <w:rsid w:val="005C518D"/>
    <w:rsid w:val="005C53B0"/>
    <w:rsid w:val="005D0056"/>
    <w:rsid w:val="005D0AA7"/>
    <w:rsid w:val="005D1874"/>
    <w:rsid w:val="005D1995"/>
    <w:rsid w:val="005D2013"/>
    <w:rsid w:val="005D4A54"/>
    <w:rsid w:val="005D59B9"/>
    <w:rsid w:val="005E01B5"/>
    <w:rsid w:val="005E1A0E"/>
    <w:rsid w:val="005E3EF1"/>
    <w:rsid w:val="005E4570"/>
    <w:rsid w:val="005E633C"/>
    <w:rsid w:val="005E6C6C"/>
    <w:rsid w:val="005E73DE"/>
    <w:rsid w:val="005F01AF"/>
    <w:rsid w:val="005F1707"/>
    <w:rsid w:val="005F58D4"/>
    <w:rsid w:val="00602495"/>
    <w:rsid w:val="0060553A"/>
    <w:rsid w:val="0060691B"/>
    <w:rsid w:val="006104DB"/>
    <w:rsid w:val="00611436"/>
    <w:rsid w:val="0061272B"/>
    <w:rsid w:val="006154E7"/>
    <w:rsid w:val="00616840"/>
    <w:rsid w:val="00617B0A"/>
    <w:rsid w:val="00621068"/>
    <w:rsid w:val="0063202E"/>
    <w:rsid w:val="00632045"/>
    <w:rsid w:val="006357B5"/>
    <w:rsid w:val="00636C06"/>
    <w:rsid w:val="006379C4"/>
    <w:rsid w:val="0064175A"/>
    <w:rsid w:val="00641F9C"/>
    <w:rsid w:val="00643390"/>
    <w:rsid w:val="00643590"/>
    <w:rsid w:val="0064420A"/>
    <w:rsid w:val="00644242"/>
    <w:rsid w:val="0064504A"/>
    <w:rsid w:val="006473FC"/>
    <w:rsid w:val="006520D1"/>
    <w:rsid w:val="00656094"/>
    <w:rsid w:val="00663F80"/>
    <w:rsid w:val="006641AE"/>
    <w:rsid w:val="00664DEF"/>
    <w:rsid w:val="006650F6"/>
    <w:rsid w:val="00666F22"/>
    <w:rsid w:val="00671265"/>
    <w:rsid w:val="00671F39"/>
    <w:rsid w:val="006729C7"/>
    <w:rsid w:val="00673DF7"/>
    <w:rsid w:val="00674D89"/>
    <w:rsid w:val="006759E7"/>
    <w:rsid w:val="00676857"/>
    <w:rsid w:val="006804DA"/>
    <w:rsid w:val="0068056E"/>
    <w:rsid w:val="006820C2"/>
    <w:rsid w:val="00683055"/>
    <w:rsid w:val="00684454"/>
    <w:rsid w:val="00685172"/>
    <w:rsid w:val="00686674"/>
    <w:rsid w:val="00687886"/>
    <w:rsid w:val="006936FD"/>
    <w:rsid w:val="0069518F"/>
    <w:rsid w:val="006956B4"/>
    <w:rsid w:val="006971F6"/>
    <w:rsid w:val="006A03E1"/>
    <w:rsid w:val="006A18FB"/>
    <w:rsid w:val="006A224E"/>
    <w:rsid w:val="006A4964"/>
    <w:rsid w:val="006B0254"/>
    <w:rsid w:val="006B15DA"/>
    <w:rsid w:val="006B3243"/>
    <w:rsid w:val="006B414D"/>
    <w:rsid w:val="006B569A"/>
    <w:rsid w:val="006B642F"/>
    <w:rsid w:val="006B72EB"/>
    <w:rsid w:val="006B7743"/>
    <w:rsid w:val="006D2EA4"/>
    <w:rsid w:val="006D3525"/>
    <w:rsid w:val="006D3720"/>
    <w:rsid w:val="006D4AE5"/>
    <w:rsid w:val="006D5802"/>
    <w:rsid w:val="006D5AD5"/>
    <w:rsid w:val="006D6164"/>
    <w:rsid w:val="006D7057"/>
    <w:rsid w:val="006D734A"/>
    <w:rsid w:val="006D7E6E"/>
    <w:rsid w:val="006E01FE"/>
    <w:rsid w:val="006E18B3"/>
    <w:rsid w:val="006E1981"/>
    <w:rsid w:val="006E6ED5"/>
    <w:rsid w:val="006E7A5C"/>
    <w:rsid w:val="006F03E6"/>
    <w:rsid w:val="006F13FF"/>
    <w:rsid w:val="006F1C01"/>
    <w:rsid w:val="006F2BAC"/>
    <w:rsid w:val="006F2C5E"/>
    <w:rsid w:val="006F43D0"/>
    <w:rsid w:val="006F48D3"/>
    <w:rsid w:val="006F5190"/>
    <w:rsid w:val="006F5191"/>
    <w:rsid w:val="006F6226"/>
    <w:rsid w:val="006F7477"/>
    <w:rsid w:val="006F763B"/>
    <w:rsid w:val="00700740"/>
    <w:rsid w:val="007017D1"/>
    <w:rsid w:val="0070186F"/>
    <w:rsid w:val="007024F2"/>
    <w:rsid w:val="00703A7E"/>
    <w:rsid w:val="00705AB9"/>
    <w:rsid w:val="00705D8E"/>
    <w:rsid w:val="00707CE7"/>
    <w:rsid w:val="00710873"/>
    <w:rsid w:val="00711395"/>
    <w:rsid w:val="00713B45"/>
    <w:rsid w:val="0071655A"/>
    <w:rsid w:val="007166B2"/>
    <w:rsid w:val="00716C23"/>
    <w:rsid w:val="0071743C"/>
    <w:rsid w:val="0072219B"/>
    <w:rsid w:val="00723895"/>
    <w:rsid w:val="00724319"/>
    <w:rsid w:val="00725C1D"/>
    <w:rsid w:val="00725EFB"/>
    <w:rsid w:val="00727502"/>
    <w:rsid w:val="00727A43"/>
    <w:rsid w:val="00731698"/>
    <w:rsid w:val="00732F31"/>
    <w:rsid w:val="007378F2"/>
    <w:rsid w:val="00741B23"/>
    <w:rsid w:val="007435A9"/>
    <w:rsid w:val="007449C5"/>
    <w:rsid w:val="00745138"/>
    <w:rsid w:val="00745B0D"/>
    <w:rsid w:val="007465F4"/>
    <w:rsid w:val="00747E9C"/>
    <w:rsid w:val="00752694"/>
    <w:rsid w:val="00753549"/>
    <w:rsid w:val="00753620"/>
    <w:rsid w:val="00753998"/>
    <w:rsid w:val="00754CA9"/>
    <w:rsid w:val="00755B94"/>
    <w:rsid w:val="00755D3F"/>
    <w:rsid w:val="00757E84"/>
    <w:rsid w:val="00760ECC"/>
    <w:rsid w:val="00762BFD"/>
    <w:rsid w:val="007631BA"/>
    <w:rsid w:val="00763314"/>
    <w:rsid w:val="00763407"/>
    <w:rsid w:val="00765494"/>
    <w:rsid w:val="007659B5"/>
    <w:rsid w:val="00765B3E"/>
    <w:rsid w:val="00765FC6"/>
    <w:rsid w:val="007677D5"/>
    <w:rsid w:val="00767BD4"/>
    <w:rsid w:val="00771256"/>
    <w:rsid w:val="0077129A"/>
    <w:rsid w:val="00773DDE"/>
    <w:rsid w:val="00774F37"/>
    <w:rsid w:val="00777E38"/>
    <w:rsid w:val="007809D3"/>
    <w:rsid w:val="0078559A"/>
    <w:rsid w:val="00785C72"/>
    <w:rsid w:val="0078616C"/>
    <w:rsid w:val="00786E26"/>
    <w:rsid w:val="00787E5D"/>
    <w:rsid w:val="007900ED"/>
    <w:rsid w:val="00791868"/>
    <w:rsid w:val="00792A2E"/>
    <w:rsid w:val="0079432A"/>
    <w:rsid w:val="00794B7B"/>
    <w:rsid w:val="007969DF"/>
    <w:rsid w:val="007A0C75"/>
    <w:rsid w:val="007A151A"/>
    <w:rsid w:val="007A1682"/>
    <w:rsid w:val="007A50A1"/>
    <w:rsid w:val="007A6220"/>
    <w:rsid w:val="007A6CC3"/>
    <w:rsid w:val="007B061A"/>
    <w:rsid w:val="007B4032"/>
    <w:rsid w:val="007B6128"/>
    <w:rsid w:val="007B657E"/>
    <w:rsid w:val="007B69B7"/>
    <w:rsid w:val="007C057C"/>
    <w:rsid w:val="007C4CB9"/>
    <w:rsid w:val="007C58F1"/>
    <w:rsid w:val="007C5D4B"/>
    <w:rsid w:val="007C6585"/>
    <w:rsid w:val="007C69DC"/>
    <w:rsid w:val="007C7A37"/>
    <w:rsid w:val="007D02C2"/>
    <w:rsid w:val="007D22C6"/>
    <w:rsid w:val="007D3000"/>
    <w:rsid w:val="007D38A3"/>
    <w:rsid w:val="007D7A17"/>
    <w:rsid w:val="007E0557"/>
    <w:rsid w:val="007E22E1"/>
    <w:rsid w:val="007E32B9"/>
    <w:rsid w:val="007E4008"/>
    <w:rsid w:val="007E5101"/>
    <w:rsid w:val="007F030E"/>
    <w:rsid w:val="007F0FFD"/>
    <w:rsid w:val="007F3B2C"/>
    <w:rsid w:val="007F50E5"/>
    <w:rsid w:val="007F71BB"/>
    <w:rsid w:val="00802707"/>
    <w:rsid w:val="008037E0"/>
    <w:rsid w:val="00805E93"/>
    <w:rsid w:val="00810898"/>
    <w:rsid w:val="00811203"/>
    <w:rsid w:val="0081257E"/>
    <w:rsid w:val="008125EF"/>
    <w:rsid w:val="00813217"/>
    <w:rsid w:val="00813FF6"/>
    <w:rsid w:val="00815C45"/>
    <w:rsid w:val="0082019A"/>
    <w:rsid w:val="008211E1"/>
    <w:rsid w:val="0082291B"/>
    <w:rsid w:val="0082336D"/>
    <w:rsid w:val="00825274"/>
    <w:rsid w:val="00826378"/>
    <w:rsid w:val="00826663"/>
    <w:rsid w:val="0082683C"/>
    <w:rsid w:val="00826C74"/>
    <w:rsid w:val="00826C7B"/>
    <w:rsid w:val="00826EB9"/>
    <w:rsid w:val="0083055D"/>
    <w:rsid w:val="008339CD"/>
    <w:rsid w:val="00834909"/>
    <w:rsid w:val="00836181"/>
    <w:rsid w:val="00837591"/>
    <w:rsid w:val="00841E5E"/>
    <w:rsid w:val="00844386"/>
    <w:rsid w:val="008455CE"/>
    <w:rsid w:val="00846500"/>
    <w:rsid w:val="008478E2"/>
    <w:rsid w:val="008502B4"/>
    <w:rsid w:val="00850B4E"/>
    <w:rsid w:val="008516BE"/>
    <w:rsid w:val="00851E75"/>
    <w:rsid w:val="008526AC"/>
    <w:rsid w:val="008538CC"/>
    <w:rsid w:val="008547AC"/>
    <w:rsid w:val="00854FFB"/>
    <w:rsid w:val="008567F3"/>
    <w:rsid w:val="00856D11"/>
    <w:rsid w:val="00860681"/>
    <w:rsid w:val="0086090F"/>
    <w:rsid w:val="00860F11"/>
    <w:rsid w:val="00863BDE"/>
    <w:rsid w:val="008663F7"/>
    <w:rsid w:val="00870587"/>
    <w:rsid w:val="008705A8"/>
    <w:rsid w:val="008710BA"/>
    <w:rsid w:val="008711F4"/>
    <w:rsid w:val="0087765D"/>
    <w:rsid w:val="0088428B"/>
    <w:rsid w:val="008848CE"/>
    <w:rsid w:val="0088645B"/>
    <w:rsid w:val="00886533"/>
    <w:rsid w:val="00887086"/>
    <w:rsid w:val="008916D7"/>
    <w:rsid w:val="00892AC1"/>
    <w:rsid w:val="00893690"/>
    <w:rsid w:val="00893BD2"/>
    <w:rsid w:val="008A068E"/>
    <w:rsid w:val="008A1873"/>
    <w:rsid w:val="008A23C1"/>
    <w:rsid w:val="008A612F"/>
    <w:rsid w:val="008A6373"/>
    <w:rsid w:val="008B3905"/>
    <w:rsid w:val="008B52D4"/>
    <w:rsid w:val="008B6A91"/>
    <w:rsid w:val="008C0542"/>
    <w:rsid w:val="008C10B6"/>
    <w:rsid w:val="008C4E6A"/>
    <w:rsid w:val="008C5D0B"/>
    <w:rsid w:val="008C67B6"/>
    <w:rsid w:val="008C73B3"/>
    <w:rsid w:val="008D08F5"/>
    <w:rsid w:val="008D1A40"/>
    <w:rsid w:val="008D1C3E"/>
    <w:rsid w:val="008D1EDD"/>
    <w:rsid w:val="008D279F"/>
    <w:rsid w:val="008D2A86"/>
    <w:rsid w:val="008D2DC1"/>
    <w:rsid w:val="008D3AC2"/>
    <w:rsid w:val="008D3DFF"/>
    <w:rsid w:val="008D4608"/>
    <w:rsid w:val="008D53B2"/>
    <w:rsid w:val="008D5AE3"/>
    <w:rsid w:val="008E0E90"/>
    <w:rsid w:val="008E25A8"/>
    <w:rsid w:val="008E2B68"/>
    <w:rsid w:val="008E3D6B"/>
    <w:rsid w:val="008E40F4"/>
    <w:rsid w:val="008E4DB0"/>
    <w:rsid w:val="008E5E13"/>
    <w:rsid w:val="008E5F8D"/>
    <w:rsid w:val="008E61A2"/>
    <w:rsid w:val="008E672D"/>
    <w:rsid w:val="008E79BA"/>
    <w:rsid w:val="008F2153"/>
    <w:rsid w:val="008F2B32"/>
    <w:rsid w:val="008F43C2"/>
    <w:rsid w:val="008F4FC2"/>
    <w:rsid w:val="008F56D4"/>
    <w:rsid w:val="008F69D9"/>
    <w:rsid w:val="00900580"/>
    <w:rsid w:val="0090158C"/>
    <w:rsid w:val="009023AF"/>
    <w:rsid w:val="009023C6"/>
    <w:rsid w:val="0090298D"/>
    <w:rsid w:val="0090331E"/>
    <w:rsid w:val="009057D3"/>
    <w:rsid w:val="00905DB0"/>
    <w:rsid w:val="009063C4"/>
    <w:rsid w:val="00913ECC"/>
    <w:rsid w:val="009148B1"/>
    <w:rsid w:val="00916C24"/>
    <w:rsid w:val="00917472"/>
    <w:rsid w:val="00922FFE"/>
    <w:rsid w:val="0092391E"/>
    <w:rsid w:val="00926F7A"/>
    <w:rsid w:val="009272CE"/>
    <w:rsid w:val="00930236"/>
    <w:rsid w:val="00930C03"/>
    <w:rsid w:val="00933645"/>
    <w:rsid w:val="00933838"/>
    <w:rsid w:val="0093521E"/>
    <w:rsid w:val="0093653B"/>
    <w:rsid w:val="00940776"/>
    <w:rsid w:val="00940C94"/>
    <w:rsid w:val="009440EB"/>
    <w:rsid w:val="0094616E"/>
    <w:rsid w:val="009474D3"/>
    <w:rsid w:val="00950962"/>
    <w:rsid w:val="009520CF"/>
    <w:rsid w:val="009543F6"/>
    <w:rsid w:val="00955DAF"/>
    <w:rsid w:val="00956ED3"/>
    <w:rsid w:val="00960505"/>
    <w:rsid w:val="00963595"/>
    <w:rsid w:val="009638BE"/>
    <w:rsid w:val="00964583"/>
    <w:rsid w:val="0096652D"/>
    <w:rsid w:val="0096746B"/>
    <w:rsid w:val="00971642"/>
    <w:rsid w:val="00973DFB"/>
    <w:rsid w:val="009768A6"/>
    <w:rsid w:val="00980028"/>
    <w:rsid w:val="00980997"/>
    <w:rsid w:val="009809C2"/>
    <w:rsid w:val="00980F46"/>
    <w:rsid w:val="0098101C"/>
    <w:rsid w:val="009819F3"/>
    <w:rsid w:val="00983F2A"/>
    <w:rsid w:val="009843B9"/>
    <w:rsid w:val="009855E5"/>
    <w:rsid w:val="00985B0B"/>
    <w:rsid w:val="0098770B"/>
    <w:rsid w:val="00987D4D"/>
    <w:rsid w:val="009918E9"/>
    <w:rsid w:val="00994327"/>
    <w:rsid w:val="009A0ED4"/>
    <w:rsid w:val="009A10B5"/>
    <w:rsid w:val="009A31EC"/>
    <w:rsid w:val="009A4A54"/>
    <w:rsid w:val="009A5265"/>
    <w:rsid w:val="009A76F4"/>
    <w:rsid w:val="009B033B"/>
    <w:rsid w:val="009B3FB3"/>
    <w:rsid w:val="009B4287"/>
    <w:rsid w:val="009B62AA"/>
    <w:rsid w:val="009B65A1"/>
    <w:rsid w:val="009B6C0F"/>
    <w:rsid w:val="009B758A"/>
    <w:rsid w:val="009C0CE5"/>
    <w:rsid w:val="009C1207"/>
    <w:rsid w:val="009C3FC9"/>
    <w:rsid w:val="009C493F"/>
    <w:rsid w:val="009C5170"/>
    <w:rsid w:val="009C5400"/>
    <w:rsid w:val="009C5581"/>
    <w:rsid w:val="009C725D"/>
    <w:rsid w:val="009D0917"/>
    <w:rsid w:val="009D194B"/>
    <w:rsid w:val="009D24C3"/>
    <w:rsid w:val="009D2876"/>
    <w:rsid w:val="009D2DEE"/>
    <w:rsid w:val="009D35DE"/>
    <w:rsid w:val="009D4D78"/>
    <w:rsid w:val="009D52BA"/>
    <w:rsid w:val="009E3E0B"/>
    <w:rsid w:val="009E55B0"/>
    <w:rsid w:val="009E672E"/>
    <w:rsid w:val="009F045A"/>
    <w:rsid w:val="009F1978"/>
    <w:rsid w:val="009F1BAB"/>
    <w:rsid w:val="009F510E"/>
    <w:rsid w:val="009F5414"/>
    <w:rsid w:val="009F7C6A"/>
    <w:rsid w:val="009F7DDC"/>
    <w:rsid w:val="00A013CD"/>
    <w:rsid w:val="00A02605"/>
    <w:rsid w:val="00A03DD4"/>
    <w:rsid w:val="00A07D61"/>
    <w:rsid w:val="00A12DEF"/>
    <w:rsid w:val="00A135F8"/>
    <w:rsid w:val="00A177CC"/>
    <w:rsid w:val="00A17C23"/>
    <w:rsid w:val="00A201DF"/>
    <w:rsid w:val="00A210D9"/>
    <w:rsid w:val="00A21258"/>
    <w:rsid w:val="00A21E2A"/>
    <w:rsid w:val="00A23F37"/>
    <w:rsid w:val="00A24742"/>
    <w:rsid w:val="00A24B26"/>
    <w:rsid w:val="00A2532E"/>
    <w:rsid w:val="00A25732"/>
    <w:rsid w:val="00A26852"/>
    <w:rsid w:val="00A27252"/>
    <w:rsid w:val="00A31727"/>
    <w:rsid w:val="00A34E52"/>
    <w:rsid w:val="00A350B0"/>
    <w:rsid w:val="00A35E3C"/>
    <w:rsid w:val="00A3690E"/>
    <w:rsid w:val="00A37DCF"/>
    <w:rsid w:val="00A4146A"/>
    <w:rsid w:val="00A41EE1"/>
    <w:rsid w:val="00A44A74"/>
    <w:rsid w:val="00A44C90"/>
    <w:rsid w:val="00A45974"/>
    <w:rsid w:val="00A45AA6"/>
    <w:rsid w:val="00A51CF5"/>
    <w:rsid w:val="00A52622"/>
    <w:rsid w:val="00A535D6"/>
    <w:rsid w:val="00A55FAD"/>
    <w:rsid w:val="00A714BC"/>
    <w:rsid w:val="00A7337A"/>
    <w:rsid w:val="00A733EC"/>
    <w:rsid w:val="00A764D5"/>
    <w:rsid w:val="00A77D79"/>
    <w:rsid w:val="00A77EEA"/>
    <w:rsid w:val="00A80CB4"/>
    <w:rsid w:val="00A8271F"/>
    <w:rsid w:val="00A84B73"/>
    <w:rsid w:val="00A85EAD"/>
    <w:rsid w:val="00A87437"/>
    <w:rsid w:val="00A87691"/>
    <w:rsid w:val="00A90C8A"/>
    <w:rsid w:val="00A925D8"/>
    <w:rsid w:val="00A93084"/>
    <w:rsid w:val="00A94285"/>
    <w:rsid w:val="00A94B4E"/>
    <w:rsid w:val="00A978AF"/>
    <w:rsid w:val="00AA3033"/>
    <w:rsid w:val="00AA3E49"/>
    <w:rsid w:val="00AA5F85"/>
    <w:rsid w:val="00AA686B"/>
    <w:rsid w:val="00AA727C"/>
    <w:rsid w:val="00AB1F67"/>
    <w:rsid w:val="00AB2A60"/>
    <w:rsid w:val="00AB2B9A"/>
    <w:rsid w:val="00AB7E0F"/>
    <w:rsid w:val="00AC293D"/>
    <w:rsid w:val="00AC395A"/>
    <w:rsid w:val="00AC3B7C"/>
    <w:rsid w:val="00AC3F77"/>
    <w:rsid w:val="00AC476D"/>
    <w:rsid w:val="00AC54E6"/>
    <w:rsid w:val="00AC68EF"/>
    <w:rsid w:val="00AC706E"/>
    <w:rsid w:val="00AD0EF8"/>
    <w:rsid w:val="00AD14AA"/>
    <w:rsid w:val="00AD1C96"/>
    <w:rsid w:val="00AD25C1"/>
    <w:rsid w:val="00AD267A"/>
    <w:rsid w:val="00AD3409"/>
    <w:rsid w:val="00AD442B"/>
    <w:rsid w:val="00AD7EAF"/>
    <w:rsid w:val="00AD7FFA"/>
    <w:rsid w:val="00AE04F3"/>
    <w:rsid w:val="00AE0DD8"/>
    <w:rsid w:val="00AE24F0"/>
    <w:rsid w:val="00AE31B9"/>
    <w:rsid w:val="00AE484C"/>
    <w:rsid w:val="00AE622C"/>
    <w:rsid w:val="00AE727E"/>
    <w:rsid w:val="00AF097A"/>
    <w:rsid w:val="00AF305B"/>
    <w:rsid w:val="00AF36FB"/>
    <w:rsid w:val="00AF4B70"/>
    <w:rsid w:val="00AF5158"/>
    <w:rsid w:val="00AF6016"/>
    <w:rsid w:val="00AF642D"/>
    <w:rsid w:val="00AF6EB2"/>
    <w:rsid w:val="00B0131F"/>
    <w:rsid w:val="00B016B9"/>
    <w:rsid w:val="00B01A01"/>
    <w:rsid w:val="00B02869"/>
    <w:rsid w:val="00B03184"/>
    <w:rsid w:val="00B05908"/>
    <w:rsid w:val="00B06205"/>
    <w:rsid w:val="00B0629A"/>
    <w:rsid w:val="00B11F9C"/>
    <w:rsid w:val="00B12F4C"/>
    <w:rsid w:val="00B13E1F"/>
    <w:rsid w:val="00B13EDA"/>
    <w:rsid w:val="00B15779"/>
    <w:rsid w:val="00B1582B"/>
    <w:rsid w:val="00B17A9A"/>
    <w:rsid w:val="00B210EE"/>
    <w:rsid w:val="00B22300"/>
    <w:rsid w:val="00B22A90"/>
    <w:rsid w:val="00B22FC5"/>
    <w:rsid w:val="00B2467A"/>
    <w:rsid w:val="00B24CCA"/>
    <w:rsid w:val="00B25D57"/>
    <w:rsid w:val="00B2622D"/>
    <w:rsid w:val="00B26EB5"/>
    <w:rsid w:val="00B26ECE"/>
    <w:rsid w:val="00B31EDC"/>
    <w:rsid w:val="00B31F83"/>
    <w:rsid w:val="00B32AC5"/>
    <w:rsid w:val="00B33A2D"/>
    <w:rsid w:val="00B354F8"/>
    <w:rsid w:val="00B3622B"/>
    <w:rsid w:val="00B40D14"/>
    <w:rsid w:val="00B41B04"/>
    <w:rsid w:val="00B41BC7"/>
    <w:rsid w:val="00B425CF"/>
    <w:rsid w:val="00B4268A"/>
    <w:rsid w:val="00B42E9C"/>
    <w:rsid w:val="00B43E36"/>
    <w:rsid w:val="00B44AB5"/>
    <w:rsid w:val="00B46246"/>
    <w:rsid w:val="00B47140"/>
    <w:rsid w:val="00B507A5"/>
    <w:rsid w:val="00B50D28"/>
    <w:rsid w:val="00B534E7"/>
    <w:rsid w:val="00B547DA"/>
    <w:rsid w:val="00B54DAA"/>
    <w:rsid w:val="00B55802"/>
    <w:rsid w:val="00B55D8B"/>
    <w:rsid w:val="00B55E73"/>
    <w:rsid w:val="00B565A7"/>
    <w:rsid w:val="00B65334"/>
    <w:rsid w:val="00B700F8"/>
    <w:rsid w:val="00B71ABB"/>
    <w:rsid w:val="00B72B2E"/>
    <w:rsid w:val="00B75A2F"/>
    <w:rsid w:val="00B76C2F"/>
    <w:rsid w:val="00B7738C"/>
    <w:rsid w:val="00B7752A"/>
    <w:rsid w:val="00B7791C"/>
    <w:rsid w:val="00B80021"/>
    <w:rsid w:val="00B8071D"/>
    <w:rsid w:val="00B85143"/>
    <w:rsid w:val="00B859EA"/>
    <w:rsid w:val="00B87400"/>
    <w:rsid w:val="00B875E7"/>
    <w:rsid w:val="00B87AA3"/>
    <w:rsid w:val="00B900CB"/>
    <w:rsid w:val="00B9125A"/>
    <w:rsid w:val="00B92701"/>
    <w:rsid w:val="00B95614"/>
    <w:rsid w:val="00B9616E"/>
    <w:rsid w:val="00B96B2E"/>
    <w:rsid w:val="00B96F86"/>
    <w:rsid w:val="00B9771F"/>
    <w:rsid w:val="00B97B01"/>
    <w:rsid w:val="00BA08CF"/>
    <w:rsid w:val="00BA4722"/>
    <w:rsid w:val="00BA4E9A"/>
    <w:rsid w:val="00BA5111"/>
    <w:rsid w:val="00BA5F66"/>
    <w:rsid w:val="00BA5F6A"/>
    <w:rsid w:val="00BA783E"/>
    <w:rsid w:val="00BA792B"/>
    <w:rsid w:val="00BB149B"/>
    <w:rsid w:val="00BB2888"/>
    <w:rsid w:val="00BB3323"/>
    <w:rsid w:val="00BB3D41"/>
    <w:rsid w:val="00BB6B54"/>
    <w:rsid w:val="00BB7153"/>
    <w:rsid w:val="00BB7DB0"/>
    <w:rsid w:val="00BB7FF4"/>
    <w:rsid w:val="00BC0410"/>
    <w:rsid w:val="00BC0D89"/>
    <w:rsid w:val="00BC1A06"/>
    <w:rsid w:val="00BC1DB5"/>
    <w:rsid w:val="00BC2FF5"/>
    <w:rsid w:val="00BC4857"/>
    <w:rsid w:val="00BC52F9"/>
    <w:rsid w:val="00BC52FC"/>
    <w:rsid w:val="00BC69EE"/>
    <w:rsid w:val="00BD14AE"/>
    <w:rsid w:val="00BD1D34"/>
    <w:rsid w:val="00BD1D49"/>
    <w:rsid w:val="00BD2DFA"/>
    <w:rsid w:val="00BD3021"/>
    <w:rsid w:val="00BD53F3"/>
    <w:rsid w:val="00BD69CA"/>
    <w:rsid w:val="00BD79ED"/>
    <w:rsid w:val="00BE17F9"/>
    <w:rsid w:val="00BE422D"/>
    <w:rsid w:val="00BE4B5F"/>
    <w:rsid w:val="00BE59B5"/>
    <w:rsid w:val="00BE5FEE"/>
    <w:rsid w:val="00BE68E8"/>
    <w:rsid w:val="00BE707B"/>
    <w:rsid w:val="00BE7F55"/>
    <w:rsid w:val="00BF0076"/>
    <w:rsid w:val="00BF1827"/>
    <w:rsid w:val="00BF1E33"/>
    <w:rsid w:val="00BF4156"/>
    <w:rsid w:val="00BF5B91"/>
    <w:rsid w:val="00BF7D78"/>
    <w:rsid w:val="00C00480"/>
    <w:rsid w:val="00C00F03"/>
    <w:rsid w:val="00C01895"/>
    <w:rsid w:val="00C032E9"/>
    <w:rsid w:val="00C036D4"/>
    <w:rsid w:val="00C04735"/>
    <w:rsid w:val="00C0531B"/>
    <w:rsid w:val="00C063C5"/>
    <w:rsid w:val="00C10BEA"/>
    <w:rsid w:val="00C11233"/>
    <w:rsid w:val="00C112CA"/>
    <w:rsid w:val="00C120D2"/>
    <w:rsid w:val="00C122AF"/>
    <w:rsid w:val="00C14643"/>
    <w:rsid w:val="00C14A12"/>
    <w:rsid w:val="00C1510A"/>
    <w:rsid w:val="00C15AA0"/>
    <w:rsid w:val="00C165C4"/>
    <w:rsid w:val="00C16815"/>
    <w:rsid w:val="00C17CDC"/>
    <w:rsid w:val="00C224A0"/>
    <w:rsid w:val="00C2298E"/>
    <w:rsid w:val="00C22D8B"/>
    <w:rsid w:val="00C246C9"/>
    <w:rsid w:val="00C24F96"/>
    <w:rsid w:val="00C27B85"/>
    <w:rsid w:val="00C322E1"/>
    <w:rsid w:val="00C352EF"/>
    <w:rsid w:val="00C36BF1"/>
    <w:rsid w:val="00C41D8D"/>
    <w:rsid w:val="00C43EAE"/>
    <w:rsid w:val="00C44531"/>
    <w:rsid w:val="00C453DD"/>
    <w:rsid w:val="00C45B31"/>
    <w:rsid w:val="00C5129D"/>
    <w:rsid w:val="00C51C0C"/>
    <w:rsid w:val="00C52190"/>
    <w:rsid w:val="00C53772"/>
    <w:rsid w:val="00C53D8F"/>
    <w:rsid w:val="00C53F51"/>
    <w:rsid w:val="00C54838"/>
    <w:rsid w:val="00C54D85"/>
    <w:rsid w:val="00C60B5E"/>
    <w:rsid w:val="00C6148A"/>
    <w:rsid w:val="00C63FFC"/>
    <w:rsid w:val="00C65314"/>
    <w:rsid w:val="00C6666E"/>
    <w:rsid w:val="00C70661"/>
    <w:rsid w:val="00C70E49"/>
    <w:rsid w:val="00C72B3D"/>
    <w:rsid w:val="00C74019"/>
    <w:rsid w:val="00C741CE"/>
    <w:rsid w:val="00C7626B"/>
    <w:rsid w:val="00C767D6"/>
    <w:rsid w:val="00C80E90"/>
    <w:rsid w:val="00C81802"/>
    <w:rsid w:val="00C83253"/>
    <w:rsid w:val="00C85AF6"/>
    <w:rsid w:val="00C87510"/>
    <w:rsid w:val="00C90469"/>
    <w:rsid w:val="00C91BDE"/>
    <w:rsid w:val="00C954CB"/>
    <w:rsid w:val="00C958A4"/>
    <w:rsid w:val="00C95958"/>
    <w:rsid w:val="00C971E6"/>
    <w:rsid w:val="00C97EC9"/>
    <w:rsid w:val="00CA1276"/>
    <w:rsid w:val="00CA2551"/>
    <w:rsid w:val="00CA459C"/>
    <w:rsid w:val="00CA61DD"/>
    <w:rsid w:val="00CA6811"/>
    <w:rsid w:val="00CA6ADD"/>
    <w:rsid w:val="00CA6F26"/>
    <w:rsid w:val="00CA771A"/>
    <w:rsid w:val="00CB0088"/>
    <w:rsid w:val="00CB34B4"/>
    <w:rsid w:val="00CB68F3"/>
    <w:rsid w:val="00CB7641"/>
    <w:rsid w:val="00CC1BD8"/>
    <w:rsid w:val="00CC2F43"/>
    <w:rsid w:val="00CC41E2"/>
    <w:rsid w:val="00CC5408"/>
    <w:rsid w:val="00CC5EE8"/>
    <w:rsid w:val="00CC65B5"/>
    <w:rsid w:val="00CC6CE6"/>
    <w:rsid w:val="00CD1E29"/>
    <w:rsid w:val="00CD1FAB"/>
    <w:rsid w:val="00CD2A4D"/>
    <w:rsid w:val="00CD2F39"/>
    <w:rsid w:val="00CD3B0E"/>
    <w:rsid w:val="00CD58A4"/>
    <w:rsid w:val="00CD69B8"/>
    <w:rsid w:val="00CD6CF3"/>
    <w:rsid w:val="00CD70F3"/>
    <w:rsid w:val="00CE2072"/>
    <w:rsid w:val="00CE2C6D"/>
    <w:rsid w:val="00CE2F9B"/>
    <w:rsid w:val="00CE2FD0"/>
    <w:rsid w:val="00CE339B"/>
    <w:rsid w:val="00CE4B97"/>
    <w:rsid w:val="00CE4ED1"/>
    <w:rsid w:val="00CE5D38"/>
    <w:rsid w:val="00CE6A37"/>
    <w:rsid w:val="00CF19B9"/>
    <w:rsid w:val="00CF1B7E"/>
    <w:rsid w:val="00CF6168"/>
    <w:rsid w:val="00CF6EE4"/>
    <w:rsid w:val="00D000B7"/>
    <w:rsid w:val="00D01670"/>
    <w:rsid w:val="00D016CC"/>
    <w:rsid w:val="00D01D9D"/>
    <w:rsid w:val="00D04507"/>
    <w:rsid w:val="00D04736"/>
    <w:rsid w:val="00D07665"/>
    <w:rsid w:val="00D0777A"/>
    <w:rsid w:val="00D10CEB"/>
    <w:rsid w:val="00D13119"/>
    <w:rsid w:val="00D14054"/>
    <w:rsid w:val="00D173FC"/>
    <w:rsid w:val="00D207DE"/>
    <w:rsid w:val="00D25081"/>
    <w:rsid w:val="00D30266"/>
    <w:rsid w:val="00D30672"/>
    <w:rsid w:val="00D30945"/>
    <w:rsid w:val="00D30FE3"/>
    <w:rsid w:val="00D31FB5"/>
    <w:rsid w:val="00D32405"/>
    <w:rsid w:val="00D3275A"/>
    <w:rsid w:val="00D33019"/>
    <w:rsid w:val="00D3361F"/>
    <w:rsid w:val="00D36AA1"/>
    <w:rsid w:val="00D378F5"/>
    <w:rsid w:val="00D4045A"/>
    <w:rsid w:val="00D414BD"/>
    <w:rsid w:val="00D42E69"/>
    <w:rsid w:val="00D43F94"/>
    <w:rsid w:val="00D46E2C"/>
    <w:rsid w:val="00D471AB"/>
    <w:rsid w:val="00D5026B"/>
    <w:rsid w:val="00D51864"/>
    <w:rsid w:val="00D553BE"/>
    <w:rsid w:val="00D555CA"/>
    <w:rsid w:val="00D56A5A"/>
    <w:rsid w:val="00D6081E"/>
    <w:rsid w:val="00D64A93"/>
    <w:rsid w:val="00D652EE"/>
    <w:rsid w:val="00D65BA0"/>
    <w:rsid w:val="00D73092"/>
    <w:rsid w:val="00D75413"/>
    <w:rsid w:val="00D75F7D"/>
    <w:rsid w:val="00D765F4"/>
    <w:rsid w:val="00D7702D"/>
    <w:rsid w:val="00D77CAB"/>
    <w:rsid w:val="00D81D06"/>
    <w:rsid w:val="00D83043"/>
    <w:rsid w:val="00D8323E"/>
    <w:rsid w:val="00D83674"/>
    <w:rsid w:val="00D86311"/>
    <w:rsid w:val="00D879A8"/>
    <w:rsid w:val="00D94A91"/>
    <w:rsid w:val="00D960B0"/>
    <w:rsid w:val="00D962A4"/>
    <w:rsid w:val="00D979B1"/>
    <w:rsid w:val="00DA1C0B"/>
    <w:rsid w:val="00DA3FDB"/>
    <w:rsid w:val="00DA589F"/>
    <w:rsid w:val="00DA6300"/>
    <w:rsid w:val="00DA7EBA"/>
    <w:rsid w:val="00DB01B2"/>
    <w:rsid w:val="00DB1E5C"/>
    <w:rsid w:val="00DB4016"/>
    <w:rsid w:val="00DB5467"/>
    <w:rsid w:val="00DB66AD"/>
    <w:rsid w:val="00DB6733"/>
    <w:rsid w:val="00DB79BD"/>
    <w:rsid w:val="00DC04DA"/>
    <w:rsid w:val="00DC0EC1"/>
    <w:rsid w:val="00DC1478"/>
    <w:rsid w:val="00DC3BCF"/>
    <w:rsid w:val="00DC5B58"/>
    <w:rsid w:val="00DC72F4"/>
    <w:rsid w:val="00DD0826"/>
    <w:rsid w:val="00DD35E1"/>
    <w:rsid w:val="00DD6887"/>
    <w:rsid w:val="00DD6C01"/>
    <w:rsid w:val="00DE19B5"/>
    <w:rsid w:val="00DE5F13"/>
    <w:rsid w:val="00DE769A"/>
    <w:rsid w:val="00DF2596"/>
    <w:rsid w:val="00DF4706"/>
    <w:rsid w:val="00DF4983"/>
    <w:rsid w:val="00DF536D"/>
    <w:rsid w:val="00DF67F5"/>
    <w:rsid w:val="00DF7FE2"/>
    <w:rsid w:val="00E013C5"/>
    <w:rsid w:val="00E018F5"/>
    <w:rsid w:val="00E039BA"/>
    <w:rsid w:val="00E042F9"/>
    <w:rsid w:val="00E04D1D"/>
    <w:rsid w:val="00E07524"/>
    <w:rsid w:val="00E10C8A"/>
    <w:rsid w:val="00E11F06"/>
    <w:rsid w:val="00E12F00"/>
    <w:rsid w:val="00E13E36"/>
    <w:rsid w:val="00E168FB"/>
    <w:rsid w:val="00E17895"/>
    <w:rsid w:val="00E20CD2"/>
    <w:rsid w:val="00E21ECD"/>
    <w:rsid w:val="00E238A1"/>
    <w:rsid w:val="00E2450A"/>
    <w:rsid w:val="00E319DB"/>
    <w:rsid w:val="00E3258B"/>
    <w:rsid w:val="00E33828"/>
    <w:rsid w:val="00E37EDB"/>
    <w:rsid w:val="00E40012"/>
    <w:rsid w:val="00E409D4"/>
    <w:rsid w:val="00E40A3A"/>
    <w:rsid w:val="00E4120F"/>
    <w:rsid w:val="00E443B7"/>
    <w:rsid w:val="00E452F9"/>
    <w:rsid w:val="00E466D1"/>
    <w:rsid w:val="00E50BF0"/>
    <w:rsid w:val="00E51066"/>
    <w:rsid w:val="00E5338F"/>
    <w:rsid w:val="00E54ED6"/>
    <w:rsid w:val="00E56C03"/>
    <w:rsid w:val="00E57583"/>
    <w:rsid w:val="00E57C87"/>
    <w:rsid w:val="00E6633A"/>
    <w:rsid w:val="00E66B43"/>
    <w:rsid w:val="00E71772"/>
    <w:rsid w:val="00E749E8"/>
    <w:rsid w:val="00E756C8"/>
    <w:rsid w:val="00E7604A"/>
    <w:rsid w:val="00E767D1"/>
    <w:rsid w:val="00E76AF5"/>
    <w:rsid w:val="00E77D6A"/>
    <w:rsid w:val="00E83A9A"/>
    <w:rsid w:val="00E85AFC"/>
    <w:rsid w:val="00E8763C"/>
    <w:rsid w:val="00E90767"/>
    <w:rsid w:val="00E90DE6"/>
    <w:rsid w:val="00E91BAB"/>
    <w:rsid w:val="00E91FFE"/>
    <w:rsid w:val="00E925C2"/>
    <w:rsid w:val="00E92F32"/>
    <w:rsid w:val="00E93528"/>
    <w:rsid w:val="00E93BB8"/>
    <w:rsid w:val="00E95378"/>
    <w:rsid w:val="00E95506"/>
    <w:rsid w:val="00E96791"/>
    <w:rsid w:val="00EA0700"/>
    <w:rsid w:val="00EA1A18"/>
    <w:rsid w:val="00EA205E"/>
    <w:rsid w:val="00EA40C3"/>
    <w:rsid w:val="00EA4425"/>
    <w:rsid w:val="00EA45E0"/>
    <w:rsid w:val="00EA4B42"/>
    <w:rsid w:val="00EA4EE6"/>
    <w:rsid w:val="00EA53B1"/>
    <w:rsid w:val="00EA7123"/>
    <w:rsid w:val="00EA7126"/>
    <w:rsid w:val="00EA71BF"/>
    <w:rsid w:val="00EB0858"/>
    <w:rsid w:val="00EB1D37"/>
    <w:rsid w:val="00EB26B8"/>
    <w:rsid w:val="00EB2758"/>
    <w:rsid w:val="00EB2EF2"/>
    <w:rsid w:val="00EB55A8"/>
    <w:rsid w:val="00EB56FC"/>
    <w:rsid w:val="00EB6C80"/>
    <w:rsid w:val="00EC1204"/>
    <w:rsid w:val="00EC2CB3"/>
    <w:rsid w:val="00EC36D4"/>
    <w:rsid w:val="00EC3C0C"/>
    <w:rsid w:val="00EC58B2"/>
    <w:rsid w:val="00EC7904"/>
    <w:rsid w:val="00ED1004"/>
    <w:rsid w:val="00ED11F2"/>
    <w:rsid w:val="00ED2A82"/>
    <w:rsid w:val="00ED3DBC"/>
    <w:rsid w:val="00ED4088"/>
    <w:rsid w:val="00ED5621"/>
    <w:rsid w:val="00ED7073"/>
    <w:rsid w:val="00ED72E0"/>
    <w:rsid w:val="00EE1EF8"/>
    <w:rsid w:val="00EE3FA2"/>
    <w:rsid w:val="00EE4758"/>
    <w:rsid w:val="00EE481F"/>
    <w:rsid w:val="00EE5A1F"/>
    <w:rsid w:val="00EE63FF"/>
    <w:rsid w:val="00EE6FD3"/>
    <w:rsid w:val="00EF08E5"/>
    <w:rsid w:val="00EF0BC2"/>
    <w:rsid w:val="00EF1D4B"/>
    <w:rsid w:val="00EF244B"/>
    <w:rsid w:val="00EF24DF"/>
    <w:rsid w:val="00EF6B7A"/>
    <w:rsid w:val="00F000CC"/>
    <w:rsid w:val="00F009C5"/>
    <w:rsid w:val="00F009F1"/>
    <w:rsid w:val="00F04F49"/>
    <w:rsid w:val="00F05D26"/>
    <w:rsid w:val="00F06F58"/>
    <w:rsid w:val="00F10A08"/>
    <w:rsid w:val="00F12B1D"/>
    <w:rsid w:val="00F1303F"/>
    <w:rsid w:val="00F1391E"/>
    <w:rsid w:val="00F1684A"/>
    <w:rsid w:val="00F16C09"/>
    <w:rsid w:val="00F20635"/>
    <w:rsid w:val="00F2083F"/>
    <w:rsid w:val="00F2123D"/>
    <w:rsid w:val="00F243E8"/>
    <w:rsid w:val="00F270B0"/>
    <w:rsid w:val="00F3078C"/>
    <w:rsid w:val="00F3398F"/>
    <w:rsid w:val="00F349BC"/>
    <w:rsid w:val="00F357EB"/>
    <w:rsid w:val="00F40542"/>
    <w:rsid w:val="00F40833"/>
    <w:rsid w:val="00F40F92"/>
    <w:rsid w:val="00F43089"/>
    <w:rsid w:val="00F459C0"/>
    <w:rsid w:val="00F50844"/>
    <w:rsid w:val="00F52475"/>
    <w:rsid w:val="00F52616"/>
    <w:rsid w:val="00F52EC0"/>
    <w:rsid w:val="00F5364C"/>
    <w:rsid w:val="00F53CA7"/>
    <w:rsid w:val="00F542EF"/>
    <w:rsid w:val="00F544D2"/>
    <w:rsid w:val="00F5498B"/>
    <w:rsid w:val="00F5696C"/>
    <w:rsid w:val="00F56CAC"/>
    <w:rsid w:val="00F5711C"/>
    <w:rsid w:val="00F602BA"/>
    <w:rsid w:val="00F60555"/>
    <w:rsid w:val="00F61D20"/>
    <w:rsid w:val="00F624DA"/>
    <w:rsid w:val="00F62A14"/>
    <w:rsid w:val="00F62F16"/>
    <w:rsid w:val="00F6587B"/>
    <w:rsid w:val="00F670C0"/>
    <w:rsid w:val="00F67E3D"/>
    <w:rsid w:val="00F7071A"/>
    <w:rsid w:val="00F717B5"/>
    <w:rsid w:val="00F73CD5"/>
    <w:rsid w:val="00F749C6"/>
    <w:rsid w:val="00F74EBB"/>
    <w:rsid w:val="00F75DC7"/>
    <w:rsid w:val="00F770BF"/>
    <w:rsid w:val="00F80539"/>
    <w:rsid w:val="00F8054F"/>
    <w:rsid w:val="00F810ED"/>
    <w:rsid w:val="00F83BB2"/>
    <w:rsid w:val="00F84C4B"/>
    <w:rsid w:val="00F84EA8"/>
    <w:rsid w:val="00F873EE"/>
    <w:rsid w:val="00F87F6F"/>
    <w:rsid w:val="00F901EA"/>
    <w:rsid w:val="00F910E1"/>
    <w:rsid w:val="00F926C9"/>
    <w:rsid w:val="00F94C66"/>
    <w:rsid w:val="00F95746"/>
    <w:rsid w:val="00F95935"/>
    <w:rsid w:val="00F96194"/>
    <w:rsid w:val="00FA012B"/>
    <w:rsid w:val="00FA1C5F"/>
    <w:rsid w:val="00FA2392"/>
    <w:rsid w:val="00FA423B"/>
    <w:rsid w:val="00FA5B2D"/>
    <w:rsid w:val="00FA6397"/>
    <w:rsid w:val="00FA6674"/>
    <w:rsid w:val="00FB13E5"/>
    <w:rsid w:val="00FB4646"/>
    <w:rsid w:val="00FB6061"/>
    <w:rsid w:val="00FB616D"/>
    <w:rsid w:val="00FB788E"/>
    <w:rsid w:val="00FB7D94"/>
    <w:rsid w:val="00FC159B"/>
    <w:rsid w:val="00FC2ED0"/>
    <w:rsid w:val="00FC2F54"/>
    <w:rsid w:val="00FC39C0"/>
    <w:rsid w:val="00FC43A5"/>
    <w:rsid w:val="00FC771D"/>
    <w:rsid w:val="00FC77D7"/>
    <w:rsid w:val="00FC7B5A"/>
    <w:rsid w:val="00FD0B70"/>
    <w:rsid w:val="00FD120A"/>
    <w:rsid w:val="00FD1706"/>
    <w:rsid w:val="00FD23B2"/>
    <w:rsid w:val="00FD575B"/>
    <w:rsid w:val="00FD6205"/>
    <w:rsid w:val="00FD6897"/>
    <w:rsid w:val="00FE0C6B"/>
    <w:rsid w:val="00FE237B"/>
    <w:rsid w:val="00FE24FC"/>
    <w:rsid w:val="00FF0799"/>
    <w:rsid w:val="00FF2CAD"/>
    <w:rsid w:val="00FF3F31"/>
    <w:rsid w:val="00FF7094"/>
    <w:rsid w:val="00FF7B55"/>
    <w:rsid w:val="1D6546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A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spacing w:after="160" w:line="259" w:lineRule="auto"/>
      <w:jc w:val="both"/>
    </w:pPr>
    <w:rPr>
      <w:kern w:val="2"/>
      <w:szCs w:val="22"/>
      <w:lang w:eastAsia="ko-KR"/>
    </w:rPr>
  </w:style>
  <w:style w:type="paragraph" w:styleId="1">
    <w:name w:val="heading 1"/>
    <w:basedOn w:val="a"/>
    <w:next w:val="a"/>
    <w:link w:val="10"/>
    <w:uiPriority w:val="9"/>
    <w:qFormat/>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spacing w:line="240" w:lineRule="auto"/>
    </w:pPr>
    <w:rPr>
      <w:szCs w:val="20"/>
    </w:rPr>
  </w:style>
  <w:style w:type="paragraph" w:styleId="a5">
    <w:name w:val="Balloon Text"/>
    <w:basedOn w:val="a"/>
    <w:link w:val="a6"/>
    <w:uiPriority w:val="99"/>
    <w:semiHidden/>
    <w:unhideWhenUsed/>
    <w:pPr>
      <w:spacing w:after="0" w:line="240" w:lineRule="auto"/>
    </w:pPr>
    <w:rPr>
      <w:rFonts w:ascii="Segoe UI" w:hAnsi="Segoe UI" w:cs="Segoe UI"/>
      <w:sz w:val="18"/>
      <w:szCs w:val="18"/>
    </w:rPr>
  </w:style>
  <w:style w:type="paragraph" w:styleId="a7">
    <w:name w:val="footer"/>
    <w:basedOn w:val="a"/>
    <w:link w:val="a8"/>
    <w:uiPriority w:val="99"/>
    <w:unhideWhenUsed/>
    <w:qFormat/>
    <w:pPr>
      <w:tabs>
        <w:tab w:val="center" w:pos="4513"/>
        <w:tab w:val="right" w:pos="9026"/>
      </w:tabs>
      <w:spacing w:after="0" w:line="240" w:lineRule="auto"/>
    </w:pPr>
  </w:style>
  <w:style w:type="paragraph" w:styleId="a9">
    <w:name w:val="header"/>
    <w:basedOn w:val="a"/>
    <w:link w:val="aa"/>
    <w:uiPriority w:val="99"/>
    <w:unhideWhenUsed/>
    <w:qFormat/>
    <w:pPr>
      <w:tabs>
        <w:tab w:val="center" w:pos="4513"/>
        <w:tab w:val="right" w:pos="9026"/>
      </w:tabs>
      <w:spacing w:after="0" w:line="240" w:lineRule="auto"/>
    </w:pPr>
  </w:style>
  <w:style w:type="paragraph" w:styleId="ab">
    <w:name w:val="Normal (Web)"/>
    <w:basedOn w:val="a"/>
    <w:uiPriority w:val="99"/>
    <w:unhideWhenUsed/>
    <w:qFormat/>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en-GB" w:eastAsia="ja-JP"/>
    </w:rPr>
  </w:style>
  <w:style w:type="paragraph" w:styleId="ac">
    <w:name w:val="annotation subject"/>
    <w:basedOn w:val="a3"/>
    <w:next w:val="a3"/>
    <w:link w:val="ad"/>
    <w:unhideWhenUsed/>
    <w:qFormat/>
    <w:rPr>
      <w:b/>
      <w:bCs/>
    </w:rPr>
  </w:style>
  <w:style w:type="character" w:styleId="ae">
    <w:name w:val="Strong"/>
    <w:basedOn w:val="a0"/>
    <w:uiPriority w:val="22"/>
    <w:qFormat/>
    <w:rPr>
      <w:b/>
      <w:bCs/>
    </w:rPr>
  </w:style>
  <w:style w:type="character" w:styleId="af">
    <w:name w:val="Emphasis"/>
    <w:basedOn w:val="a0"/>
    <w:uiPriority w:val="20"/>
    <w:qFormat/>
    <w:rPr>
      <w:i/>
      <w:iCs/>
    </w:rPr>
  </w:style>
  <w:style w:type="character" w:styleId="af0">
    <w:name w:val="line number"/>
    <w:basedOn w:val="a0"/>
    <w:uiPriority w:val="99"/>
    <w:semiHidden/>
    <w:unhideWhenUsed/>
    <w:qFormat/>
  </w:style>
  <w:style w:type="character" w:styleId="af1">
    <w:name w:val="Hyperlink"/>
    <w:basedOn w:val="a0"/>
    <w:uiPriority w:val="99"/>
    <w:unhideWhenUsed/>
    <w:qFormat/>
    <w:rPr>
      <w:color w:val="0000FF"/>
      <w:u w:val="single"/>
    </w:rPr>
  </w:style>
  <w:style w:type="character" w:styleId="af2">
    <w:name w:val="annotation reference"/>
    <w:basedOn w:val="a0"/>
    <w:uiPriority w:val="99"/>
    <w:semiHidden/>
    <w:unhideWhenUsed/>
    <w:qFormat/>
    <w:rPr>
      <w:sz w:val="16"/>
      <w:szCs w:val="16"/>
    </w:rPr>
  </w:style>
  <w:style w:type="paragraph" w:customStyle="1" w:styleId="af3">
    <w:name w:val="바탕글"/>
    <w:basedOn w:val="a"/>
    <w:qFormat/>
    <w:pPr>
      <w:spacing w:after="0" w:line="384" w:lineRule="auto"/>
      <w:textAlignment w:val="baseline"/>
    </w:pPr>
    <w:rPr>
      <w:rFonts w:ascii="함초롬바탕" w:eastAsia="Gulim" w:hAnsi="Gulim" w:cs="Gulim"/>
      <w:color w:val="000000"/>
      <w:kern w:val="0"/>
      <w:szCs w:val="20"/>
    </w:rPr>
  </w:style>
  <w:style w:type="paragraph" w:customStyle="1" w:styleId="11">
    <w:name w:val="바탕글1"/>
    <w:basedOn w:val="a"/>
    <w:qFormat/>
    <w:pPr>
      <w:spacing w:after="0" w:line="384" w:lineRule="auto"/>
      <w:textAlignment w:val="baseline"/>
    </w:pPr>
    <w:rPr>
      <w:rFonts w:ascii="함초롬바탕" w:eastAsia="Gulim" w:hAnsi="Gulim" w:cs="Gulim"/>
      <w:color w:val="000000"/>
      <w:kern w:val="0"/>
      <w:szCs w:val="20"/>
    </w:rPr>
  </w:style>
  <w:style w:type="paragraph" w:customStyle="1" w:styleId="MS">
    <w:name w:val="MS바탕글"/>
    <w:basedOn w:val="a"/>
    <w:qFormat/>
    <w:pPr>
      <w:spacing w:line="254" w:lineRule="auto"/>
      <w:textAlignment w:val="baseline"/>
    </w:pPr>
    <w:rPr>
      <w:rFonts w:ascii="Malgun Gothic" w:eastAsia="Gulim" w:hAnsi="Gulim" w:cs="Gulim"/>
      <w:color w:val="000000"/>
      <w:kern w:val="0"/>
      <w:szCs w:val="20"/>
    </w:rPr>
  </w:style>
  <w:style w:type="character" w:customStyle="1" w:styleId="a4">
    <w:name w:val="批注文字 字符"/>
    <w:basedOn w:val="a0"/>
    <w:link w:val="a3"/>
    <w:uiPriority w:val="99"/>
    <w:rPr>
      <w:szCs w:val="20"/>
    </w:rPr>
  </w:style>
  <w:style w:type="character" w:customStyle="1" w:styleId="ad">
    <w:name w:val="批注主题 字符"/>
    <w:basedOn w:val="a4"/>
    <w:link w:val="ac"/>
    <w:rPr>
      <w:b/>
      <w:bCs/>
      <w:szCs w:val="20"/>
    </w:rPr>
  </w:style>
  <w:style w:type="character" w:customStyle="1" w:styleId="a6">
    <w:name w:val="批注框文本 字符"/>
    <w:basedOn w:val="a0"/>
    <w:link w:val="a5"/>
    <w:uiPriority w:val="99"/>
    <w:semiHidden/>
    <w:rPr>
      <w:rFonts w:ascii="Segoe UI" w:hAnsi="Segoe UI" w:cs="Segoe UI"/>
      <w:sz w:val="18"/>
      <w:szCs w:val="18"/>
    </w:rPr>
  </w:style>
  <w:style w:type="character" w:customStyle="1" w:styleId="aa">
    <w:name w:val="页眉 字符"/>
    <w:basedOn w:val="a0"/>
    <w:link w:val="a9"/>
    <w:uiPriority w:val="99"/>
    <w:qFormat/>
  </w:style>
  <w:style w:type="character" w:customStyle="1" w:styleId="a8">
    <w:name w:val="页脚 字符"/>
    <w:basedOn w:val="a0"/>
    <w:link w:val="a7"/>
    <w:uiPriority w:val="99"/>
    <w:qFormat/>
  </w:style>
  <w:style w:type="character" w:customStyle="1" w:styleId="apple-converted-space">
    <w:name w:val="apple-converted-space"/>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2">
    <w:name w:val="修订1"/>
    <w:hidden/>
    <w:uiPriority w:val="99"/>
    <w:semiHidden/>
    <w:qFormat/>
    <w:rPr>
      <w:kern w:val="2"/>
      <w:szCs w:val="22"/>
      <w:lang w:eastAsia="ko-KR"/>
    </w:rPr>
  </w:style>
  <w:style w:type="paragraph" w:styleId="af4">
    <w:name w:val="List Paragraph"/>
    <w:basedOn w:val="a"/>
    <w:uiPriority w:val="34"/>
    <w:qFormat/>
    <w:pPr>
      <w:ind w:leftChars="400" w:left="800"/>
    </w:pPr>
  </w:style>
  <w:style w:type="character" w:customStyle="1" w:styleId="identifier">
    <w:name w:val="identifier"/>
    <w:basedOn w:val="a0"/>
    <w:qFormat/>
  </w:style>
  <w:style w:type="character" w:customStyle="1" w:styleId="element-citation">
    <w:name w:val="element-citation"/>
    <w:basedOn w:val="a0"/>
    <w:qFormat/>
  </w:style>
  <w:style w:type="character" w:customStyle="1" w:styleId="ref-journal">
    <w:name w:val="ref-journal"/>
    <w:basedOn w:val="a0"/>
    <w:qFormat/>
  </w:style>
  <w:style w:type="character" w:customStyle="1" w:styleId="ref-vol">
    <w:name w:val="ref-vol"/>
    <w:basedOn w:val="a0"/>
    <w:qFormat/>
  </w:style>
  <w:style w:type="character" w:customStyle="1" w:styleId="10">
    <w:name w:val="标题 1 字符"/>
    <w:basedOn w:val="a0"/>
    <w:link w:val="1"/>
    <w:uiPriority w:val="9"/>
    <w:qFormat/>
    <w:rPr>
      <w:rFonts w:ascii="Gulim" w:eastAsia="Gulim" w:hAnsi="Gulim" w:cs="Gulim"/>
      <w:b/>
      <w:bCs/>
      <w:kern w:val="36"/>
      <w:sz w:val="48"/>
      <w:szCs w:val="48"/>
    </w:rPr>
  </w:style>
  <w:style w:type="paragraph" w:customStyle="1" w:styleId="af5">
    <w:name w:val="본문내용"/>
    <w:uiPriority w:val="11"/>
    <w:qFormat/>
    <w:pPr>
      <w:widowControl w:val="0"/>
      <w:wordWrap w:val="0"/>
      <w:autoSpaceDE w:val="0"/>
      <w:autoSpaceDN w:val="0"/>
      <w:snapToGrid w:val="0"/>
      <w:spacing w:line="290" w:lineRule="exact"/>
      <w:ind w:firstLine="200"/>
      <w:jc w:val="both"/>
      <w:textAlignment w:val="baseline"/>
    </w:pPr>
    <w:rPr>
      <w:rFonts w:ascii="한양신명조" w:eastAsia="한양신명조" w:hAnsi="한양신명조" w:cs="Times New Roman"/>
      <w:color w:val="000000"/>
      <w:spacing w:val="-7"/>
      <w:kern w:val="2"/>
      <w:sz w:val="18"/>
      <w:szCs w:val="22"/>
      <w:lang w:eastAsia="ko-KR"/>
    </w:rPr>
  </w:style>
  <w:style w:type="character" w:customStyle="1" w:styleId="citation-part">
    <w:name w:val="citation-part"/>
    <w:basedOn w:val="a0"/>
    <w:qFormat/>
  </w:style>
  <w:style w:type="character" w:customStyle="1" w:styleId="docsum-pmid">
    <w:name w:val="docsum-pmid"/>
    <w:basedOn w:val="a0"/>
    <w:qFormat/>
  </w:style>
  <w:style w:type="character" w:customStyle="1" w:styleId="13">
    <w:name w:val="未处理的提及1"/>
    <w:basedOn w:val="a0"/>
    <w:uiPriority w:val="99"/>
    <w:semiHidden/>
    <w:unhideWhenUsed/>
    <w:qFormat/>
    <w:rPr>
      <w:color w:val="605E5C"/>
      <w:shd w:val="clear" w:color="auto" w:fill="E1DFDD"/>
    </w:rPr>
  </w:style>
  <w:style w:type="character" w:styleId="af6">
    <w:name w:val="Unresolved Mention"/>
    <w:basedOn w:val="a0"/>
    <w:uiPriority w:val="99"/>
    <w:semiHidden/>
    <w:unhideWhenUsed/>
    <w:rsid w:val="00900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2307-8960/full/v10/i23/8277.htm" TargetMode="Externa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7A3CAF-7F85-4831-9AE2-D6F1044C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2796</Words>
  <Characters>15939</Characters>
  <Application>Microsoft Office Word</Application>
  <DocSecurity>0</DocSecurity>
  <Lines>132</Lines>
  <Paragraphs>37</Paragraphs>
  <ScaleCrop>false</ScaleCrop>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2022-07-10T20:20:00Z</dcterms:created>
  <dcterms:modified xsi:type="dcterms:W3CDTF">2022-07-29T17:13:00Z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A0508B6A447340C8957C1987BBA63E9D</vt:lpwstr>
  </property>
</Properties>
</file>