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89" w:rsidRDefault="003D69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EB0789" w:rsidRDefault="003D69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75058</w:t>
      </w:r>
    </w:p>
    <w:p w:rsidR="00EB0789" w:rsidRDefault="003D6943">
      <w:pPr>
        <w:spacing w:line="360" w:lineRule="auto"/>
        <w:jc w:val="both"/>
      </w:pPr>
      <w:r>
        <w:rPr>
          <w:rFonts w:ascii="Book Antiqua" w:eastAsia="Book Antiqua" w:hAnsi="Book Antiqua" w:cs="Book Antiqua"/>
          <w:b/>
          <w:color w:val="000000"/>
        </w:rPr>
        <w:t xml:space="preserve">Manuscript Type: </w:t>
      </w:r>
      <w:r>
        <w:rPr>
          <w:rFonts w:ascii="Book Antiqua" w:hAnsi="Book Antiqua"/>
        </w:rPr>
        <w:t>MINIREVIEWS</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bCs/>
          <w:i/>
          <w:color w:val="000000"/>
          <w:szCs w:val="22"/>
        </w:rPr>
        <w:t>Helicobacter pylori</w:t>
      </w:r>
      <w:r>
        <w:rPr>
          <w:rFonts w:ascii="Book Antiqua" w:eastAsia="Book Antiqua" w:hAnsi="Book Antiqua" w:cs="Book Antiqua"/>
          <w:b/>
          <w:bCs/>
          <w:color w:val="000000"/>
          <w:szCs w:val="22"/>
        </w:rPr>
        <w:t xml:space="preserve"> </w:t>
      </w:r>
      <w:r>
        <w:rPr>
          <w:rFonts w:ascii="Book Antiqua" w:hAnsi="Book Antiqua" w:cs="Book Antiqua" w:hint="eastAsia"/>
          <w:b/>
          <w:bCs/>
          <w:color w:val="000000"/>
          <w:szCs w:val="22"/>
          <w:lang w:eastAsia="zh-CN"/>
        </w:rPr>
        <w:t>i</w:t>
      </w:r>
      <w:r>
        <w:rPr>
          <w:rFonts w:ascii="Book Antiqua" w:eastAsia="Book Antiqua" w:hAnsi="Book Antiqua" w:cs="Book Antiqua"/>
          <w:b/>
          <w:bCs/>
          <w:color w:val="000000"/>
          <w:szCs w:val="22"/>
        </w:rPr>
        <w:t xml:space="preserve">nfection and </w:t>
      </w:r>
      <w:r>
        <w:rPr>
          <w:rFonts w:ascii="Book Antiqua" w:hAnsi="Book Antiqua" w:cs="Book Antiqua" w:hint="eastAsia"/>
          <w:b/>
          <w:bCs/>
          <w:color w:val="000000"/>
          <w:szCs w:val="22"/>
          <w:lang w:eastAsia="zh-CN"/>
        </w:rPr>
        <w:t>s</w:t>
      </w:r>
      <w:r>
        <w:rPr>
          <w:rFonts w:ascii="Book Antiqua" w:eastAsia="Book Antiqua" w:hAnsi="Book Antiqua" w:cs="Book Antiqua"/>
          <w:b/>
          <w:bCs/>
          <w:color w:val="000000"/>
          <w:szCs w:val="22"/>
        </w:rPr>
        <w:t xml:space="preserve">mall </w:t>
      </w:r>
      <w:r>
        <w:rPr>
          <w:rFonts w:ascii="Book Antiqua" w:hAnsi="Book Antiqua" w:cs="Book Antiqua" w:hint="eastAsia"/>
          <w:b/>
          <w:bCs/>
          <w:color w:val="000000"/>
          <w:szCs w:val="22"/>
          <w:lang w:eastAsia="zh-CN"/>
        </w:rPr>
        <w:t>i</w:t>
      </w:r>
      <w:r>
        <w:rPr>
          <w:rFonts w:ascii="Book Antiqua" w:eastAsia="Book Antiqua" w:hAnsi="Book Antiqua" w:cs="Book Antiqua"/>
          <w:b/>
          <w:bCs/>
          <w:color w:val="000000"/>
          <w:szCs w:val="22"/>
        </w:rPr>
        <w:t xml:space="preserve">ntestinal </w:t>
      </w:r>
      <w:r>
        <w:rPr>
          <w:rFonts w:ascii="Book Antiqua" w:hAnsi="Book Antiqua" w:cs="Book Antiqua" w:hint="eastAsia"/>
          <w:b/>
          <w:bCs/>
          <w:color w:val="000000"/>
          <w:szCs w:val="22"/>
          <w:lang w:eastAsia="zh-CN"/>
        </w:rPr>
        <w:t>b</w:t>
      </w:r>
      <w:r>
        <w:rPr>
          <w:rFonts w:ascii="Book Antiqua" w:eastAsia="Book Antiqua" w:hAnsi="Book Antiqua" w:cs="Book Antiqua"/>
          <w:b/>
          <w:bCs/>
          <w:color w:val="000000"/>
          <w:szCs w:val="22"/>
        </w:rPr>
        <w:t xml:space="preserve">acterial </w:t>
      </w:r>
      <w:r>
        <w:rPr>
          <w:rFonts w:ascii="Book Antiqua" w:hAnsi="Book Antiqua" w:cs="Book Antiqua" w:hint="eastAsia"/>
          <w:b/>
          <w:bCs/>
          <w:color w:val="000000"/>
          <w:szCs w:val="22"/>
          <w:lang w:eastAsia="zh-CN"/>
        </w:rPr>
        <w:t>o</w:t>
      </w:r>
      <w:r>
        <w:rPr>
          <w:rFonts w:ascii="Book Antiqua" w:eastAsia="Book Antiqua" w:hAnsi="Book Antiqua" w:cs="Book Antiqua"/>
          <w:b/>
          <w:bCs/>
          <w:color w:val="000000"/>
          <w:szCs w:val="22"/>
        </w:rPr>
        <w:t>vergrowth–</w:t>
      </w:r>
      <w:r>
        <w:rPr>
          <w:rFonts w:ascii="Book Antiqua" w:hAnsi="Book Antiqua" w:cs="Book Antiqua" w:hint="eastAsia"/>
          <w:b/>
          <w:bCs/>
          <w:color w:val="000000"/>
          <w:szCs w:val="22"/>
          <w:lang w:eastAsia="zh-CN"/>
        </w:rPr>
        <w:t>m</w:t>
      </w:r>
      <w:r>
        <w:rPr>
          <w:rFonts w:ascii="Book Antiqua" w:eastAsia="Book Antiqua" w:hAnsi="Book Antiqua" w:cs="Book Antiqua"/>
          <w:b/>
          <w:bCs/>
          <w:color w:val="000000"/>
          <w:szCs w:val="22"/>
        </w:rPr>
        <w:t>ore than what meets the eye</w:t>
      </w:r>
    </w:p>
    <w:p w:rsidR="00EB0789" w:rsidRDefault="00EB0789">
      <w:pPr>
        <w:spacing w:line="360" w:lineRule="auto"/>
        <w:jc w:val="both"/>
      </w:pPr>
    </w:p>
    <w:p w:rsidR="00EB0789" w:rsidRDefault="003D6943">
      <w:pPr>
        <w:spacing w:line="360" w:lineRule="auto"/>
        <w:jc w:val="both"/>
      </w:pPr>
      <w:proofErr w:type="spellStart"/>
      <w:r>
        <w:rPr>
          <w:rFonts w:ascii="Book Antiqua" w:eastAsia="Book Antiqua" w:hAnsi="Book Antiqua" w:cs="Book Antiqua"/>
          <w:color w:val="000000"/>
        </w:rPr>
        <w:t>Dharan</w:t>
      </w:r>
      <w:proofErr w:type="spellEnd"/>
      <w:r>
        <w:rPr>
          <w:rFonts w:ascii="Book Antiqua" w:eastAsia="Book Antiqua" w:hAnsi="Book Antiqua" w:cs="Book Antiqua"/>
          <w:i/>
          <w:color w:val="000000"/>
          <w:szCs w:val="22"/>
        </w:rPr>
        <w:t xml:space="preserve"> </w:t>
      </w:r>
      <w:r>
        <w:rPr>
          <w:rFonts w:ascii="Book Antiqua" w:hAnsi="Book Antiqua" w:cs="Book Antiqua" w:hint="eastAsia"/>
          <w:color w:val="000000"/>
          <w:szCs w:val="22"/>
          <w:lang w:eastAsia="zh-CN"/>
        </w:rPr>
        <w:t xml:space="preserve">M </w:t>
      </w:r>
      <w:r>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w:t>
      </w:r>
      <w:r>
        <w:rPr>
          <w:rFonts w:ascii="Book Antiqua" w:hAnsi="Book Antiqua" w:cs="Book Antiqua" w:hint="eastAsia"/>
          <w:i/>
          <w:color w:val="000000"/>
          <w:szCs w:val="22"/>
          <w:lang w:eastAsia="zh-CN"/>
        </w:rPr>
        <w:t xml:space="preserve"> </w:t>
      </w:r>
      <w:r>
        <w:rPr>
          <w:rFonts w:ascii="Book Antiqua" w:eastAsia="Book Antiqua" w:hAnsi="Book Antiqua" w:cs="Book Antiqua"/>
          <w:i/>
          <w:color w:val="000000"/>
          <w:szCs w:val="22"/>
        </w:rPr>
        <w:t>H</w:t>
      </w:r>
      <w:r>
        <w:rPr>
          <w:rFonts w:ascii="Book Antiqua" w:hAnsi="Book Antiqua" w:cs="Book Antiqua" w:hint="eastAsia"/>
          <w:i/>
          <w:color w:val="000000"/>
          <w:szCs w:val="22"/>
          <w:lang w:eastAsia="zh-CN"/>
        </w:rPr>
        <w:t>.</w:t>
      </w:r>
      <w:r>
        <w:rPr>
          <w:rFonts w:ascii="Book Antiqua" w:eastAsia="Book Antiqua" w:hAnsi="Book Antiqua" w:cs="Book Antiqua"/>
          <w:i/>
          <w:color w:val="000000"/>
          <w:szCs w:val="22"/>
        </w:rPr>
        <w:t xml:space="preserve"> pylori </w:t>
      </w:r>
      <w:proofErr w:type="gramStart"/>
      <w:r>
        <w:rPr>
          <w:rFonts w:ascii="Book Antiqua" w:eastAsia="Book Antiqua" w:hAnsi="Book Antiqua" w:cs="Book Antiqua"/>
          <w:color w:val="000000"/>
          <w:szCs w:val="22"/>
        </w:rPr>
        <w:t>infection, small intestinal overgrowth, overlap</w:t>
      </w:r>
      <w:proofErr w:type="gramEnd"/>
    </w:p>
    <w:p w:rsidR="00EB0789" w:rsidRDefault="00EB0789">
      <w:pPr>
        <w:spacing w:line="360" w:lineRule="auto"/>
        <w:jc w:val="both"/>
      </w:pPr>
    </w:p>
    <w:p w:rsidR="00EB0789" w:rsidRDefault="003D6943">
      <w:pPr>
        <w:spacing w:line="360" w:lineRule="auto"/>
        <w:jc w:val="both"/>
      </w:pPr>
      <w:proofErr w:type="spellStart"/>
      <w:r>
        <w:rPr>
          <w:rFonts w:ascii="Book Antiqua" w:eastAsia="Book Antiqua" w:hAnsi="Book Antiqua" w:cs="Book Antiqua"/>
          <w:color w:val="000000"/>
        </w:rPr>
        <w:t>Murali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Dharan</w:t>
      </w:r>
      <w:proofErr w:type="spellEnd"/>
      <w:r>
        <w:rPr>
          <w:rFonts w:ascii="Book Antiqua" w:eastAsia="Book Antiqua" w:hAnsi="Book Antiqua" w:cs="Book Antiqua"/>
          <w:color w:val="000000"/>
        </w:rPr>
        <w:t xml:space="preserve">, David </w:t>
      </w:r>
      <w:proofErr w:type="spellStart"/>
      <w:r>
        <w:rPr>
          <w:rFonts w:ascii="Book Antiqua" w:eastAsia="Book Antiqua" w:hAnsi="Book Antiqua" w:cs="Book Antiqua"/>
          <w:color w:val="000000"/>
        </w:rPr>
        <w:t>Wozny</w:t>
      </w:r>
      <w:proofErr w:type="spellEnd"/>
    </w:p>
    <w:p w:rsidR="00EB0789" w:rsidRDefault="00EB0789">
      <w:pPr>
        <w:spacing w:line="360" w:lineRule="auto"/>
        <w:jc w:val="both"/>
      </w:pPr>
    </w:p>
    <w:p w:rsidR="00EB0789" w:rsidRDefault="003D6943">
      <w:pPr>
        <w:spacing w:line="360" w:lineRule="auto"/>
        <w:jc w:val="both"/>
      </w:pPr>
      <w:proofErr w:type="spellStart"/>
      <w:r>
        <w:rPr>
          <w:rFonts w:ascii="Book Antiqua" w:eastAsia="Book Antiqua" w:hAnsi="Book Antiqua" w:cs="Book Antiqua"/>
          <w:b/>
          <w:bCs/>
          <w:color w:val="000000"/>
        </w:rPr>
        <w:t>Murali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Dharan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University of Connecticut Health Center, Farmington, CT 06030, United States</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bCs/>
          <w:color w:val="000000"/>
        </w:rPr>
        <w:t xml:space="preserve">David </w:t>
      </w:r>
      <w:proofErr w:type="spellStart"/>
      <w:r>
        <w:rPr>
          <w:rFonts w:ascii="Book Antiqua" w:eastAsia="Book Antiqua" w:hAnsi="Book Antiqua" w:cs="Book Antiqua"/>
          <w:b/>
          <w:bCs/>
          <w:color w:val="000000"/>
        </w:rPr>
        <w:t>Wozny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Primary Care and Internal Medicine, University of Connecticut, Farmington, CT 06030, United States</w:t>
      </w:r>
    </w:p>
    <w:p w:rsidR="00EB0789" w:rsidRDefault="00EB0789">
      <w:pPr>
        <w:spacing w:line="360" w:lineRule="auto"/>
        <w:jc w:val="both"/>
      </w:pPr>
    </w:p>
    <w:p w:rsidR="00EB0789" w:rsidRDefault="003D6943">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zCs w:val="22"/>
        </w:rPr>
        <w:t>Dharan</w:t>
      </w:r>
      <w:proofErr w:type="spellEnd"/>
      <w:r>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contributed to the c</w:t>
      </w:r>
      <w:r>
        <w:rPr>
          <w:rFonts w:ascii="Book Antiqua" w:eastAsia="Book Antiqua" w:hAnsi="Book Antiqua" w:cs="Book Antiqua"/>
          <w:color w:val="000000"/>
          <w:szCs w:val="22"/>
        </w:rPr>
        <w:t xml:space="preserve">onceptualization, literature search, drafting of article and major revisions; </w:t>
      </w:r>
      <w:proofErr w:type="spellStart"/>
      <w:r>
        <w:rPr>
          <w:rFonts w:ascii="Book Antiqua" w:eastAsia="Book Antiqua" w:hAnsi="Book Antiqua" w:cs="Book Antiqua"/>
          <w:color w:val="000000"/>
          <w:szCs w:val="22"/>
        </w:rPr>
        <w:t>Wozny</w:t>
      </w:r>
      <w:proofErr w:type="spellEnd"/>
      <w:r>
        <w:rPr>
          <w:rFonts w:ascii="Book Antiqua" w:hAnsi="Book Antiqua" w:cs="Book Antiqua" w:hint="eastAsia"/>
          <w:color w:val="000000"/>
          <w:szCs w:val="22"/>
          <w:lang w:eastAsia="zh-CN"/>
        </w:rPr>
        <w:t xml:space="preserve"> D</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contributed to</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the l</w:t>
      </w:r>
      <w:r>
        <w:rPr>
          <w:rFonts w:ascii="Book Antiqua" w:eastAsia="Book Antiqua" w:hAnsi="Book Antiqua" w:cs="Book Antiqua"/>
          <w:color w:val="000000"/>
          <w:szCs w:val="22"/>
        </w:rPr>
        <w:t>iterature search, drafting of article and revision</w:t>
      </w:r>
      <w:r>
        <w:rPr>
          <w:rFonts w:ascii="Book Antiqua" w:hAnsi="Book Antiqua" w:cs="Book Antiqua" w:hint="eastAsia"/>
          <w:color w:val="000000"/>
          <w:szCs w:val="22"/>
          <w:lang w:eastAsia="zh-CN"/>
        </w:rPr>
        <w:t>.</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Murali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Dharan</w:t>
      </w:r>
      <w:proofErr w:type="spellEnd"/>
      <w:r>
        <w:rPr>
          <w:rFonts w:ascii="Book Antiqua" w:eastAsia="Book Antiqua" w:hAnsi="Book Antiqua" w:cs="Book Antiqua"/>
          <w:b/>
          <w:bCs/>
          <w:color w:val="000000"/>
        </w:rPr>
        <w:t xml:space="preserve">, FASGE, MRCP, Assistant Professor, </w:t>
      </w:r>
      <w:r>
        <w:rPr>
          <w:rFonts w:ascii="Book Antiqua" w:eastAsia="Book Antiqua" w:hAnsi="Book Antiqua" w:cs="Book Antiqua"/>
          <w:color w:val="000000"/>
        </w:rPr>
        <w:t xml:space="preserve">Department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University of Connecticut Health Center, 263 Farmington Avenue, Farmington, CT 06030, United States. dharan@uchc.edu</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2022</w:t>
      </w:r>
    </w:p>
    <w:p w:rsidR="00EB0789" w:rsidRDefault="003D69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18, 2022</w:t>
      </w:r>
    </w:p>
    <w:p w:rsidR="00EB0789" w:rsidRDefault="003D6943">
      <w:pPr>
        <w:spacing w:line="360" w:lineRule="auto"/>
        <w:jc w:val="both"/>
      </w:pPr>
      <w:r>
        <w:rPr>
          <w:rFonts w:ascii="Book Antiqua" w:eastAsia="Book Antiqua" w:hAnsi="Book Antiqua" w:cs="Book Antiqua"/>
          <w:b/>
          <w:bCs/>
          <w:color w:val="000000"/>
        </w:rPr>
        <w:t xml:space="preserve">Accepted: </w:t>
      </w:r>
      <w:bookmarkStart w:id="0" w:name="OLE_LINK1"/>
      <w:r>
        <w:rPr>
          <w:rFonts w:ascii="Book Antiqua" w:eastAsia="Book Antiqua" w:hAnsi="Book Antiqua" w:cs="Book Antiqua"/>
          <w:color w:val="000000"/>
        </w:rPr>
        <w:t>June 14, 2022</w:t>
      </w:r>
      <w:bookmarkEnd w:id="0"/>
    </w:p>
    <w:p w:rsidR="00EB0789" w:rsidRDefault="003D6943">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 xml:space="preserve">July </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6, 2022</w:t>
      </w:r>
    </w:p>
    <w:p w:rsidR="00EB0789" w:rsidRDefault="00EB0789">
      <w:pPr>
        <w:spacing w:line="360" w:lineRule="auto"/>
        <w:jc w:val="both"/>
        <w:sectPr w:rsidR="00EB0789">
          <w:footerReference w:type="default" r:id="rId8"/>
          <w:pgSz w:w="12240" w:h="15840"/>
          <w:pgMar w:top="1440" w:right="1440" w:bottom="1440" w:left="1440" w:header="720" w:footer="720" w:gutter="0"/>
          <w:cols w:space="720"/>
          <w:docGrid w:linePitch="360"/>
        </w:sectPr>
      </w:pPr>
    </w:p>
    <w:p w:rsidR="00EB0789" w:rsidRDefault="003D6943">
      <w:pPr>
        <w:spacing w:line="360" w:lineRule="auto"/>
        <w:jc w:val="both"/>
      </w:pPr>
      <w:r>
        <w:rPr>
          <w:rFonts w:ascii="Book Antiqua" w:eastAsia="Book Antiqua" w:hAnsi="Book Antiqua" w:cs="Book Antiqua"/>
          <w:b/>
          <w:color w:val="000000"/>
        </w:rPr>
        <w:lastRenderedPageBreak/>
        <w:t>Abstract</w:t>
      </w:r>
    </w:p>
    <w:p w:rsidR="00EB0789" w:rsidRDefault="003D6943">
      <w:pPr>
        <w:spacing w:line="360" w:lineRule="auto"/>
        <w:jc w:val="both"/>
      </w:pPr>
      <w:r>
        <w:rPr>
          <w:rFonts w:ascii="Book Antiqua" w:eastAsia="Book Antiqua" w:hAnsi="Book Antiqua" w:cs="Book Antiqua"/>
          <w:i/>
          <w:iCs/>
          <w:color w:val="000000"/>
          <w:szCs w:val="22"/>
          <w:shd w:val="clear" w:color="auto" w:fill="FFFFFF"/>
        </w:rPr>
        <w:t>Helicobacter pylori</w:t>
      </w:r>
      <w:r>
        <w:rPr>
          <w:rFonts w:ascii="Book Antiqua" w:eastAsia="Book Antiqua" w:hAnsi="Book Antiqua" w:cs="Book Antiqua"/>
          <w:color w:val="000000"/>
          <w:szCs w:val="22"/>
          <w:shd w:val="clear" w:color="auto" w:fill="FFFFFF"/>
        </w:rPr>
        <w:t xml:space="preserve"> </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infection is very common and affects a significant proportion of the world population. In contrast, the prevalence of small intestinal bacterial overgrowth (SIBO) in the general population is not well understood. There can be coexistence of both disease states in a given patient and their clinical symptoms may also overlap with one and another. There </w:t>
      </w:r>
      <w:proofErr w:type="gramStart"/>
      <w:r>
        <w:rPr>
          <w:rFonts w:ascii="Book Antiqua" w:eastAsia="Book Antiqua" w:hAnsi="Book Antiqua" w:cs="Book Antiqua"/>
          <w:color w:val="000000"/>
          <w:szCs w:val="22"/>
          <w:shd w:val="clear" w:color="auto" w:fill="FFFFFF"/>
        </w:rPr>
        <w:t>is no clear clinical guidelines</w:t>
      </w:r>
      <w:proofErr w:type="gramEnd"/>
      <w:r>
        <w:rPr>
          <w:rFonts w:ascii="Book Antiqua" w:eastAsia="Book Antiqua" w:hAnsi="Book Antiqua" w:cs="Book Antiqua"/>
          <w:color w:val="000000"/>
          <w:szCs w:val="22"/>
          <w:shd w:val="clear" w:color="auto" w:fill="FFFFFF"/>
        </w:rPr>
        <w:t xml:space="preserve"> for testing for and treating SIBO in patients with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infection. This review article explores the available evidence on the relationship between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szCs w:val="22"/>
          <w:shd w:val="clear" w:color="auto" w:fill="FFFFFF"/>
        </w:rPr>
        <w:t xml:space="preserve"> infection and SIBO, diagnosis and treatment of these entities and also comments on associated non-gastrointestinal conditions.</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i/>
          <w:color w:val="000000"/>
          <w:szCs w:val="22"/>
        </w:rPr>
        <w:t>Helicobacter pylori</w:t>
      </w:r>
      <w:r>
        <w:rPr>
          <w:rFonts w:ascii="Book Antiqua" w:eastAsia="Book Antiqua" w:hAnsi="Book Antiqua" w:cs="Book Antiqua"/>
          <w:color w:val="000000"/>
          <w:szCs w:val="22"/>
        </w:rPr>
        <w:t xml:space="preserve"> infection; </w:t>
      </w:r>
      <w:r>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mall intestinal bacterial overgrowth; </w:t>
      </w:r>
      <w:r>
        <w:rPr>
          <w:rFonts w:ascii="Book Antiqua" w:hAnsi="Book Antiqua" w:cs="Book Antiqua" w:hint="eastAsia"/>
          <w:color w:val="000000"/>
          <w:szCs w:val="22"/>
          <w:lang w:eastAsia="zh-CN"/>
        </w:rPr>
        <w:t>O</w:t>
      </w:r>
      <w:r>
        <w:rPr>
          <w:rFonts w:ascii="Book Antiqua" w:eastAsia="Book Antiqua" w:hAnsi="Book Antiqua" w:cs="Book Antiqua"/>
          <w:color w:val="000000"/>
          <w:szCs w:val="22"/>
        </w:rPr>
        <w:t xml:space="preserve">verlap; </w:t>
      </w:r>
      <w:r>
        <w:rPr>
          <w:rFonts w:ascii="Book Antiqua" w:hAnsi="Book Antiqua" w:cs="Book Antiqua" w:hint="eastAsia"/>
          <w:color w:val="000000"/>
          <w:szCs w:val="22"/>
          <w:lang w:eastAsia="zh-CN"/>
        </w:rPr>
        <w:t>D</w:t>
      </w:r>
      <w:r>
        <w:rPr>
          <w:rFonts w:ascii="Book Antiqua" w:eastAsia="Book Antiqua" w:hAnsi="Book Antiqua" w:cs="Book Antiqua"/>
          <w:color w:val="000000"/>
          <w:szCs w:val="22"/>
        </w:rPr>
        <w:t>iagnosis; Treatment</w:t>
      </w:r>
    </w:p>
    <w:p w:rsidR="00EB0789" w:rsidRDefault="00EB0789">
      <w:pPr>
        <w:spacing w:line="360" w:lineRule="auto"/>
        <w:jc w:val="both"/>
        <w:rPr>
          <w:lang w:eastAsia="zh-CN"/>
        </w:rPr>
      </w:pPr>
    </w:p>
    <w:p w:rsidR="003C429F" w:rsidRPr="00026CB8" w:rsidRDefault="003C429F" w:rsidP="003C429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3C429F" w:rsidRDefault="003C429F">
      <w:pPr>
        <w:spacing w:line="360" w:lineRule="auto"/>
        <w:jc w:val="both"/>
        <w:rPr>
          <w:lang w:eastAsia="zh-CN"/>
        </w:rPr>
      </w:pPr>
    </w:p>
    <w:p w:rsidR="003C429F" w:rsidRPr="003C429F" w:rsidRDefault="003C429F">
      <w:pPr>
        <w:spacing w:line="360" w:lineRule="auto"/>
        <w:jc w:val="both"/>
        <w:rPr>
          <w:rFonts w:ascii="Book Antiqua" w:hAnsi="Book Antiqua" w:cs="Book Antiqua"/>
          <w:color w:val="000000"/>
          <w:lang w:eastAsia="zh-CN"/>
        </w:rPr>
      </w:pPr>
      <w:r>
        <w:rPr>
          <w:rFonts w:ascii="Book Antiqua" w:eastAsia="宋体" w:hAnsi="Book Antiqua" w:cs="Book Antiqua" w:hint="eastAsia"/>
          <w:b/>
          <w:bCs/>
          <w:color w:val="000000"/>
          <w:lang w:eastAsia="zh-CN"/>
        </w:rPr>
        <w:t>Citation</w:t>
      </w:r>
      <w:r w:rsidRPr="001034CF">
        <w:rPr>
          <w:rFonts w:ascii="Book Antiqua" w:eastAsia="宋体" w:hAnsi="Book Antiqua" w:cs="Book Antiqua" w:hint="eastAsia"/>
          <w:b/>
          <w:color w:val="000000"/>
          <w:lang w:eastAsia="zh-CN"/>
        </w:rPr>
        <w:t xml:space="preserve">: </w:t>
      </w:r>
      <w:proofErr w:type="spellStart"/>
      <w:r w:rsidR="003D6943">
        <w:rPr>
          <w:rFonts w:ascii="Book Antiqua" w:eastAsia="Book Antiqua" w:hAnsi="Book Antiqua" w:cs="Book Antiqua"/>
          <w:color w:val="000000"/>
        </w:rPr>
        <w:t>Dharan</w:t>
      </w:r>
      <w:proofErr w:type="spellEnd"/>
      <w:r w:rsidR="003D6943">
        <w:rPr>
          <w:rFonts w:ascii="Book Antiqua" w:eastAsia="Book Antiqua" w:hAnsi="Book Antiqua" w:cs="Book Antiqua"/>
          <w:color w:val="000000"/>
        </w:rPr>
        <w:t xml:space="preserve"> M, </w:t>
      </w:r>
      <w:proofErr w:type="spellStart"/>
      <w:r w:rsidR="003D6943">
        <w:rPr>
          <w:rFonts w:ascii="Book Antiqua" w:eastAsia="Book Antiqua" w:hAnsi="Book Antiqua" w:cs="Book Antiqua"/>
          <w:color w:val="000000"/>
        </w:rPr>
        <w:t>Wozny</w:t>
      </w:r>
      <w:proofErr w:type="spellEnd"/>
      <w:r w:rsidR="003D6943">
        <w:rPr>
          <w:rFonts w:ascii="Book Antiqua" w:eastAsia="Book Antiqua" w:hAnsi="Book Antiqua" w:cs="Book Antiqua"/>
          <w:color w:val="000000"/>
        </w:rPr>
        <w:t xml:space="preserve"> D. </w:t>
      </w:r>
      <w:r w:rsidR="003D6943">
        <w:rPr>
          <w:rFonts w:ascii="Book Antiqua" w:eastAsia="Book Antiqua" w:hAnsi="Book Antiqua" w:cs="Book Antiqua"/>
          <w:bCs/>
          <w:i/>
          <w:color w:val="000000"/>
          <w:szCs w:val="22"/>
        </w:rPr>
        <w:t>Helicobacter pylori</w:t>
      </w:r>
      <w:r w:rsidR="003D6943">
        <w:rPr>
          <w:rFonts w:ascii="Book Antiqua" w:eastAsia="Book Antiqua" w:hAnsi="Book Antiqua" w:cs="Book Antiqua"/>
          <w:bCs/>
          <w:color w:val="000000"/>
          <w:szCs w:val="22"/>
        </w:rPr>
        <w:t xml:space="preserve"> </w:t>
      </w:r>
      <w:r w:rsidR="003D6943">
        <w:rPr>
          <w:rFonts w:ascii="Book Antiqua" w:hAnsi="Book Antiqua" w:cs="Book Antiqua" w:hint="eastAsia"/>
          <w:bCs/>
          <w:color w:val="000000"/>
          <w:szCs w:val="22"/>
          <w:lang w:eastAsia="zh-CN"/>
        </w:rPr>
        <w:t>i</w:t>
      </w:r>
      <w:r w:rsidR="003D6943">
        <w:rPr>
          <w:rFonts w:ascii="Book Antiqua" w:eastAsia="Book Antiqua" w:hAnsi="Book Antiqua" w:cs="Book Antiqua"/>
          <w:bCs/>
          <w:color w:val="000000"/>
          <w:szCs w:val="22"/>
        </w:rPr>
        <w:t xml:space="preserve">nfection and </w:t>
      </w:r>
      <w:r w:rsidR="003D6943">
        <w:rPr>
          <w:rFonts w:ascii="Book Antiqua" w:hAnsi="Book Antiqua" w:cs="Book Antiqua" w:hint="eastAsia"/>
          <w:bCs/>
          <w:color w:val="000000"/>
          <w:szCs w:val="22"/>
          <w:lang w:eastAsia="zh-CN"/>
        </w:rPr>
        <w:t>s</w:t>
      </w:r>
      <w:r w:rsidR="003D6943">
        <w:rPr>
          <w:rFonts w:ascii="Book Antiqua" w:eastAsia="Book Antiqua" w:hAnsi="Book Antiqua" w:cs="Book Antiqua"/>
          <w:bCs/>
          <w:color w:val="000000"/>
          <w:szCs w:val="22"/>
        </w:rPr>
        <w:t xml:space="preserve">mall </w:t>
      </w:r>
      <w:r w:rsidR="003D6943">
        <w:rPr>
          <w:rFonts w:ascii="Book Antiqua" w:hAnsi="Book Antiqua" w:cs="Book Antiqua" w:hint="eastAsia"/>
          <w:bCs/>
          <w:color w:val="000000"/>
          <w:szCs w:val="22"/>
          <w:lang w:eastAsia="zh-CN"/>
        </w:rPr>
        <w:t>i</w:t>
      </w:r>
      <w:r w:rsidR="003D6943">
        <w:rPr>
          <w:rFonts w:ascii="Book Antiqua" w:eastAsia="Book Antiqua" w:hAnsi="Book Antiqua" w:cs="Book Antiqua"/>
          <w:bCs/>
          <w:color w:val="000000"/>
          <w:szCs w:val="22"/>
        </w:rPr>
        <w:t xml:space="preserve">ntestinal </w:t>
      </w:r>
      <w:r w:rsidR="003D6943">
        <w:rPr>
          <w:rFonts w:ascii="Book Antiqua" w:hAnsi="Book Antiqua" w:cs="Book Antiqua" w:hint="eastAsia"/>
          <w:bCs/>
          <w:color w:val="000000"/>
          <w:szCs w:val="22"/>
          <w:lang w:eastAsia="zh-CN"/>
        </w:rPr>
        <w:t>b</w:t>
      </w:r>
      <w:r w:rsidR="003D6943">
        <w:rPr>
          <w:rFonts w:ascii="Book Antiqua" w:eastAsia="Book Antiqua" w:hAnsi="Book Antiqua" w:cs="Book Antiqua"/>
          <w:bCs/>
          <w:color w:val="000000"/>
          <w:szCs w:val="22"/>
        </w:rPr>
        <w:t xml:space="preserve">acterial </w:t>
      </w:r>
      <w:r w:rsidR="003D6943">
        <w:rPr>
          <w:rFonts w:ascii="Book Antiqua" w:hAnsi="Book Antiqua" w:cs="Book Antiqua" w:hint="eastAsia"/>
          <w:bCs/>
          <w:color w:val="000000"/>
          <w:szCs w:val="22"/>
          <w:lang w:eastAsia="zh-CN"/>
        </w:rPr>
        <w:t>o</w:t>
      </w:r>
      <w:r w:rsidR="003D6943">
        <w:rPr>
          <w:rFonts w:ascii="Book Antiqua" w:eastAsia="Book Antiqua" w:hAnsi="Book Antiqua" w:cs="Book Antiqua"/>
          <w:bCs/>
          <w:color w:val="000000"/>
          <w:szCs w:val="22"/>
        </w:rPr>
        <w:t>vergrowth–</w:t>
      </w:r>
      <w:r w:rsidR="003D6943">
        <w:rPr>
          <w:rFonts w:ascii="Book Antiqua" w:hAnsi="Book Antiqua" w:cs="Book Antiqua" w:hint="eastAsia"/>
          <w:bCs/>
          <w:color w:val="000000"/>
          <w:szCs w:val="22"/>
          <w:lang w:eastAsia="zh-CN"/>
        </w:rPr>
        <w:t>m</w:t>
      </w:r>
      <w:r w:rsidR="003D6943">
        <w:rPr>
          <w:rFonts w:ascii="Book Antiqua" w:eastAsia="Book Antiqua" w:hAnsi="Book Antiqua" w:cs="Book Antiqua"/>
          <w:bCs/>
          <w:color w:val="000000"/>
          <w:szCs w:val="22"/>
        </w:rPr>
        <w:t>ore than what meets the eye</w:t>
      </w:r>
      <w:r w:rsidR="003D6943">
        <w:rPr>
          <w:rFonts w:ascii="Book Antiqua" w:eastAsia="Book Antiqua" w:hAnsi="Book Antiqua" w:cs="Book Antiqua"/>
          <w:color w:val="000000"/>
        </w:rPr>
        <w:t xml:space="preserve">. </w:t>
      </w:r>
      <w:r w:rsidR="003D6943">
        <w:rPr>
          <w:rFonts w:ascii="Book Antiqua" w:eastAsia="Book Antiqua" w:hAnsi="Book Antiqua" w:cs="Book Antiqua"/>
          <w:i/>
          <w:iCs/>
          <w:color w:val="000000"/>
        </w:rPr>
        <w:t xml:space="preserve">World J </w:t>
      </w:r>
      <w:proofErr w:type="spellStart"/>
      <w:r w:rsidR="003D6943">
        <w:rPr>
          <w:rFonts w:ascii="Book Antiqua" w:eastAsia="Book Antiqua" w:hAnsi="Book Antiqua" w:cs="Book Antiqua"/>
          <w:i/>
          <w:iCs/>
          <w:color w:val="000000"/>
        </w:rPr>
        <w:t>Clin</w:t>
      </w:r>
      <w:proofErr w:type="spellEnd"/>
      <w:r w:rsidR="003D6943">
        <w:rPr>
          <w:rFonts w:ascii="Book Antiqua" w:eastAsia="Book Antiqua" w:hAnsi="Book Antiqua" w:cs="Book Antiqua"/>
          <w:i/>
          <w:iCs/>
          <w:color w:val="000000"/>
        </w:rPr>
        <w:t xml:space="preserve"> Cases</w:t>
      </w:r>
      <w:r w:rsidR="003D6943">
        <w:rPr>
          <w:rFonts w:ascii="Book Antiqua" w:eastAsia="Book Antiqua" w:hAnsi="Book Antiqua" w:cs="Book Antiqua"/>
          <w:color w:val="000000"/>
        </w:rPr>
        <w:t xml:space="preserve"> 2022; </w:t>
      </w:r>
      <w:bookmarkStart w:id="1" w:name="OLE_LINK2"/>
      <w:r w:rsidR="003D6943">
        <w:rPr>
          <w:rFonts w:ascii="Book Antiqua" w:eastAsia="宋体" w:hAnsi="Book Antiqua" w:cs="Book Antiqua" w:hint="eastAsia"/>
          <w:color w:val="000000"/>
          <w:lang w:eastAsia="zh-CN"/>
        </w:rPr>
        <w:t>10</w:t>
      </w:r>
      <w:r w:rsidR="003D6943">
        <w:rPr>
          <w:rFonts w:ascii="Book Antiqua" w:eastAsia="Book Antiqua" w:hAnsi="Book Antiqua" w:cs="Book Antiqua" w:hint="eastAsia"/>
          <w:color w:val="000000"/>
        </w:rPr>
        <w:t>(</w:t>
      </w:r>
      <w:r w:rsidR="003D6943">
        <w:rPr>
          <w:rFonts w:ascii="Book Antiqua" w:eastAsia="宋体" w:hAnsi="Book Antiqua" w:cs="Book Antiqua" w:hint="eastAsia"/>
          <w:color w:val="000000"/>
          <w:lang w:eastAsia="zh-CN"/>
        </w:rPr>
        <w:t>21</w:t>
      </w:r>
      <w:r w:rsidR="003D6943">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7209</w:t>
      </w:r>
      <w:r w:rsidR="003D6943">
        <w:rPr>
          <w:rFonts w:ascii="Book Antiqua" w:eastAsia="Book Antiqua" w:hAnsi="Book Antiqua" w:cs="Book Antiqua" w:hint="eastAsia"/>
          <w:color w:val="000000"/>
        </w:rPr>
        <w:t>-</w:t>
      </w:r>
      <w:r>
        <w:rPr>
          <w:rFonts w:ascii="Book Antiqua" w:hAnsi="Book Antiqua" w:cs="Book Antiqua" w:hint="eastAsia"/>
          <w:color w:val="000000"/>
          <w:lang w:eastAsia="zh-CN"/>
        </w:rPr>
        <w:t>7214</w:t>
      </w:r>
    </w:p>
    <w:p w:rsidR="003C429F" w:rsidRDefault="003D6943">
      <w:pPr>
        <w:spacing w:line="360" w:lineRule="auto"/>
        <w:jc w:val="both"/>
        <w:rPr>
          <w:rFonts w:ascii="Book Antiqua" w:hAnsi="Book Antiqua" w:cs="Book Antiqua"/>
          <w:color w:val="000000"/>
          <w:lang w:eastAsia="zh-CN"/>
        </w:rPr>
      </w:pPr>
      <w:r w:rsidRPr="003C429F">
        <w:rPr>
          <w:rFonts w:ascii="Book Antiqua" w:eastAsia="Book Antiqua" w:hAnsi="Book Antiqua" w:cs="Book Antiqua" w:hint="eastAsia"/>
          <w:b/>
          <w:color w:val="000000"/>
        </w:rPr>
        <w:t xml:space="preserve">URL: </w:t>
      </w:r>
      <w:r w:rsidR="003C429F" w:rsidRPr="003C429F">
        <w:rPr>
          <w:rFonts w:ascii="Book Antiqua" w:eastAsia="Book Antiqua" w:hAnsi="Book Antiqua" w:cs="Book Antiqua" w:hint="eastAsia"/>
          <w:color w:val="000000"/>
        </w:rPr>
        <w:t>https://www.wjgnet.com/2307-8960/full/v</w:t>
      </w:r>
      <w:r w:rsidR="003C429F" w:rsidRPr="003C429F">
        <w:rPr>
          <w:rFonts w:ascii="Book Antiqua" w:eastAsia="宋体" w:hAnsi="Book Antiqua" w:cs="Book Antiqua" w:hint="eastAsia"/>
          <w:color w:val="000000"/>
          <w:lang w:eastAsia="zh-CN"/>
        </w:rPr>
        <w:t>10</w:t>
      </w:r>
      <w:r w:rsidR="003C429F" w:rsidRPr="003C429F">
        <w:rPr>
          <w:rFonts w:ascii="Book Antiqua" w:eastAsia="Book Antiqua" w:hAnsi="Book Antiqua" w:cs="Book Antiqua" w:hint="eastAsia"/>
          <w:color w:val="000000"/>
        </w:rPr>
        <w:t>/i</w:t>
      </w:r>
      <w:r w:rsidR="003C429F" w:rsidRPr="003C429F">
        <w:rPr>
          <w:rFonts w:ascii="Book Antiqua" w:eastAsia="宋体" w:hAnsi="Book Antiqua" w:cs="Book Antiqua" w:hint="eastAsia"/>
          <w:color w:val="000000"/>
          <w:lang w:eastAsia="zh-CN"/>
        </w:rPr>
        <w:t>21</w:t>
      </w:r>
      <w:r w:rsidR="003C429F" w:rsidRPr="003C429F">
        <w:rPr>
          <w:rFonts w:ascii="Book Antiqua" w:eastAsia="Book Antiqua" w:hAnsi="Book Antiqua" w:cs="Book Antiqua" w:hint="eastAsia"/>
          <w:color w:val="000000"/>
        </w:rPr>
        <w:t>/</w:t>
      </w:r>
      <w:r w:rsidR="003C429F">
        <w:rPr>
          <w:rFonts w:ascii="Book Antiqua" w:hAnsi="Book Antiqua" w:cs="Book Antiqua" w:hint="eastAsia"/>
          <w:color w:val="000000"/>
          <w:lang w:eastAsia="zh-CN"/>
        </w:rPr>
        <w:t>7209</w:t>
      </w:r>
      <w:r w:rsidR="003C429F" w:rsidRPr="003C429F">
        <w:rPr>
          <w:rFonts w:ascii="Book Antiqua" w:eastAsia="Book Antiqua" w:hAnsi="Book Antiqua" w:cs="Book Antiqua" w:hint="eastAsia"/>
          <w:color w:val="000000"/>
        </w:rPr>
        <w:t>.htm</w:t>
      </w:r>
    </w:p>
    <w:p w:rsidR="00EB0789" w:rsidRPr="003C429F" w:rsidRDefault="003D6943">
      <w:pPr>
        <w:spacing w:line="360" w:lineRule="auto"/>
        <w:jc w:val="both"/>
        <w:rPr>
          <w:lang w:eastAsia="zh-CN"/>
        </w:rPr>
      </w:pPr>
      <w:r w:rsidRPr="003C429F">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w:t>
      </w:r>
      <w:bookmarkEnd w:id="1"/>
      <w:r w:rsidR="003C429F">
        <w:rPr>
          <w:rFonts w:ascii="Book Antiqua" w:hAnsi="Book Antiqua" w:cs="Book Antiqua" w:hint="eastAsia"/>
          <w:color w:val="000000"/>
          <w:lang w:eastAsia="zh-CN"/>
        </w:rPr>
        <w:t>7209</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This article explores the coexistence of small intestinal bacterial overgrowth (SIBO) in patients with </w:t>
      </w:r>
      <w:r>
        <w:rPr>
          <w:rFonts w:ascii="Book Antiqua" w:eastAsia="Book Antiqua" w:hAnsi="Book Antiqua" w:cs="Book Antiqua"/>
          <w:i/>
          <w:color w:val="000000"/>
          <w:szCs w:val="22"/>
          <w:shd w:val="clear" w:color="auto" w:fill="FFFFFF"/>
        </w:rPr>
        <w:t>Helicobacter pylori</w:t>
      </w:r>
      <w:r>
        <w:rPr>
          <w:rFonts w:ascii="Book Antiqua" w:eastAsia="Book Antiqua" w:hAnsi="Book Antiqua" w:cs="Book Antiqua"/>
          <w:color w:val="000000"/>
          <w:szCs w:val="22"/>
          <w:shd w:val="clear" w:color="auto" w:fill="FFFFFF"/>
        </w:rPr>
        <w:t xml:space="preserve"> </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rPr>
        <w:t xml:space="preserve"> </w:t>
      </w:r>
      <w:r>
        <w:rPr>
          <w:rFonts w:ascii="Book Antiqua" w:eastAsia="Book Antiqua" w:hAnsi="Book Antiqua" w:cs="Book Antiqua"/>
          <w:color w:val="000000"/>
          <w:szCs w:val="22"/>
        </w:rPr>
        <w:t xml:space="preserve">infection including epidemiology and pathophysiologic mechanisms. It also reviews diagnosis and treatment of these entities and highlights current knowledge gaps and areas of future research. Currently, there are no guidelines for evaluation and management of co-existent SIBO in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i/>
          <w:color w:val="000000"/>
          <w:szCs w:val="22"/>
        </w:rPr>
        <w:t xml:space="preserve"> </w:t>
      </w:r>
      <w:r>
        <w:rPr>
          <w:rFonts w:ascii="Book Antiqua" w:eastAsia="Book Antiqua" w:hAnsi="Book Antiqua" w:cs="Book Antiqua"/>
          <w:color w:val="000000"/>
          <w:szCs w:val="22"/>
        </w:rPr>
        <w:t>infection.</w:t>
      </w:r>
    </w:p>
    <w:p w:rsidR="003C429F" w:rsidRDefault="003C429F">
      <w:r>
        <w:br w:type="page"/>
      </w:r>
    </w:p>
    <w:p w:rsidR="00EB0789" w:rsidRDefault="003D6943">
      <w:pPr>
        <w:spacing w:line="360" w:lineRule="auto"/>
        <w:jc w:val="both"/>
      </w:pPr>
      <w:r>
        <w:rPr>
          <w:rFonts w:ascii="Book Antiqua" w:eastAsia="Book Antiqua" w:hAnsi="Book Antiqua" w:cs="Book Antiqua"/>
          <w:b/>
          <w:caps/>
          <w:color w:val="000000"/>
          <w:u w:val="single"/>
        </w:rPr>
        <w:lastRenderedPageBreak/>
        <w:t>INTRODUCTION</w:t>
      </w:r>
    </w:p>
    <w:p w:rsidR="00EB0789" w:rsidRDefault="003D6943">
      <w:pPr>
        <w:spacing w:line="360" w:lineRule="auto"/>
        <w:jc w:val="both"/>
        <w:rPr>
          <w:lang w:eastAsia="zh-CN"/>
        </w:rPr>
      </w:pPr>
      <w:r>
        <w:rPr>
          <w:rFonts w:ascii="Book Antiqua" w:eastAsia="Book Antiqua" w:hAnsi="Book Antiqua" w:cs="Book Antiqua"/>
          <w:color w:val="000000"/>
        </w:rPr>
        <w:t xml:space="preserve">The concentration of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increases as we traverse down the gastrointestinal tract, reaching up to 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bacteria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gram of stool in the colon. Compared with the colon, the small intestine normally has lower levels of microbial colonization. Excess bacteria in the small intestine that cause gastrointestinal symptoms are known as </w:t>
      </w:r>
      <w:r>
        <w:rPr>
          <w:rFonts w:ascii="Book Antiqua" w:eastAsia="Book Antiqua" w:hAnsi="Book Antiqua" w:cs="Book Antiqua"/>
          <w:color w:val="000000"/>
          <w:szCs w:val="22"/>
        </w:rPr>
        <w:t>small intestinal bacterial overgrowth (SIBO)</w:t>
      </w:r>
      <w:r>
        <w:rPr>
          <w:rFonts w:ascii="Book Antiqua" w:eastAsia="Book Antiqua" w:hAnsi="Book Antiqua" w:cs="Book Antiqua"/>
          <w:color w:val="000000"/>
        </w:rPr>
        <w:t xml:space="preserve">. It has been postulated that SIBO occurs due to impaired gastric motility and/or acidity allowing for bacterial multiplication and enhanced </w:t>
      </w:r>
      <w:proofErr w:type="gramStart"/>
      <w:r>
        <w:rPr>
          <w:rFonts w:ascii="Book Antiqua" w:eastAsia="Book Antiqua" w:hAnsi="Book Antiqua" w:cs="Book Antiqua"/>
          <w:color w:val="000000"/>
        </w:rPr>
        <w:t>colonization</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rsidR="00EB0789" w:rsidRDefault="003D6943">
      <w:pPr>
        <w:spacing w:line="360" w:lineRule="auto"/>
        <w:ind w:firstLineChars="200" w:firstLine="480"/>
        <w:jc w:val="both"/>
        <w:rPr>
          <w:lang w:eastAsia="zh-CN"/>
        </w:rPr>
      </w:pPr>
      <w:r>
        <w:rPr>
          <w:rFonts w:ascii="Book Antiqua" w:eastAsia="Book Antiqua" w:hAnsi="Book Antiqua" w:cs="Book Antiqua"/>
          <w:color w:val="000000"/>
        </w:rPr>
        <w:t xml:space="preserve">During active </w:t>
      </w:r>
      <w:r>
        <w:rPr>
          <w:rFonts w:ascii="Book Antiqua" w:eastAsia="Book Antiqua" w:hAnsi="Book Antiqua" w:cs="Book Antiqua"/>
          <w:i/>
          <w:color w:val="000000"/>
          <w:szCs w:val="22"/>
          <w:shd w:val="clear" w:color="auto" w:fill="FFFFFF"/>
        </w:rPr>
        <w:t>Helicobacter pylori</w:t>
      </w:r>
      <w:r>
        <w:rPr>
          <w:rFonts w:ascii="Book Antiqua" w:eastAsia="Book Antiqua" w:hAnsi="Book Antiqua" w:cs="Book Antiqua"/>
          <w:color w:val="000000"/>
          <w:szCs w:val="22"/>
          <w:shd w:val="clear" w:color="auto" w:fill="FFFFFF"/>
        </w:rPr>
        <w:t xml:space="preserve"> </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rPr>
        <w:t xml:space="preserve"> infection, gram-negative bacteria hydrolyze urea into ammonia and carbonic acid in the stomach. The ammonia byproduct buffers gastric acid leading to an increase in stomach pH to protect the organism and allow further proliferation. Over time, atrophy of the gastric mucosa </w:t>
      </w:r>
      <w:proofErr w:type="gramStart"/>
      <w:r>
        <w:rPr>
          <w:rFonts w:ascii="Book Antiqua" w:eastAsia="Book Antiqua" w:hAnsi="Book Antiqua" w:cs="Book Antiqua"/>
          <w:color w:val="000000"/>
        </w:rPr>
        <w:t>occurs</w:t>
      </w:r>
      <w:proofErr w:type="gramEnd"/>
      <w:r>
        <w:rPr>
          <w:rFonts w:ascii="Book Antiqua" w:eastAsia="Book Antiqua" w:hAnsi="Book Antiqua" w:cs="Book Antiqua"/>
          <w:color w:val="000000"/>
        </w:rPr>
        <w:t xml:space="preserve"> permitting further multiplication of the bacteria. The preferred treatment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includes a course of proton pump inhibitor (PPI) therapy, which further raises gastric pH</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antibiotic agents, and may also cause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and consequent gastrointestinal symptoms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rsidR="00EB0789" w:rsidRDefault="003D6943">
      <w:pPr>
        <w:spacing w:line="360" w:lineRule="auto"/>
        <w:ind w:firstLineChars="200" w:firstLine="480"/>
        <w:jc w:val="both"/>
      </w:pPr>
      <w:r>
        <w:rPr>
          <w:rFonts w:ascii="Book Antiqua" w:eastAsia="Book Antiqua" w:hAnsi="Book Antiqua" w:cs="Book Antiqua"/>
          <w:color w:val="000000"/>
        </w:rPr>
        <w:t xml:space="preserve">Both mucosal atrophy and gastric pH alterations have been proposed to predispose patients to </w:t>
      </w:r>
      <w:proofErr w:type="gramStart"/>
      <w:r>
        <w:rPr>
          <w:rFonts w:ascii="Book Antiqua" w:eastAsia="Book Antiqua" w:hAnsi="Book Antiqua" w:cs="Book Antiqua"/>
          <w:color w:val="000000"/>
        </w:rPr>
        <w:t>SIBO</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SIBO rates in patients with active or recent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have not been widely studied and no universal guidelines exists regarding testing for the detection of SIBO either concurrently with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or </w:t>
      </w:r>
      <w:proofErr w:type="spellStart"/>
      <w:proofErr w:type="gramStart"/>
      <w:r>
        <w:rPr>
          <w:rFonts w:ascii="Book Antiqua" w:eastAsia="Book Antiqua" w:hAnsi="Book Antiqua" w:cs="Book Antiqua"/>
          <w:color w:val="000000"/>
        </w:rPr>
        <w:t>posttreatment</w:t>
      </w:r>
      <w:proofErr w:type="spellEnd"/>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rPr>
        <w:t xml:space="preserve">. This article highlights available evidence on the relationship between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and SIBO as well as their association with other pathologies.</w:t>
      </w:r>
    </w:p>
    <w:p w:rsidR="00EB0789" w:rsidRDefault="00EB0789">
      <w:pPr>
        <w:spacing w:line="360" w:lineRule="auto"/>
        <w:jc w:val="both"/>
      </w:pPr>
    </w:p>
    <w:p w:rsidR="00EB0789" w:rsidRDefault="003D694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Epidemiology</w:t>
      </w:r>
    </w:p>
    <w:p w:rsidR="00EB0789" w:rsidRDefault="003D6943">
      <w:pPr>
        <w:spacing w:line="360" w:lineRule="auto"/>
        <w:jc w:val="both"/>
        <w:rPr>
          <w:lang w:eastAsia="zh-CN"/>
        </w:rPr>
      </w:pP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affects more than half of the adult population worldwide with a prevalence rate in the United States between 20</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40</w:t>
      </w:r>
      <w:proofErr w:type="gramStart"/>
      <w:r>
        <w:rPr>
          <w:rFonts w:ascii="Book Antiqua" w:eastAsia="Book Antiqua" w:hAnsi="Book Antiqua" w:cs="Book Antiqua"/>
          <w:color w:val="000000"/>
        </w:rPr>
        <w:t>%</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rPr>
        <w:t xml:space="preserve">. Due to testing variability, the prevalence of SIBO in the general population is less well </w:t>
      </w:r>
      <w:proofErr w:type="gramStart"/>
      <w:r>
        <w:rPr>
          <w:rFonts w:ascii="Book Antiqua" w:eastAsia="Book Antiqua" w:hAnsi="Book Antiqua" w:cs="Book Antiqua"/>
          <w:color w:val="000000"/>
        </w:rPr>
        <w:t>understood</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rPr>
        <w:t xml:space="preserve">. Studies have suggested an association of SIBO with altered anatomy, </w:t>
      </w:r>
      <w:proofErr w:type="spellStart"/>
      <w:r>
        <w:rPr>
          <w:rFonts w:ascii="Book Antiqua" w:eastAsia="Book Antiqua" w:hAnsi="Book Antiqua" w:cs="Book Antiqua"/>
          <w:color w:val="000000"/>
        </w:rPr>
        <w:t>hypochlorhydria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immune deficiencies, small intestinal disease and PPI </w:t>
      </w:r>
      <w:proofErr w:type="gramStart"/>
      <w:r>
        <w:rPr>
          <w:rFonts w:ascii="Book Antiqua" w:eastAsia="Book Antiqua" w:hAnsi="Book Antiqua" w:cs="Book Antiqua"/>
          <w:color w:val="000000"/>
        </w:rPr>
        <w:t>use</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9,10]</w:t>
      </w:r>
      <w:r>
        <w:rPr>
          <w:rFonts w:ascii="Book Antiqua" w:eastAsia="Book Antiqua" w:hAnsi="Book Antiqua" w:cs="Book Antiqua"/>
          <w:color w:val="000000"/>
        </w:rPr>
        <w:t xml:space="preserve">. The correlation between </w:t>
      </w:r>
      <w:r>
        <w:rPr>
          <w:rFonts w:ascii="Book Antiqua" w:eastAsia="Book Antiqua" w:hAnsi="Book Antiqua" w:cs="Book Antiqua"/>
          <w:color w:val="000000"/>
        </w:rPr>
        <w:lastRenderedPageBreak/>
        <w:t xml:space="preserve">PPI and SIBO has been well </w:t>
      </w:r>
      <w:proofErr w:type="gramStart"/>
      <w:r>
        <w:rPr>
          <w:rFonts w:ascii="Book Antiqua" w:eastAsia="Book Antiqua" w:hAnsi="Book Antiqua" w:cs="Book Antiqua"/>
          <w:color w:val="000000"/>
        </w:rPr>
        <w:t>established</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11]</w:t>
      </w:r>
      <w:r>
        <w:rPr>
          <w:rFonts w:ascii="Book Antiqua" w:eastAsia="Book Antiqua" w:hAnsi="Book Antiqua" w:cs="Book Antiqua"/>
          <w:color w:val="000000"/>
        </w:rPr>
        <w:t xml:space="preserve">. One meta-analysis of 19 eligible studies from 1994-2016 included 7055 subjects and found a 3-fold increased risk of SIBO in patients who had received PPI </w:t>
      </w:r>
      <w:proofErr w:type="gramStart"/>
      <w:r>
        <w:rPr>
          <w:rFonts w:ascii="Book Antiqua" w:eastAsia="Book Antiqua" w:hAnsi="Book Antiqua" w:cs="Book Antiqua"/>
          <w:color w:val="000000"/>
        </w:rPr>
        <w:t>therapy</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rPr>
        <w:t>.</w:t>
      </w:r>
    </w:p>
    <w:p w:rsidR="00EB0789" w:rsidRDefault="003D6943">
      <w:pPr>
        <w:spacing w:line="360" w:lineRule="auto"/>
        <w:ind w:firstLineChars="200" w:firstLine="480"/>
        <w:jc w:val="both"/>
      </w:pPr>
      <w:r>
        <w:rPr>
          <w:rFonts w:ascii="Book Antiqua" w:eastAsia="Book Antiqua" w:hAnsi="Book Antiqua" w:cs="Book Antiqua"/>
          <w:color w:val="000000"/>
        </w:rPr>
        <w:t xml:space="preserve">PPI therapy is often prescribed for patients complaining of dyspepsia, a common complaint known to affect up to 21% of the world’s </w:t>
      </w:r>
      <w:proofErr w:type="gramStart"/>
      <w:r>
        <w:rPr>
          <w:rFonts w:ascii="Book Antiqua" w:eastAsia="Book Antiqua" w:hAnsi="Book Antiqua" w:cs="Book Antiqua"/>
          <w:color w:val="000000"/>
        </w:rPr>
        <w:t>population</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rPr>
        <w:t xml:space="preserve">.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is also more common in patients with </w:t>
      </w:r>
      <w:proofErr w:type="gramStart"/>
      <w:r>
        <w:rPr>
          <w:rFonts w:ascii="Book Antiqua" w:eastAsia="Book Antiqua" w:hAnsi="Book Antiqua" w:cs="Book Antiqua"/>
          <w:color w:val="000000"/>
        </w:rPr>
        <w:t>dyspepsia</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rPr>
        <w:t xml:space="preserve">. Dyspepsia is often treated with over-the-counter medications, empiric PPI therapy or sometimes antibiotic </w:t>
      </w:r>
      <w:proofErr w:type="gramStart"/>
      <w:r>
        <w:rPr>
          <w:rFonts w:ascii="Book Antiqua" w:eastAsia="Book Antiqua" w:hAnsi="Book Antiqua" w:cs="Book Antiqua"/>
          <w:color w:val="000000"/>
        </w:rPr>
        <w:t>therapy</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szCs w:val="30"/>
          <w:vertAlign w:val="superscript"/>
        </w:rPr>
        <w:t>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Antibiotic therapy is known to disrupt the natural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and predispose patients to </w:t>
      </w:r>
      <w:proofErr w:type="spellStart"/>
      <w:proofErr w:type="gramStart"/>
      <w:r>
        <w:rPr>
          <w:rFonts w:ascii="Book Antiqua" w:eastAsia="Book Antiqua" w:hAnsi="Book Antiqua" w:cs="Book Antiqua"/>
          <w:color w:val="000000"/>
        </w:rPr>
        <w:t>dysbiosis</w:t>
      </w:r>
      <w:proofErr w:type="spellEnd"/>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rPr>
        <w:t xml:space="preserve"> and potentially SIBO.</w:t>
      </w:r>
    </w:p>
    <w:p w:rsidR="00EB0789" w:rsidRDefault="003D6943">
      <w:pPr>
        <w:spacing w:line="360" w:lineRule="auto"/>
        <w:ind w:firstLineChars="200" w:firstLine="480"/>
        <w:jc w:val="both"/>
        <w:rPr>
          <w:lang w:eastAsia="zh-CN"/>
        </w:rPr>
      </w:pPr>
      <w:r>
        <w:rPr>
          <w:rFonts w:ascii="Book Antiqua" w:eastAsia="Book Antiqua" w:hAnsi="Book Antiqua" w:cs="Book Antiqua"/>
          <w:color w:val="000000"/>
        </w:rPr>
        <w:t xml:space="preserve">The association of SIBO with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was explored in a 2017 study that tested 109 patients for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and SIBO. Nineteen of 36 or 52.8%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patients were found to have concurrent SIBO. However, only 16 of 73 or 21.9% of patients without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met the criteria for SIBO. These data suggest that the occurrence of SIBO is 2-fold greater in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patients than in uninfected </w:t>
      </w:r>
      <w:proofErr w:type="gramStart"/>
      <w:r>
        <w:rPr>
          <w:rFonts w:ascii="Book Antiqua" w:eastAsia="Book Antiqua" w:hAnsi="Book Antiqua" w:cs="Book Antiqua"/>
          <w:color w:val="000000"/>
        </w:rPr>
        <w:t>patients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rPr>
        <w:t xml:space="preserve">. These findings are supported by a 2018 study that found 53% or 62 of 116 patients with concurrent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and </w:t>
      </w:r>
      <w:proofErr w:type="gramStart"/>
      <w:r>
        <w:rPr>
          <w:rFonts w:ascii="Book Antiqua" w:eastAsia="Book Antiqua" w:hAnsi="Book Antiqua" w:cs="Book Antiqua"/>
          <w:color w:val="000000"/>
        </w:rPr>
        <w:t>SIBO</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14]</w:t>
      </w:r>
      <w:r>
        <w:rPr>
          <w:rFonts w:ascii="Book Antiqua" w:eastAsia="Book Antiqua" w:hAnsi="Book Antiqua" w:cs="Book Antiqua"/>
          <w:color w:val="000000"/>
        </w:rPr>
        <w:t>.</w:t>
      </w:r>
    </w:p>
    <w:p w:rsidR="00EB0789" w:rsidRDefault="003D6943">
      <w:pPr>
        <w:spacing w:line="360" w:lineRule="auto"/>
        <w:ind w:firstLineChars="200" w:firstLine="480"/>
        <w:jc w:val="both"/>
      </w:pPr>
      <w:r>
        <w:rPr>
          <w:rFonts w:ascii="Book Antiqua" w:eastAsia="Book Antiqua" w:hAnsi="Book Antiqua" w:cs="Book Antiqua"/>
          <w:color w:val="000000"/>
        </w:rPr>
        <w:t xml:space="preserve">Several studies have reported an association between SIBO,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and a variety of pathologies (Figure 1). In comparison trials, both SIBO and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appear more common in </w:t>
      </w:r>
      <w:proofErr w:type="gramStart"/>
      <w:r>
        <w:rPr>
          <w:rFonts w:ascii="Book Antiqua" w:eastAsia="Book Antiqua" w:hAnsi="Book Antiqua" w:cs="Book Antiqua"/>
          <w:color w:val="000000"/>
        </w:rPr>
        <w:t>cirrhosis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Fabry’s</w:t>
      </w:r>
      <w:proofErr w:type="spellEnd"/>
      <w:r>
        <w:rPr>
          <w:rFonts w:ascii="Book Antiqua" w:eastAsia="Book Antiqua" w:hAnsi="Book Antiqua" w:cs="Book Antiqua"/>
          <w:color w:val="000000"/>
        </w:rPr>
        <w:t xml:space="preserve"> disease</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rPr>
        <w:t xml:space="preserve"> and Parkinson's disease</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rPr>
        <w:t xml:space="preserve">. Independent reviews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and SIBO show overlapping higher incidence in patients with diabetes mellitus, metabolic syndrome, hepatic encephalopathy, chronic </w:t>
      </w:r>
      <w:proofErr w:type="spellStart"/>
      <w:r>
        <w:rPr>
          <w:rFonts w:ascii="Book Antiqua" w:eastAsia="Book Antiqua" w:hAnsi="Book Antiqua" w:cs="Book Antiqua"/>
          <w:color w:val="000000"/>
        </w:rPr>
        <w:t>urticaria</w:t>
      </w:r>
      <w:proofErr w:type="spellEnd"/>
      <w:r>
        <w:rPr>
          <w:rFonts w:ascii="Book Antiqua" w:eastAsia="Book Antiqua" w:hAnsi="Book Antiqua" w:cs="Book Antiqua"/>
          <w:color w:val="000000"/>
        </w:rPr>
        <w:t xml:space="preserve">, psoriasis and rosacea when compared to the general </w:t>
      </w:r>
      <w:proofErr w:type="gramStart"/>
      <w:r>
        <w:rPr>
          <w:rFonts w:ascii="Book Antiqua" w:eastAsia="Book Antiqua" w:hAnsi="Book Antiqua" w:cs="Book Antiqua"/>
          <w:color w:val="000000"/>
        </w:rPr>
        <w:t>population</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18-21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patients with cirrhosis and hepatic encephalopathy, the eradication of SIBO appears to improve </w:t>
      </w:r>
      <w:proofErr w:type="spellStart"/>
      <w:r>
        <w:rPr>
          <w:rFonts w:ascii="Book Antiqua" w:eastAsia="Book Antiqua" w:hAnsi="Book Antiqua" w:cs="Book Antiqua"/>
          <w:color w:val="000000"/>
        </w:rPr>
        <w:t>encephalopathic</w:t>
      </w:r>
      <w:proofErr w:type="spellEnd"/>
      <w:r>
        <w:rPr>
          <w:rFonts w:ascii="Book Antiqua" w:eastAsia="Book Antiqua" w:hAnsi="Book Antiqua" w:cs="Book Antiqua"/>
          <w:color w:val="000000"/>
        </w:rPr>
        <w:t xml:space="preserve"> symptoms; however, the treatment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does </w:t>
      </w:r>
      <w:proofErr w:type="gramStart"/>
      <w:r>
        <w:rPr>
          <w:rFonts w:ascii="Book Antiqua" w:eastAsia="Book Antiqua" w:hAnsi="Book Antiqua" w:cs="Book Antiqua"/>
          <w:color w:val="000000"/>
        </w:rPr>
        <w:t>not</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15]</w:t>
      </w:r>
      <w:r>
        <w:rPr>
          <w:rFonts w:ascii="Book Antiqua" w:eastAsia="Book Antiqua" w:hAnsi="Book Antiqua" w:cs="Book Antiqua"/>
          <w:color w:val="000000"/>
        </w:rPr>
        <w:t xml:space="preserve">. Inversely, the treatment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has been documented to improve chronic spontaneous </w:t>
      </w:r>
      <w:proofErr w:type="spellStart"/>
      <w:proofErr w:type="gramStart"/>
      <w:r>
        <w:rPr>
          <w:rFonts w:ascii="Book Antiqua" w:eastAsia="Book Antiqua" w:hAnsi="Book Antiqua" w:cs="Book Antiqua"/>
          <w:color w:val="000000"/>
        </w:rPr>
        <w:t>urticaria</w:t>
      </w:r>
      <w:proofErr w:type="spellEnd"/>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rPr>
        <w:t xml:space="preserve"> and rosacea</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rPr>
        <w:t xml:space="preserve"> but the treatment of SIBO has not.</w:t>
      </w:r>
    </w:p>
    <w:p w:rsidR="00EB0789" w:rsidRDefault="00EB0789">
      <w:pPr>
        <w:spacing w:line="360" w:lineRule="auto"/>
        <w:jc w:val="both"/>
        <w:rPr>
          <w:rFonts w:ascii="Book Antiqua" w:hAnsi="Book Antiqua" w:cs="Book Antiqua"/>
          <w:b/>
          <w:bCs/>
          <w:color w:val="000000"/>
          <w:lang w:eastAsia="zh-CN"/>
        </w:rPr>
      </w:pPr>
    </w:p>
    <w:p w:rsidR="00EB0789" w:rsidRDefault="003D694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Pathogenesis (mechanisms)</w:t>
      </w:r>
    </w:p>
    <w:p w:rsidR="00EB0789" w:rsidRDefault="003D6943">
      <w:pPr>
        <w:spacing w:line="360" w:lineRule="auto"/>
        <w:jc w:val="both"/>
      </w:pPr>
      <w:r>
        <w:rPr>
          <w:rFonts w:ascii="Book Antiqua" w:eastAsia="Book Antiqua" w:hAnsi="Book Antiqua" w:cs="Book Antiqua"/>
          <w:color w:val="000000"/>
        </w:rPr>
        <w:lastRenderedPageBreak/>
        <w:t xml:space="preserve">In the general population, gastric secretions are strongly acidic with a pH range of 1 to 2. </w:t>
      </w:r>
      <w:proofErr w:type="gramStart"/>
      <w:r>
        <w:rPr>
          <w:rFonts w:ascii="Book Antiqua" w:eastAsia="Book Antiqua" w:hAnsi="Book Antiqua" w:cs="Book Antiqua"/>
          <w:color w:val="000000"/>
        </w:rPr>
        <w:t>In non-</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proofErr w:type="gramEnd"/>
      <w:r>
        <w:rPr>
          <w:rFonts w:ascii="Book Antiqua" w:eastAsia="Book Antiqua" w:hAnsi="Book Antiqua" w:cs="Book Antiqua"/>
          <w:i/>
          <w:color w:val="000000"/>
          <w:szCs w:val="22"/>
          <w:shd w:val="clear" w:color="auto" w:fill="FFFFFF"/>
        </w:rPr>
        <w:t xml:space="preserve"> </w:t>
      </w:r>
      <w:proofErr w:type="gramStart"/>
      <w:r>
        <w:rPr>
          <w:rFonts w:ascii="Book Antiqua" w:eastAsia="Book Antiqua" w:hAnsi="Book Antiqua" w:cs="Book Antiqua"/>
          <w:i/>
          <w:color w:val="000000"/>
          <w:szCs w:val="22"/>
          <w:shd w:val="clear" w:color="auto" w:fill="FFFFFF"/>
        </w:rPr>
        <w:t>pylori</w:t>
      </w:r>
      <w:proofErr w:type="gramEnd"/>
      <w:r>
        <w:rPr>
          <w:rFonts w:ascii="Book Antiqua" w:eastAsia="Book Antiqua" w:hAnsi="Book Antiqua" w:cs="Book Antiqua"/>
          <w:color w:val="000000"/>
        </w:rPr>
        <w:t xml:space="preserve"> infection individuals, daily administration of 20 mg omeprazole has been shown to increase gastric pH by 2 to a pH range of 3 to 4. During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individuals receiving this same dose of omeprazole showed increased stomach pH by a total of 4 to a pH range of 5 to 6</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rPr>
        <w:t>. Within the pH range of 5 to 6, enteric bacterial load can increase by as much as 1000-</w:t>
      </w:r>
      <w:proofErr w:type="gramStart"/>
      <w:r>
        <w:rPr>
          <w:rFonts w:ascii="Book Antiqua" w:eastAsia="Book Antiqua" w:hAnsi="Book Antiqua" w:cs="Book Antiqua"/>
          <w:color w:val="000000"/>
        </w:rPr>
        <w:t>fold</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22]</w:t>
      </w:r>
      <w:r>
        <w:rPr>
          <w:rFonts w:ascii="Book Antiqua" w:eastAsia="Book Antiqua" w:hAnsi="Book Antiqua" w:cs="Book Antiqua"/>
          <w:color w:val="000000"/>
        </w:rPr>
        <w:t xml:space="preserve">. These bacteria are predominantly gram-negative anaerobes that produce gas with the fermentation of </w:t>
      </w:r>
      <w:proofErr w:type="gramStart"/>
      <w:r>
        <w:rPr>
          <w:rFonts w:ascii="Book Antiqua" w:eastAsia="Book Antiqua" w:hAnsi="Book Antiqua" w:cs="Book Antiqua"/>
          <w:color w:val="000000"/>
        </w:rPr>
        <w:t>carbohydrates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rPr>
        <w:t xml:space="preserve">. This gas fermentation allows for the detection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by the urea breath test and the detection of SIBO by the hydrogen breath test. With that said, both bacterial load and the gas they produce contribute to the nonspecific constellation of gastrointestinal complaints described in SIBO and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w:t>
      </w:r>
    </w:p>
    <w:p w:rsidR="00EB0789" w:rsidRDefault="003D6943">
      <w:pPr>
        <w:spacing w:line="360" w:lineRule="auto"/>
        <w:ind w:firstLineChars="200" w:firstLine="480"/>
        <w:jc w:val="both"/>
        <w:rPr>
          <w:lang w:eastAsia="zh-CN"/>
        </w:rPr>
      </w:pPr>
      <w:r>
        <w:rPr>
          <w:rFonts w:ascii="Book Antiqua" w:eastAsia="Book Antiqua" w:hAnsi="Book Antiqua" w:cs="Book Antiqua"/>
          <w:color w:val="000000"/>
        </w:rPr>
        <w:t xml:space="preserve">PPIs are one of the most commonly prescribed medications for the treatment of several gastrointestinal symptoms. Numerous studies have shown an association between PPI use and </w:t>
      </w:r>
      <w:proofErr w:type="gramStart"/>
      <w:r>
        <w:rPr>
          <w:rFonts w:ascii="Book Antiqua" w:eastAsia="Book Antiqua" w:hAnsi="Book Antiqua" w:cs="Book Antiqua"/>
          <w:color w:val="000000"/>
        </w:rPr>
        <w:t>SIBO</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1,6,11]</w:t>
      </w:r>
      <w:r>
        <w:rPr>
          <w:rFonts w:ascii="Book Antiqua" w:eastAsia="Book Antiqua" w:hAnsi="Book Antiqua" w:cs="Book Antiqua"/>
          <w:color w:val="000000"/>
        </w:rPr>
        <w:t xml:space="preserve">. However, most studies have not found a correlation between the timing of PPI use and </w:t>
      </w:r>
      <w:proofErr w:type="gramStart"/>
      <w:r>
        <w:rPr>
          <w:rFonts w:ascii="Book Antiqua" w:eastAsia="Book Antiqua" w:hAnsi="Book Antiqua" w:cs="Book Antiqua"/>
          <w:color w:val="000000"/>
        </w:rPr>
        <w:t>SIBO</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rPr>
        <w:t>.</w:t>
      </w:r>
    </w:p>
    <w:p w:rsidR="00EB0789" w:rsidRDefault="003D6943">
      <w:pPr>
        <w:spacing w:line="360" w:lineRule="auto"/>
        <w:ind w:firstLineChars="200" w:firstLine="480"/>
        <w:jc w:val="both"/>
      </w:pPr>
      <w:r>
        <w:rPr>
          <w:rFonts w:ascii="Book Antiqua" w:eastAsia="Book Antiqua" w:hAnsi="Book Antiqua" w:cs="Book Antiqua"/>
          <w:color w:val="000000"/>
        </w:rPr>
        <w:t xml:space="preserve">Antibiotic-induced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has been well </w:t>
      </w:r>
      <w:proofErr w:type="gramStart"/>
      <w:r>
        <w:rPr>
          <w:rFonts w:ascii="Book Antiqua" w:eastAsia="Book Antiqua" w:hAnsi="Book Antiqua" w:cs="Book Antiqua"/>
          <w:color w:val="000000"/>
        </w:rPr>
        <w:t>documented</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rPr>
        <w:t xml:space="preserve">. While the theoretical possibility of SIBO after eradication therapy for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exists, there is a lack of evidence. Interestingly, recurrence of SIBO following antibiotic therapy for the treatment of bacterial overgrowth is well </w:t>
      </w:r>
      <w:proofErr w:type="gramStart"/>
      <w:r>
        <w:rPr>
          <w:rFonts w:ascii="Book Antiqua" w:eastAsia="Book Antiqua" w:hAnsi="Book Antiqua" w:cs="Book Antiqua"/>
          <w:color w:val="000000"/>
        </w:rPr>
        <w:t>recognized</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rPr>
        <w:t xml:space="preserve">. It remains unclear whether this is due to regrowth of the primary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or due to alteration of the gastrointestinal flora, known as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following antibiotic therapy.</w:t>
      </w:r>
    </w:p>
    <w:p w:rsidR="00EB0789" w:rsidRDefault="00EB0789">
      <w:pPr>
        <w:spacing w:line="360" w:lineRule="auto"/>
        <w:jc w:val="both"/>
      </w:pPr>
    </w:p>
    <w:p w:rsidR="00EB0789" w:rsidRDefault="003D694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Clinical presentation</w:t>
      </w:r>
    </w:p>
    <w:p w:rsidR="00EB0789" w:rsidRDefault="003D6943">
      <w:pPr>
        <w:spacing w:line="360" w:lineRule="auto"/>
        <w:jc w:val="both"/>
      </w:pPr>
      <w:r>
        <w:rPr>
          <w:rFonts w:ascii="Book Antiqua" w:eastAsia="Book Antiqua" w:hAnsi="Book Antiqua" w:cs="Book Antiqua"/>
          <w:color w:val="000000"/>
        </w:rPr>
        <w:t xml:space="preserve">The symptoms of SIBO and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are largely due to </w:t>
      </w:r>
      <w:proofErr w:type="spellStart"/>
      <w:r>
        <w:rPr>
          <w:rFonts w:ascii="Book Antiqua" w:eastAsia="Book Antiqua" w:hAnsi="Book Antiqua" w:cs="Book Antiqua"/>
          <w:color w:val="000000"/>
        </w:rPr>
        <w:t>malabsorption</w:t>
      </w:r>
      <w:proofErr w:type="spellEnd"/>
      <w:r>
        <w:rPr>
          <w:rFonts w:ascii="Book Antiqua" w:eastAsia="Book Antiqua" w:hAnsi="Book Antiqua" w:cs="Book Antiqua"/>
          <w:color w:val="000000"/>
        </w:rPr>
        <w:t xml:space="preserve"> of nutrients, inflammation and immune activation as a result of a high bacterial load and its byproducts. Although no single symptom is attributed to all cases of bacterial overgrowth, dyspepsia appears to be the most commonly reported in both </w:t>
      </w:r>
      <w:proofErr w:type="gramStart"/>
      <w:r>
        <w:rPr>
          <w:rFonts w:ascii="Book Antiqua" w:eastAsia="Book Antiqua" w:hAnsi="Book Antiqua" w:cs="Book Antiqua"/>
          <w:color w:val="000000"/>
        </w:rPr>
        <w:t>SIBO</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rPr>
        <w:t xml:space="preserve">. In up to two-thirds of patients with SIBO, symptoms include flatulence, bloating, abdominal cramping and diarrhea. Some studies have also reported </w:t>
      </w:r>
      <w:r>
        <w:rPr>
          <w:rFonts w:ascii="Book Antiqua" w:eastAsia="Book Antiqua" w:hAnsi="Book Antiqua" w:cs="Book Antiqua"/>
          <w:color w:val="000000"/>
        </w:rPr>
        <w:lastRenderedPageBreak/>
        <w:t xml:space="preserve">nausea and </w:t>
      </w:r>
      <w:proofErr w:type="gramStart"/>
      <w:r>
        <w:rPr>
          <w:rFonts w:ascii="Book Antiqua" w:eastAsia="Book Antiqua" w:hAnsi="Book Antiqua" w:cs="Book Antiqua"/>
          <w:color w:val="000000"/>
        </w:rPr>
        <w:t>constipation</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rPr>
        <w:t xml:space="preserve">.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is also frequently reported with flatulence, bloating, abdominal cramping and </w:t>
      </w:r>
      <w:proofErr w:type="gramStart"/>
      <w:r>
        <w:rPr>
          <w:rFonts w:ascii="Book Antiqua" w:eastAsia="Book Antiqua" w:hAnsi="Book Antiqua" w:cs="Book Antiqua"/>
          <w:color w:val="000000"/>
        </w:rPr>
        <w:t>nausea</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rPr>
        <w:t xml:space="preserve">. This significant symptom overlap between reported symptoms of SIBO and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might, in some patients, </w:t>
      </w:r>
      <w:proofErr w:type="gramStart"/>
      <w:r>
        <w:rPr>
          <w:rFonts w:ascii="Book Antiqua" w:eastAsia="Book Antiqua" w:hAnsi="Book Antiqua" w:cs="Book Antiqua"/>
          <w:color w:val="000000"/>
        </w:rPr>
        <w:t>be</w:t>
      </w:r>
      <w:proofErr w:type="gramEnd"/>
      <w:r>
        <w:rPr>
          <w:rFonts w:ascii="Book Antiqua" w:eastAsia="Book Antiqua" w:hAnsi="Book Antiqua" w:cs="Book Antiqua"/>
          <w:color w:val="000000"/>
        </w:rPr>
        <w:t xml:space="preserve"> due to the coexistence of both conditions.</w:t>
      </w:r>
    </w:p>
    <w:p w:rsidR="00EB0789" w:rsidRDefault="00EB0789">
      <w:pPr>
        <w:spacing w:line="360" w:lineRule="auto"/>
        <w:jc w:val="both"/>
      </w:pPr>
    </w:p>
    <w:p w:rsidR="00EB0789" w:rsidRDefault="003D694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Diagnosis</w:t>
      </w:r>
    </w:p>
    <w:p w:rsidR="00EB0789" w:rsidRDefault="003D6943">
      <w:pPr>
        <w:spacing w:line="360" w:lineRule="auto"/>
        <w:jc w:val="both"/>
        <w:rPr>
          <w:lang w:eastAsia="zh-CN"/>
        </w:rPr>
      </w:pPr>
      <w:r>
        <w:rPr>
          <w:rFonts w:ascii="Book Antiqua" w:eastAsia="Book Antiqua" w:hAnsi="Book Antiqua" w:cs="Book Antiqua"/>
          <w:color w:val="000000"/>
        </w:rPr>
        <w:t xml:space="preserve">Testing for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is clinically indicated in patients with dyspepsia, unexplained iron deficiency anemia, current or past history of peptic ulcer disease, chronic </w:t>
      </w:r>
      <w:proofErr w:type="spellStart"/>
      <w:r>
        <w:rPr>
          <w:rFonts w:ascii="Book Antiqua" w:eastAsia="Book Antiqua" w:hAnsi="Book Antiqua" w:cs="Book Antiqua"/>
          <w:color w:val="000000"/>
        </w:rPr>
        <w:t>nonsteroidal</w:t>
      </w:r>
      <w:proofErr w:type="spellEnd"/>
      <w:r>
        <w:rPr>
          <w:rFonts w:ascii="Book Antiqua" w:eastAsia="Book Antiqua" w:hAnsi="Book Antiqua" w:cs="Book Antiqua"/>
          <w:color w:val="000000"/>
        </w:rPr>
        <w:t xml:space="preserve"> anti-inflammatory use, gastric cancer or gastric mucosa-associated lymphoid tissue lymphoma or idiopathic thrombocytopenic </w:t>
      </w:r>
      <w:proofErr w:type="spellStart"/>
      <w:r>
        <w:rPr>
          <w:rFonts w:ascii="Book Antiqua" w:eastAsia="Book Antiqua" w:hAnsi="Book Antiqua" w:cs="Book Antiqua"/>
          <w:color w:val="000000"/>
        </w:rPr>
        <w:t>purpura</w:t>
      </w:r>
      <w:proofErr w:type="spellEnd"/>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3,12,</w:t>
      </w:r>
      <w:r>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Confirmation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can be performed directly on biopsy specimens collected during endoscopy, by stool antigen test or by urea breath test. PPI therapy can impair the accuracy of these tests and should be discontinued prior to </w:t>
      </w:r>
      <w:proofErr w:type="gramStart"/>
      <w:r>
        <w:rPr>
          <w:rFonts w:ascii="Book Antiqua" w:eastAsia="Book Antiqua" w:hAnsi="Book Antiqua" w:cs="Book Antiqua"/>
          <w:color w:val="000000"/>
        </w:rPr>
        <w:t>testing</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rPr>
        <w:t xml:space="preserve">. Stool antigen testing, however, maintains a high level of sensitivity </w:t>
      </w:r>
      <w:r>
        <w:rPr>
          <w:rFonts w:ascii="Book Antiqua" w:eastAsia="Book Antiqua" w:hAnsi="Book Antiqua" w:cs="Book Antiqua"/>
          <w:color w:val="000000"/>
          <w:shd w:val="clear" w:color="auto" w:fill="FFFFFF"/>
        </w:rPr>
        <w:t xml:space="preserve">94% (95%CI: 93-95) and specificity 97% (95%CI: 96-98) regardless of PPI </w:t>
      </w:r>
      <w:proofErr w:type="gramStart"/>
      <w:r>
        <w:rPr>
          <w:rFonts w:ascii="Book Antiqua" w:eastAsia="Book Antiqua" w:hAnsi="Book Antiqua" w:cs="Book Antiqua"/>
          <w:color w:val="000000"/>
          <w:shd w:val="clear" w:color="auto" w:fill="FFFFFF"/>
        </w:rPr>
        <w:t>use</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Following treatment, clearance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should be documented after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by the urea breath test or stool antigen </w:t>
      </w:r>
      <w:proofErr w:type="gramStart"/>
      <w:r>
        <w:rPr>
          <w:rFonts w:ascii="Book Antiqua" w:eastAsia="Book Antiqua" w:hAnsi="Book Antiqua" w:cs="Book Antiqua"/>
          <w:color w:val="000000"/>
        </w:rPr>
        <w:t>testing</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25,26]</w:t>
      </w:r>
      <w:r>
        <w:rPr>
          <w:rFonts w:ascii="Book Antiqua" w:eastAsia="Book Antiqua" w:hAnsi="Book Antiqua" w:cs="Book Antiqua"/>
          <w:color w:val="000000"/>
        </w:rPr>
        <w:t>.</w:t>
      </w:r>
    </w:p>
    <w:p w:rsidR="00EB0789" w:rsidRDefault="003D6943">
      <w:pPr>
        <w:spacing w:line="360" w:lineRule="auto"/>
        <w:ind w:firstLineChars="200" w:firstLine="480"/>
        <w:jc w:val="both"/>
        <w:rPr>
          <w:lang w:eastAsia="zh-CN"/>
        </w:rPr>
      </w:pPr>
      <w:r>
        <w:rPr>
          <w:rFonts w:ascii="Book Antiqua" w:eastAsia="Book Antiqua" w:hAnsi="Book Antiqua" w:cs="Book Antiqua"/>
          <w:color w:val="000000"/>
        </w:rPr>
        <w:t xml:space="preserve">Due in large part to a lack of international testing standards for the diagnosis of SIBO, there is a large amount of uncertainty regarding the prevalence of this condition. In 2020, the American College of Gastroenterology (ACG) first published SIBO-related clinical guidelines on diagnosis and treatment. However, evidence behind both testing and treatment for SIBO is currently low and recommendations remain </w:t>
      </w:r>
      <w:proofErr w:type="gramStart"/>
      <w:r>
        <w:rPr>
          <w:rFonts w:ascii="Book Antiqua" w:eastAsia="Book Antiqua" w:hAnsi="Book Antiqua" w:cs="Book Antiqua"/>
          <w:color w:val="000000"/>
        </w:rPr>
        <w:t>conditional</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w:t>
      </w:r>
      <w:r>
        <w:rPr>
          <w:rFonts w:ascii="Book Antiqua" w:hAnsi="Book Antiqua" w:cs="Book Antiqua" w:hint="eastAsia"/>
          <w:color w:val="000000"/>
          <w:lang w:eastAsia="zh-CN"/>
        </w:rPr>
        <w:t>.</w:t>
      </w:r>
    </w:p>
    <w:p w:rsidR="00EB0789" w:rsidRDefault="003D6943">
      <w:pPr>
        <w:spacing w:line="360" w:lineRule="auto"/>
        <w:ind w:firstLineChars="200" w:firstLine="480"/>
        <w:jc w:val="both"/>
        <w:rPr>
          <w:lang w:eastAsia="zh-CN"/>
        </w:rPr>
      </w:pPr>
      <w:r>
        <w:rPr>
          <w:rFonts w:ascii="Book Antiqua" w:eastAsia="Book Antiqua" w:hAnsi="Book Antiqua" w:cs="Book Antiqua"/>
          <w:color w:val="000000"/>
        </w:rPr>
        <w:t>The diagnosis of SIBO can be made by direct small bowel aspirate or a less invasive hydrogen breath test. The ACG cites a collation study of literature from the North American Consensus for the diagnostic threshold of SIBO on direct small bowel aspirate as a bacterial count of &gt;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colony forming units </w:t>
      </w:r>
      <w:r>
        <w:rPr>
          <w:rFonts w:ascii="Book Antiqua" w:eastAsia="Book Antiqua" w:hAnsi="Book Antiqua" w:cs="Book Antiqua"/>
          <w:i/>
          <w:color w:val="000000"/>
        </w:rPr>
        <w:t>per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milliliter</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27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Alternatively, the less invasive hydrogen breath test is performed by ingestion of a fixed quantity of carbohydrate, such as 75 g glucose or 10 g lactulose, and measuring exhaled hydrogen. The recommended diagnostic threshold for SIBO is a rise of at least 20 parts </w:t>
      </w:r>
      <w:r>
        <w:rPr>
          <w:rFonts w:ascii="Book Antiqua" w:eastAsia="Book Antiqua" w:hAnsi="Book Antiqua" w:cs="Book Antiqua"/>
          <w:i/>
          <w:color w:val="000000"/>
        </w:rPr>
        <w:t>per</w:t>
      </w:r>
      <w:r>
        <w:rPr>
          <w:rFonts w:ascii="Book Antiqua" w:eastAsia="Book Antiqua" w:hAnsi="Book Antiqua" w:cs="Book Antiqua"/>
          <w:color w:val="000000"/>
        </w:rPr>
        <w:t xml:space="preserve"> million </w:t>
      </w:r>
      <w:r>
        <w:rPr>
          <w:rFonts w:ascii="Book Antiqua" w:eastAsia="Book Antiqua" w:hAnsi="Book Antiqua" w:cs="Book Antiqua"/>
          <w:color w:val="000000"/>
        </w:rPr>
        <w:lastRenderedPageBreak/>
        <w:t xml:space="preserve">(ppm) in exhaled hydrogen above baseline within 90 min of ingestion of either glucose or </w:t>
      </w:r>
      <w:proofErr w:type="gramStart"/>
      <w:r>
        <w:rPr>
          <w:rFonts w:ascii="Book Antiqua" w:eastAsia="Book Antiqua" w:hAnsi="Book Antiqua" w:cs="Book Antiqua"/>
          <w:color w:val="000000"/>
        </w:rPr>
        <w:t>lactulose</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rPr>
        <w:t>. Based on a systematic review, the sensitivity of hydrogen breath testing using lactulose substrate ranges from 31% to 68% and specificity 44% to 100% compared to glucose substrate with a sensitivity range from 20% to 93% and specificity of 30% to 86%</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rPr>
        <w:t>.</w:t>
      </w:r>
    </w:p>
    <w:p w:rsidR="00EB0789" w:rsidRDefault="00EB0789">
      <w:pPr>
        <w:spacing w:line="360" w:lineRule="auto"/>
        <w:jc w:val="both"/>
      </w:pPr>
    </w:p>
    <w:p w:rsidR="00EB0789" w:rsidRDefault="003D6943">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Treatment</w:t>
      </w:r>
    </w:p>
    <w:p w:rsidR="00EB0789" w:rsidRDefault="003D6943">
      <w:pPr>
        <w:spacing w:line="360" w:lineRule="auto"/>
        <w:jc w:val="both"/>
      </w:pPr>
      <w:r>
        <w:rPr>
          <w:rFonts w:ascii="Book Antiqua" w:eastAsia="Book Antiqua" w:hAnsi="Book Antiqua" w:cs="Book Antiqua"/>
          <w:color w:val="000000"/>
        </w:rPr>
        <w:t xml:space="preserve">Given the potential for </w:t>
      </w:r>
      <w:proofErr w:type="spellStart"/>
      <w:r>
        <w:rPr>
          <w:rFonts w:ascii="Book Antiqua" w:eastAsia="Book Antiqua" w:hAnsi="Book Antiqua" w:cs="Book Antiqua"/>
          <w:color w:val="000000"/>
        </w:rPr>
        <w:t>coinfection</w:t>
      </w:r>
      <w:proofErr w:type="spellEnd"/>
      <w:r>
        <w:rPr>
          <w:rFonts w:ascii="Book Antiqua" w:eastAsia="Book Antiqua" w:hAnsi="Book Antiqua" w:cs="Book Antiqua"/>
          <w:color w:val="000000"/>
        </w:rPr>
        <w:t xml:space="preserve"> with both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and SIBO, further research is needed to determine if co-treatment of both pathologies is preferred over first eliminating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before treating SIBO. For the treatment of SIBO, the most widely studied agent remains oral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In 2017, a meta-analysis of 32 trials using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in the treatment of SIBO found the overall success of therapy to be 70.8</w:t>
      </w:r>
      <w:proofErr w:type="gramStart"/>
      <w:r>
        <w:rPr>
          <w:rFonts w:ascii="Book Antiqua" w:eastAsia="Book Antiqua" w:hAnsi="Book Antiqua" w:cs="Book Antiqua"/>
          <w:color w:val="000000"/>
        </w:rPr>
        <w:t>%</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Alternately, studies have proposed the use of amoxicillin-</w:t>
      </w:r>
      <w:proofErr w:type="spellStart"/>
      <w:r>
        <w:rPr>
          <w:rFonts w:ascii="Book Antiqua" w:eastAsia="Book Antiqua" w:hAnsi="Book Antiqua" w:cs="Book Antiqua"/>
          <w:color w:val="000000"/>
        </w:rPr>
        <w:t>clavulanate</w:t>
      </w:r>
      <w:proofErr w:type="spellEnd"/>
      <w:r>
        <w:rPr>
          <w:rFonts w:ascii="Book Antiqua" w:eastAsia="Book Antiqua" w:hAnsi="Book Antiqua" w:cs="Book Antiqua"/>
          <w:color w:val="000000"/>
        </w:rPr>
        <w:t>, ciprofloxacin, doxycycline, tetracycline, metronidazole, neomycin or trimethoprim-</w:t>
      </w:r>
      <w:proofErr w:type="spellStart"/>
      <w:proofErr w:type="gramStart"/>
      <w:r>
        <w:rPr>
          <w:rFonts w:ascii="Book Antiqua" w:eastAsia="Book Antiqua" w:hAnsi="Book Antiqua" w:cs="Book Antiqua"/>
          <w:color w:val="000000"/>
        </w:rPr>
        <w:t>sulfamethoxazole</w:t>
      </w:r>
      <w:proofErr w:type="spellEnd"/>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These alternative antibiotics share some overlap with currently accepted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treatment regimens and might serve as a solution to treating </w:t>
      </w:r>
      <w:proofErr w:type="spellStart"/>
      <w:r>
        <w:rPr>
          <w:rFonts w:ascii="Book Antiqua" w:eastAsia="Book Antiqua" w:hAnsi="Book Antiqua" w:cs="Book Antiqua"/>
          <w:color w:val="000000"/>
        </w:rPr>
        <w:t>coinfection</w:t>
      </w:r>
      <w:proofErr w:type="spellEnd"/>
      <w:r>
        <w:rPr>
          <w:rFonts w:ascii="Book Antiqua" w:eastAsia="Book Antiqua" w:hAnsi="Book Antiqua" w:cs="Book Antiqua"/>
          <w:color w:val="000000"/>
        </w:rPr>
        <w:t>.</w:t>
      </w:r>
    </w:p>
    <w:p w:rsidR="00EB0789" w:rsidRDefault="003D6943">
      <w:pPr>
        <w:spacing w:line="360" w:lineRule="auto"/>
        <w:ind w:firstLineChars="200" w:firstLine="480"/>
        <w:jc w:val="both"/>
        <w:rPr>
          <w:lang w:eastAsia="zh-CN"/>
        </w:rPr>
      </w:pPr>
      <w:r>
        <w:rPr>
          <w:rFonts w:ascii="Book Antiqua" w:eastAsia="Book Antiqua" w:hAnsi="Book Antiqua" w:cs="Book Antiqua"/>
          <w:color w:val="000000"/>
        </w:rPr>
        <w:t xml:space="preserve">Multiple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treatment regimens are acceptable for initial infection. Considerations such as penicillin allergy, previous macrolide exposure or high local resistance may impact treatment </w:t>
      </w:r>
      <w:proofErr w:type="gramStart"/>
      <w:r>
        <w:rPr>
          <w:rFonts w:ascii="Book Antiqua" w:eastAsia="Book Antiqua" w:hAnsi="Book Antiqua" w:cs="Book Antiqua"/>
          <w:color w:val="000000"/>
        </w:rPr>
        <w:t>choices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rPr>
        <w:t xml:space="preserve">. In areas where clarithromycin resistance is low, the ACG 2017 preferred treatment regimen is triple therapy with PPI, clarithromycin and amoxicillin or metronidazole. Where clarithromycin resistance is high, an alternative first-line regimen is a 10-14 d course of bismuth quadruple therapy consisting of bismuth, tetracycline, PPI and </w:t>
      </w:r>
      <w:proofErr w:type="gramStart"/>
      <w:r>
        <w:rPr>
          <w:rFonts w:ascii="Book Antiqua" w:eastAsia="Book Antiqua" w:hAnsi="Book Antiqua" w:cs="Book Antiqua"/>
          <w:color w:val="000000"/>
        </w:rPr>
        <w:t>metronidazole</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rPr>
        <w:t xml:space="preserve">. A recent meta-analysis from 2021, however, suggests that regardless of local clarithromycin resistance, levofloxacin triple therapy with PPI, amoxicillin and levofloxacin has the highest overall composite eradication rate of 88.5% in Western </w:t>
      </w:r>
      <w:proofErr w:type="gramStart"/>
      <w:r>
        <w:rPr>
          <w:rFonts w:ascii="Book Antiqua" w:eastAsia="Book Antiqua" w:hAnsi="Book Antiqua" w:cs="Book Antiqua"/>
          <w:color w:val="000000"/>
        </w:rPr>
        <w:t>countries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rPr>
        <w:t xml:space="preserve">. When primary treatment fails, salvage therapy should be tailored to not include previously attempted </w:t>
      </w:r>
      <w:proofErr w:type="gramStart"/>
      <w:r>
        <w:rPr>
          <w:rFonts w:ascii="Book Antiqua" w:eastAsia="Book Antiqua" w:hAnsi="Book Antiqua" w:cs="Book Antiqua"/>
          <w:color w:val="000000"/>
        </w:rPr>
        <w:lastRenderedPageBreak/>
        <w:t>antibiotics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rPr>
        <w:t xml:space="preserve">. Based on current guidelines, bismuth quadruple therapy or levofloxacin-containing regimens are preferred salvage therapy </w:t>
      </w:r>
      <w:proofErr w:type="gramStart"/>
      <w:r>
        <w:rPr>
          <w:rFonts w:ascii="Book Antiqua" w:eastAsia="Book Antiqua" w:hAnsi="Book Antiqua" w:cs="Book Antiqua"/>
          <w:color w:val="000000"/>
        </w:rPr>
        <w:t>options</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rPr>
        <w:t>.</w:t>
      </w:r>
    </w:p>
    <w:p w:rsidR="00EB0789" w:rsidRDefault="003D6943">
      <w:pPr>
        <w:spacing w:line="360" w:lineRule="auto"/>
        <w:ind w:firstLineChars="200" w:firstLine="480"/>
        <w:jc w:val="both"/>
      </w:pPr>
      <w:r>
        <w:rPr>
          <w:rFonts w:ascii="Book Antiqua" w:eastAsia="Book Antiqua" w:hAnsi="Book Antiqua" w:cs="Book Antiqua"/>
          <w:color w:val="000000"/>
        </w:rPr>
        <w:t xml:space="preserve">However,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is frequently resistant to metronidazole, with highly variable local resistance rates between 10</w:t>
      </w:r>
      <w:r>
        <w:rPr>
          <w:rFonts w:ascii="Book Antiqua" w:hAnsi="Book Antiqua" w:cs="Book Antiqua" w:hint="eastAsia"/>
          <w:color w:val="000000"/>
          <w:lang w:eastAsia="zh-CN"/>
        </w:rPr>
        <w:t>%</w:t>
      </w:r>
      <w:r>
        <w:rPr>
          <w:rFonts w:ascii="Book Antiqua" w:eastAsia="Book Antiqua" w:hAnsi="Book Antiqua" w:cs="Book Antiqua"/>
          <w:color w:val="000000"/>
        </w:rPr>
        <w:t>-90</w:t>
      </w:r>
      <w:proofErr w:type="gramStart"/>
      <w:r>
        <w:rPr>
          <w:rFonts w:ascii="Book Antiqua" w:eastAsia="Book Antiqua" w:hAnsi="Book Antiqua" w:cs="Book Antiqua"/>
          <w:color w:val="000000"/>
        </w:rPr>
        <w:t>%</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29,30]</w:t>
      </w:r>
      <w:r>
        <w:rPr>
          <w:rFonts w:ascii="Book Antiqua" w:eastAsia="Book Antiqua" w:hAnsi="Book Antiqua" w:cs="Book Antiqua"/>
          <w:color w:val="000000"/>
        </w:rPr>
        <w:t xml:space="preserve">. One study comparing treatment eradication in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and SIBO </w:t>
      </w:r>
      <w:proofErr w:type="spellStart"/>
      <w:r>
        <w:rPr>
          <w:rFonts w:ascii="Book Antiqua" w:eastAsia="Book Antiqua" w:hAnsi="Book Antiqua" w:cs="Book Antiqua"/>
          <w:color w:val="000000"/>
        </w:rPr>
        <w:t>coinfection</w:t>
      </w:r>
      <w:proofErr w:type="spellEnd"/>
      <w:r>
        <w:rPr>
          <w:rFonts w:ascii="Book Antiqua" w:eastAsia="Book Antiqua" w:hAnsi="Book Antiqua" w:cs="Book Antiqua"/>
          <w:color w:val="000000"/>
        </w:rPr>
        <w:t xml:space="preserve"> suggests nearly equivalent eradication rates when substituting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(59.4% eradication) for metronidazole (63% eradication) when using triple therapy</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14]</w:t>
      </w:r>
      <w:r>
        <w:rPr>
          <w:rFonts w:ascii="Book Antiqua" w:eastAsia="Book Antiqua" w:hAnsi="Book Antiqua" w:cs="Book Antiqua"/>
          <w:color w:val="000000"/>
        </w:rPr>
        <w:t xml:space="preserve">. Although these findings suggest that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-containing regimens are acceptable, further studies are required to determine the best treatment option.</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caps/>
          <w:color w:val="000000"/>
          <w:u w:val="single"/>
        </w:rPr>
        <w:t>CONCLUSION</w:t>
      </w:r>
    </w:p>
    <w:p w:rsidR="00EB0789" w:rsidRDefault="003D6943">
      <w:pPr>
        <w:spacing w:line="360" w:lineRule="auto"/>
        <w:jc w:val="both"/>
      </w:pPr>
      <w:r>
        <w:rPr>
          <w:rFonts w:ascii="Book Antiqua" w:eastAsia="Book Antiqua" w:hAnsi="Book Antiqua" w:cs="Book Antiqua"/>
          <w:color w:val="000000"/>
        </w:rPr>
        <w:t xml:space="preserve">Based on the current literature review, SIBO appears to have an increased prevalence in patients with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compared to the general </w:t>
      </w:r>
      <w:proofErr w:type="gramStart"/>
      <w:r>
        <w:rPr>
          <w:rFonts w:ascii="Book Antiqua" w:eastAsia="Book Antiqua" w:hAnsi="Book Antiqua" w:cs="Book Antiqua"/>
          <w:color w:val="000000"/>
        </w:rPr>
        <w:t>population</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7,14]</w:t>
      </w:r>
      <w:r>
        <w:rPr>
          <w:rFonts w:ascii="Book Antiqua" w:eastAsia="Book Antiqua" w:hAnsi="Book Antiqua" w:cs="Book Antiqua"/>
          <w:color w:val="000000"/>
        </w:rPr>
        <w:t>. While the “test and treat” strategy</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rPr>
        <w:t xml:space="preserve"> for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in patients with dyspepsia has been validated, no clear recommendations currently exist for testing/treating SIBO in patients with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Several extra gastrointestinal conditions appear to be associated with both </w:t>
      </w:r>
      <w:proofErr w:type="gramStart"/>
      <w:r>
        <w:rPr>
          <w:rFonts w:ascii="Book Antiqua" w:eastAsia="Book Antiqua" w:hAnsi="Book Antiqua" w:cs="Book Antiqua"/>
          <w:color w:val="000000"/>
        </w:rPr>
        <w:t>SIBO</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szCs w:val="30"/>
          <w:vertAlign w:val="superscript"/>
          <w:lang w:eastAsia="zh-CN"/>
        </w:rPr>
        <w:t>15-18]</w:t>
      </w:r>
      <w:r>
        <w:rPr>
          <w:rFonts w:ascii="Book Antiqua" w:eastAsia="Book Antiqua" w:hAnsi="Book Antiqua" w:cs="Book Antiqua"/>
          <w:color w:val="000000"/>
        </w:rPr>
        <w:t xml:space="preserve"> and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w:t>
      </w:r>
      <w:r>
        <w:rPr>
          <w:rFonts w:ascii="Book Antiqua" w:hAnsi="Book Antiqua" w:cs="Book Antiqua" w:hint="eastAsia"/>
          <w:color w:val="000000"/>
          <w:vertAlign w:val="superscript"/>
          <w:lang w:eastAsia="zh-CN"/>
        </w:rPr>
        <w:t>[</w:t>
      </w:r>
      <w:r>
        <w:rPr>
          <w:rFonts w:ascii="Book Antiqua" w:hAnsi="Book Antiqua" w:cs="Book Antiqua" w:hint="eastAsia"/>
          <w:color w:val="000000"/>
          <w:szCs w:val="30"/>
          <w:vertAlign w:val="superscript"/>
          <w:lang w:eastAsia="zh-CN"/>
        </w:rPr>
        <w:t>19-21]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due to the attempted treatment for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may be related to the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-mediated pro-inflammatory state. It is therefore important to recognize the signs and symptoms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and treat the infection as well as the associated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bearing in mind that persistence of gastrointestinal symptoms despite eradication of </w:t>
      </w:r>
      <w:r>
        <w:rPr>
          <w:rFonts w:ascii="Book Antiqua" w:eastAsia="Book Antiqua" w:hAnsi="Book Antiqua" w:cs="Book Antiqua"/>
          <w:i/>
          <w:color w:val="000000"/>
          <w:szCs w:val="22"/>
          <w:shd w:val="clear" w:color="auto" w:fill="FFFFFF"/>
        </w:rPr>
        <w:t>H</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i/>
          <w:color w:val="000000"/>
          <w:szCs w:val="22"/>
          <w:shd w:val="clear" w:color="auto" w:fill="FFFFFF"/>
        </w:rPr>
        <w:t xml:space="preserve"> pylori</w:t>
      </w:r>
      <w:r>
        <w:rPr>
          <w:rFonts w:ascii="Book Antiqua" w:eastAsia="Book Antiqua" w:hAnsi="Book Antiqua" w:cs="Book Antiqua"/>
          <w:color w:val="000000"/>
        </w:rPr>
        <w:t xml:space="preserve"> infection could suggest coexisting SIBO.</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color w:val="000000"/>
        </w:rPr>
        <w:t>REFERENCES</w:t>
      </w:r>
    </w:p>
    <w:p w:rsidR="00EB0789" w:rsidRDefault="003D6943">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Husebye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pathogenesis of gastrointestinal bacterial overgrowth.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Chemotherapy</w:t>
      </w:r>
      <w:r>
        <w:rPr>
          <w:rFonts w:ascii="Book Antiqua" w:eastAsia="Book Antiqua" w:hAnsi="Book Antiqua" w:cs="Book Antiqua"/>
          <w:color w:val="000000"/>
        </w:rPr>
        <w:t xml:space="preserve"> 2005; </w:t>
      </w:r>
      <w:r>
        <w:rPr>
          <w:rFonts w:ascii="Book Antiqua" w:eastAsia="Book Antiqua" w:hAnsi="Book Antiqua" w:cs="Book Antiqua"/>
          <w:b/>
          <w:bCs/>
          <w:color w:val="000000"/>
        </w:rPr>
        <w:t xml:space="preserve">51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1-22 [PMID: 15855746 DOI: 10.1159/000081988]</w:t>
      </w:r>
    </w:p>
    <w:p w:rsidR="00EB0789" w:rsidRDefault="003D694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Pimentel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RJ, Long MD,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SSC. ACG Clinical Guideline: Small Intestinal Bacterial Overgrowth.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165-178 [PMID: 32023228 DOI: 10.14309/ajg.0000000000000501]</w:t>
      </w:r>
    </w:p>
    <w:p w:rsidR="00EB0789" w:rsidRDefault="003D6943">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Chey</w:t>
      </w:r>
      <w:proofErr w:type="spellEnd"/>
      <w:r>
        <w:rPr>
          <w:rFonts w:ascii="Book Antiqua" w:eastAsia="Book Antiqua" w:hAnsi="Book Antiqua" w:cs="Book Antiqua"/>
          <w:b/>
          <w:bCs/>
          <w:color w:val="000000"/>
        </w:rPr>
        <w:t xml:space="preserve"> WD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Leontiadis</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Howden</w:t>
      </w:r>
      <w:proofErr w:type="spellEnd"/>
      <w:r>
        <w:rPr>
          <w:rFonts w:ascii="Book Antiqua" w:eastAsia="Book Antiqua" w:hAnsi="Book Antiqua" w:cs="Book Antiqua"/>
          <w:color w:val="000000"/>
        </w:rPr>
        <w:t xml:space="preserve"> CW, Moss SF. ACG Clinical Guideline: Treatment of Helicobacter pylori Infection.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212-239 [PMID: 28071659 DOI: 10.1038/ajg.2016.563]</w:t>
      </w:r>
    </w:p>
    <w:p w:rsidR="00EB0789" w:rsidRDefault="003D694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McDonnell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Gilkes</w:t>
      </w:r>
      <w:proofErr w:type="spellEnd"/>
      <w:r>
        <w:rPr>
          <w:rFonts w:ascii="Book Antiqua" w:eastAsia="Book Antiqua" w:hAnsi="Book Antiqua" w:cs="Book Antiqua"/>
          <w:color w:val="000000"/>
        </w:rPr>
        <w:t xml:space="preserve"> A, Ashworth M, Rowland V, Harries TH, Armstrong D, White P. Association between antibiotics and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children: systematic review and meta-analysis.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1-18 [PMID: 33651651 DOI: 10.1080/19490976.2020.1870402]</w:t>
      </w:r>
    </w:p>
    <w:p w:rsidR="00EB0789" w:rsidRDefault="003D694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Angelucci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Cechova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Amlerova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Hort</w:t>
      </w:r>
      <w:proofErr w:type="spellEnd"/>
      <w:r>
        <w:rPr>
          <w:rFonts w:ascii="Book Antiqua" w:eastAsia="Book Antiqua" w:hAnsi="Book Antiqua" w:cs="Book Antiqua"/>
          <w:color w:val="000000"/>
        </w:rPr>
        <w:t xml:space="preserve"> J. Antibiotics,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Alzheimer's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Neuroinflammation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108 [PMID: 31118068 DOI: 10.1186/s12974-019-1494-4]</w:t>
      </w:r>
    </w:p>
    <w:p w:rsidR="00EB0789" w:rsidRDefault="003D694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Su T</w:t>
      </w:r>
      <w:r>
        <w:rPr>
          <w:rFonts w:ascii="Book Antiqua" w:eastAsia="Book Antiqua" w:hAnsi="Book Antiqua" w:cs="Book Antiqua"/>
          <w:color w:val="000000"/>
        </w:rPr>
        <w:t xml:space="preserve">, Lai S, Lee A, He X, Chen S. Meta-analysis: proton pump inhibitors moderately increase the risk of small intestinal bacterial overgrowth.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27-36 [PMID: 28770351 DOI: 10.1007/s00535-017-1371-9]</w:t>
      </w:r>
    </w:p>
    <w:p w:rsidR="00EB0789" w:rsidRDefault="003D694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Enko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Kriegshäuser</w:t>
      </w:r>
      <w:proofErr w:type="spellEnd"/>
      <w:r>
        <w:rPr>
          <w:rFonts w:ascii="Book Antiqua" w:eastAsia="Book Antiqua" w:hAnsi="Book Antiqua" w:cs="Book Antiqua"/>
          <w:color w:val="000000"/>
        </w:rPr>
        <w:t xml:space="preserve"> G. Functional </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C-urea and glucose hydrogen/methane breath tests reveal significant association of small intestinal bacterial overgrowth in individuals with active Helicobacter pylori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46-49 [PMID: 27586816 DOI: 10.1016/j.clinbiochem.2016.08.017]</w:t>
      </w:r>
    </w:p>
    <w:p w:rsidR="00EB0789" w:rsidRDefault="003D694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Peleteiro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Bastos</w:t>
      </w:r>
      <w:proofErr w:type="spellEnd"/>
      <w:r>
        <w:rPr>
          <w:rFonts w:ascii="Book Antiqua" w:eastAsia="Book Antiqua" w:hAnsi="Book Antiqua" w:cs="Book Antiqua"/>
          <w:color w:val="000000"/>
        </w:rPr>
        <w:t xml:space="preserve"> A, Ferro A, </w:t>
      </w:r>
      <w:proofErr w:type="spellStart"/>
      <w:r>
        <w:rPr>
          <w:rFonts w:ascii="Book Antiqua" w:eastAsia="Book Antiqua" w:hAnsi="Book Antiqua" w:cs="Book Antiqua"/>
          <w:color w:val="000000"/>
        </w:rPr>
        <w:t>Lunet</w:t>
      </w:r>
      <w:proofErr w:type="spellEnd"/>
      <w:r>
        <w:rPr>
          <w:rFonts w:ascii="Book Antiqua" w:eastAsia="Book Antiqua" w:hAnsi="Book Antiqua" w:cs="Book Antiqua"/>
          <w:color w:val="000000"/>
        </w:rPr>
        <w:t xml:space="preserve"> N. Prevalence of Helicobacter pylori infection worldwide: a systematic review of studies with national coverage.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1698-1709 [PMID: 24563236 DOI: 10.1007/s10620-014-3063-0]</w:t>
      </w:r>
    </w:p>
    <w:p w:rsidR="00EB0789" w:rsidRDefault="003D694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Grace E</w:t>
      </w:r>
      <w:r>
        <w:rPr>
          <w:rFonts w:ascii="Book Antiqua" w:eastAsia="Book Antiqua" w:hAnsi="Book Antiqua" w:cs="Book Antiqua"/>
          <w:color w:val="000000"/>
        </w:rPr>
        <w:t xml:space="preserve">, Shaw C, Whelan K, Andreyev HJ. Review article: small intestinal bacterial overgrowth--prevalence, clinical features, current and developing diagnostic tests, and treatment.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674-688 [PMID: 23957651 DOI: 10.1111/apt.12456]</w:t>
      </w:r>
    </w:p>
    <w:p w:rsidR="00EB0789" w:rsidRDefault="003D6943">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Quigley EMM</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Spectrum of Small Intestinal Bacterial Overgrowth (SIBO).</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3 [PMID: 30645678 DOI: 10.1007/s11894-019-0671-z]</w:t>
      </w:r>
    </w:p>
    <w:p w:rsidR="00EB0789" w:rsidRDefault="003D694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Compare D</w:t>
      </w:r>
      <w:r>
        <w:rPr>
          <w:rFonts w:ascii="Book Antiqua" w:eastAsia="Book Antiqua" w:hAnsi="Book Antiqua" w:cs="Book Antiqua"/>
          <w:color w:val="000000"/>
        </w:rPr>
        <w:t xml:space="preserve">, Pica L, Rocco A, De </w:t>
      </w:r>
      <w:proofErr w:type="spellStart"/>
      <w:r>
        <w:rPr>
          <w:rFonts w:ascii="Book Antiqua" w:eastAsia="Book Antiqua" w:hAnsi="Book Antiqua" w:cs="Book Antiqua"/>
          <w:color w:val="000000"/>
        </w:rPr>
        <w:t>Giorgi</w:t>
      </w:r>
      <w:proofErr w:type="spellEnd"/>
      <w:r>
        <w:rPr>
          <w:rFonts w:ascii="Book Antiqua" w:eastAsia="Book Antiqua" w:hAnsi="Book Antiqua" w:cs="Book Antiqua"/>
          <w:color w:val="000000"/>
        </w:rPr>
        <w:t xml:space="preserve"> F, Cuomo R, </w:t>
      </w:r>
      <w:proofErr w:type="spellStart"/>
      <w:r>
        <w:rPr>
          <w:rFonts w:ascii="Book Antiqua" w:eastAsia="Book Antiqua" w:hAnsi="Book Antiqua" w:cs="Book Antiqua"/>
          <w:color w:val="000000"/>
        </w:rPr>
        <w:t>Sarnelli</w:t>
      </w:r>
      <w:proofErr w:type="spellEnd"/>
      <w:r>
        <w:rPr>
          <w:rFonts w:ascii="Book Antiqua" w:eastAsia="Book Antiqua" w:hAnsi="Book Antiqua" w:cs="Book Antiqua"/>
          <w:color w:val="000000"/>
        </w:rPr>
        <w:t xml:space="preserve"> G, Romano M, </w:t>
      </w:r>
      <w:proofErr w:type="spellStart"/>
      <w:r>
        <w:rPr>
          <w:rFonts w:ascii="Book Antiqua" w:eastAsia="Book Antiqua" w:hAnsi="Book Antiqua" w:cs="Book Antiqua"/>
          <w:color w:val="000000"/>
        </w:rPr>
        <w:t>Nardone</w:t>
      </w:r>
      <w:proofErr w:type="spellEnd"/>
      <w:r>
        <w:rPr>
          <w:rFonts w:ascii="Book Antiqua" w:eastAsia="Book Antiqua" w:hAnsi="Book Antiqua" w:cs="Book Antiqua"/>
          <w:color w:val="000000"/>
        </w:rPr>
        <w:t xml:space="preserve"> G. Effects of long-term PPI treatment on producing bowel symptoms and SIBO.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380-386 [PMID: 21128930 DOI: 10.1111/j.1365-2362.2010.02419.x]</w:t>
      </w:r>
    </w:p>
    <w:p w:rsidR="00EB0789" w:rsidRDefault="003D6943">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Du LJ</w:t>
      </w:r>
      <w:r>
        <w:rPr>
          <w:rFonts w:ascii="Book Antiqua" w:eastAsia="Book Antiqua" w:hAnsi="Book Antiqua" w:cs="Book Antiqua"/>
          <w:color w:val="000000"/>
        </w:rPr>
        <w:t xml:space="preserve">, Chen BR, Kim JJ, Kim S,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JH, Dai N. Helicobacter pylori eradication therapy for functional dyspepsia: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3486-3495 [PMID: 27022230 DOI: 10.3748/wjg.v22.i12.3486]</w:t>
      </w:r>
    </w:p>
    <w:p w:rsidR="00EB0789" w:rsidRDefault="003D694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Chiba N</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Zanten</w:t>
      </w:r>
      <w:proofErr w:type="spellEnd"/>
      <w:r>
        <w:rPr>
          <w:rFonts w:ascii="Book Antiqua" w:eastAsia="Book Antiqua" w:hAnsi="Book Antiqua" w:cs="Book Antiqua"/>
          <w:color w:val="000000"/>
        </w:rPr>
        <w:t xml:space="preserve"> SJ, Sinclair P, Ferguson RA, Escobedo S, Grace E. Treating Helicobacter pylori infection in primary care patients with uninvestigated dyspepsia: the Canadian adult dyspepsia empiric treatment-Helicobacter pylori positive (CADET-</w:t>
      </w:r>
      <w:proofErr w:type="spellStart"/>
      <w:r>
        <w:rPr>
          <w:rFonts w:ascii="Book Antiqua" w:eastAsia="Book Antiqua" w:hAnsi="Book Antiqua" w:cs="Book Antiqua"/>
          <w:color w:val="000000"/>
        </w:rPr>
        <w:t>Hp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BMJ</w:t>
      </w:r>
      <w:r>
        <w:rPr>
          <w:rFonts w:ascii="Book Antiqua" w:eastAsia="Book Antiqua" w:hAnsi="Book Antiqua" w:cs="Book Antiqua"/>
          <w:color w:val="000000"/>
        </w:rPr>
        <w:t xml:space="preserve"> 2002; </w:t>
      </w:r>
      <w:r>
        <w:rPr>
          <w:rFonts w:ascii="Book Antiqua" w:eastAsia="Book Antiqua" w:hAnsi="Book Antiqua" w:cs="Book Antiqua"/>
          <w:b/>
          <w:bCs/>
          <w:color w:val="000000"/>
        </w:rPr>
        <w:t>324</w:t>
      </w:r>
      <w:r>
        <w:rPr>
          <w:rFonts w:ascii="Book Antiqua" w:eastAsia="Book Antiqua" w:hAnsi="Book Antiqua" w:cs="Book Antiqua"/>
          <w:color w:val="000000"/>
        </w:rPr>
        <w:t>: 1012-1016 [PMID: 11976244 DOI: 10.1136/bmj.324.7344.1012]</w:t>
      </w:r>
    </w:p>
    <w:p w:rsidR="00EB0789" w:rsidRDefault="003D694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Konrad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Chojnacki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Gąsiorowska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Rudnicki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Kaczka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Chojnacki</w:t>
      </w:r>
      <w:proofErr w:type="spellEnd"/>
      <w:r>
        <w:rPr>
          <w:rFonts w:ascii="Book Antiqua" w:eastAsia="Book Antiqua" w:hAnsi="Book Antiqua" w:cs="Book Antiqua"/>
          <w:color w:val="000000"/>
        </w:rPr>
        <w:t xml:space="preserve"> C. Therapeutic efficacy of amoxicillin and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in patients with small intestinal bacterial overgrowth and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213-217 [PMID: 30302165 DOI: 10.5114/pg.2018.74228]</w:t>
      </w:r>
    </w:p>
    <w:p w:rsidR="00EB0789" w:rsidRDefault="003D694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Abid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Kamran M, </w:t>
      </w:r>
      <w:proofErr w:type="spellStart"/>
      <w:r>
        <w:rPr>
          <w:rFonts w:ascii="Book Antiqua" w:eastAsia="Book Antiqua" w:hAnsi="Book Antiqua" w:cs="Book Antiqua"/>
          <w:color w:val="000000"/>
        </w:rPr>
        <w:t>Abid</w:t>
      </w:r>
      <w:proofErr w:type="spellEnd"/>
      <w:r>
        <w:rPr>
          <w:rFonts w:ascii="Book Antiqua" w:eastAsia="Book Antiqua" w:hAnsi="Book Antiqua" w:cs="Book Antiqua"/>
          <w:color w:val="000000"/>
        </w:rPr>
        <w:t xml:space="preserve"> A, Butt N, </w:t>
      </w:r>
      <w:proofErr w:type="spellStart"/>
      <w:r>
        <w:rPr>
          <w:rFonts w:ascii="Book Antiqua" w:eastAsia="Book Antiqua" w:hAnsi="Book Antiqua" w:cs="Book Antiqua"/>
          <w:color w:val="000000"/>
        </w:rPr>
        <w:t>Awan</w:t>
      </w:r>
      <w:proofErr w:type="spellEnd"/>
      <w:r>
        <w:rPr>
          <w:rFonts w:ascii="Book Antiqua" w:eastAsia="Book Antiqua" w:hAnsi="Book Antiqua" w:cs="Book Antiqua"/>
          <w:color w:val="000000"/>
        </w:rPr>
        <w:t xml:space="preserve"> S, Abbas Z. Minimal Hepatic Encephalopathy: Effect of H. pylori infection and small intestinal bacterial overgrowth treatment on clinical outcomes.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10079 [PMID: 32572109 DOI: 10.1038/s41598-020-67171-7]</w:t>
      </w:r>
    </w:p>
    <w:p w:rsidR="00EB0789" w:rsidRDefault="003D694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Franceschi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Zampetti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Gigante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Helicobacter pylori and small intestinal bacterial overgrowth affect gastrointestinal symptoms in </w:t>
      </w:r>
      <w:proofErr w:type="spellStart"/>
      <w:r>
        <w:rPr>
          <w:rFonts w:ascii="Book Antiqua" w:eastAsia="Book Antiqua" w:hAnsi="Book Antiqua" w:cs="Book Antiqua"/>
          <w:color w:val="000000"/>
        </w:rPr>
        <w:t>Fabry's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618-619 [PMID: 25818253 DOI: 10.1016/j.dld.2015.02.014]</w:t>
      </w:r>
    </w:p>
    <w:p w:rsidR="00EB0789" w:rsidRDefault="003D694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Tan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Mahadeva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Thalha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hint="eastAsia"/>
          <w:color w:val="000000"/>
        </w:rPr>
        <w:t>Kiew</w:t>
      </w:r>
      <w:proofErr w:type="spellEnd"/>
      <w:r>
        <w:rPr>
          <w:rFonts w:ascii="Book Antiqua" w:eastAsia="Book Antiqua" w:hAnsi="Book Antiqua" w:cs="Book Antiqua" w:hint="eastAsia"/>
          <w:color w:val="000000"/>
        </w:rPr>
        <w:t xml:space="preserve"> CK</w:t>
      </w:r>
      <w:r>
        <w:rPr>
          <w:rFonts w:ascii="Book Antiqua" w:hAnsi="Book Antiqua" w:cs="Book Antiqua" w:hint="eastAsia"/>
          <w:color w:val="000000"/>
          <w:lang w:eastAsia="zh-CN"/>
        </w:rPr>
        <w:t xml:space="preserve">, </w:t>
      </w:r>
      <w:proofErr w:type="spellStart"/>
      <w:r>
        <w:rPr>
          <w:rFonts w:ascii="Book Antiqua" w:eastAsia="Book Antiqua" w:hAnsi="Book Antiqua" w:cs="Book Antiqua" w:hint="eastAsia"/>
          <w:color w:val="000000"/>
        </w:rPr>
        <w:t>Yeat</w:t>
      </w:r>
      <w:proofErr w:type="spellEnd"/>
      <w:r>
        <w:rPr>
          <w:rFonts w:ascii="Book Antiqua" w:eastAsia="Book Antiqua" w:hAnsi="Book Antiqua" w:cs="Book Antiqua" w:hint="eastAsia"/>
          <w:color w:val="000000"/>
        </w:rPr>
        <w:t xml:space="preserve"> CM</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Ng SW</w:t>
      </w:r>
      <w:r>
        <w:rPr>
          <w:rFonts w:ascii="Book Antiqua" w:hAnsi="Book Antiqua" w:cs="Book Antiqua" w:hint="eastAsia"/>
          <w:color w:val="000000"/>
          <w:lang w:eastAsia="zh-CN"/>
        </w:rPr>
        <w:t xml:space="preserve">, </w:t>
      </w:r>
      <w:proofErr w:type="spellStart"/>
      <w:r>
        <w:rPr>
          <w:rFonts w:ascii="Book Antiqua" w:eastAsia="Book Antiqua" w:hAnsi="Book Antiqua" w:cs="Book Antiqua" w:hint="eastAsia"/>
          <w:color w:val="000000"/>
        </w:rPr>
        <w:t>Ang</w:t>
      </w:r>
      <w:proofErr w:type="spellEnd"/>
      <w:r>
        <w:rPr>
          <w:rFonts w:ascii="Book Antiqua" w:eastAsia="Book Antiqua" w:hAnsi="Book Antiqua" w:cs="Book Antiqua" w:hint="eastAsia"/>
          <w:color w:val="000000"/>
        </w:rPr>
        <w:t xml:space="preserve"> SP</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Chow SK</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Than KM</w:t>
      </w:r>
      <w:r>
        <w:rPr>
          <w:rFonts w:ascii="Book Antiqua" w:hAnsi="Book Antiqua" w:cs="Book Antiqua" w:hint="eastAsia"/>
          <w:color w:val="000000"/>
          <w:lang w:eastAsia="zh-CN"/>
        </w:rPr>
        <w:t xml:space="preserve">, </w:t>
      </w:r>
      <w:proofErr w:type="spellStart"/>
      <w:r>
        <w:rPr>
          <w:rFonts w:ascii="Book Antiqua" w:eastAsia="Book Antiqua" w:hAnsi="Book Antiqua" w:cs="Book Antiqua" w:hint="eastAsia"/>
          <w:color w:val="000000"/>
        </w:rPr>
        <w:t>Hanafi</w:t>
      </w:r>
      <w:proofErr w:type="spellEnd"/>
      <w:r>
        <w:rPr>
          <w:rFonts w:ascii="Book Antiqua" w:eastAsia="Book Antiqua" w:hAnsi="Book Antiqua" w:cs="Book Antiqua" w:hint="eastAsia"/>
          <w:color w:val="000000"/>
        </w:rPr>
        <w:t xml:space="preserve"> NS</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Ibrahim NM</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Gibson PR</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Fox SH</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Lim SY.</w:t>
      </w:r>
      <w:r>
        <w:rPr>
          <w:rFonts w:ascii="Book Antiqua" w:eastAsia="Book Antiqua" w:hAnsi="Book Antiqua" w:cs="Book Antiqua"/>
          <w:color w:val="000000"/>
        </w:rPr>
        <w:t xml:space="preserve"> Helicobacter pylori and small intestinal bacterial overgrowth in Parkinson's disease: Prevalence and clinical significance.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Neurol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Sci</w:t>
      </w:r>
      <w:proofErr w:type="spellEnd"/>
      <w:r>
        <w:rPr>
          <w:rFonts w:ascii="Book Antiqua" w:eastAsia="Book Antiqua" w:hAnsi="Book Antiqua" w:cs="Book Antiqua"/>
          <w:color w:val="000000"/>
        </w:rPr>
        <w:t xml:space="preserve"> 2013;</w:t>
      </w:r>
      <w:r>
        <w:rPr>
          <w:rFonts w:ascii="Book Antiqua" w:hAnsi="Book Antiqua" w:cs="Book Antiqua" w:hint="eastAsia"/>
          <w:color w:val="000000"/>
          <w:lang w:eastAsia="zh-CN"/>
        </w:rPr>
        <w:t xml:space="preserve"> </w:t>
      </w:r>
      <w:r>
        <w:rPr>
          <w:rFonts w:ascii="Book Antiqua" w:eastAsia="Book Antiqua" w:hAnsi="Book Antiqua" w:cs="Book Antiqua"/>
          <w:b/>
          <w:color w:val="000000"/>
        </w:rPr>
        <w:t>333:</w:t>
      </w:r>
      <w:r>
        <w:rPr>
          <w:rFonts w:ascii="Book Antiqua" w:hAnsi="Book Antiqua" w:cs="Book Antiqua" w:hint="eastAsia"/>
          <w:color w:val="000000"/>
          <w:lang w:eastAsia="zh-CN"/>
        </w:rPr>
        <w:t xml:space="preserve"> </w:t>
      </w:r>
      <w:r>
        <w:rPr>
          <w:rFonts w:ascii="Book Antiqua" w:eastAsia="Book Antiqua" w:hAnsi="Book Antiqua" w:cs="Book Antiqua"/>
          <w:color w:val="000000"/>
        </w:rPr>
        <w:t>e72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10.1016/j.jns.2013.07.528]</w:t>
      </w:r>
    </w:p>
    <w:p w:rsidR="00EB0789" w:rsidRDefault="003D694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Campanati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Gesuita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Giannoni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Piraccini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Sandroni</w:t>
      </w:r>
      <w:proofErr w:type="spellEnd"/>
      <w:r>
        <w:rPr>
          <w:rFonts w:ascii="Book Antiqua" w:eastAsia="Book Antiqua" w:hAnsi="Book Antiqua" w:cs="Book Antiqua"/>
          <w:color w:val="000000"/>
        </w:rPr>
        <w:t xml:space="preserve"> L, Martina E, </w:t>
      </w:r>
      <w:proofErr w:type="spellStart"/>
      <w:r>
        <w:rPr>
          <w:rFonts w:ascii="Book Antiqua" w:eastAsia="Book Antiqua" w:hAnsi="Book Antiqua" w:cs="Book Antiqua"/>
          <w:color w:val="000000"/>
        </w:rPr>
        <w:t>Conocchiari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Bendia</w:t>
      </w:r>
      <w:proofErr w:type="spellEnd"/>
      <w:r>
        <w:rPr>
          <w:rFonts w:ascii="Book Antiqua" w:eastAsia="Book Antiqua" w:hAnsi="Book Antiqua" w:cs="Book Antiqua"/>
          <w:color w:val="000000"/>
        </w:rPr>
        <w:t xml:space="preserve"> E, Di </w:t>
      </w:r>
      <w:proofErr w:type="spellStart"/>
      <w:r>
        <w:rPr>
          <w:rFonts w:ascii="Book Antiqua" w:eastAsia="Book Antiqua" w:hAnsi="Book Antiqua" w:cs="Book Antiqua"/>
          <w:color w:val="000000"/>
        </w:rPr>
        <w:t>Sario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Offidani</w:t>
      </w:r>
      <w:proofErr w:type="spellEnd"/>
      <w:r>
        <w:rPr>
          <w:rFonts w:ascii="Book Antiqua" w:eastAsia="Book Antiqua" w:hAnsi="Book Antiqua" w:cs="Book Antiqua"/>
          <w:color w:val="000000"/>
        </w:rPr>
        <w:t xml:space="preserve"> A. Role of small intestinal bacterial overgrowth and Helicobacter pylori infection in chronic spontaneous </w:t>
      </w:r>
      <w:proofErr w:type="spellStart"/>
      <w:r>
        <w:rPr>
          <w:rFonts w:ascii="Book Antiqua" w:eastAsia="Book Antiqua" w:hAnsi="Book Antiqua" w:cs="Book Antiqua"/>
          <w:color w:val="000000"/>
        </w:rPr>
        <w:t>urticaria</w:t>
      </w:r>
      <w:proofErr w:type="spellEnd"/>
      <w:r>
        <w:rPr>
          <w:rFonts w:ascii="Book Antiqua" w:eastAsia="Book Antiqua" w:hAnsi="Book Antiqua" w:cs="Book Antiqua"/>
          <w:color w:val="000000"/>
        </w:rPr>
        <w:t xml:space="preserve">: a prospective analysis.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93</w:t>
      </w:r>
      <w:r>
        <w:rPr>
          <w:rFonts w:ascii="Book Antiqua" w:eastAsia="Book Antiqua" w:hAnsi="Book Antiqua" w:cs="Book Antiqua"/>
          <w:color w:val="000000"/>
        </w:rPr>
        <w:t>: 161-164 [PMID: 22858910 DOI: 10.2340/00015555-1373]</w:t>
      </w:r>
    </w:p>
    <w:p w:rsidR="00EB0789" w:rsidRDefault="003D6943">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Gravina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Federico A, </w:t>
      </w:r>
      <w:proofErr w:type="spellStart"/>
      <w:r>
        <w:rPr>
          <w:rFonts w:ascii="Book Antiqua" w:eastAsia="Book Antiqua" w:hAnsi="Book Antiqua" w:cs="Book Antiqua"/>
          <w:color w:val="000000"/>
        </w:rPr>
        <w:t>Ruocco</w:t>
      </w:r>
      <w:proofErr w:type="spellEnd"/>
      <w:r>
        <w:rPr>
          <w:rFonts w:ascii="Book Antiqua" w:eastAsia="Book Antiqua" w:hAnsi="Book Antiqua" w:cs="Book Antiqua"/>
          <w:color w:val="000000"/>
        </w:rPr>
        <w:t xml:space="preserve"> E, Lo </w:t>
      </w:r>
      <w:proofErr w:type="spellStart"/>
      <w:r>
        <w:rPr>
          <w:rFonts w:ascii="Book Antiqua" w:eastAsia="Book Antiqua" w:hAnsi="Book Antiqua" w:cs="Book Antiqua"/>
          <w:color w:val="000000"/>
        </w:rPr>
        <w:t>Schiavo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Tuccillo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Peccerillo</w:t>
      </w:r>
      <w:proofErr w:type="spellEnd"/>
      <w:r>
        <w:rPr>
          <w:rFonts w:ascii="Book Antiqua" w:eastAsia="Book Antiqua" w:hAnsi="Book Antiqua" w:cs="Book Antiqua"/>
          <w:color w:val="000000"/>
        </w:rPr>
        <w:t xml:space="preserve"> F, Miranda A, Romano L, de </w:t>
      </w:r>
      <w:proofErr w:type="spellStart"/>
      <w:r>
        <w:rPr>
          <w:rFonts w:ascii="Book Antiqua" w:eastAsia="Book Antiqua" w:hAnsi="Book Antiqua" w:cs="Book Antiqua"/>
          <w:color w:val="000000"/>
        </w:rPr>
        <w:t>Sio</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Sio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Persico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Ruocco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Riegler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Loguercio</w:t>
      </w:r>
      <w:proofErr w:type="spellEnd"/>
      <w:r>
        <w:rPr>
          <w:rFonts w:ascii="Book Antiqua" w:eastAsia="Book Antiqua" w:hAnsi="Book Antiqua" w:cs="Book Antiqua"/>
          <w:color w:val="000000"/>
        </w:rPr>
        <w:t xml:space="preserve"> C, Romano M. Helicobacter pylori infection but not small intestinal bacterial overgrowth may play a pathogenic role in rosacea. </w:t>
      </w:r>
      <w:r>
        <w:rPr>
          <w:rFonts w:ascii="Book Antiqua" w:eastAsia="Book Antiqua" w:hAnsi="Book Antiqua" w:cs="Book Antiqua"/>
          <w:i/>
          <w:iCs/>
          <w:color w:val="000000"/>
        </w:rPr>
        <w:t xml:space="preserve">United European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17-24 [PMID: 25653855 DOI: 10.1177/2050640614559262]</w:t>
      </w:r>
    </w:p>
    <w:p w:rsidR="00EB0789" w:rsidRDefault="003D694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Gravina</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Priadko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Ciamarra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Facchiano</w:t>
      </w:r>
      <w:proofErr w:type="spellEnd"/>
      <w:r>
        <w:rPr>
          <w:rFonts w:ascii="Book Antiqua" w:eastAsia="Book Antiqua" w:hAnsi="Book Antiqua" w:cs="Book Antiqua"/>
          <w:color w:val="000000"/>
        </w:rPr>
        <w:t xml:space="preserve"> A, Miranda A, </w:t>
      </w:r>
      <w:proofErr w:type="spellStart"/>
      <w:r>
        <w:rPr>
          <w:rFonts w:ascii="Book Antiqua" w:eastAsia="Book Antiqua" w:hAnsi="Book Antiqua" w:cs="Book Antiqua"/>
          <w:color w:val="000000"/>
        </w:rPr>
        <w:t>Dallio</w:t>
      </w:r>
      <w:proofErr w:type="spellEnd"/>
      <w:r>
        <w:rPr>
          <w:rFonts w:ascii="Book Antiqua" w:eastAsia="Book Antiqua" w:hAnsi="Book Antiqua" w:cs="Book Antiqua"/>
          <w:color w:val="000000"/>
        </w:rPr>
        <w:t xml:space="preserve"> M, Federico A, Romano M. Extra-Gastric Manifestations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33265933 DOI: 10.3390/jcm9123887]</w:t>
      </w:r>
    </w:p>
    <w:p w:rsidR="00EB0789" w:rsidRDefault="003D694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Salvatore </w:t>
      </w:r>
      <w:proofErr w:type="spellStart"/>
      <w:r>
        <w:rPr>
          <w:rFonts w:ascii="Book Antiqua" w:eastAsia="Book Antiqua" w:hAnsi="Book Antiqua" w:cs="Book Antiqua"/>
          <w:color w:val="000000"/>
        </w:rPr>
        <w:t>D'Abramo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Indellicati</w:t>
      </w:r>
      <w:proofErr w:type="spellEnd"/>
      <w:r>
        <w:rPr>
          <w:rFonts w:ascii="Book Antiqua" w:eastAsia="Book Antiqua" w:hAnsi="Book Antiqua" w:cs="Book Antiqua"/>
          <w:color w:val="000000"/>
        </w:rPr>
        <w:t xml:space="preserve"> G, Lillo C,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w:t>
      </w:r>
      <w:proofErr w:type="gramStart"/>
      <w:r>
        <w:rPr>
          <w:rFonts w:ascii="Book Antiqua" w:eastAsia="Book Antiqua" w:hAnsi="Book Antiqua" w:cs="Book Antiqua"/>
          <w:color w:val="000000"/>
        </w:rPr>
        <w:t>The Influence of Small Intestinal Bacterial Overgrowth in Digestive and Extra-Intestinal Disorders.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32429454 DOI: 10.3390/ijms21103531]</w:t>
      </w:r>
    </w:p>
    <w:p w:rsidR="00EB0789" w:rsidRDefault="003D6943">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Sharma BK</w:t>
      </w:r>
      <w:r>
        <w:rPr>
          <w:rFonts w:ascii="Book Antiqua" w:eastAsia="Book Antiqua" w:hAnsi="Book Antiqua" w:cs="Book Antiqua"/>
          <w:color w:val="000000"/>
        </w:rPr>
        <w:t xml:space="preserve">, Santana IA, Wood EC, Walt RP, Pereira M, </w:t>
      </w:r>
      <w:proofErr w:type="spellStart"/>
      <w:r>
        <w:rPr>
          <w:rFonts w:ascii="Book Antiqua" w:eastAsia="Book Antiqua" w:hAnsi="Book Antiqua" w:cs="Book Antiqua"/>
          <w:color w:val="000000"/>
        </w:rPr>
        <w:t>Noone</w:t>
      </w:r>
      <w:proofErr w:type="spellEnd"/>
      <w:r>
        <w:rPr>
          <w:rFonts w:ascii="Book Antiqua" w:eastAsia="Book Antiqua" w:hAnsi="Book Antiqua" w:cs="Book Antiqua"/>
          <w:color w:val="000000"/>
        </w:rPr>
        <w:t xml:space="preserve"> P, Smith PL, Walters CL, Pounder RE.</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Intragastric</w:t>
      </w:r>
      <w:proofErr w:type="spellEnd"/>
      <w:r>
        <w:rPr>
          <w:rFonts w:ascii="Book Antiqua" w:eastAsia="Book Antiqua" w:hAnsi="Book Antiqua" w:cs="Book Antiqua"/>
          <w:color w:val="000000"/>
        </w:rPr>
        <w:t xml:space="preserve"> bacterial activity and </w:t>
      </w:r>
      <w:proofErr w:type="spellStart"/>
      <w:r>
        <w:rPr>
          <w:rFonts w:ascii="Book Antiqua" w:eastAsia="Book Antiqua" w:hAnsi="Book Antiqua" w:cs="Book Antiqua"/>
          <w:color w:val="000000"/>
        </w:rPr>
        <w:t>nitrosation</w:t>
      </w:r>
      <w:proofErr w:type="spellEnd"/>
      <w:r>
        <w:rPr>
          <w:rFonts w:ascii="Book Antiqua" w:eastAsia="Book Antiqua" w:hAnsi="Book Antiqua" w:cs="Book Antiqua"/>
          <w:color w:val="000000"/>
        </w:rPr>
        <w:t xml:space="preserve"> before, during, and after treatment with omeprazole.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Med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Ed)</w:t>
      </w:r>
      <w:r>
        <w:rPr>
          <w:rFonts w:ascii="Book Antiqua" w:eastAsia="Book Antiqua" w:hAnsi="Book Antiqua" w:cs="Book Antiqua"/>
          <w:color w:val="000000"/>
        </w:rPr>
        <w:t xml:space="preserve"> 1984; </w:t>
      </w:r>
      <w:r>
        <w:rPr>
          <w:rFonts w:ascii="Book Antiqua" w:eastAsia="Book Antiqua" w:hAnsi="Book Antiqua" w:cs="Book Antiqua"/>
          <w:b/>
          <w:bCs/>
          <w:color w:val="000000"/>
        </w:rPr>
        <w:t>289</w:t>
      </w:r>
      <w:r>
        <w:rPr>
          <w:rFonts w:ascii="Book Antiqua" w:eastAsia="Book Antiqua" w:hAnsi="Book Antiqua" w:cs="Book Antiqua"/>
          <w:color w:val="000000"/>
        </w:rPr>
        <w:t>: 717-719 [PMID: 6434053 DOI: 10.1136/bmj.289.6447.717]</w:t>
      </w:r>
    </w:p>
    <w:p w:rsidR="00EB0789" w:rsidRDefault="003D694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Chojnacki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Konrad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Błońska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Chojnacki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Mędrek-Socha</w:t>
      </w:r>
      <w:proofErr w:type="spellEnd"/>
      <w:r>
        <w:rPr>
          <w:rFonts w:ascii="Book Antiqua" w:eastAsia="Book Antiqua" w:hAnsi="Book Antiqua" w:cs="Book Antiqua"/>
          <w:color w:val="000000"/>
        </w:rPr>
        <w:t xml:space="preserve"> M. Usefulness of the hydrogen breath test in patients with functional dyspepsia.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338-342 [PMID: 33777274 DOI: 10.5114/pg.2020.92690]</w:t>
      </w:r>
    </w:p>
    <w:p w:rsidR="00EB0789" w:rsidRDefault="003D6943">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Lopes AI</w:t>
      </w:r>
      <w:r>
        <w:rPr>
          <w:rFonts w:ascii="Book Antiqua" w:eastAsia="Book Antiqua" w:hAnsi="Book Antiqua" w:cs="Book Antiqua"/>
          <w:color w:val="000000"/>
        </w:rPr>
        <w:t xml:space="preserve">, Vale FF, </w:t>
      </w:r>
      <w:proofErr w:type="spellStart"/>
      <w:r>
        <w:rPr>
          <w:rFonts w:ascii="Book Antiqua" w:eastAsia="Book Antiqua" w:hAnsi="Book Antiqua" w:cs="Book Antiqua"/>
          <w:color w:val="000000"/>
        </w:rPr>
        <w:t>Oleastro</w:t>
      </w:r>
      <w:proofErr w:type="spellEnd"/>
      <w:r>
        <w:rPr>
          <w:rFonts w:ascii="Book Antiqua" w:eastAsia="Book Antiqua" w:hAnsi="Book Antiqua" w:cs="Book Antiqua"/>
          <w:color w:val="000000"/>
        </w:rPr>
        <w:t xml:space="preserve"> M. Helicobacter pylori infection - recent developments in diagnosis.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9299-9313 [PMID: 25071324 DOI: 10.3748/wjg.v20.i28.9299]</w:t>
      </w:r>
    </w:p>
    <w:p w:rsidR="00EB0789" w:rsidRDefault="003D6943">
      <w:pPr>
        <w:spacing w:line="360" w:lineRule="auto"/>
        <w:jc w:val="both"/>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Crowe SE</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1158-1165 [PMID: 30893536 DOI: 10.1056/NEJMcp1710945]</w:t>
      </w:r>
    </w:p>
    <w:p w:rsidR="00EB0789" w:rsidRDefault="003D694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Rezaie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 Lin H, McCallum R,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Schmulson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Valdovinos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Zakko</w:t>
      </w:r>
      <w:proofErr w:type="spellEnd"/>
      <w:r>
        <w:rPr>
          <w:rFonts w:ascii="Book Antiqua" w:eastAsia="Book Antiqua" w:hAnsi="Book Antiqua" w:cs="Book Antiqua"/>
          <w:color w:val="000000"/>
        </w:rPr>
        <w:t xml:space="preserve"> S, Pimentel M. Hydrogen and Methane-Based Breath Testing in Gastrointestinal Disorders: The North American Consensus.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775-784 [PMID: 28323273 DOI: 10.1038/ajg.2017.46]</w:t>
      </w:r>
    </w:p>
    <w:p w:rsidR="00EB0789" w:rsidRDefault="003D6943">
      <w:pPr>
        <w:spacing w:line="360" w:lineRule="auto"/>
        <w:jc w:val="both"/>
      </w:pPr>
      <w:r>
        <w:rPr>
          <w:rFonts w:ascii="Book Antiqua" w:eastAsia="Book Antiqua" w:hAnsi="Book Antiqua" w:cs="Book Antiqua"/>
          <w:color w:val="000000"/>
        </w:rPr>
        <w:lastRenderedPageBreak/>
        <w:t>2</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Gatta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Systematic review with meta-analysis: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is effective and safe for the treatment of small intestine bacterial overgrowth.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604-616 [PMID: 28078798 DOI: 10.1111/apt.13928]</w:t>
      </w:r>
    </w:p>
    <w:p w:rsidR="00EB0789" w:rsidRDefault="003D6943">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Khoshini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Dai SC, </w:t>
      </w:r>
      <w:proofErr w:type="spellStart"/>
      <w:r>
        <w:rPr>
          <w:rFonts w:ascii="Book Antiqua" w:eastAsia="Book Antiqua" w:hAnsi="Book Antiqua" w:cs="Book Antiqua"/>
          <w:color w:val="000000"/>
        </w:rPr>
        <w:t>Lezcano</w:t>
      </w:r>
      <w:proofErr w:type="spellEnd"/>
      <w:r>
        <w:rPr>
          <w:rFonts w:ascii="Book Antiqua" w:eastAsia="Book Antiqua" w:hAnsi="Book Antiqua" w:cs="Book Antiqua"/>
          <w:color w:val="000000"/>
        </w:rPr>
        <w:t xml:space="preserve"> S, Pimentel M. </w:t>
      </w:r>
      <w:proofErr w:type="gramStart"/>
      <w:r>
        <w:rPr>
          <w:rFonts w:ascii="Book Antiqua" w:eastAsia="Book Antiqua" w:hAnsi="Book Antiqua" w:cs="Book Antiqua"/>
          <w:color w:val="000000"/>
        </w:rPr>
        <w:t>A systematic review of diagnostic tests for small intestinal bacterial overgrowth.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53</w:t>
      </w:r>
      <w:r>
        <w:rPr>
          <w:rFonts w:ascii="Book Antiqua" w:eastAsia="Book Antiqua" w:hAnsi="Book Antiqua" w:cs="Book Antiqua"/>
          <w:color w:val="000000"/>
        </w:rPr>
        <w:t>: 1443-1454 [PMID: 17990113 DOI: 10.1007/s10620-007-0065-1]</w:t>
      </w:r>
    </w:p>
    <w:p w:rsidR="00EB0789" w:rsidRDefault="003D694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Rokkas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Niv</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Megraud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O'Morain</w:t>
      </w:r>
      <w:proofErr w:type="spellEnd"/>
      <w:r>
        <w:rPr>
          <w:rFonts w:ascii="Book Antiqua" w:eastAsia="Book Antiqua" w:hAnsi="Book Antiqua" w:cs="Book Antiqua"/>
          <w:color w:val="000000"/>
        </w:rPr>
        <w:t xml:space="preserve"> C, Graham DY. Comparative Effectiveness of Multiple Different First-Line Treatment Regimens for Helicobacter pylori Infection: A Network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495-507.e4 [PMID: 33839101 DOI: 10.1053/j.gastro.2021.04.012]</w:t>
      </w:r>
    </w:p>
    <w:p w:rsidR="00EB0789" w:rsidRDefault="003D6943">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Gasbarrini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Pelosini</w:t>
      </w:r>
      <w:proofErr w:type="spellEnd"/>
      <w:r>
        <w:rPr>
          <w:rFonts w:ascii="Book Antiqua" w:eastAsia="Book Antiqua" w:hAnsi="Book Antiqua" w:cs="Book Antiqua"/>
          <w:color w:val="000000"/>
        </w:rPr>
        <w:t xml:space="preserve"> I, </w:t>
      </w:r>
      <w:proofErr w:type="spellStart"/>
      <w:proofErr w:type="gramStart"/>
      <w:r>
        <w:rPr>
          <w:rFonts w:ascii="Book Antiqua" w:eastAsia="Book Antiqua" w:hAnsi="Book Antiqua" w:cs="Book Antiqua"/>
          <w:color w:val="000000"/>
        </w:rPr>
        <w:t>Scarpignato</w:t>
      </w:r>
      <w:proofErr w:type="spellEnd"/>
      <w:proofErr w:type="gramEnd"/>
      <w:r>
        <w:rPr>
          <w:rFonts w:ascii="Book Antiqua" w:eastAsia="Book Antiqua" w:hAnsi="Book Antiqua" w:cs="Book Antiqua"/>
          <w:color w:val="000000"/>
        </w:rPr>
        <w:t xml:space="preserve"> C. Eradication of Helicobacter pylori: are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-based regimens effective?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 xml:space="preserve">73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129-135 [PMID: 16498261 DOI: 10.1159/000089788]</w:t>
      </w:r>
    </w:p>
    <w:p w:rsidR="00EB0789" w:rsidRDefault="00EB0789">
      <w:pPr>
        <w:spacing w:line="360" w:lineRule="auto"/>
        <w:jc w:val="both"/>
        <w:sectPr w:rsidR="00EB0789">
          <w:pgSz w:w="12240" w:h="15840"/>
          <w:pgMar w:top="1440" w:right="1440" w:bottom="1440" w:left="1440" w:header="720" w:footer="720" w:gutter="0"/>
          <w:cols w:space="720"/>
          <w:docGrid w:linePitch="360"/>
        </w:sectPr>
      </w:pPr>
    </w:p>
    <w:p w:rsidR="00EB0789" w:rsidRDefault="003D6943">
      <w:pPr>
        <w:spacing w:line="360" w:lineRule="auto"/>
        <w:jc w:val="both"/>
      </w:pPr>
      <w:r>
        <w:rPr>
          <w:rFonts w:ascii="Book Antiqua" w:eastAsia="Book Antiqua" w:hAnsi="Book Antiqua" w:cs="Book Antiqua"/>
          <w:b/>
          <w:color w:val="000000"/>
        </w:rPr>
        <w:lastRenderedPageBreak/>
        <w:t>Footnotes</w:t>
      </w:r>
    </w:p>
    <w:p w:rsidR="00EB0789" w:rsidRDefault="003D69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authors report no relevant conflicts of interest for this article.</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EB0789" w:rsidRDefault="00EB0789">
      <w:pPr>
        <w:spacing w:line="360" w:lineRule="auto"/>
        <w:jc w:val="both"/>
      </w:pPr>
    </w:p>
    <w:p w:rsidR="00EB0789" w:rsidRPr="003C429F" w:rsidRDefault="003D694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EB0789" w:rsidRDefault="003D694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2022</w:t>
      </w:r>
    </w:p>
    <w:p w:rsidR="00EB0789" w:rsidRDefault="003D69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2022</w:t>
      </w:r>
    </w:p>
    <w:p w:rsidR="00EB0789" w:rsidRDefault="003D6943">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14, 2022</w:t>
      </w:r>
    </w:p>
    <w:p w:rsidR="00EB0789" w:rsidRDefault="00EB0789">
      <w:pPr>
        <w:spacing w:line="360" w:lineRule="auto"/>
        <w:jc w:val="both"/>
      </w:pPr>
    </w:p>
    <w:p w:rsidR="00EB0789" w:rsidRDefault="003D6943">
      <w:pPr>
        <w:spacing w:line="360" w:lineRule="auto"/>
        <w:jc w:val="both"/>
      </w:pPr>
      <w:r>
        <w:rPr>
          <w:rFonts w:ascii="Book Antiqua" w:eastAsia="Book Antiqua" w:hAnsi="Book Antiqua" w:cs="Book Antiqua"/>
          <w:b/>
          <w:color w:val="000000"/>
        </w:rPr>
        <w:t xml:space="preserve">Specialty type: </w:t>
      </w:r>
      <w:bookmarkStart w:id="2" w:name="_Hlk71726650"/>
      <w:bookmarkStart w:id="3" w:name="OLE_LINK2066"/>
      <w:bookmarkStart w:id="4" w:name="OLE_LINK1952"/>
      <w:bookmarkStart w:id="5" w:name="OLE_LINK1953"/>
      <w:r>
        <w:rPr>
          <w:rFonts w:ascii="Book Antiqua" w:eastAsia="微软雅黑" w:hAnsi="Book Antiqua" w:cs="宋体"/>
        </w:rPr>
        <w:t>Medicine, research and experimenta</w:t>
      </w:r>
      <w:bookmarkEnd w:id="2"/>
      <w:r>
        <w:rPr>
          <w:rFonts w:ascii="Book Antiqua" w:eastAsia="微软雅黑" w:hAnsi="Book Antiqua" w:cs="宋体"/>
        </w:rPr>
        <w:t>l</w:t>
      </w:r>
      <w:bookmarkEnd w:id="3"/>
      <w:bookmarkEnd w:id="4"/>
      <w:bookmarkEnd w:id="5"/>
    </w:p>
    <w:p w:rsidR="00EB0789" w:rsidRDefault="003D69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EB0789" w:rsidRDefault="003D6943">
      <w:pPr>
        <w:spacing w:line="360" w:lineRule="auto"/>
        <w:jc w:val="both"/>
      </w:pPr>
      <w:r>
        <w:rPr>
          <w:rFonts w:ascii="Book Antiqua" w:eastAsia="Book Antiqua" w:hAnsi="Book Antiqua" w:cs="Book Antiqua"/>
          <w:b/>
          <w:color w:val="000000"/>
        </w:rPr>
        <w:t>Peer-review report’s scientific quality classification</w:t>
      </w:r>
    </w:p>
    <w:p w:rsidR="00EB0789" w:rsidRDefault="003D694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EB0789" w:rsidRDefault="003D6943">
      <w:pPr>
        <w:spacing w:line="360" w:lineRule="auto"/>
        <w:jc w:val="both"/>
      </w:pPr>
      <w:r>
        <w:rPr>
          <w:rFonts w:ascii="Book Antiqua" w:eastAsia="Book Antiqua" w:hAnsi="Book Antiqua" w:cs="Book Antiqua"/>
          <w:color w:val="000000"/>
        </w:rPr>
        <w:t>Grade B (Very good): B</w:t>
      </w:r>
    </w:p>
    <w:p w:rsidR="00EB0789" w:rsidRDefault="003D6943">
      <w:pPr>
        <w:spacing w:line="360" w:lineRule="auto"/>
        <w:jc w:val="both"/>
      </w:pPr>
      <w:r>
        <w:rPr>
          <w:rFonts w:ascii="Book Antiqua" w:eastAsia="Book Antiqua" w:hAnsi="Book Antiqua" w:cs="Book Antiqua"/>
          <w:color w:val="000000"/>
        </w:rPr>
        <w:t>Grade C (Good): 0</w:t>
      </w:r>
    </w:p>
    <w:p w:rsidR="00EB0789" w:rsidRDefault="003D6943">
      <w:pPr>
        <w:spacing w:line="360" w:lineRule="auto"/>
        <w:jc w:val="both"/>
      </w:pPr>
      <w:r>
        <w:rPr>
          <w:rFonts w:ascii="Book Antiqua" w:eastAsia="Book Antiqua" w:hAnsi="Book Antiqua" w:cs="Book Antiqua"/>
          <w:color w:val="000000"/>
        </w:rPr>
        <w:t>Grade D (Fair): D</w:t>
      </w:r>
    </w:p>
    <w:p w:rsidR="00EB0789" w:rsidRDefault="003D6943">
      <w:pPr>
        <w:spacing w:line="360" w:lineRule="auto"/>
        <w:jc w:val="both"/>
      </w:pPr>
      <w:r>
        <w:rPr>
          <w:rFonts w:ascii="Book Antiqua" w:eastAsia="Book Antiqua" w:hAnsi="Book Antiqua" w:cs="Book Antiqua"/>
          <w:color w:val="000000"/>
        </w:rPr>
        <w:t>Grade E (Poor): 0</w:t>
      </w:r>
    </w:p>
    <w:p w:rsidR="00EB0789" w:rsidRDefault="00EB0789">
      <w:pPr>
        <w:spacing w:line="360" w:lineRule="auto"/>
        <w:jc w:val="both"/>
      </w:pPr>
    </w:p>
    <w:p w:rsidR="00EB0789" w:rsidRDefault="003D694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Chojnacki</w:t>
      </w:r>
      <w:proofErr w:type="spellEnd"/>
      <w:r>
        <w:rPr>
          <w:rFonts w:ascii="Book Antiqua" w:eastAsia="Book Antiqua" w:hAnsi="Book Antiqua" w:cs="Book Antiqua"/>
          <w:color w:val="000000"/>
        </w:rPr>
        <w:t xml:space="preserve"> J, Poland; Fujimori S, Japan</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Fan JR</w:t>
      </w:r>
    </w:p>
    <w:p w:rsidR="003C429F" w:rsidRDefault="003C429F">
      <w:pPr>
        <w:rPr>
          <w:rFonts w:ascii="Book Antiqua" w:hAnsi="Book Antiqua" w:cs="Book Antiqua"/>
          <w:b/>
          <w:color w:val="000000"/>
          <w:lang w:eastAsia="zh-CN"/>
        </w:rPr>
      </w:pPr>
      <w:r>
        <w:rPr>
          <w:rFonts w:ascii="Book Antiqua" w:hAnsi="Book Antiqua" w:cs="Book Antiqua"/>
          <w:b/>
          <w:color w:val="000000"/>
          <w:lang w:eastAsia="zh-CN"/>
        </w:rPr>
        <w:br w:type="page"/>
      </w:r>
    </w:p>
    <w:p w:rsidR="00EB0789" w:rsidRDefault="003D69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EB0789" w:rsidRDefault="003D6943">
      <w:pPr>
        <w:spacing w:line="360" w:lineRule="auto"/>
        <w:jc w:val="both"/>
        <w:rPr>
          <w:lang w:eastAsia="zh-CN"/>
        </w:rPr>
      </w:pPr>
      <w:bookmarkStart w:id="6" w:name="_GoBack"/>
      <w:r>
        <w:rPr>
          <w:noProof/>
          <w:lang w:eastAsia="zh-CN"/>
        </w:rPr>
        <w:drawing>
          <wp:inline distT="0" distB="0" distL="0" distR="0">
            <wp:extent cx="5934410" cy="4111591"/>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4410" cy="4111591"/>
                    </a:xfrm>
                    <a:prstGeom prst="rect">
                      <a:avLst/>
                    </a:prstGeom>
                  </pic:spPr>
                </pic:pic>
              </a:graphicData>
            </a:graphic>
          </wp:inline>
        </w:drawing>
      </w:r>
      <w:bookmarkEnd w:id="6"/>
    </w:p>
    <w:p w:rsidR="003C429F" w:rsidRDefault="003D694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Figure 1 </w:t>
      </w:r>
      <w:r>
        <w:rPr>
          <w:rFonts w:ascii="Book Antiqua" w:eastAsia="Book Antiqua" w:hAnsi="Book Antiqua" w:cs="Book Antiqua"/>
          <w:b/>
          <w:i/>
          <w:color w:val="000000"/>
        </w:rPr>
        <w:t xml:space="preserve">Helicobacter </w:t>
      </w:r>
      <w:r>
        <w:rPr>
          <w:rFonts w:ascii="Book Antiqua" w:hAnsi="Book Antiqua" w:cs="Book Antiqua" w:hint="eastAsia"/>
          <w:b/>
          <w:i/>
          <w:color w:val="000000"/>
          <w:lang w:eastAsia="zh-CN"/>
        </w:rPr>
        <w:t>p</w:t>
      </w:r>
      <w:r>
        <w:rPr>
          <w:rFonts w:ascii="Book Antiqua" w:eastAsia="Book Antiqua" w:hAnsi="Book Antiqua" w:cs="Book Antiqua"/>
          <w:b/>
          <w:i/>
          <w:color w:val="000000"/>
        </w:rPr>
        <w:t>ylori</w:t>
      </w:r>
      <w:r>
        <w:rPr>
          <w:rFonts w:ascii="Book Antiqua" w:eastAsia="Book Antiqua" w:hAnsi="Book Antiqua" w:cs="Book Antiqua"/>
          <w:b/>
          <w:color w:val="000000"/>
        </w:rPr>
        <w:t xml:space="preserve"> </w:t>
      </w:r>
      <w:r>
        <w:rPr>
          <w:rFonts w:ascii="Book Antiqua" w:hAnsi="Book Antiqua" w:cs="Book Antiqua" w:hint="eastAsia"/>
          <w:b/>
          <w:color w:val="000000"/>
          <w:lang w:eastAsia="zh-CN"/>
        </w:rPr>
        <w:t>i</w:t>
      </w:r>
      <w:r>
        <w:rPr>
          <w:rFonts w:ascii="Book Antiqua" w:eastAsia="Book Antiqua" w:hAnsi="Book Antiqua" w:cs="Book Antiqua"/>
          <w:b/>
          <w:color w:val="000000"/>
        </w:rPr>
        <w:t xml:space="preserve">nfection,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mall </w:t>
      </w:r>
      <w:r>
        <w:rPr>
          <w:rFonts w:ascii="Book Antiqua" w:hAnsi="Book Antiqua" w:cs="Book Antiqua" w:hint="eastAsia"/>
          <w:b/>
          <w:color w:val="000000"/>
          <w:lang w:eastAsia="zh-CN"/>
        </w:rPr>
        <w:t>i</w:t>
      </w:r>
      <w:r>
        <w:rPr>
          <w:rFonts w:ascii="Book Antiqua" w:eastAsia="Book Antiqua" w:hAnsi="Book Antiqua" w:cs="Book Antiqua"/>
          <w:b/>
          <w:color w:val="000000"/>
        </w:rPr>
        <w:t xml:space="preserve">ntestinal </w:t>
      </w:r>
      <w:r>
        <w:rPr>
          <w:rFonts w:ascii="Book Antiqua" w:hAnsi="Book Antiqua" w:cs="Book Antiqua" w:hint="eastAsia"/>
          <w:b/>
          <w:color w:val="000000"/>
          <w:lang w:eastAsia="zh-CN"/>
        </w:rPr>
        <w:t>b</w:t>
      </w:r>
      <w:r>
        <w:rPr>
          <w:rFonts w:ascii="Book Antiqua" w:eastAsia="Book Antiqua" w:hAnsi="Book Antiqua" w:cs="Book Antiqua"/>
          <w:b/>
          <w:color w:val="000000"/>
        </w:rPr>
        <w:t xml:space="preserve">acterial </w:t>
      </w:r>
      <w:r>
        <w:rPr>
          <w:rFonts w:ascii="Book Antiqua" w:hAnsi="Book Antiqua" w:cs="Book Antiqua" w:hint="eastAsia"/>
          <w:b/>
          <w:color w:val="000000"/>
          <w:lang w:eastAsia="zh-CN"/>
        </w:rPr>
        <w:t>o</w:t>
      </w:r>
      <w:r>
        <w:rPr>
          <w:rFonts w:ascii="Book Antiqua" w:eastAsia="Book Antiqua" w:hAnsi="Book Antiqua" w:cs="Book Antiqua"/>
          <w:b/>
          <w:color w:val="000000"/>
        </w:rPr>
        <w:t xml:space="preserve">vergrowth and their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ssociated </w:t>
      </w:r>
      <w:r>
        <w:rPr>
          <w:rFonts w:ascii="Book Antiqua" w:hAnsi="Book Antiqua" w:cs="Book Antiqua" w:hint="eastAsia"/>
          <w:b/>
          <w:color w:val="000000"/>
          <w:lang w:eastAsia="zh-CN"/>
        </w:rPr>
        <w:t>p</w:t>
      </w:r>
      <w:r>
        <w:rPr>
          <w:rFonts w:ascii="Book Antiqua" w:eastAsia="Book Antiqua" w:hAnsi="Book Antiqua" w:cs="Book Antiqua"/>
          <w:b/>
          <w:color w:val="000000"/>
        </w:rPr>
        <w:t>athologies.</w:t>
      </w:r>
      <w:r w:rsidRPr="003C429F">
        <w:rPr>
          <w:rFonts w:ascii="Book Antiqua" w:eastAsia="Book Antiqua" w:hAnsi="Book Antiqua" w:cs="Book Antiqua"/>
          <w:b/>
          <w:color w:val="000000"/>
        </w:rPr>
        <w:t xml:space="preserve"> </w:t>
      </w:r>
      <w:r>
        <w:rPr>
          <w:rFonts w:ascii="Book Antiqua" w:eastAsia="Book Antiqua" w:hAnsi="Book Antiqua" w:cs="Book Antiqua"/>
          <w:color w:val="000000"/>
        </w:rPr>
        <w:t xml:space="preserve">Studies comparing </w:t>
      </w:r>
      <w:r>
        <w:rPr>
          <w:rFonts w:ascii="Book Antiqua" w:hAnsi="Book Antiqua" w:cs="Book Antiqua" w:hint="eastAsia"/>
          <w:color w:val="000000"/>
          <w:lang w:eastAsia="zh-CN"/>
        </w:rPr>
        <w:t>s</w:t>
      </w:r>
      <w:r>
        <w:rPr>
          <w:rFonts w:ascii="Book Antiqua" w:eastAsia="Book Antiqua" w:hAnsi="Book Antiqua" w:cs="Book Antiqua"/>
          <w:color w:val="000000"/>
        </w:rPr>
        <w:t xml:space="preserve">mall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ntestinal </w:t>
      </w:r>
      <w:r>
        <w:rPr>
          <w:rFonts w:ascii="Book Antiqua" w:hAnsi="Book Antiqua" w:cs="Book Antiqua" w:hint="eastAsia"/>
          <w:color w:val="000000"/>
          <w:lang w:eastAsia="zh-CN"/>
        </w:rPr>
        <w:t>b</w:t>
      </w:r>
      <w:r>
        <w:rPr>
          <w:rFonts w:ascii="Book Antiqua" w:eastAsia="Book Antiqua" w:hAnsi="Book Antiqua" w:cs="Book Antiqua"/>
          <w:color w:val="000000"/>
        </w:rPr>
        <w:t xml:space="preserve">acterial </w:t>
      </w:r>
      <w:r>
        <w:rPr>
          <w:rFonts w:ascii="Book Antiqua" w:hAnsi="Book Antiqua" w:cs="Book Antiqua" w:hint="eastAsia"/>
          <w:color w:val="000000"/>
          <w:lang w:eastAsia="zh-CN"/>
        </w:rPr>
        <w:t>o</w:t>
      </w:r>
      <w:r>
        <w:rPr>
          <w:rFonts w:ascii="Book Antiqua" w:eastAsia="Book Antiqua" w:hAnsi="Book Antiqua" w:cs="Book Antiqua"/>
          <w:color w:val="000000"/>
        </w:rPr>
        <w:t xml:space="preserve">vergrowth </w:t>
      </w:r>
      <w:r>
        <w:rPr>
          <w:rFonts w:ascii="Book Antiqua" w:hAnsi="Book Antiqua" w:cs="Book Antiqua" w:hint="eastAsia"/>
          <w:color w:val="000000"/>
          <w:lang w:eastAsia="zh-CN"/>
        </w:rPr>
        <w:t>(</w:t>
      </w:r>
      <w:r>
        <w:rPr>
          <w:rFonts w:ascii="Book Antiqua" w:eastAsia="Book Antiqua" w:hAnsi="Book Antiqua" w:cs="Book Antiqua"/>
          <w:color w:val="000000"/>
        </w:rPr>
        <w:t>SIBO</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color w:val="000000"/>
        </w:rPr>
        <w:t xml:space="preserve">Helicobacter </w:t>
      </w:r>
      <w:r>
        <w:rPr>
          <w:rFonts w:ascii="Book Antiqua" w:hAnsi="Book Antiqua" w:cs="Book Antiqua" w:hint="eastAsia"/>
          <w:i/>
          <w:color w:val="000000"/>
          <w:lang w:eastAsia="zh-CN"/>
        </w:rPr>
        <w:t>p</w:t>
      </w:r>
      <w:r>
        <w:rPr>
          <w:rFonts w:ascii="Book Antiqua" w:eastAsia="Book Antiqua" w:hAnsi="Book Antiqua" w:cs="Book Antiqua"/>
          <w:i/>
          <w:color w:val="000000"/>
        </w:rPr>
        <w:t>ylori</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nfection in patients with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epatic </w:t>
      </w:r>
      <w:r>
        <w:rPr>
          <w:rFonts w:ascii="Book Antiqua" w:hAnsi="Book Antiqua" w:cs="Book Antiqua" w:hint="eastAsia"/>
          <w:color w:val="000000"/>
          <w:lang w:eastAsia="zh-CN"/>
        </w:rPr>
        <w:t>e</w:t>
      </w:r>
      <w:r>
        <w:rPr>
          <w:rFonts w:ascii="Book Antiqua" w:eastAsia="Book Antiqua" w:hAnsi="Book Antiqua" w:cs="Book Antiqua"/>
          <w:color w:val="000000"/>
        </w:rPr>
        <w:t xml:space="preserve">ncephalopathy 15, </w:t>
      </w:r>
      <w:proofErr w:type="spellStart"/>
      <w:r>
        <w:rPr>
          <w:rFonts w:ascii="Book Antiqua" w:eastAsia="Book Antiqua" w:hAnsi="Book Antiqua" w:cs="Book Antiqua"/>
          <w:color w:val="000000"/>
        </w:rPr>
        <w:t>Fabry</w:t>
      </w:r>
      <w:proofErr w:type="spellEnd"/>
      <w:r>
        <w:rPr>
          <w:rFonts w:ascii="Book Antiqua" w:eastAsia="Book Antiqua" w:hAnsi="Book Antiqua" w:cs="Book Antiqua"/>
          <w:color w:val="000000"/>
        </w:rPr>
        <w:t xml:space="preserve">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16, Parkinson’s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17, Chronic urticarial</w:t>
      </w:r>
      <w:r>
        <w:rPr>
          <w:rFonts w:ascii="Book Antiqua" w:hAnsi="Book Antiqua" w:cs="Book Antiqua" w:hint="eastAsia"/>
          <w:color w:val="000000"/>
          <w:lang w:eastAsia="zh-CN"/>
        </w:rPr>
        <w:t xml:space="preserve"> </w:t>
      </w:r>
      <w:r>
        <w:rPr>
          <w:rFonts w:ascii="Book Antiqua" w:eastAsia="Book Antiqua" w:hAnsi="Book Antiqua" w:cs="Book Antiqua"/>
          <w:color w:val="000000"/>
        </w:rPr>
        <w:t>18, and Rosacea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 xml:space="preserve">Extra-gastric manifestations of </w:t>
      </w:r>
      <w:r>
        <w:rPr>
          <w:rFonts w:ascii="Book Antiqua" w:eastAsia="Book Antiqua" w:hAnsi="Book Antiqua" w:cs="Book Antiqua"/>
          <w:i/>
          <w:color w:val="000000"/>
        </w:rPr>
        <w:t xml:space="preserve">Helicobacter </w:t>
      </w:r>
      <w:r>
        <w:rPr>
          <w:rFonts w:ascii="Book Antiqua" w:hAnsi="Book Antiqua" w:cs="Book Antiqua" w:hint="eastAsia"/>
          <w:i/>
          <w:color w:val="000000"/>
          <w:lang w:eastAsia="zh-CN"/>
        </w:rPr>
        <w:t>p</w:t>
      </w:r>
      <w:r>
        <w:rPr>
          <w:rFonts w:ascii="Book Antiqua" w:eastAsia="Book Antiqua" w:hAnsi="Book Antiqua" w:cs="Book Antiqua"/>
          <w:i/>
          <w:color w:val="000000"/>
        </w:rPr>
        <w:t>ylori</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nfection 20.</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Extra-gastric manifestations of SIBO21.</w:t>
      </w:r>
      <w:proofErr w:type="gramEnd"/>
      <w:r>
        <w:rPr>
          <w:rFonts w:ascii="Book Antiqua" w:hAnsi="Book Antiqua" w:cs="Book Antiqua" w:hint="eastAsia"/>
          <w:color w:val="000000"/>
          <w:lang w:eastAsia="zh-CN"/>
        </w:rPr>
        <w:t xml:space="preserve"> </w:t>
      </w:r>
      <w:r>
        <w:rPr>
          <w:rFonts w:ascii="Book Antiqua" w:eastAsia="Book Antiqua" w:hAnsi="Book Antiqua" w:cs="Book Antiqua"/>
          <w:color w:val="000000"/>
        </w:rPr>
        <w:t>SIBO</w:t>
      </w:r>
      <w:r>
        <w:rPr>
          <w:rFonts w:ascii="Book Antiqua" w:hAnsi="Book Antiqua" w:cs="Book Antiqua" w:hint="eastAsia"/>
          <w:color w:val="000000"/>
          <w:lang w:eastAsia="zh-CN"/>
        </w:rPr>
        <w:t>: S</w:t>
      </w:r>
      <w:r>
        <w:rPr>
          <w:rFonts w:ascii="Book Antiqua" w:eastAsia="Book Antiqua" w:hAnsi="Book Antiqua" w:cs="Book Antiqua"/>
          <w:color w:val="000000"/>
        </w:rPr>
        <w:t xml:space="preserve">mall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ntestinal </w:t>
      </w:r>
      <w:r>
        <w:rPr>
          <w:rFonts w:ascii="Book Antiqua" w:hAnsi="Book Antiqua" w:cs="Book Antiqua" w:hint="eastAsia"/>
          <w:color w:val="000000"/>
          <w:lang w:eastAsia="zh-CN"/>
        </w:rPr>
        <w:t>b</w:t>
      </w:r>
      <w:r>
        <w:rPr>
          <w:rFonts w:ascii="Book Antiqua" w:eastAsia="Book Antiqua" w:hAnsi="Book Antiqua" w:cs="Book Antiqua"/>
          <w:color w:val="000000"/>
        </w:rPr>
        <w:t xml:space="preserve">acterial </w:t>
      </w:r>
      <w:r>
        <w:rPr>
          <w:rFonts w:ascii="Book Antiqua" w:hAnsi="Book Antiqua" w:cs="Book Antiqua" w:hint="eastAsia"/>
          <w:color w:val="000000"/>
          <w:lang w:eastAsia="zh-CN"/>
        </w:rPr>
        <w:t>o</w:t>
      </w:r>
      <w:r>
        <w:rPr>
          <w:rFonts w:ascii="Book Antiqua" w:eastAsia="Book Antiqua" w:hAnsi="Book Antiqua" w:cs="Book Antiqua"/>
          <w:color w:val="000000"/>
        </w:rPr>
        <w:t>vergrowth</w:t>
      </w:r>
      <w:r>
        <w:rPr>
          <w:rFonts w:ascii="Book Antiqua" w:hAnsi="Book Antiqua" w:cs="Book Antiqua" w:hint="eastAsia"/>
          <w:color w:val="000000"/>
          <w:lang w:eastAsia="zh-CN"/>
        </w:rPr>
        <w:t>.</w:t>
      </w:r>
    </w:p>
    <w:p w:rsidR="003C429F" w:rsidRDefault="003C429F">
      <w:pPr>
        <w:rPr>
          <w:rFonts w:ascii="Book Antiqua" w:hAnsi="Book Antiqua" w:cs="Book Antiqua"/>
          <w:color w:val="000000"/>
          <w:lang w:eastAsia="zh-CN"/>
        </w:rPr>
      </w:pPr>
      <w:r>
        <w:rPr>
          <w:rFonts w:ascii="Book Antiqua" w:hAnsi="Book Antiqua" w:cs="Book Antiqua"/>
          <w:color w:val="000000"/>
          <w:lang w:eastAsia="zh-CN"/>
        </w:rPr>
        <w:br w:type="page"/>
      </w: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r>
        <w:rPr>
          <w:rFonts w:ascii="Book Antiqua" w:hAnsi="Book Antiqua"/>
          <w:noProof/>
          <w:lang w:eastAsia="zh-CN"/>
        </w:rPr>
        <w:drawing>
          <wp:inline distT="0" distB="0" distL="0" distR="0" wp14:anchorId="314983E6" wp14:editId="6C55D1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C429F" w:rsidRDefault="003C429F" w:rsidP="003C429F">
      <w:pPr>
        <w:jc w:val="center"/>
        <w:rPr>
          <w:rFonts w:ascii="Book Antiqua" w:hAnsi="Book Antiqua"/>
        </w:rPr>
      </w:pPr>
    </w:p>
    <w:p w:rsidR="003C429F" w:rsidRPr="00763D22" w:rsidRDefault="003C429F" w:rsidP="003C429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3C429F" w:rsidRPr="00763D22" w:rsidRDefault="003C429F" w:rsidP="003C429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C429F" w:rsidRPr="00763D22" w:rsidRDefault="003C429F" w:rsidP="003C429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C429F" w:rsidRPr="00763D22" w:rsidRDefault="003C429F" w:rsidP="003C429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3C429F" w:rsidRPr="00763D22" w:rsidRDefault="003C429F" w:rsidP="003C429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C429F" w:rsidRPr="00763D22" w:rsidRDefault="003C429F" w:rsidP="003C429F">
      <w:pPr>
        <w:jc w:val="center"/>
        <w:rPr>
          <w:rFonts w:ascii="Book Antiqua" w:hAnsi="Book Antiqua"/>
        </w:rPr>
      </w:pPr>
      <w:r w:rsidRPr="00763D22">
        <w:rPr>
          <w:rFonts w:ascii="Book Antiqua" w:eastAsia="TimesNewRomanPSMT" w:hAnsi="Book Antiqua" w:cs="Garamond"/>
          <w:color w:val="D56400"/>
          <w:sz w:val="28"/>
          <w:szCs w:val="28"/>
        </w:rPr>
        <w:t>https://www.wjgnet.com</w:t>
      </w: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r>
        <w:rPr>
          <w:rFonts w:ascii="Book Antiqua" w:hAnsi="Book Antiqua"/>
          <w:noProof/>
          <w:lang w:eastAsia="zh-CN"/>
        </w:rPr>
        <w:drawing>
          <wp:inline distT="0" distB="0" distL="0" distR="0" wp14:anchorId="335483CF" wp14:editId="4C516C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Default="003C429F" w:rsidP="003C429F">
      <w:pPr>
        <w:jc w:val="center"/>
        <w:rPr>
          <w:rFonts w:ascii="Book Antiqua" w:hAnsi="Book Antiqua"/>
        </w:rPr>
      </w:pPr>
    </w:p>
    <w:p w:rsidR="003C429F" w:rsidRPr="00763D22" w:rsidRDefault="003C429F" w:rsidP="003C429F">
      <w:pPr>
        <w:jc w:val="right"/>
        <w:rPr>
          <w:rFonts w:ascii="Book Antiqua" w:hAnsi="Book Antiqua"/>
          <w:color w:val="000000" w:themeColor="text1"/>
        </w:rPr>
      </w:pPr>
    </w:p>
    <w:p w:rsidR="003C429F" w:rsidRPr="00763D22" w:rsidRDefault="003C429F" w:rsidP="003C429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EB0789" w:rsidRPr="003C429F" w:rsidRDefault="00EB0789">
      <w:pPr>
        <w:spacing w:line="360" w:lineRule="auto"/>
        <w:jc w:val="both"/>
        <w:rPr>
          <w:lang w:eastAsia="zh-CN"/>
        </w:rPr>
      </w:pPr>
    </w:p>
    <w:sectPr w:rsidR="00EB0789" w:rsidRPr="003C42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11" w:rsidRDefault="00EB0511">
      <w:r>
        <w:separator/>
      </w:r>
    </w:p>
  </w:endnote>
  <w:endnote w:type="continuationSeparator" w:id="0">
    <w:p w:rsidR="00EB0511" w:rsidRDefault="00EB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8433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EB0789" w:rsidRDefault="003D6943">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87BCC">
              <w:rPr>
                <w:rFonts w:ascii="Book Antiqua" w:hAnsi="Book Antiqua"/>
                <w:noProof/>
                <w:sz w:val="24"/>
                <w:szCs w:val="24"/>
              </w:rPr>
              <w:t>16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87BCC">
              <w:rPr>
                <w:rFonts w:ascii="Book Antiqua" w:hAnsi="Book Antiqua"/>
                <w:noProof/>
                <w:sz w:val="24"/>
                <w:szCs w:val="24"/>
              </w:rPr>
              <w:t>16</w:t>
            </w:r>
            <w:r>
              <w:rPr>
                <w:rFonts w:ascii="Book Antiqua" w:hAnsi="Book Antiqua"/>
                <w:sz w:val="24"/>
                <w:szCs w:val="24"/>
              </w:rPr>
              <w:fldChar w:fldCharType="end"/>
            </w:r>
          </w:p>
        </w:sdtContent>
      </w:sdt>
    </w:sdtContent>
  </w:sdt>
  <w:p w:rsidR="00EB0789" w:rsidRDefault="00EB07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11" w:rsidRDefault="00EB0511">
      <w:r>
        <w:separator/>
      </w:r>
    </w:p>
  </w:footnote>
  <w:footnote w:type="continuationSeparator" w:id="0">
    <w:p w:rsidR="00EB0511" w:rsidRDefault="00EB0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B6"/>
    <w:rsid w:val="00014E49"/>
    <w:rsid w:val="00047D3A"/>
    <w:rsid w:val="00051E95"/>
    <w:rsid w:val="00052ED9"/>
    <w:rsid w:val="00086901"/>
    <w:rsid w:val="000874E5"/>
    <w:rsid w:val="00087BCC"/>
    <w:rsid w:val="000D574C"/>
    <w:rsid w:val="000F68C9"/>
    <w:rsid w:val="00116622"/>
    <w:rsid w:val="00123498"/>
    <w:rsid w:val="0018657F"/>
    <w:rsid w:val="001C2147"/>
    <w:rsid w:val="001E5CCB"/>
    <w:rsid w:val="002009F2"/>
    <w:rsid w:val="002577C9"/>
    <w:rsid w:val="002B5812"/>
    <w:rsid w:val="00314FE9"/>
    <w:rsid w:val="00354B4C"/>
    <w:rsid w:val="0035615A"/>
    <w:rsid w:val="003C429F"/>
    <w:rsid w:val="003D6943"/>
    <w:rsid w:val="003E2824"/>
    <w:rsid w:val="003F1C9B"/>
    <w:rsid w:val="00426B1C"/>
    <w:rsid w:val="0044116E"/>
    <w:rsid w:val="00450BBF"/>
    <w:rsid w:val="00473D30"/>
    <w:rsid w:val="004A6D95"/>
    <w:rsid w:val="004C5438"/>
    <w:rsid w:val="004D0270"/>
    <w:rsid w:val="004D2331"/>
    <w:rsid w:val="004D436D"/>
    <w:rsid w:val="004F799A"/>
    <w:rsid w:val="00513FC7"/>
    <w:rsid w:val="00525CEC"/>
    <w:rsid w:val="00557D3D"/>
    <w:rsid w:val="005831CB"/>
    <w:rsid w:val="00584239"/>
    <w:rsid w:val="005D176B"/>
    <w:rsid w:val="005D5198"/>
    <w:rsid w:val="005F38BF"/>
    <w:rsid w:val="006164F3"/>
    <w:rsid w:val="00622C15"/>
    <w:rsid w:val="0062699D"/>
    <w:rsid w:val="006419BD"/>
    <w:rsid w:val="006B2ACC"/>
    <w:rsid w:val="007241C8"/>
    <w:rsid w:val="0072513C"/>
    <w:rsid w:val="007271D7"/>
    <w:rsid w:val="00731C61"/>
    <w:rsid w:val="00735AF1"/>
    <w:rsid w:val="00776E1F"/>
    <w:rsid w:val="007B7E27"/>
    <w:rsid w:val="007E543A"/>
    <w:rsid w:val="00802495"/>
    <w:rsid w:val="008042A3"/>
    <w:rsid w:val="00817B9D"/>
    <w:rsid w:val="008353F2"/>
    <w:rsid w:val="008A6FCB"/>
    <w:rsid w:val="008B004A"/>
    <w:rsid w:val="009009FD"/>
    <w:rsid w:val="00963486"/>
    <w:rsid w:val="009648A3"/>
    <w:rsid w:val="009740E5"/>
    <w:rsid w:val="00995BD1"/>
    <w:rsid w:val="009E5110"/>
    <w:rsid w:val="00A77B3E"/>
    <w:rsid w:val="00A81404"/>
    <w:rsid w:val="00AA6583"/>
    <w:rsid w:val="00AE5423"/>
    <w:rsid w:val="00B050A7"/>
    <w:rsid w:val="00B6761C"/>
    <w:rsid w:val="00B74E06"/>
    <w:rsid w:val="00BA2527"/>
    <w:rsid w:val="00C066F4"/>
    <w:rsid w:val="00C50EEB"/>
    <w:rsid w:val="00C74F61"/>
    <w:rsid w:val="00C90C62"/>
    <w:rsid w:val="00CA216A"/>
    <w:rsid w:val="00CA2A55"/>
    <w:rsid w:val="00CA2D8F"/>
    <w:rsid w:val="00CD04E0"/>
    <w:rsid w:val="00D03893"/>
    <w:rsid w:val="00D25DF7"/>
    <w:rsid w:val="00D722D6"/>
    <w:rsid w:val="00D903BD"/>
    <w:rsid w:val="00DB78B2"/>
    <w:rsid w:val="00DC1B2E"/>
    <w:rsid w:val="00DE7D38"/>
    <w:rsid w:val="00E31ED6"/>
    <w:rsid w:val="00E60EF6"/>
    <w:rsid w:val="00E74F15"/>
    <w:rsid w:val="00EB0511"/>
    <w:rsid w:val="00EB0789"/>
    <w:rsid w:val="00EC1112"/>
    <w:rsid w:val="00EC5542"/>
    <w:rsid w:val="00EE6C53"/>
    <w:rsid w:val="00EF051D"/>
    <w:rsid w:val="00F319E9"/>
    <w:rsid w:val="00F82D26"/>
    <w:rsid w:val="3E97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qFormat/>
    <w:rPr>
      <w:sz w:val="18"/>
      <w:szCs w:val="18"/>
    </w:rPr>
  </w:style>
  <w:style w:type="character" w:customStyle="1" w:styleId="q4iawc">
    <w:name w:val="q4iawc"/>
    <w:basedOn w:val="a0"/>
  </w:style>
  <w:style w:type="paragraph" w:customStyle="1" w:styleId="1">
    <w:name w:val="修订1"/>
    <w:hidden/>
    <w:uiPriority w:val="99"/>
    <w:semiHidden/>
    <w:rPr>
      <w:sz w:val="24"/>
      <w:szCs w:val="24"/>
      <w:lang w:eastAsia="en-US"/>
    </w:rPr>
  </w:style>
  <w:style w:type="character" w:styleId="a6">
    <w:name w:val="Hyperlink"/>
    <w:basedOn w:val="a0"/>
    <w:unhideWhenUsed/>
    <w:rsid w:val="003C42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qFormat/>
    <w:rPr>
      <w:sz w:val="18"/>
      <w:szCs w:val="18"/>
    </w:rPr>
  </w:style>
  <w:style w:type="character" w:customStyle="1" w:styleId="q4iawc">
    <w:name w:val="q4iawc"/>
    <w:basedOn w:val="a0"/>
  </w:style>
  <w:style w:type="paragraph" w:customStyle="1" w:styleId="1">
    <w:name w:val="修订1"/>
    <w:hidden/>
    <w:uiPriority w:val="99"/>
    <w:semiHidden/>
    <w:rPr>
      <w:sz w:val="24"/>
      <w:szCs w:val="24"/>
      <w:lang w:eastAsia="en-US"/>
    </w:rPr>
  </w:style>
  <w:style w:type="character" w:styleId="a6">
    <w:name w:val="Hyperlink"/>
    <w:basedOn w:val="a0"/>
    <w:unhideWhenUsed/>
    <w:rsid w:val="003C4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3692</Words>
  <Characters>21050</Characters>
  <Application>Microsoft Office Word</Application>
  <DocSecurity>0</DocSecurity>
  <Lines>175</Lines>
  <Paragraphs>49</Paragraphs>
  <ScaleCrop>false</ScaleCrop>
  <Company>HP</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86152</dc:creator>
  <cp:lastModifiedBy>HP</cp:lastModifiedBy>
  <cp:revision>6</cp:revision>
  <dcterms:created xsi:type="dcterms:W3CDTF">2022-06-15T02:38:00Z</dcterms:created>
  <dcterms:modified xsi:type="dcterms:W3CDTF">2022-07-10T19:47:00Z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BB10D4070DE347569B02B26ED3E1E477</vt:lpwstr>
  </property>
</Properties>
</file>