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970A" w14:textId="77777777" w:rsidR="00557EDD" w:rsidRDefault="0000000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Pathophysiology</w:t>
      </w:r>
    </w:p>
    <w:p w14:paraId="7DCE1F7D" w14:textId="77777777" w:rsidR="00557EDD"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75108</w:t>
      </w:r>
    </w:p>
    <w:p w14:paraId="679AFBD7" w14:textId="77777777" w:rsidR="00557EDD"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FBC43A4" w14:textId="77777777" w:rsidR="00557EDD" w:rsidRDefault="00557EDD">
      <w:pPr>
        <w:spacing w:line="360" w:lineRule="auto"/>
        <w:jc w:val="both"/>
        <w:rPr>
          <w:rFonts w:ascii="Book Antiqua" w:hAnsi="Book Antiqua"/>
        </w:rPr>
      </w:pPr>
    </w:p>
    <w:p w14:paraId="347BD0EE" w14:textId="77777777" w:rsidR="00557EDD" w:rsidRDefault="00000000">
      <w:pPr>
        <w:spacing w:line="360" w:lineRule="auto"/>
        <w:jc w:val="both"/>
        <w:rPr>
          <w:rFonts w:ascii="Book Antiqua" w:hAnsi="Book Antiqua"/>
        </w:rPr>
      </w:pPr>
      <w:r>
        <w:rPr>
          <w:rFonts w:ascii="Book Antiqua" w:eastAsia="Book Antiqua" w:hAnsi="Book Antiqua" w:cs="Book Antiqua"/>
          <w:b/>
          <w:i/>
          <w:color w:val="000000"/>
        </w:rPr>
        <w:t>Case Control Study</w:t>
      </w:r>
    </w:p>
    <w:p w14:paraId="0D0B18F3" w14:textId="77777777" w:rsidR="00557EDD" w:rsidRDefault="00000000">
      <w:pPr>
        <w:spacing w:line="360" w:lineRule="auto"/>
        <w:jc w:val="both"/>
        <w:rPr>
          <w:rFonts w:ascii="Book Antiqua" w:hAnsi="Book Antiqua"/>
        </w:rPr>
      </w:pPr>
      <w:r>
        <w:rPr>
          <w:rFonts w:ascii="Book Antiqua" w:eastAsia="Book Antiqua" w:hAnsi="Book Antiqua" w:cs="Book Antiqua"/>
          <w:b/>
          <w:color w:val="000000"/>
        </w:rPr>
        <w:t xml:space="preserve">Common polymorphisms of </w:t>
      </w:r>
      <w:r>
        <w:rPr>
          <w:rFonts w:ascii="Book Antiqua" w:hAnsi="Book Antiqua" w:cs="Book Antiqua" w:hint="eastAsia"/>
          <w:b/>
          <w:color w:val="000000"/>
          <w:lang w:eastAsia="zh-CN"/>
        </w:rPr>
        <w:t>p</w:t>
      </w:r>
      <w:r>
        <w:rPr>
          <w:rFonts w:ascii="Book Antiqua" w:eastAsia="Book Antiqua" w:hAnsi="Book Antiqua" w:cs="Book Antiqua"/>
          <w:b/>
          <w:color w:val="000000"/>
        </w:rPr>
        <w:t>rotein tyrosine phosphate non-receptor type 2</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gene are not associated with risk of Crohn’s disease in Indian</w:t>
      </w:r>
    </w:p>
    <w:p w14:paraId="7DC8D79F" w14:textId="77777777" w:rsidR="00557EDD" w:rsidRDefault="00557EDD">
      <w:pPr>
        <w:spacing w:line="360" w:lineRule="auto"/>
        <w:jc w:val="both"/>
        <w:rPr>
          <w:rFonts w:ascii="Book Antiqua" w:hAnsi="Book Antiqua"/>
        </w:rPr>
      </w:pPr>
    </w:p>
    <w:p w14:paraId="1D04FB8E"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Chatterjee </w:t>
      </w:r>
      <w:r>
        <w:rPr>
          <w:rFonts w:ascii="Book Antiqua" w:hAnsi="Book Antiqua" w:cs="Book Antiqua" w:hint="eastAsia"/>
          <w:color w:val="000000"/>
          <w:lang w:eastAsia="zh-CN"/>
        </w:rPr>
        <w:t xml:space="preserve">K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i/>
          <w:color w:val="000000"/>
        </w:rPr>
        <w:t>PTPN2</w:t>
      </w:r>
      <w:r>
        <w:rPr>
          <w:rFonts w:ascii="Book Antiqua" w:eastAsia="Book Antiqua" w:hAnsi="Book Antiqua" w:cs="Book Antiqua"/>
          <w:color w:val="000000"/>
        </w:rPr>
        <w:t xml:space="preserve"> gene polymorphism in CD</w:t>
      </w:r>
    </w:p>
    <w:p w14:paraId="633335C0" w14:textId="77777777" w:rsidR="00557EDD" w:rsidRDefault="00557EDD">
      <w:pPr>
        <w:spacing w:line="360" w:lineRule="auto"/>
        <w:jc w:val="both"/>
        <w:rPr>
          <w:rFonts w:ascii="Book Antiqua" w:hAnsi="Book Antiqua"/>
        </w:rPr>
      </w:pPr>
    </w:p>
    <w:p w14:paraId="3EA1E54F"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Kaushik Chatterjee, Amit Kumar Dutta, Ashish Goel, Rekha Aaron, Vijayalekshmi Balakrishnan, Ajith Thomas, Anoop John, Rajeeb Jaleel, Deepu David, Reuben Thomas Kurien, SD Chowdhury, Ebby George Simon, AJ Joseph, Prasanna Premkumar, Anna B Pulimood</w:t>
      </w:r>
    </w:p>
    <w:p w14:paraId="63E6EA61" w14:textId="77777777" w:rsidR="00557EDD" w:rsidRDefault="00557EDD">
      <w:pPr>
        <w:spacing w:line="360" w:lineRule="auto"/>
        <w:jc w:val="both"/>
        <w:rPr>
          <w:rFonts w:ascii="Book Antiqua" w:hAnsi="Book Antiqua"/>
        </w:rPr>
      </w:pPr>
    </w:p>
    <w:p w14:paraId="2CBA6D8C" w14:textId="77777777" w:rsidR="00557EDD" w:rsidRDefault="00000000">
      <w:pPr>
        <w:spacing w:line="360" w:lineRule="auto"/>
        <w:jc w:val="both"/>
        <w:rPr>
          <w:rFonts w:ascii="Book Antiqua" w:hAnsi="Book Antiqua"/>
        </w:rPr>
      </w:pPr>
      <w:r>
        <w:rPr>
          <w:rFonts w:ascii="Book Antiqua" w:eastAsia="Book Antiqua" w:hAnsi="Book Antiqua" w:cs="Book Antiqua"/>
          <w:b/>
          <w:bCs/>
          <w:color w:val="000000"/>
        </w:rPr>
        <w:t>Kaushik Chatterjee, Amit Kumar Dutta, Ashish Goel, Rekha Aaron, Vijayalekshmi Balakrishnan, Ajith Thomas, Anoop John,</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Rajeeb Jaleel, SD Chowdhury, Anna B Pulimood, </w:t>
      </w:r>
      <w:r>
        <w:rPr>
          <w:rFonts w:ascii="Book Antiqua" w:eastAsia="Book Antiqua" w:hAnsi="Book Antiqua" w:cs="Book Antiqua"/>
          <w:color w:val="000000"/>
        </w:rPr>
        <w:t>Department of Gastrointestinal Sciences, Christian Medical College and Hospital, Vellore 632004, Tamil Nadu, India</w:t>
      </w:r>
    </w:p>
    <w:p w14:paraId="07095354" w14:textId="77777777" w:rsidR="00557EDD" w:rsidRDefault="00557EDD">
      <w:pPr>
        <w:spacing w:line="360" w:lineRule="auto"/>
        <w:jc w:val="both"/>
        <w:rPr>
          <w:rFonts w:ascii="Book Antiqua" w:hAnsi="Book Antiqua"/>
        </w:rPr>
      </w:pPr>
    </w:p>
    <w:p w14:paraId="0BCE6B3A" w14:textId="77777777" w:rsidR="00557EDD" w:rsidRDefault="00000000">
      <w:pPr>
        <w:spacing w:line="360" w:lineRule="auto"/>
        <w:jc w:val="both"/>
        <w:rPr>
          <w:rFonts w:ascii="Book Antiqua" w:hAnsi="Book Antiqua"/>
        </w:rPr>
      </w:pPr>
      <w:r>
        <w:rPr>
          <w:rFonts w:ascii="Book Antiqua" w:eastAsia="Book Antiqua" w:hAnsi="Book Antiqua" w:cs="Book Antiqua"/>
          <w:b/>
          <w:bCs/>
          <w:color w:val="000000"/>
        </w:rPr>
        <w:t xml:space="preserve">Deepu David, Reuben Thomas Kurien, Ebby George Simon, AJ Joseph, </w:t>
      </w:r>
      <w:r>
        <w:rPr>
          <w:rFonts w:ascii="Book Antiqua" w:eastAsia="Book Antiqua" w:hAnsi="Book Antiqua" w:cs="Book Antiqua"/>
          <w:color w:val="000000"/>
        </w:rPr>
        <w:t>Department of Gastroenterology, Christian Medical College, Vellore</w:t>
      </w:r>
      <w:r>
        <w:rPr>
          <w:rFonts w:ascii="Book Antiqua" w:hAnsi="Book Antiqua" w:cs="Book Antiqua" w:hint="eastAsia"/>
          <w:color w:val="000000"/>
          <w:lang w:eastAsia="zh-CN"/>
        </w:rPr>
        <w:t xml:space="preserve"> </w:t>
      </w:r>
      <w:r>
        <w:rPr>
          <w:rFonts w:ascii="Book Antiqua" w:eastAsia="Book Antiqua" w:hAnsi="Book Antiqua" w:cs="Book Antiqua"/>
          <w:color w:val="000000"/>
        </w:rPr>
        <w:t>632004, Tamil Nadu, India</w:t>
      </w:r>
    </w:p>
    <w:p w14:paraId="08F43BE8" w14:textId="77777777" w:rsidR="00557EDD" w:rsidRDefault="00557EDD">
      <w:pPr>
        <w:spacing w:line="360" w:lineRule="auto"/>
        <w:jc w:val="both"/>
        <w:rPr>
          <w:rFonts w:ascii="Book Antiqua" w:hAnsi="Book Antiqua"/>
        </w:rPr>
      </w:pPr>
    </w:p>
    <w:p w14:paraId="1CAAF0BA" w14:textId="77777777" w:rsidR="00557EDD" w:rsidRDefault="00000000">
      <w:pPr>
        <w:spacing w:line="360" w:lineRule="auto"/>
        <w:jc w:val="both"/>
        <w:rPr>
          <w:rFonts w:ascii="Book Antiqua" w:hAnsi="Book Antiqua"/>
        </w:rPr>
      </w:pPr>
      <w:r>
        <w:rPr>
          <w:rFonts w:ascii="Book Antiqua" w:eastAsia="Book Antiqua" w:hAnsi="Book Antiqua" w:cs="Book Antiqua"/>
          <w:b/>
          <w:bCs/>
          <w:color w:val="000000"/>
        </w:rPr>
        <w:t xml:space="preserve">Prasanna Premkumar, </w:t>
      </w:r>
      <w:r>
        <w:rPr>
          <w:rFonts w:ascii="Book Antiqua" w:eastAsia="Book Antiqua" w:hAnsi="Book Antiqua" w:cs="Book Antiqua"/>
          <w:color w:val="000000"/>
        </w:rPr>
        <w:t>Departments of Biostatistics, Christian Medical College, Vellore 632004, Tamil Nadu, India</w:t>
      </w:r>
    </w:p>
    <w:p w14:paraId="64E1C0F2" w14:textId="77777777" w:rsidR="00557EDD" w:rsidRDefault="00557EDD">
      <w:pPr>
        <w:spacing w:line="360" w:lineRule="auto"/>
        <w:jc w:val="both"/>
        <w:rPr>
          <w:rFonts w:ascii="Book Antiqua" w:hAnsi="Book Antiqua"/>
        </w:rPr>
      </w:pPr>
    </w:p>
    <w:p w14:paraId="43B3F8A7" w14:textId="77777777" w:rsidR="00557EDD"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Chatterjee K recruited the patients, collected the samples, and critically revised the manuscript; Dutta AK designed the study, analyzed the data, and wrote the manuscript; Balakrishnan V and Aaron R carried out laboratory analysis and </w:t>
      </w:r>
      <w:r>
        <w:rPr>
          <w:rFonts w:ascii="Book Antiqua" w:eastAsia="Book Antiqua" w:hAnsi="Book Antiqua" w:cs="Book Antiqua"/>
          <w:color w:val="000000"/>
        </w:rPr>
        <w:lastRenderedPageBreak/>
        <w:t>critically revised the manuscript ; Samuel P helped with study design, data analysis, and critical revision; Goel A, Thomas A, John A, Jaleel R, David D, Kurien RT, Chowdhury SD, Simon EG, Joseph AJ, and Pulimood AB helped with data collection and critical revision of the manuscript</w:t>
      </w:r>
      <w:r>
        <w:rPr>
          <w:rFonts w:ascii="Book Antiqua" w:hAnsi="Book Antiqua" w:cs="Book Antiqua" w:hint="eastAsia"/>
          <w:color w:val="000000"/>
          <w:lang w:eastAsia="zh-CN"/>
        </w:rPr>
        <w:t>; a</w:t>
      </w:r>
      <w:r>
        <w:rPr>
          <w:rFonts w:ascii="Book Antiqua" w:eastAsia="Book Antiqua" w:hAnsi="Book Antiqua" w:cs="Book Antiqua"/>
          <w:color w:val="000000"/>
          <w:shd w:val="clear" w:color="auto" w:fill="FFFFFF"/>
        </w:rPr>
        <w:t>ll authors have read and approved the final manuscript.</w:t>
      </w:r>
    </w:p>
    <w:p w14:paraId="6A56F85B" w14:textId="77777777" w:rsidR="00557EDD" w:rsidRDefault="00557EDD">
      <w:pPr>
        <w:spacing w:line="360" w:lineRule="auto"/>
        <w:jc w:val="both"/>
        <w:rPr>
          <w:rFonts w:ascii="Book Antiqua" w:hAnsi="Book Antiqua"/>
        </w:rPr>
      </w:pPr>
    </w:p>
    <w:p w14:paraId="2582A529" w14:textId="77777777" w:rsidR="00557EDD" w:rsidRDefault="00000000">
      <w:pPr>
        <w:spacing w:line="360" w:lineRule="auto"/>
        <w:jc w:val="both"/>
        <w:rPr>
          <w:rFonts w:ascii="Book Antiqua" w:hAnsi="Book Antiqua"/>
          <w:lang w:eastAsia="zh-CN"/>
        </w:rPr>
      </w:pPr>
      <w:r>
        <w:rPr>
          <w:rFonts w:ascii="Book Antiqua" w:eastAsia="Book Antiqua" w:hAnsi="Book Antiqua" w:cs="Book Antiqua"/>
          <w:b/>
          <w:bCs/>
          <w:color w:val="000000"/>
        </w:rPr>
        <w:t xml:space="preserve">Supported by </w:t>
      </w:r>
      <w:r>
        <w:rPr>
          <w:rFonts w:ascii="Book Antiqua" w:hAnsi="Book Antiqua" w:cs="Book Antiqua" w:hint="eastAsia"/>
          <w:bCs/>
          <w:color w:val="000000"/>
          <w:lang w:eastAsia="zh-CN"/>
        </w:rPr>
        <w:t xml:space="preserve">the </w:t>
      </w:r>
      <w:r>
        <w:rPr>
          <w:rFonts w:ascii="Book Antiqua" w:eastAsia="Book Antiqua" w:hAnsi="Book Antiqua" w:cs="Book Antiqua"/>
          <w:color w:val="000000"/>
        </w:rPr>
        <w:t xml:space="preserve">CMC Vellore FLUID grant, </w:t>
      </w:r>
      <w:r>
        <w:rPr>
          <w:rFonts w:ascii="Book Antiqua" w:hAnsi="Book Antiqua" w:cs="Book Antiqua" w:hint="eastAsia"/>
          <w:color w:val="000000"/>
          <w:lang w:eastAsia="zh-CN"/>
        </w:rPr>
        <w:t>No.</w:t>
      </w:r>
      <w:r>
        <w:rPr>
          <w:rFonts w:ascii="Book Antiqua" w:eastAsia="Book Antiqua" w:hAnsi="Book Antiqua" w:cs="Book Antiqua"/>
          <w:color w:val="000000"/>
        </w:rPr>
        <w:t xml:space="preserve"> 10360</w:t>
      </w:r>
      <w:r>
        <w:rPr>
          <w:rFonts w:ascii="Book Antiqua" w:hAnsi="Book Antiqua" w:cs="Book Antiqua" w:hint="eastAsia"/>
          <w:color w:val="000000"/>
          <w:lang w:eastAsia="zh-CN"/>
        </w:rPr>
        <w:t>.</w:t>
      </w:r>
    </w:p>
    <w:p w14:paraId="2006D12A" w14:textId="77777777" w:rsidR="00557EDD" w:rsidRDefault="00557EDD">
      <w:pPr>
        <w:spacing w:line="360" w:lineRule="auto"/>
        <w:jc w:val="both"/>
        <w:rPr>
          <w:rFonts w:ascii="Book Antiqua" w:hAnsi="Book Antiqua"/>
        </w:rPr>
      </w:pPr>
    </w:p>
    <w:p w14:paraId="409305BC" w14:textId="77777777" w:rsidR="00557EDD"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Amit Kumar Dutta, MD, Professor, </w:t>
      </w:r>
      <w:r>
        <w:rPr>
          <w:rFonts w:ascii="Book Antiqua" w:eastAsia="Book Antiqua" w:hAnsi="Book Antiqua" w:cs="Book Antiqua"/>
          <w:color w:val="000000"/>
        </w:rPr>
        <w:t>Department of Gastrointestinal Sciences, Christian Medical College and Hospital,</w:t>
      </w:r>
      <w:r>
        <w:rPr>
          <w:rFonts w:ascii="Book Antiqua" w:hAnsi="Book Antiqua" w:cs="Book Antiqua" w:hint="eastAsia"/>
          <w:color w:val="000000"/>
          <w:lang w:eastAsia="zh-CN"/>
        </w:rPr>
        <w:t xml:space="preserve"> </w:t>
      </w:r>
      <w:r>
        <w:rPr>
          <w:rFonts w:ascii="Book Antiqua" w:eastAsia="Book Antiqua" w:hAnsi="Book Antiqua" w:cs="Book Antiqua"/>
          <w:color w:val="000000"/>
        </w:rPr>
        <w:t>Ground Floor, Williams Building, Vellore 632004, Tamil Nadu, India. akdutta1995@yahoo.co.in</w:t>
      </w:r>
    </w:p>
    <w:p w14:paraId="634FD017" w14:textId="77777777" w:rsidR="00557EDD" w:rsidRDefault="00557EDD">
      <w:pPr>
        <w:spacing w:line="360" w:lineRule="auto"/>
        <w:jc w:val="both"/>
        <w:rPr>
          <w:rFonts w:ascii="Book Antiqua" w:hAnsi="Book Antiqua"/>
        </w:rPr>
      </w:pPr>
    </w:p>
    <w:p w14:paraId="07EEF78C" w14:textId="77777777" w:rsidR="00557EDD" w:rsidRDefault="0000000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17, 2022</w:t>
      </w:r>
    </w:p>
    <w:p w14:paraId="759B6CA1" w14:textId="77777777" w:rsidR="00557EDD" w:rsidRDefault="00000000">
      <w:pPr>
        <w:spacing w:line="360" w:lineRule="auto"/>
        <w:jc w:val="both"/>
        <w:rPr>
          <w:rFonts w:ascii="Book Antiqua" w:hAnsi="Book Antiqua"/>
          <w:lang w:eastAsia="zh-CN"/>
        </w:rPr>
      </w:pPr>
      <w:r>
        <w:rPr>
          <w:rFonts w:ascii="Book Antiqua" w:eastAsia="Book Antiqua" w:hAnsi="Book Antiqua" w:cs="Book Antiqua"/>
          <w:b/>
          <w:bCs/>
          <w:color w:val="000000"/>
        </w:rPr>
        <w:t xml:space="preserve">Revised: </w:t>
      </w:r>
      <w:r>
        <w:rPr>
          <w:rFonts w:ascii="Book Antiqua" w:hAnsi="Book Antiqua" w:cs="Book Antiqua"/>
          <w:bCs/>
          <w:color w:val="000000"/>
          <w:lang w:eastAsia="zh-CN"/>
        </w:rPr>
        <w:t>March 18, 2022</w:t>
      </w:r>
    </w:p>
    <w:p w14:paraId="66A35439" w14:textId="77777777" w:rsidR="00557EDD" w:rsidRDefault="00000000">
      <w:pPr>
        <w:spacing w:line="360" w:lineRule="auto"/>
        <w:jc w:val="both"/>
        <w:rPr>
          <w:rFonts w:ascii="Book Antiqua" w:hAnsi="Book Antiqua"/>
          <w:lang w:eastAsia="zh-CN"/>
        </w:rPr>
      </w:pPr>
      <w:r>
        <w:rPr>
          <w:rFonts w:ascii="Book Antiqua" w:eastAsia="Book Antiqua" w:hAnsi="Book Antiqua" w:cs="Book Antiqua"/>
          <w:b/>
          <w:bCs/>
          <w:color w:val="000000"/>
        </w:rPr>
        <w:t>Accepted:</w:t>
      </w:r>
      <w:r>
        <w:t xml:space="preserve"> </w:t>
      </w:r>
      <w:r>
        <w:rPr>
          <w:rFonts w:ascii="Book Antiqua" w:eastAsia="Book Antiqua" w:hAnsi="Book Antiqua" w:cs="Book Antiqua"/>
          <w:color w:val="000000"/>
        </w:rPr>
        <w:t>May 22, 2022</w:t>
      </w:r>
    </w:p>
    <w:p w14:paraId="22E2F2BD" w14:textId="77777777" w:rsidR="00557EDD" w:rsidRDefault="00000000">
      <w:pPr>
        <w:spacing w:line="360" w:lineRule="auto"/>
        <w:jc w:val="both"/>
        <w:rPr>
          <w:rFonts w:ascii="Book Antiqua" w:hAnsi="Book Antiqua"/>
          <w:lang w:eastAsia="zh-CN"/>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July 22, 2022</w:t>
      </w:r>
    </w:p>
    <w:p w14:paraId="778702F1" w14:textId="77777777" w:rsidR="00557EDD" w:rsidRDefault="00557EDD">
      <w:pPr>
        <w:spacing w:line="360" w:lineRule="auto"/>
        <w:jc w:val="both"/>
        <w:rPr>
          <w:rFonts w:ascii="Book Antiqua" w:hAnsi="Book Antiqua"/>
          <w:lang w:eastAsia="zh-CN"/>
        </w:rPr>
      </w:pPr>
    </w:p>
    <w:p w14:paraId="1188BFEE" w14:textId="77777777" w:rsidR="00557EDD" w:rsidRDefault="00557EDD">
      <w:pPr>
        <w:spacing w:line="360" w:lineRule="auto"/>
        <w:jc w:val="both"/>
        <w:rPr>
          <w:rFonts w:ascii="Book Antiqua" w:hAnsi="Book Antiqua"/>
          <w:lang w:eastAsia="zh-CN"/>
        </w:rPr>
      </w:pPr>
    </w:p>
    <w:p w14:paraId="4637C1FC" w14:textId="77777777" w:rsidR="00557EDD" w:rsidRDefault="00557EDD">
      <w:pPr>
        <w:spacing w:line="360" w:lineRule="auto"/>
        <w:jc w:val="both"/>
        <w:rPr>
          <w:rFonts w:ascii="Book Antiqua" w:hAnsi="Book Antiqua"/>
        </w:rPr>
        <w:sectPr w:rsidR="00557EDD">
          <w:footerReference w:type="default" r:id="rId6"/>
          <w:pgSz w:w="12240" w:h="15840"/>
          <w:pgMar w:top="1440" w:right="1440" w:bottom="1440" w:left="1440" w:header="720" w:footer="720" w:gutter="0"/>
          <w:cols w:space="720"/>
          <w:docGrid w:linePitch="360"/>
        </w:sectPr>
      </w:pPr>
    </w:p>
    <w:p w14:paraId="6419C70C" w14:textId="77777777" w:rsidR="00557EDD"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BF603C8"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37FBE321"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Multiple genetic risk factors for Crohn’s disease (CD) have been identified. However, these observations are not consistent across different populations. The protein tyrosine phosphate non-receptor type 2 (</w:t>
      </w:r>
      <w:r>
        <w:rPr>
          <w:rFonts w:ascii="Book Antiqua" w:eastAsia="Book Antiqua" w:hAnsi="Book Antiqua" w:cs="Book Antiqua"/>
          <w:i/>
          <w:color w:val="000000"/>
        </w:rPr>
        <w:t>PTPN2</w:t>
      </w:r>
      <w:r>
        <w:rPr>
          <w:rFonts w:ascii="Book Antiqua" w:eastAsia="Book Antiqua" w:hAnsi="Book Antiqua" w:cs="Book Antiqua"/>
          <w:color w:val="000000"/>
        </w:rPr>
        <w:t xml:space="preserve">) gene plays a role in various aspects of host defense including epithelial barrier function, autophagy, and innate and adaptive immune response. Two common polymorphisms in the </w:t>
      </w:r>
      <w:r>
        <w:rPr>
          <w:rFonts w:ascii="Book Antiqua" w:eastAsia="Book Antiqua" w:hAnsi="Book Antiqua" w:cs="Book Antiqua"/>
          <w:i/>
          <w:color w:val="000000"/>
        </w:rPr>
        <w:t>PTPN2</w:t>
      </w:r>
      <w:r>
        <w:rPr>
          <w:rFonts w:ascii="Book Antiqua" w:eastAsia="Book Antiqua" w:hAnsi="Book Antiqua" w:cs="Book Antiqua"/>
          <w:color w:val="000000"/>
        </w:rPr>
        <w:t xml:space="preserve"> gene (rs2542151 and rs7234029) have been associated with risk of CD in Western countries. </w:t>
      </w:r>
    </w:p>
    <w:p w14:paraId="554529CD" w14:textId="77777777" w:rsidR="00557EDD" w:rsidRDefault="00557EDD">
      <w:pPr>
        <w:spacing w:line="360" w:lineRule="auto"/>
        <w:jc w:val="both"/>
        <w:rPr>
          <w:rFonts w:ascii="Book Antiqua" w:hAnsi="Book Antiqua"/>
        </w:rPr>
      </w:pPr>
    </w:p>
    <w:p w14:paraId="59617BE2"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AIM</w:t>
      </w:r>
    </w:p>
    <w:p w14:paraId="0BDA61D9" w14:textId="77777777" w:rsidR="00557EDD" w:rsidRDefault="00000000">
      <w:pPr>
        <w:spacing w:line="360" w:lineRule="auto"/>
        <w:jc w:val="both"/>
        <w:rPr>
          <w:rFonts w:ascii="Book Antiqua" w:hAnsi="Book Antiqua"/>
        </w:rPr>
      </w:pPr>
      <w:r>
        <w:rPr>
          <w:rFonts w:ascii="Book Antiqua" w:hAnsi="Book Antiqua" w:cs="Book Antiqua" w:hint="eastAsia"/>
          <w:color w:val="000000"/>
          <w:lang w:eastAsia="zh-CN"/>
        </w:rPr>
        <w:t>T</w:t>
      </w:r>
      <w:r>
        <w:rPr>
          <w:rFonts w:ascii="Book Antiqua" w:eastAsia="Book Antiqua" w:hAnsi="Book Antiqua" w:cs="Book Antiqua"/>
          <w:color w:val="000000"/>
        </w:rPr>
        <w:t xml:space="preserve">o evaluate the association of </w:t>
      </w:r>
      <w:r>
        <w:rPr>
          <w:rFonts w:ascii="Book Antiqua" w:eastAsia="Book Antiqua" w:hAnsi="Book Antiqua" w:cs="Book Antiqua"/>
          <w:i/>
          <w:color w:val="000000"/>
        </w:rPr>
        <w:t>PTPN2</w:t>
      </w:r>
      <w:r>
        <w:rPr>
          <w:rFonts w:ascii="Book Antiqua" w:eastAsia="Book Antiqua" w:hAnsi="Book Antiqua" w:cs="Book Antiqua"/>
          <w:color w:val="000000"/>
        </w:rPr>
        <w:t xml:space="preserve"> gene polymorphisms with risk of CD in Indian population.</w:t>
      </w:r>
    </w:p>
    <w:p w14:paraId="53E88604" w14:textId="77777777" w:rsidR="00557EDD" w:rsidRDefault="00557EDD">
      <w:pPr>
        <w:spacing w:line="360" w:lineRule="auto"/>
        <w:jc w:val="both"/>
        <w:rPr>
          <w:rFonts w:ascii="Book Antiqua" w:hAnsi="Book Antiqua"/>
        </w:rPr>
      </w:pPr>
    </w:p>
    <w:p w14:paraId="1A6A2C89"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METHODS</w:t>
      </w:r>
    </w:p>
    <w:p w14:paraId="763B3884"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We conducted a prospective case-control study. Patients with CD were recruited, and their clinical and investigation details were noted. Controls were patients without organic gastrointestinal disease or other comorbid illnesses. Two common polymorphisms in the </w:t>
      </w:r>
      <w:r>
        <w:rPr>
          <w:rFonts w:ascii="Book Antiqua" w:eastAsia="Book Antiqua" w:hAnsi="Book Antiqua" w:cs="Book Antiqua"/>
          <w:i/>
          <w:color w:val="000000"/>
        </w:rPr>
        <w:t>PTPN2</w:t>
      </w:r>
      <w:r>
        <w:rPr>
          <w:rFonts w:ascii="Book Antiqua" w:eastAsia="Book Antiqua" w:hAnsi="Book Antiqua" w:cs="Book Antiqua"/>
          <w:color w:val="000000"/>
        </w:rPr>
        <w:t xml:space="preserve"> gene (rs2542151 and rs7234029) were assessed. DNA was extracted from peripheral blood samples of cases and controls and target DNA was amplified using specific sets of primers. The amplified fragments were digested with restriction enzymes and the presence of polymorphism was detected by restriction fragment length polymorphism. The frequency of alleles was determined. The frequencies of genotypes and alleles were compared between cases and controls to look for significant differences.</w:t>
      </w:r>
    </w:p>
    <w:p w14:paraId="58F41B5C" w14:textId="77777777" w:rsidR="00557EDD" w:rsidRDefault="00557EDD">
      <w:pPr>
        <w:spacing w:line="360" w:lineRule="auto"/>
        <w:jc w:val="both"/>
        <w:rPr>
          <w:rFonts w:ascii="Book Antiqua" w:hAnsi="Book Antiqua"/>
        </w:rPr>
      </w:pPr>
    </w:p>
    <w:p w14:paraId="27CA788F"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RESULTS</w:t>
      </w:r>
    </w:p>
    <w:p w14:paraId="1D7FBB27"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A total of 108 patients with CD (mean age 37.5 </w:t>
      </w:r>
      <w:r>
        <w:rPr>
          <w:rFonts w:ascii="Book Antiqua" w:eastAsia="Book Antiqua" w:hAnsi="Book Antiqua"/>
          <w:color w:val="000000"/>
        </w:rPr>
        <w:t>±</w:t>
      </w:r>
      <w:r>
        <w:rPr>
          <w:rFonts w:ascii="Book Antiqua" w:eastAsia="Book Antiqua" w:hAnsi="Book Antiqua" w:cs="Book Antiqua"/>
          <w:color w:val="000000"/>
        </w:rPr>
        <w:t xml:space="preserve"> 12.7 years, females 42.6%) and 100 controls (mean age 39.9 </w:t>
      </w:r>
      <w:r>
        <w:rPr>
          <w:rFonts w:ascii="Book Antiqua" w:eastAsia="Book Antiqua" w:hAnsi="Book Antiqua"/>
          <w:color w:val="000000"/>
        </w:rPr>
        <w:t>±</w:t>
      </w:r>
      <w:r>
        <w:rPr>
          <w:rFonts w:ascii="Book Antiqua" w:eastAsia="Book Antiqua" w:hAnsi="Book Antiqua" w:cs="Book Antiqua"/>
          <w:color w:val="000000"/>
        </w:rPr>
        <w:t xml:space="preserve"> 13.5 years, females 37%) were recruited. For the single nucleotide polymorphism</w:t>
      </w:r>
      <w:r>
        <w:rPr>
          <w:rFonts w:ascii="Book Antiqua" w:hAnsi="Book Antiqua" w:cs="Book Antiqua" w:hint="eastAsia"/>
          <w:color w:val="000000"/>
          <w:lang w:eastAsia="zh-CN"/>
        </w:rPr>
        <w:t xml:space="preserve"> (SNP)</w:t>
      </w:r>
      <w:r>
        <w:rPr>
          <w:rFonts w:ascii="Book Antiqua" w:eastAsia="Book Antiqua" w:hAnsi="Book Antiqua" w:cs="Book Antiqua"/>
          <w:color w:val="000000"/>
        </w:rPr>
        <w:t xml:space="preserve"> rs7234029, the overall frequency of G variant genotype (AG or GG) was noted to be significantly lower in the cases compared to controls (35.2%</w:t>
      </w:r>
      <w:r>
        <w:rPr>
          <w:rFonts w:ascii="Book Antiqua" w:eastAsia="Book Antiqua" w:hAnsi="Book Antiqua" w:cs="Book Antiqua"/>
          <w:i/>
          <w:color w:val="000000"/>
        </w:rPr>
        <w:t xml:space="preserve"> </w:t>
      </w:r>
      <w:r>
        <w:rPr>
          <w:rFonts w:ascii="Book Antiqua" w:eastAsia="Book Antiqua" w:hAnsi="Book Antiqua" w:cs="Book Antiqua"/>
          <w:i/>
          <w:color w:val="000000"/>
        </w:rPr>
        <w:lastRenderedPageBreak/>
        <w:t xml:space="preserve">vs </w:t>
      </w:r>
      <w:r>
        <w:rPr>
          <w:rFonts w:ascii="Book Antiqua" w:eastAsia="Book Antiqua" w:hAnsi="Book Antiqua" w:cs="Book Antiqua"/>
          <w:color w:val="000000"/>
        </w:rPr>
        <w:t xml:space="preserve">50%, </w:t>
      </w:r>
      <w:r>
        <w:rPr>
          <w:rFonts w:ascii="Book Antiqua" w:eastAsia="Book Antiqua" w:hAnsi="Book Antiqua" w:cs="Book Antiqua"/>
          <w:i/>
          <w:iCs/>
          <w:color w:val="000000"/>
        </w:rPr>
        <w:t>P</w:t>
      </w:r>
      <w:r>
        <w:rPr>
          <w:rFonts w:ascii="Book Antiqua" w:eastAsia="Book Antiqua" w:hAnsi="Book Antiqua" w:cs="Book Antiqua"/>
          <w:color w:val="000000"/>
        </w:rPr>
        <w:t xml:space="preserve"> = 0.05). For the SNP rs2542151, the overall frequency of G variant genotype (GT or GG) was noted to be similar in cases compared to controls (43.6%</w:t>
      </w:r>
      <w:r>
        <w:rPr>
          <w:rFonts w:ascii="Book Antiqua" w:eastAsia="Book Antiqua" w:hAnsi="Book Antiqua" w:cs="Book Antiqua"/>
          <w:i/>
          <w:color w:val="000000"/>
        </w:rPr>
        <w:t xml:space="preserve"> vs </w:t>
      </w:r>
      <w:r>
        <w:rPr>
          <w:rFonts w:ascii="Book Antiqua" w:eastAsia="Book Antiqua" w:hAnsi="Book Antiqua" w:cs="Book Antiqua"/>
          <w:color w:val="000000"/>
        </w:rPr>
        <w:t xml:space="preserve">47%, </w:t>
      </w:r>
      <w:r>
        <w:rPr>
          <w:rFonts w:ascii="Book Antiqua" w:eastAsia="Book Antiqua" w:hAnsi="Book Antiqua" w:cs="Book Antiqua"/>
          <w:i/>
          <w:iCs/>
          <w:color w:val="000000"/>
        </w:rPr>
        <w:t>P</w:t>
      </w:r>
      <w:r>
        <w:rPr>
          <w:rFonts w:ascii="Book Antiqua" w:eastAsia="Book Antiqua" w:hAnsi="Book Antiqua" w:cs="Book Antiqua"/>
          <w:color w:val="000000"/>
        </w:rPr>
        <w:t xml:space="preserve"> = 0.73). There were no significant differences in minor allele (G) frequency for both polymorphisms between the cases and controls. Both the SNPs had no significant association with age of onset of illness, gender, disease location, disease behaviour, perianal disease, or extraintestinal manifestations of CD.</w:t>
      </w:r>
    </w:p>
    <w:p w14:paraId="483B794B" w14:textId="77777777" w:rsidR="00557EDD" w:rsidRDefault="00557EDD">
      <w:pPr>
        <w:spacing w:line="360" w:lineRule="auto"/>
        <w:jc w:val="both"/>
        <w:rPr>
          <w:rFonts w:ascii="Book Antiqua" w:hAnsi="Book Antiqua"/>
        </w:rPr>
      </w:pPr>
    </w:p>
    <w:p w14:paraId="2CA91FF1"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6F3B3764"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Unlike observation form the West, </w:t>
      </w:r>
      <w:r>
        <w:rPr>
          <w:rFonts w:ascii="Book Antiqua" w:eastAsia="Book Antiqua" w:hAnsi="Book Antiqua" w:cs="Book Antiqua"/>
          <w:color w:val="000000"/>
          <w:shd w:val="clear" w:color="auto" w:fill="FFFFFF"/>
        </w:rPr>
        <w:t xml:space="preserve">polymorphisms in the </w:t>
      </w:r>
      <w:r>
        <w:rPr>
          <w:rFonts w:ascii="Book Antiqua" w:eastAsia="Book Antiqua" w:hAnsi="Book Antiqua" w:cs="Book Antiqua"/>
          <w:i/>
          <w:color w:val="000000"/>
          <w:shd w:val="clear" w:color="auto" w:fill="FFFFFF"/>
        </w:rPr>
        <w:t>PTPN2</w:t>
      </w:r>
      <w:r>
        <w:rPr>
          <w:rFonts w:ascii="Book Antiqua" w:eastAsia="Book Antiqua" w:hAnsi="Book Antiqua" w:cs="Book Antiqua"/>
          <w:color w:val="000000"/>
          <w:shd w:val="clear" w:color="auto" w:fill="FFFFFF"/>
        </w:rPr>
        <w:t xml:space="preserve"> gene (rs7234029 and rs2542151) are not associated with an increased risk of developing CD in Indian patients.</w:t>
      </w:r>
    </w:p>
    <w:p w14:paraId="4DC8E52C" w14:textId="77777777" w:rsidR="00557EDD" w:rsidRDefault="00557EDD">
      <w:pPr>
        <w:spacing w:line="360" w:lineRule="auto"/>
        <w:jc w:val="both"/>
        <w:rPr>
          <w:rFonts w:ascii="Book Antiqua" w:hAnsi="Book Antiqua"/>
        </w:rPr>
      </w:pPr>
    </w:p>
    <w:p w14:paraId="2F0CADEA" w14:textId="77777777" w:rsidR="00557EDD" w:rsidRDefault="0000000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i/>
          <w:color w:val="000000"/>
        </w:rPr>
        <w:t>PTPN2</w:t>
      </w:r>
      <w:r>
        <w:rPr>
          <w:rFonts w:ascii="Book Antiqua" w:eastAsia="Book Antiqua" w:hAnsi="Book Antiqua" w:cs="Book Antiqua"/>
          <w:color w:val="000000"/>
        </w:rPr>
        <w:t xml:space="preserve"> gene; Crohn’s disease; Genetic polymorphism; Case-control study; Asia; Risk factor</w:t>
      </w:r>
    </w:p>
    <w:p w14:paraId="1478B730" w14:textId="34235A0C" w:rsidR="00557EDD" w:rsidRDefault="00557EDD">
      <w:pPr>
        <w:spacing w:line="360" w:lineRule="auto"/>
        <w:jc w:val="both"/>
        <w:rPr>
          <w:rFonts w:ascii="Book Antiqua" w:hAnsi="Book Antiqua"/>
        </w:rPr>
      </w:pPr>
    </w:p>
    <w:p w14:paraId="4A303A5B" w14:textId="77777777" w:rsidR="001612A2" w:rsidRDefault="001612A2" w:rsidP="001612A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4B425128" w14:textId="77777777" w:rsidR="001612A2" w:rsidRDefault="001612A2">
      <w:pPr>
        <w:spacing w:line="360" w:lineRule="auto"/>
        <w:jc w:val="both"/>
        <w:rPr>
          <w:rFonts w:ascii="Book Antiqua" w:hAnsi="Book Antiqua"/>
        </w:rPr>
      </w:pPr>
    </w:p>
    <w:p w14:paraId="4305E75A" w14:textId="770413BD" w:rsidR="00AC6C0E" w:rsidRDefault="00AC6C0E" w:rsidP="00AC6C0E">
      <w:pPr>
        <w:spacing w:line="360" w:lineRule="auto"/>
        <w:rPr>
          <w:rFonts w:ascii="Book Antiqua" w:eastAsia="Book Antiqua" w:hAnsi="Book Antiqua" w:cs="Book Antiqua"/>
          <w:color w:val="000000"/>
        </w:rPr>
      </w:pPr>
      <w:r>
        <w:rPr>
          <w:rFonts w:ascii="Book Antiqua" w:hAnsi="Book Antiqua" w:hint="eastAsia"/>
          <w:b/>
          <w:bCs/>
          <w:lang w:eastAsia="zh-CN"/>
        </w:rPr>
        <w:t>Citation:</w:t>
      </w:r>
      <w:r>
        <w:rPr>
          <w:rFonts w:ascii="Book Antiqua" w:hAnsi="Book Antiqua"/>
        </w:rPr>
        <w:t xml:space="preserve"> </w:t>
      </w:r>
      <w:r>
        <w:rPr>
          <w:rFonts w:ascii="Book Antiqua" w:eastAsia="Book Antiqua" w:hAnsi="Book Antiqua" w:cs="Book Antiqua"/>
          <w:color w:val="000000"/>
        </w:rPr>
        <w:t xml:space="preserve">Chatterjee K, Dutta AK, Goel A, Aaron R, Balakrishnan V, Thomas A, John A, Jaleel R, David D, Kurien RT, Chowdhury S, Simon EG, Joseph A, Premkumar P, Pulimood AB. Common polymorphisms of protein tyrosine phosphate non-receptor type 2 gene are not associated with risk of Crohn’s disease in Indian. </w:t>
      </w:r>
      <w:r>
        <w:rPr>
          <w:rFonts w:ascii="Book Antiqua" w:eastAsia="Book Antiqua" w:hAnsi="Book Antiqua" w:cs="Book Antiqua"/>
          <w:i/>
          <w:iCs/>
          <w:color w:val="000000"/>
        </w:rPr>
        <w:t>World J Gastrointest Pathophysiol</w:t>
      </w:r>
      <w:r>
        <w:rPr>
          <w:rFonts w:ascii="Book Antiqua" w:eastAsia="Book Antiqua" w:hAnsi="Book Antiqua" w:cs="Book Antiqua"/>
          <w:color w:val="000000"/>
        </w:rPr>
        <w:t xml:space="preserve"> 2022; </w:t>
      </w:r>
      <w:r>
        <w:rPr>
          <w:rFonts w:ascii="Book Antiqua" w:eastAsia="Book Antiqua" w:hAnsi="Book Antiqua" w:cs="Book Antiqua" w:hint="eastAsia"/>
          <w:color w:val="000000"/>
        </w:rPr>
        <w:t xml:space="preserve">13(4): </w:t>
      </w:r>
      <w:r w:rsidRPr="00AC6C0E">
        <w:rPr>
          <w:rFonts w:ascii="Book Antiqua" w:eastAsia="Book Antiqua" w:hAnsi="Book Antiqua" w:cs="Book Antiqua"/>
          <w:color w:val="000000"/>
        </w:rPr>
        <w:t>114-123</w:t>
      </w:r>
      <w:r>
        <w:rPr>
          <w:rFonts w:ascii="Book Antiqua" w:eastAsia="Book Antiqua" w:hAnsi="Book Antiqua" w:cs="Book Antiqua" w:hint="eastAsia"/>
          <w:color w:val="000000"/>
        </w:rPr>
        <w:t xml:space="preserve"> </w:t>
      </w:r>
    </w:p>
    <w:p w14:paraId="2DDB1684" w14:textId="02B92087" w:rsidR="00AC6C0E" w:rsidRDefault="00000000" w:rsidP="00AC6C0E">
      <w:pPr>
        <w:spacing w:line="360" w:lineRule="auto"/>
        <w:rPr>
          <w:rFonts w:ascii="Book Antiqua" w:eastAsia="Book Antiqua" w:hAnsi="Book Antiqua" w:cs="Book Antiqua"/>
          <w:color w:val="000000"/>
        </w:rPr>
      </w:pPr>
      <w:r w:rsidRPr="00AC6C0E">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w:t>
      </w:r>
      <w:hyperlink r:id="rId7" w:history="1">
        <w:r w:rsidR="00AC6C0E" w:rsidRPr="00AC6C0E">
          <w:rPr>
            <w:rStyle w:val="af"/>
            <w:rFonts w:ascii="Book Antiqua" w:eastAsia="Book Antiqua" w:hAnsi="Book Antiqua" w:cs="Book Antiqua" w:hint="eastAsia"/>
            <w:color w:val="auto"/>
            <w:u w:val="none"/>
          </w:rPr>
          <w:t>https://www.wjgnet.com/2150-5330/full/v13/i4/</w:t>
        </w:r>
        <w:r w:rsidR="00AC6C0E" w:rsidRPr="00AC6C0E">
          <w:rPr>
            <w:rStyle w:val="af"/>
            <w:rFonts w:ascii="Book Antiqua" w:eastAsia="Book Antiqua" w:hAnsi="Book Antiqua" w:cs="Book Antiqua"/>
            <w:color w:val="auto"/>
            <w:u w:val="none"/>
          </w:rPr>
          <w:t>114</w:t>
        </w:r>
        <w:r w:rsidR="00AC6C0E" w:rsidRPr="00AC6C0E">
          <w:rPr>
            <w:rStyle w:val="af"/>
            <w:rFonts w:ascii="Book Antiqua" w:eastAsia="Book Antiqua" w:hAnsi="Book Antiqua" w:cs="Book Antiqua" w:hint="eastAsia"/>
            <w:color w:val="auto"/>
            <w:u w:val="none"/>
          </w:rPr>
          <w:t>.htm</w:t>
        </w:r>
      </w:hyperlink>
      <w:r w:rsidRPr="00AC6C0E">
        <w:rPr>
          <w:rFonts w:ascii="Book Antiqua" w:eastAsia="Book Antiqua" w:hAnsi="Book Antiqua" w:cs="Book Antiqua" w:hint="eastAsia"/>
        </w:rPr>
        <w:t xml:space="preserve"> </w:t>
      </w:r>
    </w:p>
    <w:p w14:paraId="7618635B" w14:textId="0202D2A8" w:rsidR="00557EDD" w:rsidRPr="00AC6C0E" w:rsidRDefault="00000000" w:rsidP="00AC6C0E">
      <w:pPr>
        <w:spacing w:line="360" w:lineRule="auto"/>
        <w:rPr>
          <w:rFonts w:ascii="Book Antiqua" w:eastAsia="Book Antiqua" w:hAnsi="Book Antiqua" w:cs="Book Antiqua"/>
          <w:color w:val="000000"/>
          <w:sz w:val="22"/>
          <w:szCs w:val="22"/>
        </w:rPr>
      </w:pPr>
      <w:r w:rsidRPr="00AC6C0E">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https://dx.doi.org/10.4291/wjgp.v13.i4.</w:t>
      </w:r>
      <w:r w:rsidR="00AC6C0E">
        <w:rPr>
          <w:rFonts w:ascii="Book Antiqua" w:eastAsia="Book Antiqua" w:hAnsi="Book Antiqua" w:cs="Book Antiqua"/>
          <w:color w:val="000000"/>
        </w:rPr>
        <w:t>114</w:t>
      </w:r>
    </w:p>
    <w:p w14:paraId="20A89FBC" w14:textId="77777777" w:rsidR="00557EDD" w:rsidRDefault="00557EDD">
      <w:pPr>
        <w:spacing w:line="360" w:lineRule="auto"/>
        <w:jc w:val="both"/>
        <w:rPr>
          <w:rFonts w:ascii="Book Antiqua" w:hAnsi="Book Antiqua"/>
        </w:rPr>
      </w:pPr>
    </w:p>
    <w:p w14:paraId="0004A493" w14:textId="77777777" w:rsidR="00557EDD"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Several genetic risk factors have been associated with Crohn’s disease and they have provided valuable insights into the pathogenesis of the disease. However, some of the genetic changes are not observed uniformly across all populations and hence it is essential to determine their occurrence in different populations. In this prospective case-</w:t>
      </w:r>
      <w:r>
        <w:rPr>
          <w:rFonts w:ascii="Book Antiqua" w:eastAsia="Book Antiqua" w:hAnsi="Book Antiqua" w:cs="Book Antiqua"/>
          <w:color w:val="000000"/>
        </w:rPr>
        <w:lastRenderedPageBreak/>
        <w:t xml:space="preserve">control study, we investigated the association of two common polymorphisms in the </w:t>
      </w:r>
      <w:r>
        <w:rPr>
          <w:rFonts w:ascii="Book Antiqua" w:hAnsi="Book Antiqua" w:cs="Book Antiqua" w:hint="eastAsia"/>
          <w:color w:val="000000"/>
          <w:lang w:eastAsia="zh-CN"/>
        </w:rPr>
        <w:t>p</w:t>
      </w:r>
      <w:r>
        <w:rPr>
          <w:rFonts w:ascii="Book Antiqua" w:eastAsia="Book Antiqua" w:hAnsi="Book Antiqua" w:cs="Book Antiqua"/>
          <w:color w:val="000000"/>
        </w:rPr>
        <w:t>rotein tyrosine phosphate non-receptor type 2 (</w:t>
      </w:r>
      <w:r>
        <w:rPr>
          <w:rFonts w:ascii="Book Antiqua" w:eastAsia="Book Antiqua" w:hAnsi="Book Antiqua" w:cs="Book Antiqua"/>
          <w:i/>
          <w:color w:val="000000"/>
        </w:rPr>
        <w:t>PTPN2</w:t>
      </w:r>
      <w:r>
        <w:rPr>
          <w:rFonts w:ascii="Book Antiqua" w:eastAsia="Book Antiqua" w:hAnsi="Book Antiqua" w:cs="Book Antiqua"/>
          <w:color w:val="000000"/>
        </w:rPr>
        <w:t xml:space="preserve">) gene (rs7234029 and rs2542151) with risk of Crohn’s Disease in an Asian country. Our results showed that contrary to observation form the West, polymorphisms in the </w:t>
      </w:r>
      <w:r>
        <w:rPr>
          <w:rFonts w:ascii="Book Antiqua" w:eastAsia="Book Antiqua" w:hAnsi="Book Antiqua" w:cs="Book Antiqua"/>
          <w:i/>
          <w:color w:val="000000"/>
        </w:rPr>
        <w:t>PTPN2</w:t>
      </w:r>
      <w:r>
        <w:rPr>
          <w:rFonts w:ascii="Book Antiqua" w:eastAsia="Book Antiqua" w:hAnsi="Book Antiqua" w:cs="Book Antiqua"/>
          <w:color w:val="000000"/>
        </w:rPr>
        <w:t xml:space="preserve"> gene were not associated with an increased risk of developing Crohn’s disease.</w:t>
      </w:r>
    </w:p>
    <w:p w14:paraId="4D2A547F" w14:textId="77777777" w:rsidR="00557EDD" w:rsidRDefault="00557EDD">
      <w:pPr>
        <w:spacing w:line="360" w:lineRule="auto"/>
        <w:jc w:val="both"/>
        <w:rPr>
          <w:rFonts w:ascii="Book Antiqua" w:hAnsi="Book Antiqua" w:cs="Book Antiqua"/>
          <w:color w:val="000000"/>
          <w:lang w:eastAsia="zh-CN"/>
        </w:rPr>
      </w:pPr>
    </w:p>
    <w:p w14:paraId="6BF875B6" w14:textId="77777777" w:rsidR="00557EDD" w:rsidRDefault="00557EDD">
      <w:pPr>
        <w:spacing w:line="360" w:lineRule="auto"/>
        <w:jc w:val="both"/>
        <w:rPr>
          <w:rFonts w:ascii="Book Antiqua" w:hAnsi="Book Antiqua" w:cs="Book Antiqua"/>
          <w:color w:val="000000"/>
          <w:lang w:eastAsia="zh-CN"/>
        </w:rPr>
      </w:pPr>
    </w:p>
    <w:p w14:paraId="35C8AC32" w14:textId="77777777" w:rsidR="00557EDD" w:rsidRDefault="00557EDD">
      <w:pPr>
        <w:spacing w:line="360" w:lineRule="auto"/>
        <w:jc w:val="both"/>
        <w:rPr>
          <w:rFonts w:ascii="Book Antiqua" w:hAnsi="Book Antiqua" w:cs="Book Antiqua"/>
          <w:color w:val="000000"/>
          <w:lang w:eastAsia="zh-CN"/>
        </w:rPr>
      </w:pPr>
    </w:p>
    <w:p w14:paraId="6E82D559" w14:textId="77777777" w:rsidR="00557EDD" w:rsidRDefault="00557EDD">
      <w:pPr>
        <w:spacing w:line="360" w:lineRule="auto"/>
        <w:jc w:val="both"/>
        <w:rPr>
          <w:rFonts w:ascii="Book Antiqua" w:hAnsi="Book Antiqua" w:cs="Book Antiqua"/>
          <w:color w:val="000000"/>
          <w:lang w:eastAsia="zh-CN"/>
        </w:rPr>
      </w:pPr>
    </w:p>
    <w:p w14:paraId="2C3FB9B5" w14:textId="77777777" w:rsidR="00557EDD" w:rsidRDefault="00557EDD">
      <w:pPr>
        <w:spacing w:line="360" w:lineRule="auto"/>
        <w:jc w:val="both"/>
        <w:rPr>
          <w:rFonts w:ascii="Book Antiqua" w:eastAsia="Book Antiqua" w:hAnsi="Book Antiqua" w:cs="Book Antiqua"/>
          <w:color w:val="000000"/>
        </w:rPr>
      </w:pPr>
    </w:p>
    <w:p w14:paraId="23C430B1" w14:textId="77777777" w:rsidR="00557EDD"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388CCB45"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Crohn’s disease (CD) is a chronic inflammatory disorder of the gastrointestinal tract with the peak age of onset in the third and fourth decades of life</w:t>
      </w:r>
      <w:r>
        <w:rPr>
          <w:rFonts w:ascii="Book Antiqua" w:eastAsia="Book Antiqua" w:hAnsi="Book Antiqua" w:cs="Book Antiqua"/>
          <w:color w:val="000000"/>
          <w:vertAlign w:val="superscript"/>
        </w:rPr>
        <w:t>[</w:t>
      </w:r>
      <w:hyperlink w:anchor="_ENREF_1" w:tooltip="Ramakrishna BS, 2015 #55" w:history="1">
        <w:r>
          <w:rPr>
            <w:rFonts w:ascii="Book Antiqua" w:eastAsia="Book Antiqua" w:hAnsi="Book Antiqua" w:cs="Book Antiqua"/>
            <w:color w:val="000000"/>
            <w:vertAlign w:val="superscript"/>
          </w:rPr>
          <w:t>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 frequency of CD is increasing in several Asian countries including India</w:t>
      </w:r>
      <w:r>
        <w:rPr>
          <w:rFonts w:ascii="Book Antiqua" w:hAnsi="Book Antiqua" w:cs="Book Antiqua" w:hint="eastAsia"/>
          <w:color w:val="000000"/>
          <w:vertAlign w:val="superscript"/>
          <w:lang w:eastAsia="zh-CN"/>
        </w:rPr>
        <w:t>[1,2]</w:t>
      </w:r>
      <w:r>
        <w:rPr>
          <w:rFonts w:ascii="Book Antiqua" w:eastAsia="Book Antiqua" w:hAnsi="Book Antiqua" w:cs="Book Antiqua"/>
          <w:color w:val="000000"/>
        </w:rPr>
        <w:t>. Environmental factors, gut microbiota, and host genetic factors are considered to be the key players in the pathogenesis of CD resulting in dysregulated immune response. Research on genetic factors has made significant contribution in understanding the pathogenesis of CD</w:t>
      </w:r>
      <w:r>
        <w:rPr>
          <w:rFonts w:ascii="Book Antiqua" w:eastAsia="Book Antiqua" w:hAnsi="Book Antiqua" w:cs="Book Antiqua"/>
          <w:color w:val="000000"/>
          <w:vertAlign w:val="superscript"/>
        </w:rPr>
        <w:t>[</w:t>
      </w:r>
      <w:hyperlink w:anchor="_ENREF_3" w:tooltip="Jung, 2009 #35" w:history="1">
        <w:r>
          <w:rPr>
            <w:rFonts w:ascii="Book Antiqua" w:eastAsia="Book Antiqua" w:hAnsi="Book Antiqua" w:cs="Book Antiqua"/>
            <w:color w:val="000000"/>
            <w:vertAlign w:val="superscript"/>
          </w:rPr>
          <w:t>3</w:t>
        </w:r>
      </w:hyperlink>
      <w:r>
        <w:rPr>
          <w:rFonts w:ascii="Book Antiqua" w:eastAsia="Book Antiqua" w:hAnsi="Book Antiqua" w:cs="Book Antiqua"/>
          <w:color w:val="000000"/>
          <w:vertAlign w:val="superscript"/>
        </w:rPr>
        <w:t>,</w:t>
      </w:r>
      <w:hyperlink w:anchor="_ENREF_4" w:tooltip="Jostins, 2012 #51" w:history="1">
        <w:r>
          <w:rPr>
            <w:rFonts w:ascii="Book Antiqua" w:eastAsia="Book Antiqua" w:hAnsi="Book Antiqua" w:cs="Book Antiqua"/>
            <w:color w:val="000000"/>
            <w:vertAlign w:val="superscript"/>
          </w:rPr>
          <w:t>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These include defective innate immunity and intracellular bacterial killing (</w:t>
      </w:r>
      <w:r>
        <w:rPr>
          <w:rFonts w:ascii="Book Antiqua" w:eastAsia="Book Antiqua" w:hAnsi="Book Antiqua" w:cs="Book Antiqua"/>
          <w:i/>
          <w:color w:val="000000"/>
        </w:rPr>
        <w:t>CARD15/NOD2, IL23R</w:t>
      </w:r>
      <w:r>
        <w:rPr>
          <w:rFonts w:ascii="Book Antiqua" w:eastAsia="Book Antiqua" w:hAnsi="Book Antiqua" w:cs="Book Antiqua"/>
          <w:color w:val="000000"/>
        </w:rPr>
        <w:t xml:space="preserve">, and </w:t>
      </w:r>
      <w:r>
        <w:rPr>
          <w:rFonts w:ascii="Book Antiqua" w:eastAsia="Book Antiqua" w:hAnsi="Book Antiqua" w:cs="Book Antiqua"/>
          <w:i/>
          <w:color w:val="000000"/>
        </w:rPr>
        <w:t>LRRK2</w:t>
      </w:r>
      <w:r>
        <w:rPr>
          <w:rFonts w:ascii="Book Antiqua" w:eastAsia="Book Antiqua" w:hAnsi="Book Antiqua" w:cs="Book Antiqua"/>
          <w:color w:val="000000"/>
        </w:rPr>
        <w:t xml:space="preserve"> genes), defective autophagy (</w:t>
      </w:r>
      <w:r>
        <w:rPr>
          <w:rFonts w:ascii="Book Antiqua" w:eastAsia="Book Antiqua" w:hAnsi="Book Antiqua" w:cs="Book Antiqua"/>
          <w:i/>
          <w:color w:val="000000"/>
        </w:rPr>
        <w:t>ATG16L1</w:t>
      </w:r>
      <w:r>
        <w:rPr>
          <w:rFonts w:ascii="Book Antiqua" w:eastAsia="Book Antiqua" w:hAnsi="Book Antiqua" w:cs="Book Antiqua"/>
          <w:color w:val="000000"/>
        </w:rPr>
        <w:t xml:space="preserve"> and </w:t>
      </w:r>
      <w:r>
        <w:rPr>
          <w:rFonts w:ascii="Book Antiqua" w:eastAsia="Book Antiqua" w:hAnsi="Book Antiqua" w:cs="Book Antiqua"/>
          <w:i/>
          <w:color w:val="000000"/>
        </w:rPr>
        <w:t>IRGM</w:t>
      </w:r>
      <w:r>
        <w:rPr>
          <w:rFonts w:ascii="Book Antiqua" w:eastAsia="Book Antiqua" w:hAnsi="Book Antiqua" w:cs="Book Antiqua"/>
          <w:color w:val="000000"/>
        </w:rPr>
        <w:t xml:space="preserve"> genes), and dysregulated adaptive immune responses, namely, the interleukin-23 (IL-23) and T helper 17 (Th17) cell pathway (</w:t>
      </w:r>
      <w:r>
        <w:rPr>
          <w:rFonts w:ascii="Book Antiqua" w:eastAsia="Book Antiqua" w:hAnsi="Book Antiqua" w:cs="Book Antiqua"/>
          <w:i/>
          <w:color w:val="000000"/>
        </w:rPr>
        <w:t>IL23R, IL12B, STAT3, JAK2</w:t>
      </w:r>
      <w:r>
        <w:rPr>
          <w:rFonts w:ascii="Book Antiqua" w:eastAsia="Book Antiqua" w:hAnsi="Book Antiqua" w:cs="Book Antiqua"/>
          <w:color w:val="000000"/>
        </w:rPr>
        <w:t xml:space="preserve">, and </w:t>
      </w:r>
      <w:r>
        <w:rPr>
          <w:rFonts w:ascii="Book Antiqua" w:eastAsia="Book Antiqua" w:hAnsi="Book Antiqua" w:cs="Book Antiqua"/>
          <w:i/>
          <w:color w:val="000000"/>
        </w:rPr>
        <w:t>TYK2</w:t>
      </w:r>
      <w:r>
        <w:rPr>
          <w:rFonts w:ascii="Book Antiqua" w:eastAsia="Book Antiqua" w:hAnsi="Book Antiqua" w:cs="Book Antiqua"/>
          <w:color w:val="000000"/>
        </w:rPr>
        <w:t xml:space="preserve"> genes)</w:t>
      </w:r>
      <w:r>
        <w:rPr>
          <w:rFonts w:ascii="Book Antiqua" w:eastAsia="Book Antiqua" w:hAnsi="Book Antiqua" w:cs="Book Antiqua"/>
          <w:color w:val="000000"/>
          <w:vertAlign w:val="superscript"/>
        </w:rPr>
        <w:t>[</w:t>
      </w:r>
      <w:hyperlink w:anchor="_ENREF_4" w:tooltip="Jostins, 2012 #51" w:history="1">
        <w:r>
          <w:rPr>
            <w:rFonts w:ascii="Book Antiqua" w:eastAsia="Book Antiqua" w:hAnsi="Book Antiqua" w:cs="Book Antiqua"/>
            <w:color w:val="000000"/>
            <w:vertAlign w:val="superscript"/>
          </w:rPr>
          <w:t>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Some of the genetic alterations identified in CD are not observed uniformly across different populations</w:t>
      </w:r>
      <w:r>
        <w:rPr>
          <w:rFonts w:ascii="Book Antiqua" w:eastAsia="Book Antiqua" w:hAnsi="Book Antiqua" w:cs="Book Antiqua"/>
          <w:color w:val="000000"/>
          <w:vertAlign w:val="superscript"/>
        </w:rPr>
        <w:t>[</w:t>
      </w:r>
      <w:hyperlink w:anchor="_ENREF_5" w:tooltip="Ng, 2012 #54" w:history="1">
        <w:r>
          <w:rPr>
            <w:rFonts w:ascii="Book Antiqua" w:eastAsia="Book Antiqua" w:hAnsi="Book Antiqua" w:cs="Book Antiqua"/>
            <w:color w:val="000000"/>
            <w:vertAlign w:val="superscript"/>
          </w:rPr>
          <w:t>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For example, the mutation in the </w:t>
      </w:r>
      <w:r>
        <w:rPr>
          <w:rFonts w:ascii="Book Antiqua" w:eastAsia="Book Antiqua" w:hAnsi="Book Antiqua" w:cs="Book Antiqua"/>
          <w:i/>
          <w:iCs/>
          <w:color w:val="000000"/>
        </w:rPr>
        <w:t>NOD2/CARD15</w:t>
      </w:r>
      <w:r>
        <w:rPr>
          <w:rFonts w:ascii="Book Antiqua" w:eastAsia="Book Antiqua" w:hAnsi="Book Antiqua" w:cs="Book Antiqua"/>
          <w:color w:val="000000"/>
        </w:rPr>
        <w:t xml:space="preserve"> gene present in the Western population with CD was not detected in Indian patients with CD</w:t>
      </w:r>
      <w:r>
        <w:rPr>
          <w:rFonts w:ascii="Book Antiqua" w:eastAsia="Book Antiqua" w:hAnsi="Book Antiqua" w:cs="Book Antiqua"/>
          <w:color w:val="000000"/>
          <w:vertAlign w:val="superscript"/>
        </w:rPr>
        <w:t>[</w:t>
      </w:r>
      <w:hyperlink w:anchor="_ENREF_6" w:tooltip="Srinivasan Pugazhendhi, 2008 #52" w:history="1">
        <w:r>
          <w:rPr>
            <w:rFonts w:ascii="Book Antiqua" w:eastAsia="Book Antiqua" w:hAnsi="Book Antiqua" w:cs="Book Antiqua"/>
            <w:color w:val="000000"/>
            <w:vertAlign w:val="superscript"/>
          </w:rPr>
          <w:t>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Hence, it is important to investigate the presence of known genetic defects in different populations to understand their contribution to the pathogenesis of disease in that group.</w:t>
      </w:r>
    </w:p>
    <w:p w14:paraId="0C5EEF29" w14:textId="77777777" w:rsidR="00557ED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Protein tyrosine phosphate non-receptor type 2 (PTPN2), also known as T-cell protein tyrosine phosphatase, is a cytosolic tyrosine phosphatase and is almost ubiquitously expressed in embryonic and adult tissues</w:t>
      </w:r>
      <w:r>
        <w:rPr>
          <w:rFonts w:ascii="Book Antiqua" w:eastAsia="Book Antiqua" w:hAnsi="Book Antiqua" w:cs="Book Antiqua"/>
          <w:color w:val="000000"/>
          <w:vertAlign w:val="superscript"/>
        </w:rPr>
        <w:t>[</w:t>
      </w:r>
      <w:hyperlink w:anchor="_ENREF_7" w:tooltip="Bussières-Marmen, 2014 #36" w:history="1">
        <w:r>
          <w:rPr>
            <w:rFonts w:ascii="Book Antiqua" w:eastAsia="Book Antiqua" w:hAnsi="Book Antiqua" w:cs="Book Antiqua"/>
            <w:color w:val="000000"/>
            <w:vertAlign w:val="superscript"/>
          </w:rPr>
          <w:t>7</w:t>
        </w:r>
      </w:hyperlink>
      <w:r>
        <w:rPr>
          <w:rFonts w:ascii="Book Antiqua" w:eastAsia="Book Antiqua" w:hAnsi="Book Antiqua" w:cs="Book Antiqua"/>
          <w:color w:val="000000"/>
          <w:vertAlign w:val="superscript"/>
        </w:rPr>
        <w:t>,</w:t>
      </w:r>
      <w:hyperlink w:anchor="_ENREF_8" w:tooltip="Zikherman, 2011 #41" w:history="1">
        <w:r>
          <w:rPr>
            <w:rFonts w:ascii="Book Antiqua" w:eastAsia="Book Antiqua" w:hAnsi="Book Antiqua" w:cs="Book Antiqua"/>
            <w:color w:val="000000"/>
            <w:vertAlign w:val="superscript"/>
          </w:rPr>
          <w:t>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has an N-terminal </w:t>
      </w:r>
      <w:r>
        <w:rPr>
          <w:rFonts w:ascii="Book Antiqua" w:eastAsia="Book Antiqua" w:hAnsi="Book Antiqua" w:cs="Book Antiqua"/>
          <w:color w:val="000000"/>
        </w:rPr>
        <w:lastRenderedPageBreak/>
        <w:t>phosphatase domain and a nuclear localization sequence. It can dephosphorylate targets in both the cytosol and nucleus. PTPN2 has two variants arising out of alternate splicing</w:t>
      </w:r>
      <w:r>
        <w:rPr>
          <w:rFonts w:ascii="Book Antiqua" w:eastAsia="Book Antiqua" w:hAnsi="Book Antiqua" w:cs="Book Antiqua"/>
          <w:color w:val="000000"/>
          <w:vertAlign w:val="superscript"/>
        </w:rPr>
        <w:t>[</w:t>
      </w:r>
      <w:hyperlink w:anchor="_ENREF_8" w:tooltip="Zikherman, 2011 #41" w:history="1">
        <w:r>
          <w:rPr>
            <w:rFonts w:ascii="Book Antiqua" w:eastAsia="Book Antiqua" w:hAnsi="Book Antiqua" w:cs="Book Antiqua"/>
            <w:color w:val="000000"/>
            <w:vertAlign w:val="superscript"/>
          </w:rPr>
          <w:t>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 larger 48 kD form has a C-terminal hydrophobic domain that masks the nuclear localisation sequence and it remains attached to the endoplasmic reticulum</w:t>
      </w:r>
      <w:r>
        <w:rPr>
          <w:rFonts w:ascii="Book Antiqua" w:eastAsia="Book Antiqua" w:hAnsi="Book Antiqua" w:cs="Book Antiqua"/>
          <w:color w:val="000000"/>
          <w:vertAlign w:val="superscript"/>
        </w:rPr>
        <w:t>[</w:t>
      </w:r>
      <w:hyperlink w:anchor="_ENREF_9" w:tooltip="Glas, 2012 #8" w:history="1">
        <w:r>
          <w:rPr>
            <w:rFonts w:ascii="Book Antiqua" w:eastAsia="Book Antiqua" w:hAnsi="Book Antiqua" w:cs="Book Antiqua"/>
            <w:color w:val="000000"/>
            <w:vertAlign w:val="superscript"/>
          </w:rPr>
          <w:t>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 small 45 kD form does not have any hydrophobic sequence and can help the protein translocate to the nucleus. PTPN2 has been shown to affect various aspects of host defense including epithelial barrier function, autophagy, and innate and adaptive immune response</w:t>
      </w:r>
      <w:r>
        <w:rPr>
          <w:rFonts w:ascii="Book Antiqua" w:eastAsia="Book Antiqua" w:hAnsi="Book Antiqua" w:cs="Book Antiqua"/>
          <w:color w:val="000000"/>
          <w:vertAlign w:val="superscript"/>
        </w:rPr>
        <w:t>[</w:t>
      </w:r>
      <w:hyperlink w:anchor="_ENREF_7" w:tooltip="Bussières-Marmen, 2014 #36" w:history="1">
        <w:r>
          <w:rPr>
            <w:rFonts w:ascii="Book Antiqua" w:eastAsia="Book Antiqua" w:hAnsi="Book Antiqua" w:cs="Book Antiqua"/>
            <w:color w:val="000000"/>
            <w:vertAlign w:val="superscript"/>
          </w:rPr>
          <w:t>7</w:t>
        </w:r>
      </w:hyperlink>
      <w:r>
        <w:rPr>
          <w:rFonts w:ascii="Book Antiqua" w:eastAsia="Book Antiqua" w:hAnsi="Book Antiqua" w:cs="Book Antiqua"/>
          <w:color w:val="000000"/>
          <w:vertAlign w:val="superscript"/>
        </w:rPr>
        <w:t>,</w:t>
      </w:r>
      <w:hyperlink w:anchor="_ENREF_10" w:tooltip="Marcil, 2013 #6" w:history="1">
        <w:r>
          <w:rPr>
            <w:rFonts w:ascii="Book Antiqua" w:eastAsia="Book Antiqua" w:hAnsi="Book Antiqua" w:cs="Book Antiqua"/>
            <w:color w:val="000000"/>
            <w:vertAlign w:val="superscript"/>
          </w:rPr>
          <w:t>10-13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Several studies have shown an association between polymorphism in the </w:t>
      </w:r>
      <w:r>
        <w:rPr>
          <w:rFonts w:ascii="Book Antiqua" w:eastAsia="Book Antiqua" w:hAnsi="Book Antiqua" w:cs="Book Antiqua"/>
          <w:i/>
          <w:color w:val="000000"/>
        </w:rPr>
        <w:t>PTPN2</w:t>
      </w:r>
      <w:r>
        <w:rPr>
          <w:rFonts w:ascii="Book Antiqua" w:eastAsia="Book Antiqua" w:hAnsi="Book Antiqua" w:cs="Book Antiqua"/>
          <w:color w:val="000000"/>
        </w:rPr>
        <w:t xml:space="preserve"> gene and CD. In a meta-analysis, two single nucleotide polymorphisms (SNPs) in the </w:t>
      </w:r>
      <w:r>
        <w:rPr>
          <w:rFonts w:ascii="Book Antiqua" w:eastAsia="Book Antiqua" w:hAnsi="Book Antiqua" w:cs="Book Antiqua"/>
          <w:i/>
          <w:color w:val="000000"/>
        </w:rPr>
        <w:t>PTPN2</w:t>
      </w:r>
      <w:r>
        <w:rPr>
          <w:rFonts w:ascii="Book Antiqua" w:eastAsia="Book Antiqua" w:hAnsi="Book Antiqua" w:cs="Book Antiqua"/>
          <w:color w:val="000000"/>
        </w:rPr>
        <w:t xml:space="preserve"> gene, rs7234029 (odds ratio [OR] = 1.36, 95% confidence interval [CI]: 1.16-1.59) and rs2542151 (OR = 1.22, 95%CI</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1.15-1.3), have been shown to increase the risk of CD. We aimed to study the association of these two SNPs in the </w:t>
      </w:r>
      <w:r>
        <w:rPr>
          <w:rFonts w:ascii="Book Antiqua" w:eastAsia="Book Antiqua" w:hAnsi="Book Antiqua" w:cs="Book Antiqua"/>
          <w:i/>
          <w:color w:val="000000"/>
        </w:rPr>
        <w:t>PTPN2</w:t>
      </w:r>
      <w:r>
        <w:rPr>
          <w:rFonts w:ascii="Book Antiqua" w:eastAsia="Book Antiqua" w:hAnsi="Book Antiqua" w:cs="Book Antiqua"/>
          <w:color w:val="000000"/>
        </w:rPr>
        <w:t xml:space="preserve"> gene (rs7234029 and rs2542151) with risk of CD in an Asian country (India) which has a total estimated burden of inflammatory bowel disease of about 1.4 million persons (highest in Asia)</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3109AA3F" w14:textId="77777777" w:rsidR="00557EDD" w:rsidRDefault="00557EDD">
      <w:pPr>
        <w:spacing w:line="360" w:lineRule="auto"/>
        <w:jc w:val="both"/>
        <w:rPr>
          <w:rFonts w:ascii="Book Antiqua" w:hAnsi="Book Antiqua"/>
        </w:rPr>
      </w:pPr>
    </w:p>
    <w:p w14:paraId="5AD50F1F" w14:textId="77777777" w:rsidR="00557EDD"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3AB2091B"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We conducted a prospective case-control study to determine the association of polymorphisms in the </w:t>
      </w:r>
      <w:r>
        <w:rPr>
          <w:rFonts w:ascii="Book Antiqua" w:eastAsia="Book Antiqua" w:hAnsi="Book Antiqua" w:cs="Book Antiqua"/>
          <w:i/>
          <w:color w:val="000000"/>
        </w:rPr>
        <w:t>PTPN2</w:t>
      </w:r>
      <w:r>
        <w:rPr>
          <w:rFonts w:ascii="Book Antiqua" w:eastAsia="Book Antiqua" w:hAnsi="Book Antiqua" w:cs="Book Antiqua"/>
          <w:color w:val="000000"/>
        </w:rPr>
        <w:t xml:space="preserve"> gene with risk of CD. Adult patients (age &gt; 18 years) with a diagnosis of CD were the cases. The diagnosis of CD was based on a combination of clinical, endoscopic, histological and radiological features as suggested by the Asia Pacific consensus criteria</w:t>
      </w:r>
      <w:r>
        <w:rPr>
          <w:rFonts w:ascii="Book Antiqua" w:eastAsia="Book Antiqua" w:hAnsi="Book Antiqua" w:cs="Book Antiqua"/>
          <w:color w:val="000000"/>
          <w:vertAlign w:val="superscript"/>
        </w:rPr>
        <w:t>[</w:t>
      </w:r>
      <w:hyperlink w:anchor="_ENREF_14" w:tooltip="Ooi, 2016 #50" w:history="1">
        <w:r>
          <w:rPr>
            <w:rFonts w:ascii="Book Antiqua" w:eastAsia="Book Antiqua" w:hAnsi="Book Antiqua" w:cs="Book Antiqua"/>
            <w:color w:val="000000"/>
            <w:vertAlign w:val="superscript"/>
          </w:rPr>
          <w:t>14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Adult subjects (age &gt; 18 years) with dyspeptic symptoms and unrelated to cases were screened for inclusion as controls. Those with normal upper gastrointestinal endoscopy, normal haemoglobin, normal blood sugar, normal liver and renal function tests, and absence of significant comorbid illnesses were recruited as controls. The age and gender distribution of controls were kept similar to those of cases. Cases and controls were recruited after obtaining written informed consent. Patients were recruited from 2016 to 2018. The study was approved by the local institute review board and ethics committee.</w:t>
      </w:r>
    </w:p>
    <w:p w14:paraId="5B14196A" w14:textId="77777777" w:rsidR="00557ED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As there were no previous studies from India on the SNPs in </w:t>
      </w:r>
      <w:r>
        <w:rPr>
          <w:rFonts w:ascii="Book Antiqua" w:eastAsia="Book Antiqua" w:hAnsi="Book Antiqua" w:cs="Book Antiqua"/>
          <w:i/>
          <w:color w:val="000000"/>
        </w:rPr>
        <w:t>PTPN2</w:t>
      </w:r>
      <w:r>
        <w:rPr>
          <w:rFonts w:ascii="Book Antiqua" w:eastAsia="Book Antiqua" w:hAnsi="Book Antiqua" w:cs="Book Antiqua"/>
          <w:color w:val="000000"/>
        </w:rPr>
        <w:t>, we could not make assumptions for sample size calculation and planned to recruit about 100 cases and controls each. The clinical, demographic, and investigation details of the cases were recorded in a predesigned form. These included age at the diagnosis of CD, extent of disease, disease behaviour, presence of extra-intestinal manifestations (EIM), and previous surgery for CD. The demographic details of controls were also recorded.</w:t>
      </w:r>
    </w:p>
    <w:p w14:paraId="2D1FD1B9" w14:textId="77777777" w:rsidR="00557ED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Blood samples were collected from the cases and controls and were stored at -80</w:t>
      </w:r>
      <w:r>
        <w:rPr>
          <w:rFonts w:ascii="Book Antiqua" w:hAnsi="Book Antiqua" w:cs="Book Antiqua"/>
          <w:color w:val="000000"/>
          <w:vertAlign w:val="superscript"/>
          <w:lang w:eastAsia="zh-CN"/>
        </w:rPr>
        <w:t xml:space="preserve"> </w:t>
      </w:r>
      <w:r>
        <w:rPr>
          <w:rFonts w:ascii="Book Antiqua" w:hAnsi="Book Antiqua" w:cs="Book Antiqua"/>
          <w:color w:val="000000"/>
          <w:lang w:eastAsia="zh-CN"/>
        </w:rPr>
        <w:t>°C</w:t>
      </w:r>
      <w:r>
        <w:rPr>
          <w:rFonts w:ascii="Book Antiqua" w:hAnsi="Book Antiqua" w:cs="Book Antiqua" w:hint="eastAsia"/>
          <w:color w:val="000000"/>
          <w:lang w:eastAsia="zh-CN"/>
        </w:rPr>
        <w:t xml:space="preserve"> </w:t>
      </w:r>
      <w:r>
        <w:rPr>
          <w:rFonts w:ascii="Book Antiqua" w:eastAsia="Book Antiqua" w:hAnsi="Book Antiqua" w:cs="Book Antiqua"/>
          <w:color w:val="000000"/>
        </w:rPr>
        <w:t>till analysis. Genomic DNA was extracted from leukocytes using phenol-chloroform method and target DNA fragments were amplified by polymerase chain reaction (PCR) using specific primers (rs2542151: forward, 5’-TGCTGTGCTGCGTGAGTT-3’ and reverse, 5’-CACCATTGAGCGAAGTCC-3’; rs7234029, forward, 5’-GGCAGTGCTGAAACGAGA-3’ and reverse, 5’-TCCCACCACCTACCTACGG-3’). The steps of PCR included initial denaturation at 94 °C for 5 min, 35 cycles of denaturation at 94 °C for 35 s, annealing at 58 °C for 30 s, and extension at 72</w:t>
      </w:r>
      <w:r>
        <w:rPr>
          <w:rFonts w:ascii="Book Antiqua" w:hAnsi="Book Antiqua" w:cs="Book Antiqua" w:hint="eastAsia"/>
          <w:color w:val="000000"/>
          <w:lang w:eastAsia="zh-CN"/>
        </w:rPr>
        <w:t xml:space="preserve"> </w:t>
      </w:r>
      <w:r>
        <w:rPr>
          <w:rFonts w:ascii="Book Antiqua" w:eastAsia="Book Antiqua" w:hAnsi="Book Antiqua" w:cs="Book Antiqua"/>
          <w:color w:val="000000"/>
        </w:rPr>
        <w:t>°C for 35 s, and final extension at 72 °C for 7 min. The PCR products were electrophoresed on a 2% agarose gel with TBE buf</w:t>
      </w:r>
      <w:r>
        <w:rPr>
          <w:rFonts w:ascii="Book Antiqua" w:eastAsia="Book Antiqua" w:hAnsi="Book Antiqua" w:cs="Book Antiqua"/>
          <w:color w:val="000000"/>
        </w:rPr>
        <w:softHyphen/>
        <w:t>fer for 45 min and visualized under a gel imaging system (Bio-Rad Gel Doc-2000, United States). The PCR products (5 μL) were digested by the appropriate restriction enzyme (Bsp1286I for rs2542151 and Hpy188I for rs7234029) for about 10 h, followed by electrophoresis on a 2.5% agarose gel. The digested product was gel documented and results were analysed and reported.</w:t>
      </w:r>
    </w:p>
    <w:p w14:paraId="38BD745C" w14:textId="77777777" w:rsidR="00557EDD" w:rsidRDefault="00557EDD">
      <w:pPr>
        <w:spacing w:line="360" w:lineRule="auto"/>
        <w:jc w:val="both"/>
        <w:rPr>
          <w:rFonts w:ascii="Book Antiqua" w:hAnsi="Book Antiqua"/>
        </w:rPr>
      </w:pPr>
    </w:p>
    <w:p w14:paraId="5725B234" w14:textId="77777777" w:rsidR="00557EDD" w:rsidRDefault="00000000">
      <w:pPr>
        <w:spacing w:line="360" w:lineRule="auto"/>
        <w:jc w:val="both"/>
        <w:rPr>
          <w:rFonts w:ascii="Book Antiqua" w:hAnsi="Book Antiqua" w:cs="Book Antiqua"/>
          <w:b/>
          <w:bCs/>
          <w:i/>
          <w:color w:val="000000"/>
          <w:lang w:eastAsia="zh-CN"/>
        </w:rPr>
      </w:pPr>
      <w:r>
        <w:rPr>
          <w:rFonts w:ascii="Book Antiqua" w:eastAsia="Book Antiqua" w:hAnsi="Book Antiqua" w:cs="Book Antiqua"/>
          <w:b/>
          <w:bCs/>
          <w:i/>
          <w:color w:val="000000"/>
        </w:rPr>
        <w:t>Statistical analysis</w:t>
      </w:r>
    </w:p>
    <w:p w14:paraId="5C326B5A" w14:textId="20551DFC" w:rsidR="00557EDD" w:rsidRDefault="00000000">
      <w:pPr>
        <w:spacing w:line="360" w:lineRule="auto"/>
        <w:jc w:val="both"/>
        <w:rPr>
          <w:rFonts w:ascii="Book Antiqua" w:hAnsi="Book Antiqua"/>
        </w:rPr>
      </w:pPr>
      <w:r>
        <w:rPr>
          <w:rFonts w:ascii="Book Antiqua" w:eastAsia="Book Antiqua" w:hAnsi="Book Antiqua" w:cs="Book Antiqua"/>
          <w:color w:val="000000"/>
        </w:rPr>
        <w:t>Continuous variables are summarised as the m</w:t>
      </w:r>
      <w:r>
        <w:rPr>
          <w:rFonts w:eastAsia="Book Antiqua"/>
          <w:color w:val="000000"/>
        </w:rPr>
        <w:t xml:space="preserve">ean </w:t>
      </w:r>
      <w:r>
        <w:rPr>
          <w:rFonts w:ascii="Book Antiqua" w:eastAsia="Book Antiqua" w:hAnsi="Book Antiqua"/>
          <w:color w:val="000000"/>
        </w:rPr>
        <w:t>±</w:t>
      </w:r>
      <w:r>
        <w:rPr>
          <w:color w:val="000000"/>
          <w:lang w:eastAsia="zh-CN"/>
        </w:rPr>
        <w:t xml:space="preserve"> </w:t>
      </w:r>
      <w:r>
        <w:rPr>
          <w:rFonts w:eastAsia="Book Antiqua"/>
          <w:color w:val="000000"/>
        </w:rPr>
        <w:t>standard de</w:t>
      </w:r>
      <w:r>
        <w:rPr>
          <w:rFonts w:ascii="Book Antiqua" w:eastAsia="Book Antiqua" w:hAnsi="Book Antiqua" w:cs="Book Antiqua"/>
          <w:color w:val="000000"/>
        </w:rPr>
        <w:t xml:space="preserve">viation or median with range and categorical variables as percentages. Categorical variables were compared using the chi-square test and continuous variables using independent </w:t>
      </w:r>
      <w:r>
        <w:rPr>
          <w:rFonts w:ascii="Book Antiqua" w:eastAsia="Book Antiqua" w:hAnsi="Book Antiqua" w:cs="Book Antiqua"/>
          <w:i/>
          <w:color w:val="000000"/>
        </w:rPr>
        <w:t>t</w:t>
      </w:r>
      <w:r>
        <w:rPr>
          <w:rFonts w:ascii="Book Antiqua" w:eastAsia="Book Antiqua" w:hAnsi="Book Antiqua" w:cs="Book Antiqua"/>
          <w:color w:val="000000"/>
        </w:rPr>
        <w:t xml:space="preserve">-test. A </w:t>
      </w:r>
      <w:r>
        <w:rPr>
          <w:rFonts w:ascii="Book Antiqua" w:eastAsia="Book Antiqua" w:hAnsi="Book Antiqua" w:cs="Book Antiqua"/>
          <w:i/>
          <w:color w:val="000000"/>
        </w:rPr>
        <w:t>P</w:t>
      </w:r>
      <w:r>
        <w:rPr>
          <w:rFonts w:ascii="Book Antiqua" w:eastAsia="Book Antiqua" w:hAnsi="Book Antiqua" w:cs="Book Antiqua"/>
          <w:color w:val="000000"/>
        </w:rPr>
        <w:t>value ≤ 0.05 was considered significant. Presence of Hardy-Weinberg equilibrium was assessed for both the SNPs in cases and controls. Data analyses were done using statistical software package SPSS v13.</w:t>
      </w:r>
    </w:p>
    <w:p w14:paraId="154D3C35" w14:textId="77777777" w:rsidR="00557EDD" w:rsidRDefault="00557EDD">
      <w:pPr>
        <w:spacing w:line="360" w:lineRule="auto"/>
        <w:jc w:val="both"/>
        <w:rPr>
          <w:rFonts w:ascii="Book Antiqua" w:hAnsi="Book Antiqua"/>
        </w:rPr>
      </w:pPr>
    </w:p>
    <w:p w14:paraId="4F0B6EEE" w14:textId="77777777" w:rsidR="00557EDD" w:rsidRDefault="00000000">
      <w:pPr>
        <w:spacing w:line="360" w:lineRule="auto"/>
        <w:jc w:val="both"/>
        <w:rPr>
          <w:rFonts w:ascii="Book Antiqua" w:hAnsi="Book Antiqua"/>
        </w:rPr>
      </w:pPr>
      <w:r>
        <w:rPr>
          <w:rFonts w:ascii="Book Antiqua" w:eastAsia="Book Antiqua" w:hAnsi="Book Antiqua" w:cs="Book Antiqua"/>
          <w:b/>
          <w:caps/>
          <w:color w:val="000000"/>
          <w:u w:val="single"/>
        </w:rPr>
        <w:lastRenderedPageBreak/>
        <w:t>RESULTS</w:t>
      </w:r>
    </w:p>
    <w:p w14:paraId="04AB8AB7"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We recruited 108 cases of CD and 100 control subjects during the study period. Table 1 shows the baseline characteristics of the patients with CD in this study. Their mean age was 37.5 </w:t>
      </w:r>
      <w:r>
        <w:rPr>
          <w:rFonts w:ascii="Book Antiqua" w:eastAsia="Book Antiqua" w:hAnsi="Book Antiqua"/>
          <w:color w:val="000000"/>
        </w:rPr>
        <w:t xml:space="preserve">± </w:t>
      </w:r>
      <w:r>
        <w:rPr>
          <w:rFonts w:ascii="Book Antiqua" w:eastAsia="Book Antiqua" w:hAnsi="Book Antiqua" w:cs="Book Antiqua"/>
          <w:color w:val="000000"/>
        </w:rPr>
        <w:t xml:space="preserve">12.7 years and 42.6% were females. One patient with ileocolonic disease had coexisting upper gastrointestinal involvement while upper gastrointestinal disease alone was noted in one case. EIM were present in 17.6% cases, among which arthropathy was most frequent (17 cases) followed by uveitis (3 cases) and primary sclerosing cholangitis (1 case). Two patients had more than one EIM. About one-third of patients had previous surgery for CD, which included bowel resection in 30 patients. History of appendectomy was noted in three patients. Family history of IBD was present in two cases. The mean age of the 100 control subjects was 39.9 </w:t>
      </w:r>
      <w:r>
        <w:rPr>
          <w:rFonts w:ascii="Book Antiqua" w:eastAsia="Book Antiqua" w:hAnsi="Book Antiqua"/>
          <w:color w:val="000000"/>
        </w:rPr>
        <w:t>±</w:t>
      </w:r>
      <w:r>
        <w:rPr>
          <w:rFonts w:ascii="Book Antiqua" w:eastAsia="Book Antiqua" w:hAnsi="Book Antiqua" w:cs="Book Antiqua"/>
          <w:color w:val="000000"/>
        </w:rPr>
        <w:t xml:space="preserve"> 13.5 years and 37% were females. The age and gender distribution were not significantly different from those of cases (age, </w:t>
      </w:r>
      <w:r>
        <w:rPr>
          <w:rFonts w:ascii="Book Antiqua" w:eastAsia="Book Antiqua" w:hAnsi="Book Antiqua" w:cs="Book Antiqua"/>
          <w:i/>
          <w:iCs/>
          <w:color w:val="000000"/>
        </w:rPr>
        <w:t>P</w:t>
      </w:r>
      <w:r>
        <w:rPr>
          <w:rFonts w:ascii="Book Antiqua" w:eastAsia="Book Antiqua" w:hAnsi="Book Antiqua" w:cs="Book Antiqua"/>
          <w:color w:val="000000"/>
        </w:rPr>
        <w:t xml:space="preserve"> = 0.19; sex, </w:t>
      </w:r>
      <w:r>
        <w:rPr>
          <w:rFonts w:ascii="Book Antiqua" w:eastAsia="Book Antiqua" w:hAnsi="Book Antiqua" w:cs="Book Antiqua"/>
          <w:i/>
          <w:iCs/>
          <w:color w:val="000000"/>
        </w:rPr>
        <w:t>P</w:t>
      </w:r>
      <w:r>
        <w:rPr>
          <w:rFonts w:ascii="Book Antiqua" w:eastAsia="Book Antiqua" w:hAnsi="Book Antiqua" w:cs="Book Antiqua"/>
          <w:color w:val="000000"/>
        </w:rPr>
        <w:t xml:space="preserve"> = 0.41).</w:t>
      </w:r>
    </w:p>
    <w:p w14:paraId="43F53152" w14:textId="77777777" w:rsidR="00557ED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frequencies of the two SNPs in the </w:t>
      </w:r>
      <w:r>
        <w:rPr>
          <w:rFonts w:ascii="Book Antiqua" w:eastAsia="Book Antiqua" w:hAnsi="Book Antiqua" w:cs="Book Antiqua"/>
          <w:i/>
          <w:color w:val="000000"/>
        </w:rPr>
        <w:t>PTPN2</w:t>
      </w:r>
      <w:r>
        <w:rPr>
          <w:rFonts w:ascii="Book Antiqua" w:eastAsia="Book Antiqua" w:hAnsi="Book Antiqua" w:cs="Book Antiqua"/>
          <w:color w:val="000000"/>
        </w:rPr>
        <w:t xml:space="preserve"> gene evaluated in this study among cases and controls are shown in </w:t>
      </w:r>
      <w:r>
        <w:rPr>
          <w:rFonts w:ascii="Book Antiqua" w:hAnsi="Book Antiqua" w:cs="Book Antiqua"/>
          <w:color w:val="000000"/>
          <w:lang w:eastAsia="zh-CN"/>
        </w:rPr>
        <w:t>T</w:t>
      </w:r>
      <w:r>
        <w:rPr>
          <w:rFonts w:ascii="Book Antiqua" w:eastAsia="Book Antiqua" w:hAnsi="Book Antiqua" w:cs="Book Antiqua"/>
          <w:color w:val="000000"/>
        </w:rPr>
        <w:t>able 2. Figures</w:t>
      </w:r>
      <w:r>
        <w:rPr>
          <w:rFonts w:ascii="Book Antiqua" w:hAnsi="Book Antiqua" w:cs="Book Antiqua"/>
          <w:color w:val="000000"/>
          <w:lang w:eastAsia="zh-CN"/>
        </w:rPr>
        <w:t xml:space="preserve"> </w:t>
      </w:r>
      <w:r>
        <w:rPr>
          <w:rFonts w:ascii="Book Antiqua" w:eastAsia="Book Antiqua" w:hAnsi="Book Antiqua" w:cs="Book Antiqua"/>
          <w:color w:val="000000"/>
        </w:rPr>
        <w:t xml:space="preserve">1 and 2 illustrate the examples of digestion pattern noted for polymorphisms in both the SNPs. Both the SNPs were in Hardy-Weinberg equilibrium in cases (rs7234029, </w:t>
      </w:r>
      <w:r>
        <w:rPr>
          <w:rFonts w:ascii="Book Antiqua" w:eastAsia="Book Antiqua" w:hAnsi="Book Antiqua" w:cs="Book Antiqua"/>
          <w:i/>
          <w:iCs/>
          <w:color w:val="000000"/>
        </w:rPr>
        <w:t>P</w:t>
      </w:r>
      <w:r>
        <w:rPr>
          <w:rFonts w:ascii="Book Antiqua" w:eastAsia="Book Antiqua" w:hAnsi="Book Antiqua" w:cs="Book Antiqua"/>
          <w:color w:val="000000"/>
        </w:rPr>
        <w:t xml:space="preserve"> = 0.21; rs2542151, </w:t>
      </w:r>
      <w:r>
        <w:rPr>
          <w:rFonts w:ascii="Book Antiqua" w:eastAsia="Book Antiqua" w:hAnsi="Book Antiqua" w:cs="Book Antiqua"/>
          <w:i/>
          <w:iCs/>
          <w:color w:val="000000"/>
        </w:rPr>
        <w:t>P</w:t>
      </w:r>
      <w:r>
        <w:rPr>
          <w:rFonts w:ascii="Book Antiqua" w:eastAsia="Book Antiqua" w:hAnsi="Book Antiqua" w:cs="Book Antiqua"/>
          <w:color w:val="000000"/>
        </w:rPr>
        <w:t xml:space="preserve"> = 0.65) as well as controls (rs7234029, </w:t>
      </w:r>
      <w:r>
        <w:rPr>
          <w:rFonts w:ascii="Book Antiqua" w:eastAsia="Book Antiqua" w:hAnsi="Book Antiqua" w:cs="Book Antiqua"/>
          <w:i/>
          <w:iCs/>
          <w:color w:val="000000"/>
        </w:rPr>
        <w:t>P</w:t>
      </w:r>
      <w:r>
        <w:rPr>
          <w:rFonts w:ascii="Book Antiqua" w:eastAsia="Book Antiqua" w:hAnsi="Book Antiqua" w:cs="Book Antiqua"/>
          <w:color w:val="000000"/>
        </w:rPr>
        <w:t xml:space="preserve"> = 0.47; rs2542151, </w:t>
      </w:r>
      <w:r>
        <w:rPr>
          <w:rFonts w:ascii="Book Antiqua" w:eastAsia="Book Antiqua" w:hAnsi="Book Antiqua" w:cs="Book Antiqua"/>
          <w:i/>
          <w:iCs/>
          <w:color w:val="000000"/>
        </w:rPr>
        <w:t>P</w:t>
      </w:r>
      <w:r>
        <w:rPr>
          <w:rFonts w:ascii="Book Antiqua" w:eastAsia="Book Antiqua" w:hAnsi="Book Antiqua" w:cs="Book Antiqua"/>
          <w:color w:val="000000"/>
        </w:rPr>
        <w:t xml:space="preserve"> = 0.42). Results for the </w:t>
      </w:r>
      <w:r>
        <w:rPr>
          <w:rFonts w:ascii="Book Antiqua" w:eastAsia="Book Antiqua" w:hAnsi="Book Antiqua" w:cs="Book Antiqua"/>
          <w:i/>
          <w:color w:val="000000"/>
        </w:rPr>
        <w:t>PTPN2</w:t>
      </w:r>
      <w:r>
        <w:rPr>
          <w:rFonts w:ascii="Book Antiqua" w:eastAsia="Book Antiqua" w:hAnsi="Book Antiqua" w:cs="Book Antiqua"/>
          <w:color w:val="000000"/>
        </w:rPr>
        <w:t xml:space="preserve"> SNP rs7234029 were obtained for all cases and 98 controls. In the remaining two controls, the results of laboratory test were not clear, which hence were not included in the analysis. For the SNP rs7234029, the wild type (AA) was noted in 64.8% of the cases and in 50% of the controls. Homozygous variant (GG) was noted in 7.4% and heterozygous variant (AG) in 27.8% of the cases. The overall frequency of G variant (AG or GG) was noted to be significantly lower in the cases compared to controls (35.2%</w:t>
      </w:r>
      <w:r>
        <w:rPr>
          <w:rFonts w:ascii="Book Antiqua" w:eastAsia="Book Antiqua" w:hAnsi="Book Antiqua" w:cs="Book Antiqua"/>
          <w:i/>
          <w:color w:val="000000"/>
        </w:rPr>
        <w:t xml:space="preserve"> vs </w:t>
      </w:r>
      <w:r>
        <w:rPr>
          <w:rFonts w:ascii="Book Antiqua" w:eastAsia="Book Antiqua" w:hAnsi="Book Antiqua" w:cs="Book Antiqua"/>
          <w:color w:val="000000"/>
        </w:rPr>
        <w:t xml:space="preserve">50%, </w:t>
      </w:r>
      <w:r>
        <w:rPr>
          <w:rFonts w:ascii="Book Antiqua" w:eastAsia="Book Antiqua" w:hAnsi="Book Antiqua" w:cs="Book Antiqua"/>
          <w:i/>
          <w:iCs/>
          <w:color w:val="000000"/>
        </w:rPr>
        <w:t>P</w:t>
      </w:r>
      <w:r>
        <w:rPr>
          <w:rFonts w:ascii="Book Antiqua" w:eastAsia="Book Antiqua" w:hAnsi="Book Antiqua" w:cs="Book Antiqua"/>
          <w:color w:val="000000"/>
        </w:rPr>
        <w:t xml:space="preserve"> = 0.05). In addition to the genotype, we also compared the minor allele frequency between cases and controls (Table 3). The frequency of the minor allele (G) was 20.9 % in cases and 27.6% in controls. Although the minor allele was more common in controls, the difference was not significant statistically (</w:t>
      </w:r>
      <w:r>
        <w:rPr>
          <w:rFonts w:ascii="Book Antiqua" w:eastAsia="Book Antiqua" w:hAnsi="Book Antiqua" w:cs="Book Antiqua"/>
          <w:i/>
          <w:iCs/>
          <w:color w:val="000000"/>
        </w:rPr>
        <w:t>P</w:t>
      </w:r>
      <w:r>
        <w:rPr>
          <w:rFonts w:ascii="Book Antiqua" w:eastAsia="Book Antiqua" w:hAnsi="Book Antiqua" w:cs="Book Antiqua"/>
          <w:color w:val="000000"/>
        </w:rPr>
        <w:t xml:space="preserve"> = 0.17).</w:t>
      </w:r>
    </w:p>
    <w:p w14:paraId="30720263" w14:textId="77777777" w:rsidR="00557ED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Results for the </w:t>
      </w:r>
      <w:r>
        <w:rPr>
          <w:rFonts w:ascii="Book Antiqua" w:eastAsia="Book Antiqua" w:hAnsi="Book Antiqua" w:cs="Book Antiqua"/>
          <w:i/>
          <w:color w:val="000000"/>
        </w:rPr>
        <w:t>PTPN2</w:t>
      </w:r>
      <w:r>
        <w:rPr>
          <w:rFonts w:ascii="Book Antiqua" w:eastAsia="Book Antiqua" w:hAnsi="Book Antiqua" w:cs="Book Antiqua"/>
          <w:color w:val="000000"/>
        </w:rPr>
        <w:t xml:space="preserve"> SNP rs2542151 were obtained for 101 cases and all control subjects (Table 2). The results of laboratory tests were not clear in the remaining seven cases with CD, which hence were excluded from the analysis. For the SNP rs2542151, the wild type (TT) was detected in 56.4% of the cases and in 53% of the controls. Homozygous variant (GG) was seen in 4% and heterozygous variant (GT) in 39.6% of the cases. The overall frequency of G variant (GT or GG) was noted to be similar in cases compared to controls (43.6%</w:t>
      </w:r>
      <w:r>
        <w:rPr>
          <w:rFonts w:ascii="Book Antiqua" w:eastAsia="Book Antiqua" w:hAnsi="Book Antiqua" w:cs="Book Antiqua"/>
          <w:i/>
          <w:color w:val="000000"/>
        </w:rPr>
        <w:t xml:space="preserve"> vs </w:t>
      </w:r>
      <w:r>
        <w:rPr>
          <w:rFonts w:ascii="Book Antiqua" w:eastAsia="Book Antiqua" w:hAnsi="Book Antiqua" w:cs="Book Antiqua"/>
          <w:color w:val="000000"/>
        </w:rPr>
        <w:t xml:space="preserve">47%, </w:t>
      </w:r>
      <w:r>
        <w:rPr>
          <w:rFonts w:ascii="Book Antiqua" w:eastAsia="Book Antiqua" w:hAnsi="Book Antiqua" w:cs="Book Antiqua"/>
          <w:i/>
          <w:iCs/>
          <w:color w:val="000000"/>
        </w:rPr>
        <w:t>P</w:t>
      </w:r>
      <w:r>
        <w:rPr>
          <w:rFonts w:ascii="Book Antiqua" w:eastAsia="Book Antiqua" w:hAnsi="Book Antiqua" w:cs="Book Antiqua"/>
          <w:color w:val="000000"/>
        </w:rPr>
        <w:t xml:space="preserve"> = 0.73). On comparing the alleles, the frequency of minor allele (G) was 23.8 % in cases and 25.5% in controls, which was not significantly different (</w:t>
      </w:r>
      <w:r>
        <w:rPr>
          <w:rFonts w:ascii="Book Antiqua" w:eastAsia="Book Antiqua" w:hAnsi="Book Antiqua" w:cs="Book Antiqua"/>
          <w:i/>
          <w:iCs/>
          <w:color w:val="000000"/>
        </w:rPr>
        <w:t>P</w:t>
      </w:r>
      <w:r>
        <w:rPr>
          <w:rFonts w:ascii="Book Antiqua" w:eastAsia="Book Antiqua" w:hAnsi="Book Antiqua" w:cs="Book Antiqua"/>
          <w:color w:val="000000"/>
        </w:rPr>
        <w:t xml:space="preserve"> = 0.77, Table 3).</w:t>
      </w:r>
    </w:p>
    <w:p w14:paraId="20D26383" w14:textId="77777777" w:rsidR="00557ED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We evaluated the association of the two SNPs in the </w:t>
      </w:r>
      <w:r>
        <w:rPr>
          <w:rFonts w:ascii="Book Antiqua" w:eastAsia="Book Antiqua" w:hAnsi="Book Antiqua" w:cs="Book Antiqua"/>
          <w:i/>
          <w:color w:val="000000"/>
        </w:rPr>
        <w:t>PTPN2</w:t>
      </w:r>
      <w:r>
        <w:rPr>
          <w:rFonts w:ascii="Book Antiqua" w:eastAsia="Book Antiqua" w:hAnsi="Book Antiqua" w:cs="Book Antiqua"/>
          <w:color w:val="000000"/>
        </w:rPr>
        <w:t xml:space="preserve"> gene with patient and disease characteristics (Table 4). The </w:t>
      </w:r>
      <w:r>
        <w:rPr>
          <w:rFonts w:ascii="Book Antiqua" w:eastAsia="Book Antiqua" w:hAnsi="Book Antiqua" w:cs="Book Antiqua"/>
          <w:i/>
          <w:color w:val="000000"/>
        </w:rPr>
        <w:t>PTPN2</w:t>
      </w:r>
      <w:r>
        <w:rPr>
          <w:rFonts w:ascii="Book Antiqua" w:eastAsia="Book Antiqua" w:hAnsi="Book Antiqua" w:cs="Book Antiqua"/>
          <w:color w:val="000000"/>
        </w:rPr>
        <w:t xml:space="preserve"> SNP rs7234029 GG or GA genotype was more common in patients with perianal disease and less common in patients with disease onset after 40 years although the difference did not reach statistical significance. There was no association of this polymorphism with gender, disease behaviour, disease location, EIM, or requirement of surgery (Table 4). The </w:t>
      </w:r>
      <w:r>
        <w:rPr>
          <w:rFonts w:ascii="Book Antiqua" w:eastAsia="Book Antiqua" w:hAnsi="Book Antiqua" w:cs="Book Antiqua"/>
          <w:i/>
          <w:color w:val="000000"/>
        </w:rPr>
        <w:t>PTPN2</w:t>
      </w:r>
      <w:r>
        <w:rPr>
          <w:rFonts w:ascii="Book Antiqua" w:eastAsia="Book Antiqua" w:hAnsi="Book Antiqua" w:cs="Book Antiqua"/>
          <w:color w:val="000000"/>
        </w:rPr>
        <w:t xml:space="preserve"> SNP rs2542151 GT or GG genotype appeared to have a negative association with history of surgical intervention for CD. Among patients who underwent surgery for CD in past, 28.6% had the variant genotype (GT or GG) while 50% of patients without prior surgery had this variant and the difference was close to being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0.07). Other features like gender, age of onset of illness, disease behaviour, disease location, and perianal disease were not associated with the </w:t>
      </w:r>
      <w:r>
        <w:rPr>
          <w:rFonts w:ascii="Book Antiqua" w:eastAsia="Book Antiqua" w:hAnsi="Book Antiqua" w:cs="Book Antiqua"/>
          <w:i/>
          <w:color w:val="000000"/>
        </w:rPr>
        <w:t>PTPN2</w:t>
      </w:r>
      <w:r>
        <w:rPr>
          <w:rFonts w:ascii="Book Antiqua" w:eastAsia="Book Antiqua" w:hAnsi="Book Antiqua" w:cs="Book Antiqua"/>
          <w:color w:val="000000"/>
        </w:rPr>
        <w:t xml:space="preserve"> SNP rs2542151 (Table 4).</w:t>
      </w:r>
    </w:p>
    <w:p w14:paraId="4240605F" w14:textId="77777777" w:rsidR="00557EDD" w:rsidRDefault="00557EDD">
      <w:pPr>
        <w:spacing w:line="360" w:lineRule="auto"/>
        <w:jc w:val="both"/>
        <w:rPr>
          <w:rFonts w:ascii="Book Antiqua" w:hAnsi="Book Antiqua"/>
        </w:rPr>
      </w:pPr>
    </w:p>
    <w:p w14:paraId="3ABDF6CD" w14:textId="77777777" w:rsidR="00557EDD"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4B1EB98"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The two common SNPs in the </w:t>
      </w:r>
      <w:r>
        <w:rPr>
          <w:rFonts w:ascii="Book Antiqua" w:eastAsia="Book Antiqua" w:hAnsi="Book Antiqua" w:cs="Book Antiqua"/>
          <w:i/>
          <w:color w:val="000000"/>
        </w:rPr>
        <w:t>PTPN2</w:t>
      </w:r>
      <w:r>
        <w:rPr>
          <w:rFonts w:ascii="Book Antiqua" w:eastAsia="Book Antiqua" w:hAnsi="Book Antiqua" w:cs="Book Antiqua"/>
          <w:color w:val="000000"/>
        </w:rPr>
        <w:t xml:space="preserve"> gene (rs2542151, rs7234029) were not associated with an increased risk of CD among Indian patients based on the observation made in the current study. In fact, the </w:t>
      </w:r>
      <w:r>
        <w:rPr>
          <w:rFonts w:ascii="Book Antiqua" w:eastAsia="Book Antiqua" w:hAnsi="Book Antiqua" w:cs="Book Antiqua"/>
          <w:i/>
          <w:color w:val="000000"/>
        </w:rPr>
        <w:t>PTPN2</w:t>
      </w:r>
      <w:r>
        <w:rPr>
          <w:rFonts w:ascii="Book Antiqua" w:eastAsia="Book Antiqua" w:hAnsi="Book Antiqua" w:cs="Book Antiqua"/>
          <w:color w:val="000000"/>
        </w:rPr>
        <w:t xml:space="preserve"> SNP rs7234029 was more frequent in control subjects compared to cases and hence had a negative association with CD. This highlights the heterogeneity of genetic risk factors for CD in different populations.</w:t>
      </w:r>
    </w:p>
    <w:p w14:paraId="58A7E6E1" w14:textId="77777777" w:rsidR="00557ED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More than 240 genetic susceptibility loci have been identified for IBD</w:t>
      </w:r>
      <w:r>
        <w:rPr>
          <w:rFonts w:ascii="Book Antiqua" w:eastAsia="Book Antiqua" w:hAnsi="Book Antiqua" w:cs="Book Antiqua"/>
          <w:color w:val="000000"/>
          <w:vertAlign w:val="superscript"/>
        </w:rPr>
        <w:t>[</w:t>
      </w:r>
      <w:hyperlink w:anchor="_ENREF_15" w:tooltip="Conde, 2021 #33" w:history="1">
        <w:r>
          <w:rPr>
            <w:rFonts w:ascii="Book Antiqua" w:eastAsia="Book Antiqua" w:hAnsi="Book Antiqua" w:cs="Book Antiqua"/>
            <w:color w:val="000000"/>
            <w:vertAlign w:val="superscript"/>
          </w:rPr>
          <w:t>15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Many of them are also associated with risk of other diseases. </w:t>
      </w:r>
      <w:r>
        <w:rPr>
          <w:rFonts w:ascii="Book Antiqua" w:eastAsia="Book Antiqua" w:hAnsi="Book Antiqua" w:cs="Book Antiqua"/>
          <w:i/>
          <w:color w:val="000000"/>
        </w:rPr>
        <w:t>PTPN2</w:t>
      </w:r>
      <w:r>
        <w:rPr>
          <w:rFonts w:ascii="Book Antiqua" w:eastAsia="Book Antiqua" w:hAnsi="Book Antiqua" w:cs="Book Antiqua"/>
          <w:color w:val="000000"/>
        </w:rPr>
        <w:t xml:space="preserve"> was first reported as a susceptibility gene for CD in the genome wide association studies (GWAS) by the Wellcome Trust Case Control Consortium</w:t>
      </w:r>
      <w:r>
        <w:rPr>
          <w:rFonts w:ascii="Book Antiqua" w:eastAsia="Book Antiqua" w:hAnsi="Book Antiqua" w:cs="Book Antiqua"/>
          <w:color w:val="000000"/>
          <w:vertAlign w:val="superscript"/>
        </w:rPr>
        <w:t>[</w:t>
      </w:r>
      <w:hyperlink w:anchor="_ENREF_16" w:tooltip="Consortium, 2007 #49" w:history="1">
        <w:r>
          <w:rPr>
            <w:rFonts w:ascii="Book Antiqua" w:eastAsia="Book Antiqua" w:hAnsi="Book Antiqua" w:cs="Book Antiqua"/>
            <w:color w:val="000000"/>
            <w:vertAlign w:val="superscript"/>
          </w:rPr>
          <w:t>16</w:t>
        </w:r>
      </w:hyperlink>
      <w:r>
        <w:rPr>
          <w:rFonts w:ascii="Book Antiqua" w:eastAsia="Book Antiqua" w:hAnsi="Book Antiqua" w:cs="Book Antiqua"/>
          <w:color w:val="000000"/>
          <w:u w:val="single" w:color="0000EE"/>
          <w:vertAlign w:val="superscript"/>
        </w:rPr>
        <w:t>]</w:t>
      </w:r>
      <w:r>
        <w:rPr>
          <w:rFonts w:ascii="Book Antiqua" w:eastAsia="Book Antiqua" w:hAnsi="Book Antiqua" w:cs="Book Antiqua"/>
          <w:color w:val="000000"/>
        </w:rPr>
        <w:t xml:space="preserve">. The </w:t>
      </w:r>
      <w:r>
        <w:rPr>
          <w:rFonts w:ascii="Book Antiqua" w:eastAsia="Book Antiqua" w:hAnsi="Book Antiqua" w:cs="Book Antiqua"/>
          <w:i/>
          <w:color w:val="000000"/>
        </w:rPr>
        <w:t>PTPN2</w:t>
      </w:r>
      <w:r>
        <w:rPr>
          <w:rFonts w:ascii="Book Antiqua" w:eastAsia="Book Antiqua" w:hAnsi="Book Antiqua" w:cs="Book Antiqua"/>
          <w:color w:val="000000"/>
        </w:rPr>
        <w:t xml:space="preserve"> SNP rs2542151 was significantly associated with CD (trend </w:t>
      </w:r>
      <w:r>
        <w:rPr>
          <w:rFonts w:ascii="Book Antiqua" w:eastAsia="Book Antiqua" w:hAnsi="Book Antiqua" w:cs="Book Antiqua"/>
          <w:i/>
          <w:color w:val="000000"/>
        </w:rPr>
        <w:t>P</w:t>
      </w:r>
      <w:r>
        <w:rPr>
          <w:rFonts w:ascii="Book Antiqua" w:eastAsia="Book Antiqua" w:hAnsi="Book Antiqua" w:cs="Book Antiqua"/>
          <w:color w:val="000000"/>
        </w:rPr>
        <w:t xml:space="preserve"> = 4.56 × 10</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genotypic </w:t>
      </w:r>
      <w:r>
        <w:rPr>
          <w:rFonts w:ascii="Book Antiqua" w:eastAsia="Book Antiqua" w:hAnsi="Book Antiqua" w:cs="Book Antiqua"/>
          <w:i/>
          <w:color w:val="000000"/>
        </w:rPr>
        <w:t>P</w:t>
      </w:r>
      <w:r>
        <w:rPr>
          <w:rFonts w:ascii="Book Antiqua" w:eastAsia="Book Antiqua" w:hAnsi="Book Antiqua" w:cs="Book Antiqua"/>
          <w:color w:val="000000"/>
        </w:rPr>
        <w:t xml:space="preserve"> = 2.03 ×10</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Another polymorphism, the </w:t>
      </w:r>
      <w:r>
        <w:rPr>
          <w:rFonts w:ascii="Book Antiqua" w:eastAsia="Book Antiqua" w:hAnsi="Book Antiqua" w:cs="Book Antiqua"/>
          <w:i/>
          <w:color w:val="000000"/>
        </w:rPr>
        <w:t>PTPN2</w:t>
      </w:r>
      <w:r>
        <w:rPr>
          <w:rFonts w:ascii="Book Antiqua" w:eastAsia="Book Antiqua" w:hAnsi="Book Antiqua" w:cs="Book Antiqua"/>
          <w:color w:val="000000"/>
        </w:rPr>
        <w:t xml:space="preserve"> SNP rs7234029 (located in intronic region), was also subsequently found to be associated with CD. Polymorphisms in the </w:t>
      </w:r>
      <w:r>
        <w:rPr>
          <w:rFonts w:ascii="Book Antiqua" w:eastAsia="Book Antiqua" w:hAnsi="Book Antiqua" w:cs="Book Antiqua"/>
          <w:i/>
          <w:color w:val="000000"/>
        </w:rPr>
        <w:t>PTPN2</w:t>
      </w:r>
      <w:r>
        <w:rPr>
          <w:rFonts w:ascii="Book Antiqua" w:eastAsia="Book Antiqua" w:hAnsi="Book Antiqua" w:cs="Book Antiqua"/>
          <w:color w:val="000000"/>
        </w:rPr>
        <w:t xml:space="preserve"> gene have also been associated with rheumatoid arthritis, celiac disease, type II diabetes mellitus, </w:t>
      </w:r>
      <w:r>
        <w:rPr>
          <w:rFonts w:ascii="Book Antiqua" w:eastAsia="Book Antiqua" w:hAnsi="Book Antiqua" w:cs="Book Antiqua"/>
          <w:i/>
          <w:color w:val="000000"/>
        </w:rPr>
        <w:t>etc</w:t>
      </w:r>
      <w:r>
        <w:rPr>
          <w:rFonts w:ascii="Book Antiqua" w:eastAsia="Book Antiqua" w:hAnsi="Book Antiqua" w:cs="Book Antiqua"/>
          <w:color w:val="000000"/>
        </w:rPr>
        <w:t>.</w:t>
      </w:r>
      <w:r>
        <w:rPr>
          <w:rFonts w:ascii="Book Antiqua" w:eastAsia="Book Antiqua" w:hAnsi="Book Antiqua" w:cs="Book Antiqua"/>
          <w:color w:val="000000"/>
          <w:vertAlign w:val="superscript"/>
        </w:rPr>
        <w:t>[</w:t>
      </w:r>
      <w:hyperlink w:anchor="_ENREF_7" w:tooltip="Bussières-Marmen, 2014 #36" w:history="1">
        <w:r>
          <w:rPr>
            <w:rFonts w:ascii="Book Antiqua" w:eastAsia="Book Antiqua" w:hAnsi="Book Antiqua" w:cs="Book Antiqua"/>
            <w:color w:val="000000"/>
            <w:vertAlign w:val="superscript"/>
          </w:rPr>
          <w:t>7</w:t>
        </w:r>
      </w:hyperlink>
      <w:r>
        <w:rPr>
          <w:rFonts w:ascii="Book Antiqua" w:eastAsia="Book Antiqua" w:hAnsi="Book Antiqua" w:cs="Book Antiqua"/>
          <w:color w:val="000000"/>
          <w:vertAlign w:val="superscript"/>
        </w:rPr>
        <w:t>,</w:t>
      </w:r>
      <w:hyperlink w:anchor="_ENREF_17" w:tooltip="Festen, 2011 #18" w:history="1">
        <w:r>
          <w:rPr>
            <w:rFonts w:ascii="Book Antiqua" w:eastAsia="Book Antiqua" w:hAnsi="Book Antiqua" w:cs="Book Antiqua"/>
            <w:color w:val="000000"/>
            <w:vertAlign w:val="superscript"/>
          </w:rPr>
          <w:t>17-19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w:t>
      </w:r>
      <w:r>
        <w:rPr>
          <w:rFonts w:ascii="Book Antiqua" w:eastAsia="Book Antiqua" w:hAnsi="Book Antiqua" w:cs="Book Antiqua"/>
          <w:i/>
          <w:color w:val="000000"/>
        </w:rPr>
        <w:t>PTPN2</w:t>
      </w:r>
      <w:r>
        <w:rPr>
          <w:rFonts w:ascii="Book Antiqua" w:eastAsia="Book Antiqua" w:hAnsi="Book Antiqua" w:cs="Book Antiqua"/>
          <w:color w:val="000000"/>
        </w:rPr>
        <w:t xml:space="preserve"> gene affects several components of immune response and mice deficient in this gene develop severe systemic inflammatory illness</w:t>
      </w:r>
      <w:r>
        <w:rPr>
          <w:rFonts w:ascii="Book Antiqua" w:eastAsia="Book Antiqua" w:hAnsi="Book Antiqua" w:cs="Book Antiqua"/>
          <w:color w:val="000000"/>
          <w:vertAlign w:val="superscript"/>
        </w:rPr>
        <w:t>[</w:t>
      </w:r>
      <w:hyperlink w:anchor="_ENREF_20" w:tooltip="Sharp, 2018 #2" w:history="1">
        <w:r>
          <w:rPr>
            <w:rFonts w:ascii="Book Antiqua" w:eastAsia="Book Antiqua" w:hAnsi="Book Antiqua" w:cs="Book Antiqua"/>
            <w:color w:val="000000"/>
            <w:vertAlign w:val="superscript"/>
          </w:rPr>
          <w:t>20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They also show dysbiosis of intestinal microbiota</w:t>
      </w:r>
      <w:r>
        <w:rPr>
          <w:rFonts w:ascii="Book Antiqua" w:eastAsia="Book Antiqua" w:hAnsi="Book Antiqua" w:cs="Book Antiqua"/>
          <w:color w:val="000000"/>
          <w:u w:val="single"/>
          <w:vertAlign w:val="superscript"/>
        </w:rPr>
        <w:t>[</w:t>
      </w:r>
      <w:hyperlink w:anchor="_ENREF_21" w:tooltip="Spalinger, 2015 #21" w:history="1">
        <w:r>
          <w:rPr>
            <w:rFonts w:ascii="Book Antiqua" w:eastAsia="Book Antiqua" w:hAnsi="Book Antiqua" w:cs="Book Antiqua"/>
            <w:color w:val="000000"/>
            <w:vertAlign w:val="superscript"/>
          </w:rPr>
          <w:t>21</w:t>
        </w:r>
      </w:hyperlink>
      <w:r>
        <w:rPr>
          <w:rFonts w:ascii="Book Antiqua" w:eastAsia="Book Antiqua" w:hAnsi="Book Antiqua" w:cs="Book Antiqua"/>
          <w:color w:val="000000"/>
          <w:vertAlign w:val="superscript"/>
        </w:rPr>
        <w:t>,</w:t>
      </w:r>
      <w:hyperlink w:anchor="_ENREF_22" w:tooltip="Younis, 2020 #4" w:history="1">
        <w:r>
          <w:rPr>
            <w:rFonts w:ascii="Book Antiqua" w:eastAsia="Book Antiqua" w:hAnsi="Book Antiqua" w:cs="Book Antiqua"/>
            <w:color w:val="000000"/>
            <w:vertAlign w:val="superscript"/>
          </w:rPr>
          <w:t>22</w:t>
        </w:r>
      </w:hyperlink>
      <w:r>
        <w:rPr>
          <w:rFonts w:ascii="Book Antiqua" w:eastAsia="Book Antiqua" w:hAnsi="Book Antiqua" w:cs="Book Antiqua"/>
          <w:color w:val="000000"/>
          <w:u w:val="single"/>
          <w:vertAlign w:val="superscript"/>
        </w:rPr>
        <w:t>]</w:t>
      </w:r>
      <w:r>
        <w:rPr>
          <w:rFonts w:ascii="Book Antiqua" w:eastAsia="Book Antiqua" w:hAnsi="Book Antiqua" w:cs="Book Antiqua"/>
          <w:color w:val="000000"/>
        </w:rPr>
        <w:t xml:space="preserve">. Patients with loss of function variant of </w:t>
      </w:r>
      <w:r>
        <w:rPr>
          <w:rFonts w:ascii="Book Antiqua" w:eastAsia="Book Antiqua" w:hAnsi="Book Antiqua" w:cs="Book Antiqua"/>
          <w:i/>
          <w:color w:val="000000"/>
        </w:rPr>
        <w:t xml:space="preserve">PTPN2 </w:t>
      </w:r>
      <w:r>
        <w:rPr>
          <w:rFonts w:ascii="Book Antiqua" w:eastAsia="Book Antiqua" w:hAnsi="Book Antiqua" w:cs="Book Antiqua"/>
          <w:color w:val="000000"/>
        </w:rPr>
        <w:t>demonstrate increased markers of Th1 and Th17 cell activation and reduced Treg cell activity</w:t>
      </w:r>
      <w:r>
        <w:rPr>
          <w:rFonts w:ascii="Book Antiqua" w:eastAsia="Book Antiqua" w:hAnsi="Book Antiqua" w:cs="Book Antiqua"/>
          <w:color w:val="000000"/>
          <w:vertAlign w:val="superscript"/>
        </w:rPr>
        <w:t>[</w:t>
      </w:r>
      <w:hyperlink w:anchor="_ENREF_12" w:tooltip="Scharl, 2011 #22" w:history="1">
        <w:r>
          <w:rPr>
            <w:rFonts w:ascii="Book Antiqua" w:eastAsia="Book Antiqua" w:hAnsi="Book Antiqua" w:cs="Book Antiqua"/>
            <w:color w:val="000000"/>
            <w:vertAlign w:val="superscript"/>
          </w:rPr>
          <w:t>12</w:t>
        </w:r>
      </w:hyperlink>
      <w:r>
        <w:rPr>
          <w:rFonts w:ascii="Book Antiqua" w:eastAsia="Book Antiqua" w:hAnsi="Book Antiqua" w:cs="Book Antiqua"/>
          <w:color w:val="000000"/>
          <w:vertAlign w:val="superscript"/>
        </w:rPr>
        <w:t>,</w:t>
      </w:r>
      <w:hyperlink w:anchor="_ENREF_21" w:tooltip="Spalinger, 2015 #21" w:history="1">
        <w:r>
          <w:rPr>
            <w:rFonts w:ascii="Book Antiqua" w:eastAsia="Book Antiqua" w:hAnsi="Book Antiqua" w:cs="Book Antiqua"/>
            <w:color w:val="000000"/>
            <w:vertAlign w:val="superscript"/>
          </w:rPr>
          <w:t>21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PTPN2 is an important negative regulator of STAT1 and 3 activities and restricts TNF-alpha related release of inflammatory mediator</w:t>
      </w:r>
      <w:r>
        <w:rPr>
          <w:rFonts w:ascii="Book Antiqua" w:eastAsia="Book Antiqua" w:hAnsi="Book Antiqua" w:cs="Book Antiqua"/>
          <w:color w:val="000000"/>
          <w:vertAlign w:val="superscript"/>
        </w:rPr>
        <w:t>[</w:t>
      </w:r>
      <w:hyperlink w:anchor="_ENREF_23" w:tooltip="Simoncic, 2002 #53" w:history="1">
        <w:r>
          <w:rPr>
            <w:rFonts w:ascii="Book Antiqua" w:eastAsia="Book Antiqua" w:hAnsi="Book Antiqua" w:cs="Book Antiqua"/>
            <w:color w:val="000000"/>
            <w:vertAlign w:val="superscript"/>
          </w:rPr>
          <w:t>23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It also affects epithelial barrier function</w:t>
      </w:r>
      <w:r>
        <w:rPr>
          <w:rFonts w:ascii="Book Antiqua" w:eastAsia="Book Antiqua" w:hAnsi="Book Antiqua" w:cs="Book Antiqua"/>
          <w:color w:val="000000"/>
          <w:vertAlign w:val="superscript"/>
        </w:rPr>
        <w:t>[</w:t>
      </w:r>
      <w:hyperlink w:anchor="_ENREF_11" w:tooltip="McCole, 2012 #39" w:history="1">
        <w:r>
          <w:rPr>
            <w:rFonts w:ascii="Book Antiqua" w:eastAsia="Book Antiqua" w:hAnsi="Book Antiqua" w:cs="Book Antiqua"/>
            <w:color w:val="000000"/>
            <w:vertAlign w:val="superscript"/>
          </w:rPr>
          <w:t>11</w:t>
        </w:r>
      </w:hyperlink>
      <w:r>
        <w:rPr>
          <w:rFonts w:ascii="Book Antiqua" w:eastAsia="Book Antiqua" w:hAnsi="Book Antiqua" w:cs="Book Antiqua"/>
          <w:color w:val="000000"/>
          <w:vertAlign w:val="superscript"/>
        </w:rPr>
        <w:t>,</w:t>
      </w:r>
      <w:hyperlink w:anchor="_ENREF_24" w:tooltip="Scharl, 2009 #47" w:history="1">
        <w:r>
          <w:rPr>
            <w:rFonts w:ascii="Book Antiqua" w:eastAsia="Book Antiqua" w:hAnsi="Book Antiqua" w:cs="Book Antiqua"/>
            <w:color w:val="000000"/>
            <w:vertAlign w:val="superscript"/>
          </w:rPr>
          <w:t>24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Interestingly, administration of Tofacitinib (an inhibitor of Janus kinase), a drug approved for treatment of ulcerative colitis, was shown to correct the epithelial barrier defect induced by functional defect in the </w:t>
      </w:r>
      <w:r>
        <w:rPr>
          <w:rFonts w:ascii="Book Antiqua" w:eastAsia="Book Antiqua" w:hAnsi="Book Antiqua" w:cs="Book Antiqua"/>
          <w:i/>
          <w:color w:val="000000"/>
        </w:rPr>
        <w:t>PTPN2</w:t>
      </w:r>
      <w:r>
        <w:rPr>
          <w:rFonts w:ascii="Book Antiqua" w:eastAsia="Book Antiqua" w:hAnsi="Book Antiqua" w:cs="Book Antiqua"/>
          <w:color w:val="000000"/>
        </w:rPr>
        <w:t xml:space="preserve"> gene</w:t>
      </w:r>
      <w:r>
        <w:rPr>
          <w:rFonts w:ascii="Book Antiqua" w:eastAsia="Book Antiqua" w:hAnsi="Book Antiqua" w:cs="Book Antiqua"/>
          <w:color w:val="000000"/>
          <w:vertAlign w:val="superscript"/>
        </w:rPr>
        <w:t>[</w:t>
      </w:r>
      <w:hyperlink w:anchor="_ENREF_25" w:tooltip="Spalinger, 2021 #11" w:history="1">
        <w:r>
          <w:rPr>
            <w:rFonts w:ascii="Book Antiqua" w:eastAsia="Book Antiqua" w:hAnsi="Book Antiqua" w:cs="Book Antiqua"/>
            <w:color w:val="000000"/>
            <w:vertAlign w:val="superscript"/>
          </w:rPr>
          <w:t>25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Observations in PTPN2 knockout mouse showed overexpression of cation-selective pore-forming molecule claudin-2, which allows para-cellular passage of molecules like sodium</w:t>
      </w:r>
      <w:r>
        <w:rPr>
          <w:rFonts w:ascii="Book Antiqua" w:eastAsia="Book Antiqua" w:hAnsi="Book Antiqua" w:cs="Book Antiqua"/>
          <w:color w:val="000000"/>
          <w:vertAlign w:val="superscript"/>
        </w:rPr>
        <w:t>[</w:t>
      </w:r>
      <w:hyperlink w:anchor="_ENREF_24" w:tooltip="Scharl, 2009 #47" w:history="1">
        <w:r>
          <w:rPr>
            <w:rFonts w:ascii="Book Antiqua" w:eastAsia="Book Antiqua" w:hAnsi="Book Antiqua" w:cs="Book Antiqua"/>
            <w:color w:val="000000"/>
            <w:vertAlign w:val="superscript"/>
          </w:rPr>
          <w:t>24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color w:val="000000"/>
        </w:rPr>
        <w:t>In vitro</w:t>
      </w:r>
      <w:r>
        <w:rPr>
          <w:rFonts w:ascii="Book Antiqua" w:eastAsia="Book Antiqua" w:hAnsi="Book Antiqua" w:cs="Book Antiqua"/>
          <w:color w:val="000000"/>
        </w:rPr>
        <w:t xml:space="preserve"> studies have also shown increased transcellular passage of macro-molecules in PTPN2 deficient cells. PTPN2 in intestinal epithelial cells inhibits the expression of several autophagy-associated molecules, including beclin-1, ATG5, ATG7, ATG12, and ATG16L</w:t>
      </w:r>
      <w:r>
        <w:rPr>
          <w:rFonts w:ascii="Book Antiqua" w:eastAsia="Book Antiqua" w:hAnsi="Book Antiqua" w:cs="Book Antiqua"/>
          <w:color w:val="000000"/>
          <w:vertAlign w:val="superscript"/>
        </w:rPr>
        <w:t>[</w:t>
      </w:r>
      <w:hyperlink w:anchor="_ENREF_26" w:tooltip="Scharl, 2012 #29" w:history="1">
        <w:r>
          <w:rPr>
            <w:rFonts w:ascii="Book Antiqua" w:eastAsia="Book Antiqua" w:hAnsi="Book Antiqua" w:cs="Book Antiqua"/>
            <w:color w:val="000000"/>
            <w:vertAlign w:val="superscript"/>
          </w:rPr>
          <w:t>26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siRNA induced knockdown of the </w:t>
      </w:r>
      <w:r>
        <w:rPr>
          <w:rFonts w:ascii="Book Antiqua" w:eastAsia="Book Antiqua" w:hAnsi="Book Antiqua" w:cs="Book Antiqua"/>
          <w:i/>
          <w:color w:val="000000"/>
        </w:rPr>
        <w:t>PTPN2</w:t>
      </w:r>
      <w:r>
        <w:rPr>
          <w:rFonts w:ascii="Book Antiqua" w:eastAsia="Book Antiqua" w:hAnsi="Book Antiqua" w:cs="Book Antiqua"/>
          <w:color w:val="000000"/>
        </w:rPr>
        <w:t xml:space="preserve"> gene has also demonstrated the role of this gene in regulating autophagy</w:t>
      </w:r>
      <w:r>
        <w:rPr>
          <w:rFonts w:ascii="Book Antiqua" w:eastAsia="Book Antiqua" w:hAnsi="Book Antiqua" w:cs="Book Antiqua"/>
          <w:color w:val="000000"/>
          <w:vertAlign w:val="superscript"/>
        </w:rPr>
        <w:t>[</w:t>
      </w:r>
      <w:hyperlink w:anchor="_ENREF_27" w:tooltip="Larabi, 2020 #1" w:history="1">
        <w:r>
          <w:rPr>
            <w:rFonts w:ascii="Book Antiqua" w:eastAsia="Book Antiqua" w:hAnsi="Book Antiqua" w:cs="Book Antiqua"/>
            <w:color w:val="000000"/>
            <w:vertAlign w:val="superscript"/>
          </w:rPr>
          <w:t>27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C513C93" w14:textId="77777777" w:rsidR="00557ED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After the initial report, several studies have subsequently assessed the frequency of polymorphisms in the </w:t>
      </w:r>
      <w:r>
        <w:rPr>
          <w:rFonts w:ascii="Book Antiqua" w:eastAsia="Book Antiqua" w:hAnsi="Book Antiqua" w:cs="Book Antiqua"/>
          <w:i/>
          <w:color w:val="000000"/>
        </w:rPr>
        <w:t>PTPN2</w:t>
      </w:r>
      <w:r>
        <w:rPr>
          <w:rFonts w:ascii="Book Antiqua" w:eastAsia="Book Antiqua" w:hAnsi="Book Antiqua" w:cs="Book Antiqua"/>
          <w:color w:val="000000"/>
        </w:rPr>
        <w:t xml:space="preserve"> gene in patients with CD</w:t>
      </w:r>
      <w:r>
        <w:rPr>
          <w:rFonts w:ascii="Book Antiqua" w:eastAsia="Book Antiqua" w:hAnsi="Book Antiqua" w:cs="Book Antiqua"/>
          <w:color w:val="000000"/>
          <w:vertAlign w:val="superscript"/>
        </w:rPr>
        <w:t>[</w:t>
      </w:r>
      <w:hyperlink w:anchor="_ENREF_28" w:tooltip="Umeno, 2011 #38" w:history="1">
        <w:r>
          <w:rPr>
            <w:rFonts w:ascii="Book Antiqua" w:eastAsia="Book Antiqua" w:hAnsi="Book Antiqua" w:cs="Book Antiqua"/>
            <w:color w:val="000000"/>
            <w:vertAlign w:val="superscript"/>
          </w:rPr>
          <w:t>28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meta-analysis of data from these studies has shown an increased risk of CD associated with G variant in the </w:t>
      </w:r>
      <w:r>
        <w:rPr>
          <w:rFonts w:ascii="Book Antiqua" w:eastAsia="Book Antiqua" w:hAnsi="Book Antiqua" w:cs="Book Antiqua"/>
          <w:i/>
          <w:color w:val="000000"/>
        </w:rPr>
        <w:t>PTPN2</w:t>
      </w:r>
      <w:r>
        <w:rPr>
          <w:rFonts w:ascii="Book Antiqua" w:eastAsia="Book Antiqua" w:hAnsi="Book Antiqua" w:cs="Book Antiqua"/>
          <w:color w:val="000000"/>
        </w:rPr>
        <w:t xml:space="preserve"> SNP rs2542151</w:t>
      </w:r>
      <w:r>
        <w:rPr>
          <w:rFonts w:ascii="Book Antiqua" w:eastAsia="Book Antiqua" w:hAnsi="Book Antiqua" w:cs="Book Antiqua"/>
          <w:color w:val="000000"/>
          <w:vertAlign w:val="superscript"/>
        </w:rPr>
        <w:t>[</w:t>
      </w:r>
      <w:hyperlink w:anchor="_ENREF_29" w:tooltip="Zhang, 2013 #15" w:history="1">
        <w:r>
          <w:rPr>
            <w:rFonts w:ascii="Book Antiqua" w:eastAsia="Book Antiqua" w:hAnsi="Book Antiqua" w:cs="Book Antiqua"/>
            <w:color w:val="000000"/>
            <w:vertAlign w:val="superscript"/>
          </w:rPr>
          <w:t>29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Thirteen studies in this meta-analysis studied this variant in CD. Subjects with genotype GG or GT had an OR of 1.22 (95%CI: 1.15-1.3, </w:t>
      </w:r>
      <w:r>
        <w:rPr>
          <w:rFonts w:ascii="Book Antiqua" w:eastAsia="Book Antiqua" w:hAnsi="Book Antiqua" w:cs="Book Antiqua"/>
          <w:i/>
          <w:color w:val="000000"/>
        </w:rPr>
        <w:t>P</w:t>
      </w:r>
      <w:r>
        <w:rPr>
          <w:rFonts w:ascii="Book Antiqua" w:eastAsia="Book Antiqua" w:hAnsi="Book Antiqua" w:cs="Book Antiqua"/>
          <w:color w:val="000000"/>
        </w:rPr>
        <w:t xml:space="preserve"> &lt; 0.001) of having </w:t>
      </w:r>
      <w:r>
        <w:rPr>
          <w:rFonts w:ascii="Book Antiqua" w:eastAsia="Book Antiqua" w:hAnsi="Book Antiqua" w:cs="Book Antiqua"/>
          <w:color w:val="000000"/>
        </w:rPr>
        <w:lastRenderedPageBreak/>
        <w:t xml:space="preserve">CD compared to genotype TT. Subjects with G allele had an OR of 1.22 (95%CI: 1.15-1.28, </w:t>
      </w:r>
      <w:r>
        <w:rPr>
          <w:rFonts w:ascii="Book Antiqua" w:eastAsia="Book Antiqua" w:hAnsi="Book Antiqua" w:cs="Book Antiqua"/>
          <w:i/>
          <w:color w:val="000000"/>
        </w:rPr>
        <w:t>P</w:t>
      </w:r>
      <w:r>
        <w:rPr>
          <w:rFonts w:ascii="Book Antiqua" w:eastAsia="Book Antiqua" w:hAnsi="Book Antiqua" w:cs="Book Antiqua"/>
          <w:color w:val="000000"/>
        </w:rPr>
        <w:t xml:space="preserve"> &lt; 0.001) of having CD compared to T allele. However, among studies from Asia, which included two studies from China and one from Japan, there was no significant association with CD at the genotype (</w:t>
      </w:r>
      <w:r>
        <w:rPr>
          <w:rFonts w:ascii="Book Antiqua" w:eastAsia="Book Antiqua" w:hAnsi="Book Antiqua" w:cs="Book Antiqua"/>
          <w:i/>
          <w:iCs/>
          <w:color w:val="000000"/>
        </w:rPr>
        <w:t>P</w:t>
      </w:r>
      <w:r>
        <w:rPr>
          <w:rFonts w:ascii="Book Antiqua" w:eastAsia="Book Antiqua" w:hAnsi="Book Antiqua" w:cs="Book Antiqua"/>
          <w:color w:val="000000"/>
        </w:rPr>
        <w:t xml:space="preserve"> = 0.06) or allele level (</w:t>
      </w:r>
      <w:r>
        <w:rPr>
          <w:rFonts w:ascii="Book Antiqua" w:eastAsia="Book Antiqua" w:hAnsi="Book Antiqua" w:cs="Book Antiqua"/>
          <w:i/>
          <w:iCs/>
          <w:color w:val="000000"/>
        </w:rPr>
        <w:t>P</w:t>
      </w:r>
      <w:r>
        <w:rPr>
          <w:rFonts w:ascii="Book Antiqua" w:eastAsia="Book Antiqua" w:hAnsi="Book Antiqua" w:cs="Book Antiqua"/>
          <w:color w:val="000000"/>
        </w:rPr>
        <w:t xml:space="preserve"> = 0.18)</w:t>
      </w:r>
      <w:r>
        <w:rPr>
          <w:rFonts w:ascii="Book Antiqua" w:eastAsia="Book Antiqua" w:hAnsi="Book Antiqua" w:cs="Book Antiqua"/>
          <w:color w:val="000000"/>
          <w:vertAlign w:val="superscript"/>
        </w:rPr>
        <w:t>[</w:t>
      </w:r>
      <w:hyperlink w:anchor="_ENREF_29" w:tooltip="Zhang, 2013 #15" w:history="1">
        <w:r>
          <w:rPr>
            <w:rFonts w:ascii="Book Antiqua" w:eastAsia="Book Antiqua" w:hAnsi="Book Antiqua" w:cs="Book Antiqua"/>
            <w:color w:val="000000"/>
            <w:vertAlign w:val="superscript"/>
          </w:rPr>
          <w:t>29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is consistent with the observation made in our study where we did not find any significant association of CD with the </w:t>
      </w:r>
      <w:r>
        <w:rPr>
          <w:rFonts w:ascii="Book Antiqua" w:eastAsia="Book Antiqua" w:hAnsi="Book Antiqua" w:cs="Book Antiqua"/>
          <w:i/>
          <w:color w:val="000000"/>
        </w:rPr>
        <w:t>PTPN2</w:t>
      </w:r>
      <w:r>
        <w:rPr>
          <w:rFonts w:ascii="Book Antiqua" w:eastAsia="Book Antiqua" w:hAnsi="Book Antiqua" w:cs="Book Antiqua"/>
          <w:color w:val="000000"/>
        </w:rPr>
        <w:t xml:space="preserve"> SNP rs2542151. We found no significant difference either at the genotype (</w:t>
      </w:r>
      <w:r>
        <w:rPr>
          <w:rFonts w:ascii="Book Antiqua" w:eastAsia="Book Antiqua" w:hAnsi="Book Antiqua" w:cs="Book Antiqua"/>
          <w:i/>
          <w:iCs/>
          <w:color w:val="000000"/>
        </w:rPr>
        <w:t>P</w:t>
      </w:r>
      <w:r>
        <w:rPr>
          <w:rFonts w:ascii="Book Antiqua" w:eastAsia="Book Antiqua" w:hAnsi="Book Antiqua" w:cs="Book Antiqua"/>
          <w:color w:val="000000"/>
        </w:rPr>
        <w:t xml:space="preserve"> = 0.73) or allele level (</w:t>
      </w:r>
      <w:r>
        <w:rPr>
          <w:rFonts w:ascii="Book Antiqua" w:eastAsia="Book Antiqua" w:hAnsi="Book Antiqua" w:cs="Book Antiqua"/>
          <w:i/>
          <w:iCs/>
          <w:color w:val="000000"/>
        </w:rPr>
        <w:t>P</w:t>
      </w:r>
      <w:r>
        <w:rPr>
          <w:rFonts w:ascii="Book Antiqua" w:eastAsia="Book Antiqua" w:hAnsi="Book Antiqua" w:cs="Book Antiqua"/>
          <w:color w:val="000000"/>
        </w:rPr>
        <w:t xml:space="preserve"> = 0.77).</w:t>
      </w:r>
    </w:p>
    <w:p w14:paraId="138DB064" w14:textId="77777777" w:rsidR="00557ED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above meta-analysis by Zhang </w:t>
      </w:r>
      <w:r>
        <w:rPr>
          <w:rFonts w:ascii="Book Antiqua" w:eastAsia="Book Antiqua" w:hAnsi="Book Antiqua" w:cs="Book Antiqua"/>
          <w:i/>
          <w:iCs/>
          <w:color w:val="000000"/>
        </w:rPr>
        <w:t>et al</w:t>
      </w:r>
      <w:r>
        <w:rPr>
          <w:rFonts w:ascii="Book Antiqua" w:eastAsia="Book Antiqua" w:hAnsi="Book Antiqua" w:cs="Book Antiqua"/>
          <w:color w:val="000000"/>
        </w:rPr>
        <w:t xml:space="preserve"> also showed an increased risk of CD associated with G variant in the </w:t>
      </w:r>
      <w:r>
        <w:rPr>
          <w:rFonts w:ascii="Book Antiqua" w:eastAsia="Book Antiqua" w:hAnsi="Book Antiqua" w:cs="Book Antiqua"/>
          <w:i/>
          <w:color w:val="000000"/>
        </w:rPr>
        <w:t>PTPN2</w:t>
      </w:r>
      <w:r>
        <w:rPr>
          <w:rFonts w:ascii="Book Antiqua" w:eastAsia="Book Antiqua" w:hAnsi="Book Antiqua" w:cs="Book Antiqua"/>
          <w:color w:val="000000"/>
        </w:rPr>
        <w:t xml:space="preserve"> SNP rs7234029</w:t>
      </w:r>
      <w:r>
        <w:rPr>
          <w:rFonts w:ascii="Book Antiqua" w:eastAsia="Book Antiqua" w:hAnsi="Book Antiqua" w:cs="Book Antiqua"/>
          <w:color w:val="000000"/>
          <w:vertAlign w:val="superscript"/>
        </w:rPr>
        <w:t>[</w:t>
      </w:r>
      <w:hyperlink w:anchor="_ENREF_29" w:tooltip="Zhang, 2013 #15" w:history="1">
        <w:r>
          <w:rPr>
            <w:rFonts w:ascii="Book Antiqua" w:eastAsia="Book Antiqua" w:hAnsi="Book Antiqua" w:cs="Book Antiqua"/>
            <w:color w:val="000000"/>
            <w:vertAlign w:val="superscript"/>
          </w:rPr>
          <w:t>29</w:t>
        </w:r>
      </w:hyperlink>
      <w:r>
        <w:rPr>
          <w:rFonts w:ascii="Book Antiqua" w:eastAsia="Book Antiqua" w:hAnsi="Book Antiqua" w:cs="Book Antiqua"/>
          <w:color w:val="000000"/>
          <w:u w:val="single" w:color="0000EE"/>
          <w:vertAlign w:val="superscript"/>
        </w:rPr>
        <w:t>]</w:t>
      </w:r>
      <w:r>
        <w:rPr>
          <w:rFonts w:ascii="Book Antiqua" w:eastAsia="Book Antiqua" w:hAnsi="Book Antiqua" w:cs="Book Antiqua"/>
          <w:color w:val="000000"/>
        </w:rPr>
        <w:t xml:space="preserve">. However, only two studies (one each from Japan and Germany) assessed this polymorphism. Genotype GG or AG was associated with an OR of 1.36 (95%CI: 1.16-1.59, </w:t>
      </w:r>
      <w:r>
        <w:rPr>
          <w:rFonts w:ascii="Book Antiqua" w:eastAsia="Book Antiqua" w:hAnsi="Book Antiqua" w:cs="Book Antiqua"/>
          <w:i/>
          <w:color w:val="000000"/>
        </w:rPr>
        <w:t>P</w:t>
      </w:r>
      <w:r>
        <w:rPr>
          <w:rFonts w:ascii="Book Antiqua" w:eastAsia="Book Antiqua" w:hAnsi="Book Antiqua" w:cs="Book Antiqua"/>
          <w:color w:val="000000"/>
        </w:rPr>
        <w:t xml:space="preserve"> &lt; 0.001) of developing CD compared to AA genotype. A significant association was also noted at the allelic level and subjects with G allele had an OR of 1.33 (95%CI: 1.15-1.52, </w:t>
      </w:r>
      <w:r>
        <w:rPr>
          <w:rFonts w:ascii="Book Antiqua" w:eastAsia="Book Antiqua" w:hAnsi="Book Antiqua" w:cs="Book Antiqua"/>
          <w:i/>
          <w:color w:val="000000"/>
        </w:rPr>
        <w:t xml:space="preserve">P &lt; </w:t>
      </w:r>
      <w:r>
        <w:rPr>
          <w:rFonts w:ascii="Book Antiqua" w:eastAsia="Book Antiqua" w:hAnsi="Book Antiqua" w:cs="Book Antiqua"/>
          <w:color w:val="000000"/>
        </w:rPr>
        <w:t>0.001) of developing CD compared to A allele</w:t>
      </w:r>
      <w:r>
        <w:rPr>
          <w:rFonts w:ascii="Book Antiqua" w:eastAsia="Book Antiqua" w:hAnsi="Book Antiqua" w:cs="Book Antiqua"/>
          <w:color w:val="000000"/>
          <w:vertAlign w:val="superscript"/>
        </w:rPr>
        <w:t>[</w:t>
      </w:r>
      <w:hyperlink w:anchor="_ENREF_29" w:tooltip="Zhang, 2013 #15" w:history="1">
        <w:r>
          <w:rPr>
            <w:rFonts w:ascii="Book Antiqua" w:eastAsia="Book Antiqua" w:hAnsi="Book Antiqua" w:cs="Book Antiqua"/>
            <w:color w:val="000000"/>
            <w:vertAlign w:val="superscript"/>
          </w:rPr>
          <w:t>29</w:t>
        </w:r>
      </w:hyperlink>
      <w:r>
        <w:rPr>
          <w:rFonts w:ascii="Book Antiqua" w:eastAsia="Book Antiqua" w:hAnsi="Book Antiqua" w:cs="Book Antiqua"/>
          <w:color w:val="000000"/>
          <w:u w:val="single" w:color="0000EE"/>
          <w:vertAlign w:val="superscript"/>
        </w:rPr>
        <w:t>]</w:t>
      </w:r>
      <w:r>
        <w:rPr>
          <w:rFonts w:ascii="Book Antiqua" w:eastAsia="Book Antiqua" w:hAnsi="Book Antiqua" w:cs="Book Antiqua"/>
          <w:color w:val="000000"/>
        </w:rPr>
        <w:t>. This finding could not be replicated in our study. There was no significant difference in the frequency of G allele between cases and controls (</w:t>
      </w:r>
      <w:r>
        <w:rPr>
          <w:rFonts w:ascii="Book Antiqua" w:eastAsia="Book Antiqua" w:hAnsi="Book Antiqua" w:cs="Book Antiqua"/>
          <w:i/>
          <w:iCs/>
          <w:color w:val="000000"/>
        </w:rPr>
        <w:t>P</w:t>
      </w:r>
      <w:r>
        <w:rPr>
          <w:rFonts w:ascii="Book Antiqua" w:eastAsia="Book Antiqua" w:hAnsi="Book Antiqua" w:cs="Book Antiqua"/>
          <w:color w:val="000000"/>
        </w:rPr>
        <w:t xml:space="preserve"> = 0.17). Interestingly, the variant genotype (GG or GT) was more common in controls compared to cases (</w:t>
      </w:r>
      <w:r>
        <w:rPr>
          <w:rFonts w:ascii="Book Antiqua" w:eastAsia="Book Antiqua" w:hAnsi="Book Antiqua" w:cs="Book Antiqua"/>
          <w:i/>
          <w:iCs/>
          <w:color w:val="000000"/>
        </w:rPr>
        <w:t>P</w:t>
      </w:r>
      <w:r>
        <w:rPr>
          <w:rFonts w:ascii="Book Antiqua" w:eastAsia="Book Antiqua" w:hAnsi="Book Antiqua" w:cs="Book Antiqua"/>
          <w:color w:val="000000"/>
        </w:rPr>
        <w:t xml:space="preserve"> = 0.05). The differences in genetic susceptibility loci between populations are not unexpected and have been noted for several other genes as well</w:t>
      </w:r>
      <w:r>
        <w:rPr>
          <w:rFonts w:ascii="Book Antiqua" w:eastAsia="Book Antiqua" w:hAnsi="Book Antiqua" w:cs="Book Antiqua"/>
          <w:color w:val="000000"/>
          <w:vertAlign w:val="superscript"/>
        </w:rPr>
        <w:t>[</w:t>
      </w:r>
      <w:hyperlink w:anchor="_ENREF_5" w:tooltip="Ng, 2012 #54" w:history="1">
        <w:r>
          <w:rPr>
            <w:rFonts w:ascii="Book Antiqua" w:eastAsia="Book Antiqua" w:hAnsi="Book Antiqua" w:cs="Book Antiqua"/>
            <w:color w:val="000000"/>
            <w:vertAlign w:val="superscript"/>
          </w:rPr>
          <w:t>5</w:t>
        </w:r>
      </w:hyperlink>
      <w:r>
        <w:rPr>
          <w:rFonts w:ascii="Book Antiqua" w:eastAsia="Book Antiqua" w:hAnsi="Book Antiqua" w:cs="Book Antiqua"/>
          <w:color w:val="000000"/>
          <w:u w:val="single" w:color="0000EE"/>
          <w:vertAlign w:val="superscript"/>
        </w:rPr>
        <w:t>]</w:t>
      </w:r>
      <w:r>
        <w:rPr>
          <w:rFonts w:ascii="Book Antiqua" w:eastAsia="Book Antiqua" w:hAnsi="Book Antiqua" w:cs="Book Antiqua"/>
          <w:color w:val="000000"/>
        </w:rPr>
        <w:t>. The phenotype of CD shows some variation between Western and Asian countries and the genetic differences may contribute to this in addition to environmental factors.</w:t>
      </w:r>
    </w:p>
    <w:p w14:paraId="3DB4AFC4" w14:textId="77777777" w:rsidR="00557ED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addition to susceptibility to disease, polymorphisms in </w:t>
      </w:r>
      <w:r>
        <w:rPr>
          <w:rFonts w:ascii="Book Antiqua" w:eastAsia="Book Antiqua" w:hAnsi="Book Antiqua" w:cs="Book Antiqua"/>
          <w:i/>
          <w:color w:val="000000"/>
        </w:rPr>
        <w:t>PTPN2</w:t>
      </w:r>
      <w:r>
        <w:rPr>
          <w:rFonts w:ascii="Book Antiqua" w:eastAsia="Book Antiqua" w:hAnsi="Book Antiqua" w:cs="Book Antiqua"/>
          <w:color w:val="000000"/>
        </w:rPr>
        <w:t xml:space="preserve"> have also been linked with disease phenotype and response to therapy. In a study from New Zealand with 315 cases with CD and 481 controls, the </w:t>
      </w:r>
      <w:r>
        <w:rPr>
          <w:rFonts w:ascii="Book Antiqua" w:eastAsia="Book Antiqua" w:hAnsi="Book Antiqua" w:cs="Book Antiqua"/>
          <w:i/>
          <w:color w:val="000000"/>
        </w:rPr>
        <w:t>PTPN2</w:t>
      </w:r>
      <w:r>
        <w:rPr>
          <w:rFonts w:ascii="Book Antiqua" w:eastAsia="Book Antiqua" w:hAnsi="Book Antiqua" w:cs="Book Antiqua"/>
          <w:color w:val="000000"/>
        </w:rPr>
        <w:t xml:space="preserve"> SNP rs2542151 was associated with penetrating disease behaviour, need for bowel resection, late age at first diagnosis, and smoking</w:t>
      </w:r>
      <w:r>
        <w:rPr>
          <w:rFonts w:ascii="Book Antiqua" w:eastAsia="Book Antiqua" w:hAnsi="Book Antiqua" w:cs="Book Antiqua"/>
          <w:color w:val="000000"/>
          <w:vertAlign w:val="superscript"/>
        </w:rPr>
        <w:t>[</w:t>
      </w:r>
      <w:hyperlink w:anchor="_ENREF_31" w:tooltip="Morgan, 2010 #12" w:history="1">
        <w:r>
          <w:rPr>
            <w:rFonts w:ascii="Book Antiqua" w:eastAsia="Book Antiqua" w:hAnsi="Book Antiqua" w:cs="Book Antiqua"/>
            <w:color w:val="000000"/>
            <w:vertAlign w:val="superscript"/>
          </w:rPr>
          <w:t>30]</w:t>
        </w:r>
        <w:r>
          <w:rPr>
            <w:rFonts w:ascii="Book Antiqua" w:eastAsia="Book Antiqua" w:hAnsi="Book Antiqua" w:cs="Book Antiqua"/>
            <w:color w:val="000000"/>
          </w:rPr>
          <w:t>.</w:t>
        </w:r>
      </w:hyperlink>
      <w:r>
        <w:rPr>
          <w:rFonts w:ascii="Book Antiqua" w:eastAsia="Book Antiqua" w:hAnsi="Book Antiqua" w:cs="Book Antiqua"/>
          <w:color w:val="000000"/>
        </w:rPr>
        <w:t xml:space="preserve"> However, our observations suggest a negative association of the </w:t>
      </w:r>
      <w:r>
        <w:rPr>
          <w:rFonts w:ascii="Book Antiqua" w:eastAsia="Book Antiqua" w:hAnsi="Book Antiqua" w:cs="Book Antiqua"/>
          <w:i/>
          <w:color w:val="000000"/>
        </w:rPr>
        <w:t>PTPN2</w:t>
      </w:r>
      <w:r>
        <w:rPr>
          <w:rFonts w:ascii="Book Antiqua" w:eastAsia="Book Antiqua" w:hAnsi="Book Antiqua" w:cs="Book Antiqua"/>
          <w:color w:val="000000"/>
        </w:rPr>
        <w:t xml:space="preserve"> SNP rs2542151 GT or GG genotype with history of surgical intervention for CD. Other characteristics of the disease were not affected by this variant in our patients. Van der Heid </w:t>
      </w:r>
      <w:r>
        <w:rPr>
          <w:rFonts w:ascii="Book Antiqua" w:eastAsia="Book Antiqua" w:hAnsi="Book Antiqua" w:cs="Book Antiqua"/>
          <w:i/>
          <w:color w:val="000000"/>
        </w:rPr>
        <w:t>et al</w:t>
      </w:r>
      <w:r>
        <w:rPr>
          <w:rFonts w:ascii="Book Antiqua" w:eastAsia="Book Antiqua" w:hAnsi="Book Antiqua" w:cs="Book Antiqua"/>
          <w:color w:val="000000"/>
        </w:rPr>
        <w:t xml:space="preserve"> observed that the </w:t>
      </w:r>
      <w:r>
        <w:rPr>
          <w:rFonts w:ascii="Book Antiqua" w:eastAsia="Book Antiqua" w:hAnsi="Book Antiqua" w:cs="Book Antiqua"/>
          <w:i/>
          <w:color w:val="000000"/>
        </w:rPr>
        <w:t>PTPN2</w:t>
      </w:r>
      <w:r>
        <w:rPr>
          <w:rFonts w:ascii="Book Antiqua" w:eastAsia="Book Antiqua" w:hAnsi="Book Antiqua" w:cs="Book Antiqua"/>
          <w:color w:val="000000"/>
        </w:rPr>
        <w:t xml:space="preserve"> SNP rs2542151 increases the risk of CD only in smokers</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Another study from Germany revealed an association of the </w:t>
      </w:r>
      <w:r>
        <w:rPr>
          <w:rFonts w:ascii="Book Antiqua" w:eastAsia="Book Antiqua" w:hAnsi="Book Antiqua" w:cs="Book Antiqua"/>
          <w:i/>
          <w:color w:val="000000"/>
        </w:rPr>
        <w:t>PTPN2</w:t>
      </w:r>
      <w:r>
        <w:rPr>
          <w:rFonts w:ascii="Book Antiqua" w:eastAsia="Book Antiqua" w:hAnsi="Book Antiqua" w:cs="Book Antiqua"/>
          <w:color w:val="000000"/>
        </w:rPr>
        <w:t xml:space="preserve"> SNP </w:t>
      </w:r>
      <w:r>
        <w:rPr>
          <w:rFonts w:ascii="Book Antiqua" w:eastAsia="Book Antiqua" w:hAnsi="Book Antiqua" w:cs="Book Antiqua"/>
          <w:color w:val="000000"/>
        </w:rPr>
        <w:lastRenderedPageBreak/>
        <w:t>rs7234029 with stricturing disease</w:t>
      </w:r>
      <w:r>
        <w:rPr>
          <w:rFonts w:ascii="Book Antiqua" w:eastAsia="Book Antiqua" w:hAnsi="Book Antiqua" w:cs="Book Antiqua"/>
          <w:color w:val="000000"/>
          <w:vertAlign w:val="superscript"/>
        </w:rPr>
        <w:t>[</w:t>
      </w:r>
      <w:hyperlink w:anchor="_ENREF_9" w:tooltip="Glas, 2012 #8" w:history="1">
        <w:r>
          <w:rPr>
            <w:rFonts w:ascii="Book Antiqua" w:eastAsia="Book Antiqua" w:hAnsi="Book Antiqua" w:cs="Book Antiqua"/>
            <w:color w:val="000000"/>
            <w:vertAlign w:val="superscript"/>
          </w:rPr>
          <w:t>9</w:t>
        </w:r>
      </w:hyperlink>
      <w:r>
        <w:rPr>
          <w:rFonts w:ascii="Book Antiqua" w:eastAsia="Book Antiqua" w:hAnsi="Book Antiqua" w:cs="Book Antiqua"/>
          <w:color w:val="000000"/>
          <w:u w:val="single" w:color="0000EE"/>
          <w:vertAlign w:val="superscript"/>
        </w:rPr>
        <w:t>]</w:t>
      </w:r>
      <w:r>
        <w:rPr>
          <w:rFonts w:ascii="Book Antiqua" w:eastAsia="Book Antiqua" w:hAnsi="Book Antiqua" w:cs="Book Antiqua"/>
          <w:color w:val="000000"/>
        </w:rPr>
        <w:t xml:space="preserve">. We found the </w:t>
      </w:r>
      <w:r>
        <w:rPr>
          <w:rFonts w:ascii="Book Antiqua" w:eastAsia="Book Antiqua" w:hAnsi="Book Antiqua" w:cs="Book Antiqua"/>
          <w:i/>
          <w:color w:val="000000"/>
        </w:rPr>
        <w:t>PTPN2</w:t>
      </w:r>
      <w:r>
        <w:rPr>
          <w:rFonts w:ascii="Book Antiqua" w:eastAsia="Book Antiqua" w:hAnsi="Book Antiqua" w:cs="Book Antiqua"/>
          <w:color w:val="000000"/>
        </w:rPr>
        <w:t xml:space="preserve"> SNP rs7234029 GG or GA genotype to be more frequent in patients with perianal disease and in those with onset of CD before the age of 40 years, although the difference was not significant statistically. A recent study by Hoffman </w:t>
      </w:r>
      <w:r>
        <w:rPr>
          <w:rFonts w:ascii="Book Antiqua" w:eastAsia="Book Antiqua" w:hAnsi="Book Antiqua" w:cs="Book Antiqua"/>
          <w:i/>
          <w:iCs/>
          <w:color w:val="000000"/>
        </w:rPr>
        <w:t>et al</w:t>
      </w:r>
      <w:r>
        <w:rPr>
          <w:rFonts w:ascii="Book Antiqua" w:eastAsia="Book Antiqua" w:hAnsi="Book Antiqua" w:cs="Book Antiqua"/>
          <w:color w:val="000000"/>
        </w:rPr>
        <w:t xml:space="preserve"> showed reduced response to anti IL-12/23 therapy in CD patients with G allele of the </w:t>
      </w:r>
      <w:r>
        <w:rPr>
          <w:rFonts w:ascii="Book Antiqua" w:eastAsia="Book Antiqua" w:hAnsi="Book Antiqua" w:cs="Book Antiqua"/>
          <w:i/>
          <w:color w:val="000000"/>
        </w:rPr>
        <w:t>PTPN2</w:t>
      </w:r>
      <w:r>
        <w:rPr>
          <w:rFonts w:ascii="Book Antiqua" w:eastAsia="Book Antiqua" w:hAnsi="Book Antiqua" w:cs="Book Antiqua"/>
          <w:color w:val="000000"/>
        </w:rPr>
        <w:t xml:space="preserve"> SNP rs7234029 compared to A allele (67.6% </w:t>
      </w:r>
      <w:r>
        <w:rPr>
          <w:rFonts w:ascii="Book Antiqua" w:eastAsia="Book Antiqua" w:hAnsi="Book Antiqua" w:cs="Book Antiqua"/>
          <w:i/>
          <w:iCs/>
          <w:color w:val="000000"/>
        </w:rPr>
        <w:t>vs</w:t>
      </w:r>
      <w:r>
        <w:rPr>
          <w:rFonts w:ascii="Book Antiqua" w:eastAsia="Book Antiqua" w:hAnsi="Book Antiqua" w:cs="Book Antiqua"/>
          <w:color w:val="000000"/>
        </w:rPr>
        <w:t xml:space="preserve"> 89.9%, </w:t>
      </w:r>
      <w:r>
        <w:rPr>
          <w:rFonts w:ascii="Book Antiqua" w:eastAsia="Book Antiqua" w:hAnsi="Book Antiqua" w:cs="Book Antiqua"/>
          <w:i/>
          <w:iCs/>
          <w:color w:val="000000"/>
        </w:rPr>
        <w:t>P</w:t>
      </w:r>
      <w:r>
        <w:rPr>
          <w:rFonts w:ascii="Book Antiqua" w:eastAsia="Book Antiqua" w:hAnsi="Book Antiqua" w:cs="Book Antiqua"/>
          <w:color w:val="000000"/>
        </w:rPr>
        <w:t xml:space="preserve"> = 0.005)</w:t>
      </w:r>
      <w:r>
        <w:rPr>
          <w:rFonts w:ascii="Book Antiqua" w:eastAsia="Book Antiqua" w:hAnsi="Book Antiqua" w:cs="Book Antiqua"/>
          <w:color w:val="000000"/>
          <w:vertAlign w:val="superscript"/>
        </w:rPr>
        <w:t>[32]</w:t>
      </w:r>
      <w:r>
        <w:rPr>
          <w:rFonts w:ascii="Book Antiqua" w:eastAsia="Book Antiqua" w:hAnsi="Book Antiqua" w:cs="Book Antiqua"/>
          <w:color w:val="000000"/>
        </w:rPr>
        <w:t>. As multiple factors may affect the disease phenotype and behavior, association with SNPs needs to be interpreted with caution. This may also explain the variability of effects in different studies and causality assessment would require a GWAS study with adjustment for other factors.</w:t>
      </w:r>
    </w:p>
    <w:p w14:paraId="57C7B7F6" w14:textId="77777777" w:rsidR="00557ED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Our study evaluated two well-known mutations in the </w:t>
      </w:r>
      <w:r>
        <w:rPr>
          <w:rFonts w:ascii="Book Antiqua" w:eastAsia="Book Antiqua" w:hAnsi="Book Antiqua" w:cs="Book Antiqua"/>
          <w:i/>
          <w:color w:val="000000"/>
        </w:rPr>
        <w:t>PTPN2</w:t>
      </w:r>
      <w:r>
        <w:rPr>
          <w:rFonts w:ascii="Book Antiqua" w:eastAsia="Book Antiqua" w:hAnsi="Book Antiqua" w:cs="Book Antiqua"/>
          <w:color w:val="000000"/>
        </w:rPr>
        <w:t xml:space="preserve"> gene but there may be mutations in other parts of the gene which would require sequencing of the entire gene. This is one of the limitations of this study. However, our aim was to evaluate the previously known mutations and hence this did not affect our study objective. </w:t>
      </w:r>
    </w:p>
    <w:p w14:paraId="23E93654" w14:textId="77777777" w:rsidR="00557EDD" w:rsidRDefault="00557EDD">
      <w:pPr>
        <w:spacing w:line="360" w:lineRule="auto"/>
        <w:jc w:val="both"/>
        <w:rPr>
          <w:rFonts w:ascii="Book Antiqua" w:hAnsi="Book Antiqua"/>
        </w:rPr>
      </w:pPr>
    </w:p>
    <w:p w14:paraId="44D605D0" w14:textId="77777777" w:rsidR="00557EDD"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1A9D979"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 In conclusion, we did not find a positive association of variants in the </w:t>
      </w:r>
      <w:r>
        <w:rPr>
          <w:rFonts w:ascii="Book Antiqua" w:eastAsia="Book Antiqua" w:hAnsi="Book Antiqua" w:cs="Book Antiqua"/>
          <w:i/>
          <w:color w:val="000000"/>
        </w:rPr>
        <w:t>PTPN2</w:t>
      </w:r>
      <w:r>
        <w:rPr>
          <w:rFonts w:ascii="Book Antiqua" w:eastAsia="Book Antiqua" w:hAnsi="Book Antiqua" w:cs="Book Antiqua"/>
          <w:color w:val="000000"/>
        </w:rPr>
        <w:t xml:space="preserve"> SNP rs2542151 and rs7234029 with risk of CD in Indian patients. As PTPN2 has several effects on immune function, whole gene sequencing studies may provide an insight on whether variations at other sites in this gene are associated with risk of CD in this population.</w:t>
      </w:r>
    </w:p>
    <w:p w14:paraId="4C08D9C9" w14:textId="77777777" w:rsidR="00557EDD" w:rsidRDefault="00557EDD">
      <w:pPr>
        <w:spacing w:line="360" w:lineRule="auto"/>
        <w:jc w:val="both"/>
        <w:rPr>
          <w:rFonts w:ascii="Book Antiqua" w:hAnsi="Book Antiqua"/>
        </w:rPr>
      </w:pPr>
    </w:p>
    <w:p w14:paraId="0A97E444" w14:textId="77777777" w:rsidR="00557EDD"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001CBBEE" w14:textId="77777777" w:rsidR="00557EDD"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696247EA"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The frequency of Crohn’s disease (CD) has been increasing in several Asian countries. Although its exact pathogenesis is still being elucidated, host genetic, gut microbiota, and environmental factors are key players involved. Research on genetic factors have provided valuable insight into the pathogenesis of the disease. However, some of the genetic abnormalities identified are not consistently seen across different populations and observations from one region cannot be extrapolated to other regions. </w:t>
      </w:r>
    </w:p>
    <w:p w14:paraId="7A6DCD86" w14:textId="77777777" w:rsidR="00557EDD" w:rsidRDefault="00557EDD">
      <w:pPr>
        <w:spacing w:line="360" w:lineRule="auto"/>
        <w:jc w:val="both"/>
        <w:rPr>
          <w:rFonts w:ascii="Book Antiqua" w:hAnsi="Book Antiqua"/>
        </w:rPr>
      </w:pPr>
    </w:p>
    <w:p w14:paraId="61727D05" w14:textId="77777777" w:rsidR="00557EDD" w:rsidRDefault="00000000">
      <w:pPr>
        <w:spacing w:line="360" w:lineRule="auto"/>
        <w:jc w:val="both"/>
        <w:rPr>
          <w:rFonts w:ascii="Book Antiqua" w:hAnsi="Book Antiqua"/>
        </w:rPr>
      </w:pPr>
      <w:r>
        <w:rPr>
          <w:rFonts w:ascii="Book Antiqua" w:eastAsia="Book Antiqua" w:hAnsi="Book Antiqua" w:cs="Book Antiqua"/>
          <w:b/>
          <w:i/>
          <w:color w:val="000000"/>
        </w:rPr>
        <w:lastRenderedPageBreak/>
        <w:t>Research motivation</w:t>
      </w:r>
    </w:p>
    <w:p w14:paraId="00332607"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Protein tyrosine phosphate non-receptor type 2</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(PTPN2) plays an important role in autophagy, innate and adaptive immune response, and maintaining epithelial barrier function. Single nucleotide polymorphisms (SNP) in the </w:t>
      </w:r>
      <w:r>
        <w:rPr>
          <w:rFonts w:ascii="Book Antiqua" w:eastAsia="Book Antiqua" w:hAnsi="Book Antiqua" w:cs="Book Antiqua"/>
          <w:i/>
          <w:color w:val="000000"/>
        </w:rPr>
        <w:t>PTPN2</w:t>
      </w:r>
      <w:r>
        <w:rPr>
          <w:rFonts w:ascii="Book Antiqua" w:eastAsia="Book Antiqua" w:hAnsi="Book Antiqua" w:cs="Book Antiqua"/>
          <w:color w:val="000000"/>
        </w:rPr>
        <w:t xml:space="preserve"> gene have been associated with an increased risk of CD. However, this needs to be confirmed in different populations.</w:t>
      </w:r>
    </w:p>
    <w:p w14:paraId="45467BA9" w14:textId="77777777" w:rsidR="00557EDD" w:rsidRDefault="00557EDD">
      <w:pPr>
        <w:spacing w:line="360" w:lineRule="auto"/>
        <w:jc w:val="both"/>
        <w:rPr>
          <w:rFonts w:ascii="Book Antiqua" w:hAnsi="Book Antiqua"/>
        </w:rPr>
      </w:pPr>
    </w:p>
    <w:p w14:paraId="3C02E72D" w14:textId="77777777" w:rsidR="00557EDD"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566B76F9"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Two SNPs in the </w:t>
      </w:r>
      <w:r>
        <w:rPr>
          <w:rFonts w:ascii="Book Antiqua" w:eastAsia="Book Antiqua" w:hAnsi="Book Antiqua" w:cs="Book Antiqua"/>
          <w:i/>
          <w:color w:val="000000"/>
        </w:rPr>
        <w:t>PTPN2</w:t>
      </w:r>
      <w:r>
        <w:rPr>
          <w:rFonts w:ascii="Book Antiqua" w:eastAsia="Book Antiqua" w:hAnsi="Book Antiqua" w:cs="Book Antiqua"/>
          <w:color w:val="000000"/>
        </w:rPr>
        <w:t xml:space="preserve"> gene (rs7234029 and rs2542151) have been associated with risk of CD. The objective of the current study was to assess the association of these two polymorphisms with CD in a large Asian country. </w:t>
      </w:r>
    </w:p>
    <w:p w14:paraId="73C00F30" w14:textId="77777777" w:rsidR="00557EDD" w:rsidRDefault="00557EDD">
      <w:pPr>
        <w:spacing w:line="360" w:lineRule="auto"/>
        <w:jc w:val="both"/>
        <w:rPr>
          <w:rFonts w:ascii="Book Antiqua" w:hAnsi="Book Antiqua"/>
        </w:rPr>
      </w:pPr>
    </w:p>
    <w:p w14:paraId="2A139163" w14:textId="77777777" w:rsidR="00557EDD"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4BBD3AA3"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A prospective case-control study was conducted where cases were patients with CD. Two SNPs in the </w:t>
      </w:r>
      <w:r>
        <w:rPr>
          <w:rFonts w:ascii="Book Antiqua" w:eastAsia="Book Antiqua" w:hAnsi="Book Antiqua" w:cs="Book Antiqua"/>
          <w:i/>
          <w:color w:val="000000"/>
        </w:rPr>
        <w:t>PTPN2</w:t>
      </w:r>
      <w:r>
        <w:rPr>
          <w:rFonts w:ascii="Book Antiqua" w:eastAsia="Book Antiqua" w:hAnsi="Book Antiqua" w:cs="Book Antiqua"/>
          <w:color w:val="000000"/>
        </w:rPr>
        <w:t xml:space="preserve"> gene (rs2542151 and rs7234029) were assessed using restriction fragment length polymorphism. The frequencies of polymorphisms between cases and controls were compared.</w:t>
      </w:r>
    </w:p>
    <w:p w14:paraId="357F577B" w14:textId="77777777" w:rsidR="00557EDD" w:rsidRDefault="00557EDD">
      <w:pPr>
        <w:spacing w:line="360" w:lineRule="auto"/>
        <w:jc w:val="both"/>
        <w:rPr>
          <w:rFonts w:ascii="Book Antiqua" w:hAnsi="Book Antiqua"/>
        </w:rPr>
      </w:pPr>
    </w:p>
    <w:p w14:paraId="714BE279" w14:textId="77777777" w:rsidR="00557EDD"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073C1F2A"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The study included 108 patients with CD and 100 controls. The two SNPs in the </w:t>
      </w:r>
      <w:r>
        <w:rPr>
          <w:rFonts w:ascii="Book Antiqua" w:eastAsia="Book Antiqua" w:hAnsi="Book Antiqua" w:cs="Book Antiqua"/>
          <w:i/>
          <w:color w:val="000000"/>
        </w:rPr>
        <w:t>PTPN2</w:t>
      </w:r>
      <w:r>
        <w:rPr>
          <w:rFonts w:ascii="Book Antiqua" w:eastAsia="Book Antiqua" w:hAnsi="Book Antiqua" w:cs="Book Antiqua"/>
          <w:color w:val="000000"/>
        </w:rPr>
        <w:t xml:space="preserve"> gene were not associated with an increased risk of CD. In addition, no association was observed between the two SNPs and disease characteristics.</w:t>
      </w:r>
    </w:p>
    <w:p w14:paraId="2884549E" w14:textId="77777777" w:rsidR="00557EDD" w:rsidRDefault="00557EDD">
      <w:pPr>
        <w:spacing w:line="360" w:lineRule="auto"/>
        <w:jc w:val="both"/>
        <w:rPr>
          <w:rFonts w:ascii="Book Antiqua" w:hAnsi="Book Antiqua"/>
        </w:rPr>
      </w:pPr>
    </w:p>
    <w:p w14:paraId="77AEFA60" w14:textId="77777777" w:rsidR="00557EDD"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0EC831EF"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The current study did not show an increased risk of CD with polymorphisms in the </w:t>
      </w:r>
      <w:r>
        <w:rPr>
          <w:rFonts w:ascii="Book Antiqua" w:eastAsia="Book Antiqua" w:hAnsi="Book Antiqua" w:cs="Book Antiqua"/>
          <w:i/>
          <w:color w:val="000000"/>
        </w:rPr>
        <w:t>PTPN2</w:t>
      </w:r>
      <w:r>
        <w:rPr>
          <w:rFonts w:ascii="Book Antiqua" w:eastAsia="Book Antiqua" w:hAnsi="Book Antiqua" w:cs="Book Antiqua"/>
          <w:color w:val="000000"/>
        </w:rPr>
        <w:t xml:space="preserve"> gene contrary to observations in Western population.</w:t>
      </w:r>
    </w:p>
    <w:p w14:paraId="31305772" w14:textId="77777777" w:rsidR="00557EDD" w:rsidRDefault="00557EDD">
      <w:pPr>
        <w:spacing w:line="360" w:lineRule="auto"/>
        <w:jc w:val="both"/>
        <w:rPr>
          <w:rFonts w:ascii="Book Antiqua" w:hAnsi="Book Antiqua"/>
        </w:rPr>
      </w:pPr>
    </w:p>
    <w:p w14:paraId="26977E0B" w14:textId="77777777" w:rsidR="00557EDD"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1CCB265E"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lastRenderedPageBreak/>
        <w:t>This study reemphasizes on the heterogeneity of genetic risk factors for CD across different population and the need to evaluate them in different populations.</w:t>
      </w:r>
    </w:p>
    <w:p w14:paraId="388BAABB" w14:textId="77777777" w:rsidR="00557EDD" w:rsidRDefault="00557EDD">
      <w:pPr>
        <w:spacing w:line="360" w:lineRule="auto"/>
        <w:jc w:val="both"/>
        <w:rPr>
          <w:rFonts w:ascii="Book Antiqua" w:hAnsi="Book Antiqua"/>
        </w:rPr>
      </w:pPr>
    </w:p>
    <w:p w14:paraId="6121A5D1" w14:textId="77777777" w:rsidR="00557EDD"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62E3339E"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Ramakrishna BS</w:t>
      </w:r>
      <w:r>
        <w:rPr>
          <w:rFonts w:ascii="Book Antiqua" w:eastAsia="Book Antiqua" w:hAnsi="Book Antiqua" w:cs="Book Antiqua"/>
          <w:color w:val="000000"/>
        </w:rPr>
        <w:t xml:space="preserve">, Makharia GK, Ahuja V, Ghoshal UC, Jayanthi V, Perakath B, Abraham P, Bhasin DK, Bhatia SJ, Choudhuri G, Dadhich S, Desai D, Goswami BD, Issar SK, Jain AK, Kochhar R, Loganathan G, Misra SP, Ganesh Pai C, Pal S, Philip M, Pulimood A, Puri AS, Ray G, Singh SP, Sood A, Subramanian V; Indian Society of Gastroenterology Task Force on Inflammatory Bowel Diseases. Indian Society of Gastroenterology consensus statements on Crohn's disease in India.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3-22 [PMID: 25772856 DOI: 10.1007/s12664-015-0539-6]</w:t>
      </w:r>
    </w:p>
    <w:p w14:paraId="4140156E"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Kedia S</w:t>
      </w:r>
      <w:r>
        <w:rPr>
          <w:rFonts w:ascii="Book Antiqua" w:eastAsia="Book Antiqua" w:hAnsi="Book Antiqua" w:cs="Book Antiqua"/>
          <w:color w:val="000000"/>
        </w:rPr>
        <w:t xml:space="preserve">, Ahuja V. Epidemiology of Inflammatory Bowel Disease in India: The Great Shift East. </w:t>
      </w:r>
      <w:r>
        <w:rPr>
          <w:rFonts w:ascii="Book Antiqua" w:eastAsia="Book Antiqua" w:hAnsi="Book Antiqua" w:cs="Book Antiqua"/>
          <w:i/>
          <w:iCs/>
          <w:color w:val="000000"/>
        </w:rPr>
        <w:t>Inflamm Intest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w:t>
      </w:r>
      <w:r>
        <w:rPr>
          <w:rFonts w:ascii="Book Antiqua" w:eastAsia="Book Antiqua" w:hAnsi="Book Antiqua" w:cs="Book Antiqua"/>
          <w:color w:val="000000"/>
        </w:rPr>
        <w:t>: 102-115 [PMID: 30018961 DOI: 10.1159/000465522]</w:t>
      </w:r>
    </w:p>
    <w:p w14:paraId="5282FF6A"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Jung C</w:t>
      </w:r>
      <w:r>
        <w:rPr>
          <w:rFonts w:ascii="Book Antiqua" w:eastAsia="Book Antiqua" w:hAnsi="Book Antiqua" w:cs="Book Antiqua"/>
          <w:color w:val="000000"/>
        </w:rPr>
        <w:t xml:space="preserve">, Hugot JP. Inflammatory Bowel Diseases: the genetic revolution. </w:t>
      </w:r>
      <w:r>
        <w:rPr>
          <w:rFonts w:ascii="Book Antiqua" w:eastAsia="Book Antiqua" w:hAnsi="Book Antiqua" w:cs="Book Antiqua"/>
          <w:i/>
          <w:iCs/>
          <w:color w:val="000000"/>
        </w:rPr>
        <w:t>Gastroenterol Clin Biol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33 Suppl 3</w:t>
      </w:r>
      <w:r>
        <w:rPr>
          <w:rFonts w:ascii="Book Antiqua" w:eastAsia="Book Antiqua" w:hAnsi="Book Antiqua" w:cs="Book Antiqua"/>
          <w:color w:val="000000"/>
        </w:rPr>
        <w:t>: S123-S130 [PMID: 20117335 DOI: 10.1016/S0399-8320 (09)73147-1]</w:t>
      </w:r>
    </w:p>
    <w:p w14:paraId="068D7947"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Jostins L</w:t>
      </w:r>
      <w:r>
        <w:rPr>
          <w:rFonts w:ascii="Book Antiqua" w:eastAsia="Book Antiqua" w:hAnsi="Book Antiqua" w:cs="Book Antiqua"/>
          <w:color w:val="000000"/>
        </w:rPr>
        <w:t xml:space="preserve">, Ripke S, Weersma RK, Duerr RH, McGovern DP, Hui KY, Lee JC, Schumm LP, Sharma Y, Anderson CA, Essers J, Mitrovic M, Ning K, Cleynen I, Theatre E, Spain SL, Raychaudhuri S, Goyette P, Wei Z, Abraham C, Achkar JP, Ahmad T, Amininejad L, Ananthakrishnan AN, Andersen V, Andrews JM, Baidoo L, Balschun T, Bampton PA, Bitton A, Boucher G, Brand S, Büning C, Cohain A, Cichon S, D'Amato M, De Jong D, Devaney KL, Dubinsky M, Edwards C, Ellinghaus D, Ferguson LR, Franchimont D, Fransen K, Gearry R, Georges M, Gieger C, Glas J, Haritunians T, Hart A, Hawkey C, Hedl M, Hu X, Karlsen TH, Kupcinskas L, Kugathasan S, Latiano A, Laukens D, Lawrance IC, Lees CW, Louis E, Mahy G, Mansfield J, Morgan AR, Mowat C, Newman W, Palmieri O, Ponsioen CY, Potocnik U, Prescott NJ, Regueiro M, Rotter JI, Russell RK, Sanderson JD, Sans M, Satsangi J, Schreiber S, Simms LA, Sventoraityte J, Targan SR, Taylor KD, Tremelling M, Verspaget HW, De Vos M, Wijmenga C, Wilson DC, Winkelmann J, Xavier RJ, Zeissig S, Zhang B, Zhang CK, Zhao H; International IBD </w:t>
      </w:r>
      <w:r>
        <w:rPr>
          <w:rFonts w:ascii="Book Antiqua" w:eastAsia="Book Antiqua" w:hAnsi="Book Antiqua" w:cs="Book Antiqua"/>
          <w:color w:val="000000"/>
        </w:rPr>
        <w:lastRenderedPageBreak/>
        <w:t xml:space="preserve">Genetics Consortium (IIBDGC), Silverberg MS, Annese V, Hakonarson H, Brant SR, Radford-Smith G, Mathew CG, Rioux JD, Schadt EE, Daly MJ, Franke A, Parkes M, Vermeire S, Barrett JC, Cho JH. Host-microbe interactions have shaped the genetic architecture of inflammatory bowel disease.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491</w:t>
      </w:r>
      <w:r>
        <w:rPr>
          <w:rFonts w:ascii="Book Antiqua" w:eastAsia="Book Antiqua" w:hAnsi="Book Antiqua" w:cs="Book Antiqua"/>
          <w:color w:val="000000"/>
        </w:rPr>
        <w:t>: 119-124 [PMID: 23128233 DOI: 10.1038/nature11582]</w:t>
      </w:r>
    </w:p>
    <w:p w14:paraId="7C723E41"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Ng SC</w:t>
      </w:r>
      <w:r>
        <w:rPr>
          <w:rFonts w:ascii="Book Antiqua" w:eastAsia="Book Antiqua" w:hAnsi="Book Antiqua" w:cs="Book Antiqua"/>
          <w:color w:val="000000"/>
        </w:rPr>
        <w:t xml:space="preserve">, Tsoi KK, Kamm MA, Xia B, Wu J, Chan FK, Sung JJ. Genetics of inflammatory bowel disease in Asia: systematic review and meta-analysis.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1164-1176 [PMID: 21887729 DOI: 10.1002/ibd.21845]</w:t>
      </w:r>
    </w:p>
    <w:p w14:paraId="45CB3CEC"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Pugazhendhi S</w:t>
      </w:r>
      <w:r>
        <w:rPr>
          <w:rFonts w:ascii="Book Antiqua" w:eastAsia="Book Antiqua" w:hAnsi="Book Antiqua" w:cs="Book Antiqua"/>
          <w:color w:val="000000"/>
        </w:rPr>
        <w:t xml:space="preserve">, Amte A, Balamurugan R, Subramanian V, Ramakrishna BS. Common NOD2 mutations are absent in patients with Crohn's disease in India.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27</w:t>
      </w:r>
      <w:r>
        <w:rPr>
          <w:rFonts w:ascii="Book Antiqua" w:eastAsia="Book Antiqua" w:hAnsi="Book Antiqua" w:cs="Book Antiqua"/>
          <w:color w:val="000000"/>
        </w:rPr>
        <w:t>: 201-203 [PMID: 19112191]</w:t>
      </w:r>
    </w:p>
    <w:p w14:paraId="20ED0693"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Bussières-Marmen S</w:t>
      </w:r>
      <w:r>
        <w:rPr>
          <w:rFonts w:ascii="Book Antiqua" w:eastAsia="Book Antiqua" w:hAnsi="Book Antiqua" w:cs="Book Antiqua"/>
          <w:color w:val="000000"/>
        </w:rPr>
        <w:t xml:space="preserve">, Hutchins AP, Schirbel A, Rebert N, Tiganis T, Fiocchi C, Miranda-Saavedra D, Tremblay ML. Characterization of PTPN2 and its use as a biomarker. </w:t>
      </w:r>
      <w:r>
        <w:rPr>
          <w:rFonts w:ascii="Book Antiqua" w:eastAsia="Book Antiqua" w:hAnsi="Book Antiqua" w:cs="Book Antiqua"/>
          <w:i/>
          <w:iCs/>
          <w:color w:val="000000"/>
        </w:rPr>
        <w:t>Methods</w:t>
      </w:r>
      <w:r>
        <w:rPr>
          <w:rFonts w:ascii="Book Antiqua" w:eastAsia="Book Antiqua" w:hAnsi="Book Antiqua" w:cs="Book Antiqua"/>
          <w:color w:val="000000"/>
        </w:rPr>
        <w:t xml:space="preserve"> 2014; </w:t>
      </w:r>
      <w:r>
        <w:rPr>
          <w:rFonts w:ascii="Book Antiqua" w:eastAsia="Book Antiqua" w:hAnsi="Book Antiqua" w:cs="Book Antiqua"/>
          <w:b/>
          <w:bCs/>
          <w:color w:val="000000"/>
        </w:rPr>
        <w:t>65</w:t>
      </w:r>
      <w:r>
        <w:rPr>
          <w:rFonts w:ascii="Book Antiqua" w:eastAsia="Book Antiqua" w:hAnsi="Book Antiqua" w:cs="Book Antiqua"/>
          <w:color w:val="000000"/>
        </w:rPr>
        <w:t>: 239-246 [PMID: 23994241 DOI: 10.1016/j.ymeth.2013.08.020]</w:t>
      </w:r>
    </w:p>
    <w:p w14:paraId="4021EAE7"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Zikherman J</w:t>
      </w:r>
      <w:r>
        <w:rPr>
          <w:rFonts w:ascii="Book Antiqua" w:eastAsia="Book Antiqua" w:hAnsi="Book Antiqua" w:cs="Book Antiqua"/>
          <w:color w:val="000000"/>
        </w:rPr>
        <w:t xml:space="preserve">, Weiss A. Unraveling the functional implications of GWAS: how T cell protein tyrosine phosphatase drives autoimmune disease.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2011; </w:t>
      </w:r>
      <w:r>
        <w:rPr>
          <w:rFonts w:ascii="Book Antiqua" w:eastAsia="Book Antiqua" w:hAnsi="Book Antiqua" w:cs="Book Antiqua"/>
          <w:b/>
          <w:bCs/>
          <w:color w:val="000000"/>
        </w:rPr>
        <w:t>121</w:t>
      </w:r>
      <w:r>
        <w:rPr>
          <w:rFonts w:ascii="Book Antiqua" w:eastAsia="Book Antiqua" w:hAnsi="Book Antiqua" w:cs="Book Antiqua"/>
          <w:color w:val="000000"/>
        </w:rPr>
        <w:t>: 4618-4621 [PMID: 22080861 DOI: 10.1172/JCI60001]</w:t>
      </w:r>
    </w:p>
    <w:p w14:paraId="703D6DEA"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Glas J</w:t>
      </w:r>
      <w:r>
        <w:rPr>
          <w:rFonts w:ascii="Book Antiqua" w:eastAsia="Book Antiqua" w:hAnsi="Book Antiqua" w:cs="Book Antiqua"/>
          <w:color w:val="000000"/>
        </w:rPr>
        <w:t xml:space="preserve">, Wagner J, Seiderer J, Olszak T, Wetzke M, Beigel F, Tillack C, Stallhofer J, Friedrich M, Steib C, Göke B, Ochsenkühn T, Karbalai N, Diegelmann J, Czamara D, Brand S. PTPN2 gene variants are associated with susceptibility to both Crohn's disease and ulcerative colitis supporting a common genetic disease background.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e33682 [PMID: 22457781 DOI: 10.1371/journal.pone.0033682]</w:t>
      </w:r>
    </w:p>
    <w:p w14:paraId="7FAEAD94"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Marcil V</w:t>
      </w:r>
      <w:r>
        <w:rPr>
          <w:rFonts w:ascii="Book Antiqua" w:eastAsia="Book Antiqua" w:hAnsi="Book Antiqua" w:cs="Book Antiqua"/>
          <w:color w:val="000000"/>
        </w:rPr>
        <w:t xml:space="preserve">, Mack DR, Kumar V, Faure C, Carlson CS, Beaulieu P, Israel D, Krupoves A, Costea I, Lambrette P, Grimard G, Dong J, Seidman EG, Amre DK, Levy E. Association between the PTPN2 gene and Crohn's disease: dissection of potential causal variants.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1149-1155 [PMID: 23518806 DOI: 10.1097/MIB.0b013e318280b181]</w:t>
      </w:r>
    </w:p>
    <w:p w14:paraId="6B460578"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McCole DF</w:t>
      </w:r>
      <w:r>
        <w:rPr>
          <w:rFonts w:ascii="Book Antiqua" w:eastAsia="Book Antiqua" w:hAnsi="Book Antiqua" w:cs="Book Antiqua"/>
          <w:color w:val="000000"/>
        </w:rPr>
        <w:t xml:space="preserve">. Regulation of epithelial barrier function by the inflammatory bowel disease candidate gene, PTPN2. </w:t>
      </w:r>
      <w:r>
        <w:rPr>
          <w:rFonts w:ascii="Book Antiqua" w:eastAsia="Book Antiqua" w:hAnsi="Book Antiqua" w:cs="Book Antiqua"/>
          <w:i/>
          <w:iCs/>
          <w:color w:val="000000"/>
        </w:rPr>
        <w:t>Ann N Y Acad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1257</w:t>
      </w:r>
      <w:r>
        <w:rPr>
          <w:rFonts w:ascii="Book Antiqua" w:eastAsia="Book Antiqua" w:hAnsi="Book Antiqua" w:cs="Book Antiqua"/>
          <w:color w:val="000000"/>
        </w:rPr>
        <w:t>: 108-114 [PMID: 22671596 DOI: 10.1111/j.1749-6632.2012.06522.x]</w:t>
      </w:r>
    </w:p>
    <w:p w14:paraId="784CAC6D"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Scharl M</w:t>
      </w:r>
      <w:r>
        <w:rPr>
          <w:rFonts w:ascii="Book Antiqua" w:eastAsia="Book Antiqua" w:hAnsi="Book Antiqua" w:cs="Book Antiqua"/>
          <w:color w:val="000000"/>
        </w:rPr>
        <w:t xml:space="preserve">, McCole DF, Weber A, Vavricka SR, Frei P, Kellermeier S, Pesch T, Fried M, Rogler G. Protein tyrosine phosphatase N2 regulates TNFα-induced signalling and cytokine secretion in human intestinal epithelial cells.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2011; </w:t>
      </w:r>
      <w:r>
        <w:rPr>
          <w:rFonts w:ascii="Book Antiqua" w:eastAsia="Book Antiqua" w:hAnsi="Book Antiqua" w:cs="Book Antiqua"/>
          <w:b/>
          <w:bCs/>
          <w:color w:val="000000"/>
        </w:rPr>
        <w:t>60</w:t>
      </w:r>
      <w:r>
        <w:rPr>
          <w:rFonts w:ascii="Book Antiqua" w:eastAsia="Book Antiqua" w:hAnsi="Book Antiqua" w:cs="Book Antiqua"/>
          <w:color w:val="000000"/>
        </w:rPr>
        <w:t>: 189-197 [PMID: 21115548 DOI: 10.1136/gut.2010.216606]</w:t>
      </w:r>
    </w:p>
    <w:p w14:paraId="307FB7BA"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Scharl M</w:t>
      </w:r>
      <w:r>
        <w:rPr>
          <w:rFonts w:ascii="Book Antiqua" w:eastAsia="Book Antiqua" w:hAnsi="Book Antiqua" w:cs="Book Antiqua"/>
          <w:color w:val="000000"/>
        </w:rPr>
        <w:t xml:space="preserve">, Mwinyi J, Fischbeck A, Leucht K, Eloranta JJ, Arikkat J, Pesch T, Kellermeier S, Mair A, Kullak-Ublick GA, Truninger K, Noreen F, Regula J, Gaj P, Pittet V, Mueller C, Hofmann C, Fried M, McCole DF, Rogler G. Crohn's disease-associated polymorphism within the PTPN2 gene affects muramyl-dipeptide-induced cytokine secretion and autophagy.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900-912 [PMID: 22021207 DOI: 10.1002/ibd.21913]</w:t>
      </w:r>
    </w:p>
    <w:p w14:paraId="2EB8243A"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Ooi CJ,</w:t>
      </w:r>
      <w:r>
        <w:rPr>
          <w:rFonts w:ascii="Book Antiqua" w:eastAsia="Book Antiqua" w:hAnsi="Book Antiqua" w:cs="Book Antiqua"/>
          <w:color w:val="000000"/>
        </w:rPr>
        <w:t xml:space="preserve"> Makharia GK, Hilmi I, Gibson PR, Fock KM, Ahuja V, Ling KL, Lim WC, Thia KT, Wei S-c, Leung WK, Koh PK, Gearry RB, Goh KL, Ouyang Q, Sollano J, Manatsathit S, de Silva HJ, Rerknimitr R, Pisespongsa P, Abu Hassan MR, Sung J, Hibi T, Boey CCM, Moran N, Leong RWL. Asia Pacific Consensus Statements on Crohn's disease. Part 1: Definition, diagnosis, and epidemiology. </w:t>
      </w:r>
      <w:r>
        <w:rPr>
          <w:rFonts w:ascii="Book Antiqua" w:eastAsia="Book Antiqua" w:hAnsi="Book Antiqua" w:cs="Book Antiqua"/>
          <w:i/>
          <w:color w:val="000000"/>
        </w:rPr>
        <w:t>Journal of Gastroenterology and Hepatology</w:t>
      </w:r>
      <w:r>
        <w:rPr>
          <w:rFonts w:ascii="Book Antiqua" w:hAnsi="Book Antiqua" w:cs="Book Antiqua" w:hint="eastAsia"/>
          <w:color w:val="000000"/>
          <w:lang w:eastAsia="zh-CN"/>
        </w:rPr>
        <w:t xml:space="preserve"> </w:t>
      </w:r>
      <w:r>
        <w:rPr>
          <w:rFonts w:ascii="Book Antiqua" w:eastAsia="Book Antiqua" w:hAnsi="Book Antiqua" w:cs="Book Antiqua"/>
          <w:color w:val="000000"/>
        </w:rPr>
        <w:t>2016;</w:t>
      </w:r>
      <w:r>
        <w:rPr>
          <w:rFonts w:ascii="Book Antiqua" w:hAnsi="Book Antiqua" w:cs="Book Antiqua" w:hint="eastAsia"/>
          <w:color w:val="000000"/>
          <w:lang w:eastAsia="zh-CN"/>
        </w:rPr>
        <w:t xml:space="preserve"> </w:t>
      </w:r>
      <w:r>
        <w:rPr>
          <w:rFonts w:ascii="Book Antiqua" w:eastAsia="Book Antiqua" w:hAnsi="Book Antiqua" w:cs="Book Antiqua"/>
          <w:b/>
          <w:bCs/>
          <w:color w:val="000000"/>
        </w:rPr>
        <w:t>31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45-55</w:t>
      </w:r>
      <w:r>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10.1111/jgh.12958]</w:t>
      </w:r>
    </w:p>
    <w:p w14:paraId="69528DC0"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Conde J</w:t>
      </w:r>
      <w:r>
        <w:rPr>
          <w:rFonts w:ascii="Book Antiqua" w:eastAsia="Book Antiqua" w:hAnsi="Book Antiqua" w:cs="Book Antiqua"/>
          <w:color w:val="000000"/>
        </w:rPr>
        <w:t xml:space="preserve">, Schwarzfischer M, Katkeviciute E, Häfliger J, Niechcial A, Brillant N, Manzini R, Bäbler K, Atrott K, Lang S, Scharl M. Titanium Dioxide Presents a Different Profile in Dextran Sodium Sulphate-Induced Experimental Colitis in Mice Lacking the IBD Risk Gene Ptpn2 in Myeloid Cells.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33466682 DOI: 10.3390/ijms22020772]</w:t>
      </w:r>
    </w:p>
    <w:p w14:paraId="1F14DFEF"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Wellcome Trust Case Control Consortium.. Genome-wide association study of 14,</w:t>
      </w:r>
      <w:r>
        <w:rPr>
          <w:rFonts w:ascii="Book Antiqua" w:eastAsia="Book Antiqua" w:hAnsi="Book Antiqua" w:cs="Book Antiqua"/>
          <w:color w:val="000000"/>
        </w:rPr>
        <w:t xml:space="preserve"> 000 cases of seven common diseases and 3,000 shared controls. </w:t>
      </w:r>
      <w:r>
        <w:rPr>
          <w:rFonts w:ascii="Book Antiqua" w:eastAsia="Book Antiqua" w:hAnsi="Book Antiqua" w:cs="Book Antiqua"/>
          <w:i/>
          <w:color w:val="000000"/>
        </w:rPr>
        <w:t>Nature</w:t>
      </w:r>
      <w:r>
        <w:rPr>
          <w:rFonts w:ascii="Book Antiqua" w:eastAsia="Book Antiqua" w:hAnsi="Book Antiqua" w:cs="Book Antiqua"/>
          <w:color w:val="000000"/>
        </w:rPr>
        <w:t xml:space="preserve"> 2007; </w:t>
      </w:r>
      <w:r>
        <w:rPr>
          <w:rFonts w:ascii="Book Antiqua" w:eastAsia="Book Antiqua" w:hAnsi="Book Antiqua" w:cs="Book Antiqua"/>
          <w:b/>
          <w:color w:val="000000"/>
        </w:rPr>
        <w:t>447</w:t>
      </w:r>
      <w:r>
        <w:rPr>
          <w:rFonts w:ascii="Book Antiqua" w:eastAsia="Book Antiqua" w:hAnsi="Book Antiqua" w:cs="Book Antiqua"/>
          <w:color w:val="000000"/>
        </w:rPr>
        <w:t>: 661-678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10.1038/nature05911]</w:t>
      </w:r>
    </w:p>
    <w:p w14:paraId="7EDF9DDA"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Festen EA</w:t>
      </w:r>
      <w:r>
        <w:rPr>
          <w:rFonts w:ascii="Book Antiqua" w:eastAsia="Book Antiqua" w:hAnsi="Book Antiqua" w:cs="Book Antiqua"/>
          <w:color w:val="000000"/>
        </w:rPr>
        <w:t xml:space="preserve">, Goyette P, Green T, Boucher G, Beauchamp C, Trynka G, Dubois PC, Lagacé C, Stokkers PC, Hommes DW, Barisani D, Palmieri O, Annese V, van Heel DA, Weersma RK, Daly MJ, Wijmenga C, Rioux JD. A meta-analysis of genome-wide </w:t>
      </w:r>
      <w:r>
        <w:rPr>
          <w:rFonts w:ascii="Book Antiqua" w:eastAsia="Book Antiqua" w:hAnsi="Book Antiqua" w:cs="Book Antiqua"/>
          <w:color w:val="000000"/>
        </w:rPr>
        <w:lastRenderedPageBreak/>
        <w:t xml:space="preserve">association scans identifies IL18RAP, PTPN2, TAGAP, and PUS10 as shared risk loci for Crohn's disease and celiac disease. </w:t>
      </w:r>
      <w:r>
        <w:rPr>
          <w:rFonts w:ascii="Book Antiqua" w:eastAsia="Book Antiqua" w:hAnsi="Book Antiqua" w:cs="Book Antiqua"/>
          <w:i/>
          <w:iCs/>
          <w:color w:val="000000"/>
        </w:rPr>
        <w:t>PLoS Genet</w:t>
      </w:r>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e1001283 [PMID: 21298027 DOI: 10.1371/journal.pgen.1001283]</w:t>
      </w:r>
    </w:p>
    <w:p w14:paraId="63B79FB7"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Sharp RC</w:t>
      </w:r>
      <w:r>
        <w:rPr>
          <w:rFonts w:ascii="Book Antiqua" w:eastAsia="Book Antiqua" w:hAnsi="Book Antiqua" w:cs="Book Antiqua"/>
          <w:color w:val="000000"/>
        </w:rPr>
        <w:t xml:space="preserve">, Abdulrahim M, Naser ES, Naser SA. Genetic Variations of PTPN2 and PTPN22: Role in the Pathogenesis of Type 1 Diabetes and Crohn's Disease. </w:t>
      </w:r>
      <w:r>
        <w:rPr>
          <w:rFonts w:ascii="Book Antiqua" w:eastAsia="Book Antiqua" w:hAnsi="Book Antiqua" w:cs="Book Antiqua"/>
          <w:i/>
          <w:iCs/>
          <w:color w:val="000000"/>
        </w:rPr>
        <w:t>Front Cell Infect Microbiol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95 [PMID: 26734582 DOI: 10.3389/fcimb.2015.00095]</w:t>
      </w:r>
    </w:p>
    <w:p w14:paraId="16772280"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Wiede F</w:t>
      </w:r>
      <w:r>
        <w:rPr>
          <w:rFonts w:ascii="Book Antiqua" w:eastAsia="Book Antiqua" w:hAnsi="Book Antiqua" w:cs="Book Antiqua"/>
          <w:color w:val="000000"/>
        </w:rPr>
        <w:t xml:space="preserve">, Sacirbegovic F, Leong YA, Yu D, Tiganis T. PTPN2-deficiency exacerbates T follicular helper cell and B cell responses and promotes the development of autoimmunity. </w:t>
      </w:r>
      <w:r>
        <w:rPr>
          <w:rFonts w:ascii="Book Antiqua" w:eastAsia="Book Antiqua" w:hAnsi="Book Antiqua" w:cs="Book Antiqua"/>
          <w:i/>
          <w:iCs/>
          <w:color w:val="000000"/>
        </w:rPr>
        <w:t>J Autoimmun</w:t>
      </w:r>
      <w:r>
        <w:rPr>
          <w:rFonts w:ascii="Book Antiqua" w:eastAsia="Book Antiqua" w:hAnsi="Book Antiqua" w:cs="Book Antiqua"/>
          <w:color w:val="000000"/>
        </w:rPr>
        <w:t xml:space="preserve"> 2017; </w:t>
      </w:r>
      <w:r>
        <w:rPr>
          <w:rFonts w:ascii="Book Antiqua" w:eastAsia="Book Antiqua" w:hAnsi="Book Antiqua" w:cs="Book Antiqua"/>
          <w:b/>
          <w:bCs/>
          <w:color w:val="000000"/>
        </w:rPr>
        <w:t>76</w:t>
      </w:r>
      <w:r>
        <w:rPr>
          <w:rFonts w:ascii="Book Antiqua" w:eastAsia="Book Antiqua" w:hAnsi="Book Antiqua" w:cs="Book Antiqua"/>
          <w:color w:val="000000"/>
        </w:rPr>
        <w:t>: 85-100 [PMID: 27658548 DOI: 10.1016/j.jaut.2016.09.004]</w:t>
      </w:r>
    </w:p>
    <w:p w14:paraId="73733501"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Sharp RC</w:t>
      </w:r>
      <w:r>
        <w:rPr>
          <w:rFonts w:ascii="Book Antiqua" w:eastAsia="Book Antiqua" w:hAnsi="Book Antiqua" w:cs="Book Antiqua"/>
          <w:color w:val="000000"/>
        </w:rPr>
        <w:t xml:space="preserve">, Beg SA, Naser SA. Role of </w:t>
      </w:r>
      <w:r>
        <w:rPr>
          <w:rFonts w:ascii="Book Antiqua" w:eastAsia="Book Antiqua" w:hAnsi="Book Antiqua" w:cs="Book Antiqua"/>
          <w:i/>
          <w:iCs/>
          <w:color w:val="000000"/>
        </w:rPr>
        <w:t>PTPN2/22</w:t>
      </w:r>
      <w:r>
        <w:rPr>
          <w:rFonts w:ascii="Book Antiqua" w:eastAsia="Book Antiqua" w:hAnsi="Book Antiqua" w:cs="Book Antiqua"/>
          <w:color w:val="000000"/>
        </w:rPr>
        <w:t xml:space="preserve"> polymorphisms in pathophysiology of Crohn's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657-670 [PMID: 29456405 DOI: 10.3748/wjg.v24.i6.657]</w:t>
      </w:r>
    </w:p>
    <w:p w14:paraId="25C56385"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Spalinger MR</w:t>
      </w:r>
      <w:r>
        <w:rPr>
          <w:rFonts w:ascii="Book Antiqua" w:eastAsia="Book Antiqua" w:hAnsi="Book Antiqua" w:cs="Book Antiqua"/>
          <w:color w:val="000000"/>
        </w:rPr>
        <w:t>, Kasper S, Chassard C, Raselli T, Frey-Wagner I, Gottier C, Lang S, Atrott K, Vavricka SR, Mair F, Becher B, Lacroix C, Fried M, Rogler G, Scharl M. PTPN2 controls differentiation of CD4</w:t>
      </w:r>
      <w:r>
        <w:rPr>
          <w:rFonts w:eastAsia="Book Antiqua"/>
          <w:color w:val="000000"/>
        </w:rPr>
        <w:t>⁺</w:t>
      </w:r>
      <w:r>
        <w:rPr>
          <w:rFonts w:ascii="Book Antiqua" w:eastAsia="Book Antiqua" w:hAnsi="Book Antiqua" w:cs="Book Antiqua"/>
          <w:color w:val="000000"/>
        </w:rPr>
        <w:t xml:space="preserve"> T cells and limits intestinal inflammation and intestinal dysbiosis. </w:t>
      </w:r>
      <w:r>
        <w:rPr>
          <w:rFonts w:ascii="Book Antiqua" w:eastAsia="Book Antiqua" w:hAnsi="Book Antiqua" w:cs="Book Antiqua"/>
          <w:i/>
          <w:iCs/>
          <w:color w:val="000000"/>
        </w:rPr>
        <w:t>Mucosal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918-929 [PMID: 25492475 DOI: 10.1038/mi.2014.122]</w:t>
      </w:r>
    </w:p>
    <w:p w14:paraId="2087BE69"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Younis N</w:t>
      </w:r>
      <w:r>
        <w:rPr>
          <w:rFonts w:ascii="Book Antiqua" w:eastAsia="Book Antiqua" w:hAnsi="Book Antiqua" w:cs="Book Antiqua"/>
          <w:color w:val="000000"/>
        </w:rPr>
        <w:t xml:space="preserve">, Zarif R, Mahfouz R. Inflammatory bowel disease: between genetics and microbiota. </w:t>
      </w:r>
      <w:r>
        <w:rPr>
          <w:rFonts w:ascii="Book Antiqua" w:eastAsia="Book Antiqua" w:hAnsi="Book Antiqua" w:cs="Book Antiqua"/>
          <w:i/>
          <w:iCs/>
          <w:color w:val="000000"/>
        </w:rPr>
        <w:t>Mol Biol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47</w:t>
      </w:r>
      <w:r>
        <w:rPr>
          <w:rFonts w:ascii="Book Antiqua" w:eastAsia="Book Antiqua" w:hAnsi="Book Antiqua" w:cs="Book Antiqua"/>
          <w:color w:val="000000"/>
        </w:rPr>
        <w:t>: 3053-3063 [PMID: 32086718 DOI: 10.1007/s11033-020-05318-5]</w:t>
      </w:r>
    </w:p>
    <w:p w14:paraId="12A07480"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Simoncic PD</w:t>
      </w:r>
      <w:r>
        <w:rPr>
          <w:rFonts w:ascii="Book Antiqua" w:eastAsia="Book Antiqua" w:hAnsi="Book Antiqua" w:cs="Book Antiqua"/>
          <w:color w:val="000000"/>
        </w:rPr>
        <w:t xml:space="preserve">, Lee-Loy A, Barber DL, Tremblay ML, McGlade CJ. The T cell protein tyrosine phosphatase is a negative regulator of janus family kinases 1 and 3. </w:t>
      </w:r>
      <w:r>
        <w:rPr>
          <w:rFonts w:ascii="Book Antiqua" w:eastAsia="Book Antiqua" w:hAnsi="Book Antiqua" w:cs="Book Antiqua"/>
          <w:i/>
          <w:iCs/>
          <w:color w:val="000000"/>
        </w:rPr>
        <w:t>Curr Biol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12</w:t>
      </w:r>
      <w:r>
        <w:rPr>
          <w:rFonts w:ascii="Book Antiqua" w:eastAsia="Book Antiqua" w:hAnsi="Book Antiqua" w:cs="Book Antiqua"/>
          <w:color w:val="000000"/>
        </w:rPr>
        <w:t>: 446-453 [PMID: 11909529 DOI: 10.1016/s0960-9822 (02)00697-8]</w:t>
      </w:r>
    </w:p>
    <w:p w14:paraId="30A20860"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Scharl M</w:t>
      </w:r>
      <w:r>
        <w:rPr>
          <w:rFonts w:ascii="Book Antiqua" w:eastAsia="Book Antiqua" w:hAnsi="Book Antiqua" w:cs="Book Antiqua"/>
          <w:color w:val="000000"/>
        </w:rPr>
        <w:t xml:space="preserve">, Paul G, Weber A, Jung BC, Docherty MJ, Hausmann M, Rogler G, Barrett KE, McCole DF. Protection of epithelial barrier function by the Crohn's disease associated gene protein tyrosine phosphatase n2.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137</w:t>
      </w:r>
      <w:r>
        <w:rPr>
          <w:rFonts w:ascii="Book Antiqua" w:eastAsia="Book Antiqua" w:hAnsi="Book Antiqua" w:cs="Book Antiqua"/>
          <w:color w:val="000000"/>
        </w:rPr>
        <w:t>: 2030-2040.e5 [PMID: 19818778 DOI: 10.1053/j.gastro.2009.07.078]</w:t>
      </w:r>
    </w:p>
    <w:p w14:paraId="5328155A"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Spalinger MR</w:t>
      </w:r>
      <w:r>
        <w:rPr>
          <w:rFonts w:ascii="Book Antiqua" w:eastAsia="Book Antiqua" w:hAnsi="Book Antiqua" w:cs="Book Antiqua"/>
          <w:color w:val="000000"/>
        </w:rPr>
        <w:t xml:space="preserve">, Sayoc-Becerra A, Ordookhanian C, Canale V, Santos AN, King SJ, Krishnan M, Nair MG, Scharl M, McCole DF. The JAK Inhibitor Tofacitinib Rescues </w:t>
      </w:r>
      <w:r>
        <w:rPr>
          <w:rFonts w:ascii="Book Antiqua" w:eastAsia="Book Antiqua" w:hAnsi="Book Antiqua" w:cs="Book Antiqua"/>
          <w:color w:val="000000"/>
        </w:rPr>
        <w:lastRenderedPageBreak/>
        <w:t xml:space="preserve">Intestinal Barrier Defects Caused by Disrupted Epithelial-macrophage Interactions.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2021; </w:t>
      </w:r>
      <w:r>
        <w:rPr>
          <w:rFonts w:ascii="Book Antiqua" w:eastAsia="Book Antiqua" w:hAnsi="Book Antiqua" w:cs="Book Antiqua"/>
          <w:b/>
          <w:bCs/>
          <w:color w:val="000000"/>
        </w:rPr>
        <w:t>15</w:t>
      </w:r>
      <w:r>
        <w:rPr>
          <w:rFonts w:ascii="Book Antiqua" w:eastAsia="Book Antiqua" w:hAnsi="Book Antiqua" w:cs="Book Antiqua"/>
          <w:color w:val="000000"/>
        </w:rPr>
        <w:t>: 471-484 [PMID: 32909045 DOI: 10.1093/ecco-jcc/jjaa182]</w:t>
      </w:r>
    </w:p>
    <w:p w14:paraId="43C80CAA"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Scharl M</w:t>
      </w:r>
      <w:r>
        <w:rPr>
          <w:rFonts w:ascii="Book Antiqua" w:eastAsia="Book Antiqua" w:hAnsi="Book Antiqua" w:cs="Book Antiqua"/>
          <w:color w:val="000000"/>
        </w:rPr>
        <w:t xml:space="preserve">, Wojtal KA, Becker HM, Fischbeck A, Frei P, Arikkat J, Pesch T, Kellermeier S, Boone DL, Weber A, Loessner MJ, Vavricka SR, Fried M, McCole DF, Rogler G. Protein tyrosine phosphatase nonreceptor type 2 regulates autophagosome formation in human intestinal cells.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1287-1302 [PMID: 21987459 DOI: 10.1002/ibd.21891]</w:t>
      </w:r>
    </w:p>
    <w:p w14:paraId="6C9AAFF8"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Larabi A</w:t>
      </w:r>
      <w:r>
        <w:rPr>
          <w:rFonts w:ascii="Book Antiqua" w:eastAsia="Book Antiqua" w:hAnsi="Book Antiqua" w:cs="Book Antiqua"/>
          <w:color w:val="000000"/>
        </w:rPr>
        <w:t xml:space="preserve">, Barnich N, Nguyen HTT. New insights into the interplay between autophagy, gut microbiota and inflammatory responses in IBD.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38-51 [PMID: 31286804 DOI: 10.1080/15548627.2019.1635384]</w:t>
      </w:r>
    </w:p>
    <w:p w14:paraId="055DB19C"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Umeno J</w:t>
      </w:r>
      <w:r>
        <w:rPr>
          <w:rFonts w:ascii="Book Antiqua" w:eastAsia="Book Antiqua" w:hAnsi="Book Antiqua" w:cs="Book Antiqua"/>
          <w:color w:val="000000"/>
        </w:rPr>
        <w:t xml:space="preserve">, Asano K, Matsushita T, Matsumoto T, Kiyohara Y, Iida M, Nakamura Y, Kamatani N, Kubo M. Meta-analysis of published studies identified eight additional common susceptibility loci for Crohn's disease and ulcerative colitis.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2407-2415 [PMID: 21351207 DOI: 10.1002/ibd.21651]</w:t>
      </w:r>
    </w:p>
    <w:p w14:paraId="76737287"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Zhang JX</w:t>
      </w:r>
      <w:r>
        <w:rPr>
          <w:rFonts w:ascii="Book Antiqua" w:eastAsia="Book Antiqua" w:hAnsi="Book Antiqua" w:cs="Book Antiqua"/>
          <w:color w:val="000000"/>
        </w:rPr>
        <w:t xml:space="preserve">, He JH, Wang J, Song J, Lei HB, Wang J, Dong WG. Associations between PTPN2 polymorphisms and susceptibility to ulcerative colitis and Crohn's disease: a meta-analysis. </w:t>
      </w:r>
      <w:r>
        <w:rPr>
          <w:rFonts w:ascii="Book Antiqua" w:eastAsia="Book Antiqua" w:hAnsi="Book Antiqua" w:cs="Book Antiqua"/>
          <w:i/>
          <w:iCs/>
          <w:color w:val="000000"/>
        </w:rPr>
        <w:t>Inflamm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71-79 [PMID: 24127071 DOI: 10.1007/s00011-013-0673-5]</w:t>
      </w:r>
    </w:p>
    <w:p w14:paraId="45FDA279"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Morgan AR</w:t>
      </w:r>
      <w:r>
        <w:rPr>
          <w:rFonts w:ascii="Book Antiqua" w:eastAsia="Book Antiqua" w:hAnsi="Book Antiqua" w:cs="Book Antiqua"/>
          <w:color w:val="000000"/>
        </w:rPr>
        <w:t xml:space="preserve">, Han DY, Huebner C, Lam WJ, Fraser AG, Ferguson LR. PTPN2 but not PTPN22 is associated with Crohn's disease in a New Zealand population. </w:t>
      </w:r>
      <w:r>
        <w:rPr>
          <w:rFonts w:ascii="Book Antiqua" w:eastAsia="Book Antiqua" w:hAnsi="Book Antiqua" w:cs="Book Antiqua"/>
          <w:i/>
          <w:iCs/>
          <w:color w:val="000000"/>
        </w:rPr>
        <w:t>Tissue Antigens</w:t>
      </w:r>
      <w:r>
        <w:rPr>
          <w:rFonts w:ascii="Book Antiqua" w:eastAsia="Book Antiqua" w:hAnsi="Book Antiqua" w:cs="Book Antiqua"/>
          <w:color w:val="000000"/>
        </w:rPr>
        <w:t xml:space="preserve"> 2010; </w:t>
      </w:r>
      <w:r>
        <w:rPr>
          <w:rFonts w:ascii="Book Antiqua" w:eastAsia="Book Antiqua" w:hAnsi="Book Antiqua" w:cs="Book Antiqua"/>
          <w:b/>
          <w:bCs/>
          <w:color w:val="000000"/>
        </w:rPr>
        <w:t>76</w:t>
      </w:r>
      <w:r>
        <w:rPr>
          <w:rFonts w:ascii="Book Antiqua" w:eastAsia="Book Antiqua" w:hAnsi="Book Antiqua" w:cs="Book Antiqua"/>
          <w:color w:val="000000"/>
        </w:rPr>
        <w:t>: 119-125 [PMID: 20403149 DOI: 10.1111/j.1399-0039.2010.01493.x]</w:t>
      </w:r>
    </w:p>
    <w:p w14:paraId="2E4ED87F"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van der Heide F</w:t>
      </w:r>
      <w:r>
        <w:rPr>
          <w:rFonts w:ascii="Book Antiqua" w:eastAsia="Book Antiqua" w:hAnsi="Book Antiqua" w:cs="Book Antiqua"/>
          <w:color w:val="000000"/>
        </w:rPr>
        <w:t xml:space="preserve">, Nolte IM, Kleibeuker JH, Wijmenga C, Dijkstra G, Weersma RK. Differences in genetic background between active smokers, passive smokers, and non-smokers with Crohn's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1165-1172 [PMID: 19953089 DOI: 10.1038/ajg.2009.659]</w:t>
      </w:r>
    </w:p>
    <w:p w14:paraId="21D44021"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Hoffmann P,</w:t>
      </w:r>
      <w:r>
        <w:rPr>
          <w:rFonts w:ascii="Book Antiqua" w:eastAsia="Book Antiqua" w:hAnsi="Book Antiqua" w:cs="Book Antiqua"/>
          <w:color w:val="000000"/>
        </w:rPr>
        <w:t xml:space="preserve"> Lamerz D, Hill P, Kirchner M, Gauss A. Gene Polymorphisms of NOD2, IL23R, PTPN2 and ATG16L1 in Patients with Crohn’s Disease</w:t>
      </w:r>
      <w:r>
        <w:rPr>
          <w:rFonts w:ascii="Book Antiqua" w:hAnsi="Book Antiqua" w:cs="Book Antiqua" w:hint="eastAsia"/>
          <w:color w:val="000000"/>
          <w:lang w:eastAsia="zh-CN"/>
        </w:rPr>
        <w:t>:</w:t>
      </w:r>
      <w:r>
        <w:rPr>
          <w:rFonts w:ascii="Book Antiqua" w:eastAsia="Book Antiqua" w:hAnsi="Book Antiqua" w:cs="Book Antiqua"/>
          <w:color w:val="000000"/>
        </w:rPr>
        <w:t xml:space="preserve"> On the Way to Personaliz</w:t>
      </w:r>
      <w:r>
        <w:rPr>
          <w:rFonts w:ascii="Book Antiqua" w:hAnsi="Book Antiqua" w:cs="Book Antiqua" w:hint="eastAsia"/>
          <w:color w:val="000000"/>
          <w:lang w:eastAsia="zh-CN"/>
        </w:rPr>
        <w:t xml:space="preserve">? </w:t>
      </w:r>
      <w:r>
        <w:rPr>
          <w:rFonts w:ascii="Book Antiqua" w:eastAsia="Book Antiqua" w:hAnsi="Book Antiqua" w:cs="Book Antiqua"/>
          <w:i/>
          <w:color w:val="000000"/>
        </w:rPr>
        <w:t>Genes (Basel)</w:t>
      </w:r>
      <w:r>
        <w:rPr>
          <w:rFonts w:ascii="Book Antiqua" w:hAnsi="Book Antiqua" w:cs="Book Antiqua" w:hint="eastAsia"/>
          <w:color w:val="000000"/>
          <w:lang w:eastAsia="zh-CN"/>
        </w:rPr>
        <w:t xml:space="preserve"> </w:t>
      </w:r>
      <w:r>
        <w:rPr>
          <w:rFonts w:ascii="Book Antiqua" w:eastAsia="Book Antiqua" w:hAnsi="Book Antiqua" w:cs="Book Antiqua"/>
          <w:color w:val="000000"/>
        </w:rPr>
        <w:t>2021;</w:t>
      </w:r>
      <w:r>
        <w:rPr>
          <w:rFonts w:ascii="Book Antiqua" w:hAnsi="Book Antiqua" w:cs="Book Antiqua" w:hint="eastAsia"/>
          <w:color w:val="000000"/>
          <w:lang w:eastAsia="zh-CN"/>
        </w:rPr>
        <w:t xml:space="preserve"> </w:t>
      </w:r>
      <w:r>
        <w:rPr>
          <w:rFonts w:ascii="Book Antiqua" w:eastAsia="Book Antiqua" w:hAnsi="Book Antiqua" w:cs="Book Antiqua"/>
          <w:b/>
          <w:color w:val="000000"/>
        </w:rPr>
        <w:t>12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866 [PMID: 34198814</w:t>
      </w:r>
      <w:r>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10.3390/genes12060866]</w:t>
      </w:r>
    </w:p>
    <w:p w14:paraId="66ACEA1C" w14:textId="77777777" w:rsidR="00557EDD" w:rsidRDefault="00557EDD">
      <w:pPr>
        <w:spacing w:line="360" w:lineRule="auto"/>
        <w:jc w:val="both"/>
        <w:rPr>
          <w:rFonts w:ascii="Book Antiqua" w:hAnsi="Book Antiqua"/>
        </w:rPr>
        <w:sectPr w:rsidR="00557EDD">
          <w:pgSz w:w="12240" w:h="15840"/>
          <w:pgMar w:top="1440" w:right="1440" w:bottom="1440" w:left="1440" w:header="720" w:footer="720" w:gutter="0"/>
          <w:cols w:space="720"/>
          <w:docGrid w:linePitch="360"/>
        </w:sectPr>
      </w:pPr>
    </w:p>
    <w:p w14:paraId="129E0FE3" w14:textId="77777777" w:rsidR="00557EDD"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4D43787" w14:textId="254A1AA0" w:rsidR="00557EDD" w:rsidRDefault="00000000">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approved by the local institute review board and ethics committee (IRB Minute Number 10360, dated 3/11/2016)</w:t>
      </w:r>
      <w:r w:rsidR="00000C23">
        <w:rPr>
          <w:rFonts w:ascii="Book Antiqua" w:eastAsia="Book Antiqua" w:hAnsi="Book Antiqua" w:cs="Book Antiqua"/>
          <w:color w:val="000000"/>
        </w:rPr>
        <w:t>.</w:t>
      </w:r>
    </w:p>
    <w:p w14:paraId="6C631B7E" w14:textId="77777777" w:rsidR="00557EDD" w:rsidRDefault="00557EDD">
      <w:pPr>
        <w:spacing w:line="360" w:lineRule="auto"/>
        <w:jc w:val="both"/>
        <w:rPr>
          <w:rFonts w:ascii="Book Antiqua" w:hAnsi="Book Antiqua"/>
        </w:rPr>
      </w:pPr>
    </w:p>
    <w:p w14:paraId="3122AEBB" w14:textId="77777777" w:rsidR="00557EDD" w:rsidRDefault="00000000">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provided informed written consent prior to study enrollment.</w:t>
      </w:r>
    </w:p>
    <w:p w14:paraId="1A95FC73" w14:textId="77777777" w:rsidR="00557EDD" w:rsidRDefault="00557EDD">
      <w:pPr>
        <w:spacing w:line="360" w:lineRule="auto"/>
        <w:jc w:val="both"/>
        <w:rPr>
          <w:rFonts w:ascii="Book Antiqua" w:hAnsi="Book Antiqua"/>
        </w:rPr>
      </w:pPr>
    </w:p>
    <w:p w14:paraId="07028A51" w14:textId="26EC2B71" w:rsidR="00557EDD" w:rsidRDefault="0000000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of the authors have any conflict of interest to declare</w:t>
      </w:r>
      <w:r w:rsidR="00000C23">
        <w:rPr>
          <w:rFonts w:ascii="Book Antiqua" w:eastAsia="Book Antiqua" w:hAnsi="Book Antiqua" w:cs="Book Antiqua"/>
          <w:color w:val="000000"/>
        </w:rPr>
        <w:t>.</w:t>
      </w:r>
    </w:p>
    <w:p w14:paraId="0781044B" w14:textId="77777777" w:rsidR="00557EDD" w:rsidRDefault="00557EDD">
      <w:pPr>
        <w:spacing w:line="360" w:lineRule="auto"/>
        <w:jc w:val="both"/>
        <w:rPr>
          <w:rFonts w:ascii="Book Antiqua" w:hAnsi="Book Antiqua"/>
        </w:rPr>
      </w:pPr>
    </w:p>
    <w:p w14:paraId="7B8E73EE" w14:textId="77777777" w:rsidR="00557EDD" w:rsidRDefault="00000000">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All the data have been presented in the manuscript. There are no additional data.</w:t>
      </w:r>
    </w:p>
    <w:p w14:paraId="230264A1" w14:textId="77777777" w:rsidR="00557EDD" w:rsidRDefault="00557EDD">
      <w:pPr>
        <w:spacing w:line="360" w:lineRule="auto"/>
        <w:jc w:val="both"/>
        <w:rPr>
          <w:rFonts w:ascii="Book Antiqua" w:hAnsi="Book Antiqua"/>
        </w:rPr>
      </w:pPr>
    </w:p>
    <w:p w14:paraId="2DDB2F02" w14:textId="77777777" w:rsidR="00557EDD" w:rsidRDefault="00000000">
      <w:pPr>
        <w:spacing w:line="360" w:lineRule="auto"/>
        <w:jc w:val="both"/>
        <w:rPr>
          <w:rFonts w:ascii="Book Antiqua" w:hAnsi="Book Antiqua"/>
        </w:rPr>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4CA7343F" w14:textId="77777777" w:rsidR="00557EDD" w:rsidRDefault="00557EDD">
      <w:pPr>
        <w:spacing w:line="360" w:lineRule="auto"/>
        <w:jc w:val="both"/>
        <w:rPr>
          <w:rFonts w:ascii="Book Antiqua" w:hAnsi="Book Antiqua"/>
        </w:rPr>
      </w:pPr>
    </w:p>
    <w:p w14:paraId="458C2A88" w14:textId="77777777" w:rsidR="00557EDD" w:rsidRDefault="0000000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486E7C" w14:textId="77777777" w:rsidR="00557EDD" w:rsidRDefault="00557EDD">
      <w:pPr>
        <w:spacing w:line="360" w:lineRule="auto"/>
        <w:jc w:val="both"/>
        <w:rPr>
          <w:rFonts w:ascii="Book Antiqua" w:hAnsi="Book Antiqua"/>
        </w:rPr>
      </w:pPr>
    </w:p>
    <w:p w14:paraId="4EC36509" w14:textId="77777777" w:rsidR="00557EDD"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907E9E1" w14:textId="77777777" w:rsidR="00557EDD"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FA42DE2" w14:textId="77777777" w:rsidR="00557EDD" w:rsidRDefault="00000000">
      <w:pPr>
        <w:spacing w:line="360" w:lineRule="auto"/>
        <w:jc w:val="both"/>
        <w:rPr>
          <w:rFonts w:ascii="Book Antiqua" w:hAnsi="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Indian Society of Gastroenterology, LM 001733.</w:t>
      </w:r>
    </w:p>
    <w:p w14:paraId="58812C70" w14:textId="77777777" w:rsidR="00557EDD" w:rsidRDefault="00557EDD">
      <w:pPr>
        <w:spacing w:line="360" w:lineRule="auto"/>
        <w:jc w:val="both"/>
        <w:rPr>
          <w:rFonts w:ascii="Book Antiqua" w:hAnsi="Book Antiqua"/>
        </w:rPr>
      </w:pPr>
    </w:p>
    <w:p w14:paraId="6E92AFE8" w14:textId="77777777" w:rsidR="00557EDD" w:rsidRDefault="00000000">
      <w:pPr>
        <w:spacing w:line="360" w:lineRule="auto"/>
        <w:jc w:val="both"/>
        <w:rPr>
          <w:rFonts w:ascii="Book Antiqua" w:hAnsi="Book Antiqua"/>
        </w:rPr>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January 17, 2022</w:t>
      </w:r>
    </w:p>
    <w:p w14:paraId="0C7354B7" w14:textId="77777777" w:rsidR="00557EDD"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9, 2022</w:t>
      </w:r>
    </w:p>
    <w:p w14:paraId="3F85A6A7" w14:textId="77777777" w:rsidR="00557EDD" w:rsidRDefault="00000000">
      <w:pPr>
        <w:spacing w:line="360" w:lineRule="auto"/>
        <w:jc w:val="both"/>
        <w:rPr>
          <w:rFonts w:ascii="Book Antiqua" w:hAnsi="Book Antiqua"/>
          <w:lang w:eastAsia="zh-CN"/>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May 22, 2022</w:t>
      </w:r>
    </w:p>
    <w:p w14:paraId="05573B06" w14:textId="77777777" w:rsidR="00557EDD" w:rsidRDefault="00557EDD">
      <w:pPr>
        <w:spacing w:line="360" w:lineRule="auto"/>
        <w:jc w:val="both"/>
        <w:rPr>
          <w:rFonts w:ascii="Book Antiqua" w:hAnsi="Book Antiqua"/>
          <w:lang w:eastAsia="zh-CN"/>
        </w:rPr>
      </w:pPr>
    </w:p>
    <w:p w14:paraId="7E800D4C" w14:textId="77777777" w:rsidR="00557EDD" w:rsidRDefault="00557EDD">
      <w:pPr>
        <w:spacing w:line="360" w:lineRule="auto"/>
        <w:jc w:val="both"/>
        <w:rPr>
          <w:rFonts w:ascii="Book Antiqua" w:hAnsi="Book Antiqua"/>
        </w:rPr>
      </w:pPr>
    </w:p>
    <w:p w14:paraId="118B1EB0" w14:textId="77777777" w:rsidR="00557EDD"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21250601" w14:textId="77777777" w:rsidR="00557EDD"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24641374" w14:textId="77777777" w:rsidR="00557EDD"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E4B20BC"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Grade A (Excellent): 0</w:t>
      </w:r>
    </w:p>
    <w:p w14:paraId="13338CBD"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Grade B (Very good): B</w:t>
      </w:r>
    </w:p>
    <w:p w14:paraId="3BAAEA3B"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Grade C (Good): 0</w:t>
      </w:r>
    </w:p>
    <w:p w14:paraId="26E89C6C"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Grade D (Fair): D</w:t>
      </w:r>
    </w:p>
    <w:p w14:paraId="44C59D8C" w14:textId="77777777" w:rsidR="00557EDD" w:rsidRDefault="00000000">
      <w:pPr>
        <w:spacing w:line="360" w:lineRule="auto"/>
        <w:jc w:val="both"/>
        <w:rPr>
          <w:rFonts w:ascii="Book Antiqua" w:hAnsi="Book Antiqua"/>
        </w:rPr>
      </w:pPr>
      <w:r>
        <w:rPr>
          <w:rFonts w:ascii="Book Antiqua" w:eastAsia="Book Antiqua" w:hAnsi="Book Antiqua" w:cs="Book Antiqua"/>
          <w:color w:val="000000"/>
        </w:rPr>
        <w:t>Grade E (Poor): 0</w:t>
      </w:r>
    </w:p>
    <w:p w14:paraId="6C39D42E" w14:textId="77777777" w:rsidR="00557EDD" w:rsidRDefault="00557EDD">
      <w:pPr>
        <w:spacing w:line="360" w:lineRule="auto"/>
        <w:jc w:val="both"/>
        <w:rPr>
          <w:rFonts w:ascii="Book Antiqua" w:hAnsi="Book Antiqua"/>
        </w:rPr>
      </w:pPr>
    </w:p>
    <w:p w14:paraId="018DDE21" w14:textId="77777777" w:rsidR="00557EDD"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Garcia-Pola M</w:t>
      </w:r>
      <w:r>
        <w:rPr>
          <w:rFonts w:ascii="Book Antiqua" w:hAnsi="Book Antiqua" w:cs="Book Antiqua" w:hint="eastAsia"/>
          <w:color w:val="000000"/>
          <w:lang w:eastAsia="zh-CN"/>
        </w:rPr>
        <w:t xml:space="preserve">, </w:t>
      </w:r>
      <w:r>
        <w:rPr>
          <w:rFonts w:ascii="Book Antiqua" w:hAnsi="Book Antiqua" w:cs="Book Antiqua"/>
          <w:color w:val="000000"/>
          <w:lang w:eastAsia="zh-CN"/>
        </w:rPr>
        <w:t>Spain</w:t>
      </w:r>
      <w:r>
        <w:rPr>
          <w:rFonts w:ascii="Book Antiqua" w:eastAsia="Book Antiqua" w:hAnsi="Book Antiqua" w:cs="Book Antiqua"/>
          <w:color w:val="000000"/>
        </w:rPr>
        <w:t>; Maric I, Croatia</w:t>
      </w:r>
      <w:r>
        <w:rPr>
          <w:rFonts w:ascii="Book Antiqua" w:eastAsia="Book Antiqua" w:hAnsi="Book Antiqua" w:cs="Book Antiqua"/>
          <w:b/>
          <w:color w:val="000000"/>
        </w:rPr>
        <w:t xml:space="preserve"> A</w:t>
      </w:r>
      <w:r>
        <w:rPr>
          <w:rFonts w:ascii="Book Antiqua" w:hAnsi="Book Antiqua" w:cs="Book Antiqua" w:hint="eastAsia"/>
          <w:b/>
          <w:color w:val="000000"/>
          <w:lang w:eastAsia="zh-CN"/>
        </w:rPr>
        <w:t xml:space="preserve">-Editor: </w:t>
      </w:r>
      <w:r>
        <w:rPr>
          <w:rFonts w:ascii="Book Antiqua" w:hAnsi="Book Antiqua" w:cs="Book Antiqua"/>
          <w:color w:val="000000"/>
          <w:lang w:eastAsia="zh-CN"/>
        </w:rPr>
        <w:t>Tung</w:t>
      </w:r>
      <w:r>
        <w:rPr>
          <w:rFonts w:ascii="Book Antiqua" w:hAnsi="Book Antiqua" w:cs="Book Antiqua" w:hint="eastAsia"/>
          <w:color w:val="000000"/>
          <w:lang w:eastAsia="zh-CN"/>
        </w:rPr>
        <w:t xml:space="preserve"> TH, </w:t>
      </w:r>
      <w:r>
        <w:rPr>
          <w:rFonts w:ascii="Book Antiqua" w:hAnsi="Book Antiqua" w:cs="Book Antiqua"/>
          <w:color w:val="000000"/>
          <w:lang w:eastAsia="zh-CN"/>
        </w:rPr>
        <w:t>Taiwan</w:t>
      </w:r>
      <w:r>
        <w:rPr>
          <w:rFonts w:ascii="Book Antiqua" w:hAnsi="Book Antiqua" w:cs="Book Antiqua" w:hint="eastAsia"/>
          <w:color w:val="000000"/>
          <w:lang w:eastAsia="zh-CN"/>
        </w:rPr>
        <w:t xml:space="preserve"> </w:t>
      </w:r>
      <w:r>
        <w:rPr>
          <w:rFonts w:ascii="Book Antiqua" w:eastAsia="Book Antiqua" w:hAnsi="Book Antiqua" w:cs="Book Antiqua"/>
          <w:b/>
          <w:color w:val="000000"/>
        </w:rPr>
        <w:t xml:space="preserve">S-Editor: </w:t>
      </w:r>
      <w:r>
        <w:rPr>
          <w:rFonts w:ascii="Book Antiqua" w:hAnsi="Book Antiqua" w:cs="Book Antiqua" w:hint="eastAsia"/>
          <w:color w:val="000000"/>
          <w:lang w:eastAsia="zh-CN"/>
        </w:rPr>
        <w:t>Wang LL</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Pr>
          <w:rFonts w:ascii="Book Antiqua" w:hAnsi="Book Antiqua" w:cs="Book Antiqua" w:hint="eastAsia"/>
          <w:color w:val="000000"/>
          <w:lang w:eastAsia="zh-CN"/>
        </w:rPr>
        <w:t>Wang LL</w:t>
      </w:r>
    </w:p>
    <w:p w14:paraId="3A8F3D61" w14:textId="77777777" w:rsidR="00557EDD" w:rsidRDefault="00557EDD">
      <w:pPr>
        <w:spacing w:line="360" w:lineRule="auto"/>
        <w:jc w:val="both"/>
        <w:rPr>
          <w:rFonts w:ascii="Book Antiqua" w:hAnsi="Book Antiqua" w:cs="Book Antiqua"/>
          <w:color w:val="000000"/>
          <w:lang w:eastAsia="zh-CN"/>
        </w:rPr>
      </w:pPr>
    </w:p>
    <w:p w14:paraId="24327E38" w14:textId="77777777" w:rsidR="00557EDD" w:rsidRDefault="00557EDD">
      <w:pPr>
        <w:spacing w:line="360" w:lineRule="auto"/>
        <w:jc w:val="both"/>
        <w:rPr>
          <w:rFonts w:ascii="Book Antiqua" w:hAnsi="Book Antiqua"/>
        </w:rPr>
        <w:sectPr w:rsidR="00557EDD">
          <w:pgSz w:w="12240" w:h="15840"/>
          <w:pgMar w:top="1440" w:right="1440" w:bottom="1440" w:left="1440" w:header="720" w:footer="720" w:gutter="0"/>
          <w:cols w:space="720"/>
          <w:docGrid w:linePitch="360"/>
        </w:sectPr>
      </w:pPr>
    </w:p>
    <w:p w14:paraId="4020F054" w14:textId="77777777" w:rsidR="00557EDD" w:rsidRDefault="0000000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AB09304" w14:textId="3CF17911" w:rsidR="00557EDD" w:rsidRDefault="002E26D0">
      <w:pPr>
        <w:spacing w:line="360" w:lineRule="auto"/>
        <w:jc w:val="both"/>
        <w:rPr>
          <w:rFonts w:ascii="Book Antiqua" w:hAnsi="Book Antiqua"/>
          <w:lang w:eastAsia="zh-CN"/>
        </w:rPr>
      </w:pPr>
      <w:r>
        <w:rPr>
          <w:noProof/>
        </w:rPr>
        <w:drawing>
          <wp:inline distT="0" distB="0" distL="0" distR="0" wp14:anchorId="174B8B56" wp14:editId="6F7D8202">
            <wp:extent cx="3086100" cy="21082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2108200"/>
                    </a:xfrm>
                    <a:prstGeom prst="rect">
                      <a:avLst/>
                    </a:prstGeom>
                    <a:noFill/>
                    <a:ln>
                      <a:noFill/>
                    </a:ln>
                  </pic:spPr>
                </pic:pic>
              </a:graphicData>
            </a:graphic>
          </wp:inline>
        </w:drawing>
      </w:r>
    </w:p>
    <w:p w14:paraId="7304EBBF" w14:textId="77777777" w:rsidR="00557EDD" w:rsidRDefault="00000000">
      <w:pPr>
        <w:spacing w:line="360" w:lineRule="auto"/>
        <w:jc w:val="both"/>
        <w:rPr>
          <w:rFonts w:ascii="Book Antiqua" w:hAnsi="Book Antiqua"/>
        </w:rPr>
      </w:pPr>
      <w:r>
        <w:rPr>
          <w:rFonts w:ascii="Book Antiqua" w:eastAsia="Book Antiqua" w:hAnsi="Book Antiqua" w:cs="Book Antiqua"/>
          <w:b/>
          <w:bCs/>
          <w:color w:val="000000"/>
        </w:rPr>
        <w:t>Figure 1</w:t>
      </w:r>
      <w:r>
        <w:rPr>
          <w:rFonts w:ascii="Book Antiqua" w:hAnsi="Book Antiqua" w:cs="Book Antiqua" w:hint="eastAsia"/>
          <w:b/>
          <w:bCs/>
          <w:color w:val="000000"/>
          <w:lang w:eastAsia="zh-CN"/>
        </w:rPr>
        <w:t xml:space="preserve"> </w:t>
      </w:r>
      <w:r>
        <w:rPr>
          <w:rFonts w:ascii="Book Antiqua" w:eastAsia="Book Antiqua" w:hAnsi="Book Antiqua" w:cs="Book Antiqua"/>
          <w:b/>
          <w:color w:val="000000"/>
        </w:rPr>
        <w:t>Restriction digestion pattern for the single nucleotide polymorphism rs7234029.</w:t>
      </w:r>
      <w:r>
        <w:rPr>
          <w:rFonts w:ascii="Book Antiqua" w:eastAsia="Book Antiqua" w:hAnsi="Book Antiqua" w:cs="Book Antiqua"/>
          <w:color w:val="000000"/>
        </w:rPr>
        <w:t xml:space="preserve"> M lane shows 100 bp ladder. Lanes 3, 4, and 5 show wild type digestion pattern (AA), lanes 1 and 2 show heterozygous digestion pattern (AG), and lane 6 shows homozygous digestion pattern of the variant (GG).</w:t>
      </w:r>
    </w:p>
    <w:p w14:paraId="1ED502CA" w14:textId="77777777" w:rsidR="00557EDD" w:rsidRDefault="00557EDD">
      <w:pPr>
        <w:spacing w:line="360" w:lineRule="auto"/>
        <w:jc w:val="both"/>
        <w:rPr>
          <w:rFonts w:ascii="Book Antiqua" w:hAnsi="Book Antiqua"/>
        </w:rPr>
      </w:pPr>
    </w:p>
    <w:p w14:paraId="6CD8B15C" w14:textId="77777777" w:rsidR="00557EDD" w:rsidRDefault="00000000">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5018F62E" w14:textId="7932AC3A" w:rsidR="00557EDD" w:rsidRDefault="002E26D0">
      <w:pPr>
        <w:spacing w:line="360" w:lineRule="auto"/>
        <w:jc w:val="both"/>
        <w:rPr>
          <w:rFonts w:ascii="Book Antiqua" w:hAnsi="Book Antiqua" w:cs="Book Antiqua"/>
          <w:b/>
          <w:bCs/>
          <w:color w:val="000000"/>
          <w:lang w:eastAsia="zh-CN"/>
        </w:rPr>
      </w:pPr>
      <w:r>
        <w:rPr>
          <w:noProof/>
        </w:rPr>
        <w:lastRenderedPageBreak/>
        <w:drawing>
          <wp:inline distT="0" distB="0" distL="0" distR="0" wp14:anchorId="072BFC64" wp14:editId="3302458B">
            <wp:extent cx="3086100" cy="241300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0" cy="2413000"/>
                    </a:xfrm>
                    <a:prstGeom prst="rect">
                      <a:avLst/>
                    </a:prstGeom>
                    <a:noFill/>
                    <a:ln>
                      <a:noFill/>
                    </a:ln>
                  </pic:spPr>
                </pic:pic>
              </a:graphicData>
            </a:graphic>
          </wp:inline>
        </w:drawing>
      </w:r>
    </w:p>
    <w:p w14:paraId="68A921F1" w14:textId="77777777" w:rsidR="00557EDD"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Pr>
          <w:rFonts w:ascii="Book Antiqua" w:hAnsi="Book Antiqua" w:cs="Book Antiqua" w:hint="eastAsia"/>
          <w:b/>
          <w:bCs/>
          <w:color w:val="000000"/>
          <w:lang w:eastAsia="zh-CN"/>
        </w:rPr>
        <w:t xml:space="preserve"> </w:t>
      </w:r>
      <w:r>
        <w:rPr>
          <w:rFonts w:ascii="Book Antiqua" w:eastAsia="Book Antiqua" w:hAnsi="Book Antiqua" w:cs="Book Antiqua"/>
          <w:b/>
          <w:color w:val="000000"/>
        </w:rPr>
        <w:t xml:space="preserve">Restriction digestion pattern for the single nucleotide polymorphism rs2542151. </w:t>
      </w:r>
      <w:r>
        <w:rPr>
          <w:rFonts w:ascii="Book Antiqua" w:eastAsia="Book Antiqua" w:hAnsi="Book Antiqua" w:cs="Book Antiqua"/>
          <w:color w:val="000000"/>
        </w:rPr>
        <w:t>M lane shows 100 bp ladder. Lanes 1 and 5 show wild type digestion pattern (TT), lanes 3 and 4 show heterozygous digestion pattern (GT), and lane 2 shows homozygous digestion pattern of the variant (GG).</w:t>
      </w:r>
    </w:p>
    <w:p w14:paraId="3B881595" w14:textId="77777777" w:rsidR="00557EDD" w:rsidRDefault="00557EDD">
      <w:pPr>
        <w:spacing w:line="360" w:lineRule="auto"/>
        <w:jc w:val="both"/>
        <w:rPr>
          <w:rFonts w:ascii="Book Antiqua" w:hAnsi="Book Antiqua" w:cs="Book Antiqua"/>
          <w:color w:val="000000"/>
          <w:lang w:eastAsia="zh-CN"/>
        </w:rPr>
      </w:pPr>
    </w:p>
    <w:p w14:paraId="6EB0D8B5" w14:textId="77777777" w:rsidR="00557EDD" w:rsidRDefault="00000000">
      <w:pPr>
        <w:autoSpaceDE w:val="0"/>
        <w:autoSpaceDN w:val="0"/>
        <w:adjustRightInd w:val="0"/>
        <w:spacing w:line="360" w:lineRule="auto"/>
        <w:jc w:val="both"/>
        <w:rPr>
          <w:rFonts w:ascii="Book Antiqua" w:hAnsi="Book Antiqua"/>
          <w:b/>
          <w:bCs/>
          <w:lang w:val="en-GB" w:eastAsia="zh-CN"/>
        </w:rPr>
      </w:pPr>
      <w:r>
        <w:rPr>
          <w:rFonts w:ascii="Book Antiqua" w:hAnsi="Book Antiqua" w:cs="Book Antiqua"/>
          <w:color w:val="000000"/>
          <w:lang w:eastAsia="zh-CN"/>
        </w:rPr>
        <w:br w:type="page"/>
      </w:r>
      <w:r>
        <w:rPr>
          <w:rFonts w:ascii="Book Antiqua" w:eastAsia="Cambria" w:hAnsi="Book Antiqua"/>
          <w:b/>
          <w:bCs/>
          <w:lang w:val="en-GB" w:eastAsia="en-GB"/>
        </w:rPr>
        <w:lastRenderedPageBreak/>
        <w:t>Table 1</w:t>
      </w:r>
      <w:r>
        <w:rPr>
          <w:rFonts w:ascii="Book Antiqua" w:hAnsi="Book Antiqua" w:hint="eastAsia"/>
          <w:b/>
          <w:bCs/>
          <w:lang w:val="en-GB" w:eastAsia="zh-CN"/>
        </w:rPr>
        <w:t xml:space="preserve"> </w:t>
      </w:r>
      <w:r>
        <w:rPr>
          <w:rFonts w:ascii="Book Antiqua" w:eastAsia="Cambria" w:hAnsi="Book Antiqua"/>
          <w:b/>
          <w:bCs/>
          <w:lang w:val="en-GB" w:eastAsia="en-GB"/>
        </w:rPr>
        <w:t xml:space="preserve">Baseline characteristics of patients with Crohn’s </w:t>
      </w:r>
      <w:r>
        <w:rPr>
          <w:rFonts w:ascii="Book Antiqua" w:hAnsi="Book Antiqua" w:hint="eastAsia"/>
          <w:b/>
          <w:bCs/>
          <w:lang w:val="en-GB" w:eastAsia="zh-CN"/>
        </w:rPr>
        <w:t>d</w:t>
      </w:r>
      <w:r>
        <w:rPr>
          <w:rFonts w:ascii="Book Antiqua" w:eastAsia="Cambria" w:hAnsi="Book Antiqua"/>
          <w:b/>
          <w:bCs/>
          <w:lang w:val="en-GB" w:eastAsia="en-GB"/>
        </w:rPr>
        <w:t>isease</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5"/>
        <w:gridCol w:w="5565"/>
      </w:tblGrid>
      <w:tr w:rsidR="00557EDD" w14:paraId="047BC0CF" w14:textId="77777777">
        <w:trPr>
          <w:trHeight w:val="383"/>
        </w:trPr>
        <w:tc>
          <w:tcPr>
            <w:tcW w:w="2027" w:type="pct"/>
            <w:tcBorders>
              <w:top w:val="single" w:sz="4" w:space="0" w:color="auto"/>
              <w:bottom w:val="single" w:sz="4" w:space="0" w:color="auto"/>
            </w:tcBorders>
          </w:tcPr>
          <w:p w14:paraId="117680F5" w14:textId="77777777" w:rsidR="00557EDD" w:rsidRDefault="00000000">
            <w:pPr>
              <w:autoSpaceDE w:val="0"/>
              <w:autoSpaceDN w:val="0"/>
              <w:adjustRightInd w:val="0"/>
              <w:spacing w:line="360" w:lineRule="auto"/>
              <w:jc w:val="both"/>
              <w:rPr>
                <w:rFonts w:ascii="Book Antiqua" w:eastAsia="Cambria" w:hAnsi="Book Antiqua"/>
                <w:b/>
                <w:bCs/>
                <w:lang w:val="en-GB" w:eastAsia="en-GB"/>
              </w:rPr>
            </w:pPr>
            <w:r>
              <w:rPr>
                <w:rFonts w:ascii="Book Antiqua" w:eastAsia="Cambria" w:hAnsi="Book Antiqua"/>
                <w:b/>
                <w:bCs/>
                <w:lang w:val="en-GB" w:eastAsia="en-GB"/>
              </w:rPr>
              <w:t>Characteristic</w:t>
            </w:r>
          </w:p>
        </w:tc>
        <w:tc>
          <w:tcPr>
            <w:tcW w:w="2973" w:type="pct"/>
            <w:tcBorders>
              <w:top w:val="single" w:sz="4" w:space="0" w:color="auto"/>
              <w:bottom w:val="single" w:sz="4" w:space="0" w:color="auto"/>
            </w:tcBorders>
          </w:tcPr>
          <w:p w14:paraId="0A3DEB62" w14:textId="77777777" w:rsidR="00557EDD" w:rsidRDefault="00000000">
            <w:pPr>
              <w:autoSpaceDE w:val="0"/>
              <w:autoSpaceDN w:val="0"/>
              <w:adjustRightInd w:val="0"/>
              <w:spacing w:line="360" w:lineRule="auto"/>
              <w:jc w:val="both"/>
              <w:rPr>
                <w:rFonts w:ascii="Book Antiqua" w:eastAsia="Cambria" w:hAnsi="Book Antiqua"/>
                <w:b/>
                <w:bCs/>
                <w:lang w:val="en-GB" w:eastAsia="en-GB"/>
              </w:rPr>
            </w:pPr>
            <w:r>
              <w:rPr>
                <w:rFonts w:ascii="Book Antiqua" w:eastAsia="Cambria" w:hAnsi="Book Antiqua"/>
                <w:b/>
                <w:bCs/>
                <w:lang w:val="en-GB" w:eastAsia="en-GB"/>
              </w:rPr>
              <w:t>Frequency (</w:t>
            </w:r>
            <w:r>
              <w:rPr>
                <w:rFonts w:ascii="Book Antiqua" w:eastAsia="Cambria" w:hAnsi="Book Antiqua"/>
                <w:b/>
                <w:bCs/>
                <w:i/>
                <w:lang w:val="en-GB" w:eastAsia="en-GB"/>
              </w:rPr>
              <w:t>n</w:t>
            </w:r>
            <w:r>
              <w:rPr>
                <w:rFonts w:ascii="Book Antiqua" w:hAnsi="Book Antiqua" w:hint="eastAsia"/>
                <w:b/>
                <w:bCs/>
                <w:i/>
                <w:lang w:val="en-GB" w:eastAsia="zh-CN"/>
              </w:rPr>
              <w:t xml:space="preserve"> </w:t>
            </w:r>
            <w:r>
              <w:rPr>
                <w:rFonts w:ascii="Book Antiqua" w:eastAsia="Cambria" w:hAnsi="Book Antiqua"/>
                <w:b/>
                <w:bCs/>
                <w:lang w:val="en-GB" w:eastAsia="en-GB"/>
              </w:rPr>
              <w:t>=</w:t>
            </w:r>
            <w:r>
              <w:rPr>
                <w:rFonts w:ascii="Book Antiqua" w:hAnsi="Book Antiqua" w:hint="eastAsia"/>
                <w:b/>
                <w:bCs/>
                <w:lang w:val="en-GB" w:eastAsia="zh-CN"/>
              </w:rPr>
              <w:t xml:space="preserve"> </w:t>
            </w:r>
            <w:r>
              <w:rPr>
                <w:rFonts w:ascii="Book Antiqua" w:eastAsia="Cambria" w:hAnsi="Book Antiqua"/>
                <w:b/>
                <w:bCs/>
                <w:lang w:val="en-GB" w:eastAsia="en-GB"/>
              </w:rPr>
              <w:t>108)</w:t>
            </w:r>
          </w:p>
        </w:tc>
      </w:tr>
      <w:tr w:rsidR="00557EDD" w14:paraId="4AA2528B" w14:textId="77777777">
        <w:trPr>
          <w:trHeight w:val="370"/>
        </w:trPr>
        <w:tc>
          <w:tcPr>
            <w:tcW w:w="2027" w:type="pct"/>
            <w:tcBorders>
              <w:top w:val="single" w:sz="4" w:space="0" w:color="auto"/>
            </w:tcBorders>
          </w:tcPr>
          <w:p w14:paraId="1AA06D23" w14:textId="77777777" w:rsidR="00557EDD" w:rsidRDefault="00000000">
            <w:pPr>
              <w:autoSpaceDE w:val="0"/>
              <w:autoSpaceDN w:val="0"/>
              <w:adjustRightInd w:val="0"/>
              <w:spacing w:line="360" w:lineRule="auto"/>
              <w:jc w:val="both"/>
              <w:rPr>
                <w:rFonts w:ascii="Book Antiqua" w:eastAsia="Cambria" w:hAnsi="Book Antiqua"/>
                <w:bCs/>
                <w:lang w:val="en-GB" w:eastAsia="en-GB"/>
              </w:rPr>
            </w:pPr>
            <w:r>
              <w:rPr>
                <w:rFonts w:ascii="Book Antiqua" w:eastAsia="Cambria" w:hAnsi="Book Antiqua"/>
                <w:bCs/>
                <w:lang w:val="en-GB" w:eastAsia="en-GB"/>
              </w:rPr>
              <w:t>Age (yr)</w:t>
            </w:r>
          </w:p>
        </w:tc>
        <w:tc>
          <w:tcPr>
            <w:tcW w:w="2973" w:type="pct"/>
            <w:tcBorders>
              <w:top w:val="single" w:sz="4" w:space="0" w:color="auto"/>
            </w:tcBorders>
          </w:tcPr>
          <w:p w14:paraId="1787AA70" w14:textId="77777777" w:rsidR="00557EDD" w:rsidRDefault="00000000">
            <w:pPr>
              <w:autoSpaceDE w:val="0"/>
              <w:autoSpaceDN w:val="0"/>
              <w:adjustRightInd w:val="0"/>
              <w:spacing w:line="360" w:lineRule="auto"/>
              <w:jc w:val="both"/>
              <w:rPr>
                <w:rFonts w:ascii="Book Antiqua" w:eastAsia="Cambria" w:hAnsi="Book Antiqua"/>
                <w:lang w:val="en-GB" w:eastAsia="en-GB"/>
              </w:rPr>
            </w:pPr>
            <w:r>
              <w:rPr>
                <w:rFonts w:ascii="Book Antiqua" w:eastAsia="Cambria" w:hAnsi="Book Antiqua"/>
                <w:lang w:val="en-GB" w:eastAsia="en-GB"/>
              </w:rPr>
              <w:t>37.5 + 12.7</w:t>
            </w:r>
          </w:p>
        </w:tc>
      </w:tr>
      <w:tr w:rsidR="00557EDD" w14:paraId="419C7993" w14:textId="77777777">
        <w:trPr>
          <w:trHeight w:val="383"/>
        </w:trPr>
        <w:tc>
          <w:tcPr>
            <w:tcW w:w="2027" w:type="pct"/>
          </w:tcPr>
          <w:p w14:paraId="50457FC1" w14:textId="77777777" w:rsidR="00557EDD" w:rsidRDefault="00000000">
            <w:pPr>
              <w:autoSpaceDE w:val="0"/>
              <w:autoSpaceDN w:val="0"/>
              <w:adjustRightInd w:val="0"/>
              <w:spacing w:line="360" w:lineRule="auto"/>
              <w:jc w:val="both"/>
              <w:rPr>
                <w:rFonts w:ascii="Book Antiqua" w:eastAsia="Cambria" w:hAnsi="Book Antiqua"/>
                <w:bCs/>
                <w:lang w:val="en-GB" w:eastAsia="en-GB"/>
              </w:rPr>
            </w:pPr>
            <w:r>
              <w:rPr>
                <w:rFonts w:ascii="Book Antiqua" w:eastAsia="Cambria" w:hAnsi="Book Antiqua"/>
                <w:bCs/>
                <w:lang w:val="en-GB" w:eastAsia="en-GB"/>
              </w:rPr>
              <w:t>Sex (</w:t>
            </w:r>
            <w:r>
              <w:rPr>
                <w:rFonts w:ascii="Book Antiqua" w:hAnsi="Book Antiqua" w:hint="eastAsia"/>
                <w:bCs/>
                <w:lang w:val="en-GB" w:eastAsia="zh-CN"/>
              </w:rPr>
              <w:t>f</w:t>
            </w:r>
            <w:r>
              <w:rPr>
                <w:rFonts w:ascii="Book Antiqua" w:eastAsia="Cambria" w:hAnsi="Book Antiqua"/>
                <w:bCs/>
                <w:lang w:val="en-GB" w:eastAsia="en-GB"/>
              </w:rPr>
              <w:t>emales)</w:t>
            </w:r>
          </w:p>
        </w:tc>
        <w:tc>
          <w:tcPr>
            <w:tcW w:w="2973" w:type="pct"/>
          </w:tcPr>
          <w:p w14:paraId="1542E01D" w14:textId="77777777" w:rsidR="00557EDD" w:rsidRDefault="00000000">
            <w:pPr>
              <w:autoSpaceDE w:val="0"/>
              <w:autoSpaceDN w:val="0"/>
              <w:adjustRightInd w:val="0"/>
              <w:spacing w:line="360" w:lineRule="auto"/>
              <w:jc w:val="both"/>
              <w:rPr>
                <w:rFonts w:ascii="Book Antiqua" w:eastAsia="Cambria" w:hAnsi="Book Antiqua"/>
                <w:lang w:val="en-GB" w:eastAsia="en-GB"/>
              </w:rPr>
            </w:pPr>
            <w:r>
              <w:rPr>
                <w:rFonts w:ascii="Book Antiqua" w:eastAsia="Cambria" w:hAnsi="Book Antiqua"/>
                <w:lang w:val="en-GB" w:eastAsia="en-GB"/>
              </w:rPr>
              <w:t>46 (42.6%)</w:t>
            </w:r>
          </w:p>
        </w:tc>
      </w:tr>
      <w:tr w:rsidR="00557EDD" w14:paraId="520B645C" w14:textId="77777777">
        <w:trPr>
          <w:trHeight w:val="588"/>
        </w:trPr>
        <w:tc>
          <w:tcPr>
            <w:tcW w:w="2027" w:type="pct"/>
          </w:tcPr>
          <w:p w14:paraId="2AF0C95B" w14:textId="77777777" w:rsidR="00557EDD" w:rsidRDefault="00000000">
            <w:pPr>
              <w:autoSpaceDE w:val="0"/>
              <w:autoSpaceDN w:val="0"/>
              <w:adjustRightInd w:val="0"/>
              <w:spacing w:line="360" w:lineRule="auto"/>
              <w:jc w:val="both"/>
              <w:rPr>
                <w:rFonts w:ascii="Book Antiqua" w:eastAsia="Cambria" w:hAnsi="Book Antiqua"/>
                <w:bCs/>
                <w:lang w:val="en-GB" w:eastAsia="en-GB"/>
              </w:rPr>
            </w:pPr>
            <w:r>
              <w:rPr>
                <w:rFonts w:ascii="Book Antiqua" w:eastAsia="Cambria" w:hAnsi="Book Antiqua"/>
                <w:bCs/>
                <w:lang w:val="en-GB" w:eastAsia="en-GB"/>
              </w:rPr>
              <w:t>Age at diagnosis</w:t>
            </w:r>
          </w:p>
        </w:tc>
        <w:tc>
          <w:tcPr>
            <w:tcW w:w="2973" w:type="pct"/>
          </w:tcPr>
          <w:p w14:paraId="72697070" w14:textId="77777777" w:rsidR="00557EDD" w:rsidRDefault="00557EDD">
            <w:pPr>
              <w:autoSpaceDE w:val="0"/>
              <w:autoSpaceDN w:val="0"/>
              <w:adjustRightInd w:val="0"/>
              <w:spacing w:line="360" w:lineRule="auto"/>
              <w:jc w:val="both"/>
              <w:rPr>
                <w:rFonts w:ascii="Book Antiqua" w:eastAsia="Cambria" w:hAnsi="Book Antiqua"/>
                <w:lang w:val="en-GB" w:eastAsia="en-GB"/>
              </w:rPr>
            </w:pPr>
          </w:p>
        </w:tc>
      </w:tr>
      <w:tr w:rsidR="00557EDD" w14:paraId="215D4A63" w14:textId="77777777">
        <w:trPr>
          <w:trHeight w:val="370"/>
        </w:trPr>
        <w:tc>
          <w:tcPr>
            <w:tcW w:w="2027" w:type="pct"/>
          </w:tcPr>
          <w:p w14:paraId="1A15F803" w14:textId="77777777" w:rsidR="00557EDD" w:rsidRDefault="00000000">
            <w:pPr>
              <w:autoSpaceDE w:val="0"/>
              <w:autoSpaceDN w:val="0"/>
              <w:adjustRightInd w:val="0"/>
              <w:spacing w:line="360" w:lineRule="auto"/>
              <w:jc w:val="both"/>
              <w:rPr>
                <w:rFonts w:ascii="Book Antiqua" w:hAnsi="Book Antiqua"/>
                <w:lang w:val="en-GB" w:eastAsia="zh-CN"/>
              </w:rPr>
            </w:pPr>
            <w:r>
              <w:rPr>
                <w:rFonts w:ascii="Book Antiqua" w:eastAsia="Cambria" w:hAnsi="Book Antiqua"/>
                <w:lang w:val="en-GB" w:eastAsia="en-GB"/>
              </w:rPr>
              <w:t>&lt; 17 yr</w:t>
            </w:r>
          </w:p>
        </w:tc>
        <w:tc>
          <w:tcPr>
            <w:tcW w:w="2973" w:type="pct"/>
          </w:tcPr>
          <w:p w14:paraId="57D855B8" w14:textId="77777777" w:rsidR="00557EDD" w:rsidRDefault="00000000">
            <w:pPr>
              <w:autoSpaceDE w:val="0"/>
              <w:autoSpaceDN w:val="0"/>
              <w:adjustRightInd w:val="0"/>
              <w:spacing w:line="360" w:lineRule="auto"/>
              <w:jc w:val="both"/>
              <w:rPr>
                <w:rFonts w:ascii="Book Antiqua" w:eastAsia="Cambria" w:hAnsi="Book Antiqua"/>
                <w:lang w:val="en-GB" w:eastAsia="en-GB"/>
              </w:rPr>
            </w:pPr>
            <w:r>
              <w:rPr>
                <w:rFonts w:ascii="Book Antiqua" w:eastAsia="Cambria" w:hAnsi="Book Antiqua"/>
                <w:lang w:val="en-GB" w:eastAsia="en-GB"/>
              </w:rPr>
              <w:t>7 (6.5%)</w:t>
            </w:r>
          </w:p>
        </w:tc>
      </w:tr>
      <w:tr w:rsidR="00557EDD" w14:paraId="0BCFAF1A" w14:textId="77777777">
        <w:trPr>
          <w:trHeight w:val="383"/>
        </w:trPr>
        <w:tc>
          <w:tcPr>
            <w:tcW w:w="2027" w:type="pct"/>
          </w:tcPr>
          <w:p w14:paraId="12FB89F1" w14:textId="77777777" w:rsidR="00557EDD" w:rsidRDefault="00000000">
            <w:pPr>
              <w:autoSpaceDE w:val="0"/>
              <w:autoSpaceDN w:val="0"/>
              <w:adjustRightInd w:val="0"/>
              <w:spacing w:line="360" w:lineRule="auto"/>
              <w:jc w:val="both"/>
              <w:rPr>
                <w:rFonts w:ascii="Book Antiqua" w:hAnsi="Book Antiqua"/>
                <w:lang w:val="en-GB" w:eastAsia="zh-CN"/>
              </w:rPr>
            </w:pPr>
            <w:r>
              <w:rPr>
                <w:rFonts w:ascii="Book Antiqua" w:eastAsia="Cambria" w:hAnsi="Book Antiqua"/>
                <w:lang w:val="en-GB" w:eastAsia="en-GB"/>
              </w:rPr>
              <w:t>17-40</w:t>
            </w:r>
            <w:r>
              <w:rPr>
                <w:rFonts w:ascii="Book Antiqua" w:hAnsi="Book Antiqua" w:hint="eastAsia"/>
                <w:lang w:val="en-GB" w:eastAsia="zh-CN"/>
              </w:rPr>
              <w:t xml:space="preserve"> </w:t>
            </w:r>
            <w:r>
              <w:rPr>
                <w:rFonts w:ascii="Book Antiqua" w:eastAsia="Cambria" w:hAnsi="Book Antiqua"/>
                <w:lang w:val="en-GB" w:eastAsia="en-GB"/>
              </w:rPr>
              <w:t>yr</w:t>
            </w:r>
          </w:p>
        </w:tc>
        <w:tc>
          <w:tcPr>
            <w:tcW w:w="2973" w:type="pct"/>
          </w:tcPr>
          <w:p w14:paraId="56E78B16" w14:textId="77777777" w:rsidR="00557EDD" w:rsidRDefault="00000000">
            <w:pPr>
              <w:autoSpaceDE w:val="0"/>
              <w:autoSpaceDN w:val="0"/>
              <w:adjustRightInd w:val="0"/>
              <w:spacing w:line="360" w:lineRule="auto"/>
              <w:jc w:val="both"/>
              <w:rPr>
                <w:rFonts w:ascii="Book Antiqua" w:eastAsia="Cambria" w:hAnsi="Book Antiqua"/>
                <w:lang w:val="en-GB" w:eastAsia="en-GB"/>
              </w:rPr>
            </w:pPr>
            <w:r>
              <w:rPr>
                <w:rFonts w:ascii="Book Antiqua" w:eastAsia="Cambria" w:hAnsi="Book Antiqua"/>
                <w:lang w:val="en-GB" w:eastAsia="en-GB"/>
              </w:rPr>
              <w:t>75 (69.4%)</w:t>
            </w:r>
          </w:p>
        </w:tc>
      </w:tr>
      <w:tr w:rsidR="00557EDD" w14:paraId="6567C78A" w14:textId="77777777">
        <w:trPr>
          <w:trHeight w:val="370"/>
        </w:trPr>
        <w:tc>
          <w:tcPr>
            <w:tcW w:w="2027" w:type="pct"/>
          </w:tcPr>
          <w:p w14:paraId="397D1F55" w14:textId="77777777" w:rsidR="00557EDD" w:rsidRDefault="00000000">
            <w:pPr>
              <w:autoSpaceDE w:val="0"/>
              <w:autoSpaceDN w:val="0"/>
              <w:adjustRightInd w:val="0"/>
              <w:spacing w:line="360" w:lineRule="auto"/>
              <w:jc w:val="both"/>
              <w:rPr>
                <w:rFonts w:ascii="Book Antiqua" w:hAnsi="Book Antiqua"/>
                <w:lang w:val="en-GB" w:eastAsia="zh-CN"/>
              </w:rPr>
            </w:pPr>
            <w:r>
              <w:rPr>
                <w:rFonts w:ascii="Book Antiqua" w:eastAsia="Cambria" w:hAnsi="Book Antiqua"/>
                <w:lang w:val="en-GB" w:eastAsia="en-GB"/>
              </w:rPr>
              <w:t>&gt; 40 yr</w:t>
            </w:r>
          </w:p>
        </w:tc>
        <w:tc>
          <w:tcPr>
            <w:tcW w:w="2973" w:type="pct"/>
          </w:tcPr>
          <w:p w14:paraId="1027E423" w14:textId="77777777" w:rsidR="00557EDD" w:rsidRDefault="00000000">
            <w:pPr>
              <w:autoSpaceDE w:val="0"/>
              <w:autoSpaceDN w:val="0"/>
              <w:adjustRightInd w:val="0"/>
              <w:spacing w:line="360" w:lineRule="auto"/>
              <w:jc w:val="both"/>
              <w:rPr>
                <w:rFonts w:ascii="Book Antiqua" w:eastAsia="Cambria" w:hAnsi="Book Antiqua"/>
                <w:lang w:val="en-GB" w:eastAsia="en-GB"/>
              </w:rPr>
            </w:pPr>
            <w:r>
              <w:rPr>
                <w:rFonts w:ascii="Book Antiqua" w:eastAsia="Cambria" w:hAnsi="Book Antiqua"/>
                <w:lang w:val="en-GB" w:eastAsia="en-GB"/>
              </w:rPr>
              <w:t>26 (24.1%)</w:t>
            </w:r>
          </w:p>
        </w:tc>
      </w:tr>
      <w:tr w:rsidR="00557EDD" w14:paraId="45CB0635" w14:textId="77777777">
        <w:trPr>
          <w:trHeight w:val="557"/>
        </w:trPr>
        <w:tc>
          <w:tcPr>
            <w:tcW w:w="2027" w:type="pct"/>
          </w:tcPr>
          <w:p w14:paraId="595ED525" w14:textId="77777777" w:rsidR="00557EDD" w:rsidRDefault="00000000">
            <w:pPr>
              <w:autoSpaceDE w:val="0"/>
              <w:autoSpaceDN w:val="0"/>
              <w:adjustRightInd w:val="0"/>
              <w:spacing w:line="360" w:lineRule="auto"/>
              <w:jc w:val="both"/>
              <w:rPr>
                <w:rFonts w:ascii="Book Antiqua" w:eastAsia="Cambria" w:hAnsi="Book Antiqua"/>
                <w:bCs/>
                <w:lang w:val="en-GB" w:eastAsia="en-GB"/>
              </w:rPr>
            </w:pPr>
            <w:r>
              <w:rPr>
                <w:rFonts w:ascii="Book Antiqua" w:eastAsia="Cambria" w:hAnsi="Book Antiqua"/>
                <w:bCs/>
                <w:lang w:val="en-GB" w:eastAsia="en-GB"/>
              </w:rPr>
              <w:t>Disease behaviour</w:t>
            </w:r>
          </w:p>
        </w:tc>
        <w:tc>
          <w:tcPr>
            <w:tcW w:w="2973" w:type="pct"/>
          </w:tcPr>
          <w:p w14:paraId="2623C861" w14:textId="77777777" w:rsidR="00557EDD" w:rsidRDefault="00557EDD">
            <w:pPr>
              <w:autoSpaceDE w:val="0"/>
              <w:autoSpaceDN w:val="0"/>
              <w:adjustRightInd w:val="0"/>
              <w:spacing w:line="360" w:lineRule="auto"/>
              <w:jc w:val="both"/>
              <w:rPr>
                <w:rFonts w:ascii="Book Antiqua" w:eastAsia="Cambria" w:hAnsi="Book Antiqua"/>
                <w:lang w:val="en-GB" w:eastAsia="en-GB"/>
              </w:rPr>
            </w:pPr>
          </w:p>
        </w:tc>
      </w:tr>
      <w:tr w:rsidR="00557EDD" w14:paraId="0EE7B5D0" w14:textId="77777777">
        <w:trPr>
          <w:trHeight w:val="383"/>
        </w:trPr>
        <w:tc>
          <w:tcPr>
            <w:tcW w:w="2027" w:type="pct"/>
          </w:tcPr>
          <w:p w14:paraId="18B9F859" w14:textId="77777777" w:rsidR="00557EDD" w:rsidRDefault="00000000">
            <w:pPr>
              <w:autoSpaceDE w:val="0"/>
              <w:autoSpaceDN w:val="0"/>
              <w:adjustRightInd w:val="0"/>
              <w:spacing w:line="360" w:lineRule="auto"/>
              <w:jc w:val="both"/>
              <w:rPr>
                <w:rFonts w:ascii="Book Antiqua" w:eastAsia="Cambria" w:hAnsi="Book Antiqua"/>
                <w:iCs/>
                <w:lang w:val="en-GB" w:eastAsia="en-GB"/>
              </w:rPr>
            </w:pPr>
            <w:r>
              <w:rPr>
                <w:rFonts w:ascii="Book Antiqua" w:eastAsia="Cambria" w:hAnsi="Book Antiqua"/>
                <w:iCs/>
                <w:lang w:val="en-GB" w:eastAsia="en-GB"/>
              </w:rPr>
              <w:t>Inflammatory</w:t>
            </w:r>
          </w:p>
        </w:tc>
        <w:tc>
          <w:tcPr>
            <w:tcW w:w="2973" w:type="pct"/>
          </w:tcPr>
          <w:p w14:paraId="317920AF" w14:textId="77777777" w:rsidR="00557EDD" w:rsidRDefault="00000000">
            <w:pPr>
              <w:autoSpaceDE w:val="0"/>
              <w:autoSpaceDN w:val="0"/>
              <w:adjustRightInd w:val="0"/>
              <w:spacing w:line="360" w:lineRule="auto"/>
              <w:jc w:val="both"/>
              <w:rPr>
                <w:rFonts w:ascii="Book Antiqua" w:eastAsia="Cambria" w:hAnsi="Book Antiqua"/>
                <w:lang w:val="en-GB" w:eastAsia="en-GB"/>
              </w:rPr>
            </w:pPr>
            <w:r>
              <w:rPr>
                <w:rFonts w:ascii="Book Antiqua" w:eastAsia="Cambria" w:hAnsi="Book Antiqua"/>
                <w:lang w:val="en-GB" w:eastAsia="en-GB"/>
              </w:rPr>
              <w:t>43 (39.8%)</w:t>
            </w:r>
          </w:p>
        </w:tc>
      </w:tr>
      <w:tr w:rsidR="00557EDD" w14:paraId="66C69328" w14:textId="77777777">
        <w:trPr>
          <w:trHeight w:val="383"/>
        </w:trPr>
        <w:tc>
          <w:tcPr>
            <w:tcW w:w="2027" w:type="pct"/>
          </w:tcPr>
          <w:p w14:paraId="6A36B70A" w14:textId="77777777" w:rsidR="00557EDD" w:rsidRDefault="00000000">
            <w:pPr>
              <w:autoSpaceDE w:val="0"/>
              <w:autoSpaceDN w:val="0"/>
              <w:adjustRightInd w:val="0"/>
              <w:spacing w:line="360" w:lineRule="auto"/>
              <w:jc w:val="both"/>
              <w:rPr>
                <w:rFonts w:ascii="Book Antiqua" w:eastAsia="Cambria" w:hAnsi="Book Antiqua"/>
                <w:iCs/>
                <w:lang w:val="en-GB" w:eastAsia="en-GB"/>
              </w:rPr>
            </w:pPr>
            <w:r>
              <w:rPr>
                <w:rFonts w:ascii="Book Antiqua" w:eastAsia="Cambria" w:hAnsi="Book Antiqua"/>
                <w:iCs/>
                <w:lang w:val="en-GB" w:eastAsia="en-GB"/>
              </w:rPr>
              <w:t>Stricturing</w:t>
            </w:r>
          </w:p>
        </w:tc>
        <w:tc>
          <w:tcPr>
            <w:tcW w:w="2973" w:type="pct"/>
          </w:tcPr>
          <w:p w14:paraId="5018E99A" w14:textId="77777777" w:rsidR="00557EDD" w:rsidRDefault="00000000">
            <w:pPr>
              <w:autoSpaceDE w:val="0"/>
              <w:autoSpaceDN w:val="0"/>
              <w:adjustRightInd w:val="0"/>
              <w:spacing w:line="360" w:lineRule="auto"/>
              <w:jc w:val="both"/>
              <w:rPr>
                <w:rFonts w:ascii="Book Antiqua" w:eastAsia="Cambria" w:hAnsi="Book Antiqua"/>
                <w:lang w:val="en-GB" w:eastAsia="en-GB"/>
              </w:rPr>
            </w:pPr>
            <w:r>
              <w:rPr>
                <w:rFonts w:ascii="Book Antiqua" w:eastAsia="Cambria" w:hAnsi="Book Antiqua"/>
                <w:lang w:val="en-GB" w:eastAsia="en-GB"/>
              </w:rPr>
              <w:t>48 (44.4%)</w:t>
            </w:r>
          </w:p>
        </w:tc>
      </w:tr>
      <w:tr w:rsidR="00557EDD" w14:paraId="72E3B2B0" w14:textId="77777777">
        <w:trPr>
          <w:trHeight w:val="383"/>
        </w:trPr>
        <w:tc>
          <w:tcPr>
            <w:tcW w:w="2027" w:type="pct"/>
          </w:tcPr>
          <w:p w14:paraId="6B085A0B" w14:textId="77777777" w:rsidR="00557EDD" w:rsidRDefault="00000000">
            <w:pPr>
              <w:autoSpaceDE w:val="0"/>
              <w:autoSpaceDN w:val="0"/>
              <w:adjustRightInd w:val="0"/>
              <w:spacing w:line="360" w:lineRule="auto"/>
              <w:jc w:val="both"/>
              <w:rPr>
                <w:rFonts w:ascii="Book Antiqua" w:eastAsia="Cambria" w:hAnsi="Book Antiqua"/>
                <w:iCs/>
                <w:lang w:val="en-GB" w:eastAsia="en-GB"/>
              </w:rPr>
            </w:pPr>
            <w:r>
              <w:rPr>
                <w:rFonts w:ascii="Book Antiqua" w:eastAsia="Cambria" w:hAnsi="Book Antiqua"/>
                <w:iCs/>
                <w:lang w:val="en-GB" w:eastAsia="en-GB"/>
              </w:rPr>
              <w:t>Penetrating</w:t>
            </w:r>
          </w:p>
        </w:tc>
        <w:tc>
          <w:tcPr>
            <w:tcW w:w="2973" w:type="pct"/>
          </w:tcPr>
          <w:p w14:paraId="3A734325" w14:textId="77777777" w:rsidR="00557EDD" w:rsidRDefault="00000000">
            <w:pPr>
              <w:autoSpaceDE w:val="0"/>
              <w:autoSpaceDN w:val="0"/>
              <w:adjustRightInd w:val="0"/>
              <w:spacing w:line="360" w:lineRule="auto"/>
              <w:jc w:val="both"/>
              <w:rPr>
                <w:rFonts w:ascii="Book Antiqua" w:eastAsia="Cambria" w:hAnsi="Book Antiqua"/>
                <w:lang w:val="en-GB" w:eastAsia="en-GB"/>
              </w:rPr>
            </w:pPr>
            <w:r>
              <w:rPr>
                <w:rFonts w:ascii="Book Antiqua" w:eastAsia="Cambria" w:hAnsi="Book Antiqua"/>
                <w:lang w:val="en-GB" w:eastAsia="en-GB"/>
              </w:rPr>
              <w:t>13 (12.1%)</w:t>
            </w:r>
          </w:p>
        </w:tc>
      </w:tr>
      <w:tr w:rsidR="00557EDD" w14:paraId="68EDCECB" w14:textId="77777777">
        <w:trPr>
          <w:trHeight w:val="383"/>
        </w:trPr>
        <w:tc>
          <w:tcPr>
            <w:tcW w:w="2027" w:type="pct"/>
          </w:tcPr>
          <w:p w14:paraId="244AF862" w14:textId="77777777" w:rsidR="00557EDD" w:rsidRDefault="00000000">
            <w:pPr>
              <w:autoSpaceDE w:val="0"/>
              <w:autoSpaceDN w:val="0"/>
              <w:adjustRightInd w:val="0"/>
              <w:spacing w:line="360" w:lineRule="auto"/>
              <w:jc w:val="both"/>
              <w:rPr>
                <w:rFonts w:ascii="Book Antiqua" w:eastAsia="Cambria" w:hAnsi="Book Antiqua"/>
                <w:iCs/>
                <w:lang w:val="en-GB" w:eastAsia="en-GB"/>
              </w:rPr>
            </w:pPr>
            <w:r>
              <w:rPr>
                <w:rFonts w:ascii="Book Antiqua" w:eastAsia="Cambria" w:hAnsi="Book Antiqua"/>
                <w:iCs/>
                <w:lang w:val="en-GB" w:eastAsia="en-GB"/>
              </w:rPr>
              <w:t>Stricturing and penetrating</w:t>
            </w:r>
          </w:p>
        </w:tc>
        <w:tc>
          <w:tcPr>
            <w:tcW w:w="2973" w:type="pct"/>
          </w:tcPr>
          <w:p w14:paraId="6B27978C" w14:textId="77777777" w:rsidR="00557EDD" w:rsidRDefault="00000000">
            <w:pPr>
              <w:autoSpaceDE w:val="0"/>
              <w:autoSpaceDN w:val="0"/>
              <w:adjustRightInd w:val="0"/>
              <w:spacing w:line="360" w:lineRule="auto"/>
              <w:jc w:val="both"/>
              <w:rPr>
                <w:rFonts w:ascii="Book Antiqua" w:eastAsia="Cambria" w:hAnsi="Book Antiqua"/>
                <w:lang w:val="en-GB" w:eastAsia="en-GB"/>
              </w:rPr>
            </w:pPr>
            <w:r>
              <w:rPr>
                <w:rFonts w:ascii="Book Antiqua" w:eastAsia="Cambria" w:hAnsi="Book Antiqua"/>
                <w:lang w:val="en-GB" w:eastAsia="en-GB"/>
              </w:rPr>
              <w:t>4 (3.7%)</w:t>
            </w:r>
          </w:p>
        </w:tc>
      </w:tr>
      <w:tr w:rsidR="00557EDD" w14:paraId="7DE15A06" w14:textId="77777777">
        <w:trPr>
          <w:trHeight w:val="545"/>
        </w:trPr>
        <w:tc>
          <w:tcPr>
            <w:tcW w:w="2027" w:type="pct"/>
          </w:tcPr>
          <w:p w14:paraId="0623222F" w14:textId="77777777" w:rsidR="00557EDD" w:rsidRDefault="00000000">
            <w:pPr>
              <w:autoSpaceDE w:val="0"/>
              <w:autoSpaceDN w:val="0"/>
              <w:adjustRightInd w:val="0"/>
              <w:spacing w:line="360" w:lineRule="auto"/>
              <w:jc w:val="both"/>
              <w:rPr>
                <w:rFonts w:ascii="Book Antiqua" w:eastAsia="Cambria" w:hAnsi="Book Antiqua"/>
                <w:bCs/>
                <w:lang w:val="en-GB" w:eastAsia="en-GB"/>
              </w:rPr>
            </w:pPr>
            <w:r>
              <w:rPr>
                <w:rFonts w:ascii="Book Antiqua" w:eastAsia="Cambria" w:hAnsi="Book Antiqua"/>
                <w:bCs/>
                <w:lang w:val="en-GB" w:eastAsia="en-GB"/>
              </w:rPr>
              <w:t>Disease location</w:t>
            </w:r>
          </w:p>
        </w:tc>
        <w:tc>
          <w:tcPr>
            <w:tcW w:w="2973" w:type="pct"/>
          </w:tcPr>
          <w:p w14:paraId="0CE30FC9" w14:textId="77777777" w:rsidR="00557EDD" w:rsidRDefault="00557EDD">
            <w:pPr>
              <w:autoSpaceDE w:val="0"/>
              <w:autoSpaceDN w:val="0"/>
              <w:adjustRightInd w:val="0"/>
              <w:spacing w:line="360" w:lineRule="auto"/>
              <w:jc w:val="both"/>
              <w:rPr>
                <w:rFonts w:ascii="Book Antiqua" w:eastAsia="Cambria" w:hAnsi="Book Antiqua"/>
                <w:lang w:val="en-GB" w:eastAsia="en-GB"/>
              </w:rPr>
            </w:pPr>
          </w:p>
        </w:tc>
      </w:tr>
      <w:tr w:rsidR="00557EDD" w14:paraId="0D39A6A4" w14:textId="77777777">
        <w:trPr>
          <w:trHeight w:val="383"/>
        </w:trPr>
        <w:tc>
          <w:tcPr>
            <w:tcW w:w="2027" w:type="pct"/>
          </w:tcPr>
          <w:p w14:paraId="4947875F" w14:textId="77777777" w:rsidR="00557EDD" w:rsidRDefault="00000000">
            <w:pPr>
              <w:autoSpaceDE w:val="0"/>
              <w:autoSpaceDN w:val="0"/>
              <w:adjustRightInd w:val="0"/>
              <w:spacing w:line="360" w:lineRule="auto"/>
              <w:jc w:val="both"/>
              <w:rPr>
                <w:rFonts w:ascii="Book Antiqua" w:eastAsia="Cambria" w:hAnsi="Book Antiqua"/>
                <w:iCs/>
                <w:lang w:val="en-GB" w:eastAsia="en-GB"/>
              </w:rPr>
            </w:pPr>
            <w:r>
              <w:rPr>
                <w:rFonts w:ascii="Book Antiqua" w:eastAsia="Cambria" w:hAnsi="Book Antiqua"/>
                <w:iCs/>
                <w:lang w:val="en-GB" w:eastAsia="en-GB"/>
              </w:rPr>
              <w:t>Ileal</w:t>
            </w:r>
          </w:p>
        </w:tc>
        <w:tc>
          <w:tcPr>
            <w:tcW w:w="2973" w:type="pct"/>
          </w:tcPr>
          <w:p w14:paraId="582136A1" w14:textId="77777777" w:rsidR="00557EDD" w:rsidRDefault="00000000">
            <w:pPr>
              <w:autoSpaceDE w:val="0"/>
              <w:autoSpaceDN w:val="0"/>
              <w:adjustRightInd w:val="0"/>
              <w:spacing w:line="360" w:lineRule="auto"/>
              <w:jc w:val="both"/>
              <w:rPr>
                <w:rFonts w:ascii="Book Antiqua" w:eastAsia="Cambria" w:hAnsi="Book Antiqua"/>
                <w:lang w:val="en-GB" w:eastAsia="en-GB"/>
              </w:rPr>
            </w:pPr>
            <w:r>
              <w:rPr>
                <w:rFonts w:ascii="Book Antiqua" w:eastAsia="Cambria" w:hAnsi="Book Antiqua"/>
                <w:lang w:val="en-GB" w:eastAsia="en-GB"/>
              </w:rPr>
              <w:t>49 (45.4%)</w:t>
            </w:r>
          </w:p>
        </w:tc>
      </w:tr>
      <w:tr w:rsidR="00557EDD" w14:paraId="0A7AABF9" w14:textId="77777777">
        <w:trPr>
          <w:trHeight w:val="383"/>
        </w:trPr>
        <w:tc>
          <w:tcPr>
            <w:tcW w:w="2027" w:type="pct"/>
          </w:tcPr>
          <w:p w14:paraId="77BAA77C" w14:textId="77777777" w:rsidR="00557EDD" w:rsidRDefault="00000000">
            <w:pPr>
              <w:autoSpaceDE w:val="0"/>
              <w:autoSpaceDN w:val="0"/>
              <w:adjustRightInd w:val="0"/>
              <w:spacing w:line="360" w:lineRule="auto"/>
              <w:jc w:val="both"/>
              <w:rPr>
                <w:rFonts w:ascii="Book Antiqua" w:eastAsia="Cambria" w:hAnsi="Book Antiqua"/>
                <w:iCs/>
                <w:lang w:val="en-GB" w:eastAsia="en-GB"/>
              </w:rPr>
            </w:pPr>
            <w:r>
              <w:rPr>
                <w:rFonts w:ascii="Book Antiqua" w:eastAsia="Cambria" w:hAnsi="Book Antiqua"/>
                <w:iCs/>
                <w:lang w:val="en-GB" w:eastAsia="en-GB"/>
              </w:rPr>
              <w:t>Colonic</w:t>
            </w:r>
          </w:p>
        </w:tc>
        <w:tc>
          <w:tcPr>
            <w:tcW w:w="2973" w:type="pct"/>
          </w:tcPr>
          <w:p w14:paraId="4EB82BF1" w14:textId="77777777" w:rsidR="00557EDD" w:rsidRDefault="00000000">
            <w:pPr>
              <w:autoSpaceDE w:val="0"/>
              <w:autoSpaceDN w:val="0"/>
              <w:adjustRightInd w:val="0"/>
              <w:spacing w:line="360" w:lineRule="auto"/>
              <w:jc w:val="both"/>
              <w:rPr>
                <w:rFonts w:ascii="Book Antiqua" w:eastAsia="Cambria" w:hAnsi="Book Antiqua"/>
                <w:lang w:val="en-GB" w:eastAsia="en-GB"/>
              </w:rPr>
            </w:pPr>
            <w:r>
              <w:rPr>
                <w:rFonts w:ascii="Book Antiqua" w:eastAsia="Cambria" w:hAnsi="Book Antiqua"/>
                <w:lang w:val="en-GB" w:eastAsia="en-GB"/>
              </w:rPr>
              <w:t>16 (14.8%)</w:t>
            </w:r>
          </w:p>
        </w:tc>
      </w:tr>
      <w:tr w:rsidR="00557EDD" w14:paraId="2A5685F4" w14:textId="77777777">
        <w:trPr>
          <w:trHeight w:val="383"/>
        </w:trPr>
        <w:tc>
          <w:tcPr>
            <w:tcW w:w="2027" w:type="pct"/>
          </w:tcPr>
          <w:p w14:paraId="1F2426C2" w14:textId="77777777" w:rsidR="00557EDD" w:rsidRDefault="00000000">
            <w:pPr>
              <w:autoSpaceDE w:val="0"/>
              <w:autoSpaceDN w:val="0"/>
              <w:adjustRightInd w:val="0"/>
              <w:spacing w:line="360" w:lineRule="auto"/>
              <w:jc w:val="both"/>
              <w:rPr>
                <w:rFonts w:ascii="Book Antiqua" w:eastAsia="Cambria" w:hAnsi="Book Antiqua"/>
                <w:iCs/>
                <w:lang w:val="en-GB" w:eastAsia="en-GB"/>
              </w:rPr>
            </w:pPr>
            <w:r>
              <w:rPr>
                <w:rFonts w:ascii="Book Antiqua" w:eastAsia="Cambria" w:hAnsi="Book Antiqua"/>
                <w:iCs/>
                <w:lang w:val="en-GB" w:eastAsia="en-GB"/>
              </w:rPr>
              <w:t>Ileo-colonic</w:t>
            </w:r>
          </w:p>
        </w:tc>
        <w:tc>
          <w:tcPr>
            <w:tcW w:w="2973" w:type="pct"/>
          </w:tcPr>
          <w:p w14:paraId="48EF95E6" w14:textId="77777777" w:rsidR="00557EDD" w:rsidRDefault="00000000">
            <w:pPr>
              <w:autoSpaceDE w:val="0"/>
              <w:autoSpaceDN w:val="0"/>
              <w:adjustRightInd w:val="0"/>
              <w:spacing w:line="360" w:lineRule="auto"/>
              <w:jc w:val="both"/>
              <w:rPr>
                <w:rFonts w:ascii="Book Antiqua" w:eastAsia="Cambria" w:hAnsi="Book Antiqua"/>
                <w:lang w:val="en-GB" w:eastAsia="en-GB"/>
              </w:rPr>
            </w:pPr>
            <w:r>
              <w:rPr>
                <w:rFonts w:ascii="Book Antiqua" w:eastAsia="Cambria" w:hAnsi="Book Antiqua"/>
                <w:lang w:val="en-GB" w:eastAsia="en-GB"/>
              </w:rPr>
              <w:t>42 (38.9%)</w:t>
            </w:r>
          </w:p>
        </w:tc>
      </w:tr>
      <w:tr w:rsidR="00557EDD" w14:paraId="1549247F" w14:textId="77777777">
        <w:trPr>
          <w:trHeight w:val="383"/>
        </w:trPr>
        <w:tc>
          <w:tcPr>
            <w:tcW w:w="2027" w:type="pct"/>
          </w:tcPr>
          <w:p w14:paraId="545D9C9C" w14:textId="77777777" w:rsidR="00557EDD" w:rsidRDefault="00000000">
            <w:pPr>
              <w:autoSpaceDE w:val="0"/>
              <w:autoSpaceDN w:val="0"/>
              <w:adjustRightInd w:val="0"/>
              <w:spacing w:line="360" w:lineRule="auto"/>
              <w:jc w:val="both"/>
              <w:rPr>
                <w:rFonts w:ascii="Book Antiqua" w:eastAsia="Cambria" w:hAnsi="Book Antiqua"/>
                <w:iCs/>
                <w:lang w:val="en-GB" w:eastAsia="en-GB"/>
              </w:rPr>
            </w:pPr>
            <w:r>
              <w:rPr>
                <w:rFonts w:ascii="Book Antiqua" w:eastAsia="Cambria" w:hAnsi="Book Antiqua"/>
                <w:iCs/>
                <w:lang w:val="en-GB" w:eastAsia="en-GB"/>
              </w:rPr>
              <w:t xml:space="preserve">Upper </w:t>
            </w:r>
            <w:r>
              <w:rPr>
                <w:rFonts w:ascii="Book Antiqua" w:hAnsi="Book Antiqua" w:hint="eastAsia"/>
                <w:iCs/>
                <w:lang w:val="en-GB" w:eastAsia="zh-CN"/>
              </w:rPr>
              <w:t>g</w:t>
            </w:r>
            <w:r>
              <w:rPr>
                <w:rFonts w:ascii="Book Antiqua" w:eastAsia="Cambria" w:hAnsi="Book Antiqua"/>
                <w:iCs/>
                <w:lang w:val="en-GB" w:eastAsia="en-GB"/>
              </w:rPr>
              <w:t>astrointestinal</w:t>
            </w:r>
          </w:p>
        </w:tc>
        <w:tc>
          <w:tcPr>
            <w:tcW w:w="2973" w:type="pct"/>
          </w:tcPr>
          <w:p w14:paraId="264DE4A4" w14:textId="77777777" w:rsidR="00557EDD" w:rsidRDefault="00000000">
            <w:pPr>
              <w:autoSpaceDE w:val="0"/>
              <w:autoSpaceDN w:val="0"/>
              <w:adjustRightInd w:val="0"/>
              <w:spacing w:line="360" w:lineRule="auto"/>
              <w:jc w:val="both"/>
              <w:rPr>
                <w:rFonts w:ascii="Book Antiqua" w:eastAsia="Cambria" w:hAnsi="Book Antiqua"/>
                <w:lang w:val="en-GB" w:eastAsia="en-GB"/>
              </w:rPr>
            </w:pPr>
            <w:r>
              <w:rPr>
                <w:rFonts w:ascii="Book Antiqua" w:eastAsia="Cambria" w:hAnsi="Book Antiqua"/>
                <w:lang w:val="en-GB" w:eastAsia="en-GB"/>
              </w:rPr>
              <w:t>1 (0.9%)</w:t>
            </w:r>
          </w:p>
        </w:tc>
      </w:tr>
      <w:tr w:rsidR="00557EDD" w14:paraId="71D72C6B" w14:textId="77777777">
        <w:trPr>
          <w:trHeight w:val="688"/>
        </w:trPr>
        <w:tc>
          <w:tcPr>
            <w:tcW w:w="2027" w:type="pct"/>
          </w:tcPr>
          <w:p w14:paraId="3209E977" w14:textId="77777777" w:rsidR="00557EDD" w:rsidRDefault="00000000">
            <w:pPr>
              <w:autoSpaceDE w:val="0"/>
              <w:autoSpaceDN w:val="0"/>
              <w:adjustRightInd w:val="0"/>
              <w:spacing w:line="360" w:lineRule="auto"/>
              <w:jc w:val="both"/>
              <w:rPr>
                <w:rFonts w:ascii="Book Antiqua" w:eastAsia="Cambria" w:hAnsi="Book Antiqua"/>
                <w:bCs/>
                <w:lang w:val="en-GB" w:eastAsia="en-GB"/>
              </w:rPr>
            </w:pPr>
            <w:r>
              <w:rPr>
                <w:rFonts w:ascii="Book Antiqua" w:eastAsia="Cambria" w:hAnsi="Book Antiqua"/>
                <w:bCs/>
                <w:lang w:val="en-GB" w:eastAsia="en-GB"/>
              </w:rPr>
              <w:t>Perianal disease (Yes)</w:t>
            </w:r>
          </w:p>
        </w:tc>
        <w:tc>
          <w:tcPr>
            <w:tcW w:w="2973" w:type="pct"/>
          </w:tcPr>
          <w:p w14:paraId="414E3F17" w14:textId="77777777" w:rsidR="00557EDD" w:rsidRDefault="00000000">
            <w:pPr>
              <w:autoSpaceDE w:val="0"/>
              <w:autoSpaceDN w:val="0"/>
              <w:adjustRightInd w:val="0"/>
              <w:spacing w:line="360" w:lineRule="auto"/>
              <w:jc w:val="both"/>
              <w:rPr>
                <w:rFonts w:ascii="Book Antiqua" w:eastAsia="Cambria" w:hAnsi="Book Antiqua"/>
                <w:lang w:val="en-GB" w:eastAsia="en-GB"/>
              </w:rPr>
            </w:pPr>
            <w:r>
              <w:rPr>
                <w:rFonts w:ascii="Book Antiqua" w:eastAsia="Cambria" w:hAnsi="Book Antiqua"/>
                <w:lang w:val="en-GB" w:eastAsia="en-GB"/>
              </w:rPr>
              <w:t>15 (13.9%)</w:t>
            </w:r>
          </w:p>
        </w:tc>
      </w:tr>
      <w:tr w:rsidR="00557EDD" w14:paraId="70717FF1" w14:textId="77777777">
        <w:trPr>
          <w:trHeight w:val="624"/>
        </w:trPr>
        <w:tc>
          <w:tcPr>
            <w:tcW w:w="2027" w:type="pct"/>
          </w:tcPr>
          <w:p w14:paraId="66D0079E" w14:textId="77777777" w:rsidR="00557EDD" w:rsidRDefault="00000000">
            <w:pPr>
              <w:autoSpaceDE w:val="0"/>
              <w:autoSpaceDN w:val="0"/>
              <w:adjustRightInd w:val="0"/>
              <w:spacing w:line="360" w:lineRule="auto"/>
              <w:jc w:val="both"/>
              <w:rPr>
                <w:rFonts w:ascii="Book Antiqua" w:eastAsia="Cambria" w:hAnsi="Book Antiqua"/>
                <w:bCs/>
                <w:lang w:val="en-GB" w:eastAsia="en-GB"/>
              </w:rPr>
            </w:pPr>
            <w:r>
              <w:rPr>
                <w:rFonts w:ascii="Book Antiqua" w:eastAsia="Cambria" w:hAnsi="Book Antiqua"/>
                <w:bCs/>
                <w:lang w:val="en-GB" w:eastAsia="en-GB"/>
              </w:rPr>
              <w:t xml:space="preserve">Surgery for Crohn’s </w:t>
            </w:r>
            <w:r>
              <w:rPr>
                <w:rFonts w:ascii="Book Antiqua" w:hAnsi="Book Antiqua" w:hint="eastAsia"/>
                <w:bCs/>
                <w:lang w:val="en-GB" w:eastAsia="zh-CN"/>
              </w:rPr>
              <w:t>d</w:t>
            </w:r>
            <w:r>
              <w:rPr>
                <w:rFonts w:ascii="Book Antiqua" w:eastAsia="Cambria" w:hAnsi="Book Antiqua"/>
                <w:bCs/>
                <w:lang w:val="en-GB" w:eastAsia="en-GB"/>
              </w:rPr>
              <w:t>isease (Yes)</w:t>
            </w:r>
          </w:p>
        </w:tc>
        <w:tc>
          <w:tcPr>
            <w:tcW w:w="2973" w:type="pct"/>
          </w:tcPr>
          <w:p w14:paraId="55C13740" w14:textId="77777777" w:rsidR="00557EDD" w:rsidRDefault="00000000">
            <w:pPr>
              <w:autoSpaceDE w:val="0"/>
              <w:autoSpaceDN w:val="0"/>
              <w:adjustRightInd w:val="0"/>
              <w:spacing w:line="360" w:lineRule="auto"/>
              <w:jc w:val="both"/>
              <w:rPr>
                <w:rFonts w:ascii="Book Antiqua" w:eastAsia="Cambria" w:hAnsi="Book Antiqua"/>
                <w:lang w:val="en-GB" w:eastAsia="en-GB"/>
              </w:rPr>
            </w:pPr>
            <w:r>
              <w:rPr>
                <w:rFonts w:ascii="Book Antiqua" w:eastAsia="Cambria" w:hAnsi="Book Antiqua"/>
                <w:lang w:val="en-GB" w:eastAsia="en-GB"/>
              </w:rPr>
              <w:t>37 (34.3%)</w:t>
            </w:r>
          </w:p>
        </w:tc>
      </w:tr>
      <w:tr w:rsidR="00557EDD" w14:paraId="39CD35A7" w14:textId="77777777">
        <w:trPr>
          <w:trHeight w:val="632"/>
        </w:trPr>
        <w:tc>
          <w:tcPr>
            <w:tcW w:w="2027" w:type="pct"/>
          </w:tcPr>
          <w:p w14:paraId="4D463DC1" w14:textId="77777777" w:rsidR="00557EDD" w:rsidRDefault="00000000">
            <w:pPr>
              <w:autoSpaceDE w:val="0"/>
              <w:autoSpaceDN w:val="0"/>
              <w:adjustRightInd w:val="0"/>
              <w:spacing w:line="360" w:lineRule="auto"/>
              <w:jc w:val="both"/>
              <w:rPr>
                <w:rFonts w:ascii="Book Antiqua" w:eastAsia="Cambria" w:hAnsi="Book Antiqua"/>
                <w:bCs/>
                <w:lang w:val="en-GB" w:eastAsia="en-GB"/>
              </w:rPr>
            </w:pPr>
            <w:r>
              <w:rPr>
                <w:rFonts w:ascii="Book Antiqua" w:eastAsia="Cambria" w:hAnsi="Book Antiqua"/>
                <w:bCs/>
                <w:lang w:val="en-GB" w:eastAsia="en-GB"/>
              </w:rPr>
              <w:t>Extra-intestinal manifestations (Yes)</w:t>
            </w:r>
          </w:p>
        </w:tc>
        <w:tc>
          <w:tcPr>
            <w:tcW w:w="2973" w:type="pct"/>
          </w:tcPr>
          <w:p w14:paraId="1ABC0309" w14:textId="77777777" w:rsidR="00557EDD" w:rsidRDefault="00000000">
            <w:pPr>
              <w:autoSpaceDE w:val="0"/>
              <w:autoSpaceDN w:val="0"/>
              <w:adjustRightInd w:val="0"/>
              <w:spacing w:line="360" w:lineRule="auto"/>
              <w:jc w:val="both"/>
              <w:rPr>
                <w:rFonts w:ascii="Book Antiqua" w:eastAsia="Cambria" w:hAnsi="Book Antiqua"/>
                <w:lang w:val="en-GB" w:eastAsia="en-GB"/>
              </w:rPr>
            </w:pPr>
            <w:r>
              <w:rPr>
                <w:rFonts w:ascii="Book Antiqua" w:eastAsia="Cambria" w:hAnsi="Book Antiqua"/>
                <w:lang w:val="en-GB" w:eastAsia="en-GB"/>
              </w:rPr>
              <w:t>19 (17.6%)</w:t>
            </w:r>
          </w:p>
        </w:tc>
      </w:tr>
      <w:tr w:rsidR="00557EDD" w14:paraId="39C806CB" w14:textId="77777777">
        <w:trPr>
          <w:trHeight w:val="383"/>
        </w:trPr>
        <w:tc>
          <w:tcPr>
            <w:tcW w:w="2027" w:type="pct"/>
          </w:tcPr>
          <w:p w14:paraId="10902927" w14:textId="77777777" w:rsidR="00557EDD" w:rsidRDefault="00000000">
            <w:pPr>
              <w:autoSpaceDE w:val="0"/>
              <w:autoSpaceDN w:val="0"/>
              <w:adjustRightInd w:val="0"/>
              <w:spacing w:line="360" w:lineRule="auto"/>
              <w:jc w:val="both"/>
              <w:rPr>
                <w:rFonts w:ascii="Book Antiqua" w:eastAsia="Cambria" w:hAnsi="Book Antiqua"/>
                <w:bCs/>
                <w:lang w:val="en-GB" w:eastAsia="en-GB"/>
              </w:rPr>
            </w:pPr>
            <w:r>
              <w:rPr>
                <w:rFonts w:ascii="Book Antiqua" w:eastAsia="Cambria" w:hAnsi="Book Antiqua"/>
                <w:bCs/>
                <w:lang w:val="en-GB" w:eastAsia="en-GB"/>
              </w:rPr>
              <w:t>Smoking (Yes)</w:t>
            </w:r>
          </w:p>
        </w:tc>
        <w:tc>
          <w:tcPr>
            <w:tcW w:w="2973" w:type="pct"/>
          </w:tcPr>
          <w:p w14:paraId="05877CB6" w14:textId="77777777" w:rsidR="00557EDD" w:rsidRDefault="00000000">
            <w:pPr>
              <w:autoSpaceDE w:val="0"/>
              <w:autoSpaceDN w:val="0"/>
              <w:adjustRightInd w:val="0"/>
              <w:spacing w:line="360" w:lineRule="auto"/>
              <w:jc w:val="both"/>
              <w:rPr>
                <w:rFonts w:ascii="Book Antiqua" w:eastAsia="Cambria" w:hAnsi="Book Antiqua"/>
                <w:lang w:val="en-GB" w:eastAsia="en-GB"/>
              </w:rPr>
            </w:pPr>
            <w:r>
              <w:rPr>
                <w:rFonts w:ascii="Book Antiqua" w:eastAsia="Cambria" w:hAnsi="Book Antiqua"/>
                <w:lang w:val="en-GB" w:eastAsia="en-GB"/>
              </w:rPr>
              <w:t>12 (11.1%)</w:t>
            </w:r>
          </w:p>
        </w:tc>
      </w:tr>
    </w:tbl>
    <w:p w14:paraId="49B967D2" w14:textId="77777777" w:rsidR="00557EDD" w:rsidRDefault="00557EDD">
      <w:pPr>
        <w:autoSpaceDE w:val="0"/>
        <w:autoSpaceDN w:val="0"/>
        <w:adjustRightInd w:val="0"/>
        <w:spacing w:line="360" w:lineRule="auto"/>
        <w:jc w:val="both"/>
        <w:rPr>
          <w:rFonts w:ascii="Book Antiqua" w:eastAsia="Cambria" w:hAnsi="Book Antiqua"/>
          <w:lang w:val="en-GB" w:eastAsia="en-GB"/>
        </w:rPr>
      </w:pPr>
    </w:p>
    <w:p w14:paraId="68D0C777" w14:textId="77777777" w:rsidR="00557EDD" w:rsidRDefault="00000000">
      <w:pPr>
        <w:rPr>
          <w:rFonts w:ascii="Book Antiqua" w:eastAsia="Cambria" w:hAnsi="Book Antiqua"/>
          <w:lang w:val="en-GB" w:eastAsia="en-GB"/>
        </w:rPr>
      </w:pPr>
      <w:r>
        <w:rPr>
          <w:rFonts w:ascii="Book Antiqua" w:eastAsia="Cambria" w:hAnsi="Book Antiqua"/>
          <w:lang w:val="en-GB" w:eastAsia="en-GB"/>
        </w:rPr>
        <w:br w:type="page"/>
      </w:r>
    </w:p>
    <w:p w14:paraId="2C811AD1" w14:textId="77777777" w:rsidR="00557EDD" w:rsidRDefault="00000000">
      <w:pPr>
        <w:autoSpaceDE w:val="0"/>
        <w:autoSpaceDN w:val="0"/>
        <w:adjustRightInd w:val="0"/>
        <w:spacing w:line="360" w:lineRule="auto"/>
        <w:jc w:val="both"/>
        <w:rPr>
          <w:rFonts w:ascii="Book Antiqua" w:eastAsia="Cambria" w:hAnsi="Book Antiqua"/>
          <w:b/>
          <w:bCs/>
          <w:lang w:val="en-GB" w:eastAsia="en-GB"/>
        </w:rPr>
      </w:pPr>
      <w:r>
        <w:rPr>
          <w:rFonts w:ascii="Book Antiqua" w:eastAsia="Cambria" w:hAnsi="Book Antiqua"/>
          <w:b/>
          <w:bCs/>
          <w:lang w:val="en-GB" w:eastAsia="en-GB"/>
        </w:rPr>
        <w:lastRenderedPageBreak/>
        <w:t>Table 2</w:t>
      </w:r>
      <w:r>
        <w:rPr>
          <w:rFonts w:ascii="Book Antiqua" w:hAnsi="Book Antiqua" w:hint="eastAsia"/>
          <w:b/>
          <w:bCs/>
          <w:lang w:val="en-GB" w:eastAsia="zh-CN"/>
        </w:rPr>
        <w:t xml:space="preserve"> </w:t>
      </w:r>
      <w:r>
        <w:rPr>
          <w:rFonts w:ascii="Book Antiqua" w:eastAsia="Cambria" w:hAnsi="Book Antiqua"/>
          <w:b/>
          <w:bCs/>
          <w:lang w:val="en-GB" w:eastAsia="en-GB"/>
        </w:rPr>
        <w:t xml:space="preserve">Frequency of the single nucleotide polymorphisms in </w:t>
      </w:r>
      <w:r>
        <w:rPr>
          <w:rFonts w:ascii="Book Antiqua" w:hAnsi="Book Antiqua" w:hint="eastAsia"/>
          <w:b/>
          <w:bCs/>
          <w:lang w:val="en-GB" w:eastAsia="zh-CN"/>
        </w:rPr>
        <w:t>p</w:t>
      </w:r>
      <w:r>
        <w:rPr>
          <w:rFonts w:ascii="Book Antiqua" w:eastAsia="Cambria" w:hAnsi="Book Antiqua"/>
          <w:b/>
          <w:bCs/>
          <w:lang w:val="en-GB" w:eastAsia="en-GB"/>
        </w:rPr>
        <w:t>rotein tyrosine phosphate non-receptor type 2 gene in cases and controls</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2143"/>
        <w:gridCol w:w="2894"/>
        <w:gridCol w:w="3186"/>
      </w:tblGrid>
      <w:tr w:rsidR="006E05D0" w14:paraId="0E2B16B7" w14:textId="77777777" w:rsidTr="00582E91">
        <w:trPr>
          <w:trHeight w:val="461"/>
        </w:trPr>
        <w:tc>
          <w:tcPr>
            <w:tcW w:w="607" w:type="pct"/>
            <w:vMerge w:val="restart"/>
            <w:tcBorders>
              <w:top w:val="single" w:sz="4" w:space="0" w:color="auto"/>
            </w:tcBorders>
          </w:tcPr>
          <w:p w14:paraId="6FEE7DB1" w14:textId="77777777" w:rsidR="006E05D0" w:rsidRDefault="006E05D0">
            <w:pPr>
              <w:spacing w:line="360" w:lineRule="auto"/>
              <w:jc w:val="both"/>
              <w:rPr>
                <w:rFonts w:ascii="Book Antiqua" w:eastAsia="Cambria" w:hAnsi="Book Antiqua"/>
              </w:rPr>
            </w:pPr>
          </w:p>
        </w:tc>
        <w:tc>
          <w:tcPr>
            <w:tcW w:w="4393" w:type="pct"/>
            <w:gridSpan w:val="3"/>
            <w:tcBorders>
              <w:top w:val="single" w:sz="4" w:space="0" w:color="auto"/>
              <w:bottom w:val="single" w:sz="4" w:space="0" w:color="auto"/>
            </w:tcBorders>
          </w:tcPr>
          <w:p w14:paraId="2B58F13A" w14:textId="77777777" w:rsidR="006E05D0" w:rsidRDefault="006E05D0">
            <w:pPr>
              <w:spacing w:line="360" w:lineRule="auto"/>
              <w:jc w:val="both"/>
              <w:rPr>
                <w:rFonts w:ascii="Book Antiqua" w:eastAsia="Cambria" w:hAnsi="Book Antiqua"/>
                <w:b/>
                <w:bCs/>
              </w:rPr>
            </w:pPr>
            <w:r>
              <w:rPr>
                <w:rFonts w:ascii="Book Antiqua" w:eastAsia="Cambria" w:hAnsi="Book Antiqua"/>
                <w:b/>
                <w:bCs/>
                <w:i/>
              </w:rPr>
              <w:t>PTPN2</w:t>
            </w:r>
            <w:r>
              <w:rPr>
                <w:rFonts w:ascii="Book Antiqua" w:eastAsia="Cambria" w:hAnsi="Book Antiqua"/>
                <w:b/>
                <w:bCs/>
              </w:rPr>
              <w:t xml:space="preserve"> SNP rs7234029</w:t>
            </w:r>
          </w:p>
        </w:tc>
      </w:tr>
      <w:tr w:rsidR="006E05D0" w14:paraId="03CA0536" w14:textId="77777777" w:rsidTr="00582E91">
        <w:trPr>
          <w:trHeight w:val="703"/>
        </w:trPr>
        <w:tc>
          <w:tcPr>
            <w:tcW w:w="607" w:type="pct"/>
            <w:vMerge/>
            <w:tcBorders>
              <w:bottom w:val="single" w:sz="4" w:space="0" w:color="auto"/>
            </w:tcBorders>
          </w:tcPr>
          <w:p w14:paraId="26131963" w14:textId="77777777" w:rsidR="006E05D0" w:rsidRDefault="006E05D0">
            <w:pPr>
              <w:spacing w:line="360" w:lineRule="auto"/>
              <w:jc w:val="both"/>
              <w:rPr>
                <w:rFonts w:ascii="Book Antiqua" w:eastAsia="Cambria" w:hAnsi="Book Antiqua"/>
              </w:rPr>
            </w:pPr>
          </w:p>
        </w:tc>
        <w:tc>
          <w:tcPr>
            <w:tcW w:w="1145" w:type="pct"/>
            <w:tcBorders>
              <w:top w:val="single" w:sz="4" w:space="0" w:color="auto"/>
              <w:bottom w:val="single" w:sz="4" w:space="0" w:color="auto"/>
            </w:tcBorders>
          </w:tcPr>
          <w:p w14:paraId="45C1B991" w14:textId="77777777" w:rsidR="006E05D0" w:rsidRDefault="006E05D0">
            <w:pPr>
              <w:spacing w:line="360" w:lineRule="auto"/>
              <w:jc w:val="both"/>
              <w:rPr>
                <w:rFonts w:ascii="Book Antiqua" w:eastAsia="Cambria" w:hAnsi="Book Antiqua"/>
                <w:b/>
                <w:bCs/>
              </w:rPr>
            </w:pPr>
            <w:r>
              <w:rPr>
                <w:rFonts w:ascii="Book Antiqua" w:eastAsia="Cambria" w:hAnsi="Book Antiqua"/>
                <w:b/>
                <w:bCs/>
              </w:rPr>
              <w:t>Homozygote (GG)</w:t>
            </w:r>
          </w:p>
        </w:tc>
        <w:tc>
          <w:tcPr>
            <w:tcW w:w="1546" w:type="pct"/>
            <w:tcBorders>
              <w:top w:val="single" w:sz="4" w:space="0" w:color="auto"/>
              <w:bottom w:val="single" w:sz="4" w:space="0" w:color="auto"/>
            </w:tcBorders>
          </w:tcPr>
          <w:p w14:paraId="33F8B7E8" w14:textId="77777777" w:rsidR="006E05D0" w:rsidRDefault="006E05D0">
            <w:pPr>
              <w:spacing w:line="360" w:lineRule="auto"/>
              <w:jc w:val="both"/>
              <w:rPr>
                <w:rFonts w:ascii="Book Antiqua" w:eastAsia="Cambria" w:hAnsi="Book Antiqua"/>
                <w:b/>
                <w:bCs/>
              </w:rPr>
            </w:pPr>
            <w:r>
              <w:rPr>
                <w:rFonts w:ascii="Book Antiqua" w:eastAsia="Cambria" w:hAnsi="Book Antiqua"/>
                <w:b/>
                <w:bCs/>
              </w:rPr>
              <w:t>Heterozygote (AG)</w:t>
            </w:r>
          </w:p>
        </w:tc>
        <w:tc>
          <w:tcPr>
            <w:tcW w:w="1702" w:type="pct"/>
            <w:tcBorders>
              <w:top w:val="single" w:sz="4" w:space="0" w:color="auto"/>
              <w:bottom w:val="single" w:sz="4" w:space="0" w:color="auto"/>
            </w:tcBorders>
          </w:tcPr>
          <w:p w14:paraId="67B41D04" w14:textId="77777777" w:rsidR="006E05D0" w:rsidRDefault="006E05D0">
            <w:pPr>
              <w:spacing w:line="360" w:lineRule="auto"/>
              <w:jc w:val="both"/>
              <w:rPr>
                <w:rFonts w:ascii="Book Antiqua" w:eastAsia="Cambria" w:hAnsi="Book Antiqua"/>
                <w:b/>
                <w:bCs/>
              </w:rPr>
            </w:pPr>
            <w:r>
              <w:rPr>
                <w:rFonts w:ascii="Book Antiqua" w:eastAsia="Cambria" w:hAnsi="Book Antiqua"/>
                <w:b/>
                <w:bCs/>
              </w:rPr>
              <w:t>Wild type (AA)</w:t>
            </w:r>
          </w:p>
        </w:tc>
      </w:tr>
      <w:tr w:rsidR="00557EDD" w14:paraId="6224B44E" w14:textId="77777777">
        <w:trPr>
          <w:trHeight w:val="472"/>
        </w:trPr>
        <w:tc>
          <w:tcPr>
            <w:tcW w:w="607" w:type="pct"/>
            <w:tcBorders>
              <w:top w:val="single" w:sz="4" w:space="0" w:color="auto"/>
            </w:tcBorders>
          </w:tcPr>
          <w:p w14:paraId="7836AB86" w14:textId="77777777" w:rsidR="00557EDD" w:rsidRDefault="00000000">
            <w:pPr>
              <w:spacing w:line="360" w:lineRule="auto"/>
              <w:jc w:val="both"/>
              <w:rPr>
                <w:rFonts w:ascii="Book Antiqua" w:eastAsia="Cambria" w:hAnsi="Book Antiqua"/>
                <w:bCs/>
              </w:rPr>
            </w:pPr>
            <w:r>
              <w:rPr>
                <w:rFonts w:ascii="Book Antiqua" w:eastAsia="Cambria" w:hAnsi="Book Antiqua"/>
                <w:bCs/>
              </w:rPr>
              <w:t>Cases (</w:t>
            </w:r>
            <w:r>
              <w:rPr>
                <w:rFonts w:ascii="Book Antiqua" w:eastAsia="Cambria" w:hAnsi="Book Antiqua"/>
                <w:bCs/>
                <w:i/>
              </w:rPr>
              <w:t>n</w:t>
            </w:r>
            <w:r>
              <w:rPr>
                <w:rFonts w:ascii="Book Antiqua" w:hAnsi="Book Antiqua" w:hint="eastAsia"/>
                <w:bCs/>
                <w:lang w:eastAsia="zh-CN"/>
              </w:rPr>
              <w:t xml:space="preserve"> </w:t>
            </w:r>
            <w:r>
              <w:rPr>
                <w:rFonts w:ascii="Book Antiqua" w:eastAsia="Cambria" w:hAnsi="Book Antiqua"/>
                <w:bCs/>
              </w:rPr>
              <w:t>=</w:t>
            </w:r>
            <w:r>
              <w:rPr>
                <w:rFonts w:ascii="Book Antiqua" w:hAnsi="Book Antiqua" w:hint="eastAsia"/>
                <w:bCs/>
                <w:lang w:eastAsia="zh-CN"/>
              </w:rPr>
              <w:t xml:space="preserve"> </w:t>
            </w:r>
            <w:r>
              <w:rPr>
                <w:rFonts w:ascii="Book Antiqua" w:eastAsia="Cambria" w:hAnsi="Book Antiqua"/>
                <w:bCs/>
              </w:rPr>
              <w:t>108)</w:t>
            </w:r>
          </w:p>
        </w:tc>
        <w:tc>
          <w:tcPr>
            <w:tcW w:w="1145" w:type="pct"/>
            <w:tcBorders>
              <w:top w:val="single" w:sz="4" w:space="0" w:color="auto"/>
            </w:tcBorders>
          </w:tcPr>
          <w:p w14:paraId="645F3BBF" w14:textId="77777777" w:rsidR="00557EDD" w:rsidRDefault="00000000">
            <w:pPr>
              <w:spacing w:line="360" w:lineRule="auto"/>
              <w:jc w:val="both"/>
              <w:rPr>
                <w:rFonts w:ascii="Book Antiqua" w:eastAsia="Cambria" w:hAnsi="Book Antiqua"/>
              </w:rPr>
            </w:pPr>
            <w:r>
              <w:rPr>
                <w:rFonts w:ascii="Book Antiqua" w:eastAsia="Cambria" w:hAnsi="Book Antiqua"/>
              </w:rPr>
              <w:t>8 (7.4%)</w:t>
            </w:r>
          </w:p>
        </w:tc>
        <w:tc>
          <w:tcPr>
            <w:tcW w:w="1546" w:type="pct"/>
            <w:tcBorders>
              <w:top w:val="single" w:sz="4" w:space="0" w:color="auto"/>
            </w:tcBorders>
          </w:tcPr>
          <w:p w14:paraId="34840932" w14:textId="77777777" w:rsidR="00557EDD" w:rsidRDefault="00000000">
            <w:pPr>
              <w:spacing w:line="360" w:lineRule="auto"/>
              <w:jc w:val="both"/>
              <w:rPr>
                <w:rFonts w:ascii="Book Antiqua" w:eastAsia="Cambria" w:hAnsi="Book Antiqua"/>
              </w:rPr>
            </w:pPr>
            <w:r>
              <w:rPr>
                <w:rFonts w:ascii="Book Antiqua" w:eastAsia="Cambria" w:hAnsi="Book Antiqua"/>
              </w:rPr>
              <w:t>30 (27.8%)</w:t>
            </w:r>
          </w:p>
        </w:tc>
        <w:tc>
          <w:tcPr>
            <w:tcW w:w="1702" w:type="pct"/>
            <w:tcBorders>
              <w:top w:val="single" w:sz="4" w:space="0" w:color="auto"/>
            </w:tcBorders>
          </w:tcPr>
          <w:p w14:paraId="486191D7" w14:textId="77777777" w:rsidR="00557EDD" w:rsidRDefault="00000000">
            <w:pPr>
              <w:spacing w:line="360" w:lineRule="auto"/>
              <w:jc w:val="both"/>
              <w:rPr>
                <w:rFonts w:ascii="Book Antiqua" w:eastAsia="Cambria" w:hAnsi="Book Antiqua"/>
              </w:rPr>
            </w:pPr>
            <w:r>
              <w:rPr>
                <w:rFonts w:ascii="Book Antiqua" w:eastAsia="Cambria" w:hAnsi="Book Antiqua"/>
              </w:rPr>
              <w:t>70 (64.8%)</w:t>
            </w:r>
          </w:p>
        </w:tc>
      </w:tr>
      <w:tr w:rsidR="00557EDD" w14:paraId="475D5654" w14:textId="77777777">
        <w:trPr>
          <w:trHeight w:val="461"/>
        </w:trPr>
        <w:tc>
          <w:tcPr>
            <w:tcW w:w="607" w:type="pct"/>
          </w:tcPr>
          <w:p w14:paraId="3525EDF3" w14:textId="77777777" w:rsidR="00557EDD" w:rsidRDefault="00000000">
            <w:pPr>
              <w:spacing w:line="360" w:lineRule="auto"/>
              <w:jc w:val="both"/>
              <w:rPr>
                <w:rFonts w:ascii="Book Antiqua" w:eastAsia="Cambria" w:hAnsi="Book Antiqua"/>
                <w:bCs/>
              </w:rPr>
            </w:pPr>
            <w:r>
              <w:rPr>
                <w:rFonts w:ascii="Book Antiqua" w:eastAsia="Cambria" w:hAnsi="Book Antiqua"/>
                <w:bCs/>
              </w:rPr>
              <w:t>Controls (</w:t>
            </w:r>
            <w:r>
              <w:rPr>
                <w:rFonts w:ascii="Book Antiqua" w:eastAsia="Cambria" w:hAnsi="Book Antiqua"/>
                <w:bCs/>
                <w:i/>
              </w:rPr>
              <w:t>n</w:t>
            </w:r>
            <w:r>
              <w:rPr>
                <w:rFonts w:ascii="Book Antiqua" w:hAnsi="Book Antiqua" w:hint="eastAsia"/>
                <w:bCs/>
                <w:lang w:eastAsia="zh-CN"/>
              </w:rPr>
              <w:t xml:space="preserve"> </w:t>
            </w:r>
            <w:r>
              <w:rPr>
                <w:rFonts w:ascii="Book Antiqua" w:eastAsia="Cambria" w:hAnsi="Book Antiqua"/>
                <w:bCs/>
              </w:rPr>
              <w:t>=</w:t>
            </w:r>
            <w:r>
              <w:rPr>
                <w:rFonts w:ascii="Book Antiqua" w:hAnsi="Book Antiqua" w:hint="eastAsia"/>
                <w:bCs/>
                <w:lang w:eastAsia="zh-CN"/>
              </w:rPr>
              <w:t xml:space="preserve"> </w:t>
            </w:r>
            <w:r>
              <w:rPr>
                <w:rFonts w:ascii="Book Antiqua" w:eastAsia="Cambria" w:hAnsi="Book Antiqua"/>
                <w:bCs/>
              </w:rPr>
              <w:t>98)</w:t>
            </w:r>
          </w:p>
        </w:tc>
        <w:tc>
          <w:tcPr>
            <w:tcW w:w="1145" w:type="pct"/>
          </w:tcPr>
          <w:p w14:paraId="0B266669" w14:textId="77777777" w:rsidR="00557EDD" w:rsidRDefault="00000000">
            <w:pPr>
              <w:spacing w:line="360" w:lineRule="auto"/>
              <w:jc w:val="both"/>
              <w:rPr>
                <w:rFonts w:ascii="Book Antiqua" w:eastAsia="Cambria" w:hAnsi="Book Antiqua"/>
              </w:rPr>
            </w:pPr>
            <w:r>
              <w:rPr>
                <w:rFonts w:ascii="Book Antiqua" w:eastAsia="Cambria" w:hAnsi="Book Antiqua"/>
              </w:rPr>
              <w:t>5 (5.1%)</w:t>
            </w:r>
          </w:p>
        </w:tc>
        <w:tc>
          <w:tcPr>
            <w:tcW w:w="1546" w:type="pct"/>
          </w:tcPr>
          <w:p w14:paraId="5B338988" w14:textId="77777777" w:rsidR="00557EDD" w:rsidRDefault="00000000">
            <w:pPr>
              <w:spacing w:line="360" w:lineRule="auto"/>
              <w:jc w:val="both"/>
              <w:rPr>
                <w:rFonts w:ascii="Book Antiqua" w:eastAsia="Cambria" w:hAnsi="Book Antiqua"/>
              </w:rPr>
            </w:pPr>
            <w:r>
              <w:rPr>
                <w:rFonts w:ascii="Book Antiqua" w:eastAsia="Cambria" w:hAnsi="Book Antiqua"/>
              </w:rPr>
              <w:t>44 (44.9%)</w:t>
            </w:r>
          </w:p>
        </w:tc>
        <w:tc>
          <w:tcPr>
            <w:tcW w:w="1702" w:type="pct"/>
          </w:tcPr>
          <w:p w14:paraId="633019DE" w14:textId="77777777" w:rsidR="00557EDD" w:rsidRDefault="00000000">
            <w:pPr>
              <w:spacing w:line="360" w:lineRule="auto"/>
              <w:jc w:val="both"/>
              <w:rPr>
                <w:rFonts w:ascii="Book Antiqua" w:eastAsia="Cambria" w:hAnsi="Book Antiqua"/>
              </w:rPr>
            </w:pPr>
            <w:r>
              <w:rPr>
                <w:rFonts w:ascii="Book Antiqua" w:eastAsia="Cambria" w:hAnsi="Book Antiqua"/>
              </w:rPr>
              <w:t>49 (50%)</w:t>
            </w:r>
          </w:p>
        </w:tc>
      </w:tr>
      <w:tr w:rsidR="00557EDD" w14:paraId="54DD9354" w14:textId="77777777">
        <w:trPr>
          <w:trHeight w:val="230"/>
        </w:trPr>
        <w:tc>
          <w:tcPr>
            <w:tcW w:w="607" w:type="pct"/>
          </w:tcPr>
          <w:p w14:paraId="62C5B7F2" w14:textId="77777777" w:rsidR="00557EDD" w:rsidRDefault="00000000">
            <w:pPr>
              <w:spacing w:line="360" w:lineRule="auto"/>
              <w:jc w:val="both"/>
              <w:rPr>
                <w:rFonts w:ascii="Book Antiqua" w:hAnsi="Book Antiqua"/>
                <w:bCs/>
                <w:lang w:eastAsia="zh-CN"/>
              </w:rPr>
            </w:pPr>
            <w:r>
              <w:rPr>
                <w:rFonts w:ascii="Book Antiqua" w:hAnsi="Book Antiqua" w:hint="eastAsia"/>
                <w:bCs/>
                <w:i/>
                <w:lang w:eastAsia="zh-CN"/>
              </w:rPr>
              <w:t>P</w:t>
            </w:r>
            <w:r>
              <w:rPr>
                <w:rFonts w:ascii="Book Antiqua" w:eastAsia="Cambria" w:hAnsi="Book Antiqua"/>
                <w:bCs/>
              </w:rPr>
              <w:t xml:space="preserve"> value</w:t>
            </w:r>
            <w:r>
              <w:rPr>
                <w:rFonts w:ascii="Book Antiqua" w:hAnsi="Book Antiqua" w:hint="eastAsia"/>
                <w:vertAlign w:val="superscript"/>
                <w:lang w:val="en-GB" w:eastAsia="zh-CN"/>
              </w:rPr>
              <w:t>1</w:t>
            </w:r>
          </w:p>
        </w:tc>
        <w:tc>
          <w:tcPr>
            <w:tcW w:w="4393" w:type="pct"/>
            <w:gridSpan w:val="3"/>
          </w:tcPr>
          <w:p w14:paraId="562E9A2D" w14:textId="77777777" w:rsidR="00557EDD" w:rsidRDefault="00000000">
            <w:pPr>
              <w:spacing w:line="360" w:lineRule="auto"/>
              <w:jc w:val="both"/>
              <w:rPr>
                <w:rFonts w:ascii="Book Antiqua" w:eastAsia="Cambria" w:hAnsi="Book Antiqua"/>
              </w:rPr>
            </w:pPr>
            <w:r>
              <w:rPr>
                <w:rFonts w:ascii="Book Antiqua" w:eastAsia="Cambria" w:hAnsi="Book Antiqua"/>
              </w:rPr>
              <w:t>0.05</w:t>
            </w:r>
          </w:p>
        </w:tc>
      </w:tr>
      <w:tr w:rsidR="00557EDD" w14:paraId="4A64A746" w14:textId="77777777">
        <w:trPr>
          <w:trHeight w:val="470"/>
        </w:trPr>
        <w:tc>
          <w:tcPr>
            <w:tcW w:w="607" w:type="pct"/>
          </w:tcPr>
          <w:p w14:paraId="5369D555" w14:textId="77777777" w:rsidR="00557EDD" w:rsidRDefault="00557EDD">
            <w:pPr>
              <w:spacing w:line="360" w:lineRule="auto"/>
              <w:jc w:val="both"/>
              <w:rPr>
                <w:rFonts w:ascii="Book Antiqua" w:eastAsia="Cambria" w:hAnsi="Book Antiqua"/>
                <w:bCs/>
              </w:rPr>
            </w:pPr>
          </w:p>
        </w:tc>
        <w:tc>
          <w:tcPr>
            <w:tcW w:w="4393" w:type="pct"/>
            <w:gridSpan w:val="3"/>
          </w:tcPr>
          <w:p w14:paraId="1E29F33A" w14:textId="77777777" w:rsidR="00557EDD" w:rsidRDefault="00000000">
            <w:pPr>
              <w:spacing w:line="360" w:lineRule="auto"/>
              <w:jc w:val="both"/>
              <w:rPr>
                <w:rFonts w:ascii="Book Antiqua" w:eastAsia="Cambria" w:hAnsi="Book Antiqua"/>
              </w:rPr>
            </w:pPr>
            <w:r>
              <w:rPr>
                <w:rFonts w:ascii="Book Antiqua" w:eastAsia="Cambria" w:hAnsi="Book Antiqua"/>
                <w:bCs/>
                <w:i/>
              </w:rPr>
              <w:t>PTPN2</w:t>
            </w:r>
            <w:r>
              <w:rPr>
                <w:rFonts w:ascii="Book Antiqua" w:eastAsia="Cambria" w:hAnsi="Book Antiqua"/>
                <w:bCs/>
              </w:rPr>
              <w:t xml:space="preserve"> SNP rs2542151</w:t>
            </w:r>
          </w:p>
        </w:tc>
      </w:tr>
      <w:tr w:rsidR="00557EDD" w14:paraId="0326C01E" w14:textId="77777777">
        <w:trPr>
          <w:trHeight w:val="230"/>
        </w:trPr>
        <w:tc>
          <w:tcPr>
            <w:tcW w:w="607" w:type="pct"/>
          </w:tcPr>
          <w:p w14:paraId="127212E8" w14:textId="77777777" w:rsidR="00557EDD" w:rsidRDefault="00557EDD">
            <w:pPr>
              <w:spacing w:line="360" w:lineRule="auto"/>
              <w:jc w:val="both"/>
              <w:rPr>
                <w:rFonts w:ascii="Book Antiqua" w:eastAsia="Cambria" w:hAnsi="Book Antiqua"/>
                <w:bCs/>
              </w:rPr>
            </w:pPr>
          </w:p>
        </w:tc>
        <w:tc>
          <w:tcPr>
            <w:tcW w:w="1145" w:type="pct"/>
          </w:tcPr>
          <w:p w14:paraId="3D4C0607" w14:textId="77777777" w:rsidR="00557EDD" w:rsidRDefault="00000000">
            <w:pPr>
              <w:spacing w:line="360" w:lineRule="auto"/>
              <w:jc w:val="both"/>
              <w:rPr>
                <w:rFonts w:ascii="Book Antiqua" w:eastAsia="Cambria" w:hAnsi="Book Antiqua"/>
                <w:bCs/>
              </w:rPr>
            </w:pPr>
            <w:r>
              <w:rPr>
                <w:rFonts w:ascii="Book Antiqua" w:eastAsia="Cambria" w:hAnsi="Book Antiqua"/>
                <w:bCs/>
              </w:rPr>
              <w:t>Homozygote (GG)</w:t>
            </w:r>
          </w:p>
        </w:tc>
        <w:tc>
          <w:tcPr>
            <w:tcW w:w="1546" w:type="pct"/>
          </w:tcPr>
          <w:p w14:paraId="289019C7" w14:textId="77777777" w:rsidR="00557EDD" w:rsidRDefault="00000000">
            <w:pPr>
              <w:spacing w:line="360" w:lineRule="auto"/>
              <w:jc w:val="both"/>
              <w:rPr>
                <w:rFonts w:ascii="Book Antiqua" w:eastAsia="Cambria" w:hAnsi="Book Antiqua"/>
                <w:bCs/>
              </w:rPr>
            </w:pPr>
            <w:r>
              <w:rPr>
                <w:rFonts w:ascii="Book Antiqua" w:eastAsia="Cambria" w:hAnsi="Book Antiqua"/>
                <w:bCs/>
              </w:rPr>
              <w:t>Heterozygote (GT)</w:t>
            </w:r>
          </w:p>
        </w:tc>
        <w:tc>
          <w:tcPr>
            <w:tcW w:w="1702" w:type="pct"/>
          </w:tcPr>
          <w:p w14:paraId="3B39BBF6" w14:textId="77777777" w:rsidR="00557EDD" w:rsidRDefault="00000000">
            <w:pPr>
              <w:spacing w:line="360" w:lineRule="auto"/>
              <w:jc w:val="both"/>
              <w:rPr>
                <w:rFonts w:ascii="Book Antiqua" w:eastAsia="Cambria" w:hAnsi="Book Antiqua"/>
                <w:bCs/>
              </w:rPr>
            </w:pPr>
            <w:r>
              <w:rPr>
                <w:rFonts w:ascii="Book Antiqua" w:eastAsia="Cambria" w:hAnsi="Book Antiqua"/>
                <w:bCs/>
              </w:rPr>
              <w:t>Wild type (TT)</w:t>
            </w:r>
          </w:p>
          <w:p w14:paraId="30ECAFF3" w14:textId="77777777" w:rsidR="00557EDD" w:rsidRDefault="00557EDD">
            <w:pPr>
              <w:spacing w:line="360" w:lineRule="auto"/>
              <w:jc w:val="both"/>
              <w:rPr>
                <w:rFonts w:ascii="Book Antiqua" w:eastAsia="Cambria" w:hAnsi="Book Antiqua"/>
                <w:bCs/>
              </w:rPr>
            </w:pPr>
          </w:p>
        </w:tc>
      </w:tr>
      <w:tr w:rsidR="00557EDD" w14:paraId="05E12722" w14:textId="77777777">
        <w:trPr>
          <w:trHeight w:val="230"/>
        </w:trPr>
        <w:tc>
          <w:tcPr>
            <w:tcW w:w="607" w:type="pct"/>
          </w:tcPr>
          <w:p w14:paraId="00A4F347" w14:textId="77777777" w:rsidR="00557EDD" w:rsidRDefault="00000000">
            <w:pPr>
              <w:spacing w:line="360" w:lineRule="auto"/>
              <w:jc w:val="both"/>
              <w:rPr>
                <w:rFonts w:ascii="Book Antiqua" w:eastAsia="Cambria" w:hAnsi="Book Antiqua"/>
                <w:bCs/>
              </w:rPr>
            </w:pPr>
            <w:r>
              <w:rPr>
                <w:rFonts w:ascii="Book Antiqua" w:eastAsia="Cambria" w:hAnsi="Book Antiqua"/>
                <w:bCs/>
              </w:rPr>
              <w:t>Cases (</w:t>
            </w:r>
            <w:r>
              <w:rPr>
                <w:rFonts w:ascii="Book Antiqua" w:eastAsia="Cambria" w:hAnsi="Book Antiqua"/>
                <w:bCs/>
                <w:i/>
              </w:rPr>
              <w:t>n</w:t>
            </w:r>
            <w:r>
              <w:rPr>
                <w:rFonts w:ascii="Book Antiqua" w:hAnsi="Book Antiqua" w:hint="eastAsia"/>
                <w:bCs/>
                <w:lang w:eastAsia="zh-CN"/>
              </w:rPr>
              <w:t xml:space="preserve"> </w:t>
            </w:r>
            <w:r>
              <w:rPr>
                <w:rFonts w:ascii="Book Antiqua" w:eastAsia="Cambria" w:hAnsi="Book Antiqua"/>
                <w:bCs/>
              </w:rPr>
              <w:t>=</w:t>
            </w:r>
            <w:r>
              <w:rPr>
                <w:rFonts w:ascii="Book Antiqua" w:hAnsi="Book Antiqua" w:hint="eastAsia"/>
                <w:bCs/>
                <w:lang w:eastAsia="zh-CN"/>
              </w:rPr>
              <w:t xml:space="preserve"> </w:t>
            </w:r>
            <w:r>
              <w:rPr>
                <w:rFonts w:ascii="Book Antiqua" w:eastAsia="Cambria" w:hAnsi="Book Antiqua"/>
                <w:bCs/>
              </w:rPr>
              <w:t>101)</w:t>
            </w:r>
          </w:p>
        </w:tc>
        <w:tc>
          <w:tcPr>
            <w:tcW w:w="1145" w:type="pct"/>
          </w:tcPr>
          <w:p w14:paraId="53159CFF" w14:textId="77777777" w:rsidR="00557EDD" w:rsidRDefault="00000000">
            <w:pPr>
              <w:spacing w:line="360" w:lineRule="auto"/>
              <w:jc w:val="both"/>
              <w:rPr>
                <w:rFonts w:ascii="Book Antiqua" w:eastAsia="Cambria" w:hAnsi="Book Antiqua"/>
              </w:rPr>
            </w:pPr>
            <w:r>
              <w:rPr>
                <w:rFonts w:ascii="Book Antiqua" w:eastAsia="Cambria" w:hAnsi="Book Antiqua"/>
              </w:rPr>
              <w:t>4 (4%)</w:t>
            </w:r>
          </w:p>
        </w:tc>
        <w:tc>
          <w:tcPr>
            <w:tcW w:w="1546" w:type="pct"/>
          </w:tcPr>
          <w:p w14:paraId="7F34C7EE" w14:textId="77777777" w:rsidR="00557EDD" w:rsidRDefault="00000000">
            <w:pPr>
              <w:spacing w:line="360" w:lineRule="auto"/>
              <w:jc w:val="both"/>
              <w:rPr>
                <w:rFonts w:ascii="Book Antiqua" w:eastAsia="Cambria" w:hAnsi="Book Antiqua"/>
              </w:rPr>
            </w:pPr>
            <w:r>
              <w:rPr>
                <w:rFonts w:ascii="Book Antiqua" w:eastAsia="Cambria" w:hAnsi="Book Antiqua"/>
              </w:rPr>
              <w:t>40 (39.6%)</w:t>
            </w:r>
          </w:p>
        </w:tc>
        <w:tc>
          <w:tcPr>
            <w:tcW w:w="1702" w:type="pct"/>
          </w:tcPr>
          <w:p w14:paraId="26E6F8BD" w14:textId="77777777" w:rsidR="00557EDD" w:rsidRDefault="00000000">
            <w:pPr>
              <w:spacing w:line="360" w:lineRule="auto"/>
              <w:jc w:val="both"/>
              <w:rPr>
                <w:rFonts w:ascii="Book Antiqua" w:eastAsia="Cambria" w:hAnsi="Book Antiqua"/>
              </w:rPr>
            </w:pPr>
            <w:r>
              <w:rPr>
                <w:rFonts w:ascii="Book Antiqua" w:eastAsia="Cambria" w:hAnsi="Book Antiqua"/>
              </w:rPr>
              <w:t>57 (56.4%)</w:t>
            </w:r>
          </w:p>
        </w:tc>
      </w:tr>
      <w:tr w:rsidR="00557EDD" w14:paraId="6FA0032E" w14:textId="77777777">
        <w:trPr>
          <w:trHeight w:val="230"/>
        </w:trPr>
        <w:tc>
          <w:tcPr>
            <w:tcW w:w="607" w:type="pct"/>
          </w:tcPr>
          <w:p w14:paraId="29A6E6DF" w14:textId="77777777" w:rsidR="00557EDD" w:rsidRDefault="00000000">
            <w:pPr>
              <w:spacing w:line="360" w:lineRule="auto"/>
              <w:jc w:val="both"/>
              <w:rPr>
                <w:rFonts w:ascii="Book Antiqua" w:eastAsia="Cambria" w:hAnsi="Book Antiqua"/>
                <w:bCs/>
              </w:rPr>
            </w:pPr>
            <w:r>
              <w:rPr>
                <w:rFonts w:ascii="Book Antiqua" w:eastAsia="Cambria" w:hAnsi="Book Antiqua"/>
                <w:bCs/>
              </w:rPr>
              <w:t>Controls (</w:t>
            </w:r>
            <w:r>
              <w:rPr>
                <w:rFonts w:ascii="Book Antiqua" w:eastAsia="Cambria" w:hAnsi="Book Antiqua"/>
                <w:bCs/>
                <w:i/>
              </w:rPr>
              <w:t>n</w:t>
            </w:r>
            <w:r>
              <w:rPr>
                <w:rFonts w:ascii="Book Antiqua" w:hAnsi="Book Antiqua" w:hint="eastAsia"/>
                <w:bCs/>
                <w:lang w:eastAsia="zh-CN"/>
              </w:rPr>
              <w:t xml:space="preserve"> </w:t>
            </w:r>
            <w:r>
              <w:rPr>
                <w:rFonts w:ascii="Book Antiqua" w:eastAsia="Cambria" w:hAnsi="Book Antiqua"/>
                <w:bCs/>
              </w:rPr>
              <w:t>=</w:t>
            </w:r>
            <w:r>
              <w:rPr>
                <w:rFonts w:ascii="Book Antiqua" w:hAnsi="Book Antiqua" w:hint="eastAsia"/>
                <w:bCs/>
                <w:lang w:eastAsia="zh-CN"/>
              </w:rPr>
              <w:t xml:space="preserve"> </w:t>
            </w:r>
            <w:r>
              <w:rPr>
                <w:rFonts w:ascii="Book Antiqua" w:eastAsia="Cambria" w:hAnsi="Book Antiqua"/>
                <w:bCs/>
              </w:rPr>
              <w:t>100)</w:t>
            </w:r>
          </w:p>
        </w:tc>
        <w:tc>
          <w:tcPr>
            <w:tcW w:w="1145" w:type="pct"/>
          </w:tcPr>
          <w:p w14:paraId="02F3B03D" w14:textId="77777777" w:rsidR="00557EDD" w:rsidRDefault="00000000">
            <w:pPr>
              <w:spacing w:line="360" w:lineRule="auto"/>
              <w:jc w:val="both"/>
              <w:rPr>
                <w:rFonts w:ascii="Book Antiqua" w:eastAsia="Cambria" w:hAnsi="Book Antiqua"/>
              </w:rPr>
            </w:pPr>
            <w:r>
              <w:rPr>
                <w:rFonts w:ascii="Book Antiqua" w:eastAsia="Cambria" w:hAnsi="Book Antiqua"/>
              </w:rPr>
              <w:t>4 (4%)</w:t>
            </w:r>
          </w:p>
        </w:tc>
        <w:tc>
          <w:tcPr>
            <w:tcW w:w="1546" w:type="pct"/>
          </w:tcPr>
          <w:p w14:paraId="59BCC29D" w14:textId="77777777" w:rsidR="00557EDD" w:rsidRDefault="00000000">
            <w:pPr>
              <w:spacing w:line="360" w:lineRule="auto"/>
              <w:jc w:val="both"/>
              <w:rPr>
                <w:rFonts w:ascii="Book Antiqua" w:eastAsia="Cambria" w:hAnsi="Book Antiqua"/>
              </w:rPr>
            </w:pPr>
            <w:r>
              <w:rPr>
                <w:rFonts w:ascii="Book Antiqua" w:eastAsia="Cambria" w:hAnsi="Book Antiqua"/>
              </w:rPr>
              <w:t>43 (43%)</w:t>
            </w:r>
          </w:p>
        </w:tc>
        <w:tc>
          <w:tcPr>
            <w:tcW w:w="1702" w:type="pct"/>
          </w:tcPr>
          <w:p w14:paraId="3982F28E" w14:textId="77777777" w:rsidR="00557EDD" w:rsidRDefault="00000000">
            <w:pPr>
              <w:spacing w:line="360" w:lineRule="auto"/>
              <w:jc w:val="both"/>
              <w:rPr>
                <w:rFonts w:ascii="Book Antiqua" w:eastAsia="Cambria" w:hAnsi="Book Antiqua"/>
              </w:rPr>
            </w:pPr>
            <w:r>
              <w:rPr>
                <w:rFonts w:ascii="Book Antiqua" w:eastAsia="Cambria" w:hAnsi="Book Antiqua"/>
              </w:rPr>
              <w:t>53 (53%)</w:t>
            </w:r>
          </w:p>
        </w:tc>
      </w:tr>
      <w:tr w:rsidR="00557EDD" w14:paraId="2947266D" w14:textId="77777777">
        <w:trPr>
          <w:trHeight w:val="230"/>
        </w:trPr>
        <w:tc>
          <w:tcPr>
            <w:tcW w:w="607" w:type="pct"/>
          </w:tcPr>
          <w:p w14:paraId="68A6F47E" w14:textId="77777777" w:rsidR="00557EDD" w:rsidRDefault="00000000">
            <w:pPr>
              <w:spacing w:line="360" w:lineRule="auto"/>
              <w:jc w:val="both"/>
              <w:rPr>
                <w:rFonts w:ascii="Book Antiqua" w:eastAsia="Cambria" w:hAnsi="Book Antiqua"/>
                <w:bCs/>
              </w:rPr>
            </w:pPr>
            <w:r>
              <w:rPr>
                <w:rFonts w:ascii="Book Antiqua" w:hAnsi="Book Antiqua" w:hint="eastAsia"/>
                <w:bCs/>
                <w:i/>
                <w:lang w:eastAsia="zh-CN"/>
              </w:rPr>
              <w:t>P</w:t>
            </w:r>
            <w:r>
              <w:rPr>
                <w:rFonts w:ascii="Book Antiqua" w:eastAsia="Cambria" w:hAnsi="Book Antiqua"/>
                <w:bCs/>
              </w:rPr>
              <w:t xml:space="preserve"> value</w:t>
            </w:r>
            <w:r>
              <w:rPr>
                <w:rFonts w:ascii="Book Antiqua" w:hAnsi="Book Antiqua" w:hint="eastAsia"/>
                <w:vertAlign w:val="superscript"/>
                <w:lang w:val="en-GB" w:eastAsia="zh-CN"/>
              </w:rPr>
              <w:t>1</w:t>
            </w:r>
          </w:p>
        </w:tc>
        <w:tc>
          <w:tcPr>
            <w:tcW w:w="4393" w:type="pct"/>
            <w:gridSpan w:val="3"/>
          </w:tcPr>
          <w:p w14:paraId="67FE7E7B" w14:textId="77777777" w:rsidR="00557EDD" w:rsidRDefault="00000000">
            <w:pPr>
              <w:spacing w:line="360" w:lineRule="auto"/>
              <w:jc w:val="both"/>
              <w:rPr>
                <w:rFonts w:ascii="Book Antiqua" w:eastAsia="Cambria" w:hAnsi="Book Antiqua"/>
              </w:rPr>
            </w:pPr>
            <w:r>
              <w:rPr>
                <w:rFonts w:ascii="Book Antiqua" w:eastAsia="Cambria" w:hAnsi="Book Antiqua"/>
              </w:rPr>
              <w:t>0.73</w:t>
            </w:r>
          </w:p>
        </w:tc>
      </w:tr>
    </w:tbl>
    <w:p w14:paraId="2999F319" w14:textId="77777777" w:rsidR="00557EDD" w:rsidRDefault="00000000">
      <w:pPr>
        <w:autoSpaceDE w:val="0"/>
        <w:autoSpaceDN w:val="0"/>
        <w:adjustRightInd w:val="0"/>
        <w:spacing w:line="360" w:lineRule="auto"/>
        <w:jc w:val="both"/>
        <w:rPr>
          <w:rFonts w:ascii="Book Antiqua" w:hAnsi="Book Antiqua"/>
          <w:lang w:val="en-GB" w:eastAsia="zh-CN"/>
        </w:rPr>
      </w:pPr>
      <w:r>
        <w:rPr>
          <w:rFonts w:ascii="Book Antiqua" w:hAnsi="Book Antiqua" w:hint="eastAsia"/>
          <w:vertAlign w:val="superscript"/>
          <w:lang w:val="en-GB" w:eastAsia="zh-CN"/>
        </w:rPr>
        <w:t>1</w:t>
      </w:r>
      <w:r>
        <w:rPr>
          <w:rFonts w:ascii="Book Antiqua" w:eastAsia="Cambria" w:hAnsi="Book Antiqua"/>
          <w:lang w:val="en-GB" w:eastAsia="en-GB"/>
        </w:rPr>
        <w:t xml:space="preserve">Wild </w:t>
      </w:r>
      <w:r>
        <w:rPr>
          <w:rFonts w:ascii="Book Antiqua" w:eastAsia="Cambria" w:hAnsi="Book Antiqua"/>
          <w:i/>
          <w:lang w:val="en-GB" w:eastAsia="en-GB"/>
        </w:rPr>
        <w:t>vs</w:t>
      </w:r>
      <w:r>
        <w:rPr>
          <w:rFonts w:ascii="Book Antiqua" w:eastAsia="Cambria" w:hAnsi="Book Antiqua"/>
          <w:lang w:val="en-GB" w:eastAsia="en-GB"/>
        </w:rPr>
        <w:t xml:space="preserve"> variant (homozygote or heterozygote)</w:t>
      </w:r>
      <w:r>
        <w:rPr>
          <w:rFonts w:ascii="Book Antiqua" w:hAnsi="Book Antiqua" w:hint="eastAsia"/>
          <w:lang w:val="en-GB" w:eastAsia="zh-CN"/>
        </w:rPr>
        <w:t>. SNP: S</w:t>
      </w:r>
      <w:r>
        <w:rPr>
          <w:rFonts w:ascii="Book Antiqua" w:hAnsi="Book Antiqua"/>
          <w:lang w:val="en-GB" w:eastAsia="zh-CN"/>
        </w:rPr>
        <w:t>ingle nucleotide polymorphism</w:t>
      </w:r>
      <w:r>
        <w:rPr>
          <w:rFonts w:ascii="Book Antiqua" w:hAnsi="Book Antiqua" w:hint="eastAsia"/>
          <w:lang w:val="en-GB" w:eastAsia="zh-CN"/>
        </w:rPr>
        <w:t xml:space="preserve">; </w:t>
      </w:r>
      <w:r>
        <w:rPr>
          <w:rFonts w:ascii="Book Antiqua" w:eastAsia="Cambria" w:hAnsi="Book Antiqua"/>
          <w:bCs/>
        </w:rPr>
        <w:t>PTPN2</w:t>
      </w:r>
      <w:r>
        <w:rPr>
          <w:rFonts w:ascii="Book Antiqua" w:hAnsi="Book Antiqua" w:hint="eastAsia"/>
          <w:bCs/>
          <w:lang w:eastAsia="zh-CN"/>
        </w:rPr>
        <w:t xml:space="preserve">: </w:t>
      </w:r>
      <w:r>
        <w:rPr>
          <w:rFonts w:ascii="Book Antiqua" w:hAnsi="Book Antiqua" w:hint="eastAsia"/>
          <w:lang w:val="en-GB" w:eastAsia="zh-CN"/>
        </w:rPr>
        <w:t>P</w:t>
      </w:r>
      <w:r>
        <w:rPr>
          <w:rFonts w:ascii="Book Antiqua" w:hAnsi="Book Antiqua"/>
          <w:lang w:val="en-GB" w:eastAsia="zh-CN"/>
        </w:rPr>
        <w:t>rotein tyrosine phosphate non-receptor type 2</w:t>
      </w:r>
      <w:r>
        <w:rPr>
          <w:rFonts w:ascii="Book Antiqua" w:hAnsi="Book Antiqua" w:hint="eastAsia"/>
          <w:lang w:val="en-GB" w:eastAsia="zh-CN"/>
        </w:rPr>
        <w:t>.</w:t>
      </w:r>
    </w:p>
    <w:p w14:paraId="120FD536" w14:textId="77777777" w:rsidR="00557EDD" w:rsidRDefault="00000000">
      <w:pPr>
        <w:rPr>
          <w:rFonts w:ascii="Book Antiqua" w:eastAsia="Cambria" w:hAnsi="Book Antiqua"/>
          <w:b/>
          <w:bCs/>
          <w:lang w:val="en-GB" w:eastAsia="en-GB"/>
        </w:rPr>
      </w:pPr>
      <w:r>
        <w:rPr>
          <w:rFonts w:ascii="Book Antiqua" w:eastAsia="Cambria" w:hAnsi="Book Antiqua"/>
          <w:b/>
          <w:bCs/>
          <w:lang w:val="en-GB" w:eastAsia="en-GB"/>
        </w:rPr>
        <w:br w:type="page"/>
      </w:r>
    </w:p>
    <w:p w14:paraId="047324E7" w14:textId="77777777" w:rsidR="00557EDD" w:rsidRDefault="00000000">
      <w:pPr>
        <w:autoSpaceDE w:val="0"/>
        <w:autoSpaceDN w:val="0"/>
        <w:adjustRightInd w:val="0"/>
        <w:spacing w:line="360" w:lineRule="auto"/>
        <w:jc w:val="both"/>
        <w:rPr>
          <w:rFonts w:ascii="Book Antiqua" w:hAnsi="Book Antiqua"/>
          <w:b/>
          <w:bCs/>
          <w:lang w:val="en-GB" w:eastAsia="zh-CN"/>
        </w:rPr>
      </w:pPr>
      <w:r>
        <w:rPr>
          <w:rFonts w:ascii="Book Antiqua" w:eastAsia="Cambria" w:hAnsi="Book Antiqua"/>
          <w:b/>
          <w:bCs/>
          <w:lang w:val="en-GB" w:eastAsia="en-GB"/>
        </w:rPr>
        <w:lastRenderedPageBreak/>
        <w:t>Table 3</w:t>
      </w:r>
      <w:r>
        <w:rPr>
          <w:rFonts w:ascii="Book Antiqua" w:hAnsi="Book Antiqua" w:hint="eastAsia"/>
          <w:b/>
          <w:bCs/>
          <w:lang w:val="en-GB" w:eastAsia="zh-CN"/>
        </w:rPr>
        <w:t xml:space="preserve"> </w:t>
      </w:r>
      <w:r>
        <w:rPr>
          <w:rFonts w:ascii="Book Antiqua" w:eastAsia="Cambria" w:hAnsi="Book Antiqua"/>
          <w:b/>
          <w:bCs/>
          <w:lang w:val="en-GB" w:eastAsia="en-GB"/>
        </w:rPr>
        <w:t xml:space="preserve">Minor allele frequency of the </w:t>
      </w:r>
      <w:r>
        <w:rPr>
          <w:rFonts w:ascii="Book Antiqua" w:hAnsi="Book Antiqua" w:hint="eastAsia"/>
          <w:b/>
          <w:bCs/>
          <w:lang w:val="en-GB" w:eastAsia="zh-CN"/>
        </w:rPr>
        <w:t>s</w:t>
      </w:r>
      <w:r>
        <w:rPr>
          <w:rFonts w:ascii="Book Antiqua" w:eastAsia="Cambria" w:hAnsi="Book Antiqua"/>
          <w:b/>
          <w:bCs/>
          <w:lang w:val="en-GB" w:eastAsia="en-GB"/>
        </w:rPr>
        <w:t xml:space="preserve">ingle nucleotide polymorphisms in </w:t>
      </w:r>
      <w:r>
        <w:rPr>
          <w:rFonts w:ascii="Book Antiqua" w:hAnsi="Book Antiqua" w:hint="eastAsia"/>
          <w:b/>
          <w:bCs/>
          <w:lang w:val="en-GB" w:eastAsia="zh-CN"/>
        </w:rPr>
        <w:t>p</w:t>
      </w:r>
      <w:r>
        <w:rPr>
          <w:rFonts w:ascii="Book Antiqua" w:eastAsia="Cambria" w:hAnsi="Book Antiqua"/>
          <w:b/>
          <w:bCs/>
          <w:lang w:val="en-GB" w:eastAsia="en-GB"/>
        </w:rPr>
        <w:t>rotein tyrosine phosphate non-receptor type 2 gene in cases and controls</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2"/>
        <w:gridCol w:w="1902"/>
        <w:gridCol w:w="1318"/>
        <w:gridCol w:w="1318"/>
        <w:gridCol w:w="1460"/>
      </w:tblGrid>
      <w:tr w:rsidR="00557EDD" w14:paraId="0F95C7EA" w14:textId="77777777">
        <w:tc>
          <w:tcPr>
            <w:tcW w:w="1796" w:type="pct"/>
            <w:tcBorders>
              <w:top w:val="single" w:sz="4" w:space="0" w:color="auto"/>
              <w:bottom w:val="single" w:sz="4" w:space="0" w:color="auto"/>
            </w:tcBorders>
          </w:tcPr>
          <w:p w14:paraId="505B72CE" w14:textId="77777777" w:rsidR="00557EDD" w:rsidRDefault="00557EDD">
            <w:pPr>
              <w:autoSpaceDE w:val="0"/>
              <w:autoSpaceDN w:val="0"/>
              <w:adjustRightInd w:val="0"/>
              <w:spacing w:line="360" w:lineRule="auto"/>
              <w:jc w:val="both"/>
              <w:rPr>
                <w:rFonts w:ascii="Book Antiqua" w:eastAsia="Cambria" w:hAnsi="Book Antiqua"/>
                <w:lang w:val="en-GB" w:eastAsia="en-GB"/>
              </w:rPr>
            </w:pPr>
          </w:p>
        </w:tc>
        <w:tc>
          <w:tcPr>
            <w:tcW w:w="1016" w:type="pct"/>
            <w:tcBorders>
              <w:top w:val="single" w:sz="4" w:space="0" w:color="auto"/>
              <w:bottom w:val="single" w:sz="4" w:space="0" w:color="auto"/>
            </w:tcBorders>
          </w:tcPr>
          <w:p w14:paraId="5F502E36" w14:textId="77777777" w:rsidR="00557EDD" w:rsidRDefault="00000000">
            <w:pPr>
              <w:autoSpaceDE w:val="0"/>
              <w:autoSpaceDN w:val="0"/>
              <w:adjustRightInd w:val="0"/>
              <w:spacing w:line="360" w:lineRule="auto"/>
              <w:jc w:val="both"/>
              <w:rPr>
                <w:rFonts w:ascii="Book Antiqua" w:eastAsia="Cambria" w:hAnsi="Book Antiqua"/>
                <w:b/>
                <w:bCs/>
                <w:lang w:val="en-GB" w:eastAsia="en-GB"/>
              </w:rPr>
            </w:pPr>
            <w:r>
              <w:rPr>
                <w:rFonts w:ascii="Book Antiqua" w:eastAsia="Cambria" w:hAnsi="Book Antiqua"/>
                <w:b/>
                <w:bCs/>
                <w:lang w:val="en-GB" w:eastAsia="en-GB"/>
              </w:rPr>
              <w:t xml:space="preserve">Minor </w:t>
            </w:r>
            <w:r>
              <w:rPr>
                <w:rFonts w:ascii="Book Antiqua" w:hAnsi="Book Antiqua" w:hint="eastAsia"/>
                <w:b/>
                <w:bCs/>
                <w:lang w:val="en-GB" w:eastAsia="zh-CN"/>
              </w:rPr>
              <w:t>a</w:t>
            </w:r>
            <w:r>
              <w:rPr>
                <w:rFonts w:ascii="Book Antiqua" w:eastAsia="Cambria" w:hAnsi="Book Antiqua"/>
                <w:b/>
                <w:bCs/>
                <w:lang w:val="en-GB" w:eastAsia="en-GB"/>
              </w:rPr>
              <w:t>llele</w:t>
            </w:r>
          </w:p>
        </w:tc>
        <w:tc>
          <w:tcPr>
            <w:tcW w:w="704" w:type="pct"/>
            <w:tcBorders>
              <w:top w:val="single" w:sz="4" w:space="0" w:color="auto"/>
              <w:bottom w:val="single" w:sz="4" w:space="0" w:color="auto"/>
            </w:tcBorders>
          </w:tcPr>
          <w:p w14:paraId="2209C49B" w14:textId="77777777" w:rsidR="00557EDD" w:rsidRDefault="00000000">
            <w:pPr>
              <w:autoSpaceDE w:val="0"/>
              <w:autoSpaceDN w:val="0"/>
              <w:adjustRightInd w:val="0"/>
              <w:spacing w:line="360" w:lineRule="auto"/>
              <w:jc w:val="both"/>
              <w:rPr>
                <w:rFonts w:ascii="Book Antiqua" w:eastAsia="Cambria" w:hAnsi="Book Antiqua"/>
                <w:b/>
                <w:bCs/>
                <w:lang w:val="en-GB" w:eastAsia="en-GB"/>
              </w:rPr>
            </w:pPr>
            <w:r>
              <w:rPr>
                <w:rFonts w:ascii="Book Antiqua" w:eastAsia="Cambria" w:hAnsi="Book Antiqua"/>
                <w:b/>
                <w:bCs/>
                <w:lang w:val="en-GB" w:eastAsia="en-GB"/>
              </w:rPr>
              <w:t>Cases</w:t>
            </w:r>
          </w:p>
        </w:tc>
        <w:tc>
          <w:tcPr>
            <w:tcW w:w="704" w:type="pct"/>
            <w:tcBorders>
              <w:top w:val="single" w:sz="4" w:space="0" w:color="auto"/>
              <w:bottom w:val="single" w:sz="4" w:space="0" w:color="auto"/>
            </w:tcBorders>
          </w:tcPr>
          <w:p w14:paraId="6BC832DE" w14:textId="77777777" w:rsidR="00557EDD" w:rsidRDefault="00000000">
            <w:pPr>
              <w:autoSpaceDE w:val="0"/>
              <w:autoSpaceDN w:val="0"/>
              <w:adjustRightInd w:val="0"/>
              <w:spacing w:line="360" w:lineRule="auto"/>
              <w:jc w:val="both"/>
              <w:rPr>
                <w:rFonts w:ascii="Book Antiqua" w:eastAsia="Cambria" w:hAnsi="Book Antiqua"/>
                <w:b/>
                <w:bCs/>
                <w:lang w:val="en-GB" w:eastAsia="en-GB"/>
              </w:rPr>
            </w:pPr>
            <w:r>
              <w:rPr>
                <w:rFonts w:ascii="Book Antiqua" w:eastAsia="Cambria" w:hAnsi="Book Antiqua"/>
                <w:b/>
                <w:bCs/>
                <w:lang w:val="en-GB" w:eastAsia="en-GB"/>
              </w:rPr>
              <w:t>Controls</w:t>
            </w:r>
          </w:p>
        </w:tc>
        <w:tc>
          <w:tcPr>
            <w:tcW w:w="780" w:type="pct"/>
            <w:tcBorders>
              <w:top w:val="single" w:sz="4" w:space="0" w:color="auto"/>
              <w:bottom w:val="single" w:sz="4" w:space="0" w:color="auto"/>
            </w:tcBorders>
          </w:tcPr>
          <w:p w14:paraId="7A545034" w14:textId="77777777" w:rsidR="00557EDD" w:rsidRDefault="00000000">
            <w:pPr>
              <w:autoSpaceDE w:val="0"/>
              <w:autoSpaceDN w:val="0"/>
              <w:adjustRightInd w:val="0"/>
              <w:spacing w:line="360" w:lineRule="auto"/>
              <w:jc w:val="both"/>
              <w:rPr>
                <w:rFonts w:ascii="Book Antiqua" w:hAnsi="Book Antiqua"/>
                <w:b/>
                <w:bCs/>
                <w:lang w:val="en-GB" w:eastAsia="zh-CN"/>
              </w:rPr>
            </w:pPr>
            <w:r>
              <w:rPr>
                <w:rFonts w:ascii="Book Antiqua" w:hAnsi="Book Antiqua" w:hint="eastAsia"/>
                <w:b/>
                <w:bCs/>
                <w:i/>
                <w:lang w:val="en-GB" w:eastAsia="zh-CN"/>
              </w:rPr>
              <w:t>P</w:t>
            </w:r>
            <w:r>
              <w:rPr>
                <w:rFonts w:ascii="Book Antiqua" w:eastAsia="Cambria" w:hAnsi="Book Antiqua"/>
                <w:b/>
                <w:bCs/>
                <w:lang w:val="en-GB" w:eastAsia="en-GB"/>
              </w:rPr>
              <w:t xml:space="preserve"> </w:t>
            </w:r>
            <w:r>
              <w:rPr>
                <w:rFonts w:ascii="Book Antiqua" w:hAnsi="Book Antiqua" w:hint="eastAsia"/>
                <w:b/>
                <w:bCs/>
                <w:lang w:val="en-GB" w:eastAsia="zh-CN"/>
              </w:rPr>
              <w:t>value</w:t>
            </w:r>
          </w:p>
        </w:tc>
      </w:tr>
      <w:tr w:rsidR="00557EDD" w14:paraId="4F6673F6" w14:textId="77777777">
        <w:tc>
          <w:tcPr>
            <w:tcW w:w="1796" w:type="pct"/>
            <w:tcBorders>
              <w:top w:val="single" w:sz="4" w:space="0" w:color="auto"/>
            </w:tcBorders>
          </w:tcPr>
          <w:p w14:paraId="00231A94" w14:textId="77777777" w:rsidR="00557EDD" w:rsidRDefault="00000000">
            <w:pPr>
              <w:autoSpaceDE w:val="0"/>
              <w:autoSpaceDN w:val="0"/>
              <w:adjustRightInd w:val="0"/>
              <w:spacing w:line="360" w:lineRule="auto"/>
              <w:jc w:val="both"/>
              <w:rPr>
                <w:rFonts w:ascii="Book Antiqua" w:eastAsia="Cambria" w:hAnsi="Book Antiqua"/>
                <w:lang w:val="en-GB" w:eastAsia="en-GB"/>
              </w:rPr>
            </w:pPr>
            <w:r>
              <w:rPr>
                <w:rFonts w:ascii="Book Antiqua" w:eastAsia="Cambria" w:hAnsi="Book Antiqua"/>
                <w:bCs/>
              </w:rPr>
              <w:t>rs7234029</w:t>
            </w:r>
          </w:p>
        </w:tc>
        <w:tc>
          <w:tcPr>
            <w:tcW w:w="1016" w:type="pct"/>
            <w:tcBorders>
              <w:top w:val="single" w:sz="4" w:space="0" w:color="auto"/>
            </w:tcBorders>
          </w:tcPr>
          <w:p w14:paraId="5DBF4694" w14:textId="77777777" w:rsidR="00557EDD" w:rsidRDefault="00000000">
            <w:pPr>
              <w:autoSpaceDE w:val="0"/>
              <w:autoSpaceDN w:val="0"/>
              <w:adjustRightInd w:val="0"/>
              <w:spacing w:line="360" w:lineRule="auto"/>
              <w:jc w:val="both"/>
              <w:rPr>
                <w:rFonts w:ascii="Book Antiqua" w:eastAsia="Cambria" w:hAnsi="Book Antiqua"/>
                <w:lang w:val="en-GB" w:eastAsia="en-GB"/>
              </w:rPr>
            </w:pPr>
            <w:r>
              <w:rPr>
                <w:rFonts w:ascii="Book Antiqua" w:eastAsia="Cambria" w:hAnsi="Book Antiqua"/>
                <w:lang w:val="en-GB" w:eastAsia="en-GB"/>
              </w:rPr>
              <w:t>G</w:t>
            </w:r>
          </w:p>
        </w:tc>
        <w:tc>
          <w:tcPr>
            <w:tcW w:w="704" w:type="pct"/>
            <w:tcBorders>
              <w:top w:val="single" w:sz="4" w:space="0" w:color="auto"/>
            </w:tcBorders>
          </w:tcPr>
          <w:p w14:paraId="0E03790E" w14:textId="77777777" w:rsidR="00557EDD" w:rsidRDefault="00000000">
            <w:pPr>
              <w:autoSpaceDE w:val="0"/>
              <w:autoSpaceDN w:val="0"/>
              <w:adjustRightInd w:val="0"/>
              <w:spacing w:line="360" w:lineRule="auto"/>
              <w:jc w:val="both"/>
              <w:rPr>
                <w:rFonts w:ascii="Book Antiqua" w:eastAsia="Cambria" w:hAnsi="Book Antiqua"/>
                <w:lang w:val="en-GB" w:eastAsia="en-GB"/>
              </w:rPr>
            </w:pPr>
            <w:r>
              <w:rPr>
                <w:rFonts w:ascii="Book Antiqua" w:eastAsia="Cambria" w:hAnsi="Book Antiqua"/>
                <w:lang w:val="en-GB" w:eastAsia="en-GB"/>
              </w:rPr>
              <w:t>20.9%</w:t>
            </w:r>
          </w:p>
        </w:tc>
        <w:tc>
          <w:tcPr>
            <w:tcW w:w="704" w:type="pct"/>
            <w:tcBorders>
              <w:top w:val="single" w:sz="4" w:space="0" w:color="auto"/>
            </w:tcBorders>
          </w:tcPr>
          <w:p w14:paraId="3647D56B" w14:textId="77777777" w:rsidR="00557EDD" w:rsidRDefault="00000000">
            <w:pPr>
              <w:autoSpaceDE w:val="0"/>
              <w:autoSpaceDN w:val="0"/>
              <w:adjustRightInd w:val="0"/>
              <w:spacing w:line="360" w:lineRule="auto"/>
              <w:jc w:val="both"/>
              <w:rPr>
                <w:rFonts w:ascii="Book Antiqua" w:eastAsia="Cambria" w:hAnsi="Book Antiqua"/>
                <w:lang w:val="en-GB" w:eastAsia="en-GB"/>
              </w:rPr>
            </w:pPr>
            <w:r>
              <w:rPr>
                <w:rFonts w:ascii="Book Antiqua" w:eastAsia="Cambria" w:hAnsi="Book Antiqua"/>
                <w:lang w:val="en-GB" w:eastAsia="en-GB"/>
              </w:rPr>
              <w:t>27.6%</w:t>
            </w:r>
          </w:p>
        </w:tc>
        <w:tc>
          <w:tcPr>
            <w:tcW w:w="780" w:type="pct"/>
            <w:tcBorders>
              <w:top w:val="single" w:sz="4" w:space="0" w:color="auto"/>
            </w:tcBorders>
          </w:tcPr>
          <w:p w14:paraId="7CD340B6" w14:textId="77777777" w:rsidR="00557EDD" w:rsidRDefault="00000000">
            <w:pPr>
              <w:autoSpaceDE w:val="0"/>
              <w:autoSpaceDN w:val="0"/>
              <w:adjustRightInd w:val="0"/>
              <w:spacing w:line="360" w:lineRule="auto"/>
              <w:jc w:val="both"/>
              <w:rPr>
                <w:rFonts w:ascii="Book Antiqua" w:eastAsia="Cambria" w:hAnsi="Book Antiqua"/>
                <w:lang w:val="en-GB" w:eastAsia="en-GB"/>
              </w:rPr>
            </w:pPr>
            <w:r>
              <w:rPr>
                <w:rFonts w:ascii="Book Antiqua" w:eastAsia="Cambria" w:hAnsi="Book Antiqua"/>
                <w:lang w:val="en-GB" w:eastAsia="en-GB"/>
              </w:rPr>
              <w:t>0.17</w:t>
            </w:r>
          </w:p>
        </w:tc>
      </w:tr>
      <w:tr w:rsidR="00557EDD" w14:paraId="2083663A" w14:textId="77777777">
        <w:tc>
          <w:tcPr>
            <w:tcW w:w="1796" w:type="pct"/>
          </w:tcPr>
          <w:p w14:paraId="287B894C" w14:textId="77777777" w:rsidR="00557EDD" w:rsidRDefault="00000000">
            <w:pPr>
              <w:autoSpaceDE w:val="0"/>
              <w:autoSpaceDN w:val="0"/>
              <w:adjustRightInd w:val="0"/>
              <w:spacing w:line="360" w:lineRule="auto"/>
              <w:jc w:val="both"/>
              <w:rPr>
                <w:rFonts w:ascii="Book Antiqua" w:eastAsia="Cambria" w:hAnsi="Book Antiqua"/>
                <w:lang w:val="en-GB" w:eastAsia="en-GB"/>
              </w:rPr>
            </w:pPr>
            <w:r>
              <w:rPr>
                <w:rFonts w:ascii="Book Antiqua" w:eastAsia="Cambria" w:hAnsi="Book Antiqua"/>
                <w:bCs/>
              </w:rPr>
              <w:t>rs2542151</w:t>
            </w:r>
          </w:p>
        </w:tc>
        <w:tc>
          <w:tcPr>
            <w:tcW w:w="1016" w:type="pct"/>
          </w:tcPr>
          <w:p w14:paraId="264EF5CA" w14:textId="77777777" w:rsidR="00557EDD" w:rsidRDefault="00000000">
            <w:pPr>
              <w:autoSpaceDE w:val="0"/>
              <w:autoSpaceDN w:val="0"/>
              <w:adjustRightInd w:val="0"/>
              <w:spacing w:line="360" w:lineRule="auto"/>
              <w:jc w:val="both"/>
              <w:rPr>
                <w:rFonts w:ascii="Book Antiqua" w:eastAsia="Cambria" w:hAnsi="Book Antiqua"/>
                <w:lang w:val="en-GB" w:eastAsia="en-GB"/>
              </w:rPr>
            </w:pPr>
            <w:r>
              <w:rPr>
                <w:rFonts w:ascii="Book Antiqua" w:eastAsia="Cambria" w:hAnsi="Book Antiqua"/>
                <w:lang w:val="en-GB" w:eastAsia="en-GB"/>
              </w:rPr>
              <w:t>G</w:t>
            </w:r>
          </w:p>
        </w:tc>
        <w:tc>
          <w:tcPr>
            <w:tcW w:w="704" w:type="pct"/>
          </w:tcPr>
          <w:p w14:paraId="3E37FD4E" w14:textId="77777777" w:rsidR="00557EDD" w:rsidRDefault="00000000">
            <w:pPr>
              <w:autoSpaceDE w:val="0"/>
              <w:autoSpaceDN w:val="0"/>
              <w:adjustRightInd w:val="0"/>
              <w:spacing w:line="360" w:lineRule="auto"/>
              <w:jc w:val="both"/>
              <w:rPr>
                <w:rFonts w:ascii="Book Antiqua" w:eastAsia="Cambria" w:hAnsi="Book Antiqua"/>
                <w:lang w:val="en-GB" w:eastAsia="en-GB"/>
              </w:rPr>
            </w:pPr>
            <w:r>
              <w:rPr>
                <w:rFonts w:ascii="Book Antiqua" w:eastAsia="Cambria" w:hAnsi="Book Antiqua"/>
                <w:lang w:val="en-GB" w:eastAsia="en-GB"/>
              </w:rPr>
              <w:t>23.8%</w:t>
            </w:r>
          </w:p>
        </w:tc>
        <w:tc>
          <w:tcPr>
            <w:tcW w:w="704" w:type="pct"/>
          </w:tcPr>
          <w:p w14:paraId="04FD78A6" w14:textId="77777777" w:rsidR="00557EDD" w:rsidRDefault="00000000">
            <w:pPr>
              <w:autoSpaceDE w:val="0"/>
              <w:autoSpaceDN w:val="0"/>
              <w:adjustRightInd w:val="0"/>
              <w:spacing w:line="360" w:lineRule="auto"/>
              <w:jc w:val="both"/>
              <w:rPr>
                <w:rFonts w:ascii="Book Antiqua" w:eastAsia="Cambria" w:hAnsi="Book Antiqua"/>
                <w:lang w:val="en-GB" w:eastAsia="en-GB"/>
              </w:rPr>
            </w:pPr>
            <w:r>
              <w:rPr>
                <w:rFonts w:ascii="Book Antiqua" w:eastAsia="Cambria" w:hAnsi="Book Antiqua"/>
                <w:lang w:val="en-GB" w:eastAsia="en-GB"/>
              </w:rPr>
              <w:t>25.5%</w:t>
            </w:r>
          </w:p>
        </w:tc>
        <w:tc>
          <w:tcPr>
            <w:tcW w:w="780" w:type="pct"/>
          </w:tcPr>
          <w:p w14:paraId="0B0A2D95" w14:textId="77777777" w:rsidR="00557EDD" w:rsidRDefault="00000000">
            <w:pPr>
              <w:autoSpaceDE w:val="0"/>
              <w:autoSpaceDN w:val="0"/>
              <w:adjustRightInd w:val="0"/>
              <w:spacing w:line="360" w:lineRule="auto"/>
              <w:jc w:val="both"/>
              <w:rPr>
                <w:rFonts w:ascii="Book Antiqua" w:eastAsia="Cambria" w:hAnsi="Book Antiqua"/>
                <w:lang w:val="en-GB" w:eastAsia="en-GB"/>
              </w:rPr>
            </w:pPr>
            <w:r>
              <w:rPr>
                <w:rFonts w:ascii="Book Antiqua" w:eastAsia="Cambria" w:hAnsi="Book Antiqua"/>
                <w:lang w:val="en-GB" w:eastAsia="en-GB"/>
              </w:rPr>
              <w:t>0.77</w:t>
            </w:r>
          </w:p>
        </w:tc>
      </w:tr>
    </w:tbl>
    <w:p w14:paraId="6BF58247" w14:textId="77777777" w:rsidR="00557EDD" w:rsidRDefault="00000000">
      <w:pPr>
        <w:autoSpaceDE w:val="0"/>
        <w:autoSpaceDN w:val="0"/>
        <w:adjustRightInd w:val="0"/>
        <w:spacing w:line="360" w:lineRule="auto"/>
        <w:jc w:val="both"/>
        <w:rPr>
          <w:rFonts w:ascii="Book Antiqua" w:eastAsia="Cambria" w:hAnsi="Book Antiqua"/>
          <w:lang w:val="en-GB" w:eastAsia="en-GB"/>
        </w:rPr>
      </w:pPr>
      <w:r>
        <w:rPr>
          <w:rFonts w:ascii="Book Antiqua" w:hAnsi="Book Antiqua" w:hint="eastAsia"/>
          <w:lang w:val="en-GB" w:eastAsia="zh-CN"/>
        </w:rPr>
        <w:t>SNP: S</w:t>
      </w:r>
      <w:r>
        <w:rPr>
          <w:rFonts w:ascii="Book Antiqua" w:hAnsi="Book Antiqua"/>
          <w:lang w:val="en-GB" w:eastAsia="zh-CN"/>
        </w:rPr>
        <w:t>ingle nucleotide polymorphism</w:t>
      </w:r>
      <w:r>
        <w:rPr>
          <w:rFonts w:ascii="Book Antiqua" w:hAnsi="Book Antiqua" w:hint="eastAsia"/>
          <w:lang w:val="en-GB" w:eastAsia="zh-CN"/>
        </w:rPr>
        <w:t xml:space="preserve">; </w:t>
      </w:r>
      <w:r>
        <w:rPr>
          <w:rFonts w:ascii="Book Antiqua" w:eastAsia="Cambria" w:hAnsi="Book Antiqua"/>
          <w:bCs/>
        </w:rPr>
        <w:t>PTPN2</w:t>
      </w:r>
      <w:r>
        <w:rPr>
          <w:rFonts w:ascii="Book Antiqua" w:hAnsi="Book Antiqua" w:hint="eastAsia"/>
          <w:bCs/>
          <w:lang w:eastAsia="zh-CN"/>
        </w:rPr>
        <w:t xml:space="preserve">: </w:t>
      </w:r>
      <w:r>
        <w:rPr>
          <w:rFonts w:ascii="Book Antiqua" w:hAnsi="Book Antiqua" w:hint="eastAsia"/>
          <w:lang w:val="en-GB" w:eastAsia="zh-CN"/>
        </w:rPr>
        <w:t>P</w:t>
      </w:r>
      <w:r>
        <w:rPr>
          <w:rFonts w:ascii="Book Antiqua" w:hAnsi="Book Antiqua"/>
          <w:lang w:val="en-GB" w:eastAsia="zh-CN"/>
        </w:rPr>
        <w:t>rotein tyrosine phosphate non-receptor type 2</w:t>
      </w:r>
      <w:r>
        <w:rPr>
          <w:rFonts w:ascii="Book Antiqua" w:hAnsi="Book Antiqua" w:hint="eastAsia"/>
          <w:lang w:val="en-GB" w:eastAsia="zh-CN"/>
        </w:rPr>
        <w:t>.</w:t>
      </w:r>
    </w:p>
    <w:p w14:paraId="4493DB5F" w14:textId="77777777" w:rsidR="00557EDD" w:rsidRDefault="00557EDD">
      <w:pPr>
        <w:autoSpaceDE w:val="0"/>
        <w:autoSpaceDN w:val="0"/>
        <w:adjustRightInd w:val="0"/>
        <w:spacing w:line="360" w:lineRule="auto"/>
        <w:jc w:val="both"/>
        <w:rPr>
          <w:rFonts w:ascii="Book Antiqua" w:eastAsia="Cambria" w:hAnsi="Book Antiqua"/>
          <w:lang w:val="en-GB" w:eastAsia="en-GB"/>
        </w:rPr>
      </w:pPr>
    </w:p>
    <w:p w14:paraId="7753B5D5" w14:textId="77777777" w:rsidR="00557EDD" w:rsidRDefault="00557EDD">
      <w:pPr>
        <w:autoSpaceDE w:val="0"/>
        <w:autoSpaceDN w:val="0"/>
        <w:adjustRightInd w:val="0"/>
        <w:spacing w:line="360" w:lineRule="auto"/>
        <w:jc w:val="both"/>
        <w:rPr>
          <w:rFonts w:ascii="Book Antiqua" w:eastAsia="Cambria" w:hAnsi="Book Antiqua"/>
          <w:lang w:val="en-GB" w:eastAsia="en-GB"/>
        </w:rPr>
      </w:pPr>
    </w:p>
    <w:p w14:paraId="6173A2EA" w14:textId="77777777" w:rsidR="00557EDD" w:rsidRDefault="00557EDD">
      <w:pPr>
        <w:autoSpaceDE w:val="0"/>
        <w:autoSpaceDN w:val="0"/>
        <w:adjustRightInd w:val="0"/>
        <w:spacing w:line="360" w:lineRule="auto"/>
        <w:jc w:val="both"/>
        <w:rPr>
          <w:rFonts w:ascii="Book Antiqua" w:eastAsia="Cambria" w:hAnsi="Book Antiqua"/>
          <w:lang w:val="en-GB" w:eastAsia="en-GB"/>
        </w:rPr>
      </w:pPr>
    </w:p>
    <w:p w14:paraId="2C3DD2A3" w14:textId="77777777" w:rsidR="00557EDD" w:rsidRDefault="00000000">
      <w:pPr>
        <w:rPr>
          <w:rFonts w:ascii="Book Antiqua" w:eastAsia="Cambria" w:hAnsi="Book Antiqua"/>
          <w:lang w:val="en-GB" w:eastAsia="en-GB"/>
        </w:rPr>
      </w:pPr>
      <w:r>
        <w:rPr>
          <w:rFonts w:ascii="Book Antiqua" w:eastAsia="Cambria" w:hAnsi="Book Antiqua"/>
          <w:lang w:val="en-GB" w:eastAsia="en-GB"/>
        </w:rPr>
        <w:br w:type="page"/>
      </w:r>
    </w:p>
    <w:p w14:paraId="5AC672B5" w14:textId="77777777" w:rsidR="00557EDD" w:rsidRDefault="00000000">
      <w:pPr>
        <w:spacing w:line="360" w:lineRule="auto"/>
        <w:jc w:val="both"/>
        <w:rPr>
          <w:rFonts w:ascii="Book Antiqua" w:hAnsi="Book Antiqua"/>
          <w:b/>
          <w:bCs/>
          <w:lang w:eastAsia="zh-CN"/>
        </w:rPr>
      </w:pPr>
      <w:r>
        <w:rPr>
          <w:rFonts w:ascii="Book Antiqua" w:eastAsia="Cambria" w:hAnsi="Book Antiqua"/>
          <w:b/>
          <w:bCs/>
        </w:rPr>
        <w:lastRenderedPageBreak/>
        <w:t>Table 4</w:t>
      </w:r>
      <w:r>
        <w:rPr>
          <w:rFonts w:ascii="Book Antiqua" w:hAnsi="Book Antiqua" w:hint="eastAsia"/>
          <w:b/>
          <w:bCs/>
          <w:lang w:eastAsia="zh-CN"/>
        </w:rPr>
        <w:t xml:space="preserve"> </w:t>
      </w:r>
      <w:r>
        <w:rPr>
          <w:rFonts w:ascii="Book Antiqua" w:eastAsia="Cambria" w:hAnsi="Book Antiqua"/>
          <w:b/>
          <w:bCs/>
        </w:rPr>
        <w:t xml:space="preserve">Association of </w:t>
      </w:r>
      <w:r>
        <w:rPr>
          <w:rFonts w:ascii="Book Antiqua" w:eastAsia="Cambria" w:hAnsi="Book Antiqua"/>
          <w:b/>
          <w:bCs/>
          <w:lang w:val="en-GB" w:eastAsia="en-GB"/>
        </w:rPr>
        <w:t xml:space="preserve">the single nucleotide polymorphisms in </w:t>
      </w:r>
      <w:r>
        <w:rPr>
          <w:rFonts w:ascii="Book Antiqua" w:hAnsi="Book Antiqua" w:hint="eastAsia"/>
          <w:b/>
          <w:bCs/>
          <w:lang w:val="en-GB" w:eastAsia="zh-CN"/>
        </w:rPr>
        <w:t>p</w:t>
      </w:r>
      <w:r>
        <w:rPr>
          <w:rFonts w:ascii="Book Antiqua" w:eastAsia="Cambria" w:hAnsi="Book Antiqua"/>
          <w:b/>
          <w:bCs/>
          <w:lang w:val="en-GB" w:eastAsia="en-GB"/>
        </w:rPr>
        <w:t>rotein tyrosine phosphate non-receptor type 2 gene with patient and disease characteristics</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1369"/>
        <w:gridCol w:w="1489"/>
        <w:gridCol w:w="1104"/>
        <w:gridCol w:w="816"/>
        <w:gridCol w:w="1361"/>
        <w:gridCol w:w="1104"/>
        <w:gridCol w:w="816"/>
      </w:tblGrid>
      <w:tr w:rsidR="00797A9C" w14:paraId="2436421C" w14:textId="77777777" w:rsidTr="00831FE0">
        <w:trPr>
          <w:trHeight w:val="522"/>
        </w:trPr>
        <w:tc>
          <w:tcPr>
            <w:tcW w:w="1425" w:type="pct"/>
            <w:gridSpan w:val="2"/>
            <w:vMerge w:val="restart"/>
            <w:tcBorders>
              <w:top w:val="single" w:sz="4" w:space="0" w:color="auto"/>
            </w:tcBorders>
          </w:tcPr>
          <w:p w14:paraId="0A2B6C23" w14:textId="77777777" w:rsidR="00797A9C" w:rsidRDefault="00797A9C" w:rsidP="001203EB">
            <w:pPr>
              <w:spacing w:line="360" w:lineRule="auto"/>
              <w:jc w:val="center"/>
              <w:rPr>
                <w:rFonts w:ascii="Book Antiqua" w:eastAsia="Cambria" w:hAnsi="Book Antiqua" w:cs="Cambria"/>
              </w:rPr>
            </w:pPr>
            <w:r>
              <w:rPr>
                <w:rFonts w:ascii="Book Antiqua" w:eastAsia="Cambria" w:hAnsi="Book Antiqua"/>
                <w:b/>
                <w:bCs/>
              </w:rPr>
              <w:t>Characteristic</w:t>
            </w:r>
          </w:p>
        </w:tc>
        <w:tc>
          <w:tcPr>
            <w:tcW w:w="795" w:type="pct"/>
            <w:tcBorders>
              <w:top w:val="single" w:sz="4" w:space="0" w:color="auto"/>
              <w:bottom w:val="single" w:sz="4" w:space="0" w:color="auto"/>
            </w:tcBorders>
          </w:tcPr>
          <w:p w14:paraId="3EE04126" w14:textId="77777777" w:rsidR="00797A9C" w:rsidRDefault="00797A9C">
            <w:pPr>
              <w:spacing w:line="360" w:lineRule="auto"/>
              <w:jc w:val="both"/>
              <w:rPr>
                <w:rFonts w:ascii="Book Antiqua" w:eastAsia="Cambria" w:hAnsi="Book Antiqua" w:cs="Cambria"/>
                <w:b/>
                <w:bCs/>
              </w:rPr>
            </w:pPr>
            <w:r>
              <w:rPr>
                <w:rFonts w:ascii="Book Antiqua" w:eastAsia="Cambria" w:hAnsi="Book Antiqua"/>
                <w:b/>
                <w:bCs/>
              </w:rPr>
              <w:t>rs7234029</w:t>
            </w:r>
          </w:p>
        </w:tc>
        <w:tc>
          <w:tcPr>
            <w:tcW w:w="590" w:type="pct"/>
            <w:tcBorders>
              <w:top w:val="single" w:sz="4" w:space="0" w:color="auto"/>
              <w:bottom w:val="single" w:sz="4" w:space="0" w:color="auto"/>
            </w:tcBorders>
          </w:tcPr>
          <w:p w14:paraId="3C301EC1" w14:textId="77777777" w:rsidR="00797A9C" w:rsidRDefault="00797A9C">
            <w:pPr>
              <w:spacing w:line="360" w:lineRule="auto"/>
              <w:jc w:val="both"/>
              <w:rPr>
                <w:rFonts w:ascii="Book Antiqua" w:eastAsia="Cambria" w:hAnsi="Book Antiqua" w:cs="Cambria"/>
                <w:b/>
                <w:bCs/>
              </w:rPr>
            </w:pPr>
          </w:p>
        </w:tc>
        <w:tc>
          <w:tcPr>
            <w:tcW w:w="436" w:type="pct"/>
            <w:tcBorders>
              <w:top w:val="single" w:sz="4" w:space="0" w:color="auto"/>
              <w:bottom w:val="single" w:sz="4" w:space="0" w:color="auto"/>
            </w:tcBorders>
          </w:tcPr>
          <w:p w14:paraId="1D18A4B0" w14:textId="77777777" w:rsidR="00797A9C" w:rsidRDefault="00797A9C">
            <w:pPr>
              <w:spacing w:line="360" w:lineRule="auto"/>
              <w:jc w:val="both"/>
              <w:rPr>
                <w:rFonts w:ascii="Book Antiqua" w:eastAsia="Cambria" w:hAnsi="Book Antiqua" w:cs="Cambria"/>
                <w:b/>
                <w:bCs/>
              </w:rPr>
            </w:pPr>
          </w:p>
        </w:tc>
        <w:tc>
          <w:tcPr>
            <w:tcW w:w="727" w:type="pct"/>
            <w:tcBorders>
              <w:top w:val="single" w:sz="4" w:space="0" w:color="auto"/>
              <w:bottom w:val="single" w:sz="4" w:space="0" w:color="auto"/>
            </w:tcBorders>
          </w:tcPr>
          <w:p w14:paraId="5572ADDB" w14:textId="77777777" w:rsidR="00797A9C" w:rsidRDefault="00797A9C">
            <w:pPr>
              <w:spacing w:line="360" w:lineRule="auto"/>
              <w:jc w:val="both"/>
              <w:rPr>
                <w:rFonts w:ascii="Book Antiqua" w:eastAsia="Cambria" w:hAnsi="Book Antiqua" w:cs="Cambria"/>
                <w:b/>
                <w:bCs/>
              </w:rPr>
            </w:pPr>
            <w:r>
              <w:rPr>
                <w:rFonts w:ascii="Book Antiqua" w:eastAsia="Cambria" w:hAnsi="Book Antiqua"/>
                <w:b/>
                <w:bCs/>
              </w:rPr>
              <w:t>rs2542151</w:t>
            </w:r>
          </w:p>
        </w:tc>
        <w:tc>
          <w:tcPr>
            <w:tcW w:w="590" w:type="pct"/>
            <w:tcBorders>
              <w:top w:val="single" w:sz="4" w:space="0" w:color="auto"/>
              <w:bottom w:val="single" w:sz="4" w:space="0" w:color="auto"/>
            </w:tcBorders>
          </w:tcPr>
          <w:p w14:paraId="2B84940F" w14:textId="77777777" w:rsidR="00797A9C" w:rsidRDefault="00797A9C">
            <w:pPr>
              <w:spacing w:line="360" w:lineRule="auto"/>
              <w:jc w:val="both"/>
              <w:rPr>
                <w:rFonts w:ascii="Book Antiqua" w:eastAsia="Cambria" w:hAnsi="Book Antiqua" w:cs="Cambria"/>
                <w:b/>
                <w:bCs/>
              </w:rPr>
            </w:pPr>
          </w:p>
        </w:tc>
        <w:tc>
          <w:tcPr>
            <w:tcW w:w="436" w:type="pct"/>
            <w:tcBorders>
              <w:top w:val="single" w:sz="4" w:space="0" w:color="auto"/>
              <w:bottom w:val="single" w:sz="4" w:space="0" w:color="auto"/>
            </w:tcBorders>
          </w:tcPr>
          <w:p w14:paraId="1830D3B3" w14:textId="77777777" w:rsidR="00797A9C" w:rsidRDefault="00797A9C">
            <w:pPr>
              <w:spacing w:line="360" w:lineRule="auto"/>
              <w:jc w:val="both"/>
              <w:rPr>
                <w:rFonts w:ascii="Book Antiqua" w:eastAsia="Cambria" w:hAnsi="Book Antiqua" w:cs="Cambria"/>
                <w:b/>
                <w:bCs/>
              </w:rPr>
            </w:pPr>
          </w:p>
        </w:tc>
      </w:tr>
      <w:tr w:rsidR="00797A9C" w14:paraId="0DBEB55D" w14:textId="77777777" w:rsidTr="00831FE0">
        <w:trPr>
          <w:trHeight w:val="522"/>
        </w:trPr>
        <w:tc>
          <w:tcPr>
            <w:tcW w:w="1425" w:type="pct"/>
            <w:gridSpan w:val="2"/>
            <w:vMerge/>
            <w:tcBorders>
              <w:bottom w:val="single" w:sz="4" w:space="0" w:color="auto"/>
            </w:tcBorders>
          </w:tcPr>
          <w:p w14:paraId="5092FBF8" w14:textId="77777777" w:rsidR="00797A9C" w:rsidRDefault="00797A9C">
            <w:pPr>
              <w:spacing w:line="360" w:lineRule="auto"/>
              <w:jc w:val="both"/>
              <w:rPr>
                <w:rFonts w:ascii="Book Antiqua" w:eastAsia="Cambria" w:hAnsi="Book Antiqua" w:cs="Cambria"/>
              </w:rPr>
            </w:pPr>
          </w:p>
        </w:tc>
        <w:tc>
          <w:tcPr>
            <w:tcW w:w="795" w:type="pct"/>
            <w:tcBorders>
              <w:top w:val="single" w:sz="4" w:space="0" w:color="auto"/>
              <w:bottom w:val="single" w:sz="4" w:space="0" w:color="auto"/>
            </w:tcBorders>
          </w:tcPr>
          <w:p w14:paraId="31D94418" w14:textId="77777777" w:rsidR="00797A9C" w:rsidRDefault="00797A9C">
            <w:pPr>
              <w:spacing w:line="360" w:lineRule="auto"/>
              <w:jc w:val="both"/>
              <w:rPr>
                <w:rFonts w:ascii="Book Antiqua" w:eastAsia="Cambria" w:hAnsi="Book Antiqua" w:cs="Cambria"/>
                <w:b/>
                <w:bCs/>
              </w:rPr>
            </w:pPr>
            <w:r>
              <w:rPr>
                <w:rFonts w:ascii="Book Antiqua" w:eastAsia="Cambria" w:hAnsi="Book Antiqua" w:cs="Cambria"/>
                <w:b/>
                <w:bCs/>
              </w:rPr>
              <w:t>Variant (n=38, GG or GA)</w:t>
            </w:r>
          </w:p>
        </w:tc>
        <w:tc>
          <w:tcPr>
            <w:tcW w:w="590" w:type="pct"/>
            <w:tcBorders>
              <w:top w:val="single" w:sz="4" w:space="0" w:color="auto"/>
              <w:bottom w:val="single" w:sz="4" w:space="0" w:color="auto"/>
            </w:tcBorders>
          </w:tcPr>
          <w:p w14:paraId="77160EE1" w14:textId="77777777" w:rsidR="00797A9C" w:rsidRDefault="00797A9C">
            <w:pPr>
              <w:spacing w:line="360" w:lineRule="auto"/>
              <w:jc w:val="both"/>
              <w:rPr>
                <w:rFonts w:ascii="Book Antiqua" w:eastAsia="Cambria" w:hAnsi="Book Antiqua" w:cs="Cambria"/>
                <w:b/>
                <w:bCs/>
              </w:rPr>
            </w:pPr>
            <w:r>
              <w:rPr>
                <w:rFonts w:ascii="Book Antiqua" w:eastAsia="Cambria" w:hAnsi="Book Antiqua" w:cs="Cambria"/>
                <w:b/>
                <w:bCs/>
              </w:rPr>
              <w:t>Wild type (n=70, AA)</w:t>
            </w:r>
          </w:p>
        </w:tc>
        <w:tc>
          <w:tcPr>
            <w:tcW w:w="436" w:type="pct"/>
            <w:tcBorders>
              <w:top w:val="single" w:sz="4" w:space="0" w:color="auto"/>
              <w:bottom w:val="single" w:sz="4" w:space="0" w:color="auto"/>
            </w:tcBorders>
          </w:tcPr>
          <w:p w14:paraId="2445B67D" w14:textId="77777777" w:rsidR="00797A9C" w:rsidRDefault="00797A9C">
            <w:pPr>
              <w:spacing w:line="360" w:lineRule="auto"/>
              <w:jc w:val="both"/>
              <w:rPr>
                <w:rFonts w:ascii="Book Antiqua" w:eastAsia="Cambria" w:hAnsi="Book Antiqua" w:cs="Cambria"/>
                <w:b/>
                <w:bCs/>
              </w:rPr>
            </w:pPr>
            <w:r>
              <w:rPr>
                <w:rFonts w:ascii="Book Antiqua" w:eastAsia="Cambria" w:hAnsi="Book Antiqua" w:cs="Cambria"/>
                <w:b/>
                <w:bCs/>
                <w:i/>
                <w:iCs/>
              </w:rPr>
              <w:t xml:space="preserve">P </w:t>
            </w:r>
            <w:r>
              <w:rPr>
                <w:rFonts w:ascii="Book Antiqua" w:eastAsia="Cambria" w:hAnsi="Book Antiqua" w:cs="Cambria"/>
                <w:b/>
                <w:bCs/>
              </w:rPr>
              <w:t>value</w:t>
            </w:r>
          </w:p>
        </w:tc>
        <w:tc>
          <w:tcPr>
            <w:tcW w:w="727" w:type="pct"/>
            <w:tcBorders>
              <w:top w:val="single" w:sz="4" w:space="0" w:color="auto"/>
              <w:bottom w:val="single" w:sz="4" w:space="0" w:color="auto"/>
            </w:tcBorders>
          </w:tcPr>
          <w:p w14:paraId="2176B0DB" w14:textId="77777777" w:rsidR="00797A9C" w:rsidRDefault="00797A9C">
            <w:pPr>
              <w:spacing w:line="360" w:lineRule="auto"/>
              <w:jc w:val="both"/>
              <w:rPr>
                <w:rFonts w:ascii="Book Antiqua" w:eastAsia="Cambria" w:hAnsi="Book Antiqua" w:cs="Cambria"/>
                <w:b/>
                <w:bCs/>
              </w:rPr>
            </w:pPr>
            <w:r>
              <w:rPr>
                <w:rFonts w:ascii="Book Antiqua" w:eastAsia="Cambria" w:hAnsi="Book Antiqua" w:cs="Cambria"/>
                <w:b/>
                <w:bCs/>
              </w:rPr>
              <w:t>Variant (n=44, GG or GT)</w:t>
            </w:r>
          </w:p>
        </w:tc>
        <w:tc>
          <w:tcPr>
            <w:tcW w:w="590" w:type="pct"/>
            <w:tcBorders>
              <w:top w:val="single" w:sz="4" w:space="0" w:color="auto"/>
              <w:bottom w:val="single" w:sz="4" w:space="0" w:color="auto"/>
            </w:tcBorders>
          </w:tcPr>
          <w:p w14:paraId="616B740F" w14:textId="77777777" w:rsidR="00797A9C" w:rsidRDefault="00797A9C">
            <w:pPr>
              <w:spacing w:line="360" w:lineRule="auto"/>
              <w:jc w:val="both"/>
              <w:rPr>
                <w:rFonts w:ascii="Book Antiqua" w:eastAsia="Cambria" w:hAnsi="Book Antiqua" w:cs="Cambria"/>
                <w:b/>
                <w:bCs/>
              </w:rPr>
            </w:pPr>
            <w:r>
              <w:rPr>
                <w:rFonts w:ascii="Book Antiqua" w:eastAsia="Cambria" w:hAnsi="Book Antiqua" w:cs="Cambria"/>
                <w:b/>
                <w:bCs/>
              </w:rPr>
              <w:t>Wild type (n=57, TT)</w:t>
            </w:r>
          </w:p>
        </w:tc>
        <w:tc>
          <w:tcPr>
            <w:tcW w:w="436" w:type="pct"/>
            <w:tcBorders>
              <w:top w:val="single" w:sz="4" w:space="0" w:color="auto"/>
              <w:bottom w:val="single" w:sz="4" w:space="0" w:color="auto"/>
            </w:tcBorders>
          </w:tcPr>
          <w:p w14:paraId="72504D9F" w14:textId="77777777" w:rsidR="00797A9C" w:rsidRDefault="00797A9C">
            <w:pPr>
              <w:spacing w:line="360" w:lineRule="auto"/>
              <w:jc w:val="both"/>
              <w:rPr>
                <w:rFonts w:ascii="Book Antiqua" w:eastAsia="Cambria" w:hAnsi="Book Antiqua" w:cs="Cambria"/>
                <w:b/>
                <w:bCs/>
              </w:rPr>
            </w:pPr>
            <w:r>
              <w:rPr>
                <w:rFonts w:ascii="Book Antiqua" w:eastAsia="Cambria" w:hAnsi="Book Antiqua" w:cs="Cambria"/>
                <w:b/>
                <w:bCs/>
                <w:i/>
              </w:rPr>
              <w:t>P</w:t>
            </w:r>
            <w:r>
              <w:rPr>
                <w:rFonts w:ascii="Book Antiqua" w:eastAsia="Cambria" w:hAnsi="Book Antiqua" w:cs="Cambria"/>
                <w:b/>
                <w:bCs/>
              </w:rPr>
              <w:t xml:space="preserve"> value</w:t>
            </w:r>
          </w:p>
        </w:tc>
      </w:tr>
      <w:tr w:rsidR="00557EDD" w14:paraId="2745DAAE" w14:textId="77777777" w:rsidTr="00797A9C">
        <w:trPr>
          <w:trHeight w:val="350"/>
        </w:trPr>
        <w:tc>
          <w:tcPr>
            <w:tcW w:w="694" w:type="pct"/>
            <w:vMerge w:val="restart"/>
            <w:tcBorders>
              <w:top w:val="single" w:sz="4" w:space="0" w:color="auto"/>
            </w:tcBorders>
          </w:tcPr>
          <w:p w14:paraId="68407A23" w14:textId="77777777" w:rsidR="00557EDD" w:rsidRDefault="00000000">
            <w:pPr>
              <w:spacing w:line="360" w:lineRule="auto"/>
              <w:jc w:val="both"/>
              <w:rPr>
                <w:rFonts w:ascii="Book Antiqua" w:eastAsia="Cambria" w:hAnsi="Book Antiqua"/>
                <w:bCs/>
              </w:rPr>
            </w:pPr>
            <w:r>
              <w:rPr>
                <w:rFonts w:ascii="Book Antiqua" w:eastAsia="Cambria" w:hAnsi="Book Antiqua"/>
                <w:bCs/>
              </w:rPr>
              <w:t>Sex</w:t>
            </w:r>
          </w:p>
        </w:tc>
        <w:tc>
          <w:tcPr>
            <w:tcW w:w="731" w:type="pct"/>
            <w:tcBorders>
              <w:top w:val="single" w:sz="4" w:space="0" w:color="auto"/>
            </w:tcBorders>
          </w:tcPr>
          <w:p w14:paraId="0C9A8A41" w14:textId="77777777" w:rsidR="00557EDD" w:rsidRDefault="00000000">
            <w:pPr>
              <w:spacing w:line="360" w:lineRule="auto"/>
              <w:jc w:val="both"/>
              <w:rPr>
                <w:rFonts w:ascii="Book Antiqua" w:eastAsia="Cambria" w:hAnsi="Book Antiqua" w:cs="Cambria"/>
                <w:iCs/>
              </w:rPr>
            </w:pPr>
            <w:r>
              <w:rPr>
                <w:rFonts w:ascii="Book Antiqua" w:eastAsia="Cambria" w:hAnsi="Book Antiqua" w:cs="Cambria"/>
                <w:iCs/>
              </w:rPr>
              <w:t>Female</w:t>
            </w:r>
          </w:p>
        </w:tc>
        <w:tc>
          <w:tcPr>
            <w:tcW w:w="795" w:type="pct"/>
            <w:tcBorders>
              <w:top w:val="single" w:sz="4" w:space="0" w:color="auto"/>
            </w:tcBorders>
          </w:tcPr>
          <w:p w14:paraId="1FB6848E"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37%</w:t>
            </w:r>
          </w:p>
        </w:tc>
        <w:tc>
          <w:tcPr>
            <w:tcW w:w="590" w:type="pct"/>
            <w:tcBorders>
              <w:top w:val="single" w:sz="4" w:space="0" w:color="auto"/>
            </w:tcBorders>
          </w:tcPr>
          <w:p w14:paraId="3808041E"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63%</w:t>
            </w:r>
          </w:p>
        </w:tc>
        <w:tc>
          <w:tcPr>
            <w:tcW w:w="436" w:type="pct"/>
            <w:vMerge w:val="restart"/>
            <w:tcBorders>
              <w:top w:val="single" w:sz="4" w:space="0" w:color="auto"/>
            </w:tcBorders>
          </w:tcPr>
          <w:p w14:paraId="2692C625"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0.74</w:t>
            </w:r>
          </w:p>
        </w:tc>
        <w:tc>
          <w:tcPr>
            <w:tcW w:w="727" w:type="pct"/>
            <w:tcBorders>
              <w:top w:val="single" w:sz="4" w:space="0" w:color="auto"/>
            </w:tcBorders>
          </w:tcPr>
          <w:p w14:paraId="67C84BB6"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38.1%</w:t>
            </w:r>
          </w:p>
        </w:tc>
        <w:tc>
          <w:tcPr>
            <w:tcW w:w="590" w:type="pct"/>
            <w:tcBorders>
              <w:top w:val="single" w:sz="4" w:space="0" w:color="auto"/>
            </w:tcBorders>
          </w:tcPr>
          <w:p w14:paraId="0A0D6FE5"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61.9%</w:t>
            </w:r>
          </w:p>
        </w:tc>
        <w:tc>
          <w:tcPr>
            <w:tcW w:w="436" w:type="pct"/>
            <w:vMerge w:val="restart"/>
            <w:tcBorders>
              <w:top w:val="single" w:sz="4" w:space="0" w:color="auto"/>
            </w:tcBorders>
          </w:tcPr>
          <w:p w14:paraId="408A5173"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0.46</w:t>
            </w:r>
          </w:p>
          <w:p w14:paraId="15637788" w14:textId="77777777" w:rsidR="00557EDD" w:rsidRDefault="00557EDD">
            <w:pPr>
              <w:spacing w:line="360" w:lineRule="auto"/>
              <w:jc w:val="both"/>
              <w:rPr>
                <w:rFonts w:ascii="Book Antiqua" w:eastAsia="Cambria" w:hAnsi="Book Antiqua" w:cs="Cambria"/>
              </w:rPr>
            </w:pPr>
          </w:p>
          <w:p w14:paraId="23ED4C36" w14:textId="77777777" w:rsidR="00557EDD" w:rsidRDefault="00557EDD">
            <w:pPr>
              <w:spacing w:line="360" w:lineRule="auto"/>
              <w:jc w:val="both"/>
              <w:rPr>
                <w:rFonts w:ascii="Book Antiqua" w:eastAsia="Cambria" w:hAnsi="Book Antiqua" w:cs="Cambria"/>
              </w:rPr>
            </w:pPr>
          </w:p>
          <w:p w14:paraId="6191891C" w14:textId="77777777" w:rsidR="00557EDD" w:rsidRDefault="00557EDD">
            <w:pPr>
              <w:spacing w:line="360" w:lineRule="auto"/>
              <w:jc w:val="both"/>
              <w:rPr>
                <w:rFonts w:ascii="Book Antiqua" w:eastAsia="Cambria" w:hAnsi="Book Antiqua" w:cs="Cambria"/>
              </w:rPr>
            </w:pPr>
          </w:p>
        </w:tc>
      </w:tr>
      <w:tr w:rsidR="00557EDD" w14:paraId="49723478" w14:textId="77777777" w:rsidTr="00797A9C">
        <w:trPr>
          <w:trHeight w:val="341"/>
        </w:trPr>
        <w:tc>
          <w:tcPr>
            <w:tcW w:w="694" w:type="pct"/>
            <w:vMerge/>
          </w:tcPr>
          <w:p w14:paraId="3DE30114" w14:textId="77777777" w:rsidR="00557EDD" w:rsidRDefault="00557EDD">
            <w:pPr>
              <w:spacing w:line="360" w:lineRule="auto"/>
              <w:jc w:val="both"/>
              <w:rPr>
                <w:rFonts w:ascii="Book Antiqua" w:eastAsia="Cambria" w:hAnsi="Book Antiqua"/>
                <w:bCs/>
              </w:rPr>
            </w:pPr>
          </w:p>
        </w:tc>
        <w:tc>
          <w:tcPr>
            <w:tcW w:w="731" w:type="pct"/>
          </w:tcPr>
          <w:p w14:paraId="48AD3B20" w14:textId="77777777" w:rsidR="00557EDD" w:rsidRDefault="00000000">
            <w:pPr>
              <w:spacing w:line="360" w:lineRule="auto"/>
              <w:jc w:val="both"/>
              <w:rPr>
                <w:rFonts w:ascii="Book Antiqua" w:eastAsia="Cambria" w:hAnsi="Book Antiqua" w:cs="Cambria"/>
                <w:iCs/>
              </w:rPr>
            </w:pPr>
            <w:r>
              <w:rPr>
                <w:rFonts w:ascii="Book Antiqua" w:eastAsia="Cambria" w:hAnsi="Book Antiqua" w:cs="Cambria"/>
                <w:iCs/>
              </w:rPr>
              <w:t>Male</w:t>
            </w:r>
          </w:p>
        </w:tc>
        <w:tc>
          <w:tcPr>
            <w:tcW w:w="795" w:type="pct"/>
          </w:tcPr>
          <w:p w14:paraId="38C212D1"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 xml:space="preserve">33.9% </w:t>
            </w:r>
          </w:p>
        </w:tc>
        <w:tc>
          <w:tcPr>
            <w:tcW w:w="590" w:type="pct"/>
          </w:tcPr>
          <w:p w14:paraId="0858ADC0"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66.1%</w:t>
            </w:r>
          </w:p>
        </w:tc>
        <w:tc>
          <w:tcPr>
            <w:tcW w:w="436" w:type="pct"/>
            <w:vMerge/>
          </w:tcPr>
          <w:p w14:paraId="4D0E5FB6" w14:textId="77777777" w:rsidR="00557EDD" w:rsidRDefault="00557EDD">
            <w:pPr>
              <w:spacing w:line="360" w:lineRule="auto"/>
              <w:jc w:val="both"/>
              <w:rPr>
                <w:rFonts w:ascii="Book Antiqua" w:eastAsia="Cambria" w:hAnsi="Book Antiqua" w:cs="Cambria"/>
              </w:rPr>
            </w:pPr>
          </w:p>
        </w:tc>
        <w:tc>
          <w:tcPr>
            <w:tcW w:w="727" w:type="pct"/>
          </w:tcPr>
          <w:p w14:paraId="3B7AB577"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47.5%</w:t>
            </w:r>
          </w:p>
        </w:tc>
        <w:tc>
          <w:tcPr>
            <w:tcW w:w="590" w:type="pct"/>
          </w:tcPr>
          <w:p w14:paraId="6D9062BB"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52.5%</w:t>
            </w:r>
          </w:p>
        </w:tc>
        <w:tc>
          <w:tcPr>
            <w:tcW w:w="436" w:type="pct"/>
            <w:vMerge/>
          </w:tcPr>
          <w:p w14:paraId="57288B3B" w14:textId="77777777" w:rsidR="00557EDD" w:rsidRDefault="00557EDD">
            <w:pPr>
              <w:spacing w:line="360" w:lineRule="auto"/>
              <w:jc w:val="both"/>
              <w:rPr>
                <w:rFonts w:ascii="Book Antiqua" w:eastAsia="Cambria" w:hAnsi="Book Antiqua" w:cs="Cambria"/>
              </w:rPr>
            </w:pPr>
          </w:p>
        </w:tc>
      </w:tr>
      <w:tr w:rsidR="00557EDD" w14:paraId="62C201BB" w14:textId="77777777" w:rsidTr="00797A9C">
        <w:trPr>
          <w:trHeight w:val="371"/>
        </w:trPr>
        <w:tc>
          <w:tcPr>
            <w:tcW w:w="694" w:type="pct"/>
            <w:vMerge w:val="restart"/>
          </w:tcPr>
          <w:p w14:paraId="3D53B7DC" w14:textId="77777777" w:rsidR="00557EDD" w:rsidRDefault="00000000">
            <w:pPr>
              <w:spacing w:line="360" w:lineRule="auto"/>
              <w:jc w:val="both"/>
              <w:rPr>
                <w:rFonts w:ascii="Book Antiqua" w:eastAsia="Cambria" w:hAnsi="Book Antiqua"/>
                <w:bCs/>
              </w:rPr>
            </w:pPr>
            <w:r>
              <w:rPr>
                <w:rFonts w:ascii="Book Antiqua" w:eastAsia="Cambria" w:hAnsi="Book Antiqua"/>
                <w:bCs/>
              </w:rPr>
              <w:t>Age at onset of illness (yr)</w:t>
            </w:r>
          </w:p>
        </w:tc>
        <w:tc>
          <w:tcPr>
            <w:tcW w:w="731" w:type="pct"/>
          </w:tcPr>
          <w:p w14:paraId="4FC14BB6" w14:textId="77777777" w:rsidR="00557EDD" w:rsidRDefault="00000000">
            <w:pPr>
              <w:spacing w:line="360" w:lineRule="auto"/>
              <w:jc w:val="both"/>
              <w:rPr>
                <w:rFonts w:ascii="Book Antiqua" w:eastAsia="Cambria" w:hAnsi="Book Antiqua" w:cs="Cambria"/>
                <w:iCs/>
              </w:rPr>
            </w:pPr>
            <w:r>
              <w:rPr>
                <w:rFonts w:ascii="Book Antiqua" w:eastAsia="Cambria" w:hAnsi="Book Antiqua" w:cs="Cambria"/>
                <w:iCs/>
              </w:rPr>
              <w:t>Up to 40 y</w:t>
            </w:r>
            <w:r>
              <w:rPr>
                <w:rFonts w:ascii="Book Antiqua" w:hAnsi="Book Antiqua" w:cs="Cambria" w:hint="eastAsia"/>
                <w:iCs/>
                <w:lang w:eastAsia="zh-CN"/>
              </w:rPr>
              <w:t>r</w:t>
            </w:r>
            <w:r>
              <w:rPr>
                <w:rFonts w:ascii="Book Antiqua" w:eastAsia="Cambria" w:hAnsi="Book Antiqua" w:cs="Cambria"/>
                <w:iCs/>
              </w:rPr>
              <w:t xml:space="preserve"> </w:t>
            </w:r>
          </w:p>
        </w:tc>
        <w:tc>
          <w:tcPr>
            <w:tcW w:w="795" w:type="pct"/>
          </w:tcPr>
          <w:p w14:paraId="45826852"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39%</w:t>
            </w:r>
          </w:p>
        </w:tc>
        <w:tc>
          <w:tcPr>
            <w:tcW w:w="590" w:type="pct"/>
          </w:tcPr>
          <w:p w14:paraId="36E8FE83"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61%</w:t>
            </w:r>
          </w:p>
        </w:tc>
        <w:tc>
          <w:tcPr>
            <w:tcW w:w="436" w:type="pct"/>
            <w:vMerge w:val="restart"/>
          </w:tcPr>
          <w:p w14:paraId="2378B092"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0.21</w:t>
            </w:r>
          </w:p>
        </w:tc>
        <w:tc>
          <w:tcPr>
            <w:tcW w:w="727" w:type="pct"/>
          </w:tcPr>
          <w:p w14:paraId="681AA7BB"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43.4%</w:t>
            </w:r>
          </w:p>
        </w:tc>
        <w:tc>
          <w:tcPr>
            <w:tcW w:w="590" w:type="pct"/>
          </w:tcPr>
          <w:p w14:paraId="61A190D7"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56.6%</w:t>
            </w:r>
          </w:p>
        </w:tc>
        <w:tc>
          <w:tcPr>
            <w:tcW w:w="436" w:type="pct"/>
            <w:vMerge w:val="restart"/>
          </w:tcPr>
          <w:p w14:paraId="0E3E7521"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0.96</w:t>
            </w:r>
          </w:p>
          <w:p w14:paraId="0D20317B" w14:textId="77777777" w:rsidR="00557EDD" w:rsidRDefault="00557EDD">
            <w:pPr>
              <w:spacing w:line="360" w:lineRule="auto"/>
              <w:jc w:val="both"/>
              <w:rPr>
                <w:rFonts w:ascii="Book Antiqua" w:eastAsia="Cambria" w:hAnsi="Book Antiqua" w:cs="Cambria"/>
              </w:rPr>
            </w:pPr>
          </w:p>
          <w:p w14:paraId="271701E5" w14:textId="77777777" w:rsidR="00557EDD" w:rsidRDefault="00557EDD">
            <w:pPr>
              <w:spacing w:line="360" w:lineRule="auto"/>
              <w:jc w:val="both"/>
              <w:rPr>
                <w:rFonts w:ascii="Book Antiqua" w:eastAsia="Cambria" w:hAnsi="Book Antiqua" w:cs="Cambria"/>
              </w:rPr>
            </w:pPr>
          </w:p>
          <w:p w14:paraId="38B0693C" w14:textId="77777777" w:rsidR="00557EDD" w:rsidRDefault="00557EDD">
            <w:pPr>
              <w:spacing w:line="360" w:lineRule="auto"/>
              <w:jc w:val="both"/>
              <w:rPr>
                <w:rFonts w:ascii="Book Antiqua" w:eastAsia="Cambria" w:hAnsi="Book Antiqua" w:cs="Cambria"/>
              </w:rPr>
            </w:pPr>
          </w:p>
        </w:tc>
      </w:tr>
      <w:tr w:rsidR="00557EDD" w14:paraId="3B7AC898" w14:textId="77777777" w:rsidTr="00797A9C">
        <w:trPr>
          <w:trHeight w:val="169"/>
        </w:trPr>
        <w:tc>
          <w:tcPr>
            <w:tcW w:w="694" w:type="pct"/>
            <w:vMerge/>
          </w:tcPr>
          <w:p w14:paraId="47C94218" w14:textId="77777777" w:rsidR="00557EDD" w:rsidRDefault="00557EDD">
            <w:pPr>
              <w:spacing w:line="360" w:lineRule="auto"/>
              <w:jc w:val="both"/>
              <w:rPr>
                <w:rFonts w:ascii="Book Antiqua" w:eastAsia="Cambria" w:hAnsi="Book Antiqua"/>
                <w:bCs/>
              </w:rPr>
            </w:pPr>
          </w:p>
        </w:tc>
        <w:tc>
          <w:tcPr>
            <w:tcW w:w="731" w:type="pct"/>
          </w:tcPr>
          <w:p w14:paraId="0EF9606C" w14:textId="77777777" w:rsidR="00557EDD" w:rsidRDefault="00000000">
            <w:pPr>
              <w:spacing w:line="360" w:lineRule="auto"/>
              <w:jc w:val="both"/>
              <w:rPr>
                <w:rFonts w:ascii="Book Antiqua" w:eastAsia="Cambria" w:hAnsi="Book Antiqua" w:cs="Cambria"/>
                <w:iCs/>
              </w:rPr>
            </w:pPr>
            <w:r>
              <w:rPr>
                <w:rFonts w:ascii="Book Antiqua" w:eastAsia="Cambria" w:hAnsi="Book Antiqua" w:cs="Cambria"/>
                <w:iCs/>
              </w:rPr>
              <w:t xml:space="preserve">&gt; 40 </w:t>
            </w:r>
          </w:p>
        </w:tc>
        <w:tc>
          <w:tcPr>
            <w:tcW w:w="795" w:type="pct"/>
          </w:tcPr>
          <w:p w14:paraId="0FF4D093"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23.1%</w:t>
            </w:r>
          </w:p>
        </w:tc>
        <w:tc>
          <w:tcPr>
            <w:tcW w:w="590" w:type="pct"/>
          </w:tcPr>
          <w:p w14:paraId="3DF259DD"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76.9%</w:t>
            </w:r>
          </w:p>
        </w:tc>
        <w:tc>
          <w:tcPr>
            <w:tcW w:w="436" w:type="pct"/>
            <w:vMerge/>
          </w:tcPr>
          <w:p w14:paraId="156E518C" w14:textId="77777777" w:rsidR="00557EDD" w:rsidRDefault="00557EDD">
            <w:pPr>
              <w:spacing w:line="360" w:lineRule="auto"/>
              <w:jc w:val="both"/>
              <w:rPr>
                <w:rFonts w:ascii="Book Antiqua" w:eastAsia="Cambria" w:hAnsi="Book Antiqua" w:cs="Cambria"/>
              </w:rPr>
            </w:pPr>
          </w:p>
        </w:tc>
        <w:tc>
          <w:tcPr>
            <w:tcW w:w="727" w:type="pct"/>
          </w:tcPr>
          <w:p w14:paraId="443B2EAB"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44%</w:t>
            </w:r>
          </w:p>
        </w:tc>
        <w:tc>
          <w:tcPr>
            <w:tcW w:w="590" w:type="pct"/>
          </w:tcPr>
          <w:p w14:paraId="2D7A228D"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56%</w:t>
            </w:r>
          </w:p>
        </w:tc>
        <w:tc>
          <w:tcPr>
            <w:tcW w:w="436" w:type="pct"/>
            <w:vMerge/>
          </w:tcPr>
          <w:p w14:paraId="418C3930" w14:textId="77777777" w:rsidR="00557EDD" w:rsidRDefault="00557EDD">
            <w:pPr>
              <w:spacing w:line="360" w:lineRule="auto"/>
              <w:jc w:val="both"/>
              <w:rPr>
                <w:rFonts w:ascii="Book Antiqua" w:eastAsia="Cambria" w:hAnsi="Book Antiqua" w:cs="Cambria"/>
              </w:rPr>
            </w:pPr>
          </w:p>
        </w:tc>
      </w:tr>
      <w:tr w:rsidR="00557EDD" w14:paraId="47E974D4" w14:textId="77777777" w:rsidTr="00797A9C">
        <w:trPr>
          <w:trHeight w:val="169"/>
        </w:trPr>
        <w:tc>
          <w:tcPr>
            <w:tcW w:w="694" w:type="pct"/>
            <w:vMerge w:val="restart"/>
          </w:tcPr>
          <w:p w14:paraId="706E471B" w14:textId="77777777" w:rsidR="00557EDD" w:rsidRDefault="00000000">
            <w:pPr>
              <w:spacing w:line="360" w:lineRule="auto"/>
              <w:jc w:val="both"/>
              <w:rPr>
                <w:rFonts w:ascii="Book Antiqua" w:eastAsia="Cambria" w:hAnsi="Book Antiqua"/>
                <w:bCs/>
              </w:rPr>
            </w:pPr>
            <w:r>
              <w:rPr>
                <w:rFonts w:ascii="Book Antiqua" w:eastAsia="Cambria" w:hAnsi="Book Antiqua"/>
                <w:bCs/>
              </w:rPr>
              <w:t xml:space="preserve">Disease behaviour </w:t>
            </w:r>
          </w:p>
        </w:tc>
        <w:tc>
          <w:tcPr>
            <w:tcW w:w="731" w:type="pct"/>
          </w:tcPr>
          <w:p w14:paraId="51AAD97C" w14:textId="77777777" w:rsidR="00557EDD" w:rsidRDefault="00000000">
            <w:pPr>
              <w:spacing w:line="360" w:lineRule="auto"/>
              <w:jc w:val="both"/>
              <w:rPr>
                <w:rFonts w:ascii="Book Antiqua" w:eastAsia="Cambria" w:hAnsi="Book Antiqua" w:cs="Cambria"/>
                <w:iCs/>
              </w:rPr>
            </w:pPr>
            <w:r>
              <w:rPr>
                <w:rFonts w:ascii="Book Antiqua" w:eastAsia="Cambria" w:hAnsi="Book Antiqua" w:cs="Cambria"/>
                <w:iCs/>
              </w:rPr>
              <w:t>NSNP</w:t>
            </w:r>
          </w:p>
        </w:tc>
        <w:tc>
          <w:tcPr>
            <w:tcW w:w="795" w:type="pct"/>
          </w:tcPr>
          <w:p w14:paraId="22663B7F"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29.6%</w:t>
            </w:r>
          </w:p>
        </w:tc>
        <w:tc>
          <w:tcPr>
            <w:tcW w:w="590" w:type="pct"/>
          </w:tcPr>
          <w:p w14:paraId="47053B9F"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70.4%</w:t>
            </w:r>
          </w:p>
        </w:tc>
        <w:tc>
          <w:tcPr>
            <w:tcW w:w="436" w:type="pct"/>
            <w:vMerge w:val="restart"/>
          </w:tcPr>
          <w:p w14:paraId="2ECD1D5A"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0.42</w:t>
            </w:r>
          </w:p>
        </w:tc>
        <w:tc>
          <w:tcPr>
            <w:tcW w:w="727" w:type="pct"/>
          </w:tcPr>
          <w:p w14:paraId="0DEBD054"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45%</w:t>
            </w:r>
          </w:p>
        </w:tc>
        <w:tc>
          <w:tcPr>
            <w:tcW w:w="590" w:type="pct"/>
          </w:tcPr>
          <w:p w14:paraId="2AA3D6B2"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55%</w:t>
            </w:r>
          </w:p>
        </w:tc>
        <w:tc>
          <w:tcPr>
            <w:tcW w:w="436" w:type="pct"/>
            <w:vMerge w:val="restart"/>
          </w:tcPr>
          <w:p w14:paraId="6A703CA2"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0.98</w:t>
            </w:r>
          </w:p>
          <w:p w14:paraId="6ED3081D" w14:textId="77777777" w:rsidR="00557EDD" w:rsidRDefault="00557EDD">
            <w:pPr>
              <w:spacing w:line="360" w:lineRule="auto"/>
              <w:jc w:val="both"/>
              <w:rPr>
                <w:rFonts w:ascii="Book Antiqua" w:eastAsia="Cambria" w:hAnsi="Book Antiqua" w:cs="Cambria"/>
              </w:rPr>
            </w:pPr>
          </w:p>
          <w:p w14:paraId="30EB24A4" w14:textId="77777777" w:rsidR="00557EDD" w:rsidRDefault="00557EDD">
            <w:pPr>
              <w:spacing w:line="360" w:lineRule="auto"/>
              <w:jc w:val="both"/>
              <w:rPr>
                <w:rFonts w:ascii="Book Antiqua" w:eastAsia="Cambria" w:hAnsi="Book Antiqua" w:cs="Cambria"/>
              </w:rPr>
            </w:pPr>
          </w:p>
        </w:tc>
      </w:tr>
      <w:tr w:rsidR="00557EDD" w14:paraId="5A94DE0D" w14:textId="77777777" w:rsidTr="00797A9C">
        <w:trPr>
          <w:trHeight w:val="169"/>
        </w:trPr>
        <w:tc>
          <w:tcPr>
            <w:tcW w:w="694" w:type="pct"/>
            <w:vMerge/>
          </w:tcPr>
          <w:p w14:paraId="6233CD45" w14:textId="77777777" w:rsidR="00557EDD" w:rsidRDefault="00557EDD">
            <w:pPr>
              <w:spacing w:line="360" w:lineRule="auto"/>
              <w:jc w:val="both"/>
              <w:rPr>
                <w:rFonts w:ascii="Book Antiqua" w:eastAsia="Cambria" w:hAnsi="Book Antiqua"/>
                <w:bCs/>
              </w:rPr>
            </w:pPr>
          </w:p>
        </w:tc>
        <w:tc>
          <w:tcPr>
            <w:tcW w:w="731" w:type="pct"/>
          </w:tcPr>
          <w:p w14:paraId="7856AB40" w14:textId="77777777" w:rsidR="00557EDD" w:rsidRDefault="00000000">
            <w:pPr>
              <w:spacing w:line="360" w:lineRule="auto"/>
              <w:jc w:val="both"/>
              <w:rPr>
                <w:rFonts w:ascii="Book Antiqua" w:eastAsia="Cambria" w:hAnsi="Book Antiqua" w:cs="Cambria"/>
                <w:iCs/>
              </w:rPr>
            </w:pPr>
            <w:r>
              <w:rPr>
                <w:rFonts w:ascii="Book Antiqua" w:eastAsia="Cambria" w:hAnsi="Book Antiqua" w:cs="Cambria"/>
                <w:iCs/>
              </w:rPr>
              <w:t>SP</w:t>
            </w:r>
          </w:p>
        </w:tc>
        <w:tc>
          <w:tcPr>
            <w:tcW w:w="795" w:type="pct"/>
          </w:tcPr>
          <w:p w14:paraId="2FF4B8A0"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39.1%</w:t>
            </w:r>
          </w:p>
        </w:tc>
        <w:tc>
          <w:tcPr>
            <w:tcW w:w="590" w:type="pct"/>
          </w:tcPr>
          <w:p w14:paraId="5A5BAE10"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60.9%</w:t>
            </w:r>
          </w:p>
        </w:tc>
        <w:tc>
          <w:tcPr>
            <w:tcW w:w="436" w:type="pct"/>
            <w:vMerge/>
          </w:tcPr>
          <w:p w14:paraId="0A3170C9" w14:textId="77777777" w:rsidR="00557EDD" w:rsidRDefault="00557EDD">
            <w:pPr>
              <w:spacing w:line="360" w:lineRule="auto"/>
              <w:jc w:val="both"/>
              <w:rPr>
                <w:rFonts w:ascii="Book Antiqua" w:eastAsia="Cambria" w:hAnsi="Book Antiqua" w:cs="Cambria"/>
              </w:rPr>
            </w:pPr>
          </w:p>
        </w:tc>
        <w:tc>
          <w:tcPr>
            <w:tcW w:w="727" w:type="pct"/>
          </w:tcPr>
          <w:p w14:paraId="25C081BF"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42.6%</w:t>
            </w:r>
          </w:p>
        </w:tc>
        <w:tc>
          <w:tcPr>
            <w:tcW w:w="590" w:type="pct"/>
          </w:tcPr>
          <w:p w14:paraId="653E551A"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57.4%</w:t>
            </w:r>
          </w:p>
        </w:tc>
        <w:tc>
          <w:tcPr>
            <w:tcW w:w="436" w:type="pct"/>
            <w:vMerge/>
          </w:tcPr>
          <w:p w14:paraId="2353A2AF" w14:textId="77777777" w:rsidR="00557EDD" w:rsidRDefault="00557EDD">
            <w:pPr>
              <w:spacing w:line="360" w:lineRule="auto"/>
              <w:jc w:val="both"/>
              <w:rPr>
                <w:rFonts w:ascii="Book Antiqua" w:eastAsia="Cambria" w:hAnsi="Book Antiqua" w:cs="Cambria"/>
              </w:rPr>
            </w:pPr>
          </w:p>
        </w:tc>
      </w:tr>
      <w:tr w:rsidR="00557EDD" w14:paraId="6EB68F89" w14:textId="77777777" w:rsidTr="00797A9C">
        <w:trPr>
          <w:trHeight w:val="169"/>
        </w:trPr>
        <w:tc>
          <w:tcPr>
            <w:tcW w:w="694" w:type="pct"/>
            <w:vMerge w:val="restart"/>
          </w:tcPr>
          <w:p w14:paraId="1C1787B2" w14:textId="77777777" w:rsidR="00557EDD" w:rsidRDefault="00000000">
            <w:pPr>
              <w:spacing w:line="360" w:lineRule="auto"/>
              <w:jc w:val="both"/>
              <w:rPr>
                <w:rFonts w:ascii="Book Antiqua" w:eastAsia="Cambria" w:hAnsi="Book Antiqua"/>
                <w:bCs/>
              </w:rPr>
            </w:pPr>
            <w:r>
              <w:rPr>
                <w:rFonts w:ascii="Book Antiqua" w:eastAsia="Cambria" w:hAnsi="Book Antiqua"/>
                <w:bCs/>
              </w:rPr>
              <w:t>Disease location</w:t>
            </w:r>
          </w:p>
        </w:tc>
        <w:tc>
          <w:tcPr>
            <w:tcW w:w="731" w:type="pct"/>
          </w:tcPr>
          <w:p w14:paraId="4DBD6B84" w14:textId="77777777" w:rsidR="00557EDD" w:rsidRDefault="00000000">
            <w:pPr>
              <w:spacing w:line="360" w:lineRule="auto"/>
              <w:jc w:val="both"/>
              <w:rPr>
                <w:rFonts w:ascii="Book Antiqua" w:eastAsia="Cambria" w:hAnsi="Book Antiqua" w:cs="Cambria"/>
                <w:iCs/>
              </w:rPr>
            </w:pPr>
            <w:r>
              <w:rPr>
                <w:rFonts w:ascii="Book Antiqua" w:eastAsia="Cambria" w:hAnsi="Book Antiqua" w:cs="Cambria"/>
                <w:iCs/>
              </w:rPr>
              <w:t>Ileal</w:t>
            </w:r>
          </w:p>
        </w:tc>
        <w:tc>
          <w:tcPr>
            <w:tcW w:w="795" w:type="pct"/>
          </w:tcPr>
          <w:p w14:paraId="76D2751A"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34.7%</w:t>
            </w:r>
          </w:p>
        </w:tc>
        <w:tc>
          <w:tcPr>
            <w:tcW w:w="590" w:type="pct"/>
          </w:tcPr>
          <w:p w14:paraId="02E35199"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65.3%</w:t>
            </w:r>
          </w:p>
        </w:tc>
        <w:tc>
          <w:tcPr>
            <w:tcW w:w="436" w:type="pct"/>
            <w:vMerge w:val="restart"/>
          </w:tcPr>
          <w:p w14:paraId="65BE0477"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0.98</w:t>
            </w:r>
          </w:p>
        </w:tc>
        <w:tc>
          <w:tcPr>
            <w:tcW w:w="727" w:type="pct"/>
          </w:tcPr>
          <w:p w14:paraId="45BE37AD"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42.9%</w:t>
            </w:r>
          </w:p>
        </w:tc>
        <w:tc>
          <w:tcPr>
            <w:tcW w:w="590" w:type="pct"/>
          </w:tcPr>
          <w:p w14:paraId="2D6ACEA7"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57.1%</w:t>
            </w:r>
          </w:p>
        </w:tc>
        <w:tc>
          <w:tcPr>
            <w:tcW w:w="436" w:type="pct"/>
            <w:vMerge w:val="restart"/>
          </w:tcPr>
          <w:p w14:paraId="7586983C"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0.28</w:t>
            </w:r>
          </w:p>
          <w:p w14:paraId="478B1F25" w14:textId="77777777" w:rsidR="00557EDD" w:rsidRDefault="00557EDD">
            <w:pPr>
              <w:spacing w:line="360" w:lineRule="auto"/>
              <w:jc w:val="both"/>
              <w:rPr>
                <w:rFonts w:ascii="Book Antiqua" w:eastAsia="Cambria" w:hAnsi="Book Antiqua" w:cs="Cambria"/>
              </w:rPr>
            </w:pPr>
          </w:p>
          <w:p w14:paraId="3F36B744" w14:textId="77777777" w:rsidR="00557EDD" w:rsidRDefault="00557EDD">
            <w:pPr>
              <w:spacing w:line="360" w:lineRule="auto"/>
              <w:jc w:val="both"/>
              <w:rPr>
                <w:rFonts w:ascii="Book Antiqua" w:eastAsia="Cambria" w:hAnsi="Book Antiqua" w:cs="Cambria"/>
              </w:rPr>
            </w:pPr>
          </w:p>
          <w:p w14:paraId="312189F7" w14:textId="77777777" w:rsidR="00557EDD" w:rsidRDefault="00557EDD">
            <w:pPr>
              <w:spacing w:line="360" w:lineRule="auto"/>
              <w:jc w:val="both"/>
              <w:rPr>
                <w:rFonts w:ascii="Book Antiqua" w:eastAsia="Cambria" w:hAnsi="Book Antiqua" w:cs="Cambria"/>
              </w:rPr>
            </w:pPr>
          </w:p>
        </w:tc>
      </w:tr>
      <w:tr w:rsidR="00557EDD" w14:paraId="0098455F" w14:textId="77777777" w:rsidTr="00797A9C">
        <w:trPr>
          <w:trHeight w:val="169"/>
        </w:trPr>
        <w:tc>
          <w:tcPr>
            <w:tcW w:w="694" w:type="pct"/>
            <w:vMerge/>
          </w:tcPr>
          <w:p w14:paraId="6CAD6D8F" w14:textId="77777777" w:rsidR="00557EDD" w:rsidRDefault="00557EDD">
            <w:pPr>
              <w:spacing w:line="360" w:lineRule="auto"/>
              <w:jc w:val="both"/>
              <w:rPr>
                <w:rFonts w:ascii="Book Antiqua" w:eastAsia="Cambria" w:hAnsi="Book Antiqua"/>
                <w:bCs/>
              </w:rPr>
            </w:pPr>
          </w:p>
        </w:tc>
        <w:tc>
          <w:tcPr>
            <w:tcW w:w="731" w:type="pct"/>
          </w:tcPr>
          <w:p w14:paraId="5450EB47" w14:textId="77777777" w:rsidR="00557EDD" w:rsidRDefault="00000000">
            <w:pPr>
              <w:spacing w:line="360" w:lineRule="auto"/>
              <w:jc w:val="both"/>
              <w:rPr>
                <w:rFonts w:ascii="Book Antiqua" w:eastAsia="Cambria" w:hAnsi="Book Antiqua" w:cs="Cambria"/>
                <w:iCs/>
              </w:rPr>
            </w:pPr>
            <w:r>
              <w:rPr>
                <w:rFonts w:ascii="Book Antiqua" w:eastAsia="Cambria" w:hAnsi="Book Antiqua" w:cs="Cambria"/>
                <w:iCs/>
              </w:rPr>
              <w:t>Colonic</w:t>
            </w:r>
          </w:p>
        </w:tc>
        <w:tc>
          <w:tcPr>
            <w:tcW w:w="795" w:type="pct"/>
          </w:tcPr>
          <w:p w14:paraId="3F5EE506"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35.3%</w:t>
            </w:r>
          </w:p>
        </w:tc>
        <w:tc>
          <w:tcPr>
            <w:tcW w:w="590" w:type="pct"/>
          </w:tcPr>
          <w:p w14:paraId="3684F60A"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64.7%</w:t>
            </w:r>
          </w:p>
        </w:tc>
        <w:tc>
          <w:tcPr>
            <w:tcW w:w="436" w:type="pct"/>
            <w:vMerge/>
          </w:tcPr>
          <w:p w14:paraId="25DFB5D3" w14:textId="77777777" w:rsidR="00557EDD" w:rsidRDefault="00557EDD">
            <w:pPr>
              <w:spacing w:line="360" w:lineRule="auto"/>
              <w:jc w:val="both"/>
              <w:rPr>
                <w:rFonts w:ascii="Book Antiqua" w:eastAsia="Cambria" w:hAnsi="Book Antiqua" w:cs="Cambria"/>
              </w:rPr>
            </w:pPr>
          </w:p>
        </w:tc>
        <w:tc>
          <w:tcPr>
            <w:tcW w:w="727" w:type="pct"/>
          </w:tcPr>
          <w:p w14:paraId="124F317A"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23.5%</w:t>
            </w:r>
          </w:p>
        </w:tc>
        <w:tc>
          <w:tcPr>
            <w:tcW w:w="590" w:type="pct"/>
          </w:tcPr>
          <w:p w14:paraId="0329D64A"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76.5%</w:t>
            </w:r>
          </w:p>
        </w:tc>
        <w:tc>
          <w:tcPr>
            <w:tcW w:w="436" w:type="pct"/>
            <w:vMerge/>
          </w:tcPr>
          <w:p w14:paraId="770E7480" w14:textId="77777777" w:rsidR="00557EDD" w:rsidRDefault="00557EDD">
            <w:pPr>
              <w:spacing w:line="360" w:lineRule="auto"/>
              <w:jc w:val="both"/>
              <w:rPr>
                <w:rFonts w:ascii="Book Antiqua" w:eastAsia="Cambria" w:hAnsi="Book Antiqua" w:cs="Cambria"/>
              </w:rPr>
            </w:pPr>
          </w:p>
        </w:tc>
      </w:tr>
      <w:tr w:rsidR="00557EDD" w14:paraId="656495D0" w14:textId="77777777" w:rsidTr="00797A9C">
        <w:trPr>
          <w:trHeight w:val="169"/>
        </w:trPr>
        <w:tc>
          <w:tcPr>
            <w:tcW w:w="694" w:type="pct"/>
            <w:vMerge/>
          </w:tcPr>
          <w:p w14:paraId="6CAA0315" w14:textId="77777777" w:rsidR="00557EDD" w:rsidRDefault="00557EDD">
            <w:pPr>
              <w:spacing w:line="360" w:lineRule="auto"/>
              <w:jc w:val="both"/>
              <w:rPr>
                <w:rFonts w:ascii="Book Antiqua" w:eastAsia="Cambria" w:hAnsi="Book Antiqua"/>
                <w:bCs/>
              </w:rPr>
            </w:pPr>
          </w:p>
        </w:tc>
        <w:tc>
          <w:tcPr>
            <w:tcW w:w="731" w:type="pct"/>
          </w:tcPr>
          <w:p w14:paraId="514537F6" w14:textId="77777777" w:rsidR="00557EDD" w:rsidRDefault="00000000">
            <w:pPr>
              <w:spacing w:line="360" w:lineRule="auto"/>
              <w:jc w:val="both"/>
              <w:rPr>
                <w:rFonts w:ascii="Book Antiqua" w:eastAsia="Cambria" w:hAnsi="Book Antiqua" w:cs="Cambria"/>
                <w:iCs/>
              </w:rPr>
            </w:pPr>
            <w:r>
              <w:rPr>
                <w:rFonts w:ascii="Book Antiqua" w:eastAsia="Cambria" w:hAnsi="Book Antiqua" w:cs="Cambria"/>
                <w:iCs/>
              </w:rPr>
              <w:t>Ileocolonic</w:t>
            </w:r>
          </w:p>
        </w:tc>
        <w:tc>
          <w:tcPr>
            <w:tcW w:w="795" w:type="pct"/>
          </w:tcPr>
          <w:p w14:paraId="6780BCFE"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36.6%</w:t>
            </w:r>
          </w:p>
        </w:tc>
        <w:tc>
          <w:tcPr>
            <w:tcW w:w="590" w:type="pct"/>
          </w:tcPr>
          <w:p w14:paraId="50DF5A4D"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63.4%</w:t>
            </w:r>
          </w:p>
        </w:tc>
        <w:tc>
          <w:tcPr>
            <w:tcW w:w="436" w:type="pct"/>
            <w:vMerge/>
          </w:tcPr>
          <w:p w14:paraId="239829BF" w14:textId="77777777" w:rsidR="00557EDD" w:rsidRDefault="00557EDD">
            <w:pPr>
              <w:spacing w:line="360" w:lineRule="auto"/>
              <w:jc w:val="both"/>
              <w:rPr>
                <w:rFonts w:ascii="Book Antiqua" w:eastAsia="Cambria" w:hAnsi="Book Antiqua" w:cs="Cambria"/>
              </w:rPr>
            </w:pPr>
          </w:p>
        </w:tc>
        <w:tc>
          <w:tcPr>
            <w:tcW w:w="727" w:type="pct"/>
          </w:tcPr>
          <w:p w14:paraId="1F863BD6"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43.9%</w:t>
            </w:r>
          </w:p>
        </w:tc>
        <w:tc>
          <w:tcPr>
            <w:tcW w:w="590" w:type="pct"/>
          </w:tcPr>
          <w:p w14:paraId="7BB24419"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56.1%</w:t>
            </w:r>
          </w:p>
        </w:tc>
        <w:tc>
          <w:tcPr>
            <w:tcW w:w="436" w:type="pct"/>
            <w:vMerge/>
          </w:tcPr>
          <w:p w14:paraId="00EB7E9A" w14:textId="77777777" w:rsidR="00557EDD" w:rsidRDefault="00557EDD">
            <w:pPr>
              <w:spacing w:line="360" w:lineRule="auto"/>
              <w:jc w:val="both"/>
              <w:rPr>
                <w:rFonts w:ascii="Book Antiqua" w:eastAsia="Cambria" w:hAnsi="Book Antiqua" w:cs="Cambria"/>
              </w:rPr>
            </w:pPr>
          </w:p>
        </w:tc>
      </w:tr>
      <w:tr w:rsidR="00557EDD" w14:paraId="2C0AB69B" w14:textId="77777777" w:rsidTr="00797A9C">
        <w:trPr>
          <w:trHeight w:val="169"/>
        </w:trPr>
        <w:tc>
          <w:tcPr>
            <w:tcW w:w="694" w:type="pct"/>
            <w:vMerge w:val="restart"/>
          </w:tcPr>
          <w:p w14:paraId="5ED42B6C" w14:textId="77777777" w:rsidR="00557EDD" w:rsidRDefault="00000000">
            <w:pPr>
              <w:spacing w:line="360" w:lineRule="auto"/>
              <w:jc w:val="both"/>
              <w:rPr>
                <w:rFonts w:ascii="Book Antiqua" w:eastAsia="Cambria" w:hAnsi="Book Antiqua"/>
                <w:bCs/>
              </w:rPr>
            </w:pPr>
            <w:r>
              <w:rPr>
                <w:rFonts w:ascii="Book Antiqua" w:eastAsia="Cambria" w:hAnsi="Book Antiqua"/>
                <w:bCs/>
              </w:rPr>
              <w:t xml:space="preserve">Perianal disease </w:t>
            </w:r>
          </w:p>
        </w:tc>
        <w:tc>
          <w:tcPr>
            <w:tcW w:w="731" w:type="pct"/>
          </w:tcPr>
          <w:p w14:paraId="0C92B1E4" w14:textId="77777777" w:rsidR="00557EDD" w:rsidRDefault="00000000">
            <w:pPr>
              <w:spacing w:line="360" w:lineRule="auto"/>
              <w:jc w:val="both"/>
              <w:rPr>
                <w:rFonts w:ascii="Book Antiqua" w:eastAsia="Cambria" w:hAnsi="Book Antiqua" w:cs="Cambria"/>
                <w:iCs/>
              </w:rPr>
            </w:pPr>
            <w:r>
              <w:rPr>
                <w:rFonts w:ascii="Book Antiqua" w:eastAsia="Cambria" w:hAnsi="Book Antiqua" w:cs="Cambria"/>
                <w:iCs/>
              </w:rPr>
              <w:t>Present</w:t>
            </w:r>
          </w:p>
        </w:tc>
        <w:tc>
          <w:tcPr>
            <w:tcW w:w="795" w:type="pct"/>
          </w:tcPr>
          <w:p w14:paraId="72BF41A1"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46.7%</w:t>
            </w:r>
          </w:p>
        </w:tc>
        <w:tc>
          <w:tcPr>
            <w:tcW w:w="590" w:type="pct"/>
          </w:tcPr>
          <w:p w14:paraId="2E45BA78"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53.3%</w:t>
            </w:r>
          </w:p>
        </w:tc>
        <w:tc>
          <w:tcPr>
            <w:tcW w:w="436" w:type="pct"/>
            <w:vMerge w:val="restart"/>
          </w:tcPr>
          <w:p w14:paraId="440F6689"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0.32</w:t>
            </w:r>
          </w:p>
        </w:tc>
        <w:tc>
          <w:tcPr>
            <w:tcW w:w="727" w:type="pct"/>
          </w:tcPr>
          <w:p w14:paraId="1DDD608D"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46.7%</w:t>
            </w:r>
          </w:p>
        </w:tc>
        <w:tc>
          <w:tcPr>
            <w:tcW w:w="590" w:type="pct"/>
          </w:tcPr>
          <w:p w14:paraId="50CDBF56"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53.3%</w:t>
            </w:r>
          </w:p>
        </w:tc>
        <w:tc>
          <w:tcPr>
            <w:tcW w:w="436" w:type="pct"/>
            <w:vMerge w:val="restart"/>
          </w:tcPr>
          <w:p w14:paraId="00323657"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0.79</w:t>
            </w:r>
          </w:p>
          <w:p w14:paraId="215B50E5" w14:textId="77777777" w:rsidR="00557EDD" w:rsidRDefault="00557EDD">
            <w:pPr>
              <w:spacing w:line="360" w:lineRule="auto"/>
              <w:jc w:val="both"/>
              <w:rPr>
                <w:rFonts w:ascii="Book Antiqua" w:eastAsia="Cambria" w:hAnsi="Book Antiqua" w:cs="Cambria"/>
              </w:rPr>
            </w:pPr>
          </w:p>
          <w:p w14:paraId="473B17E4" w14:textId="77777777" w:rsidR="00557EDD" w:rsidRDefault="00557EDD">
            <w:pPr>
              <w:spacing w:line="360" w:lineRule="auto"/>
              <w:jc w:val="both"/>
              <w:rPr>
                <w:rFonts w:ascii="Book Antiqua" w:eastAsia="Cambria" w:hAnsi="Book Antiqua" w:cs="Cambria"/>
              </w:rPr>
            </w:pPr>
          </w:p>
          <w:p w14:paraId="41105E9E" w14:textId="77777777" w:rsidR="00557EDD" w:rsidRDefault="00557EDD">
            <w:pPr>
              <w:spacing w:line="360" w:lineRule="auto"/>
              <w:jc w:val="both"/>
              <w:rPr>
                <w:rFonts w:ascii="Book Antiqua" w:eastAsia="Cambria" w:hAnsi="Book Antiqua" w:cs="Cambria"/>
              </w:rPr>
            </w:pPr>
          </w:p>
        </w:tc>
      </w:tr>
      <w:tr w:rsidR="00557EDD" w14:paraId="7CE2FAE2" w14:textId="77777777" w:rsidTr="00797A9C">
        <w:trPr>
          <w:trHeight w:val="169"/>
        </w:trPr>
        <w:tc>
          <w:tcPr>
            <w:tcW w:w="694" w:type="pct"/>
            <w:vMerge/>
          </w:tcPr>
          <w:p w14:paraId="320C1EAB" w14:textId="77777777" w:rsidR="00557EDD" w:rsidRDefault="00557EDD">
            <w:pPr>
              <w:spacing w:line="360" w:lineRule="auto"/>
              <w:jc w:val="both"/>
              <w:rPr>
                <w:rFonts w:ascii="Book Antiqua" w:eastAsia="Cambria" w:hAnsi="Book Antiqua"/>
                <w:bCs/>
              </w:rPr>
            </w:pPr>
          </w:p>
        </w:tc>
        <w:tc>
          <w:tcPr>
            <w:tcW w:w="731" w:type="pct"/>
          </w:tcPr>
          <w:p w14:paraId="16014F1B" w14:textId="77777777" w:rsidR="00557EDD" w:rsidRDefault="00000000">
            <w:pPr>
              <w:spacing w:line="360" w:lineRule="auto"/>
              <w:jc w:val="both"/>
              <w:rPr>
                <w:rFonts w:ascii="Book Antiqua" w:eastAsia="Cambria" w:hAnsi="Book Antiqua" w:cs="Cambria"/>
                <w:iCs/>
              </w:rPr>
            </w:pPr>
            <w:r>
              <w:rPr>
                <w:rFonts w:ascii="Book Antiqua" w:eastAsia="Cambria" w:hAnsi="Book Antiqua" w:cs="Cambria"/>
                <w:iCs/>
              </w:rPr>
              <w:t>Absent</w:t>
            </w:r>
          </w:p>
        </w:tc>
        <w:tc>
          <w:tcPr>
            <w:tcW w:w="795" w:type="pct"/>
          </w:tcPr>
          <w:p w14:paraId="4B446F23"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33.3%</w:t>
            </w:r>
          </w:p>
        </w:tc>
        <w:tc>
          <w:tcPr>
            <w:tcW w:w="590" w:type="pct"/>
          </w:tcPr>
          <w:p w14:paraId="1B6871A0"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66.7%</w:t>
            </w:r>
          </w:p>
        </w:tc>
        <w:tc>
          <w:tcPr>
            <w:tcW w:w="436" w:type="pct"/>
            <w:vMerge/>
          </w:tcPr>
          <w:p w14:paraId="10DBCDC9" w14:textId="77777777" w:rsidR="00557EDD" w:rsidRDefault="00557EDD">
            <w:pPr>
              <w:spacing w:line="360" w:lineRule="auto"/>
              <w:jc w:val="both"/>
              <w:rPr>
                <w:rFonts w:ascii="Book Antiqua" w:eastAsia="Cambria" w:hAnsi="Book Antiqua" w:cs="Cambria"/>
              </w:rPr>
            </w:pPr>
          </w:p>
        </w:tc>
        <w:tc>
          <w:tcPr>
            <w:tcW w:w="727" w:type="pct"/>
          </w:tcPr>
          <w:p w14:paraId="5B725682"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43%</w:t>
            </w:r>
          </w:p>
        </w:tc>
        <w:tc>
          <w:tcPr>
            <w:tcW w:w="590" w:type="pct"/>
          </w:tcPr>
          <w:p w14:paraId="4C6DA5CC"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57%</w:t>
            </w:r>
          </w:p>
        </w:tc>
        <w:tc>
          <w:tcPr>
            <w:tcW w:w="436" w:type="pct"/>
            <w:vMerge/>
          </w:tcPr>
          <w:p w14:paraId="257E6485" w14:textId="77777777" w:rsidR="00557EDD" w:rsidRDefault="00557EDD">
            <w:pPr>
              <w:spacing w:line="360" w:lineRule="auto"/>
              <w:jc w:val="both"/>
              <w:rPr>
                <w:rFonts w:ascii="Book Antiqua" w:eastAsia="Cambria" w:hAnsi="Book Antiqua" w:cs="Cambria"/>
              </w:rPr>
            </w:pPr>
          </w:p>
        </w:tc>
      </w:tr>
      <w:tr w:rsidR="00557EDD" w14:paraId="77804D5C" w14:textId="77777777" w:rsidTr="00797A9C">
        <w:trPr>
          <w:trHeight w:val="169"/>
        </w:trPr>
        <w:tc>
          <w:tcPr>
            <w:tcW w:w="694" w:type="pct"/>
            <w:vMerge w:val="restart"/>
          </w:tcPr>
          <w:p w14:paraId="2ABFB5A0" w14:textId="77777777" w:rsidR="00557EDD" w:rsidRDefault="00000000">
            <w:pPr>
              <w:spacing w:line="360" w:lineRule="auto"/>
              <w:jc w:val="both"/>
              <w:rPr>
                <w:rFonts w:ascii="Book Antiqua" w:eastAsia="Cambria" w:hAnsi="Book Antiqua"/>
                <w:bCs/>
              </w:rPr>
            </w:pPr>
            <w:r>
              <w:rPr>
                <w:rFonts w:ascii="Book Antiqua" w:eastAsia="Cambria" w:hAnsi="Book Antiqua"/>
                <w:bCs/>
              </w:rPr>
              <w:t xml:space="preserve">Surgery for </w:t>
            </w:r>
            <w:r>
              <w:rPr>
                <w:rFonts w:ascii="Book Antiqua" w:eastAsia="Cambria" w:hAnsi="Book Antiqua"/>
                <w:bCs/>
              </w:rPr>
              <w:lastRenderedPageBreak/>
              <w:t>Crohn’s disease</w:t>
            </w:r>
          </w:p>
        </w:tc>
        <w:tc>
          <w:tcPr>
            <w:tcW w:w="731" w:type="pct"/>
          </w:tcPr>
          <w:p w14:paraId="17A788FA" w14:textId="77777777" w:rsidR="00557EDD" w:rsidRDefault="00000000">
            <w:pPr>
              <w:spacing w:line="360" w:lineRule="auto"/>
              <w:jc w:val="both"/>
              <w:rPr>
                <w:rFonts w:ascii="Book Antiqua" w:eastAsia="Cambria" w:hAnsi="Book Antiqua" w:cs="Cambria"/>
                <w:iCs/>
              </w:rPr>
            </w:pPr>
            <w:r>
              <w:rPr>
                <w:rFonts w:ascii="Book Antiqua" w:eastAsia="Cambria" w:hAnsi="Book Antiqua" w:cs="Cambria"/>
                <w:iCs/>
              </w:rPr>
              <w:lastRenderedPageBreak/>
              <w:t>Yes</w:t>
            </w:r>
          </w:p>
        </w:tc>
        <w:tc>
          <w:tcPr>
            <w:tcW w:w="795" w:type="pct"/>
          </w:tcPr>
          <w:p w14:paraId="113EAE19"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32.4%</w:t>
            </w:r>
          </w:p>
        </w:tc>
        <w:tc>
          <w:tcPr>
            <w:tcW w:w="590" w:type="pct"/>
          </w:tcPr>
          <w:p w14:paraId="2CA9AF4E"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67.6%</w:t>
            </w:r>
          </w:p>
        </w:tc>
        <w:tc>
          <w:tcPr>
            <w:tcW w:w="436" w:type="pct"/>
            <w:vMerge w:val="restart"/>
          </w:tcPr>
          <w:p w14:paraId="04B6FBFC"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0.67</w:t>
            </w:r>
          </w:p>
        </w:tc>
        <w:tc>
          <w:tcPr>
            <w:tcW w:w="727" w:type="pct"/>
          </w:tcPr>
          <w:p w14:paraId="7AEDB24F"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29.4%</w:t>
            </w:r>
          </w:p>
        </w:tc>
        <w:tc>
          <w:tcPr>
            <w:tcW w:w="590" w:type="pct"/>
          </w:tcPr>
          <w:p w14:paraId="0BDE70A5"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70.6%</w:t>
            </w:r>
          </w:p>
        </w:tc>
        <w:tc>
          <w:tcPr>
            <w:tcW w:w="436" w:type="pct"/>
            <w:vMerge w:val="restart"/>
          </w:tcPr>
          <w:p w14:paraId="6F942BCD"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0.07</w:t>
            </w:r>
          </w:p>
          <w:p w14:paraId="22614AB7" w14:textId="77777777" w:rsidR="00557EDD" w:rsidRDefault="00557EDD">
            <w:pPr>
              <w:spacing w:line="360" w:lineRule="auto"/>
              <w:jc w:val="both"/>
              <w:rPr>
                <w:rFonts w:ascii="Book Antiqua" w:eastAsia="Cambria" w:hAnsi="Book Antiqua" w:cs="Cambria"/>
              </w:rPr>
            </w:pPr>
          </w:p>
          <w:p w14:paraId="097C100C" w14:textId="77777777" w:rsidR="00557EDD" w:rsidRDefault="00557EDD">
            <w:pPr>
              <w:spacing w:line="360" w:lineRule="auto"/>
              <w:jc w:val="both"/>
              <w:rPr>
                <w:rFonts w:ascii="Book Antiqua" w:eastAsia="Cambria" w:hAnsi="Book Antiqua" w:cs="Cambria"/>
              </w:rPr>
            </w:pPr>
          </w:p>
        </w:tc>
      </w:tr>
      <w:tr w:rsidR="00557EDD" w14:paraId="59507D9D" w14:textId="77777777" w:rsidTr="00797A9C">
        <w:trPr>
          <w:trHeight w:val="169"/>
        </w:trPr>
        <w:tc>
          <w:tcPr>
            <w:tcW w:w="694" w:type="pct"/>
            <w:vMerge/>
          </w:tcPr>
          <w:p w14:paraId="1024BAAF" w14:textId="77777777" w:rsidR="00557EDD" w:rsidRDefault="00557EDD">
            <w:pPr>
              <w:spacing w:line="360" w:lineRule="auto"/>
              <w:jc w:val="both"/>
              <w:rPr>
                <w:rFonts w:ascii="Book Antiqua" w:eastAsia="Cambria" w:hAnsi="Book Antiqua"/>
                <w:bCs/>
              </w:rPr>
            </w:pPr>
          </w:p>
        </w:tc>
        <w:tc>
          <w:tcPr>
            <w:tcW w:w="731" w:type="pct"/>
          </w:tcPr>
          <w:p w14:paraId="6C1A9394" w14:textId="77777777" w:rsidR="00557EDD" w:rsidRDefault="00000000">
            <w:pPr>
              <w:spacing w:line="360" w:lineRule="auto"/>
              <w:jc w:val="both"/>
              <w:rPr>
                <w:rFonts w:ascii="Book Antiqua" w:eastAsia="Cambria" w:hAnsi="Book Antiqua" w:cs="Cambria"/>
                <w:iCs/>
              </w:rPr>
            </w:pPr>
            <w:r>
              <w:rPr>
                <w:rFonts w:ascii="Book Antiqua" w:eastAsia="Cambria" w:hAnsi="Book Antiqua" w:cs="Cambria"/>
                <w:iCs/>
              </w:rPr>
              <w:t>No</w:t>
            </w:r>
          </w:p>
        </w:tc>
        <w:tc>
          <w:tcPr>
            <w:tcW w:w="795" w:type="pct"/>
          </w:tcPr>
          <w:p w14:paraId="529C83F5"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36.6%</w:t>
            </w:r>
          </w:p>
        </w:tc>
        <w:tc>
          <w:tcPr>
            <w:tcW w:w="590" w:type="pct"/>
          </w:tcPr>
          <w:p w14:paraId="597F3D1F"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63.4%</w:t>
            </w:r>
          </w:p>
        </w:tc>
        <w:tc>
          <w:tcPr>
            <w:tcW w:w="436" w:type="pct"/>
            <w:vMerge/>
          </w:tcPr>
          <w:p w14:paraId="0158B66B" w14:textId="77777777" w:rsidR="00557EDD" w:rsidRDefault="00557EDD">
            <w:pPr>
              <w:spacing w:line="360" w:lineRule="auto"/>
              <w:jc w:val="both"/>
              <w:rPr>
                <w:rFonts w:ascii="Book Antiqua" w:eastAsia="Cambria" w:hAnsi="Book Antiqua" w:cs="Cambria"/>
              </w:rPr>
            </w:pPr>
          </w:p>
        </w:tc>
        <w:tc>
          <w:tcPr>
            <w:tcW w:w="727" w:type="pct"/>
          </w:tcPr>
          <w:p w14:paraId="435AC66B"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50.1%</w:t>
            </w:r>
          </w:p>
        </w:tc>
        <w:tc>
          <w:tcPr>
            <w:tcW w:w="590" w:type="pct"/>
          </w:tcPr>
          <w:p w14:paraId="0C7ABC69"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49.9%</w:t>
            </w:r>
          </w:p>
        </w:tc>
        <w:tc>
          <w:tcPr>
            <w:tcW w:w="436" w:type="pct"/>
            <w:vMerge/>
          </w:tcPr>
          <w:p w14:paraId="5B9AB64D" w14:textId="77777777" w:rsidR="00557EDD" w:rsidRDefault="00557EDD">
            <w:pPr>
              <w:spacing w:line="360" w:lineRule="auto"/>
              <w:jc w:val="both"/>
              <w:rPr>
                <w:rFonts w:ascii="Book Antiqua" w:eastAsia="Cambria" w:hAnsi="Book Antiqua" w:cs="Cambria"/>
              </w:rPr>
            </w:pPr>
          </w:p>
        </w:tc>
      </w:tr>
      <w:tr w:rsidR="00557EDD" w14:paraId="44282298" w14:textId="77777777" w:rsidTr="00797A9C">
        <w:trPr>
          <w:trHeight w:val="169"/>
        </w:trPr>
        <w:tc>
          <w:tcPr>
            <w:tcW w:w="694" w:type="pct"/>
            <w:vMerge w:val="restart"/>
          </w:tcPr>
          <w:p w14:paraId="7FEFE179" w14:textId="77777777" w:rsidR="00557EDD" w:rsidRDefault="00000000">
            <w:pPr>
              <w:spacing w:line="360" w:lineRule="auto"/>
              <w:jc w:val="both"/>
              <w:rPr>
                <w:rFonts w:ascii="Book Antiqua" w:eastAsia="Cambria" w:hAnsi="Book Antiqua"/>
                <w:bCs/>
              </w:rPr>
            </w:pPr>
            <w:r>
              <w:rPr>
                <w:rFonts w:ascii="Book Antiqua" w:eastAsia="Cambria" w:hAnsi="Book Antiqua"/>
                <w:bCs/>
              </w:rPr>
              <w:t xml:space="preserve">Smoking </w:t>
            </w:r>
          </w:p>
        </w:tc>
        <w:tc>
          <w:tcPr>
            <w:tcW w:w="731" w:type="pct"/>
          </w:tcPr>
          <w:p w14:paraId="30A9DF4F" w14:textId="77777777" w:rsidR="00557EDD" w:rsidRDefault="00000000">
            <w:pPr>
              <w:spacing w:line="360" w:lineRule="auto"/>
              <w:jc w:val="both"/>
              <w:rPr>
                <w:rFonts w:ascii="Book Antiqua" w:eastAsia="Cambria" w:hAnsi="Book Antiqua" w:cs="Cambria"/>
                <w:iCs/>
              </w:rPr>
            </w:pPr>
            <w:r>
              <w:rPr>
                <w:rFonts w:ascii="Book Antiqua" w:eastAsia="Cambria" w:hAnsi="Book Antiqua" w:cs="Cambria"/>
                <w:iCs/>
              </w:rPr>
              <w:t>Yes</w:t>
            </w:r>
          </w:p>
        </w:tc>
        <w:tc>
          <w:tcPr>
            <w:tcW w:w="795" w:type="pct"/>
          </w:tcPr>
          <w:p w14:paraId="7FE8B961"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25%</w:t>
            </w:r>
          </w:p>
        </w:tc>
        <w:tc>
          <w:tcPr>
            <w:tcW w:w="590" w:type="pct"/>
          </w:tcPr>
          <w:p w14:paraId="1E1CBCB8"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75%</w:t>
            </w:r>
          </w:p>
        </w:tc>
        <w:tc>
          <w:tcPr>
            <w:tcW w:w="436" w:type="pct"/>
            <w:vMerge w:val="restart"/>
          </w:tcPr>
          <w:p w14:paraId="4F80A9B2"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0.43</w:t>
            </w:r>
          </w:p>
        </w:tc>
        <w:tc>
          <w:tcPr>
            <w:tcW w:w="727" w:type="pct"/>
          </w:tcPr>
          <w:p w14:paraId="15FAFD1D"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41.7%</w:t>
            </w:r>
          </w:p>
        </w:tc>
        <w:tc>
          <w:tcPr>
            <w:tcW w:w="590" w:type="pct"/>
          </w:tcPr>
          <w:p w14:paraId="58CD0724"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58.3%</w:t>
            </w:r>
          </w:p>
        </w:tc>
        <w:tc>
          <w:tcPr>
            <w:tcW w:w="436" w:type="pct"/>
            <w:vMerge w:val="restart"/>
          </w:tcPr>
          <w:p w14:paraId="4C97E677"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0.89</w:t>
            </w:r>
          </w:p>
          <w:p w14:paraId="7A713CC4" w14:textId="77777777" w:rsidR="00557EDD" w:rsidRDefault="00557EDD">
            <w:pPr>
              <w:spacing w:line="360" w:lineRule="auto"/>
              <w:jc w:val="both"/>
              <w:rPr>
                <w:rFonts w:ascii="Book Antiqua" w:eastAsia="Cambria" w:hAnsi="Book Antiqua" w:cs="Cambria"/>
              </w:rPr>
            </w:pPr>
          </w:p>
          <w:p w14:paraId="65352DBA" w14:textId="77777777" w:rsidR="00557EDD" w:rsidRDefault="00557EDD">
            <w:pPr>
              <w:spacing w:line="360" w:lineRule="auto"/>
              <w:jc w:val="both"/>
              <w:rPr>
                <w:rFonts w:ascii="Book Antiqua" w:eastAsia="Cambria" w:hAnsi="Book Antiqua" w:cs="Cambria"/>
              </w:rPr>
            </w:pPr>
          </w:p>
        </w:tc>
      </w:tr>
      <w:tr w:rsidR="00557EDD" w14:paraId="7C5530A1" w14:textId="77777777" w:rsidTr="00797A9C">
        <w:trPr>
          <w:trHeight w:val="169"/>
        </w:trPr>
        <w:tc>
          <w:tcPr>
            <w:tcW w:w="694" w:type="pct"/>
            <w:vMerge/>
          </w:tcPr>
          <w:p w14:paraId="52C3FBE2" w14:textId="77777777" w:rsidR="00557EDD" w:rsidRDefault="00557EDD">
            <w:pPr>
              <w:spacing w:line="360" w:lineRule="auto"/>
              <w:jc w:val="both"/>
              <w:rPr>
                <w:rFonts w:ascii="Book Antiqua" w:eastAsia="Cambria" w:hAnsi="Book Antiqua"/>
                <w:bCs/>
              </w:rPr>
            </w:pPr>
          </w:p>
        </w:tc>
        <w:tc>
          <w:tcPr>
            <w:tcW w:w="731" w:type="pct"/>
          </w:tcPr>
          <w:p w14:paraId="43A2DEB3" w14:textId="77777777" w:rsidR="00557EDD" w:rsidRDefault="00000000">
            <w:pPr>
              <w:spacing w:line="360" w:lineRule="auto"/>
              <w:jc w:val="both"/>
              <w:rPr>
                <w:rFonts w:ascii="Book Antiqua" w:eastAsia="Cambria" w:hAnsi="Book Antiqua" w:cs="Cambria"/>
                <w:iCs/>
              </w:rPr>
            </w:pPr>
            <w:r>
              <w:rPr>
                <w:rFonts w:ascii="Book Antiqua" w:eastAsia="Cambria" w:hAnsi="Book Antiqua" w:cs="Cambria"/>
                <w:iCs/>
              </w:rPr>
              <w:t>No</w:t>
            </w:r>
          </w:p>
        </w:tc>
        <w:tc>
          <w:tcPr>
            <w:tcW w:w="795" w:type="pct"/>
          </w:tcPr>
          <w:p w14:paraId="5A464B72"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36.5%</w:t>
            </w:r>
          </w:p>
        </w:tc>
        <w:tc>
          <w:tcPr>
            <w:tcW w:w="590" w:type="pct"/>
          </w:tcPr>
          <w:p w14:paraId="55C94D1F"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63.5%</w:t>
            </w:r>
          </w:p>
        </w:tc>
        <w:tc>
          <w:tcPr>
            <w:tcW w:w="436" w:type="pct"/>
            <w:vMerge/>
          </w:tcPr>
          <w:p w14:paraId="26A09001" w14:textId="77777777" w:rsidR="00557EDD" w:rsidRDefault="00557EDD">
            <w:pPr>
              <w:spacing w:line="360" w:lineRule="auto"/>
              <w:jc w:val="both"/>
              <w:rPr>
                <w:rFonts w:ascii="Book Antiqua" w:eastAsia="Cambria" w:hAnsi="Book Antiqua" w:cs="Cambria"/>
              </w:rPr>
            </w:pPr>
          </w:p>
        </w:tc>
        <w:tc>
          <w:tcPr>
            <w:tcW w:w="727" w:type="pct"/>
          </w:tcPr>
          <w:p w14:paraId="78C145DC"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43.8%</w:t>
            </w:r>
          </w:p>
        </w:tc>
        <w:tc>
          <w:tcPr>
            <w:tcW w:w="590" w:type="pct"/>
          </w:tcPr>
          <w:p w14:paraId="29A1FE69"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56.2%</w:t>
            </w:r>
          </w:p>
        </w:tc>
        <w:tc>
          <w:tcPr>
            <w:tcW w:w="436" w:type="pct"/>
            <w:vMerge/>
          </w:tcPr>
          <w:p w14:paraId="46A9D4CA" w14:textId="77777777" w:rsidR="00557EDD" w:rsidRDefault="00557EDD">
            <w:pPr>
              <w:spacing w:line="360" w:lineRule="auto"/>
              <w:jc w:val="both"/>
              <w:rPr>
                <w:rFonts w:ascii="Book Antiqua" w:eastAsia="Cambria" w:hAnsi="Book Antiqua" w:cs="Cambria"/>
              </w:rPr>
            </w:pPr>
          </w:p>
        </w:tc>
      </w:tr>
      <w:tr w:rsidR="00557EDD" w14:paraId="633B9264" w14:textId="77777777" w:rsidTr="00797A9C">
        <w:trPr>
          <w:trHeight w:val="169"/>
        </w:trPr>
        <w:tc>
          <w:tcPr>
            <w:tcW w:w="694" w:type="pct"/>
            <w:vMerge w:val="restart"/>
          </w:tcPr>
          <w:p w14:paraId="6B379C3A" w14:textId="77777777" w:rsidR="00557EDD" w:rsidRDefault="00000000">
            <w:pPr>
              <w:spacing w:line="360" w:lineRule="auto"/>
              <w:jc w:val="both"/>
              <w:rPr>
                <w:rFonts w:ascii="Book Antiqua" w:eastAsia="Cambria" w:hAnsi="Book Antiqua"/>
                <w:bCs/>
              </w:rPr>
            </w:pPr>
            <w:r>
              <w:rPr>
                <w:rFonts w:ascii="Book Antiqua" w:eastAsia="Cambria" w:hAnsi="Book Antiqua"/>
                <w:bCs/>
              </w:rPr>
              <w:t>EIM</w:t>
            </w:r>
          </w:p>
        </w:tc>
        <w:tc>
          <w:tcPr>
            <w:tcW w:w="731" w:type="pct"/>
          </w:tcPr>
          <w:p w14:paraId="4F715421"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Yes</w:t>
            </w:r>
          </w:p>
        </w:tc>
        <w:tc>
          <w:tcPr>
            <w:tcW w:w="795" w:type="pct"/>
          </w:tcPr>
          <w:p w14:paraId="49B567F4"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40%</w:t>
            </w:r>
          </w:p>
        </w:tc>
        <w:tc>
          <w:tcPr>
            <w:tcW w:w="590" w:type="pct"/>
          </w:tcPr>
          <w:p w14:paraId="4F61E00B"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60%</w:t>
            </w:r>
          </w:p>
        </w:tc>
        <w:tc>
          <w:tcPr>
            <w:tcW w:w="436" w:type="pct"/>
            <w:vMerge w:val="restart"/>
          </w:tcPr>
          <w:p w14:paraId="78DCEF1E"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0.62</w:t>
            </w:r>
          </w:p>
        </w:tc>
        <w:tc>
          <w:tcPr>
            <w:tcW w:w="727" w:type="pct"/>
          </w:tcPr>
          <w:p w14:paraId="4ECE4C08"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29.4%</w:t>
            </w:r>
          </w:p>
        </w:tc>
        <w:tc>
          <w:tcPr>
            <w:tcW w:w="590" w:type="pct"/>
          </w:tcPr>
          <w:p w14:paraId="5B47ABBE"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70.6%</w:t>
            </w:r>
          </w:p>
        </w:tc>
        <w:tc>
          <w:tcPr>
            <w:tcW w:w="436" w:type="pct"/>
            <w:vMerge w:val="restart"/>
          </w:tcPr>
          <w:p w14:paraId="679473E2"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0.31</w:t>
            </w:r>
          </w:p>
          <w:p w14:paraId="452E9977" w14:textId="77777777" w:rsidR="00557EDD" w:rsidRDefault="00557EDD">
            <w:pPr>
              <w:spacing w:line="360" w:lineRule="auto"/>
              <w:jc w:val="both"/>
              <w:rPr>
                <w:rFonts w:ascii="Book Antiqua" w:eastAsia="Cambria" w:hAnsi="Book Antiqua" w:cs="Cambria"/>
              </w:rPr>
            </w:pPr>
          </w:p>
          <w:p w14:paraId="27C24771" w14:textId="77777777" w:rsidR="00557EDD" w:rsidRDefault="00557EDD">
            <w:pPr>
              <w:spacing w:line="360" w:lineRule="auto"/>
              <w:jc w:val="both"/>
              <w:rPr>
                <w:rFonts w:ascii="Book Antiqua" w:eastAsia="Cambria" w:hAnsi="Book Antiqua" w:cs="Cambria"/>
              </w:rPr>
            </w:pPr>
          </w:p>
        </w:tc>
      </w:tr>
      <w:tr w:rsidR="00557EDD" w14:paraId="39B9B1A7" w14:textId="77777777" w:rsidTr="00797A9C">
        <w:trPr>
          <w:trHeight w:val="169"/>
        </w:trPr>
        <w:tc>
          <w:tcPr>
            <w:tcW w:w="694" w:type="pct"/>
            <w:vMerge/>
          </w:tcPr>
          <w:p w14:paraId="7F6BE615" w14:textId="77777777" w:rsidR="00557EDD" w:rsidRDefault="00557EDD">
            <w:pPr>
              <w:spacing w:line="360" w:lineRule="auto"/>
              <w:jc w:val="both"/>
              <w:rPr>
                <w:rFonts w:ascii="Book Antiqua" w:eastAsia="Cambria" w:hAnsi="Book Antiqua"/>
                <w:b/>
                <w:bCs/>
              </w:rPr>
            </w:pPr>
          </w:p>
        </w:tc>
        <w:tc>
          <w:tcPr>
            <w:tcW w:w="731" w:type="pct"/>
          </w:tcPr>
          <w:p w14:paraId="6966B913"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No</w:t>
            </w:r>
          </w:p>
        </w:tc>
        <w:tc>
          <w:tcPr>
            <w:tcW w:w="795" w:type="pct"/>
          </w:tcPr>
          <w:p w14:paraId="24D6FB13"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34.1%</w:t>
            </w:r>
          </w:p>
        </w:tc>
        <w:tc>
          <w:tcPr>
            <w:tcW w:w="590" w:type="pct"/>
          </w:tcPr>
          <w:p w14:paraId="666AD454"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65.9%</w:t>
            </w:r>
          </w:p>
        </w:tc>
        <w:tc>
          <w:tcPr>
            <w:tcW w:w="436" w:type="pct"/>
            <w:vMerge/>
          </w:tcPr>
          <w:p w14:paraId="2B607ED9" w14:textId="77777777" w:rsidR="00557EDD" w:rsidRDefault="00557EDD">
            <w:pPr>
              <w:spacing w:line="360" w:lineRule="auto"/>
              <w:jc w:val="both"/>
              <w:rPr>
                <w:rFonts w:ascii="Book Antiqua" w:eastAsia="Cambria" w:hAnsi="Book Antiqua" w:cs="Cambria"/>
              </w:rPr>
            </w:pPr>
          </w:p>
        </w:tc>
        <w:tc>
          <w:tcPr>
            <w:tcW w:w="727" w:type="pct"/>
          </w:tcPr>
          <w:p w14:paraId="2FEF06A0"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46.4%</w:t>
            </w:r>
          </w:p>
        </w:tc>
        <w:tc>
          <w:tcPr>
            <w:tcW w:w="590" w:type="pct"/>
          </w:tcPr>
          <w:p w14:paraId="7FDE0003" w14:textId="77777777" w:rsidR="00557EDD" w:rsidRDefault="00000000">
            <w:pPr>
              <w:spacing w:line="360" w:lineRule="auto"/>
              <w:jc w:val="both"/>
              <w:rPr>
                <w:rFonts w:ascii="Book Antiqua" w:eastAsia="Cambria" w:hAnsi="Book Antiqua" w:cs="Cambria"/>
              </w:rPr>
            </w:pPr>
            <w:r>
              <w:rPr>
                <w:rFonts w:ascii="Book Antiqua" w:eastAsia="Cambria" w:hAnsi="Book Antiqua" w:cs="Cambria"/>
              </w:rPr>
              <w:t>53.6%</w:t>
            </w:r>
          </w:p>
        </w:tc>
        <w:tc>
          <w:tcPr>
            <w:tcW w:w="436" w:type="pct"/>
            <w:vMerge/>
          </w:tcPr>
          <w:p w14:paraId="02B375C5" w14:textId="77777777" w:rsidR="00557EDD" w:rsidRDefault="00557EDD">
            <w:pPr>
              <w:spacing w:line="360" w:lineRule="auto"/>
              <w:jc w:val="both"/>
              <w:rPr>
                <w:rFonts w:ascii="Book Antiqua" w:eastAsia="Cambria" w:hAnsi="Book Antiqua" w:cs="Cambria"/>
              </w:rPr>
            </w:pPr>
          </w:p>
        </w:tc>
      </w:tr>
    </w:tbl>
    <w:p w14:paraId="23E11828" w14:textId="77777777" w:rsidR="00557EDD" w:rsidRDefault="00000000">
      <w:pPr>
        <w:autoSpaceDE w:val="0"/>
        <w:autoSpaceDN w:val="0"/>
        <w:adjustRightInd w:val="0"/>
        <w:spacing w:line="360" w:lineRule="auto"/>
        <w:jc w:val="both"/>
        <w:rPr>
          <w:rFonts w:ascii="Book Antiqua" w:hAnsi="Book Antiqua" w:cs="Cambria"/>
          <w:lang w:eastAsia="zh-CN"/>
        </w:rPr>
      </w:pPr>
      <w:r>
        <w:rPr>
          <w:rFonts w:ascii="Book Antiqua" w:hAnsi="Book Antiqua" w:hint="eastAsia"/>
          <w:lang w:val="en-GB" w:eastAsia="zh-CN"/>
        </w:rPr>
        <w:t>SNP: S</w:t>
      </w:r>
      <w:r>
        <w:rPr>
          <w:rFonts w:ascii="Book Antiqua" w:hAnsi="Book Antiqua"/>
          <w:lang w:val="en-GB" w:eastAsia="zh-CN"/>
        </w:rPr>
        <w:t>ingle nucleotide polymorphism</w:t>
      </w:r>
      <w:r>
        <w:rPr>
          <w:rFonts w:ascii="Book Antiqua" w:hAnsi="Book Antiqua" w:hint="eastAsia"/>
          <w:lang w:val="en-GB" w:eastAsia="zh-CN"/>
        </w:rPr>
        <w:t xml:space="preserve">; </w:t>
      </w:r>
      <w:r>
        <w:rPr>
          <w:rFonts w:ascii="Book Antiqua" w:eastAsia="Cambria" w:hAnsi="Book Antiqua"/>
          <w:bCs/>
        </w:rPr>
        <w:t>PTPN2</w:t>
      </w:r>
      <w:r>
        <w:rPr>
          <w:rFonts w:ascii="Book Antiqua" w:hAnsi="Book Antiqua" w:hint="eastAsia"/>
          <w:bCs/>
          <w:lang w:eastAsia="zh-CN"/>
        </w:rPr>
        <w:t xml:space="preserve">: </w:t>
      </w:r>
      <w:r>
        <w:rPr>
          <w:rFonts w:ascii="Book Antiqua" w:hAnsi="Book Antiqua" w:hint="eastAsia"/>
          <w:lang w:val="en-GB" w:eastAsia="zh-CN"/>
        </w:rPr>
        <w:t>P</w:t>
      </w:r>
      <w:r>
        <w:rPr>
          <w:rFonts w:ascii="Book Antiqua" w:hAnsi="Book Antiqua"/>
          <w:lang w:val="en-GB" w:eastAsia="zh-CN"/>
        </w:rPr>
        <w:t>rotein tyrosine phosphate non-receptor type 2</w:t>
      </w:r>
      <w:r>
        <w:rPr>
          <w:rFonts w:ascii="Book Antiqua" w:hAnsi="Book Antiqua" w:hint="eastAsia"/>
          <w:lang w:val="en-GB" w:eastAsia="zh-CN"/>
        </w:rPr>
        <w:t xml:space="preserve">; </w:t>
      </w:r>
      <w:r>
        <w:rPr>
          <w:rFonts w:ascii="Book Antiqua" w:eastAsia="Cambria" w:hAnsi="Book Antiqua" w:cs="Cambria"/>
        </w:rPr>
        <w:t>NSNP</w:t>
      </w:r>
      <w:r>
        <w:rPr>
          <w:rFonts w:ascii="Book Antiqua" w:hAnsi="Book Antiqua" w:cs="Cambria" w:hint="eastAsia"/>
          <w:lang w:eastAsia="zh-CN"/>
        </w:rPr>
        <w:t xml:space="preserve">: </w:t>
      </w:r>
      <w:r>
        <w:rPr>
          <w:rFonts w:ascii="Book Antiqua" w:eastAsia="Cambria" w:hAnsi="Book Antiqua" w:cs="Cambria"/>
        </w:rPr>
        <w:t>Non-stricturing and non-penetrating; SP</w:t>
      </w:r>
      <w:r>
        <w:rPr>
          <w:rFonts w:ascii="Book Antiqua" w:hAnsi="Book Antiqua" w:cs="Cambria" w:hint="eastAsia"/>
          <w:lang w:eastAsia="zh-CN"/>
        </w:rPr>
        <w:t xml:space="preserve">: </w:t>
      </w:r>
      <w:r>
        <w:rPr>
          <w:rFonts w:ascii="Book Antiqua" w:eastAsia="Cambria" w:hAnsi="Book Antiqua" w:cs="Cambria"/>
        </w:rPr>
        <w:t>Stricturing and/or penetrating; EIM</w:t>
      </w:r>
      <w:r>
        <w:rPr>
          <w:rFonts w:ascii="Book Antiqua" w:hAnsi="Book Antiqua" w:cs="Cambria" w:hint="eastAsia"/>
          <w:lang w:eastAsia="zh-CN"/>
        </w:rPr>
        <w:t xml:space="preserve">: </w:t>
      </w:r>
      <w:r>
        <w:rPr>
          <w:rFonts w:ascii="Book Antiqua" w:eastAsia="Cambria" w:hAnsi="Book Antiqua" w:cs="Cambria"/>
        </w:rPr>
        <w:t>Extraintestinal manifestations</w:t>
      </w:r>
      <w:r>
        <w:rPr>
          <w:rFonts w:ascii="Book Antiqua" w:hAnsi="Book Antiqua" w:cs="Cambria" w:hint="eastAsia"/>
          <w:lang w:eastAsia="zh-CN"/>
        </w:rPr>
        <w:t>.</w:t>
      </w:r>
    </w:p>
    <w:p w14:paraId="0D6881C3" w14:textId="61DE4EB4" w:rsidR="00757B85" w:rsidRDefault="00757B85">
      <w:pPr>
        <w:spacing w:line="360" w:lineRule="auto"/>
        <w:jc w:val="both"/>
        <w:rPr>
          <w:rFonts w:ascii="Book Antiqua" w:eastAsia="Cambria" w:hAnsi="Book Antiqua" w:cs="Cambria"/>
        </w:rPr>
      </w:pPr>
    </w:p>
    <w:p w14:paraId="287E28A2" w14:textId="77777777" w:rsidR="00757B85" w:rsidRDefault="00757B85">
      <w:pPr>
        <w:rPr>
          <w:rFonts w:ascii="Book Antiqua" w:eastAsia="Cambria" w:hAnsi="Book Antiqua" w:cs="Cambria"/>
        </w:rPr>
      </w:pPr>
      <w:r>
        <w:rPr>
          <w:rFonts w:ascii="Book Antiqua" w:eastAsia="Cambria" w:hAnsi="Book Antiqua" w:cs="Cambria"/>
        </w:rPr>
        <w:br w:type="page"/>
      </w:r>
    </w:p>
    <w:p w14:paraId="0AE98F25" w14:textId="77777777" w:rsidR="00757B85" w:rsidRDefault="00757B85" w:rsidP="00757B85">
      <w:pPr>
        <w:snapToGrid w:val="0"/>
        <w:ind w:leftChars="100" w:left="240"/>
        <w:jc w:val="center"/>
        <w:rPr>
          <w:rFonts w:ascii="Book Antiqua" w:hAnsi="Book Antiqua"/>
        </w:rPr>
      </w:pPr>
    </w:p>
    <w:p w14:paraId="3D252C13" w14:textId="77777777" w:rsidR="00757B85" w:rsidRDefault="00757B85" w:rsidP="00757B85">
      <w:pPr>
        <w:snapToGrid w:val="0"/>
        <w:ind w:leftChars="100" w:left="240"/>
        <w:jc w:val="center"/>
        <w:rPr>
          <w:rFonts w:ascii="Book Antiqua" w:hAnsi="Book Antiqua"/>
        </w:rPr>
      </w:pPr>
    </w:p>
    <w:p w14:paraId="5618A021" w14:textId="77777777" w:rsidR="00757B85" w:rsidRDefault="00757B85" w:rsidP="00757B85">
      <w:pPr>
        <w:snapToGrid w:val="0"/>
        <w:ind w:leftChars="100" w:left="240"/>
        <w:jc w:val="center"/>
        <w:rPr>
          <w:rFonts w:ascii="Book Antiqua" w:hAnsi="Book Antiqua"/>
        </w:rPr>
      </w:pPr>
    </w:p>
    <w:p w14:paraId="09C3F9EB" w14:textId="77777777" w:rsidR="00757B85" w:rsidRDefault="00757B85" w:rsidP="00757B85">
      <w:pPr>
        <w:snapToGrid w:val="0"/>
        <w:ind w:leftChars="100" w:left="240"/>
        <w:jc w:val="center"/>
        <w:rPr>
          <w:rFonts w:ascii="Book Antiqua" w:hAnsi="Book Antiqua"/>
        </w:rPr>
      </w:pPr>
    </w:p>
    <w:p w14:paraId="3E575D60" w14:textId="77777777" w:rsidR="00757B85" w:rsidRDefault="00757B85" w:rsidP="00757B85">
      <w:pPr>
        <w:snapToGrid w:val="0"/>
        <w:ind w:leftChars="100" w:left="240"/>
        <w:jc w:val="center"/>
        <w:rPr>
          <w:rFonts w:ascii="Book Antiqua" w:hAnsi="Book Antiqua"/>
        </w:rPr>
      </w:pPr>
      <w:r>
        <w:rPr>
          <w:rFonts w:ascii="Book Antiqua" w:hAnsi="Book Antiqua"/>
          <w:noProof/>
        </w:rPr>
        <w:drawing>
          <wp:inline distT="0" distB="0" distL="0" distR="0" wp14:anchorId="52E65B11" wp14:editId="6A407F3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8A5FDC6" w14:textId="77777777" w:rsidR="00757B85" w:rsidRDefault="00757B85" w:rsidP="00757B85">
      <w:pPr>
        <w:snapToGrid w:val="0"/>
        <w:ind w:leftChars="100" w:left="240"/>
        <w:jc w:val="center"/>
        <w:rPr>
          <w:rFonts w:ascii="Book Antiqua" w:hAnsi="Book Antiqua"/>
        </w:rPr>
      </w:pPr>
    </w:p>
    <w:p w14:paraId="53055CDC" w14:textId="77777777" w:rsidR="00757B85" w:rsidRDefault="00757B85" w:rsidP="00757B8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FC84C27" w14:textId="77777777" w:rsidR="00757B85" w:rsidRDefault="00757B85" w:rsidP="00757B8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21E1AAF" w14:textId="77777777" w:rsidR="00757B85" w:rsidRDefault="00757B85" w:rsidP="00757B8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7F26CFD" w14:textId="77777777" w:rsidR="00757B85" w:rsidRDefault="00757B85" w:rsidP="00757B8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A4BEF58" w14:textId="77777777" w:rsidR="00757B85" w:rsidRDefault="00757B85" w:rsidP="00757B8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E29B6BE" w14:textId="77777777" w:rsidR="00757B85" w:rsidRDefault="00757B85" w:rsidP="00757B8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1548491" w14:textId="77777777" w:rsidR="00757B85" w:rsidRDefault="00757B85" w:rsidP="00757B85">
      <w:pPr>
        <w:snapToGrid w:val="0"/>
        <w:ind w:leftChars="100" w:left="240"/>
        <w:jc w:val="center"/>
        <w:rPr>
          <w:rFonts w:ascii="Book Antiqua" w:hAnsi="Book Antiqua"/>
        </w:rPr>
      </w:pPr>
    </w:p>
    <w:p w14:paraId="326E9E18" w14:textId="77777777" w:rsidR="00757B85" w:rsidRDefault="00757B85" w:rsidP="00757B85">
      <w:pPr>
        <w:snapToGrid w:val="0"/>
        <w:ind w:leftChars="100" w:left="240"/>
        <w:jc w:val="center"/>
        <w:rPr>
          <w:rFonts w:ascii="Book Antiqua" w:hAnsi="Book Antiqua"/>
        </w:rPr>
      </w:pPr>
    </w:p>
    <w:p w14:paraId="58B3DC61" w14:textId="77777777" w:rsidR="00757B85" w:rsidRDefault="00757B85" w:rsidP="00757B85">
      <w:pPr>
        <w:snapToGrid w:val="0"/>
        <w:ind w:leftChars="100" w:left="240"/>
        <w:jc w:val="center"/>
        <w:rPr>
          <w:rFonts w:ascii="Book Antiqua" w:hAnsi="Book Antiqua"/>
        </w:rPr>
      </w:pPr>
    </w:p>
    <w:p w14:paraId="071A5107" w14:textId="77777777" w:rsidR="00757B85" w:rsidRDefault="00757B85" w:rsidP="00757B85">
      <w:pPr>
        <w:snapToGrid w:val="0"/>
        <w:ind w:leftChars="100" w:left="240"/>
        <w:jc w:val="center"/>
        <w:rPr>
          <w:rFonts w:ascii="Book Antiqua" w:hAnsi="Book Antiqua"/>
        </w:rPr>
      </w:pPr>
      <w:r>
        <w:rPr>
          <w:rFonts w:ascii="Book Antiqua" w:hAnsi="Book Antiqua"/>
          <w:noProof/>
        </w:rPr>
        <w:drawing>
          <wp:inline distT="0" distB="0" distL="0" distR="0" wp14:anchorId="475CDA89" wp14:editId="5038A22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7A34094" w14:textId="77777777" w:rsidR="00757B85" w:rsidRDefault="00757B85" w:rsidP="00757B85">
      <w:pPr>
        <w:snapToGrid w:val="0"/>
        <w:ind w:leftChars="100" w:left="240"/>
        <w:jc w:val="center"/>
        <w:rPr>
          <w:rFonts w:ascii="Book Antiqua" w:hAnsi="Book Antiqua"/>
        </w:rPr>
      </w:pPr>
    </w:p>
    <w:p w14:paraId="6CF128BB" w14:textId="77777777" w:rsidR="00757B85" w:rsidRDefault="00757B85" w:rsidP="00757B85">
      <w:pPr>
        <w:snapToGrid w:val="0"/>
        <w:ind w:leftChars="100" w:left="240"/>
        <w:jc w:val="center"/>
        <w:rPr>
          <w:rFonts w:ascii="Book Antiqua" w:hAnsi="Book Antiqua"/>
        </w:rPr>
      </w:pPr>
    </w:p>
    <w:p w14:paraId="7AB48C42" w14:textId="77777777" w:rsidR="00757B85" w:rsidRDefault="00757B85" w:rsidP="00757B85">
      <w:pPr>
        <w:snapToGrid w:val="0"/>
        <w:ind w:leftChars="100" w:left="240"/>
        <w:jc w:val="center"/>
        <w:rPr>
          <w:rFonts w:ascii="Book Antiqua" w:hAnsi="Book Antiqua"/>
        </w:rPr>
      </w:pPr>
    </w:p>
    <w:p w14:paraId="7B75C9C4" w14:textId="77777777" w:rsidR="00757B85" w:rsidRDefault="00757B85" w:rsidP="00757B85">
      <w:pPr>
        <w:snapToGrid w:val="0"/>
        <w:ind w:leftChars="100" w:left="240"/>
        <w:jc w:val="center"/>
        <w:rPr>
          <w:rFonts w:ascii="Book Antiqua" w:hAnsi="Book Antiqua"/>
        </w:rPr>
      </w:pPr>
    </w:p>
    <w:p w14:paraId="70CA65E7" w14:textId="77777777" w:rsidR="00757B85" w:rsidRDefault="00757B85" w:rsidP="00757B85">
      <w:pPr>
        <w:snapToGrid w:val="0"/>
        <w:ind w:leftChars="100" w:left="240"/>
        <w:jc w:val="center"/>
        <w:rPr>
          <w:rFonts w:ascii="Book Antiqua" w:hAnsi="Book Antiqua"/>
        </w:rPr>
      </w:pPr>
    </w:p>
    <w:p w14:paraId="1FB438F2" w14:textId="77777777" w:rsidR="00757B85" w:rsidRDefault="00757B85" w:rsidP="00757B85">
      <w:pPr>
        <w:snapToGrid w:val="0"/>
        <w:ind w:leftChars="100" w:left="240"/>
        <w:jc w:val="center"/>
        <w:rPr>
          <w:rFonts w:ascii="Book Antiqua" w:hAnsi="Book Antiqua"/>
        </w:rPr>
      </w:pPr>
    </w:p>
    <w:p w14:paraId="5FF9504A" w14:textId="77777777" w:rsidR="00757B85" w:rsidRDefault="00757B85" w:rsidP="00757B85">
      <w:pPr>
        <w:snapToGrid w:val="0"/>
        <w:ind w:leftChars="100" w:left="240"/>
        <w:jc w:val="center"/>
        <w:rPr>
          <w:rFonts w:ascii="Book Antiqua" w:hAnsi="Book Antiqua"/>
        </w:rPr>
      </w:pPr>
    </w:p>
    <w:p w14:paraId="7A89FF72" w14:textId="77777777" w:rsidR="00757B85" w:rsidRDefault="00757B85" w:rsidP="00757B85">
      <w:pPr>
        <w:snapToGrid w:val="0"/>
        <w:ind w:leftChars="100" w:left="240"/>
        <w:jc w:val="center"/>
        <w:rPr>
          <w:rFonts w:ascii="Book Antiqua" w:hAnsi="Book Antiqua"/>
        </w:rPr>
      </w:pPr>
    </w:p>
    <w:p w14:paraId="1B19AD14" w14:textId="77777777" w:rsidR="00757B85" w:rsidRDefault="00757B85" w:rsidP="00757B85">
      <w:pPr>
        <w:snapToGrid w:val="0"/>
        <w:ind w:leftChars="100" w:left="240"/>
        <w:jc w:val="center"/>
        <w:rPr>
          <w:rFonts w:ascii="Book Antiqua" w:hAnsi="Book Antiqua"/>
        </w:rPr>
      </w:pPr>
    </w:p>
    <w:p w14:paraId="4311AB10" w14:textId="77777777" w:rsidR="00757B85" w:rsidRDefault="00757B85" w:rsidP="00757B85">
      <w:pPr>
        <w:snapToGrid w:val="0"/>
        <w:ind w:leftChars="100" w:left="240"/>
        <w:jc w:val="right"/>
        <w:rPr>
          <w:rFonts w:ascii="Book Antiqua" w:hAnsi="Book Antiqua"/>
          <w:color w:val="000000" w:themeColor="text1"/>
        </w:rPr>
      </w:pPr>
    </w:p>
    <w:p w14:paraId="17DC53A4" w14:textId="77777777" w:rsidR="00757B85" w:rsidRDefault="00757B85" w:rsidP="00757B8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7A817159" w14:textId="77777777" w:rsidR="00757B85" w:rsidRDefault="00757B85" w:rsidP="00757B85">
      <w:pPr>
        <w:rPr>
          <w:rFonts w:ascii="Book Antiqua" w:hAnsi="Book Antiqua" w:cs="Book Antiqua"/>
          <w:b/>
          <w:bCs/>
          <w:color w:val="000000"/>
        </w:rPr>
      </w:pPr>
    </w:p>
    <w:p w14:paraId="7D46D766" w14:textId="77777777" w:rsidR="00557EDD" w:rsidRDefault="00557EDD">
      <w:pPr>
        <w:spacing w:line="360" w:lineRule="auto"/>
        <w:jc w:val="both"/>
        <w:rPr>
          <w:rFonts w:ascii="Book Antiqua" w:eastAsia="Cambria" w:hAnsi="Book Antiqua" w:cs="Cambria"/>
        </w:rPr>
      </w:pPr>
    </w:p>
    <w:sectPr w:rsidR="00557E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DAB16" w14:textId="77777777" w:rsidR="00F93D47" w:rsidRDefault="00F93D47">
      <w:r>
        <w:separator/>
      </w:r>
    </w:p>
  </w:endnote>
  <w:endnote w:type="continuationSeparator" w:id="0">
    <w:p w14:paraId="4C325618" w14:textId="77777777" w:rsidR="00F93D47" w:rsidRDefault="00F9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2A36" w14:textId="77777777" w:rsidR="00557EDD" w:rsidRDefault="00000000">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20</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27</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AD338" w14:textId="77777777" w:rsidR="00F93D47" w:rsidRDefault="00F93D47">
      <w:r>
        <w:separator/>
      </w:r>
    </w:p>
  </w:footnote>
  <w:footnote w:type="continuationSeparator" w:id="0">
    <w:p w14:paraId="78673829" w14:textId="77777777" w:rsidR="00F93D47" w:rsidRDefault="00F93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000C23"/>
    <w:rsid w:val="000249CF"/>
    <w:rsid w:val="0003360D"/>
    <w:rsid w:val="00081C02"/>
    <w:rsid w:val="000C3E37"/>
    <w:rsid w:val="000F7561"/>
    <w:rsid w:val="001132E0"/>
    <w:rsid w:val="001203EB"/>
    <w:rsid w:val="00134ABD"/>
    <w:rsid w:val="001612A2"/>
    <w:rsid w:val="001650AF"/>
    <w:rsid w:val="001978C9"/>
    <w:rsid w:val="001C7068"/>
    <w:rsid w:val="001D4166"/>
    <w:rsid w:val="001F3A76"/>
    <w:rsid w:val="00245D03"/>
    <w:rsid w:val="00263E8D"/>
    <w:rsid w:val="00277B99"/>
    <w:rsid w:val="002E26D0"/>
    <w:rsid w:val="003371F8"/>
    <w:rsid w:val="00347D8F"/>
    <w:rsid w:val="00350C3F"/>
    <w:rsid w:val="003A4224"/>
    <w:rsid w:val="003A649E"/>
    <w:rsid w:val="003C5CF4"/>
    <w:rsid w:val="003D7193"/>
    <w:rsid w:val="00516331"/>
    <w:rsid w:val="00551D0C"/>
    <w:rsid w:val="0055522B"/>
    <w:rsid w:val="00557EDD"/>
    <w:rsid w:val="00575650"/>
    <w:rsid w:val="005D3D8A"/>
    <w:rsid w:val="005F5A2B"/>
    <w:rsid w:val="005F78EC"/>
    <w:rsid w:val="00666356"/>
    <w:rsid w:val="00666932"/>
    <w:rsid w:val="00671445"/>
    <w:rsid w:val="00694793"/>
    <w:rsid w:val="006C2BD6"/>
    <w:rsid w:val="006C6BF3"/>
    <w:rsid w:val="006E05D0"/>
    <w:rsid w:val="0070453A"/>
    <w:rsid w:val="00757B85"/>
    <w:rsid w:val="00773011"/>
    <w:rsid w:val="00797A9C"/>
    <w:rsid w:val="007A7FD0"/>
    <w:rsid w:val="007B4E96"/>
    <w:rsid w:val="007C118B"/>
    <w:rsid w:val="007E13AE"/>
    <w:rsid w:val="007E305A"/>
    <w:rsid w:val="007E525B"/>
    <w:rsid w:val="007E62F8"/>
    <w:rsid w:val="00831FE0"/>
    <w:rsid w:val="00843F8F"/>
    <w:rsid w:val="0084792A"/>
    <w:rsid w:val="008728F0"/>
    <w:rsid w:val="00886E16"/>
    <w:rsid w:val="008F189E"/>
    <w:rsid w:val="0094213D"/>
    <w:rsid w:val="00942BF6"/>
    <w:rsid w:val="00953AEC"/>
    <w:rsid w:val="009562D8"/>
    <w:rsid w:val="00987BBB"/>
    <w:rsid w:val="009E100B"/>
    <w:rsid w:val="00A0418C"/>
    <w:rsid w:val="00A131E2"/>
    <w:rsid w:val="00A202DB"/>
    <w:rsid w:val="00A342BB"/>
    <w:rsid w:val="00A71C03"/>
    <w:rsid w:val="00A77459"/>
    <w:rsid w:val="00A77B3E"/>
    <w:rsid w:val="00AC6C0E"/>
    <w:rsid w:val="00AE6250"/>
    <w:rsid w:val="00B22635"/>
    <w:rsid w:val="00B4291B"/>
    <w:rsid w:val="00B43F11"/>
    <w:rsid w:val="00B7483C"/>
    <w:rsid w:val="00BD19E0"/>
    <w:rsid w:val="00BD3D70"/>
    <w:rsid w:val="00C22FCB"/>
    <w:rsid w:val="00C65ADF"/>
    <w:rsid w:val="00C76415"/>
    <w:rsid w:val="00C934BF"/>
    <w:rsid w:val="00CA2A55"/>
    <w:rsid w:val="00CB4EB8"/>
    <w:rsid w:val="00CC373E"/>
    <w:rsid w:val="00CF1CB4"/>
    <w:rsid w:val="00D529E2"/>
    <w:rsid w:val="00D57A5E"/>
    <w:rsid w:val="00D63003"/>
    <w:rsid w:val="00E01404"/>
    <w:rsid w:val="00E364A2"/>
    <w:rsid w:val="00E70E13"/>
    <w:rsid w:val="00E720A2"/>
    <w:rsid w:val="00EA75B9"/>
    <w:rsid w:val="00ED0075"/>
    <w:rsid w:val="00F34254"/>
    <w:rsid w:val="00F36C5E"/>
    <w:rsid w:val="00F87452"/>
    <w:rsid w:val="00F93D47"/>
    <w:rsid w:val="00FE5B2C"/>
    <w:rsid w:val="66B44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EAD95B"/>
  <w15:docId w15:val="{7755D726-16A6-43C0-B3D1-36E45688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rPr>
      <w:sz w:val="18"/>
      <w:szCs w:val="18"/>
    </w:rPr>
  </w:style>
  <w:style w:type="paragraph" w:styleId="a7">
    <w:name w:val="footer"/>
    <w:basedOn w:val="a"/>
    <w:link w:val="a8"/>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uiPriority w:val="39"/>
    <w:qFormat/>
    <w:rPr>
      <w:rFonts w:ascii="Calibri" w:hAnsi="Calibr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qFormat/>
    <w:rPr>
      <w:sz w:val="21"/>
      <w:szCs w:val="21"/>
    </w:rPr>
  </w:style>
  <w:style w:type="character" w:customStyle="1" w:styleId="a4">
    <w:name w:val="批注文字 字符"/>
    <w:basedOn w:val="a0"/>
    <w:link w:val="a3"/>
    <w:rPr>
      <w:sz w:val="24"/>
      <w:szCs w:val="24"/>
    </w:rPr>
  </w:style>
  <w:style w:type="character" w:customStyle="1" w:styleId="ac">
    <w:name w:val="批注主题 字符"/>
    <w:basedOn w:val="a4"/>
    <w:link w:val="ab"/>
    <w:qFormat/>
    <w:rPr>
      <w:b/>
      <w:bCs/>
      <w:sz w:val="24"/>
      <w:szCs w:val="24"/>
    </w:rPr>
  </w:style>
  <w:style w:type="character" w:customStyle="1" w:styleId="a6">
    <w:name w:val="批注框文本 字符"/>
    <w:basedOn w:val="a0"/>
    <w:link w:val="a5"/>
    <w:qFormat/>
    <w:rPr>
      <w:sz w:val="18"/>
      <w:szCs w:val="18"/>
    </w:rPr>
  </w:style>
  <w:style w:type="paragraph" w:customStyle="1" w:styleId="1">
    <w:name w:val="正文1"/>
    <w:uiPriority w:val="99"/>
    <w:pPr>
      <w:spacing w:line="276" w:lineRule="auto"/>
    </w:pPr>
    <w:rPr>
      <w:rFonts w:ascii="Arial" w:hAnsi="Arial" w:cs="Arial"/>
      <w:color w:val="000000"/>
      <w:sz w:val="22"/>
      <w:lang w:val="pl-PL" w:eastAsia="pl-PL"/>
    </w:rPr>
  </w:style>
  <w:style w:type="paragraph" w:customStyle="1" w:styleId="10">
    <w:name w:val="修订1"/>
    <w:hidden/>
    <w:uiPriority w:val="99"/>
    <w:semiHidden/>
    <w:qFormat/>
    <w:rPr>
      <w:rFonts w:eastAsiaTheme="minorEastAsia"/>
      <w:sz w:val="24"/>
      <w:szCs w:val="24"/>
      <w:lang w:eastAsia="en-US"/>
    </w:rPr>
  </w:style>
  <w:style w:type="character" w:customStyle="1" w:styleId="aa">
    <w:name w:val="页眉 字符"/>
    <w:basedOn w:val="a0"/>
    <w:link w:val="a9"/>
    <w:rPr>
      <w:sz w:val="18"/>
      <w:szCs w:val="18"/>
    </w:rPr>
  </w:style>
  <w:style w:type="character" w:customStyle="1" w:styleId="a8">
    <w:name w:val="页脚 字符"/>
    <w:basedOn w:val="a0"/>
    <w:link w:val="a7"/>
    <w:qFormat/>
    <w:rPr>
      <w:sz w:val="18"/>
      <w:szCs w:val="18"/>
    </w:rPr>
  </w:style>
  <w:style w:type="character" w:styleId="af">
    <w:name w:val="Hyperlink"/>
    <w:basedOn w:val="a0"/>
    <w:unhideWhenUsed/>
    <w:rsid w:val="00AC6C0E"/>
    <w:rPr>
      <w:color w:val="0000FF" w:themeColor="hyperlink"/>
      <w:u w:val="single"/>
    </w:rPr>
  </w:style>
  <w:style w:type="character" w:styleId="af0">
    <w:name w:val="Unresolved Mention"/>
    <w:basedOn w:val="a0"/>
    <w:uiPriority w:val="99"/>
    <w:semiHidden/>
    <w:unhideWhenUsed/>
    <w:rsid w:val="00AC6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150-5330/full/v13/i4/114.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28</Pages>
  <Words>6317</Words>
  <Characters>36009</Characters>
  <Application>Microsoft Office Word</Application>
  <DocSecurity>0</DocSecurity>
  <Lines>300</Lines>
  <Paragraphs>84</Paragraphs>
  <ScaleCrop>false</ScaleCrop>
  <Company/>
  <LinksUpToDate>false</LinksUpToDate>
  <CharactersWithSpaces>42242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wdm</cp:lastModifiedBy>
  <cp:revision>21</cp:revision>
  <dcterms:created xsi:type="dcterms:W3CDTF">2022-05-22T07:07:00Z</dcterms:created>
  <dcterms:modified xsi:type="dcterms:W3CDTF">2022-07-18T06:27:00Z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22DDD80D755246819B7DF40473CDBDD3</vt:lpwstr>
  </property>
</Properties>
</file>