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75228</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bookmarkStart w:id="0" w:name="OLE_LINK4185"/>
      <w:bookmarkStart w:id="1" w:name="OLE_LINK4186"/>
      <w:r>
        <w:rPr>
          <w:rFonts w:ascii="Book Antiqua" w:hAnsi="Book Antiqua" w:eastAsia="Book Antiqua" w:cs="Book Antiqua"/>
          <w:b/>
          <w:bCs/>
          <w:color w:val="000000"/>
        </w:rPr>
        <w:t>Interventional strategies in infected necrotizing pancreatitis: Indications, timing, and outcomes</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Purschke B</w:t>
      </w:r>
      <w:r>
        <w:rPr>
          <w:rFonts w:ascii="Book Antiqua" w:hAnsi="Book Antiqua" w:eastAsia="Book Antiqua" w:cs="Book Antiqua"/>
          <w:color w:val="000000"/>
          <w:lang w:eastAsia="zh-CN"/>
        </w:rPr>
        <w:t xml:space="preserve"> </w:t>
      </w:r>
      <w:r>
        <w:rPr>
          <w:rFonts w:ascii="Book Antiqua" w:hAnsi="Book Antiqua" w:eastAsia="Book Antiqua" w:cs="Book Antiqua"/>
          <w:i/>
          <w:iCs/>
          <w:color w:val="000000"/>
          <w:lang w:eastAsia="zh-CN"/>
        </w:rPr>
        <w:t>et al</w:t>
      </w:r>
      <w:r>
        <w:rPr>
          <w:rFonts w:ascii="Book Antiqua" w:hAnsi="Book Antiqua" w:eastAsia="Book Antiqua" w:cs="Book Antiqua"/>
          <w:color w:val="000000"/>
          <w:lang w:eastAsia="zh-CN"/>
        </w:rPr>
        <w:t xml:space="preserve">. </w:t>
      </w:r>
      <w:bookmarkStart w:id="2" w:name="OLE_LINK4188"/>
      <w:bookmarkStart w:id="3" w:name="OLE_LINK4187"/>
      <w:r>
        <w:rPr>
          <w:rFonts w:ascii="Book Antiqua" w:hAnsi="Book Antiqua" w:eastAsia="Book Antiqua" w:cs="Book Antiqua"/>
          <w:color w:val="000000"/>
        </w:rPr>
        <w:t>Interventional strategies in infected necrotizing pancreatitis</w:t>
      </w:r>
      <w:bookmarkEnd w:id="2"/>
      <w:bookmarkEnd w:id="3"/>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Birte Purschke, Louisa Bolm, Max Nikolaus </w:t>
      </w:r>
      <w:bookmarkStart w:id="4" w:name="OLE_LINK4548"/>
      <w:bookmarkStart w:id="5" w:name="OLE_LINK4549"/>
      <w:r>
        <w:rPr>
          <w:rFonts w:ascii="Book Antiqua" w:hAnsi="Book Antiqua" w:eastAsia="Book Antiqua" w:cs="Book Antiqua"/>
          <w:color w:val="000000"/>
        </w:rPr>
        <w:t>Meyer</w:t>
      </w:r>
      <w:bookmarkEnd w:id="4"/>
      <w:bookmarkEnd w:id="5"/>
      <w:r>
        <w:rPr>
          <w:rFonts w:ascii="Book Antiqua" w:hAnsi="Book Antiqua" w:eastAsia="Book Antiqua" w:cs="Book Antiqua"/>
          <w:color w:val="000000"/>
        </w:rPr>
        <w:t>, Hiroki Sato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Birte Purschke, Louisa Bolm, </w:t>
      </w:r>
      <w:r>
        <w:rPr>
          <w:rFonts w:ascii="Book Antiqua" w:hAnsi="Book Antiqua" w:eastAsia="Book Antiqua" w:cs="Book Antiqua"/>
          <w:color w:val="000000"/>
        </w:rPr>
        <w:t>Department of Gastrointestinal Surgery, Massachusetts General Hospital, Boston, MA 02114, United States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Max Nikolaus Meyer, </w:t>
      </w:r>
      <w:r>
        <w:rPr>
          <w:rFonts w:ascii="Book Antiqua" w:hAnsi="Book Antiqua" w:eastAsia="Book Antiqua" w:cs="Book Antiqua"/>
          <w:color w:val="000000"/>
        </w:rPr>
        <w:t>Department of Radiation Oncology, Massachusetts General Hospital, Boston, MA 02114,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Hiroki Sato, </w:t>
      </w:r>
      <w:r>
        <w:rPr>
          <w:rFonts w:ascii="Book Antiqua" w:hAnsi="Book Antiqua" w:eastAsia="Book Antiqua" w:cs="Book Antiqua"/>
          <w:color w:val="000000"/>
        </w:rPr>
        <w:t>Department of Medicine, Asahikawa Medical University, Asahikawa 0788510, Hokkaido, Japan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Hiroki Sato, </w:t>
      </w:r>
      <w:r>
        <w:rPr>
          <w:rFonts w:ascii="Book Antiqua" w:hAnsi="Book Antiqua" w:eastAsia="Book Antiqua" w:cs="Book Antiqua"/>
          <w:color w:val="000000"/>
        </w:rPr>
        <w:t>Department of Gastroenterology, Asahikawa Kosei Hospital, Asahikawa 0788211, Hokkaido, Japan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Purschke B wrote and edited the manuscript, and collected the clinical data and evidence; B</w:t>
      </w:r>
      <w:r>
        <w:rPr>
          <w:rFonts w:ascii="Book Antiqua" w:hAnsi="Book Antiqua" w:eastAsia="Book Antiqua" w:cs="Book Antiqua"/>
          <w:color w:val="000000"/>
          <w:lang w:eastAsia="zh-CN"/>
        </w:rPr>
        <w:t xml:space="preserve">olm </w:t>
      </w:r>
      <w:r>
        <w:rPr>
          <w:rFonts w:ascii="Book Antiqua" w:hAnsi="Book Antiqua" w:eastAsia="Book Antiqua" w:cs="Book Antiqua"/>
          <w:color w:val="000000"/>
        </w:rPr>
        <w:t>L edited the manuscript and reviewed the discussion about interventional surgical strategies; Meyer MN reviewed the manuscript and provided recommendations on treatment strategies; S</w:t>
      </w:r>
      <w:r>
        <w:rPr>
          <w:rFonts w:ascii="Book Antiqua" w:hAnsi="Book Antiqua" w:eastAsia="Book Antiqua" w:cs="Book Antiqua"/>
          <w:color w:val="000000"/>
          <w:lang w:eastAsia="zh-CN"/>
        </w:rPr>
        <w:t xml:space="preserve">ato </w:t>
      </w:r>
      <w:r>
        <w:rPr>
          <w:rFonts w:ascii="Book Antiqua" w:hAnsi="Book Antiqua" w:eastAsia="Book Antiqua" w:cs="Book Antiqua"/>
          <w:color w:val="000000"/>
        </w:rPr>
        <w:t>H reviewed the manuscript and provided strategies and recommendations on the endoscopic intervention part;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Supported by </w:t>
      </w:r>
      <w:bookmarkStart w:id="6" w:name="OLE_LINK4049"/>
      <w:bookmarkStart w:id="7" w:name="OLE_LINK4048"/>
      <w:bookmarkStart w:id="8" w:name="OLE_LINK4050"/>
      <w:r>
        <w:rPr>
          <w:rFonts w:ascii="Book Antiqua" w:hAnsi="Book Antiqua" w:eastAsia="Book Antiqua" w:cs="Book Antiqua"/>
          <w:color w:val="000000" w:themeColor="text1"/>
          <w14:textFill>
            <w14:solidFill>
              <w14:schemeClr w14:val="tx1"/>
            </w14:solidFill>
          </w14:textFill>
        </w:rPr>
        <w:t xml:space="preserve">Japan Society for the Promotion of Science KAKENHI, No. 19K17480 and No. </w:t>
      </w:r>
      <w:bookmarkStart w:id="9" w:name="OLE_LINK3474"/>
      <w:bookmarkStart w:id="10" w:name="OLE_LINK3473"/>
      <w:r>
        <w:rPr>
          <w:rFonts w:ascii="Book Antiqua" w:hAnsi="Book Antiqua" w:eastAsia="Book Antiqua" w:cs="Book Antiqua"/>
          <w:color w:val="000000" w:themeColor="text1"/>
          <w14:textFill>
            <w14:solidFill>
              <w14:schemeClr w14:val="tx1"/>
            </w14:solidFill>
          </w14:textFill>
        </w:rPr>
        <w:t>21KK0283</w:t>
      </w:r>
      <w:bookmarkEnd w:id="9"/>
      <w:bookmarkEnd w:id="10"/>
      <w:r>
        <w:rPr>
          <w:rFonts w:ascii="Book Antiqua" w:hAnsi="Book Antiqua" w:eastAsia="Book Antiqua" w:cs="Book Antiqua"/>
          <w:color w:val="000000" w:themeColor="text1"/>
          <w14:textFill>
            <w14:solidFill>
              <w14:schemeClr w14:val="tx1"/>
            </w14:solidFill>
          </w14:textFill>
        </w:rPr>
        <w:t xml:space="preserve"> (to S</w:t>
      </w:r>
      <w:r>
        <w:rPr>
          <w:rFonts w:ascii="Book Antiqua" w:hAnsi="Book Antiqua" w:eastAsia="Book Antiqua" w:cs="Book Antiqua"/>
          <w:color w:val="000000" w:themeColor="text1"/>
          <w:lang w:eastAsia="zh-CN"/>
          <w14:textFill>
            <w14:solidFill>
              <w14:schemeClr w14:val="tx1"/>
            </w14:solidFill>
          </w14:textFill>
        </w:rPr>
        <w:t>ato H</w:t>
      </w:r>
      <w:r>
        <w:rPr>
          <w:rFonts w:ascii="Book Antiqua" w:hAnsi="Book Antiqua" w:eastAsia="Book Antiqua" w:cs="Book Antiqua"/>
          <w:color w:val="000000" w:themeColor="text1"/>
          <w14:textFill>
            <w14:solidFill>
              <w14:schemeClr w14:val="tx1"/>
            </w14:solidFill>
          </w14:textFill>
        </w:rPr>
        <w:t>)</w:t>
      </w:r>
      <w:bookmarkEnd w:id="6"/>
      <w:bookmarkEnd w:id="7"/>
      <w:bookmarkEnd w:id="8"/>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Hiroki Sato, MD, PhD, Academic Fellow, Chief Doctor, Research Fellow, </w:t>
      </w:r>
      <w:r>
        <w:rPr>
          <w:rFonts w:ascii="Book Antiqua" w:hAnsi="Book Antiqua" w:eastAsia="Book Antiqua" w:cs="Book Antiqua"/>
          <w:color w:val="000000"/>
        </w:rPr>
        <w:t>Department of Medicine, Asahikawa Medical University, 1-1, Midorigaoka Higashi 2 Jyo 1 Chome, Asahikawa 0788510, Hokkaido, Japan. hirokisato@asahikawa-med.ac.jp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20,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7,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June 15,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July 21, 2022</w:t>
      </w:r>
    </w:p>
    <w:p>
      <w:pPr>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 xml:space="preserve">Acute pancreatitis (AP) is one of the most common gastrointestinal diseases and remains a life-threatening condition. Although AP resolves to restitutio ad integrum in approximately 80% of patients, it can progress to </w:t>
      </w:r>
      <w:bookmarkStart w:id="11" w:name="OLE_LINK4550"/>
      <w:bookmarkStart w:id="12" w:name="OLE_LINK4551"/>
      <w:r>
        <w:rPr>
          <w:rFonts w:ascii="Book Antiqua" w:hAnsi="Book Antiqua" w:eastAsia="Book Antiqua" w:cs="Book Antiqua"/>
          <w:color w:val="000000"/>
        </w:rPr>
        <w:t>necrotizing pancreatitis</w:t>
      </w:r>
      <w:bookmarkEnd w:id="11"/>
      <w:bookmarkEnd w:id="12"/>
      <w:r>
        <w:rPr>
          <w:rFonts w:ascii="Book Antiqua" w:hAnsi="Book Antiqua" w:eastAsia="Book Antiqua" w:cs="Book Antiqua"/>
          <w:color w:val="000000"/>
        </w:rPr>
        <w:t xml:space="preserve"> (NP). NP is associated with superinfection in a third of patients, leading to an increase in mortality rate of up to 40%. Accurate and early diagnosis of NP and associated complications, as well as state-of-the-art therapy are essential to improve patient prognoses. The emerging role of endoscopy and recent trials on multidisciplinary management of NP established the “step-up approach”. This approach starts with endoscopic interventions and can be escalated to other interventional and ultimately surgical procedures if required. Studies showed that this approach decreases the incidence of new multiple-organ failure as well as the risk of interventional complications. However, the optimal interventional sequence and timing of interventional procedures remain controversial. This review aims to summarize the indications, timing, and treatment outcomes for infected NP and to provide guidance on multidisciplinary decision-making.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Pancreatitis; Acute necrotizing pancreatitis; Necrosis; Superinfection; Endoscopy; Surgery</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Purschke B, Bolm L, Meyer MN, Sato H. Interventional strategies in infected necrotizing pancreatitis: Indications, timing, and outcomes.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bookmarkStart w:id="13" w:name="OLE_LINK3"/>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3383-3397</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3383</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bookmarkEnd w:id="13"/>
      <w:r>
        <w:rPr>
          <w:rFonts w:hint="default" w:ascii="Book Antiqua" w:hAnsi="Book Antiqua" w:eastAsia="Book Antiqua" w:cs="Book Antiqua"/>
          <w:color w:val="000000"/>
          <w:kern w:val="0"/>
          <w:sz w:val="24"/>
          <w:szCs w:val="24"/>
          <w:lang w:val="en-US" w:eastAsia="zh-CN"/>
        </w:rPr>
        <w:t>3383</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Acute pancreatitis remains a potentially life-threatening disease. Necrotizing pancreatitis (NP) is associated with superinfection and increases the mortality rate. We summarized the current evidence and clinical recommendations of multidisciplinary approaches focusing on conservative, interventional, and surgical treatment. The interventional approach is often required as a first step in treating infected NP, while further options include minimal invasive or an escalation to open surgical treatment. Although this “step-up approach” is well-established, the exact timing, sequence, and procedure choice remain controversial; this review aims to summarize current evidence and to provide guidance for decision making in clinical practice.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Acute pancreatitis (AP) is one of the most common and severe gastrointestinal diseases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rate of AP-related hospitalization in the United States increased from 65.38 to 81.88 per 100000 United S</w:t>
      </w:r>
      <w:r>
        <w:rPr>
          <w:rFonts w:ascii="Book Antiqua" w:hAnsi="Book Antiqua" w:eastAsia="Book Antiqua" w:cs="Book Antiqua"/>
          <w:color w:val="000000"/>
          <w:lang w:eastAsia="zh-CN"/>
        </w:rPr>
        <w:t>tates</w:t>
      </w:r>
      <w:r>
        <w:rPr>
          <w:rFonts w:ascii="Book Antiqua" w:hAnsi="Book Antiqua" w:eastAsia="Book Antiqua" w:cs="Book Antiqua"/>
          <w:color w:val="000000"/>
        </w:rPr>
        <w:t xml:space="preserve"> adults per year from 2001 to 2014</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pathophysiology of AP is characterized by acinar cell injury leading to premature intrapancreatic activation of digestive proteases. ATP depletion and mixed </w:t>
      </w:r>
      <w:bookmarkStart w:id="14" w:name="OLE_LINK4553"/>
      <w:bookmarkStart w:id="15" w:name="OLE_LINK4552"/>
      <w:r>
        <w:rPr>
          <w:rFonts w:ascii="Book Antiqua" w:hAnsi="Book Antiqua" w:eastAsia="Book Antiqua" w:cs="Book Antiqua"/>
          <w:color w:val="000000"/>
        </w:rPr>
        <w:t>lineage kinase domain-like protein</w:t>
      </w:r>
      <w:bookmarkEnd w:id="14"/>
      <w:bookmarkEnd w:id="15"/>
      <w:r>
        <w:rPr>
          <w:rFonts w:ascii="Book Antiqua" w:hAnsi="Book Antiqua" w:eastAsia="Book Antiqua" w:cs="Book Antiqua"/>
          <w:color w:val="000000"/>
        </w:rPr>
        <w:t xml:space="preserve"> phosphorylation lead to acinar cell necroptosis and necrosis</w:t>
      </w:r>
      <w:r>
        <w:rPr>
          <w:rFonts w:ascii="Book Antiqua" w:hAnsi="Book Antiqua" w:eastAsia="Book Antiqua" w:cs="Book Antiqua"/>
          <w:color w:val="000000"/>
          <w:vertAlign w:val="superscript"/>
        </w:rPr>
        <w:t>[3]</w:t>
      </w:r>
      <w:r>
        <w:rPr>
          <w:rFonts w:ascii="Book Antiqua" w:hAnsi="Book Antiqua" w:eastAsia="Book Antiqua" w:cs="Book Antiqua"/>
          <w:color w:val="000000"/>
        </w:rPr>
        <w:t>. This results in a cascade effect leading to autodigestion of the pancreatic parenchyma. The acinar cell injury and autodigestion can be induced by different mechanisms; recent publications discuss, for example, the role of hypercalcemia and organelle dysfunction. Cholecystokinin, biliary acids, and alcohol consumption can lead to increased Ca</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efflux by the </w:t>
      </w:r>
      <w:bookmarkStart w:id="16" w:name="OLE_LINK4555"/>
      <w:bookmarkStart w:id="17" w:name="OLE_LINK4554"/>
      <w:r>
        <w:rPr>
          <w:rFonts w:ascii="Book Antiqua" w:hAnsi="Book Antiqua" w:eastAsia="Book Antiqua" w:cs="Book Antiqua"/>
          <w:color w:val="000000"/>
        </w:rPr>
        <w:t>endoplasmic reticulum</w:t>
      </w:r>
      <w:bookmarkEnd w:id="16"/>
      <w:bookmarkEnd w:id="17"/>
      <w:r>
        <w:rPr>
          <w:rFonts w:ascii="Book Antiqua" w:hAnsi="Book Antiqua" w:eastAsia="Book Antiqua" w:cs="Book Antiqua"/>
          <w:color w:val="000000"/>
        </w:rPr>
        <w:t xml:space="preserve"> (ER). In turn, hypercalcemia can damage the mitochondrial membrane, reducing ATP production and hence the function of the Ca</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efflux mechanisms of the cell itself, which increases the intracellular Ca</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levels even further. This intracellular Ca</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overload ultimately leads to the release and activation of digestive enzymes, which results in premature activation of trypsin. In addition, bile acids, alcohol, and other pancreatic toxic substances can trigger the acinar cells themselves, leading to higher secretion of trypsin</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AP can be classified as either interstitial edematous or necrotizing pancreatitis (NP). While inflammation and edema of the pancreatic parenchyma and peripancreatic tissues characterize intestinal edematous pancreatitis, further pancreatic or peripancreatic necrosis is known as NP</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which is a potentially life-threatening disease associated with a 15% mortality rate. In approximately a third of patients with NP, superinfection (fungal or bacterial infection) of necrosis occurs during the clinical course, mostly within 2 to 4 wk after disease onset. </w:t>
      </w:r>
      <w:bookmarkStart w:id="18" w:name="OLE_LINK4593"/>
      <w:bookmarkStart w:id="19" w:name="OLE_LINK4592"/>
      <w:r>
        <w:rPr>
          <w:rFonts w:ascii="Book Antiqua" w:hAnsi="Book Antiqua" w:eastAsia="Book Antiqua" w:cs="Book Antiqua"/>
          <w:color w:val="000000"/>
        </w:rPr>
        <w:t>Infected</w:t>
      </w:r>
      <w:bookmarkEnd w:id="18"/>
      <w:bookmarkEnd w:id="19"/>
      <w:r>
        <w:rPr>
          <w:rFonts w:ascii="Book Antiqua" w:hAnsi="Book Antiqua" w:eastAsia="Book Antiqua" w:cs="Book Antiqua"/>
          <w:color w:val="000000"/>
        </w:rPr>
        <w:t xml:space="preserve"> </w:t>
      </w:r>
      <w:r>
        <w:rPr>
          <w:rFonts w:ascii="Book Antiqua" w:hAnsi="Book Antiqua" w:eastAsia="Book Antiqua" w:cs="Book Antiqua"/>
          <w:color w:val="000000"/>
          <w:lang w:eastAsia="zh-CN"/>
        </w:rPr>
        <w:t xml:space="preserve">NP </w:t>
      </w:r>
      <w:r>
        <w:rPr>
          <w:rFonts w:ascii="Book Antiqua" w:hAnsi="Book Antiqua" w:eastAsia="Book Antiqua" w:cs="Book Antiqua"/>
          <w:color w:val="000000"/>
        </w:rPr>
        <w:t>(INP) results in an even higher mortality rate of up to 30% to 39% (Figure 1)</w:t>
      </w:r>
      <w:r>
        <w:rPr>
          <w:rFonts w:ascii="Book Antiqua" w:hAnsi="Book Antiqua" w:eastAsia="Book Antiqua" w:cs="Book Antiqua"/>
          <w:color w:val="000000"/>
          <w:vertAlign w:val="superscript"/>
        </w:rPr>
        <w:t>[7-9]</w:t>
      </w:r>
      <w:r>
        <w:rPr>
          <w:rFonts w:ascii="Book Antiqua" w:hAnsi="Book Antiqua" w:eastAsia="Book Antiqua" w:cs="Book Antiqua"/>
          <w:color w:val="000000"/>
        </w:rPr>
        <w:t>. The major causes of INP are obstructing gallstones (up to 50%) and alcohol abuse (20%)</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Several scores were introduced in order to predict the severity of AP and its mortality. A retrospective study from 2013 comparing some of these scores revealed that especially the Bedside Index for Severity in Acute Pancreatitis (BISAP) and Acute Physiology and Chronic Health Evaluation (APACHE-II) score stand out compared to scores like the </w:t>
      </w:r>
      <w:bookmarkStart w:id="20" w:name="OLE_LINK1612"/>
      <w:bookmarkStart w:id="21" w:name="OLE_LINK4556"/>
      <w:bookmarkStart w:id="22" w:name="OLE_LINK1997"/>
      <w:bookmarkStart w:id="23" w:name="OLE_LINK1458"/>
      <w:bookmarkStart w:id="24" w:name="OLE_LINK2340"/>
      <w:bookmarkStart w:id="25" w:name="OLE_LINK1613"/>
      <w:bookmarkStart w:id="26" w:name="OLE_LINK3164"/>
      <w:r>
        <w:rPr>
          <w:rFonts w:ascii="Book Antiqua" w:hAnsi="Book Antiqua"/>
        </w:rPr>
        <w:t>computed tomography</w:t>
      </w:r>
      <w:bookmarkEnd w:id="20"/>
      <w:bookmarkEnd w:id="21"/>
      <w:bookmarkEnd w:id="22"/>
      <w:bookmarkEnd w:id="23"/>
      <w:bookmarkEnd w:id="24"/>
      <w:bookmarkEnd w:id="25"/>
      <w:bookmarkEnd w:id="26"/>
      <w:r>
        <w:rPr>
          <w:rFonts w:ascii="Book Antiqua" w:hAnsi="Book Antiqua" w:eastAsia="Book Antiqua" w:cs="Book Antiqua"/>
          <w:color w:val="000000"/>
        </w:rPr>
        <w:t xml:space="preserve"> (CT) severity index, Ranson Score, body mass index, or hematocrit in terms of predicting severity, organ failure, and death. The BISAP score is a combination of the following five parameters, each worth one point: Altered mental state, blood urea nitrogen &gt; 25.2 mg/dL or more, positive </w:t>
      </w:r>
      <w:bookmarkStart w:id="27" w:name="OLE_LINK4558"/>
      <w:bookmarkStart w:id="28" w:name="OLE_LINK4557"/>
      <w:r>
        <w:rPr>
          <w:rFonts w:ascii="Book Antiqua" w:hAnsi="Book Antiqua" w:eastAsia="Book Antiqua" w:cs="Book Antiqua"/>
          <w:color w:val="000000"/>
        </w:rPr>
        <w:t xml:space="preserve">systemic inflammatory response syndrome </w:t>
      </w:r>
      <w:bookmarkEnd w:id="27"/>
      <w:bookmarkEnd w:id="28"/>
      <w:r>
        <w:rPr>
          <w:rFonts w:ascii="Book Antiqua" w:hAnsi="Book Antiqua" w:eastAsia="Book Antiqua" w:cs="Book Antiqua"/>
          <w:color w:val="000000"/>
        </w:rPr>
        <w:t>criteria, age over 60 years, and pleural effusion on CT scan. In comparison, the APACHE-II score uses 14 different parameters, ranging from age to the Glasgow Coma Scale</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Another applicable score in INP is the Marshall Score, which determines the presence of organ failure, which, according to the 2012 revised Atlanta Classification of AP, is a criterion that differentiates between mild (no organ failure), moderate (organ failure after less than 48 h), and severe (organ failure after more than 48 h) pancreatitis. The Marshall Score assesses the respiratory system on a scale from 0 to 4 using PaO</w:t>
      </w:r>
      <w:r>
        <w:rPr>
          <w:rFonts w:ascii="Book Antiqua" w:hAnsi="Book Antiqua" w:eastAsia="Book Antiqua" w:cs="Book Antiqua"/>
          <w:color w:val="000000"/>
          <w:vertAlign w:val="subscript"/>
        </w:rPr>
        <w:t>2</w:t>
      </w:r>
      <w:r>
        <w:rPr>
          <w:rFonts w:ascii="Book Antiqua" w:hAnsi="Book Antiqua" w:eastAsia="Book Antiqua" w:cs="Book Antiqua"/>
          <w:color w:val="000000"/>
        </w:rPr>
        <w:t>/FIO</w:t>
      </w:r>
      <w:r>
        <w:rPr>
          <w:rFonts w:ascii="Book Antiqua" w:hAnsi="Book Antiqua" w:eastAsia="Book Antiqua" w:cs="Book Antiqua"/>
          <w:color w:val="000000"/>
          <w:vertAlign w:val="subscript"/>
        </w:rPr>
        <w:t>2</w:t>
      </w:r>
      <w:r>
        <w:rPr>
          <w:rFonts w:ascii="Book Antiqua" w:hAnsi="Book Antiqua" w:eastAsia="Book Antiqua" w:cs="Book Antiqua"/>
          <w:color w:val="000000"/>
        </w:rPr>
        <w:t>, the renal system using serum creatinine in mg/dL, and the cardiovascular system using the systolic blood pressure in mmHg. A score of 2 or higher for any of the systems indicates organ failure</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clinical management of INP is complex and involves a multidisciplinary team of intensive care specialists, gastroenterologists, and surgeons. Recent trials have provided important insight into the disease mechanisms and have optimized the treatment strategies. However, the indications, timing, and outcomes of different interventional strategies remain controversial.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PHASES OF AP</w:t>
      </w:r>
    </w:p>
    <w:p>
      <w:pPr>
        <w:spacing w:line="360" w:lineRule="auto"/>
        <w:jc w:val="both"/>
        <w:rPr>
          <w:rFonts w:ascii="Book Antiqua" w:hAnsi="Book Antiqua"/>
        </w:rPr>
      </w:pPr>
      <w:r>
        <w:rPr>
          <w:rFonts w:ascii="Book Antiqua" w:hAnsi="Book Antiqua" w:eastAsia="Book Antiqua" w:cs="Book Antiqua"/>
          <w:color w:val="000000"/>
        </w:rPr>
        <w:t>According to the 2012 revised Atlanta classification of pancreatitis, two AP phases can be differentiated: the early (&lt; 1 wk after onset) and late (&gt; 1 wk after onset) phases. The early phase is characterized by the first clinical signs of pancreatitis: Abdominal pain, biochemical findings, and imaging findings consistent with pancreatitis. During this time, a pro-inflammatory sterile response occurs, which can lead to</w:t>
      </w:r>
      <w:r>
        <w:rPr>
          <w:rFonts w:ascii="Book Antiqua" w:hAnsi="Book Antiqua" w:eastAsia="Times New Roman"/>
          <w:color w:val="000000" w:themeColor="text1"/>
          <w:lang w:eastAsia="de-DE"/>
          <w14:textFill>
            <w14:solidFill>
              <w14:schemeClr w14:val="tx1"/>
            </w14:solidFill>
          </w14:textFill>
        </w:rPr>
        <w:t xml:space="preserve"> systemic inflammatory response syndrome (SIRS)</w:t>
      </w:r>
      <w:r>
        <w:rPr>
          <w:rFonts w:ascii="Book Antiqua" w:hAnsi="Book Antiqua" w:eastAsia="Book Antiqua" w:cs="Book Antiqua"/>
          <w:color w:val="000000"/>
          <w:vertAlign w:val="superscript"/>
        </w:rPr>
        <w:t>[13]</w:t>
      </w:r>
      <w:r>
        <w:rPr>
          <w:rFonts w:ascii="Book Antiqua" w:hAnsi="Book Antiqua" w:eastAsia="Book Antiqua" w:cs="Book Antiqua"/>
          <w:color w:val="000000"/>
        </w:rPr>
        <w:t>. Nevertheless, AP is self-limited in more than 80% of patients, and treatment in the early phase consists of supportive care instead of a curative intervention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However, necrosis and </w:t>
      </w:r>
      <w:bookmarkStart w:id="29" w:name="OLE_LINK4559"/>
      <w:bookmarkStart w:id="30" w:name="OLE_LINK4560"/>
      <w:bookmarkStart w:id="31" w:name="OLE_LINK4630"/>
      <w:r>
        <w:rPr>
          <w:rFonts w:ascii="Book Antiqua" w:hAnsi="Book Antiqua" w:eastAsia="Book Antiqua" w:cs="Book Antiqua"/>
          <w:color w:val="000000"/>
        </w:rPr>
        <w:t>acute necrotic collection</w:t>
      </w:r>
      <w:bookmarkEnd w:id="29"/>
      <w:bookmarkEnd w:id="30"/>
      <w:bookmarkEnd w:id="31"/>
      <w:r>
        <w:rPr>
          <w:rFonts w:ascii="Book Antiqua" w:hAnsi="Book Antiqua" w:eastAsia="Book Antiqua" w:cs="Book Antiqua"/>
          <w:color w:val="000000"/>
        </w:rPr>
        <w:t xml:space="preserve"> (ANC) can occur in the late phase. ANC is considered a local complication of AP and is characterized by a collection of both fluid and necrosis without a defined wall</w:t>
      </w:r>
      <w:r>
        <w:rPr>
          <w:rFonts w:ascii="Book Antiqua" w:hAnsi="Book Antiqua" w:eastAsia="Book Antiqua" w:cs="Book Antiqua"/>
          <w:color w:val="000000"/>
          <w:vertAlign w:val="superscript"/>
        </w:rPr>
        <w:t>[8]</w:t>
      </w:r>
      <w:r>
        <w:rPr>
          <w:rFonts w:ascii="Book Antiqua" w:hAnsi="Book Antiqua" w:eastAsia="Book Antiqua" w:cs="Book Antiqua"/>
          <w:color w:val="000000"/>
        </w:rPr>
        <w:t>. ANC can resolve spontaneously or eventually become encapsulating, which allows the collection to become more organized within a well-defined inflammatory wall</w:t>
      </w:r>
      <w:r>
        <w:rPr>
          <w:rFonts w:ascii="Book Antiqua" w:hAnsi="Book Antiqua" w:eastAsia="Book Antiqua" w:cs="Book Antiqua"/>
          <w:color w:val="000000"/>
          <w:vertAlign w:val="superscript"/>
        </w:rPr>
        <w:t>[15,16]</w:t>
      </w:r>
      <w:r>
        <w:rPr>
          <w:rFonts w:ascii="Book Antiqua" w:hAnsi="Book Antiqua" w:eastAsia="Book Antiqua" w:cs="Book Antiqua"/>
          <w:color w:val="000000"/>
        </w:rPr>
        <w:t xml:space="preserve">. This process takes approximately 4-6 wk and the end-product is called a </w:t>
      </w:r>
      <w:bookmarkStart w:id="32" w:name="OLE_LINK4562"/>
      <w:bookmarkStart w:id="33" w:name="OLE_LINK4588"/>
      <w:bookmarkStart w:id="34" w:name="OLE_LINK4561"/>
      <w:r>
        <w:rPr>
          <w:rFonts w:ascii="Book Antiqua" w:hAnsi="Book Antiqua" w:eastAsia="Book Antiqua" w:cs="Book Antiqua"/>
          <w:color w:val="000000"/>
        </w:rPr>
        <w:t>walled-off necrosis</w:t>
      </w:r>
      <w:bookmarkEnd w:id="32"/>
      <w:bookmarkEnd w:id="33"/>
      <w:bookmarkEnd w:id="34"/>
      <w:r>
        <w:rPr>
          <w:rFonts w:ascii="Book Antiqua" w:hAnsi="Book Antiqua" w:eastAsia="Book Antiqua" w:cs="Book Antiqua"/>
          <w:color w:val="000000"/>
        </w:rPr>
        <w:t xml:space="preserve"> (WON)</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Once WON is diagnosed, whether the pancreatic or peripancreatic necrotic tissue and ANCs are sterile or infected must be determined to plan the subsequent treatment course. Superinfection of acute NP increases the mortality rate (24% </w:t>
      </w:r>
      <w:r>
        <w:rPr>
          <w:rFonts w:ascii="Book Antiqua" w:hAnsi="Book Antiqua" w:eastAsia="Book Antiqua" w:cs="Book Antiqua"/>
          <w:i/>
          <w:iCs/>
          <w:color w:val="000000"/>
        </w:rPr>
        <w:t>vs</w:t>
      </w:r>
      <w:r>
        <w:rPr>
          <w:rFonts w:ascii="Book Antiqua" w:hAnsi="Book Antiqua" w:eastAsia="Book Antiqua" w:cs="Book Antiqua"/>
          <w:color w:val="000000"/>
        </w:rPr>
        <w:t xml:space="preserve"> 3.5%)</w:t>
      </w:r>
      <w:r>
        <w:rPr>
          <w:rFonts w:ascii="Book Antiqua" w:hAnsi="Book Antiqua" w:eastAsia="Book Antiqua" w:cs="Book Antiqua"/>
          <w:color w:val="000000"/>
          <w:vertAlign w:val="superscript"/>
        </w:rPr>
        <w:t>[18,19]</w:t>
      </w:r>
      <w:r>
        <w:rPr>
          <w:rFonts w:ascii="Book Antiqua" w:hAnsi="Book Antiqua" w:eastAsia="Book Antiqua" w:cs="Book Antiqua"/>
          <w:color w:val="000000"/>
        </w:rPr>
        <w:t>. In order to prevent SIRS, sepsis, and multiple (respiratory, cardiovascular, hepatic, and renal) organ failure, the treatment goal is to remove the infected non-vital tissue</w:t>
      </w:r>
      <w:r>
        <w:rPr>
          <w:rFonts w:ascii="Book Antiqua" w:hAnsi="Book Antiqua" w:eastAsia="Book Antiqua" w:cs="Book Antiqua"/>
          <w:color w:val="000000"/>
          <w:vertAlign w:val="superscript"/>
        </w:rPr>
        <w:t>[13,18,20]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DIAGNOSIS OF ACUTE INP</w:t>
      </w:r>
    </w:p>
    <w:p>
      <w:pPr>
        <w:spacing w:line="360" w:lineRule="auto"/>
        <w:jc w:val="both"/>
        <w:rPr>
          <w:rFonts w:ascii="Book Antiqua" w:hAnsi="Book Antiqua" w:eastAsia="宋体" w:cs="宋体"/>
          <w:lang w:eastAsia="zh-CN"/>
        </w:rPr>
      </w:pPr>
      <w:r>
        <w:rPr>
          <w:rFonts w:ascii="Book Antiqua" w:hAnsi="Book Antiqua" w:eastAsia="Book Antiqua" w:cs="Book Antiqua"/>
          <w:color w:val="000000"/>
        </w:rPr>
        <w:t>The diagnosis of AP is mostly based on clinical symptoms; the major ones being abdominal pain, fever, nausea, and vomiting. The diagnosis is further narrowed by measuring the levels of serum amylase and/or lipase. As a diagnostic criterion for pancreatitis, these markers exceed the physiological range by approximately three times. Characteristic imaging findings, such as enlargement of the pancreas and hypodense areas within the parenchyma and/or the peripancreatic tissue, are radiological imaging criteria</w:t>
      </w:r>
      <w:r>
        <w:rPr>
          <w:rFonts w:ascii="Book Antiqua" w:hAnsi="Book Antiqua" w:eastAsia="Book Antiqua" w:cs="Book Antiqua"/>
          <w:color w:val="000000"/>
          <w:vertAlign w:val="superscript"/>
        </w:rPr>
        <w:t>[8,17,21]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primary imaging modality within the first 48 h is a transabdominal ultrasound, primarily to determine the need for cholecystectomy for biliary pancreatitis. If the diagnosis of AP remains uncertain, a CT scan can be performed. However, changes on CT are most evident approximately 72 h after AP onset</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To diagnose NP, contrast-enhanced CT (CECT) is the preferred imaging modality, as it can identify the presence of gas in the necrotic collection. </w:t>
      </w:r>
      <w:bookmarkStart w:id="35" w:name="_Hlk24624036"/>
      <w:bookmarkStart w:id="36" w:name="OLE_LINK1465"/>
      <w:bookmarkStart w:id="37" w:name="OLE_LINK1464"/>
      <w:bookmarkStart w:id="38" w:name="OLE_LINK4563"/>
      <w:bookmarkStart w:id="39" w:name="OLE_LINK1400"/>
      <w:r>
        <w:rPr>
          <w:rFonts w:ascii="Book Antiqua" w:hAnsi="Book Antiqua" w:eastAsia="宋体"/>
          <w:color w:val="000000"/>
        </w:rPr>
        <w:t>Magnetic</w:t>
      </w:r>
      <w:bookmarkEnd w:id="35"/>
      <w:r>
        <w:rPr>
          <w:rFonts w:ascii="Book Antiqua" w:hAnsi="Book Antiqua" w:eastAsia="宋体"/>
          <w:color w:val="000000"/>
        </w:rPr>
        <w:t xml:space="preserve"> </w:t>
      </w:r>
      <w:bookmarkStart w:id="40" w:name="_Hlk24624024"/>
      <w:r>
        <w:rPr>
          <w:rFonts w:ascii="Book Antiqua" w:hAnsi="Book Antiqua" w:eastAsia="宋体"/>
          <w:color w:val="000000"/>
        </w:rPr>
        <w:t>resonance</w:t>
      </w:r>
      <w:bookmarkEnd w:id="40"/>
      <w:r>
        <w:rPr>
          <w:rFonts w:ascii="Book Antiqua" w:hAnsi="Book Antiqua" w:eastAsia="宋体"/>
          <w:color w:val="000000"/>
        </w:rPr>
        <w:t xml:space="preserve"> imaging</w:t>
      </w:r>
      <w:bookmarkEnd w:id="36"/>
      <w:bookmarkEnd w:id="37"/>
      <w:bookmarkEnd w:id="38"/>
      <w:bookmarkEnd w:id="39"/>
      <w:r>
        <w:rPr>
          <w:rFonts w:ascii="Book Antiqua" w:hAnsi="Book Antiqua" w:eastAsia="Book Antiqua" w:cs="Book Antiqua"/>
          <w:color w:val="000000"/>
        </w:rPr>
        <w:t xml:space="preserve"> can also be used but is less sensitive than CECT</w:t>
      </w:r>
      <w:r>
        <w:rPr>
          <w:rFonts w:ascii="Book Antiqua" w:hAnsi="Book Antiqua" w:eastAsia="Book Antiqua" w:cs="Book Antiqua"/>
          <w:color w:val="000000"/>
          <w:vertAlign w:val="superscript"/>
        </w:rPr>
        <w:t>[22]</w:t>
      </w:r>
      <w:r>
        <w:rPr>
          <w:rFonts w:ascii="Book Antiqua" w:hAnsi="Book Antiqua" w:eastAsia="Book Antiqua" w:cs="Book Antiqua"/>
          <w:color w:val="000000"/>
        </w:rPr>
        <w:t>. The diagnosis of infected necrosis is based on clinical criteria including fever and rising serum inflammatory markers</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 xml:space="preserve">INP REQUIRES A MULTIDISCIPLINARY APPROACH </w:t>
      </w:r>
    </w:p>
    <w:p>
      <w:pPr>
        <w:spacing w:line="360" w:lineRule="auto"/>
        <w:jc w:val="both"/>
        <w:rPr>
          <w:rFonts w:ascii="Book Antiqua" w:hAnsi="Book Antiqua"/>
        </w:rPr>
      </w:pPr>
      <w:r>
        <w:rPr>
          <w:rFonts w:ascii="Book Antiqua" w:hAnsi="Book Antiqua" w:eastAsia="Book Antiqua" w:cs="Book Antiqua"/>
          <w:color w:val="000000"/>
        </w:rPr>
        <w:t xml:space="preserve">INP requires both closely monitored intensive care and interventional approaches to remove infected necrotic areas. Endoscopic interventional options involve endoscopic drainage and/or endoscopic necrosectomy. Further interventions are percutaneous transgastric drainage, minimally invasive or open necrosectomy. Using the acronym “PANCREAS”, Gomes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summarized eight important steps in the management of severe AP: Perfusion, analgesia, nutrition, clinical and radiological assessment, endoscopy, antibiotics, and surgery.</w:t>
      </w:r>
    </w:p>
    <w:p>
      <w:pPr>
        <w:spacing w:line="360" w:lineRule="auto"/>
        <w:ind w:firstLine="240" w:firstLineChars="100"/>
        <w:jc w:val="both"/>
        <w:rPr>
          <w:rFonts w:ascii="Book Antiqua" w:hAnsi="Book Antiqua"/>
        </w:rPr>
      </w:pPr>
      <w:r>
        <w:rPr>
          <w:rFonts w:ascii="Book Antiqua" w:hAnsi="Book Antiqua" w:eastAsia="Book Antiqua" w:cs="Book Antiqua"/>
          <w:color w:val="000000"/>
        </w:rPr>
        <w:t>Historically, INP patients have undergone early open debridement of necrotic tissue (median timing of the operation 21</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to 28</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d), mostly followed by local continuous lavage</w:t>
      </w:r>
      <w:r>
        <w:rPr>
          <w:rFonts w:ascii="Book Antiqua" w:hAnsi="Book Antiqua" w:eastAsia="Book Antiqua" w:cs="Book Antiqua"/>
          <w:color w:val="000000"/>
          <w:vertAlign w:val="superscript"/>
        </w:rPr>
        <w:t>[26]</w:t>
      </w:r>
      <w:r>
        <w:rPr>
          <w:rFonts w:ascii="Book Antiqua" w:hAnsi="Book Antiqua" w:eastAsia="Book Antiqua" w:cs="Book Antiqua"/>
          <w:color w:val="000000"/>
        </w:rPr>
        <w:t>. Recently, interventional strategies have shifted towards a so-called “step-up approach,” which involves endoscopic or surgical interventions that comprise open and minimally invasive procedures. The approach starts with simple, less invasive interventions like endoscopic drainage, and escalates to more invasive and finally surgical procedures if these approaches fail.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CONSERVATIVE TREATMENT</w:t>
      </w:r>
    </w:p>
    <w:p>
      <w:pPr>
        <w:spacing w:line="360" w:lineRule="auto"/>
        <w:jc w:val="both"/>
        <w:rPr>
          <w:rFonts w:ascii="Book Antiqua" w:hAnsi="Book Antiqua"/>
        </w:rPr>
      </w:pPr>
      <w:r>
        <w:rPr>
          <w:rFonts w:ascii="Book Antiqua" w:hAnsi="Book Antiqua" w:eastAsia="Book Antiqua" w:cs="Book Antiqua"/>
          <w:color w:val="000000"/>
        </w:rPr>
        <w:t>INP patients require close monitoring and may need to be admitted to intensive care treatment due to the risk of sepsis and consequent organ failure</w:t>
      </w:r>
      <w:r>
        <w:rPr>
          <w:rFonts w:ascii="Book Antiqua" w:hAnsi="Book Antiqua" w:eastAsia="Book Antiqua" w:cs="Book Antiqua"/>
          <w:color w:val="000000"/>
          <w:vertAlign w:val="superscript"/>
        </w:rPr>
        <w:t>[27]</w:t>
      </w:r>
      <w:r>
        <w:rPr>
          <w:rFonts w:ascii="Book Antiqua" w:hAnsi="Book Antiqua" w:eastAsia="Book Antiqua" w:cs="Book Antiqua"/>
          <w:color w:val="000000"/>
        </w:rPr>
        <w:t>. The major components of conservative therapy are fluid administration, nutrition, and antibiotics.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FLUID ADMINISTRATION</w:t>
      </w:r>
    </w:p>
    <w:p>
      <w:pPr>
        <w:spacing w:line="360" w:lineRule="auto"/>
        <w:jc w:val="both"/>
        <w:rPr>
          <w:rFonts w:ascii="Book Antiqua" w:hAnsi="Book Antiqua"/>
        </w:rPr>
      </w:pPr>
      <w:r>
        <w:rPr>
          <w:rFonts w:ascii="Book Antiqua" w:hAnsi="Book Antiqua" w:eastAsia="Book Antiqua" w:cs="Book Antiqua"/>
          <w:color w:val="000000"/>
        </w:rPr>
        <w:t>Hypovolemia is a constant risk in AP patients; moreover, installing fluid infusions and closely monitoring patient circulation parameters is therefore essential. The duration of intravenous infusions as well as the total volume of fluids per day, are subject to ongoing debate</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rPr>
        <w:t>A recent meta-analysis analyzed the impact of early aggressive fluid therapy (infusion rate of 3-5 mL/kg/h in the first 24 h) as compared to non-aggressive hydration. Eleven trials were included, and the authors could not detect a difference in mortality rate; however, aggressive fluid therapy increased the risk of acute kidney injury and pulmonary edema. Furthermore, there was no difference in overall outcomes such as incidence of SIRS, organ failure, or pancreatic necrosis for both therapeutic strategies</w:t>
      </w:r>
      <w:r>
        <w:rPr>
          <w:rFonts w:ascii="Book Antiqua" w:hAnsi="Book Antiqua" w:eastAsia="Book Antiqua" w:cs="Book Antiqua"/>
          <w:color w:val="000000"/>
          <w:vertAlign w:val="superscript"/>
        </w:rPr>
        <w:t>[28]</w:t>
      </w:r>
      <w:r>
        <w:rPr>
          <w:rFonts w:ascii="Book Antiqua" w:hAnsi="Book Antiqua" w:eastAsia="Book Antiqua" w:cs="Book Antiqua"/>
          <w:color w:val="000000"/>
        </w:rPr>
        <w:t>. Another study demonstrated that early rapid fluid therapy is associated with persistent organ failure, primarily of the respiratory system</w:t>
      </w:r>
      <w:r>
        <w:rPr>
          <w:rFonts w:ascii="Book Antiqua" w:hAnsi="Book Antiqua" w:eastAsia="Book Antiqua" w:cs="Book Antiqua"/>
          <w:color w:val="000000"/>
          <w:vertAlign w:val="superscript"/>
        </w:rPr>
        <w:t>[29]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Recent studies have favored Ringer’s lactate solution as the fluid of choice as opposed to saline solution, as the former reduced systemic inflammation</w:t>
      </w:r>
      <w:r>
        <w:rPr>
          <w:rFonts w:ascii="Book Antiqua" w:hAnsi="Book Antiqua" w:eastAsia="Book Antiqua" w:cs="Book Antiqua"/>
          <w:color w:val="000000"/>
          <w:vertAlign w:val="superscript"/>
        </w:rPr>
        <w:t>[30]</w:t>
      </w:r>
      <w:r>
        <w:rPr>
          <w:rFonts w:ascii="Book Antiqua" w:hAnsi="Book Antiqua" w:eastAsia="Book Antiqua" w:cs="Book Antiqua"/>
          <w:color w:val="000000"/>
        </w:rPr>
        <w:t>. Recent studies have concluded that the optimal AP regimen involves 3-4 L of Ringer’s lactate solution every 24 h and predefined checkpoints at 6-8 h in order to tailor the fluid management to the condition of the patient. Furthermore, measuring urine output, intraabdominal pressure, and vital signs can help adjust the regimen of fluid therapy</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NUTRITION</w:t>
      </w:r>
    </w:p>
    <w:p>
      <w:pPr>
        <w:spacing w:line="360" w:lineRule="auto"/>
        <w:jc w:val="both"/>
        <w:rPr>
          <w:rFonts w:ascii="Book Antiqua" w:hAnsi="Book Antiqua"/>
        </w:rPr>
      </w:pPr>
      <w:r>
        <w:rPr>
          <w:rFonts w:ascii="Book Antiqua" w:hAnsi="Book Antiqua" w:eastAsia="Book Antiqua" w:cs="Book Antiqua"/>
          <w:color w:val="000000"/>
        </w:rPr>
        <w:t>While fasting was considered helpful in AP in the past, current evidence supports early oral or enteral nutrition even if patients experience AP-related complications. As patients with acute NP have increased energy requirements and sustained protein catabolism, an early start of enteral nutrition within the first 48 h of symptom onset is the current standard of care</w:t>
      </w:r>
      <w:r>
        <w:rPr>
          <w:rFonts w:ascii="Book Antiqua" w:hAnsi="Book Antiqua" w:eastAsia="Book Antiqua" w:cs="Book Antiqua"/>
          <w:color w:val="000000"/>
          <w:vertAlign w:val="superscript"/>
        </w:rPr>
        <w:t>[32]</w:t>
      </w:r>
      <w:r>
        <w:rPr>
          <w:rFonts w:ascii="Book Antiqua" w:hAnsi="Book Antiqua" w:eastAsia="Book Antiqua" w:cs="Book Antiqua"/>
          <w:color w:val="000000"/>
        </w:rPr>
        <w:t>. Regarding nutrition protocol, 25 kcal/kg/d up to a maximum of 30 kcal/kg/d with 1.2-1.5 g/kg of protein per day is recommended</w:t>
      </w:r>
      <w:r>
        <w:rPr>
          <w:rFonts w:ascii="Book Antiqua" w:hAnsi="Book Antiqua" w:eastAsia="Book Antiqua" w:cs="Book Antiqua"/>
          <w:color w:val="000000"/>
          <w:vertAlign w:val="superscript"/>
        </w:rPr>
        <w:t>[24]</w:t>
      </w:r>
      <w:r>
        <w:rPr>
          <w:rFonts w:ascii="Book Antiqua" w:hAnsi="Book Antiqua" w:eastAsia="Book Antiqua" w:cs="Book Antiqua"/>
          <w:color w:val="000000"/>
        </w:rPr>
        <w:t>. As compared to parenteral nutrition, enteral nutrition is associated with a lower rate of infectious complications and organ failure, shorter hospital stay, and reduced mortality rate</w:t>
      </w:r>
      <w:r>
        <w:rPr>
          <w:rFonts w:ascii="Book Antiqua" w:hAnsi="Book Antiqua" w:eastAsia="Book Antiqua" w:cs="Book Antiqua"/>
          <w:color w:val="000000"/>
          <w:vertAlign w:val="superscript"/>
        </w:rPr>
        <w:t>[33,34]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ANTIBIOTICS AND PANCREATIC FUNGAL INFECTION</w:t>
      </w:r>
    </w:p>
    <w:p>
      <w:pPr>
        <w:spacing w:line="360" w:lineRule="auto"/>
        <w:jc w:val="both"/>
        <w:rPr>
          <w:rFonts w:ascii="Book Antiqua" w:hAnsi="Book Antiqua"/>
        </w:rPr>
      </w:pPr>
      <w:r>
        <w:rPr>
          <w:rFonts w:ascii="Book Antiqua" w:hAnsi="Book Antiqua" w:eastAsia="Book Antiqua" w:cs="Book Antiqua"/>
          <w:color w:val="000000"/>
        </w:rPr>
        <w:t>In contrast to patients with general AP, INP patients require immediate antibiotic therapy starting as soon as the diagnosis of INP is confirmed. INP should be initially treated with empirical antibiotics covering both aerobic and anaerobic Gram-negative and Gram-positive microorganisms, such as Imipenem or Ciprofloxacin</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A CT-guided </w:t>
      </w:r>
      <w:bookmarkStart w:id="41" w:name="OLE_LINK4565"/>
      <w:bookmarkStart w:id="42" w:name="OLE_LINK4566"/>
      <w:r>
        <w:rPr>
          <w:rFonts w:ascii="Book Antiqua" w:hAnsi="Book Antiqua" w:eastAsia="Book Antiqua" w:cs="Book Antiqua"/>
          <w:color w:val="000000"/>
        </w:rPr>
        <w:t>fine-needle aspiration</w:t>
      </w:r>
      <w:bookmarkEnd w:id="41"/>
      <w:bookmarkEnd w:id="42"/>
      <w:r>
        <w:rPr>
          <w:rFonts w:ascii="Book Antiqua" w:hAnsi="Book Antiqua" w:eastAsia="Book Antiqua" w:cs="Book Antiqua"/>
          <w:color w:val="000000"/>
        </w:rPr>
        <w:t xml:space="preserve"> (FNA) can help design a more targeted treatment plan. The bacteria most frequently identified in IPN are </w:t>
      </w:r>
      <w:bookmarkStart w:id="43" w:name="OLE_LINK4602"/>
      <w:bookmarkStart w:id="44" w:name="OLE_LINK4603"/>
      <w:r>
        <w:rPr>
          <w:rFonts w:ascii="Book Antiqua" w:hAnsi="Book Antiqua" w:eastAsia="Book Antiqua" w:cs="Book Antiqua"/>
          <w:i/>
          <w:iCs/>
          <w:color w:val="000000"/>
        </w:rPr>
        <w:t>Escherichia</w:t>
      </w:r>
      <w:bookmarkEnd w:id="43"/>
      <w:bookmarkEnd w:id="44"/>
      <w:r>
        <w:rPr>
          <w:rFonts w:ascii="Book Antiqua" w:hAnsi="Book Antiqua" w:eastAsia="Book Antiqua" w:cs="Book Antiqua"/>
          <w:i/>
          <w:iCs/>
          <w:color w:val="000000"/>
        </w:rPr>
        <w:t xml:space="preserve"> coli</w:t>
      </w:r>
      <w:r>
        <w:rPr>
          <w:rFonts w:ascii="Book Antiqua" w:hAnsi="Book Antiqua" w:eastAsia="Book Antiqua" w:cs="Book Antiqua"/>
          <w:color w:val="000000"/>
        </w:rPr>
        <w:t xml:space="preserve">, </w:t>
      </w:r>
      <w:r>
        <w:rPr>
          <w:rFonts w:ascii="Book Antiqua" w:hAnsi="Book Antiqua" w:eastAsia="Book Antiqua" w:cs="Book Antiqua"/>
          <w:i/>
          <w:iCs/>
          <w:color w:val="000000"/>
        </w:rPr>
        <w:t>Enterococcus</w:t>
      </w:r>
      <w:r>
        <w:rPr>
          <w:rFonts w:ascii="Book Antiqua" w:hAnsi="Book Antiqua" w:eastAsia="Book Antiqua" w:cs="Book Antiqua"/>
          <w:color w:val="000000"/>
        </w:rPr>
        <w:t xml:space="preserve">, </w:t>
      </w:r>
      <w:bookmarkStart w:id="45" w:name="OLE_LINK4568"/>
      <w:bookmarkStart w:id="46" w:name="OLE_LINK4567"/>
      <w:bookmarkStart w:id="47" w:name="OLE_LINK4600"/>
      <w:bookmarkStart w:id="48" w:name="OLE_LINK4601"/>
      <w:r>
        <w:rPr>
          <w:rFonts w:ascii="Book Antiqua" w:hAnsi="Book Antiqua" w:eastAsia="Book Antiqua" w:cs="Book Antiqua"/>
          <w:i/>
          <w:iCs/>
          <w:color w:val="000000"/>
        </w:rPr>
        <w:t>Staphylococcus</w:t>
      </w:r>
      <w:bookmarkEnd w:id="45"/>
      <w:bookmarkEnd w:id="46"/>
      <w:r>
        <w:rPr>
          <w:rFonts w:ascii="Book Antiqua" w:hAnsi="Book Antiqua" w:eastAsia="Book Antiqua" w:cs="Book Antiqua"/>
          <w:i/>
          <w:iCs/>
          <w:color w:val="000000"/>
        </w:rPr>
        <w:t xml:space="preserve"> aureus</w:t>
      </w:r>
      <w:bookmarkEnd w:id="47"/>
      <w:bookmarkEnd w:id="48"/>
      <w:r>
        <w:rPr>
          <w:rFonts w:ascii="Book Antiqua" w:hAnsi="Book Antiqua" w:eastAsia="Book Antiqua" w:cs="Book Antiqua"/>
          <w:color w:val="000000"/>
        </w:rPr>
        <w:t xml:space="preserve">, </w:t>
      </w:r>
      <w:r>
        <w:rPr>
          <w:rFonts w:ascii="Book Antiqua" w:hAnsi="Book Antiqua" w:eastAsia="Book Antiqua" w:cs="Book Antiqua"/>
          <w:i/>
          <w:iCs/>
          <w:color w:val="000000"/>
        </w:rPr>
        <w:t>Staphylococcus epidermidis, Klebsiella pneumoniae, Pseudomonas spp</w:t>
      </w:r>
      <w:r>
        <w:rPr>
          <w:rFonts w:ascii="Book Antiqua" w:hAnsi="Book Antiqua" w:eastAsia="Book Antiqua" w:cs="Book Antiqua"/>
          <w:color w:val="000000"/>
        </w:rPr>
        <w:t xml:space="preserve">., and </w:t>
      </w:r>
      <w:r>
        <w:rPr>
          <w:rFonts w:ascii="Book Antiqua" w:hAnsi="Book Antiqua" w:eastAsia="Book Antiqua" w:cs="Book Antiqua"/>
          <w:i/>
          <w:iCs/>
          <w:color w:val="000000"/>
        </w:rPr>
        <w:t>Streptococcus spp</w:t>
      </w:r>
      <w:r>
        <w:rPr>
          <w:rFonts w:ascii="Book Antiqua" w:hAnsi="Book Antiqua" w:eastAsia="Book Antiqua" w:cs="Book Antiqua"/>
          <w:color w:val="000000"/>
        </w:rPr>
        <w:t>.</w:t>
      </w:r>
      <w:r>
        <w:rPr>
          <w:rFonts w:ascii="Book Antiqua" w:hAnsi="Book Antiqua" w:eastAsia="Book Antiqua" w:cs="Book Antiqua"/>
          <w:color w:val="000000"/>
          <w:vertAlign w:val="superscript"/>
        </w:rPr>
        <w:t>[36]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Although antibiotic therapy is an essential tool in the treatment of INP patients, there is insufficient evidence to support the role of antibiotic prophylaxis after the diagnosis of sterile pancreatitis in order to prevent superinfection</w:t>
      </w:r>
      <w:r>
        <w:rPr>
          <w:rFonts w:ascii="Book Antiqua" w:hAnsi="Book Antiqua" w:eastAsia="Book Antiqua" w:cs="Book Antiqua"/>
          <w:color w:val="000000"/>
          <w:vertAlign w:val="superscript"/>
        </w:rPr>
        <w:t>[36-38]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use of prophylactic antibacterial therapy and duration of antibacterial therapy have been observed to increase the incidence of pancreatic fungal infection, which is a condition in patients with NP that is associated with increased mortality, intensive care unit admission rate, and length of stay. Its incidence was 26.6% in a study including 2151 patients with NP</w:t>
      </w:r>
      <w:r>
        <w:rPr>
          <w:rFonts w:ascii="Book Antiqua" w:hAnsi="Book Antiqua" w:eastAsia="Book Antiqua" w:cs="Book Antiqua"/>
          <w:color w:val="000000"/>
          <w:vertAlign w:val="superscript"/>
        </w:rPr>
        <w:t>[39]</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INVASIVE TREATMENT</w:t>
      </w:r>
    </w:p>
    <w:p>
      <w:pPr>
        <w:spacing w:line="360" w:lineRule="auto"/>
        <w:jc w:val="both"/>
        <w:rPr>
          <w:rFonts w:ascii="Book Antiqua" w:hAnsi="Book Antiqua"/>
        </w:rPr>
      </w:pPr>
      <w:r>
        <w:rPr>
          <w:rFonts w:ascii="Book Antiqua" w:hAnsi="Book Antiqua" w:eastAsia="Book Antiqua" w:cs="Book Antiqua"/>
          <w:color w:val="000000"/>
        </w:rPr>
        <w:t>Treatment planning and determining therapy concepts in INP patients should be performed within a multidisciplinary team of surgeons, interventional radiologists, and gastrointestinal endoscopists at experienced centers. Specialists should assess the feasibility of different access routes (transgastric, transduodenal, percutaneous, retroperitoneal, laparoscopic, or laparotomic) and weigh the treatment options, while considering the individual clinical condition of each patient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ENDOSCOPY</w:t>
      </w:r>
    </w:p>
    <w:p>
      <w:pPr>
        <w:spacing w:line="360" w:lineRule="auto"/>
        <w:jc w:val="both"/>
        <w:rPr>
          <w:rFonts w:ascii="Book Antiqua" w:hAnsi="Book Antiqua"/>
        </w:rPr>
      </w:pPr>
      <w:r>
        <w:rPr>
          <w:rFonts w:ascii="Book Antiqua" w:hAnsi="Book Antiqua" w:eastAsia="Book Antiqua" w:cs="Book Antiqua"/>
          <w:color w:val="000000"/>
        </w:rPr>
        <w:t>Endoscopy plays an emerging role in the treatment of INP</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Interventional approaches such as the placement of plastic or metal stents for </w:t>
      </w:r>
      <w:bookmarkStart w:id="49" w:name="OLE_LINK4570"/>
      <w:bookmarkStart w:id="50" w:name="OLE_LINK4569"/>
      <w:bookmarkStart w:id="51" w:name="OLE_LINK4612"/>
      <w:r>
        <w:rPr>
          <w:rFonts w:ascii="Book Antiqua" w:hAnsi="Book Antiqua" w:eastAsia="Book Antiqua" w:cs="Book Antiqua"/>
          <w:color w:val="000000"/>
        </w:rPr>
        <w:t>endoscopic transluminal drainage</w:t>
      </w:r>
      <w:bookmarkEnd w:id="49"/>
      <w:bookmarkEnd w:id="50"/>
      <w:bookmarkEnd w:id="51"/>
      <w:r>
        <w:rPr>
          <w:rFonts w:ascii="Book Antiqua" w:hAnsi="Book Antiqua" w:eastAsia="Book Antiqua" w:cs="Book Antiqua"/>
          <w:color w:val="000000"/>
        </w:rPr>
        <w:t xml:space="preserve"> (ETD) or direct necrosectomy are endoscopically feasible</w:t>
      </w:r>
      <w:r>
        <w:rPr>
          <w:rFonts w:ascii="Book Antiqua" w:hAnsi="Book Antiqua" w:eastAsia="Book Antiqua" w:cs="Book Antiqua"/>
          <w:color w:val="000000"/>
          <w:vertAlign w:val="superscript"/>
        </w:rPr>
        <w:t>[41]</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ETD AND STENT CHOICE</w:t>
      </w:r>
    </w:p>
    <w:p>
      <w:pPr>
        <w:spacing w:line="360" w:lineRule="auto"/>
        <w:jc w:val="both"/>
        <w:rPr>
          <w:rFonts w:ascii="Book Antiqua" w:hAnsi="Book Antiqua"/>
        </w:rPr>
      </w:pPr>
      <w:r>
        <w:rPr>
          <w:rFonts w:ascii="Book Antiqua" w:hAnsi="Book Antiqua" w:eastAsia="Book Antiqua" w:cs="Book Antiqua"/>
          <w:color w:val="000000"/>
        </w:rPr>
        <w:t xml:space="preserve">ETD is performed as the standard first step of endoscopic INP treatment. The aim of this procedure is to establish a temporary connection between the gastric cavity and necrotic cavity in the adjacent pancreas in order to drain necrotic collections. </w:t>
      </w:r>
    </w:p>
    <w:p>
      <w:pPr>
        <w:spacing w:line="360" w:lineRule="auto"/>
        <w:ind w:firstLine="240" w:firstLineChars="100"/>
        <w:jc w:val="both"/>
        <w:rPr>
          <w:rFonts w:ascii="Book Antiqua" w:hAnsi="Book Antiqua"/>
        </w:rPr>
      </w:pPr>
      <w:r>
        <w:rPr>
          <w:rFonts w:ascii="Book Antiqua" w:hAnsi="Book Antiqua" w:eastAsia="Book Antiqua" w:cs="Book Antiqua"/>
          <w:color w:val="000000"/>
        </w:rPr>
        <w:t>ETD is performed with the assistance of endoscopic ultrasound, which helps avoid puncturing of vessels (</w:t>
      </w:r>
      <w:r>
        <w:rPr>
          <w:rFonts w:ascii="Book Antiqua" w:hAnsi="Book Antiqua" w:eastAsia="Book Antiqua" w:cs="Book Antiqua"/>
          <w:i/>
          <w:iCs/>
          <w:color w:val="000000"/>
        </w:rPr>
        <w:t>via</w:t>
      </w:r>
      <w:r>
        <w:rPr>
          <w:rFonts w:ascii="Book Antiqua" w:hAnsi="Book Antiqua" w:eastAsia="Book Antiqua" w:cs="Book Antiqua"/>
          <w:color w:val="000000"/>
        </w:rPr>
        <w:t xml:space="preserve"> color doppler) or targets other than the necrotic collections</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The endoscopist then places either a plastic, double pigtail stent; a self-expandable metal stent (SEMS); or a </w:t>
      </w:r>
      <w:bookmarkStart w:id="52" w:name="OLE_LINK4571"/>
      <w:bookmarkStart w:id="53" w:name="OLE_LINK4572"/>
      <w:r>
        <w:rPr>
          <w:rFonts w:ascii="Book Antiqua" w:hAnsi="Book Antiqua" w:eastAsia="Book Antiqua" w:cs="Book Antiqua"/>
          <w:color w:val="000000"/>
        </w:rPr>
        <w:t xml:space="preserve">lumen-apposing metal stent </w:t>
      </w:r>
      <w:bookmarkEnd w:id="52"/>
      <w:bookmarkEnd w:id="53"/>
      <w:r>
        <w:rPr>
          <w:rFonts w:ascii="Book Antiqua" w:hAnsi="Book Antiqua" w:eastAsia="Book Antiqua" w:cs="Book Antiqua"/>
          <w:color w:val="000000"/>
        </w:rPr>
        <w:t>(LAMS). The metal stents are larger in diameter (15-20 mm) than the plastic stents (2.33–3.33 mm) and provide access for potential subsequent debridement (Figure 2). SEMS are not commonly used, as they have been reported to migrate into the collapsed fluid collection, posing a risk of major bleeding</w:t>
      </w:r>
      <w:r>
        <w:rPr>
          <w:rFonts w:ascii="Book Antiqua" w:hAnsi="Book Antiqua" w:eastAsia="Book Antiqua" w:cs="Book Antiqua"/>
          <w:color w:val="000000"/>
          <w:vertAlign w:val="superscript"/>
        </w:rPr>
        <w:t>[43]</w:t>
      </w:r>
      <w:r>
        <w:rPr>
          <w:rFonts w:ascii="Book Antiqua" w:hAnsi="Book Antiqua" w:eastAsia="Book Antiqua" w:cs="Book Antiqua"/>
          <w:color w:val="000000"/>
        </w:rPr>
        <w:t>. LAMS are designed to prevent migration and minimize the risk of leakage with their apposing features</w:t>
      </w:r>
      <w:r>
        <w:rPr>
          <w:rFonts w:ascii="Book Antiqua" w:hAnsi="Book Antiqua" w:eastAsia="Book Antiqua" w:cs="Book Antiqua"/>
          <w:color w:val="000000"/>
          <w:vertAlign w:val="superscript"/>
        </w:rPr>
        <w:t>[44,45]</w:t>
      </w:r>
      <w:r>
        <w:rPr>
          <w:rFonts w:ascii="Book Antiqua" w:hAnsi="Book Antiqua" w:eastAsia="Book Antiqua" w:cs="Book Antiqua"/>
          <w:color w:val="000000"/>
        </w:rPr>
        <w:t xml:space="preserve">. Another advantage of LAMS over plastic stents is the delivery system </w:t>
      </w:r>
      <w:r>
        <w:rPr>
          <w:rFonts w:ascii="Book Antiqua" w:hAnsi="Book Antiqua" w:eastAsia="Book Antiqua" w:cs="Book Antiqua"/>
          <w:i/>
          <w:iCs/>
          <w:color w:val="000000"/>
        </w:rPr>
        <w:t>via</w:t>
      </w:r>
      <w:r>
        <w:rPr>
          <w:rFonts w:ascii="Book Antiqua" w:hAnsi="Book Antiqua" w:eastAsia="Book Antiqua" w:cs="Book Antiqua"/>
          <w:color w:val="000000"/>
        </w:rPr>
        <w:t xml:space="preserve"> a single-step platform, resulting in a shorter intervention time</w:t>
      </w:r>
      <w:r>
        <w:rPr>
          <w:rFonts w:ascii="Book Antiqua" w:hAnsi="Book Antiqua" w:eastAsia="Book Antiqua" w:cs="Book Antiqua"/>
          <w:color w:val="000000"/>
          <w:vertAlign w:val="superscript"/>
        </w:rPr>
        <w:t>[46]</w:t>
      </w:r>
      <w:r>
        <w:rPr>
          <w:rFonts w:ascii="Book Antiqua" w:hAnsi="Book Antiqua" w:eastAsia="Book Antiqua" w:cs="Book Antiqua"/>
          <w:color w:val="000000"/>
        </w:rPr>
        <w:t>. Retrospective studies comparing drainage with either LAMS or plastic stents found that the procedure time is significantly shorter for LAMS drainage</w:t>
      </w:r>
      <w:r>
        <w:rPr>
          <w:rFonts w:ascii="Book Antiqua" w:hAnsi="Book Antiqua" w:eastAsia="Book Antiqua" w:cs="Book Antiqua"/>
          <w:color w:val="000000"/>
          <w:vertAlign w:val="superscript"/>
        </w:rPr>
        <w:t>[47,48]</w:t>
      </w:r>
      <w:r>
        <w:rPr>
          <w:rFonts w:ascii="Book Antiqua" w:hAnsi="Book Antiqua" w:eastAsia="Book Antiqua" w:cs="Book Antiqua"/>
          <w:color w:val="000000"/>
        </w:rPr>
        <w:t>. One of these studies also shows that LAMS drainage results in increased clinical success, reduced need for surgery, and a lower recurrence rate</w:t>
      </w:r>
      <w:r>
        <w:rPr>
          <w:rFonts w:ascii="Book Antiqua" w:hAnsi="Book Antiqua" w:eastAsia="Book Antiqua" w:cs="Book Antiqua"/>
          <w:color w:val="000000"/>
          <w:vertAlign w:val="superscript"/>
        </w:rPr>
        <w:t>[47]</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more recent randomized clinical trial, however, compared both stent types in a total of 60 patients (31 undergoing LAMS placement and 29 undergoing plastic stent placement) and found that LAMS was not superior to plastic stents. The authors detected no difference in treatment success, the number of procedures required, length of stay, adverse events (within &lt; 3 wk of LAMS removal), readmissions, or overall treatment costs</w:t>
      </w:r>
      <w:r>
        <w:rPr>
          <w:rFonts w:ascii="Book Antiqua" w:hAnsi="Book Antiqua" w:eastAsia="Book Antiqua" w:cs="Book Antiqua"/>
          <w:color w:val="000000"/>
          <w:vertAlign w:val="superscript"/>
        </w:rPr>
        <w:t>[49,50]</w:t>
      </w:r>
      <w:r>
        <w:rPr>
          <w:rFonts w:ascii="Book Antiqua" w:hAnsi="Book Antiqua" w:eastAsia="Book Antiqua" w:cs="Book Antiqua"/>
          <w:color w:val="000000"/>
        </w:rPr>
        <w:t xml:space="preserve">. Moreover, the study showed significant stent-related adverse events if LAMS were left in place for more than 3 wk. Given these heterogeneous results, future studies are needed to further evaluate the outcomes of different ETD strategies. Nevertheless, the treating medical team should consider the different procedure duration, since the average time to place the LAMS is shorter compared to plastic stents (15 </w:t>
      </w:r>
      <w:r>
        <w:rPr>
          <w:rFonts w:ascii="Book Antiqua" w:hAnsi="Book Antiqua" w:eastAsia="Book Antiqua" w:cs="Book Antiqua"/>
          <w:i/>
          <w:iCs/>
          <w:color w:val="000000"/>
        </w:rPr>
        <w:t>vs</w:t>
      </w:r>
      <w:r>
        <w:rPr>
          <w:rFonts w:ascii="Book Antiqua" w:hAnsi="Book Antiqua" w:eastAsia="Book Antiqua" w:cs="Book Antiqua"/>
          <w:color w:val="000000"/>
        </w:rPr>
        <w:t xml:space="preserve"> 40 min,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r>
        <w:rPr>
          <w:rFonts w:ascii="Book Antiqua" w:hAnsi="Book Antiqua" w:eastAsia="Book Antiqua" w:cs="Book Antiqua"/>
          <w:color w:val="000000"/>
          <w:vertAlign w:val="superscript"/>
        </w:rPr>
        <w:t>[51]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ENDOSCOPIC NECROSECTOMY</w:t>
      </w:r>
    </w:p>
    <w:p>
      <w:pPr>
        <w:spacing w:line="360" w:lineRule="auto"/>
        <w:jc w:val="both"/>
        <w:rPr>
          <w:rFonts w:ascii="Book Antiqua" w:hAnsi="Book Antiqua"/>
        </w:rPr>
      </w:pPr>
      <w:r>
        <w:rPr>
          <w:rFonts w:ascii="Book Antiqua" w:hAnsi="Book Antiqua" w:eastAsia="Book Antiqua" w:cs="Book Antiqua"/>
          <w:color w:val="000000"/>
        </w:rPr>
        <w:t xml:space="preserve">If the clinical condition of INP patients fails to improve 72 h after ETD, necrosectomy should be considered. </w:t>
      </w:r>
      <w:bookmarkStart w:id="54" w:name="OLE_LINK4609"/>
      <w:bookmarkStart w:id="55" w:name="OLE_LINK4608"/>
      <w:r>
        <w:rPr>
          <w:rFonts w:ascii="Book Antiqua" w:hAnsi="Book Antiqua" w:eastAsia="Book Antiqua" w:cs="Book Antiqua"/>
          <w:color w:val="000000"/>
        </w:rPr>
        <w:t xml:space="preserve">Endoscopic transluminal necrosectomy </w:t>
      </w:r>
      <w:bookmarkEnd w:id="54"/>
      <w:bookmarkEnd w:id="55"/>
      <w:r>
        <w:rPr>
          <w:rFonts w:ascii="Book Antiqua" w:hAnsi="Book Antiqua" w:eastAsia="Book Antiqua" w:cs="Book Antiqua"/>
          <w:color w:val="000000"/>
        </w:rPr>
        <w:t>(ETN) can be performed, using a LAMS as access route to the necrotic cavity. With help of forceps, nets, and lavage techniques with saline or hydrogen peroxide, the necrotic tissues are removed endoscopically. ETN can be performed several times if necroses cannot be removed in one procedure</w:t>
      </w:r>
      <w:r>
        <w:rPr>
          <w:rFonts w:ascii="Book Antiqua" w:hAnsi="Book Antiqua" w:eastAsia="Book Antiqua" w:cs="Book Antiqua"/>
          <w:color w:val="000000"/>
          <w:vertAlign w:val="superscript"/>
        </w:rPr>
        <w:t>[52,53]</w:t>
      </w:r>
      <w:r>
        <w:rPr>
          <w:rFonts w:ascii="Book Antiqua" w:hAnsi="Book Antiqua" w:eastAsia="Book Antiqua" w:cs="Book Antiqua"/>
          <w:color w:val="000000"/>
        </w:rPr>
        <w:t>.</w:t>
      </w:r>
      <w:r>
        <w:rPr>
          <w:rFonts w:ascii="Book Antiqua" w:hAnsi="Book Antiqua"/>
        </w:rPr>
        <w:t xml:space="preserve"> </w:t>
      </w:r>
      <w:r>
        <w:rPr>
          <w:rFonts w:ascii="Book Antiqua" w:hAnsi="Book Antiqua" w:eastAsia="Book Antiqua" w:cs="Book Antiqua"/>
          <w:color w:val="000000"/>
        </w:rPr>
        <w:t>It is important to consider that multiple ETN attempts also cause an increased risk of procedure-related complications such as bleeding or perforation</w:t>
      </w:r>
      <w:r>
        <w:rPr>
          <w:rFonts w:ascii="Book Antiqua" w:hAnsi="Book Antiqua" w:eastAsia="Book Antiqua" w:cs="Book Antiqua"/>
          <w:color w:val="000000"/>
          <w:vertAlign w:val="superscript"/>
        </w:rPr>
        <w:t>[42]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If a transgastric access is not possible or WONs are located in an inaccessible lateral position, a </w:t>
      </w:r>
      <w:bookmarkStart w:id="56" w:name="OLE_LINK4610"/>
      <w:bookmarkStart w:id="57" w:name="OLE_LINK4611"/>
      <w:r>
        <w:rPr>
          <w:rFonts w:ascii="Book Antiqua" w:hAnsi="Book Antiqua" w:eastAsia="Book Antiqua" w:cs="Book Antiqua"/>
          <w:color w:val="000000"/>
        </w:rPr>
        <w:t>sinus tract endoscopy</w:t>
      </w:r>
      <w:bookmarkEnd w:id="56"/>
      <w:bookmarkEnd w:id="57"/>
      <w:r>
        <w:rPr>
          <w:rFonts w:ascii="Book Antiqua" w:hAnsi="Book Antiqua" w:eastAsia="Book Antiqua" w:cs="Book Antiqua"/>
          <w:color w:val="000000"/>
        </w:rPr>
        <w:t xml:space="preserve"> (STE) may be an option. In order to perform STE, a CT-guided percutaneous drainage catheter is placed 10 d prior to the procedure. The catheter causes the tract wall to mature, so the insertion of an adult gastroscope under fluoroscopic control can be performed safely. The necrotic cavity is lavaged and necrotic tissue is removed, as is done in the ETN procedure (Figure 3)</w:t>
      </w:r>
      <w:r>
        <w:rPr>
          <w:rFonts w:ascii="Book Antiqua" w:hAnsi="Book Antiqua" w:eastAsia="Book Antiqua" w:cs="Book Antiqua"/>
          <w:color w:val="000000"/>
          <w:vertAlign w:val="superscript"/>
        </w:rPr>
        <w:t>[54]</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Endoscopic necrosectomy reduces the rate of surgical interventions</w:t>
      </w:r>
      <w:r>
        <w:rPr>
          <w:rFonts w:ascii="Book Antiqua" w:hAnsi="Book Antiqua" w:eastAsia="Book Antiqua" w:cs="Book Antiqua"/>
          <w:color w:val="000000"/>
          <w:vertAlign w:val="superscript"/>
        </w:rPr>
        <w:t>[55]</w:t>
      </w:r>
      <w:r>
        <w:rPr>
          <w:rFonts w:ascii="Book Antiqua" w:hAnsi="Book Antiqua" w:eastAsia="Book Antiqua" w:cs="Book Antiqua"/>
          <w:color w:val="000000"/>
        </w:rPr>
        <w:t>. However, these interventions are limited to small necrotic areas and can be very time consuming (60-120 min)</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bookmarkStart w:id="58" w:name="OLE_LINK4573"/>
      <w:bookmarkStart w:id="59" w:name="OLE_LINK4574"/>
      <w:r>
        <w:rPr>
          <w:rFonts w:ascii="Book Antiqua" w:hAnsi="Book Antiqua" w:eastAsia="Book Antiqua" w:cs="Book Antiqua"/>
          <w:b/>
          <w:bCs/>
          <w:caps/>
          <w:color w:val="000000"/>
          <w:u w:val="single" w:color="000000"/>
        </w:rPr>
        <w:t>PERCUTANEOUS CATHETER DRAINAGE</w:t>
      </w:r>
      <w:bookmarkEnd w:id="58"/>
      <w:bookmarkEnd w:id="59"/>
    </w:p>
    <w:p>
      <w:pPr>
        <w:spacing w:line="360" w:lineRule="auto"/>
        <w:jc w:val="both"/>
        <w:rPr>
          <w:rFonts w:ascii="Book Antiqua" w:hAnsi="Book Antiqua"/>
        </w:rPr>
      </w:pPr>
      <w:bookmarkStart w:id="60" w:name="OLE_LINK4614"/>
      <w:bookmarkStart w:id="61" w:name="OLE_LINK4613"/>
      <w:r>
        <w:rPr>
          <w:rFonts w:ascii="Book Antiqua" w:hAnsi="Book Antiqua" w:eastAsia="Book Antiqua" w:cs="Book Antiqua"/>
          <w:color w:val="000000"/>
        </w:rPr>
        <w:t>Percutaneous</w:t>
      </w:r>
      <w:r>
        <w:rPr>
          <w:rFonts w:ascii="Book Antiqua" w:hAnsi="Book Antiqua" w:eastAsia="Book Antiqua" w:cs="Book Antiqua"/>
          <w:caps/>
          <w:color w:val="000000"/>
        </w:rPr>
        <w:t xml:space="preserve"> </w:t>
      </w:r>
      <w:r>
        <w:rPr>
          <w:rFonts w:ascii="Book Antiqua" w:hAnsi="Book Antiqua" w:eastAsia="Book Antiqua" w:cs="Book Antiqua"/>
          <w:color w:val="000000"/>
        </w:rPr>
        <w:t>catheter</w:t>
      </w:r>
      <w:r>
        <w:rPr>
          <w:rFonts w:ascii="Book Antiqua" w:hAnsi="Book Antiqua" w:eastAsia="Book Antiqua" w:cs="Book Antiqua"/>
          <w:caps/>
          <w:color w:val="000000"/>
        </w:rPr>
        <w:t xml:space="preserve"> </w:t>
      </w:r>
      <w:r>
        <w:rPr>
          <w:rFonts w:ascii="Book Antiqua" w:hAnsi="Book Antiqua" w:eastAsia="Book Antiqua" w:cs="Book Antiqua"/>
          <w:color w:val="000000"/>
        </w:rPr>
        <w:t>drainage</w:t>
      </w:r>
      <w:bookmarkEnd w:id="60"/>
      <w:bookmarkEnd w:id="61"/>
      <w:r>
        <w:rPr>
          <w:rFonts w:ascii="Book Antiqua" w:hAnsi="Book Antiqua" w:eastAsia="Book Antiqua" w:cs="Book Antiqua"/>
          <w:color w:val="000000"/>
        </w:rPr>
        <w:t xml:space="preserve"> (PCD) is often used prior to endoscopic necrosectomy if the ANC is located in the flank or pelvic region and access </w:t>
      </w:r>
      <w:r>
        <w:rPr>
          <w:rFonts w:ascii="Book Antiqua" w:hAnsi="Book Antiqua" w:eastAsia="Book Antiqua" w:cs="Book Antiqua"/>
          <w:i/>
          <w:iCs/>
          <w:color w:val="000000"/>
        </w:rPr>
        <w:t>via</w:t>
      </w:r>
      <w:r>
        <w:rPr>
          <w:rFonts w:ascii="Book Antiqua" w:hAnsi="Book Antiqua" w:eastAsia="Book Antiqua" w:cs="Book Antiqua"/>
          <w:color w:val="000000"/>
        </w:rPr>
        <w:t xml:space="preserve"> ETD is not possible. An interventional radiologist places a general-purpose pigtail drainage catheter into the necrotic collection using the Seldinger technique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most direct transperitoneal route. The preferred route for PCD is through the retroperitoneum. In this case, the drain can be used to guide potential further minimally invasive retroperitoneal necrosectomy (</w:t>
      </w:r>
      <w:r>
        <w:rPr>
          <w:rFonts w:ascii="Book Antiqua" w:hAnsi="Book Antiqua" w:eastAsia="Book Antiqua" w:cs="Book Antiqua"/>
          <w:i/>
          <w:iCs/>
          <w:color w:val="000000"/>
        </w:rPr>
        <w:t>i.e</w:t>
      </w:r>
      <w:r>
        <w:rPr>
          <w:rFonts w:ascii="Book Antiqua" w:hAnsi="Book Antiqua" w:eastAsia="Book Antiqua" w:cs="Book Antiqua"/>
          <w:color w:val="000000"/>
        </w:rPr>
        <w:t>., video-assisted retroperitoneal debridement or STE). A combination of endoscopic transluminal and PCD (also known as dual-modality drainage) is a further option in patients with large collections extending into the paracolic gutters or pelvic region</w:t>
      </w:r>
      <w:r>
        <w:rPr>
          <w:rFonts w:ascii="Book Antiqua" w:hAnsi="Book Antiqua" w:eastAsia="Book Antiqua" w:cs="Book Antiqua"/>
          <w:color w:val="000000"/>
          <w:vertAlign w:val="superscript"/>
        </w:rPr>
        <w:t>[57]</w:t>
      </w:r>
      <w:r>
        <w:rPr>
          <w:rFonts w:ascii="Book Antiqua" w:hAnsi="Book Antiqua" w:eastAsia="Book Antiqua" w:cs="Book Antiqua"/>
          <w:color w:val="000000"/>
        </w:rPr>
        <w:t>.</w:t>
      </w:r>
      <w:r>
        <w:rPr>
          <w:rFonts w:ascii="Book Antiqua" w:hAnsi="Book Antiqua"/>
        </w:rPr>
        <w:t xml:space="preserve"> </w:t>
      </w:r>
      <w:r>
        <w:rPr>
          <w:rFonts w:ascii="Book Antiqua" w:hAnsi="Book Antiqua" w:eastAsia="Book Antiqua" w:cs="Book Antiqua"/>
          <w:color w:val="000000"/>
        </w:rPr>
        <w:t>PCD is the least invasive intervention and was the only intervention needed for patients with INP in 35% (15 out of 43) patients in the randomized PANTER trial</w:t>
      </w:r>
      <w:r>
        <w:rPr>
          <w:rFonts w:ascii="Book Antiqua" w:hAnsi="Book Antiqua" w:eastAsia="Book Antiqua" w:cs="Book Antiqua"/>
          <w:color w:val="000000"/>
          <w:vertAlign w:val="superscript"/>
        </w:rPr>
        <w:t>[40]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SURGERY</w:t>
      </w:r>
    </w:p>
    <w:p>
      <w:pPr>
        <w:spacing w:line="360" w:lineRule="auto"/>
        <w:jc w:val="both"/>
        <w:rPr>
          <w:rFonts w:ascii="Book Antiqua" w:hAnsi="Book Antiqua"/>
        </w:rPr>
      </w:pPr>
      <w:r>
        <w:rPr>
          <w:rFonts w:ascii="Book Antiqua" w:hAnsi="Book Antiqua" w:eastAsia="Book Antiqua" w:cs="Book Antiqua"/>
          <w:color w:val="000000"/>
        </w:rPr>
        <w:t>Larger, more complex, and endoscopically not accessible necrotic areas may require minimally invasive or open surgical approaches</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OPEN SURGERY</w:t>
      </w:r>
    </w:p>
    <w:p>
      <w:pPr>
        <w:spacing w:line="360" w:lineRule="auto"/>
        <w:jc w:val="both"/>
        <w:rPr>
          <w:rFonts w:ascii="Book Antiqua" w:hAnsi="Book Antiqua"/>
        </w:rPr>
      </w:pPr>
      <w:r>
        <w:rPr>
          <w:rFonts w:ascii="Book Antiqua" w:hAnsi="Book Antiqua" w:eastAsia="Book Antiqua" w:cs="Book Antiqua"/>
          <w:color w:val="000000"/>
        </w:rPr>
        <w:t xml:space="preserve">AP can lead to severe complications, such as hemorrhage, perforation, or ischemia. These complications may require immediate open surgical treatment. Abdominal compartment syndrome is a further severe potential complication of AP that must be managed </w:t>
      </w:r>
      <w:r>
        <w:rPr>
          <w:rFonts w:ascii="Book Antiqua" w:hAnsi="Book Antiqua" w:eastAsia="Book Antiqua" w:cs="Book Antiqua"/>
          <w:i/>
          <w:iCs/>
          <w:color w:val="000000"/>
        </w:rPr>
        <w:t>via</w:t>
      </w:r>
      <w:r>
        <w:rPr>
          <w:rFonts w:ascii="Book Antiqua" w:hAnsi="Book Antiqua" w:eastAsia="Book Antiqua" w:cs="Book Antiqua"/>
          <w:color w:val="000000"/>
        </w:rPr>
        <w:t xml:space="preserve"> laparotomy. The drainage or debridement of ANCs and contacting the omental bursa should be avoided during these surgical emergency procedures</w:t>
      </w:r>
      <w:r>
        <w:rPr>
          <w:rFonts w:ascii="Book Antiqua" w:hAnsi="Book Antiqua" w:eastAsia="Book Antiqua" w:cs="Book Antiqua"/>
          <w:color w:val="000000"/>
          <w:vertAlign w:val="superscript"/>
        </w:rPr>
        <w:t>[58]</w:t>
      </w:r>
      <w:r>
        <w:rPr>
          <w:rFonts w:ascii="Book Antiqua" w:hAnsi="Book Antiqua" w:eastAsia="Book Antiqua" w:cs="Book Antiqua"/>
          <w:color w:val="000000"/>
        </w:rPr>
        <w:t>. Beside emergency indications, INP itself is a well-accepted indication for surgical treatment</w:t>
      </w:r>
      <w:r>
        <w:rPr>
          <w:rFonts w:ascii="Book Antiqua" w:hAnsi="Book Antiqua" w:eastAsia="Book Antiqua" w:cs="Book Antiqua"/>
          <w:color w:val="000000"/>
          <w:vertAlign w:val="superscript"/>
        </w:rPr>
        <w:t>[59]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Open surgical necrosectomy follows the main principle of exposing the necrotic area and bluntly debriding necrotic tissue: Necrosectomy can be performed with: (1) Open packing; (2) Closed packing; (3) Closed continuous lavage; and (4) Planned re-laparotomies. Open packing involves packing the necrotic cavity with non-adherent dressing after surgical necrosectomy. Readmissions follow every 48 h until the abdomen can be closed after inserting drains. Closed packing is performed when multiple, large, gauze-filled Penrose drains are placed in the residual cavity after necrosectomy and the abdomen is subsequently closed. Closed continuous lavage is performed with the help of two or more double-lumen Salem sump tubes and single-lumen silicone rubber tubes, which are inserted from each flank side and have an in- and outflow of the lavage. Up to 40 L of lavage fluids are used. Planned re-laparotomies provide continuous removal of necrotic tissue over several following days. Surgeons often incorporate zippers into the abdominal wall facilitating repetitive surgical intervention</w:t>
      </w:r>
      <w:r>
        <w:rPr>
          <w:rFonts w:ascii="Book Antiqua" w:hAnsi="Book Antiqua" w:eastAsia="Book Antiqua" w:cs="Book Antiqua"/>
          <w:color w:val="000000"/>
          <w:vertAlign w:val="superscript"/>
        </w:rPr>
        <w:t>[59]</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standard surgical access is performed either as a transperitoneal or retroperitoneal access. Transgastric access has been added more recently and is considered a fast single-stage option for the treatment of symptomatic WON in severely ill patients</w:t>
      </w:r>
      <w:r>
        <w:rPr>
          <w:rFonts w:ascii="Book Antiqua" w:hAnsi="Book Antiqua" w:eastAsia="Book Antiqua" w:cs="Book Antiqua"/>
          <w:color w:val="000000"/>
          <w:vertAlign w:val="superscript"/>
        </w:rPr>
        <w:t>[60]</w:t>
      </w:r>
      <w:r>
        <w:rPr>
          <w:rFonts w:ascii="Book Antiqua" w:hAnsi="Book Antiqua" w:eastAsia="Book Antiqua" w:cs="Book Antiqua"/>
          <w:color w:val="000000"/>
        </w:rPr>
        <w:t xml:space="preserve">. A recent study suggested choosing surgical transgastric necrosectomy whenever feasible in the case of a disconnected pancreatic duct, for dense and large necrosis, and if cholecystectomy must be performed. If the transgastric access is not possible, the authors suggested </w:t>
      </w:r>
      <w:bookmarkStart w:id="62" w:name="OLE_LINK4596"/>
      <w:bookmarkStart w:id="63" w:name="OLE_LINK4597"/>
      <w:r>
        <w:rPr>
          <w:rFonts w:ascii="Book Antiqua" w:hAnsi="Book Antiqua" w:eastAsia="Book Antiqua" w:cs="Book Antiqua"/>
          <w:color w:val="000000"/>
        </w:rPr>
        <w:t>video-assisted retroperitoneal debridement</w:t>
      </w:r>
      <w:bookmarkEnd w:id="62"/>
      <w:bookmarkEnd w:id="63"/>
      <w:r>
        <w:rPr>
          <w:rFonts w:ascii="Book Antiqua" w:hAnsi="Book Antiqua" w:eastAsia="Book Antiqua" w:cs="Book Antiqua"/>
          <w:color w:val="000000"/>
        </w:rPr>
        <w:t xml:space="preserve"> (VARD) as an alternative procedure</w:t>
      </w:r>
      <w:r>
        <w:rPr>
          <w:rFonts w:ascii="Book Antiqua" w:hAnsi="Book Antiqua" w:eastAsia="Book Antiqua" w:cs="Book Antiqua"/>
          <w:color w:val="000000"/>
          <w:vertAlign w:val="superscript"/>
        </w:rPr>
        <w:t>[61]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MINIMALLY INVASIVE SURGERY</w:t>
      </w:r>
    </w:p>
    <w:p>
      <w:pPr>
        <w:spacing w:line="360" w:lineRule="auto"/>
        <w:jc w:val="both"/>
        <w:rPr>
          <w:rFonts w:ascii="Book Antiqua" w:hAnsi="Book Antiqua"/>
        </w:rPr>
      </w:pPr>
      <w:r>
        <w:rPr>
          <w:rFonts w:ascii="Book Antiqua" w:hAnsi="Book Antiqua" w:eastAsia="Book Antiqua" w:cs="Book Antiqua"/>
          <w:color w:val="000000"/>
        </w:rPr>
        <w:t xml:space="preserve">The main procedures of minimal invasive management of INP are </w:t>
      </w:r>
      <w:bookmarkStart w:id="64" w:name="OLE_LINK4598"/>
      <w:bookmarkStart w:id="65" w:name="OLE_LINK4599"/>
      <w:r>
        <w:rPr>
          <w:rFonts w:ascii="Book Antiqua" w:hAnsi="Book Antiqua" w:eastAsia="Book Antiqua" w:cs="Book Antiqua"/>
          <w:color w:val="000000"/>
        </w:rPr>
        <w:t>minimal access retroperitoneal pancreatic necrosectomy</w:t>
      </w:r>
      <w:bookmarkEnd w:id="64"/>
      <w:bookmarkEnd w:id="65"/>
      <w:r>
        <w:rPr>
          <w:rFonts w:ascii="Book Antiqua" w:hAnsi="Book Antiqua" w:eastAsia="Book Antiqua" w:cs="Book Antiqua"/>
          <w:color w:val="000000"/>
        </w:rPr>
        <w:t xml:space="preserve"> (MARPN) and VARD. MARPN involves the placement of a 12-French catheter under CT guidance by an interventional radiologist prior to surgery. The preformed access tract is then dilated up to 30-French during the minimal invasive procedure, so that a rigid nephroscope can be entered. The nephroscope serves as visualization instrument and working channel for necrosectomy at the same time. An irrigation drainage system for continuous lavage is installed at the end of the procedure. MARPN can be done multiple times until the patient’s condition improves.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VARD consists of combined manual and laparoscopical necrosectomy. It was first reported in 2007 by van Santvoort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[62]</w:t>
      </w:r>
      <w:r>
        <w:rPr>
          <w:rFonts w:ascii="Book Antiqua" w:hAnsi="Book Antiqua" w:eastAsia="Book Antiqua" w:cs="Book Antiqua"/>
          <w:color w:val="000000"/>
        </w:rPr>
        <w:t>, who described it as “a hybrid between pure endoscopic retroperitoneal necrosectomy and the open translumbar approach.” The procedure starts with a left flank subcostal incision facilitating direct manual debridement followed by a laparoscopic deeper inspection and debridement by laparoscopic instruments. The intervention ends with a continuous lavage.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COMPARISON BETWEEN OPEN AND MINIMALLY INVASIVE SURGERY</w:t>
      </w:r>
    </w:p>
    <w:p>
      <w:pPr>
        <w:spacing w:line="360" w:lineRule="auto"/>
        <w:jc w:val="both"/>
        <w:rPr>
          <w:rFonts w:ascii="Book Antiqua" w:hAnsi="Book Antiqua"/>
        </w:rPr>
      </w:pPr>
      <w:r>
        <w:rPr>
          <w:rFonts w:ascii="Book Antiqua" w:hAnsi="Book Antiqua" w:eastAsia="Book Antiqua" w:cs="Book Antiqua"/>
          <w:color w:val="000000"/>
        </w:rPr>
        <w:t>Open surgical necrosectomy in AP was historically associated with a mortality rate of 50% or higher</w:t>
      </w:r>
      <w:r>
        <w:rPr>
          <w:rFonts w:ascii="Book Antiqua" w:hAnsi="Book Antiqua" w:eastAsia="Book Antiqua" w:cs="Book Antiqua"/>
          <w:color w:val="000000"/>
          <w:vertAlign w:val="superscript"/>
        </w:rPr>
        <w:t>[63,64]</w:t>
      </w:r>
      <w:r>
        <w:rPr>
          <w:rFonts w:ascii="Book Antiqua" w:hAnsi="Book Antiqua" w:eastAsia="Book Antiqua" w:cs="Book Antiqua"/>
          <w:color w:val="000000"/>
        </w:rPr>
        <w:t>. Improved intensive care management, as well as advances in surgical techniques, including minimally invasive options, and the availability of first line endoscopic and minimally invasive procedures have improved patient outcomes over the past decades</w:t>
      </w:r>
      <w:r>
        <w:rPr>
          <w:rFonts w:ascii="Book Antiqua" w:hAnsi="Book Antiqua" w:eastAsia="Book Antiqua" w:cs="Book Antiqua"/>
          <w:color w:val="000000"/>
          <w:vertAlign w:val="superscript"/>
        </w:rPr>
        <w:t>[65]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 retrospective study compared outcomes of INP patients between 1997-2008 and 2009-2013 and revealed decreased mortality (23.8% </w:t>
      </w:r>
      <w:r>
        <w:rPr>
          <w:rFonts w:ascii="Book Antiqua" w:hAnsi="Book Antiqua" w:eastAsia="Book Antiqua" w:cs="Book Antiqua"/>
          <w:i/>
          <w:iCs/>
          <w:color w:val="000000"/>
        </w:rPr>
        <w:t>vs</w:t>
      </w:r>
      <w:r>
        <w:rPr>
          <w:rFonts w:ascii="Book Antiqua" w:hAnsi="Book Antiqua" w:eastAsia="Book Antiqua" w:cs="Book Antiqua"/>
          <w:color w:val="000000"/>
        </w:rPr>
        <w:t xml:space="preserve"> 11.2%,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and overall complication rates (73.3% </w:t>
      </w:r>
      <w:r>
        <w:rPr>
          <w:rFonts w:ascii="Book Antiqua" w:hAnsi="Book Antiqua" w:eastAsia="Book Antiqua" w:cs="Book Antiqua"/>
          <w:i/>
          <w:iCs/>
          <w:color w:val="000000"/>
        </w:rPr>
        <w:t>vs</w:t>
      </w:r>
      <w:r>
        <w:rPr>
          <w:rFonts w:ascii="Book Antiqua" w:hAnsi="Book Antiqua" w:eastAsia="Book Antiqua" w:cs="Book Antiqua"/>
          <w:color w:val="000000"/>
        </w:rPr>
        <w:t xml:space="preserve"> 64.4%, </w:t>
      </w:r>
      <w:r>
        <w:rPr>
          <w:rFonts w:ascii="Book Antiqua" w:hAnsi="Book Antiqua" w:eastAsia="Book Antiqua" w:cs="Book Antiqua"/>
          <w:i/>
          <w:iCs/>
          <w:color w:val="000000"/>
        </w:rPr>
        <w:t>P</w:t>
      </w:r>
      <w:r>
        <w:rPr>
          <w:rFonts w:ascii="Book Antiqua" w:hAnsi="Book Antiqua" w:eastAsia="Book Antiqua" w:cs="Book Antiqua"/>
          <w:color w:val="000000"/>
        </w:rPr>
        <w:t xml:space="preserve"> = 0.80) in the more recent cohort. Minimal invasive approaches contribute to better treatment success rates and improved outcomes in INP as compared to open surgery. MARPN also reportedly results in decreased postoperative multiorgan failure compared to open pancreatic necrosectomy (35% </w:t>
      </w:r>
      <w:r>
        <w:rPr>
          <w:rFonts w:ascii="Book Antiqua" w:hAnsi="Book Antiqua" w:eastAsia="Book Antiqua" w:cs="Book Antiqua"/>
          <w:i/>
          <w:iCs/>
          <w:color w:val="000000"/>
        </w:rPr>
        <w:t>vs</w:t>
      </w:r>
      <w:r>
        <w:rPr>
          <w:rFonts w:ascii="Book Antiqua" w:hAnsi="Book Antiqua" w:eastAsia="Book Antiqua" w:cs="Book Antiqua"/>
          <w:color w:val="000000"/>
        </w:rPr>
        <w:t xml:space="preserve"> 20.4%, </w:t>
      </w:r>
      <w:r>
        <w:rPr>
          <w:rFonts w:ascii="Book Antiqua" w:hAnsi="Book Antiqua" w:eastAsia="Book Antiqua" w:cs="Book Antiqua"/>
          <w:i/>
          <w:iCs/>
          <w:color w:val="000000"/>
        </w:rPr>
        <w:t>P</w:t>
      </w:r>
      <w:r>
        <w:rPr>
          <w:rFonts w:ascii="Book Antiqua" w:hAnsi="Book Antiqua" w:eastAsia="Book Antiqua" w:cs="Book Antiqua"/>
          <w:color w:val="000000"/>
        </w:rPr>
        <w:t xml:space="preserve"> = 0.001)</w:t>
      </w:r>
      <w:r>
        <w:rPr>
          <w:rFonts w:ascii="Book Antiqua" w:hAnsi="Book Antiqua" w:eastAsia="Book Antiqua" w:cs="Book Antiqua"/>
          <w:color w:val="000000"/>
          <w:vertAlign w:val="superscript"/>
        </w:rPr>
        <w:t>[66]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recent retrospective cohort study comparing 88 patients with open surgical necrosectomy to 91 patients who were treated with minimal invasive surgery (MIS) showed that MIS results in a fivefold decrease in mortality</w:t>
      </w:r>
      <w:r>
        <w:rPr>
          <w:rFonts w:ascii="Book Antiqua" w:hAnsi="Book Antiqua" w:eastAsia="Book Antiqua" w:cs="Book Antiqua"/>
          <w:color w:val="000000"/>
          <w:vertAlign w:val="superscript"/>
        </w:rPr>
        <w:t>[49]</w:t>
      </w:r>
      <w:r>
        <w:rPr>
          <w:rFonts w:ascii="Book Antiqua" w:hAnsi="Book Antiqua" w:eastAsia="Book Antiqua" w:cs="Book Antiqua"/>
          <w:color w:val="000000"/>
        </w:rPr>
        <w:t>. A meta-analysis published in 2018 reported lower risk of death rates in the very high-risk group when comparing minimally invasive necrosectomy to open surgery</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STEP-UP APPROACH</w:t>
      </w:r>
    </w:p>
    <w:p>
      <w:pPr>
        <w:spacing w:line="360" w:lineRule="auto"/>
        <w:jc w:val="both"/>
        <w:rPr>
          <w:rFonts w:ascii="Book Antiqua" w:hAnsi="Book Antiqua"/>
        </w:rPr>
      </w:pPr>
      <w:r>
        <w:rPr>
          <w:rFonts w:ascii="Book Antiqua" w:hAnsi="Book Antiqua" w:eastAsia="Book Antiqua" w:cs="Book Antiqua"/>
          <w:color w:val="000000"/>
        </w:rPr>
        <w:t>The therapeutic approach in INP patients has shifted from open surgical treatment to a less invasive management that can be summarized by “three Ds”: Delay – drain – debride. This approach leads to the introduction of the so-called “step-up approach”, which was first described in 2006 by the Dutch Pancreatitis Study group in their PANTER trial</w:t>
      </w:r>
      <w:r>
        <w:rPr>
          <w:rFonts w:ascii="Book Antiqua" w:hAnsi="Book Antiqua" w:eastAsia="Book Antiqua" w:cs="Book Antiqua"/>
          <w:color w:val="000000"/>
          <w:vertAlign w:val="superscript"/>
        </w:rPr>
        <w:t>[40]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Delay refers to the solidification and complete encapsulation of the pancreatic collection when WON occurs. This is presumed to optimize conditions for intervention, with a lower risk of bleeding and less reinterventions. Drain alludes to using a percutaneous or endoscopic transgastric catheter drainage to mitigate sepsis. Finally, when patients fail to show clinical improvement, debridement is required; in such cases, performing endoscopic or surgical necrosectomy is the next step</w:t>
      </w:r>
      <w:r>
        <w:rPr>
          <w:rFonts w:ascii="Book Antiqua" w:hAnsi="Book Antiqua" w:eastAsia="Book Antiqua" w:cs="Book Antiqua"/>
          <w:color w:val="000000"/>
          <w:vertAlign w:val="superscript"/>
        </w:rPr>
        <w:t>[40]</w:t>
      </w:r>
      <w:r>
        <w:rPr>
          <w:rFonts w:ascii="Book Antiqua" w:hAnsi="Book Antiqua" w:eastAsia="Book Antiqua" w:cs="Book Antiqua"/>
          <w:color w:val="000000"/>
        </w:rPr>
        <w:t>. A multidisciplinary team of INP experts can choose from different treatment options for each step and decides on the most suitable approach for each individual patient. Re-evaluation periods of 72 h between steps should be maintained</w:t>
      </w:r>
      <w:r>
        <w:rPr>
          <w:rFonts w:ascii="Book Antiqua" w:hAnsi="Book Antiqua" w:eastAsia="Book Antiqua" w:cs="Book Antiqua"/>
          <w:color w:val="000000"/>
          <w:vertAlign w:val="superscript"/>
        </w:rPr>
        <w:t>[49]</w:t>
      </w:r>
      <w:r>
        <w:rPr>
          <w:rFonts w:ascii="Book Antiqua" w:hAnsi="Book Antiqua" w:eastAsia="Book Antiqua" w:cs="Book Antiqua"/>
          <w:color w:val="000000"/>
        </w:rPr>
        <w:t>. This therapeutic management is also referred to as the “step-up approach”, which comprises both an endoscopic and a surgical approach. The overall paradigm is to start with the least invasive and harmful intervention with an option to escalate to more radical approaches with continuous evaluation. The step-up approach decreased the incidence of new multiple-organ failure from 40% to 12% when compared to primary laparotomy</w:t>
      </w:r>
      <w:r>
        <w:rPr>
          <w:rFonts w:ascii="Book Antiqua" w:hAnsi="Book Antiqua" w:eastAsia="Book Antiqua" w:cs="Book Antiqua"/>
          <w:color w:val="000000"/>
          <w:vertAlign w:val="superscript"/>
        </w:rPr>
        <w:t>[40]</w:t>
      </w:r>
      <w:r>
        <w:rPr>
          <w:rFonts w:ascii="Book Antiqua" w:hAnsi="Book Antiqua" w:eastAsia="Book Antiqua" w:cs="Book Antiqua"/>
          <w:color w:val="000000"/>
        </w:rPr>
        <w:t>. It is the current state-of-the-art approach and has been implemented in all major guidelines (Figure 4)</w:t>
      </w:r>
      <w:r>
        <w:rPr>
          <w:rFonts w:ascii="Book Antiqua" w:hAnsi="Book Antiqua" w:eastAsia="Book Antiqua" w:cs="Book Antiqua"/>
          <w:color w:val="000000"/>
          <w:vertAlign w:val="superscript"/>
        </w:rPr>
        <w:t>[23,68]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ENDOSCOPIC OR SURGICAL STEP-UP APPROACH</w:t>
      </w:r>
    </w:p>
    <w:p>
      <w:pPr>
        <w:spacing w:line="360" w:lineRule="auto"/>
        <w:jc w:val="both"/>
        <w:rPr>
          <w:rFonts w:ascii="Book Antiqua" w:hAnsi="Book Antiqua"/>
        </w:rPr>
      </w:pPr>
      <w:r>
        <w:rPr>
          <w:rFonts w:ascii="Book Antiqua" w:hAnsi="Book Antiqua" w:eastAsia="Book Antiqua" w:cs="Book Antiqua"/>
          <w:color w:val="000000"/>
        </w:rPr>
        <w:t xml:space="preserve">The step-up approach can be performed using endoscopic or surgical necrosectomy. Comparing both approaches has been subject of several randomized trials. From 2008 to 2010, the first prospective, multicentric randomized controlled trial comparing the surgical and endoscopic step-up approaches was performed in the Netherlands. The so-called PENGUIN trial compared endoscopic transgastric necrosectomy with prior retroperitoneal drainage and different techniques of surgical necrosectomy (VARD or, if not feasible, laparotomy) in 10 INP patients per group. The results demonstrated reduced inflammatory response as measured by serum interleukin 6 Levels, reduced rates of pancreatic fistulas (10% </w:t>
      </w:r>
      <w:r>
        <w:rPr>
          <w:rFonts w:ascii="Book Antiqua" w:hAnsi="Book Antiqua" w:eastAsia="Book Antiqua" w:cs="Book Antiqua"/>
          <w:i/>
          <w:iCs/>
          <w:color w:val="000000"/>
        </w:rPr>
        <w:t>vs</w:t>
      </w:r>
      <w:r>
        <w:rPr>
          <w:rFonts w:ascii="Book Antiqua" w:hAnsi="Book Antiqua" w:eastAsia="Book Antiqua" w:cs="Book Antiqua"/>
          <w:color w:val="000000"/>
        </w:rPr>
        <w:t xml:space="preserve"> 70%, </w:t>
      </w:r>
      <w:r>
        <w:rPr>
          <w:rFonts w:ascii="Book Antiqua" w:hAnsi="Book Antiqua" w:eastAsia="Book Antiqua" w:cs="Book Antiqua"/>
          <w:i/>
          <w:iCs/>
          <w:color w:val="000000"/>
        </w:rPr>
        <w:t>P</w:t>
      </w:r>
      <w:r>
        <w:rPr>
          <w:rFonts w:ascii="Book Antiqua" w:hAnsi="Book Antiqua" w:eastAsia="Book Antiqua" w:cs="Book Antiqua"/>
          <w:color w:val="000000"/>
        </w:rPr>
        <w:t xml:space="preserve"> = 0.020), and no occurrence of new-onset multiorgan failure (0% </w:t>
      </w:r>
      <w:r>
        <w:rPr>
          <w:rFonts w:ascii="Book Antiqua" w:hAnsi="Book Antiqua" w:eastAsia="Book Antiqua" w:cs="Book Antiqua"/>
          <w:i/>
          <w:iCs/>
          <w:color w:val="000000"/>
        </w:rPr>
        <w:t>vs</w:t>
      </w:r>
      <w:r>
        <w:rPr>
          <w:rFonts w:ascii="Book Antiqua" w:hAnsi="Book Antiqua" w:eastAsia="Book Antiqua" w:cs="Book Antiqua"/>
          <w:color w:val="000000"/>
        </w:rPr>
        <w:t xml:space="preserve"> 50%, </w:t>
      </w:r>
      <w:r>
        <w:rPr>
          <w:rFonts w:ascii="Book Antiqua" w:hAnsi="Book Antiqua" w:eastAsia="Book Antiqua" w:cs="Book Antiqua"/>
          <w:i/>
          <w:iCs/>
          <w:color w:val="000000"/>
        </w:rPr>
        <w:t>P</w:t>
      </w:r>
      <w:r>
        <w:rPr>
          <w:rFonts w:ascii="Book Antiqua" w:hAnsi="Book Antiqua" w:eastAsia="Book Antiqua" w:cs="Book Antiqua"/>
          <w:color w:val="000000"/>
        </w:rPr>
        <w:t xml:space="preserve"> = 0.030) in patients in the endoscopic arm</w:t>
      </w:r>
      <w:r>
        <w:rPr>
          <w:rFonts w:ascii="Book Antiqua" w:hAnsi="Book Antiqua" w:eastAsia="Book Antiqua" w:cs="Book Antiqua"/>
          <w:color w:val="000000"/>
          <w:vertAlign w:val="superscript"/>
        </w:rPr>
        <w:t>[69]</w:t>
      </w:r>
      <w:r>
        <w:rPr>
          <w:rFonts w:ascii="Book Antiqua" w:hAnsi="Book Antiqua" w:eastAsia="Book Antiqua" w:cs="Book Antiqua"/>
          <w:color w:val="000000"/>
        </w:rPr>
        <w:t>. The authors concluded that the endoscopic approach was associated with reduced physiological stress, while surgical access was more invasive.</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multicentric TENSION trial was conducted during 2011-2015 in the Netherlands and compared the outcomes of 51 patients following the endoscopic step-up approach to 47 following the surgical step-up approach. The findings showed no significant difference in mortality and major morbidity between both groups (43% in the endoscopic step-up approach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45% in the surgical step-up approach, </w:t>
      </w:r>
      <w:r>
        <w:rPr>
          <w:rFonts w:ascii="Book Antiqua" w:hAnsi="Book Antiqua" w:eastAsia="Book Antiqua" w:cs="Book Antiqua"/>
          <w:i/>
          <w:iCs/>
          <w:color w:val="000000"/>
        </w:rPr>
        <w:t>P</w:t>
      </w:r>
      <w:r>
        <w:rPr>
          <w:rFonts w:ascii="Book Antiqua" w:hAnsi="Book Antiqua" w:eastAsia="Book Antiqua" w:cs="Book Antiqua"/>
          <w:color w:val="000000"/>
        </w:rPr>
        <w:t xml:space="preserve"> = 0.880). However, the mean hospital stay was shorter (53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69 d, </w:t>
      </w:r>
      <w:r>
        <w:rPr>
          <w:rFonts w:ascii="Book Antiqua" w:hAnsi="Book Antiqua" w:eastAsia="Book Antiqua" w:cs="Book Antiqua"/>
          <w:i/>
          <w:iCs/>
          <w:color w:val="000000"/>
        </w:rPr>
        <w:t>P</w:t>
      </w:r>
      <w:r>
        <w:rPr>
          <w:rFonts w:ascii="Book Antiqua" w:hAnsi="Book Antiqua" w:eastAsia="Book Antiqua" w:cs="Book Antiqua"/>
          <w:color w:val="000000"/>
        </w:rPr>
        <w:t xml:space="preserve"> = 0.014), fewer pancreatic fistulas occurred (5%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32%,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and there was a lower overall mean cost (60228 € </w:t>
      </w:r>
      <w:r>
        <w:rPr>
          <w:rFonts w:ascii="Book Antiqua" w:hAnsi="Book Antiqua" w:eastAsia="Book Antiqua" w:cs="Book Antiqua"/>
          <w:i/>
          <w:iCs/>
          <w:color w:val="000000"/>
        </w:rPr>
        <w:t>vs</w:t>
      </w:r>
      <w:r>
        <w:rPr>
          <w:rFonts w:ascii="Book Antiqua" w:hAnsi="Book Antiqua" w:eastAsia="Book Antiqua" w:cs="Book Antiqua"/>
          <w:color w:val="000000"/>
        </w:rPr>
        <w:t xml:space="preserve"> 73883 € in the endoscopic step-up approach group</w:t>
      </w:r>
      <w:r>
        <w:rPr>
          <w:rFonts w:ascii="Book Antiqua" w:hAnsi="Book Antiqua" w:eastAsia="Book Antiqua" w:cs="Book Antiqua"/>
          <w:color w:val="000000"/>
          <w:vertAlign w:val="superscript"/>
        </w:rPr>
        <w:t>[70]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From 2014 to 2017, the monocentric MISER trial was performed in the United States, comparing minimally invasive surgery (laparoscopic debridement or VARD) to the endoscopic step-up approach in a total of 66 patients. They included severely ill patient cohorts and excluded patients who had improved clinically with only percutaneous drainage as treatment. Consistent with the findings of the TENSION trial, MISER showed no difference in mortality rates (8.8% with the endoscopic step-up approach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6.3% with minimally invasive surgery, </w:t>
      </w:r>
      <w:r>
        <w:rPr>
          <w:rFonts w:ascii="Book Antiqua" w:hAnsi="Book Antiqua" w:eastAsia="Book Antiqua" w:cs="Book Antiqua"/>
          <w:i/>
          <w:iCs/>
          <w:color w:val="000000"/>
        </w:rPr>
        <w:t>P</w:t>
      </w:r>
      <w:r>
        <w:rPr>
          <w:rFonts w:ascii="Book Antiqua" w:hAnsi="Book Antiqua" w:eastAsia="Book Antiqua" w:cs="Book Antiqua"/>
          <w:color w:val="000000"/>
        </w:rPr>
        <w:t xml:space="preserve"> = 0.999). However, patients assigned to the endoscopic approach were less likely to develop enteral and pancreatic-cutaneous fistulas (0%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28.1%,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experienced a lower rate of major complications (12%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41%,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and had lower rates of SIRS (20.6%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65.6 %,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Six months after treatment, patients in the surgical group had significantly more disease-related adverse events than did those in the endoscopic group (43.8 % </w:t>
      </w:r>
      <w:r>
        <w:rPr>
          <w:rFonts w:ascii="Book Antiqua" w:hAnsi="Book Antiqua" w:eastAsia="Book Antiqua" w:cs="Book Antiqua"/>
          <w:i/>
          <w:iCs/>
          <w:color w:val="000000"/>
        </w:rPr>
        <w:t>vs</w:t>
      </w:r>
      <w:r>
        <w:rPr>
          <w:rFonts w:ascii="Book Antiqua" w:hAnsi="Book Antiqua" w:eastAsia="Book Antiqua" w:cs="Book Antiqua"/>
          <w:color w:val="000000"/>
        </w:rPr>
        <w:t xml:space="preserve"> 5.9 %,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Finally, the physical health scores for quality of life at 3 mo were better with the endoscopic approach (</w:t>
      </w:r>
      <w:r>
        <w:rPr>
          <w:rFonts w:ascii="Book Antiqua" w:hAnsi="Book Antiqua" w:eastAsia="Book Antiqua" w:cs="Book Antiqua"/>
          <w:i/>
          <w:iCs/>
          <w:color w:val="000000"/>
        </w:rPr>
        <w:t>P</w:t>
      </w:r>
      <w:r>
        <w:rPr>
          <w:rFonts w:ascii="Book Antiqua" w:hAnsi="Book Antiqua" w:eastAsia="Book Antiqua" w:cs="Book Antiqua"/>
          <w:color w:val="000000"/>
        </w:rPr>
        <w:t xml:space="preserve"> = 0.039) and the mean total cost were lower ($75830) compared with the surgical approach ($117492)</w:t>
      </w:r>
      <w:r>
        <w:rPr>
          <w:rFonts w:ascii="Book Antiqua" w:hAnsi="Book Antiqua" w:eastAsia="Book Antiqua" w:cs="Book Antiqua"/>
          <w:color w:val="000000"/>
          <w:vertAlign w:val="superscript"/>
        </w:rPr>
        <w:t>[49]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currently available randomized controlled trials point to the endoscopic step-up approach as the preferred treatment for INP patients. However, if the endoscopic treatment is unfeasible, or the necrotic collection extends to the flank or pelvic region (which is difficult to access endoscopically), surgical interventions constitute the alternative when performed as a step-up approach. Each INP patient should be assessed and treated by a multidisciplinary team with sufficient experience in both approaches.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color="000000"/>
        </w:rPr>
        <w:t>TIMING OF INTERVENTIONS</w:t>
      </w:r>
    </w:p>
    <w:p>
      <w:pPr>
        <w:spacing w:line="360" w:lineRule="auto"/>
        <w:jc w:val="both"/>
        <w:rPr>
          <w:rFonts w:ascii="Book Antiqua" w:hAnsi="Book Antiqua"/>
        </w:rPr>
      </w:pPr>
      <w:r>
        <w:rPr>
          <w:rFonts w:ascii="Book Antiqua" w:hAnsi="Book Antiqua" w:eastAsia="Book Antiqua" w:cs="Book Antiqua"/>
          <w:color w:val="000000"/>
        </w:rPr>
        <w:t>The optimal timing of interventions remains a controversial topic and is subject to ongoing debate. An international survey performed in 2016 among 87 pancreatologists revealed that 55% of experts routinely postponed invasive interventions after diagnosing infected necrosis in AP and awaited the effect of antibiotics. However, 33% of pancreatologists preferred surgical necrosectomy as early as possible in infected necrosis, while the remaining 67% would select that route only in the case of WON</w:t>
      </w:r>
      <w:r>
        <w:rPr>
          <w:rFonts w:ascii="Book Antiqua" w:hAnsi="Book Antiqua" w:eastAsia="Book Antiqua" w:cs="Book Antiqua"/>
          <w:color w:val="000000"/>
          <w:vertAlign w:val="superscript"/>
        </w:rPr>
        <w:t>[71]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2014 prospective study including 223 patients revealed that a postponed surgical intervention after 30 d</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was associated with a lower mortality rate compared to that associated with surgical intervention before day 30 [10% (9/87) </w:t>
      </w:r>
      <w:r>
        <w:rPr>
          <w:rFonts w:ascii="Book Antiqua" w:hAnsi="Book Antiqua" w:eastAsia="Book Antiqua" w:cs="Book Antiqua"/>
          <w:i/>
          <w:iCs/>
          <w:color w:val="000000"/>
        </w:rPr>
        <w:t>vs</w:t>
      </w:r>
      <w:r>
        <w:rPr>
          <w:rFonts w:ascii="Book Antiqua" w:hAnsi="Book Antiqua" w:eastAsia="Book Antiqua" w:cs="Book Antiqua"/>
          <w:color w:val="000000"/>
        </w:rPr>
        <w:t xml:space="preserve"> 21% (28/136), </w:t>
      </w:r>
      <w:r>
        <w:rPr>
          <w:rFonts w:ascii="Book Antiqua" w:hAnsi="Book Antiqua" w:eastAsia="Book Antiqua" w:cs="Book Antiqua"/>
          <w:i/>
          <w:iCs/>
          <w:color w:val="000000"/>
        </w:rPr>
        <w:t>P</w:t>
      </w:r>
      <w:r>
        <w:rPr>
          <w:rFonts w:ascii="Book Antiqua" w:hAnsi="Book Antiqua" w:eastAsia="Book Antiqua" w:cs="Book Antiqua"/>
          <w:color w:val="000000"/>
        </w:rPr>
        <w:t xml:space="preserve"> = 0.040]</w:t>
      </w:r>
      <w:r>
        <w:rPr>
          <w:rFonts w:ascii="Book Antiqua" w:hAnsi="Book Antiqua" w:eastAsia="Book Antiqua" w:cs="Book Antiqua"/>
          <w:color w:val="000000"/>
          <w:vertAlign w:val="superscript"/>
        </w:rPr>
        <w:t>[72]</w:t>
      </w:r>
      <w:r>
        <w:rPr>
          <w:rFonts w:ascii="Book Antiqua" w:hAnsi="Book Antiqua" w:eastAsia="Book Antiqua" w:cs="Book Antiqua"/>
          <w:color w:val="000000"/>
        </w:rPr>
        <w:t xml:space="preserve">. This study followed up on a retrospective study from 2007 that also revealed that patients receiving a postponed surgical necrosectomy exhibited lower mortality rates as compared to those receiving surgical treatment after 15-29 d and 1-14 d (8% </w:t>
      </w:r>
      <w:r>
        <w:rPr>
          <w:rFonts w:ascii="Book Antiqua" w:hAnsi="Book Antiqua" w:eastAsia="Book Antiqua" w:cs="Book Antiqua"/>
          <w:i/>
          <w:iCs/>
          <w:color w:val="000000"/>
        </w:rPr>
        <w:t>vs</w:t>
      </w:r>
      <w:r>
        <w:rPr>
          <w:rFonts w:ascii="Book Antiqua" w:hAnsi="Book Antiqua" w:eastAsia="Book Antiqua" w:cs="Book Antiqua"/>
          <w:color w:val="000000"/>
        </w:rPr>
        <w:t xml:space="preserve"> 45% </w:t>
      </w:r>
      <w:r>
        <w:rPr>
          <w:rFonts w:ascii="Book Antiqua" w:hAnsi="Book Antiqua" w:eastAsia="Book Antiqua" w:cs="Book Antiqua"/>
          <w:i/>
          <w:iCs/>
          <w:color w:val="000000"/>
        </w:rPr>
        <w:t>vs</w:t>
      </w:r>
      <w:r>
        <w:rPr>
          <w:rFonts w:ascii="Book Antiqua" w:hAnsi="Book Antiqua" w:eastAsia="Book Antiqua" w:cs="Book Antiqua"/>
          <w:color w:val="000000"/>
        </w:rPr>
        <w:t xml:space="preserve"> 75%,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recent study of the Dutch Pancreatic Study Group, the POINTER trial, determined whether the outcomes in INP patients could be improved by early catheter drainage. In the study, catheter drainage was performed immediately in 55 patients, while 49 received the treatment after waiting until WON occurred. Patients were included when there was gas reported on CECT, positive gram/culture FNA, and clinical suspicion for INP. The rate of organ failure was comparable in both groups and there was no difference in mortality rates. The total number of interventions was 4:1 in the early intervention group compared to the group with delayed intervention, and the total number of necrosectomies in the whole number of patients was 28 (51%) in the immediate as compared to 11 (22%) in the postponed drainage group. Postponing the intervention led to conservative treatment in nearly 40% of patients. This trial could not detect a benefit of immediate drainage over postponed drainage. Conversely, postponing intervention may ultimately avoid necrosectomy and its potential complications</w:t>
      </w:r>
      <w:r>
        <w:rPr>
          <w:rFonts w:ascii="Book Antiqua" w:hAnsi="Book Antiqua" w:eastAsia="Book Antiqua" w:cs="Book Antiqua"/>
          <w:color w:val="000000"/>
          <w:vertAlign w:val="superscript"/>
        </w:rPr>
        <w:t>[73]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Recent advances in endoscopic and minimally invasive therapy have led to a shift in the interventional strategy for INP. Although no standardized approach suits every patient, the “step-up approach” has emerged as a paradigm to treat this severe disease. The key is to start with the least invasive procedure and potentially escalate to more invasive interventions after continuous evaluation, if necessary. This approach highlights the importance of a multidisciplinary team to guide therapeutic approaches in INP patients. The strategy should be based on the individual patient and should allow for dynamic changes in regard to the patient’s clinical condition. This claim is also backed by the studies presented in this review that demonstrate lower rates of new multiorgan failure and reduction of hospitalization </w:t>
      </w:r>
      <w:bookmarkStart w:id="66" w:name="OLE_LINK4047"/>
      <w:bookmarkStart w:id="67" w:name="OLE_LINK4046"/>
      <w:r>
        <w:rPr>
          <w:rFonts w:ascii="Book Antiqua" w:hAnsi="Book Antiqua" w:eastAsia="Book Antiqua" w:cs="Book Antiqua"/>
          <w:color w:val="000000"/>
        </w:rPr>
        <w:t>day</w:t>
      </w:r>
      <w:bookmarkEnd w:id="66"/>
      <w:bookmarkEnd w:id="67"/>
      <w:r>
        <w:rPr>
          <w:rFonts w:ascii="Book Antiqua" w:hAnsi="Book Antiqua" w:eastAsia="Book Antiqua" w:cs="Book Antiqua"/>
          <w:color w:val="000000"/>
        </w:rPr>
        <w:t>s, among other preferred outcomes. Even with these recent advances, INP continues to elicit a high mortality rate and further research is required to optimize strategic approaches.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thank Hiramatsu K at Asahikawa Kosei Hospital for providing percutaneous radiological drainage pictures; We also thank Okada T, Kawamoto T, Fujinaga A, and Goto M at Asahikawa Kosei Hospital, as well as Hayashi A, the member of Division of Metabolism and Biosystemic Science, Gastroenterology and Hematology/Oncology Department of Medicine, Asahikawa Medical University for providing endoscopic drainage pictures.</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Peery AF</w:t>
      </w:r>
      <w:r>
        <w:rPr>
          <w:rFonts w:ascii="Book Antiqua" w:hAnsi="Book Antiqua"/>
        </w:rPr>
        <w:t xml:space="preserve">, Crockett SD, Murphy CC, Lund JL, Dellon ES, Williams JL, Jensen ET, Shaheen NJ, Barritt AS, Lieber SR, Kochar B, Barnes EL, Fan YC, Pate V, Galanko J, Baron TH, Sandler RS. Burden and Cost of Gastrointestinal, Liver, and Pancreatic Diseases in the United States: Update 2018. </w:t>
      </w:r>
      <w:r>
        <w:rPr>
          <w:rFonts w:ascii="Book Antiqua" w:hAnsi="Book Antiqua"/>
          <w:i/>
          <w:iCs/>
        </w:rPr>
        <w:t>Gastroenterology</w:t>
      </w:r>
      <w:r>
        <w:rPr>
          <w:rFonts w:ascii="Book Antiqua" w:hAnsi="Book Antiqua"/>
        </w:rPr>
        <w:t xml:space="preserve"> 2019; </w:t>
      </w:r>
      <w:r>
        <w:rPr>
          <w:rFonts w:ascii="Book Antiqua" w:hAnsi="Book Antiqua"/>
          <w:b/>
          <w:bCs/>
        </w:rPr>
        <w:t>156</w:t>
      </w:r>
      <w:r>
        <w:rPr>
          <w:rFonts w:ascii="Book Antiqua" w:hAnsi="Book Antiqua"/>
        </w:rPr>
        <w:t>: 254-272.e11 [PMID: 30315778 DOI: 10.1053/j.gastro.2018.08.063]</w:t>
      </w:r>
    </w:p>
    <w:p>
      <w:pPr>
        <w:spacing w:line="360" w:lineRule="auto"/>
        <w:jc w:val="both"/>
        <w:rPr>
          <w:rFonts w:ascii="Book Antiqua" w:hAnsi="Book Antiqua"/>
        </w:rPr>
      </w:pPr>
      <w:r>
        <w:rPr>
          <w:rFonts w:ascii="Book Antiqua" w:hAnsi="Book Antiqua"/>
        </w:rPr>
        <w:t xml:space="preserve">2 </w:t>
      </w:r>
      <w:r>
        <w:rPr>
          <w:rFonts w:ascii="Book Antiqua" w:hAnsi="Book Antiqua"/>
          <w:b/>
          <w:bCs/>
        </w:rPr>
        <w:t>Gapp J</w:t>
      </w:r>
      <w:r>
        <w:rPr>
          <w:rFonts w:ascii="Book Antiqua" w:hAnsi="Book Antiqua"/>
        </w:rPr>
        <w:t xml:space="preserve">, Hall AG, Walters RW, Jahann D, Kassim T, Reddymasu S. Trends and Outcomes of Hospitalizations Related to Acute Pancreatitis: Epidemiology From 2001 to 2014 in the United States. </w:t>
      </w:r>
      <w:r>
        <w:rPr>
          <w:rFonts w:ascii="Book Antiqua" w:hAnsi="Book Antiqua"/>
          <w:i/>
          <w:iCs/>
        </w:rPr>
        <w:t>Pancreas</w:t>
      </w:r>
      <w:r>
        <w:rPr>
          <w:rFonts w:ascii="Book Antiqua" w:hAnsi="Book Antiqua"/>
        </w:rPr>
        <w:t xml:space="preserve"> 2019; </w:t>
      </w:r>
      <w:r>
        <w:rPr>
          <w:rFonts w:ascii="Book Antiqua" w:hAnsi="Book Antiqua"/>
          <w:b/>
          <w:bCs/>
        </w:rPr>
        <w:t>48</w:t>
      </w:r>
      <w:r>
        <w:rPr>
          <w:rFonts w:ascii="Book Antiqua" w:hAnsi="Book Antiqua"/>
        </w:rPr>
        <w:t>: 548-554 [PMID: 30946239 DOI: 10.1097/MPA.0000000000001275]</w:t>
      </w:r>
    </w:p>
    <w:p>
      <w:pPr>
        <w:spacing w:line="360" w:lineRule="auto"/>
        <w:jc w:val="both"/>
        <w:rPr>
          <w:rFonts w:ascii="Book Antiqua" w:hAnsi="Book Antiqua"/>
        </w:rPr>
      </w:pPr>
      <w:r>
        <w:rPr>
          <w:rFonts w:ascii="Book Antiqua" w:hAnsi="Book Antiqua"/>
        </w:rPr>
        <w:t xml:space="preserve">3 </w:t>
      </w:r>
      <w:r>
        <w:rPr>
          <w:rFonts w:ascii="Book Antiqua" w:hAnsi="Book Antiqua"/>
          <w:b/>
          <w:bCs/>
        </w:rPr>
        <w:t>Zheng Z</w:t>
      </w:r>
      <w:r>
        <w:rPr>
          <w:rFonts w:ascii="Book Antiqua" w:hAnsi="Book Antiqua"/>
        </w:rPr>
        <w:t xml:space="preserve">, Ding YX, Qu YX, Cao F, Li F. A narrative review of acute pancreatitis and its diagnosis, pathogenetic mechanism, and management. </w:t>
      </w:r>
      <w:r>
        <w:rPr>
          <w:rFonts w:ascii="Book Antiqua" w:hAnsi="Book Antiqua"/>
          <w:i/>
          <w:iCs/>
        </w:rPr>
        <w:t>Ann Transl Med</w:t>
      </w:r>
      <w:r>
        <w:rPr>
          <w:rFonts w:ascii="Book Antiqua" w:hAnsi="Book Antiqua"/>
        </w:rPr>
        <w:t xml:space="preserve"> 2021; </w:t>
      </w:r>
      <w:r>
        <w:rPr>
          <w:rFonts w:ascii="Book Antiqua" w:hAnsi="Book Antiqua"/>
          <w:b/>
          <w:bCs/>
        </w:rPr>
        <w:t>9</w:t>
      </w:r>
      <w:r>
        <w:rPr>
          <w:rFonts w:ascii="Book Antiqua" w:hAnsi="Book Antiqua"/>
        </w:rPr>
        <w:t>: 69 [PMID: 33553362 DOI: 10.21037/atm-20-4802]</w:t>
      </w:r>
    </w:p>
    <w:p>
      <w:pPr>
        <w:spacing w:line="360" w:lineRule="auto"/>
        <w:jc w:val="both"/>
        <w:rPr>
          <w:rFonts w:ascii="Book Antiqua" w:hAnsi="Book Antiqua"/>
        </w:rPr>
      </w:pPr>
      <w:r>
        <w:rPr>
          <w:rFonts w:ascii="Book Antiqua" w:hAnsi="Book Antiqua"/>
        </w:rPr>
        <w:t xml:space="preserve">4 </w:t>
      </w:r>
      <w:r>
        <w:rPr>
          <w:rFonts w:ascii="Book Antiqua" w:hAnsi="Book Antiqua"/>
          <w:b/>
          <w:bCs/>
        </w:rPr>
        <w:t>Mayerle J</w:t>
      </w:r>
      <w:r>
        <w:rPr>
          <w:rFonts w:ascii="Book Antiqua" w:hAnsi="Book Antiqua"/>
        </w:rPr>
        <w:t xml:space="preserve">, Sendler M, Hegyi E, Beyer G, Lerch MM, Sahin-Tóth M. Genetics, Cell Biology, and Pathophysiology of Pancreatitis. </w:t>
      </w:r>
      <w:r>
        <w:rPr>
          <w:rFonts w:ascii="Book Antiqua" w:hAnsi="Book Antiqua"/>
          <w:i/>
          <w:iCs/>
        </w:rPr>
        <w:t>Gastroenterology</w:t>
      </w:r>
      <w:r>
        <w:rPr>
          <w:rFonts w:ascii="Book Antiqua" w:hAnsi="Book Antiqua"/>
        </w:rPr>
        <w:t xml:space="preserve"> 2019; </w:t>
      </w:r>
      <w:r>
        <w:rPr>
          <w:rFonts w:ascii="Book Antiqua" w:hAnsi="Book Antiqua"/>
          <w:b/>
          <w:bCs/>
        </w:rPr>
        <w:t>156</w:t>
      </w:r>
      <w:r>
        <w:rPr>
          <w:rFonts w:ascii="Book Antiqua" w:hAnsi="Book Antiqua"/>
        </w:rPr>
        <w:t>: 1951-1968.e1 [PMID: 30660731 DOI: 10.1053/j.gastro.2018.11.081]</w:t>
      </w:r>
    </w:p>
    <w:p>
      <w:pPr>
        <w:spacing w:line="360" w:lineRule="auto"/>
        <w:jc w:val="both"/>
        <w:rPr>
          <w:rFonts w:ascii="Book Antiqua" w:hAnsi="Book Antiqua"/>
        </w:rPr>
      </w:pPr>
      <w:r>
        <w:rPr>
          <w:rFonts w:ascii="Book Antiqua" w:hAnsi="Book Antiqua"/>
        </w:rPr>
        <w:t xml:space="preserve">5 </w:t>
      </w:r>
      <w:r>
        <w:rPr>
          <w:rFonts w:ascii="Book Antiqua" w:hAnsi="Book Antiqua"/>
          <w:b/>
          <w:bCs/>
        </w:rPr>
        <w:t>Habtezion A</w:t>
      </w:r>
      <w:r>
        <w:rPr>
          <w:rFonts w:ascii="Book Antiqua" w:hAnsi="Book Antiqua"/>
        </w:rPr>
        <w:t xml:space="preserve">, Gukovskaya AS, Pandol SJ. Acute Pancreatitis: A Multifaceted Set of Organelle and Cellular Interactions. </w:t>
      </w:r>
      <w:r>
        <w:rPr>
          <w:rFonts w:ascii="Book Antiqua" w:hAnsi="Book Antiqua"/>
          <w:i/>
          <w:iCs/>
        </w:rPr>
        <w:t>Gastroenterology</w:t>
      </w:r>
      <w:r>
        <w:rPr>
          <w:rFonts w:ascii="Book Antiqua" w:hAnsi="Book Antiqua"/>
        </w:rPr>
        <w:t xml:space="preserve"> 2019; </w:t>
      </w:r>
      <w:r>
        <w:rPr>
          <w:rFonts w:ascii="Book Antiqua" w:hAnsi="Book Antiqua"/>
          <w:b/>
          <w:bCs/>
        </w:rPr>
        <w:t>156</w:t>
      </w:r>
      <w:r>
        <w:rPr>
          <w:rFonts w:ascii="Book Antiqua" w:hAnsi="Book Antiqua"/>
        </w:rPr>
        <w:t>: 1941-1950 [PMID: 30660726 DOI: 10.1053/j.gastro.2018.11.082]</w:t>
      </w:r>
    </w:p>
    <w:p>
      <w:pPr>
        <w:spacing w:line="360" w:lineRule="auto"/>
        <w:jc w:val="both"/>
        <w:rPr>
          <w:rFonts w:ascii="Book Antiqua" w:hAnsi="Book Antiqua"/>
        </w:rPr>
      </w:pPr>
      <w:r>
        <w:rPr>
          <w:rFonts w:ascii="Book Antiqua" w:hAnsi="Book Antiqua"/>
        </w:rPr>
        <w:t xml:space="preserve">6 </w:t>
      </w:r>
      <w:r>
        <w:rPr>
          <w:rFonts w:ascii="Book Antiqua" w:hAnsi="Book Antiqua"/>
          <w:b/>
          <w:bCs/>
        </w:rPr>
        <w:t>Mederos MA</w:t>
      </w:r>
      <w:r>
        <w:rPr>
          <w:rFonts w:ascii="Book Antiqua" w:hAnsi="Book Antiqua"/>
        </w:rPr>
        <w:t xml:space="preserve">, Reber HA, Girgis MD. Acute Pancreatitis: A Review. </w:t>
      </w:r>
      <w:r>
        <w:rPr>
          <w:rFonts w:ascii="Book Antiqua" w:hAnsi="Book Antiqua"/>
          <w:i/>
          <w:iCs/>
        </w:rPr>
        <w:t>JAMA</w:t>
      </w:r>
      <w:r>
        <w:rPr>
          <w:rFonts w:ascii="Book Antiqua" w:hAnsi="Book Antiqua"/>
        </w:rPr>
        <w:t xml:space="preserve"> 2021; </w:t>
      </w:r>
      <w:r>
        <w:rPr>
          <w:rFonts w:ascii="Book Antiqua" w:hAnsi="Book Antiqua"/>
          <w:b/>
          <w:bCs/>
        </w:rPr>
        <w:t>325</w:t>
      </w:r>
      <w:r>
        <w:rPr>
          <w:rFonts w:ascii="Book Antiqua" w:hAnsi="Book Antiqua"/>
        </w:rPr>
        <w:t>: 382-390 [PMID: 33496779 DOI: 10.1001/jama.2020.20317]</w:t>
      </w:r>
    </w:p>
    <w:p>
      <w:pPr>
        <w:spacing w:line="360" w:lineRule="auto"/>
        <w:jc w:val="both"/>
        <w:rPr>
          <w:rFonts w:ascii="Book Antiqua" w:hAnsi="Book Antiqua"/>
        </w:rPr>
      </w:pPr>
      <w:r>
        <w:rPr>
          <w:rFonts w:ascii="Book Antiqua" w:hAnsi="Book Antiqua"/>
        </w:rPr>
        <w:t xml:space="preserve">7 </w:t>
      </w:r>
      <w:r>
        <w:rPr>
          <w:rFonts w:ascii="Book Antiqua" w:hAnsi="Book Antiqua"/>
          <w:b/>
          <w:bCs/>
        </w:rPr>
        <w:t>Werge M</w:t>
      </w:r>
      <w:r>
        <w:rPr>
          <w:rFonts w:ascii="Book Antiqua" w:hAnsi="Book Antiqua"/>
        </w:rPr>
        <w:t xml:space="preserve">, Novovic S, Schmidt PN, Gluud LL. Infection increases mortality in necrotizing pancreatitis: A systematic review and meta-analysis. </w:t>
      </w:r>
      <w:r>
        <w:rPr>
          <w:rFonts w:ascii="Book Antiqua" w:hAnsi="Book Antiqua"/>
          <w:i/>
          <w:iCs/>
        </w:rPr>
        <w:t>Pancreatology</w:t>
      </w:r>
      <w:r>
        <w:rPr>
          <w:rFonts w:ascii="Book Antiqua" w:hAnsi="Book Antiqua"/>
        </w:rPr>
        <w:t xml:space="preserve"> 2016; </w:t>
      </w:r>
      <w:r>
        <w:rPr>
          <w:rFonts w:ascii="Book Antiqua" w:hAnsi="Book Antiqua"/>
          <w:b/>
          <w:bCs/>
        </w:rPr>
        <w:t>16</w:t>
      </w:r>
      <w:r>
        <w:rPr>
          <w:rFonts w:ascii="Book Antiqua" w:hAnsi="Book Antiqua"/>
        </w:rPr>
        <w:t>: 698-707 [PMID: 27449605 DOI: 10.1016/j.pan.2016.07.004]</w:t>
      </w:r>
    </w:p>
    <w:p>
      <w:pPr>
        <w:spacing w:line="360" w:lineRule="auto"/>
        <w:jc w:val="both"/>
        <w:rPr>
          <w:rFonts w:ascii="Book Antiqua" w:hAnsi="Book Antiqua"/>
        </w:rPr>
      </w:pPr>
      <w:r>
        <w:rPr>
          <w:rFonts w:ascii="Book Antiqua" w:hAnsi="Book Antiqua"/>
        </w:rPr>
        <w:t xml:space="preserve">8 </w:t>
      </w:r>
      <w:r>
        <w:rPr>
          <w:rFonts w:ascii="Book Antiqua" w:hAnsi="Book Antiqua"/>
          <w:b/>
          <w:bCs/>
        </w:rPr>
        <w:t>Colvin SD</w:t>
      </w:r>
      <w:r>
        <w:rPr>
          <w:rFonts w:ascii="Book Antiqua" w:hAnsi="Book Antiqua"/>
        </w:rPr>
        <w:t xml:space="preserve">, Smith EN, Morgan DE, Porter KK. Acute pancreatitis: an update on the revised Atlanta classification. </w:t>
      </w:r>
      <w:r>
        <w:rPr>
          <w:rFonts w:ascii="Book Antiqua" w:hAnsi="Book Antiqua"/>
          <w:i/>
          <w:iCs/>
        </w:rPr>
        <w:t>Abdom Radiol (NY)</w:t>
      </w:r>
      <w:r>
        <w:rPr>
          <w:rFonts w:ascii="Book Antiqua" w:hAnsi="Book Antiqua"/>
        </w:rPr>
        <w:t xml:space="preserve"> 2020; </w:t>
      </w:r>
      <w:r>
        <w:rPr>
          <w:rFonts w:ascii="Book Antiqua" w:hAnsi="Book Antiqua"/>
          <w:b/>
          <w:bCs/>
        </w:rPr>
        <w:t>45</w:t>
      </w:r>
      <w:r>
        <w:rPr>
          <w:rFonts w:ascii="Book Antiqua" w:hAnsi="Book Antiqua"/>
        </w:rPr>
        <w:t>: 1222-1231 [PMID: 31494708 DOI: 10.1007/s00261-019-02214-w]</w:t>
      </w:r>
    </w:p>
    <w:p>
      <w:pPr>
        <w:spacing w:line="360" w:lineRule="auto"/>
        <w:jc w:val="both"/>
        <w:rPr>
          <w:rFonts w:ascii="Book Antiqua" w:hAnsi="Book Antiqua"/>
        </w:rPr>
      </w:pPr>
      <w:r>
        <w:rPr>
          <w:rFonts w:ascii="Book Antiqua" w:hAnsi="Book Antiqua"/>
        </w:rPr>
        <w:t xml:space="preserve">9 </w:t>
      </w:r>
      <w:r>
        <w:rPr>
          <w:rFonts w:ascii="Book Antiqua" w:hAnsi="Book Antiqua"/>
          <w:b/>
          <w:bCs/>
        </w:rPr>
        <w:t>van Santvoort HC</w:t>
      </w:r>
      <w:r>
        <w:rPr>
          <w:rFonts w:ascii="Book Antiqua" w:hAnsi="Book Antiqua"/>
        </w:rPr>
        <w:t xml:space="preserve">, Bakker OJ, Bollen TL, Besselink MG, Ahmed Ali U, Schrijver AM, Boermeester MA, van Goor H, Dejong CH, van Eijck CH, van Ramshorst B, Schaapherder AF, van der Harst E, Hofker S, Nieuwenhuijs VB, Brink MA, Kruyt PM, Manusama ER, van der Schelling GP, Karsten T, Hesselink EJ, van Laarhoven CJ, Rosman C, Bosscha K, de Wit RJ, Houdijk AP, Cuesta MA, Wahab PJ, Gooszen HG; Dutch Pancreatitis Study Group. A conservative and minimally invasive approach to necrotizing pancreatitis improves outcome. </w:t>
      </w:r>
      <w:r>
        <w:rPr>
          <w:rFonts w:ascii="Book Antiqua" w:hAnsi="Book Antiqua"/>
          <w:i/>
          <w:iCs/>
        </w:rPr>
        <w:t>Gastroenterology</w:t>
      </w:r>
      <w:r>
        <w:rPr>
          <w:rFonts w:ascii="Book Antiqua" w:hAnsi="Book Antiqua"/>
        </w:rPr>
        <w:t xml:space="preserve"> 2011; </w:t>
      </w:r>
      <w:r>
        <w:rPr>
          <w:rFonts w:ascii="Book Antiqua" w:hAnsi="Book Antiqua"/>
          <w:b/>
          <w:bCs/>
        </w:rPr>
        <w:t>141</w:t>
      </w:r>
      <w:r>
        <w:rPr>
          <w:rFonts w:ascii="Book Antiqua" w:hAnsi="Book Antiqua"/>
        </w:rPr>
        <w:t>: 1254-1263 [PMID: 21741922 DOI: 10.1053/j.gastro.2011.06.073]</w:t>
      </w:r>
    </w:p>
    <w:p>
      <w:pPr>
        <w:spacing w:line="360" w:lineRule="auto"/>
        <w:jc w:val="both"/>
        <w:rPr>
          <w:rFonts w:ascii="Book Antiqua" w:hAnsi="Book Antiqua"/>
        </w:rPr>
      </w:pPr>
      <w:r>
        <w:rPr>
          <w:rFonts w:ascii="Book Antiqua" w:hAnsi="Book Antiqua"/>
        </w:rPr>
        <w:t xml:space="preserve">10 </w:t>
      </w:r>
      <w:r>
        <w:rPr>
          <w:rFonts w:ascii="Book Antiqua" w:hAnsi="Book Antiqua"/>
          <w:b/>
          <w:bCs/>
        </w:rPr>
        <w:t>Nesvaderani M</w:t>
      </w:r>
      <w:r>
        <w:rPr>
          <w:rFonts w:ascii="Book Antiqua" w:hAnsi="Book Antiqua"/>
        </w:rPr>
        <w:t xml:space="preserve">, Eslick GD, Vagg D, Faraj S, Cox MR. Epidemiology, aetiology and outcomes of acute pancreatitis: A retrospective cohort study. </w:t>
      </w:r>
      <w:r>
        <w:rPr>
          <w:rFonts w:ascii="Book Antiqua" w:hAnsi="Book Antiqua"/>
          <w:i/>
          <w:iCs/>
        </w:rPr>
        <w:t>Int J Surg</w:t>
      </w:r>
      <w:r>
        <w:rPr>
          <w:rFonts w:ascii="Book Antiqua" w:hAnsi="Book Antiqua"/>
        </w:rPr>
        <w:t xml:space="preserve"> 2015; </w:t>
      </w:r>
      <w:r>
        <w:rPr>
          <w:rFonts w:ascii="Book Antiqua" w:hAnsi="Book Antiqua"/>
          <w:b/>
          <w:bCs/>
        </w:rPr>
        <w:t>23</w:t>
      </w:r>
      <w:r>
        <w:rPr>
          <w:rFonts w:ascii="Book Antiqua" w:hAnsi="Book Antiqua"/>
        </w:rPr>
        <w:t>: 68-74 [PMID: 26384834 DOI: 10.1016/j.ijsu.2015.07.701]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Park JY</w:t>
      </w:r>
      <w:r>
        <w:rPr>
          <w:rFonts w:ascii="Book Antiqua" w:hAnsi="Book Antiqua"/>
        </w:rPr>
        <w:t xml:space="preserve">, Jeon TJ, Ha TH, Hwang JT, Sinn DH, Oh TH, Shin WC, Choi WC. Bedside index for severity in acute pancreatitis: comparison with other scoring systems in predicting severity and organ failure. </w:t>
      </w:r>
      <w:r>
        <w:rPr>
          <w:rFonts w:ascii="Book Antiqua" w:hAnsi="Book Antiqua"/>
          <w:i/>
          <w:iCs/>
        </w:rPr>
        <w:t>Hepatobiliary Pancreat Dis Int</w:t>
      </w:r>
      <w:r>
        <w:rPr>
          <w:rFonts w:ascii="Book Antiqua" w:hAnsi="Book Antiqua"/>
        </w:rPr>
        <w:t xml:space="preserve"> 2013; </w:t>
      </w:r>
      <w:r>
        <w:rPr>
          <w:rFonts w:ascii="Book Antiqua" w:hAnsi="Book Antiqua"/>
          <w:b/>
          <w:bCs/>
        </w:rPr>
        <w:t>12</w:t>
      </w:r>
      <w:r>
        <w:rPr>
          <w:rFonts w:ascii="Book Antiqua" w:hAnsi="Book Antiqua"/>
        </w:rPr>
        <w:t>: 645-650 [PMID: 24322751 DOI: 10.1016/s1499-3872(13)60101-0]</w:t>
      </w:r>
    </w:p>
    <w:p>
      <w:pPr>
        <w:spacing w:line="360" w:lineRule="auto"/>
        <w:jc w:val="both"/>
        <w:rPr>
          <w:rFonts w:ascii="Book Antiqua" w:hAnsi="Book Antiqua"/>
        </w:rPr>
      </w:pPr>
      <w:r>
        <w:rPr>
          <w:rFonts w:ascii="Book Antiqua" w:hAnsi="Book Antiqua"/>
        </w:rPr>
        <w:t xml:space="preserve">12 </w:t>
      </w:r>
      <w:r>
        <w:rPr>
          <w:rFonts w:ascii="Book Antiqua" w:hAnsi="Book Antiqua"/>
          <w:b/>
          <w:bCs/>
        </w:rPr>
        <w:t>Foster BR</w:t>
      </w:r>
      <w:r>
        <w:rPr>
          <w:rFonts w:ascii="Book Antiqua" w:hAnsi="Book Antiqua"/>
        </w:rPr>
        <w:t xml:space="preserve">, Jensen KK, Bakis G, Shaaban AM, Coakley FV. Revised Atlanta Classification for Acute Pancreatitis: A Pictorial Essay. </w:t>
      </w:r>
      <w:r>
        <w:rPr>
          <w:rFonts w:ascii="Book Antiqua" w:hAnsi="Book Antiqua"/>
          <w:i/>
          <w:iCs/>
        </w:rPr>
        <w:t>Radiographics</w:t>
      </w:r>
      <w:r>
        <w:rPr>
          <w:rFonts w:ascii="Book Antiqua" w:hAnsi="Book Antiqua"/>
        </w:rPr>
        <w:t xml:space="preserve"> 2016; </w:t>
      </w:r>
      <w:r>
        <w:rPr>
          <w:rFonts w:ascii="Book Antiqua" w:hAnsi="Book Antiqua"/>
          <w:b/>
          <w:bCs/>
        </w:rPr>
        <w:t>36</w:t>
      </w:r>
      <w:r>
        <w:rPr>
          <w:rFonts w:ascii="Book Antiqua" w:hAnsi="Book Antiqua"/>
        </w:rPr>
        <w:t>: 675-687 [PMID: 27163588 DOI: 10.1148/rg.2016150097]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Zerem E</w:t>
      </w:r>
      <w:r>
        <w:rPr>
          <w:rFonts w:ascii="Book Antiqua" w:hAnsi="Book Antiqua"/>
        </w:rPr>
        <w:t xml:space="preserve">. Treatment of severe acute pancreatitis and its complications.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13879-13892 [PMID: 25320523 DOI: 10.3748/wjg.v20.i38.13879]</w:t>
      </w:r>
    </w:p>
    <w:p>
      <w:pPr>
        <w:spacing w:line="360" w:lineRule="auto"/>
        <w:jc w:val="both"/>
        <w:rPr>
          <w:rFonts w:ascii="Book Antiqua" w:hAnsi="Book Antiqua"/>
        </w:rPr>
      </w:pPr>
      <w:r>
        <w:rPr>
          <w:rFonts w:ascii="Book Antiqua" w:hAnsi="Book Antiqua"/>
        </w:rPr>
        <w:t xml:space="preserve">14 </w:t>
      </w:r>
      <w:r>
        <w:rPr>
          <w:rFonts w:ascii="Book Antiqua" w:hAnsi="Book Antiqua"/>
          <w:b/>
          <w:bCs/>
        </w:rPr>
        <w:t>Kayar Y</w:t>
      </w:r>
      <w:r>
        <w:rPr>
          <w:rFonts w:ascii="Book Antiqua" w:hAnsi="Book Antiqua"/>
        </w:rPr>
        <w:t xml:space="preserve">, Senturk H, Tozlu M, Baysal B, Atay M, Ince AT. Prediction of Self-Limited Acute Pancreatitis Cases at Admission to Emergency Unit. </w:t>
      </w:r>
      <w:r>
        <w:rPr>
          <w:rFonts w:ascii="Book Antiqua" w:hAnsi="Book Antiqua"/>
          <w:i/>
          <w:iCs/>
        </w:rPr>
        <w:t>GE Port J Gastroenterol</w:t>
      </w:r>
      <w:r>
        <w:rPr>
          <w:rFonts w:ascii="Book Antiqua" w:hAnsi="Book Antiqua"/>
        </w:rPr>
        <w:t xml:space="preserve"> 2019; </w:t>
      </w:r>
      <w:r>
        <w:rPr>
          <w:rFonts w:ascii="Book Antiqua" w:hAnsi="Book Antiqua"/>
          <w:b/>
          <w:bCs/>
        </w:rPr>
        <w:t>26</w:t>
      </w:r>
      <w:r>
        <w:rPr>
          <w:rFonts w:ascii="Book Antiqua" w:hAnsi="Book Antiqua"/>
        </w:rPr>
        <w:t>: 251-259 [PMID: 31328139 DOI: 10.1159/000493762]</w:t>
      </w:r>
    </w:p>
    <w:p>
      <w:pPr>
        <w:spacing w:line="360" w:lineRule="auto"/>
        <w:jc w:val="both"/>
        <w:rPr>
          <w:rFonts w:ascii="Book Antiqua" w:hAnsi="Book Antiqua"/>
          <w:lang w:val="de-DE"/>
        </w:rPr>
      </w:pPr>
      <w:r>
        <w:rPr>
          <w:rFonts w:ascii="Book Antiqua" w:hAnsi="Book Antiqua"/>
        </w:rPr>
        <w:t xml:space="preserve">15 </w:t>
      </w:r>
      <w:r>
        <w:rPr>
          <w:rFonts w:ascii="Book Antiqua" w:hAnsi="Book Antiqua"/>
          <w:b/>
          <w:bCs/>
        </w:rPr>
        <w:t>Yasuda I</w:t>
      </w:r>
      <w:r>
        <w:rPr>
          <w:rFonts w:ascii="Book Antiqua" w:hAnsi="Book Antiqua"/>
        </w:rPr>
        <w:t xml:space="preserve">, Takahashi K. Endoscopic management of walled-off pancreatic necrosis. </w:t>
      </w:r>
      <w:r>
        <w:rPr>
          <w:rFonts w:ascii="Book Antiqua" w:hAnsi="Book Antiqua"/>
          <w:i/>
          <w:iCs/>
          <w:lang w:val="de-DE"/>
        </w:rPr>
        <w:t>Dig Endosc</w:t>
      </w:r>
      <w:r>
        <w:rPr>
          <w:rFonts w:ascii="Book Antiqua" w:hAnsi="Book Antiqua"/>
          <w:lang w:val="de-DE"/>
        </w:rPr>
        <w:t xml:space="preserve"> 2021; </w:t>
      </w:r>
      <w:r>
        <w:rPr>
          <w:rFonts w:ascii="Book Antiqua" w:hAnsi="Book Antiqua"/>
          <w:b/>
          <w:bCs/>
          <w:lang w:val="de-DE"/>
        </w:rPr>
        <w:t>33</w:t>
      </w:r>
      <w:r>
        <w:rPr>
          <w:rFonts w:ascii="Book Antiqua" w:hAnsi="Book Antiqua"/>
          <w:lang w:val="de-DE"/>
        </w:rPr>
        <w:t>: 335-341 [PMID: 32306430 DOI: 10.1111/den.13699]</w:t>
      </w:r>
    </w:p>
    <w:p>
      <w:pPr>
        <w:spacing w:line="360" w:lineRule="auto"/>
        <w:jc w:val="both"/>
        <w:rPr>
          <w:rFonts w:ascii="Book Antiqua" w:hAnsi="Book Antiqua"/>
        </w:rPr>
      </w:pPr>
      <w:r>
        <w:rPr>
          <w:rFonts w:ascii="Book Antiqua" w:hAnsi="Book Antiqua"/>
          <w:lang w:val="de-DE"/>
        </w:rPr>
        <w:t xml:space="preserve">16 </w:t>
      </w:r>
      <w:r>
        <w:rPr>
          <w:rFonts w:ascii="Book Antiqua" w:hAnsi="Book Antiqua"/>
          <w:b/>
          <w:bCs/>
          <w:lang w:val="de-DE"/>
        </w:rPr>
        <w:t>Heckler M</w:t>
      </w:r>
      <w:r>
        <w:rPr>
          <w:rFonts w:ascii="Book Antiqua" w:hAnsi="Book Antiqua"/>
          <w:lang w:val="de-DE"/>
        </w:rPr>
        <w:t xml:space="preserve">, Hackert T, Hu K, Halloran CM, Büchler MW, Neoptolemos JP. </w:t>
      </w:r>
      <w:r>
        <w:rPr>
          <w:rFonts w:ascii="Book Antiqua" w:hAnsi="Book Antiqua"/>
        </w:rPr>
        <w:t xml:space="preserve">Severe acute pancreatitis: surgical indications and treatment. </w:t>
      </w:r>
      <w:r>
        <w:rPr>
          <w:rFonts w:ascii="Book Antiqua" w:hAnsi="Book Antiqua"/>
          <w:i/>
          <w:iCs/>
        </w:rPr>
        <w:t>Langenbecks Arch Surg</w:t>
      </w:r>
      <w:r>
        <w:rPr>
          <w:rFonts w:ascii="Book Antiqua" w:hAnsi="Book Antiqua"/>
        </w:rPr>
        <w:t xml:space="preserve"> 2021; </w:t>
      </w:r>
      <w:r>
        <w:rPr>
          <w:rFonts w:ascii="Book Antiqua" w:hAnsi="Book Antiqua"/>
          <w:b/>
          <w:bCs/>
        </w:rPr>
        <w:t>406</w:t>
      </w:r>
      <w:r>
        <w:rPr>
          <w:rFonts w:ascii="Book Antiqua" w:hAnsi="Book Antiqua"/>
        </w:rPr>
        <w:t>: 521-535 [PMID: 32910276 DOI: 10.1007/s00423-020-01944-6]</w:t>
      </w:r>
    </w:p>
    <w:p>
      <w:pPr>
        <w:spacing w:line="360" w:lineRule="auto"/>
        <w:jc w:val="both"/>
        <w:rPr>
          <w:rFonts w:ascii="Book Antiqua" w:hAnsi="Book Antiqua"/>
        </w:rPr>
      </w:pPr>
      <w:r>
        <w:rPr>
          <w:rFonts w:ascii="Book Antiqua" w:hAnsi="Book Antiqua"/>
        </w:rPr>
        <w:t xml:space="preserve">17 </w:t>
      </w:r>
      <w:r>
        <w:rPr>
          <w:rFonts w:ascii="Book Antiqua" w:hAnsi="Book Antiqua"/>
          <w:b/>
          <w:bCs/>
        </w:rPr>
        <w:t>van Dijk SM</w:t>
      </w:r>
      <w:r>
        <w:rPr>
          <w:rFonts w:ascii="Book Antiqua" w:hAnsi="Book Antiqua"/>
        </w:rPr>
        <w:t xml:space="preserve">, Hallensleben NDL, van Santvoort HC, Fockens P, van Goor H, Bruno MJ, Besselink MG; Dutch Pancreatitis Study Group. Acute pancreatitis: recent advances through randomised trials. </w:t>
      </w:r>
      <w:r>
        <w:rPr>
          <w:rFonts w:ascii="Book Antiqua" w:hAnsi="Book Antiqua"/>
          <w:i/>
          <w:iCs/>
        </w:rPr>
        <w:t>Gut</w:t>
      </w:r>
      <w:r>
        <w:rPr>
          <w:rFonts w:ascii="Book Antiqua" w:hAnsi="Book Antiqua"/>
        </w:rPr>
        <w:t xml:space="preserve"> 2017; </w:t>
      </w:r>
      <w:r>
        <w:rPr>
          <w:rFonts w:ascii="Book Antiqua" w:hAnsi="Book Antiqua"/>
          <w:b/>
          <w:bCs/>
        </w:rPr>
        <w:t>66</w:t>
      </w:r>
      <w:r>
        <w:rPr>
          <w:rFonts w:ascii="Book Antiqua" w:hAnsi="Book Antiqua"/>
        </w:rPr>
        <w:t>: 2024-2032 [PMID: 28838972 DOI: 10.1136/gutjnl-2016-313595]</w:t>
      </w:r>
    </w:p>
    <w:p>
      <w:pPr>
        <w:spacing w:line="360" w:lineRule="auto"/>
        <w:jc w:val="both"/>
        <w:rPr>
          <w:rFonts w:ascii="Book Antiqua" w:hAnsi="Book Antiqua"/>
        </w:rPr>
      </w:pPr>
      <w:r>
        <w:rPr>
          <w:rFonts w:ascii="Book Antiqua" w:hAnsi="Book Antiqua"/>
        </w:rPr>
        <w:t xml:space="preserve">18 </w:t>
      </w:r>
      <w:r>
        <w:rPr>
          <w:rFonts w:ascii="Book Antiqua" w:hAnsi="Book Antiqua"/>
          <w:b/>
          <w:bCs/>
        </w:rPr>
        <w:t>Büchler MW</w:t>
      </w:r>
      <w:r>
        <w:rPr>
          <w:rFonts w:ascii="Book Antiqua" w:hAnsi="Book Antiqua"/>
        </w:rPr>
        <w:t xml:space="preserve">, Gloor B, Müller CA, Friess H, Seiler CA, Uhl W. Acute necrotizing pancreatitis: treatment strategy according to the status of infection. </w:t>
      </w:r>
      <w:r>
        <w:rPr>
          <w:rFonts w:ascii="Book Antiqua" w:hAnsi="Book Antiqua"/>
          <w:i/>
          <w:iCs/>
        </w:rPr>
        <w:t>Ann Surg</w:t>
      </w:r>
      <w:r>
        <w:rPr>
          <w:rFonts w:ascii="Book Antiqua" w:hAnsi="Book Antiqua"/>
        </w:rPr>
        <w:t xml:space="preserve"> 2000; </w:t>
      </w:r>
      <w:r>
        <w:rPr>
          <w:rFonts w:ascii="Book Antiqua" w:hAnsi="Book Antiqua"/>
          <w:b/>
          <w:bCs/>
        </w:rPr>
        <w:t>232</w:t>
      </w:r>
      <w:r>
        <w:rPr>
          <w:rFonts w:ascii="Book Antiqua" w:hAnsi="Book Antiqua"/>
        </w:rPr>
        <w:t>: 619-626 [PMID: 11066131 DOI: 10.1097/00000658-200011000-00001]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da Costa DW</w:t>
      </w:r>
      <w:r>
        <w:rPr>
          <w:rFonts w:ascii="Book Antiqua" w:hAnsi="Book Antiqua"/>
        </w:rPr>
        <w:t xml:space="preserve">, Boerma D, van Santvoort HC, Horvath KD, Werner J, Carter CR, Bollen TL, Gooszen HG, Besselink MG, Bakker OJ. Staged multidisciplinary step-up management for necrotizing pancreatitis. </w:t>
      </w:r>
      <w:r>
        <w:rPr>
          <w:rFonts w:ascii="Book Antiqua" w:hAnsi="Book Antiqua"/>
          <w:i/>
          <w:iCs/>
        </w:rPr>
        <w:t>Br J Surg</w:t>
      </w:r>
      <w:r>
        <w:rPr>
          <w:rFonts w:ascii="Book Antiqua" w:hAnsi="Book Antiqua"/>
        </w:rPr>
        <w:t xml:space="preserve"> 2014; </w:t>
      </w:r>
      <w:r>
        <w:rPr>
          <w:rFonts w:ascii="Book Antiqua" w:hAnsi="Book Antiqua"/>
          <w:b/>
          <w:bCs/>
        </w:rPr>
        <w:t>101</w:t>
      </w:r>
      <w:r>
        <w:rPr>
          <w:rFonts w:ascii="Book Antiqua" w:hAnsi="Book Antiqua"/>
        </w:rPr>
        <w:t>: e65-e79 [PMID: 24272964 DOI: 10.1002/bjs.9346]</w:t>
      </w:r>
    </w:p>
    <w:p>
      <w:pPr>
        <w:spacing w:line="360" w:lineRule="auto"/>
        <w:jc w:val="both"/>
        <w:rPr>
          <w:rFonts w:ascii="Book Antiqua" w:hAnsi="Book Antiqua"/>
        </w:rPr>
      </w:pPr>
      <w:r>
        <w:rPr>
          <w:rFonts w:ascii="Book Antiqua" w:hAnsi="Book Antiqua"/>
          <w:lang w:val="de-DE"/>
        </w:rPr>
        <w:t xml:space="preserve">20 </w:t>
      </w:r>
      <w:r>
        <w:rPr>
          <w:rFonts w:ascii="Book Antiqua" w:hAnsi="Book Antiqua"/>
          <w:b/>
          <w:bCs/>
          <w:lang w:val="de-DE"/>
        </w:rPr>
        <w:t>Werner J</w:t>
      </w:r>
      <w:r>
        <w:rPr>
          <w:rFonts w:ascii="Book Antiqua" w:hAnsi="Book Antiqua"/>
          <w:lang w:val="de-DE"/>
        </w:rPr>
        <w:t xml:space="preserve">, Feuerbach S, Uhl W, Büchler MW. </w:t>
      </w:r>
      <w:r>
        <w:rPr>
          <w:rFonts w:ascii="Book Antiqua" w:hAnsi="Book Antiqua"/>
        </w:rPr>
        <w:t xml:space="preserve">Management of acute pancreatitis: from surgery to interventional intensive care. </w:t>
      </w:r>
      <w:r>
        <w:rPr>
          <w:rFonts w:ascii="Book Antiqua" w:hAnsi="Book Antiqua"/>
          <w:i/>
          <w:iCs/>
        </w:rPr>
        <w:t>Gut</w:t>
      </w:r>
      <w:r>
        <w:rPr>
          <w:rFonts w:ascii="Book Antiqua" w:hAnsi="Book Antiqua"/>
        </w:rPr>
        <w:t xml:space="preserve"> 2005; </w:t>
      </w:r>
      <w:r>
        <w:rPr>
          <w:rFonts w:ascii="Book Antiqua" w:hAnsi="Book Antiqua"/>
          <w:b/>
          <w:bCs/>
        </w:rPr>
        <w:t>54</w:t>
      </w:r>
      <w:r>
        <w:rPr>
          <w:rFonts w:ascii="Book Antiqua" w:hAnsi="Book Antiqua"/>
        </w:rPr>
        <w:t>: 426-436 [PMID: 15710995 DOI: 10.1136/gut.2003.035907]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Leppäniemi A</w:t>
      </w:r>
      <w:r>
        <w:rPr>
          <w:rFonts w:ascii="Book Antiqua" w:hAnsi="Book Antiqua"/>
        </w:rPr>
        <w:t xml:space="preserve">, Tolonen M, Tarasconi A, Segovia-Lohse H, Gamberini E, Kirkpatrick AW, Ball CG, Parry N, Sartelli M, Wolbrink D, van Goor H, Baiocchi G, Ansaloni L, Biffl W, Coccolini F, Di Saverio S, Kluger Y, Moore E, Catena F. 2019 WSES guidelines for the management of severe acute pancreatitis. </w:t>
      </w:r>
      <w:r>
        <w:rPr>
          <w:rFonts w:ascii="Book Antiqua" w:hAnsi="Book Antiqua"/>
          <w:i/>
          <w:iCs/>
        </w:rPr>
        <w:t>World J Emerg Surg</w:t>
      </w:r>
      <w:r>
        <w:rPr>
          <w:rFonts w:ascii="Book Antiqua" w:hAnsi="Book Antiqua"/>
        </w:rPr>
        <w:t xml:space="preserve"> 2019; </w:t>
      </w:r>
      <w:r>
        <w:rPr>
          <w:rFonts w:ascii="Book Antiqua" w:hAnsi="Book Antiqua"/>
          <w:b/>
          <w:bCs/>
        </w:rPr>
        <w:t>14</w:t>
      </w:r>
      <w:r>
        <w:rPr>
          <w:rFonts w:ascii="Book Antiqua" w:hAnsi="Book Antiqua"/>
        </w:rPr>
        <w:t>: 27 [PMID: 31210778 DOI: 10.1186/s13017-019-0247-0]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McPherson SJ</w:t>
      </w:r>
      <w:r>
        <w:rPr>
          <w:rFonts w:ascii="Book Antiqua" w:hAnsi="Book Antiqua"/>
        </w:rPr>
        <w:t xml:space="preserve">, O'Reilly DA, Sinclair MT, Smith N. The use of imaging in acute pancreatitis in United Kingdom hospitals: findings from a national quality of care study. </w:t>
      </w:r>
      <w:r>
        <w:rPr>
          <w:rFonts w:ascii="Book Antiqua" w:hAnsi="Book Antiqua"/>
          <w:i/>
          <w:iCs/>
        </w:rPr>
        <w:t>Br J Radiol</w:t>
      </w:r>
      <w:r>
        <w:rPr>
          <w:rFonts w:ascii="Book Antiqua" w:hAnsi="Book Antiqua"/>
        </w:rPr>
        <w:t xml:space="preserve"> 2017; </w:t>
      </w:r>
      <w:r>
        <w:rPr>
          <w:rFonts w:ascii="Book Antiqua" w:hAnsi="Book Antiqua"/>
          <w:b/>
          <w:bCs/>
        </w:rPr>
        <w:t>90</w:t>
      </w:r>
      <w:r>
        <w:rPr>
          <w:rFonts w:ascii="Book Antiqua" w:hAnsi="Book Antiqua"/>
        </w:rPr>
        <w:t>: 20170224 [PMID: 28869389 DOI: 10.1259/bjr.20170224]</w:t>
      </w:r>
    </w:p>
    <w:p>
      <w:pPr>
        <w:spacing w:line="360" w:lineRule="auto"/>
        <w:jc w:val="both"/>
        <w:rPr>
          <w:rFonts w:ascii="Book Antiqua" w:hAnsi="Book Antiqua"/>
        </w:rPr>
      </w:pPr>
      <w:r>
        <w:rPr>
          <w:rFonts w:ascii="Book Antiqua" w:hAnsi="Book Antiqua"/>
        </w:rPr>
        <w:t xml:space="preserve">23 </w:t>
      </w:r>
      <w:r>
        <w:rPr>
          <w:rFonts w:ascii="Book Antiqua" w:hAnsi="Book Antiqua"/>
          <w:b/>
          <w:bCs/>
        </w:rPr>
        <w:t>Working Group IAP/APA Acute Pancreatitis Guidelines.</w:t>
      </w:r>
      <w:r>
        <w:rPr>
          <w:rFonts w:ascii="Book Antiqua" w:hAnsi="Book Antiqua"/>
        </w:rPr>
        <w:t xml:space="preserve"> IAP/APA evidence-based guidelines for the management of acute pancreatitis. </w:t>
      </w:r>
      <w:r>
        <w:rPr>
          <w:rFonts w:ascii="Book Antiqua" w:hAnsi="Book Antiqua"/>
          <w:i/>
          <w:iCs/>
        </w:rPr>
        <w:t>Pancreatology</w:t>
      </w:r>
      <w:r>
        <w:rPr>
          <w:rFonts w:ascii="Book Antiqua" w:hAnsi="Book Antiqua"/>
        </w:rPr>
        <w:t xml:space="preserve"> 2013; </w:t>
      </w:r>
      <w:r>
        <w:rPr>
          <w:rFonts w:ascii="Book Antiqua" w:hAnsi="Book Antiqua"/>
          <w:b/>
          <w:bCs/>
        </w:rPr>
        <w:t>13</w:t>
      </w:r>
      <w:r>
        <w:rPr>
          <w:rFonts w:ascii="Book Antiqua" w:hAnsi="Book Antiqua"/>
        </w:rPr>
        <w:t>: e1-15 [PMID: 24054878 DOI: 10.1016/j.pan.2013.07.063]</w:t>
      </w:r>
    </w:p>
    <w:p>
      <w:pPr>
        <w:spacing w:line="360" w:lineRule="auto"/>
        <w:jc w:val="both"/>
        <w:rPr>
          <w:rFonts w:ascii="Book Antiqua" w:hAnsi="Book Antiqua"/>
        </w:rPr>
      </w:pPr>
      <w:r>
        <w:rPr>
          <w:rFonts w:ascii="Book Antiqua" w:hAnsi="Book Antiqua"/>
        </w:rPr>
        <w:t xml:space="preserve">24 </w:t>
      </w:r>
      <w:r>
        <w:rPr>
          <w:rFonts w:ascii="Book Antiqua" w:hAnsi="Book Antiqua"/>
          <w:b/>
          <w:bCs/>
        </w:rPr>
        <w:t>Gomes CA</w:t>
      </w:r>
      <w:r>
        <w:rPr>
          <w:rFonts w:ascii="Book Antiqua" w:hAnsi="Book Antiqua"/>
        </w:rPr>
        <w:t xml:space="preserve">, Di Saverio S, Sartelli M, Segallini E, Cilloni N, Pezzilli R, Pagano N, Gomes FC, Catena F. Severe acute pancreatitis: eight fundamental steps revised according to the 'PANCREAS' acronym. </w:t>
      </w:r>
      <w:r>
        <w:rPr>
          <w:rFonts w:ascii="Book Antiqua" w:hAnsi="Book Antiqua"/>
          <w:i/>
          <w:iCs/>
        </w:rPr>
        <w:t>Ann R Coll Surg Engl</w:t>
      </w:r>
      <w:r>
        <w:rPr>
          <w:rFonts w:ascii="Book Antiqua" w:hAnsi="Book Antiqua"/>
        </w:rPr>
        <w:t xml:space="preserve"> 2020; </w:t>
      </w:r>
      <w:r>
        <w:rPr>
          <w:rFonts w:ascii="Book Antiqua" w:hAnsi="Book Antiqua"/>
          <w:b/>
          <w:bCs/>
        </w:rPr>
        <w:t>102</w:t>
      </w:r>
      <w:r>
        <w:rPr>
          <w:rFonts w:ascii="Book Antiqua" w:hAnsi="Book Antiqua"/>
        </w:rPr>
        <w:t>: 555-559 [PMID: 32159357 DOI: 10.1308/rcsann.2020.0029]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Fernández-del Castillo C</w:t>
      </w:r>
      <w:r>
        <w:rPr>
          <w:rFonts w:ascii="Book Antiqua" w:hAnsi="Book Antiqua"/>
        </w:rPr>
        <w:t xml:space="preserve">, Rattner DW, Makary MA, Mostafavi A, McGrath D, Warshaw AL. Débridement and closed packing for the treatment of necrotizing pancreatitis. </w:t>
      </w:r>
      <w:r>
        <w:rPr>
          <w:rFonts w:ascii="Book Antiqua" w:hAnsi="Book Antiqua"/>
          <w:i/>
          <w:iCs/>
        </w:rPr>
        <w:t>Ann Surg</w:t>
      </w:r>
      <w:r>
        <w:rPr>
          <w:rFonts w:ascii="Book Antiqua" w:hAnsi="Book Antiqua"/>
        </w:rPr>
        <w:t xml:space="preserve"> 1998; </w:t>
      </w:r>
      <w:r>
        <w:rPr>
          <w:rFonts w:ascii="Book Antiqua" w:hAnsi="Book Antiqua"/>
          <w:b/>
          <w:bCs/>
        </w:rPr>
        <w:t>228</w:t>
      </w:r>
      <w:r>
        <w:rPr>
          <w:rFonts w:ascii="Book Antiqua" w:hAnsi="Book Antiqua"/>
        </w:rPr>
        <w:t>: 676-684 [PMID: 9833806 DOI: 10.1097/00000658-199811000-00007]</w:t>
      </w:r>
    </w:p>
    <w:p>
      <w:pPr>
        <w:spacing w:line="360" w:lineRule="auto"/>
        <w:jc w:val="both"/>
        <w:rPr>
          <w:rFonts w:ascii="Book Antiqua" w:hAnsi="Book Antiqua"/>
        </w:rPr>
      </w:pPr>
      <w:r>
        <w:rPr>
          <w:rFonts w:ascii="Book Antiqua" w:hAnsi="Book Antiqua"/>
        </w:rPr>
        <w:t xml:space="preserve">26 </w:t>
      </w:r>
      <w:r>
        <w:rPr>
          <w:rFonts w:ascii="Book Antiqua" w:hAnsi="Book Antiqua"/>
          <w:b/>
          <w:bCs/>
        </w:rPr>
        <w:t>Besselink MG</w:t>
      </w:r>
      <w:r>
        <w:rPr>
          <w:rFonts w:ascii="Book Antiqua" w:hAnsi="Book Antiqua"/>
        </w:rPr>
        <w:t xml:space="preserve">, Verwer TJ, Schoenmaeckers EJ, Buskens E, Ridwan BU, Visser MR, Nieuwenhuijs VB, Gooszen HG. Timing of surgical intervention in necrotizing pancreatitis. </w:t>
      </w:r>
      <w:r>
        <w:rPr>
          <w:rFonts w:ascii="Book Antiqua" w:hAnsi="Book Antiqua"/>
          <w:i/>
          <w:iCs/>
        </w:rPr>
        <w:t>Arch Surg</w:t>
      </w:r>
      <w:r>
        <w:rPr>
          <w:rFonts w:ascii="Book Antiqua" w:hAnsi="Book Antiqua"/>
        </w:rPr>
        <w:t xml:space="preserve"> 2007; </w:t>
      </w:r>
      <w:r>
        <w:rPr>
          <w:rFonts w:ascii="Book Antiqua" w:hAnsi="Book Antiqua"/>
          <w:b/>
          <w:bCs/>
        </w:rPr>
        <w:t>142</w:t>
      </w:r>
      <w:r>
        <w:rPr>
          <w:rFonts w:ascii="Book Antiqua" w:hAnsi="Book Antiqua"/>
        </w:rPr>
        <w:t>: 1194-1201 [PMID: 18086987 DOI: 10.1001/archsurg.142.12.1194]</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Schepers NJ</w:t>
      </w:r>
      <w:r>
        <w:rPr>
          <w:rFonts w:ascii="Book Antiqua" w:hAnsi="Book Antiqua"/>
        </w:rPr>
        <w:t xml:space="preserve">, Bakker OJ, Besselink MG, Ahmed Ali U, Bollen TL, Gooszen HG, van Santvoort HC, Bruno MJ; Dutch Pancreatitis Study Group. Impact of characteristics of organ failure and infected necrosis on mortality in necrotising pancreatitis.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1044-1051 [PMID: 29950344 DOI: 10.1136/gutjnl-2017-314657]</w:t>
      </w:r>
    </w:p>
    <w:p>
      <w:pPr>
        <w:spacing w:line="360" w:lineRule="auto"/>
        <w:jc w:val="both"/>
        <w:rPr>
          <w:rFonts w:ascii="Book Antiqua" w:hAnsi="Book Antiqua"/>
        </w:rPr>
      </w:pPr>
      <w:r>
        <w:rPr>
          <w:rFonts w:ascii="Book Antiqua" w:hAnsi="Book Antiqua"/>
        </w:rPr>
        <w:t xml:space="preserve">28 </w:t>
      </w:r>
      <w:r>
        <w:rPr>
          <w:rFonts w:ascii="Book Antiqua" w:hAnsi="Book Antiqua"/>
          <w:b/>
          <w:bCs/>
        </w:rPr>
        <w:t>Gad MM</w:t>
      </w:r>
      <w:r>
        <w:rPr>
          <w:rFonts w:ascii="Book Antiqua" w:hAnsi="Book Antiqua"/>
        </w:rPr>
        <w:t xml:space="preserve">, Simons-Linares CR. Is aggressive intravenous fluid resuscitation beneficial in acute pancreatitis? A meta-analysis of randomized control trials and cohort studies.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1098-1106 [PMID: 32206000 DOI: 10.3748/wjg.v26.i10.1098]</w:t>
      </w:r>
    </w:p>
    <w:p>
      <w:pPr>
        <w:spacing w:line="360" w:lineRule="auto"/>
        <w:jc w:val="both"/>
        <w:rPr>
          <w:rFonts w:ascii="Book Antiqua" w:hAnsi="Book Antiqua"/>
        </w:rPr>
      </w:pPr>
      <w:r>
        <w:rPr>
          <w:rFonts w:ascii="Book Antiqua" w:hAnsi="Book Antiqua"/>
        </w:rPr>
        <w:t xml:space="preserve">29 </w:t>
      </w:r>
      <w:r>
        <w:rPr>
          <w:rFonts w:ascii="Book Antiqua" w:hAnsi="Book Antiqua"/>
          <w:b/>
          <w:bCs/>
        </w:rPr>
        <w:t>Li L</w:t>
      </w:r>
      <w:r>
        <w:rPr>
          <w:rFonts w:ascii="Book Antiqua" w:hAnsi="Book Antiqua"/>
        </w:rPr>
        <w:t xml:space="preserve">, Jin T, Wen S, Shi N, Zhang R, Zhu P, Lin Z, Jiang K, Guo J, Liu T, Philips A, Deng L, Yang X, Singh VK, Sutton R, Windsor JA, Huang W, Xia Q. Early Rapid Fluid Therapy Is Associated with Increased Rate of Noninvasive Positive-Pressure Ventilation in Hemoconcentrated Patients with Severe Acute Pancreatitis. </w:t>
      </w:r>
      <w:r>
        <w:rPr>
          <w:rFonts w:ascii="Book Antiqua" w:hAnsi="Book Antiqua"/>
          <w:i/>
          <w:iCs/>
        </w:rPr>
        <w:t>Dig Dis Sci</w:t>
      </w:r>
      <w:r>
        <w:rPr>
          <w:rFonts w:ascii="Book Antiqua" w:hAnsi="Book Antiqua"/>
        </w:rPr>
        <w:t xml:space="preserve"> 2020; </w:t>
      </w:r>
      <w:r>
        <w:rPr>
          <w:rFonts w:ascii="Book Antiqua" w:hAnsi="Book Antiqua"/>
          <w:b/>
          <w:bCs/>
        </w:rPr>
        <w:t>65</w:t>
      </w:r>
      <w:r>
        <w:rPr>
          <w:rFonts w:ascii="Book Antiqua" w:hAnsi="Book Antiqua"/>
        </w:rPr>
        <w:t>: 2700-2711 [PMID: 31912265 DOI: 10.1007/s10620-019-05985-w]</w:t>
      </w:r>
    </w:p>
    <w:p>
      <w:pPr>
        <w:spacing w:line="360" w:lineRule="auto"/>
        <w:jc w:val="both"/>
        <w:rPr>
          <w:rFonts w:ascii="Book Antiqua" w:hAnsi="Book Antiqua"/>
        </w:rPr>
      </w:pPr>
      <w:r>
        <w:rPr>
          <w:rFonts w:ascii="Book Antiqua" w:hAnsi="Book Antiqua"/>
        </w:rPr>
        <w:t xml:space="preserve">30 </w:t>
      </w:r>
      <w:r>
        <w:rPr>
          <w:rFonts w:ascii="Book Antiqua" w:hAnsi="Book Antiqua"/>
          <w:b/>
          <w:bCs/>
        </w:rPr>
        <w:t>Wu BU</w:t>
      </w:r>
      <w:r>
        <w:rPr>
          <w:rFonts w:ascii="Book Antiqua" w:hAnsi="Book Antiqua"/>
        </w:rPr>
        <w:t xml:space="preserve">, Hwang JQ, Gardner TH, Repas K, Delee R, Yu S, Smith B, Banks PA, Conwell DL. Lactated Ringer's solution reduces systemic inflammation compared with saline in patients with acute pancreatitis. </w:t>
      </w:r>
      <w:r>
        <w:rPr>
          <w:rFonts w:ascii="Book Antiqua" w:hAnsi="Book Antiqua"/>
          <w:i/>
          <w:iCs/>
        </w:rPr>
        <w:t>Clin Gastroenterol Hepatol</w:t>
      </w:r>
      <w:r>
        <w:rPr>
          <w:rFonts w:ascii="Book Antiqua" w:hAnsi="Book Antiqua"/>
        </w:rPr>
        <w:t xml:space="preserve"> 2011; </w:t>
      </w:r>
      <w:r>
        <w:rPr>
          <w:rFonts w:ascii="Book Antiqua" w:hAnsi="Book Antiqua"/>
          <w:b/>
          <w:bCs/>
        </w:rPr>
        <w:t>9</w:t>
      </w:r>
      <w:r>
        <w:rPr>
          <w:rFonts w:ascii="Book Antiqua" w:hAnsi="Book Antiqua"/>
        </w:rPr>
        <w:t>: 710-717.e1 [PMID: 21645639 DOI: 10.1016/j.cgh.2011.04.026]</w:t>
      </w:r>
    </w:p>
    <w:p>
      <w:pPr>
        <w:spacing w:line="360" w:lineRule="auto"/>
        <w:jc w:val="both"/>
        <w:rPr>
          <w:rFonts w:ascii="Book Antiqua" w:hAnsi="Book Antiqua"/>
        </w:rPr>
      </w:pPr>
      <w:r>
        <w:rPr>
          <w:rFonts w:ascii="Book Antiqua" w:hAnsi="Book Antiqua"/>
        </w:rPr>
        <w:t xml:space="preserve">31 </w:t>
      </w:r>
      <w:r>
        <w:rPr>
          <w:rFonts w:ascii="Book Antiqua" w:hAnsi="Book Antiqua"/>
          <w:b/>
          <w:bCs/>
        </w:rPr>
        <w:t>Garg PK</w:t>
      </w:r>
      <w:r>
        <w:rPr>
          <w:rFonts w:ascii="Book Antiqua" w:hAnsi="Book Antiqua"/>
        </w:rPr>
        <w:t xml:space="preserve">, Mahapatra SJ. Optimum Fluid Therapy in Acute Pancreatitis Needs an Alchemist.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655-659 [PMID: 33412126 DOI: 10.1053/j.gastro.2020.12.017]</w:t>
      </w:r>
    </w:p>
    <w:p>
      <w:pPr>
        <w:spacing w:line="360" w:lineRule="auto"/>
        <w:jc w:val="both"/>
        <w:rPr>
          <w:rFonts w:ascii="Book Antiqua" w:hAnsi="Book Antiqua"/>
        </w:rPr>
      </w:pPr>
      <w:r>
        <w:rPr>
          <w:rFonts w:ascii="Book Antiqua" w:hAnsi="Book Antiqua"/>
        </w:rPr>
        <w:t xml:space="preserve">32 </w:t>
      </w:r>
      <w:r>
        <w:rPr>
          <w:rFonts w:ascii="Book Antiqua" w:hAnsi="Book Antiqua"/>
          <w:b/>
          <w:bCs/>
        </w:rPr>
        <w:t>Bakker OJ</w:t>
      </w:r>
      <w:r>
        <w:rPr>
          <w:rFonts w:ascii="Book Antiqua" w:hAnsi="Book Antiqua"/>
        </w:rPr>
        <w:t xml:space="preserve">, van Brunschot S, Farre A, Johnson CD, Kalfarentzos F, Louie BE, Oláh A, O'Keefe SJ, Petrov MS, Powell JJ, Besselink MG, van Santvoort HC, Rovers MM, Gooszen HG. Timing of enteral nutrition in acute pancreatitis: meta-analysis of individuals using a single-arm of randomised trials. </w:t>
      </w:r>
      <w:r>
        <w:rPr>
          <w:rFonts w:ascii="Book Antiqua" w:hAnsi="Book Antiqua"/>
          <w:i/>
          <w:iCs/>
        </w:rPr>
        <w:t>Pancreatology</w:t>
      </w:r>
      <w:r>
        <w:rPr>
          <w:rFonts w:ascii="Book Antiqua" w:hAnsi="Book Antiqua"/>
        </w:rPr>
        <w:t xml:space="preserve"> 2014; </w:t>
      </w:r>
      <w:r>
        <w:rPr>
          <w:rFonts w:ascii="Book Antiqua" w:hAnsi="Book Antiqua"/>
          <w:b/>
          <w:bCs/>
        </w:rPr>
        <w:t>14</w:t>
      </w:r>
      <w:r>
        <w:rPr>
          <w:rFonts w:ascii="Book Antiqua" w:hAnsi="Book Antiqua"/>
        </w:rPr>
        <w:t>: 340-346 [PMID: 25128270 DOI: 10.1016/j.pan.2014.07.008]</w:t>
      </w:r>
    </w:p>
    <w:p>
      <w:pPr>
        <w:spacing w:line="360" w:lineRule="auto"/>
        <w:jc w:val="both"/>
        <w:rPr>
          <w:rFonts w:ascii="Book Antiqua" w:hAnsi="Book Antiqua"/>
        </w:rPr>
      </w:pPr>
      <w:r>
        <w:rPr>
          <w:rFonts w:ascii="Book Antiqua" w:hAnsi="Book Antiqua"/>
        </w:rPr>
        <w:t xml:space="preserve">33 </w:t>
      </w:r>
      <w:r>
        <w:rPr>
          <w:rFonts w:ascii="Book Antiqua" w:hAnsi="Book Antiqua"/>
          <w:b/>
          <w:bCs/>
        </w:rPr>
        <w:t>Li W</w:t>
      </w:r>
      <w:r>
        <w:rPr>
          <w:rFonts w:ascii="Book Antiqua" w:hAnsi="Book Antiqua"/>
        </w:rPr>
        <w:t xml:space="preserve">, Liu J, Zhao S, Li J. Safety and efficacy of total parenteral nutrition versus total enteral nutrition for patients with severe acute pancreatitis: a meta-analysis. </w:t>
      </w:r>
      <w:r>
        <w:rPr>
          <w:rFonts w:ascii="Book Antiqua" w:hAnsi="Book Antiqua"/>
          <w:i/>
          <w:iCs/>
        </w:rPr>
        <w:t>J Int Med Res</w:t>
      </w:r>
      <w:r>
        <w:rPr>
          <w:rFonts w:ascii="Book Antiqua" w:hAnsi="Book Antiqua"/>
        </w:rPr>
        <w:t xml:space="preserve"> 2018; </w:t>
      </w:r>
      <w:r>
        <w:rPr>
          <w:rFonts w:ascii="Book Antiqua" w:hAnsi="Book Antiqua"/>
          <w:b/>
          <w:bCs/>
        </w:rPr>
        <w:t>46</w:t>
      </w:r>
      <w:r>
        <w:rPr>
          <w:rFonts w:ascii="Book Antiqua" w:hAnsi="Book Antiqua"/>
        </w:rPr>
        <w:t>: 3948-3958 [PMID: 29962261 DOI: 10.1177/0300060518782070]</w:t>
      </w:r>
    </w:p>
    <w:p>
      <w:pPr>
        <w:spacing w:line="360" w:lineRule="auto"/>
        <w:jc w:val="both"/>
        <w:rPr>
          <w:rFonts w:ascii="Book Antiqua" w:hAnsi="Book Antiqua"/>
        </w:rPr>
      </w:pPr>
      <w:r>
        <w:rPr>
          <w:rFonts w:ascii="Book Antiqua" w:hAnsi="Book Antiqua"/>
        </w:rPr>
        <w:t xml:space="preserve">34 </w:t>
      </w:r>
      <w:r>
        <w:rPr>
          <w:rFonts w:ascii="Book Antiqua" w:hAnsi="Book Antiqua"/>
          <w:b/>
          <w:bCs/>
        </w:rPr>
        <w:t>Oláh A</w:t>
      </w:r>
      <w:r>
        <w:rPr>
          <w:rFonts w:ascii="Book Antiqua" w:hAnsi="Book Antiqua"/>
        </w:rPr>
        <w:t xml:space="preserve">, Romics L Jr. Enteral nutrition in acute pancreatitis: a review of the current evidence.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16123-16131 [PMID: 25473164 DOI: 10.3748/wjg.v20.i43.16123]</w:t>
      </w:r>
    </w:p>
    <w:p>
      <w:pPr>
        <w:spacing w:line="360" w:lineRule="auto"/>
        <w:jc w:val="both"/>
        <w:rPr>
          <w:rFonts w:ascii="Book Antiqua" w:hAnsi="Book Antiqua"/>
        </w:rPr>
      </w:pPr>
      <w:r>
        <w:rPr>
          <w:rFonts w:ascii="Book Antiqua" w:hAnsi="Book Antiqua"/>
          <w:lang w:val="de-DE"/>
        </w:rPr>
        <w:t xml:space="preserve">35 </w:t>
      </w:r>
      <w:r>
        <w:rPr>
          <w:rFonts w:ascii="Book Antiqua" w:hAnsi="Book Antiqua"/>
          <w:b/>
          <w:bCs/>
          <w:lang w:val="de-DE"/>
        </w:rPr>
        <w:t>Isenmann R</w:t>
      </w:r>
      <w:r>
        <w:rPr>
          <w:rFonts w:ascii="Book Antiqua" w:hAnsi="Book Antiqua"/>
          <w:lang w:val="de-DE"/>
        </w:rPr>
        <w:t xml:space="preserve">, Büchler MW, Friess H, Uhl W, Beger HG. </w:t>
      </w:r>
      <w:r>
        <w:rPr>
          <w:rFonts w:ascii="Book Antiqua" w:hAnsi="Book Antiqua"/>
        </w:rPr>
        <w:t xml:space="preserve">Antibiotics in acute pancreatitis. </w:t>
      </w:r>
      <w:r>
        <w:rPr>
          <w:rFonts w:ascii="Book Antiqua" w:hAnsi="Book Antiqua"/>
          <w:i/>
          <w:iCs/>
        </w:rPr>
        <w:t>Dig Surg</w:t>
      </w:r>
      <w:r>
        <w:rPr>
          <w:rFonts w:ascii="Book Antiqua" w:hAnsi="Book Antiqua"/>
        </w:rPr>
        <w:t xml:space="preserve"> 1996; </w:t>
      </w:r>
      <w:r>
        <w:rPr>
          <w:rFonts w:ascii="Book Antiqua" w:hAnsi="Book Antiqua"/>
          <w:b/>
          <w:bCs/>
        </w:rPr>
        <w:t>13</w:t>
      </w:r>
      <w:r>
        <w:rPr>
          <w:rFonts w:ascii="Book Antiqua" w:hAnsi="Book Antiqua"/>
        </w:rPr>
        <w:t>: 365-369 [DOI: 10.1159/000172465]</w:t>
      </w:r>
    </w:p>
    <w:p>
      <w:pPr>
        <w:spacing w:line="360" w:lineRule="auto"/>
        <w:jc w:val="both"/>
        <w:rPr>
          <w:rFonts w:ascii="Book Antiqua" w:hAnsi="Book Antiqua"/>
        </w:rPr>
      </w:pPr>
      <w:r>
        <w:rPr>
          <w:rFonts w:ascii="Book Antiqua" w:hAnsi="Book Antiqua"/>
        </w:rPr>
        <w:t xml:space="preserve">36 </w:t>
      </w:r>
      <w:r>
        <w:rPr>
          <w:rFonts w:ascii="Book Antiqua" w:hAnsi="Book Antiqua"/>
          <w:b/>
          <w:bCs/>
        </w:rPr>
        <w:t>Barie PS</w:t>
      </w:r>
      <w:r>
        <w:rPr>
          <w:rFonts w:ascii="Book Antiqua" w:hAnsi="Book Antiqua"/>
        </w:rPr>
        <w:t xml:space="preserve">. A critical review of antibiotic prophylaxis in severe acute pancreatitis. </w:t>
      </w:r>
      <w:r>
        <w:rPr>
          <w:rFonts w:ascii="Book Antiqua" w:hAnsi="Book Antiqua"/>
          <w:i/>
          <w:iCs/>
        </w:rPr>
        <w:t>Am J Surg</w:t>
      </w:r>
      <w:r>
        <w:rPr>
          <w:rFonts w:ascii="Book Antiqua" w:hAnsi="Book Antiqua"/>
        </w:rPr>
        <w:t xml:space="preserve"> 1996; </w:t>
      </w:r>
      <w:r>
        <w:rPr>
          <w:rFonts w:ascii="Book Antiqua" w:hAnsi="Book Antiqua"/>
          <w:b/>
          <w:bCs/>
        </w:rPr>
        <w:t>172</w:t>
      </w:r>
      <w:r>
        <w:rPr>
          <w:rFonts w:ascii="Book Antiqua" w:hAnsi="Book Antiqua"/>
        </w:rPr>
        <w:t>: 38S-43S [PMID: 9003689 DOI: 10.1016/S0002-9610(96)00349-2]</w:t>
      </w:r>
    </w:p>
    <w:p>
      <w:pPr>
        <w:spacing w:line="360" w:lineRule="auto"/>
        <w:jc w:val="both"/>
        <w:rPr>
          <w:rFonts w:ascii="Book Antiqua" w:hAnsi="Book Antiqua"/>
        </w:rPr>
      </w:pPr>
      <w:r>
        <w:rPr>
          <w:rFonts w:ascii="Book Antiqua" w:hAnsi="Book Antiqua"/>
        </w:rPr>
        <w:t xml:space="preserve">37 </w:t>
      </w:r>
      <w:r>
        <w:rPr>
          <w:rFonts w:ascii="Book Antiqua" w:hAnsi="Book Antiqua"/>
          <w:b/>
          <w:bCs/>
        </w:rPr>
        <w:t>Villatoro E</w:t>
      </w:r>
      <w:r>
        <w:rPr>
          <w:rFonts w:ascii="Book Antiqua" w:hAnsi="Book Antiqua"/>
        </w:rPr>
        <w:t xml:space="preserve">, Mulla M, Larvin M. Antibiotic therapy for prophylaxis against infection of pancreatic necrosis in acute pancreatitis. </w:t>
      </w:r>
      <w:r>
        <w:rPr>
          <w:rFonts w:ascii="Book Antiqua" w:hAnsi="Book Antiqua"/>
          <w:i/>
          <w:iCs/>
        </w:rPr>
        <w:t>Cochrane Database Syst Rev</w:t>
      </w:r>
      <w:r>
        <w:rPr>
          <w:rFonts w:ascii="Book Antiqua" w:hAnsi="Book Antiqua"/>
        </w:rPr>
        <w:t xml:space="preserve"> 2010: CD002941 [PMID: 20464721 DOI: 10.1002/14651858.CD002941.pub3]</w:t>
      </w:r>
    </w:p>
    <w:p>
      <w:pPr>
        <w:spacing w:line="360" w:lineRule="auto"/>
        <w:jc w:val="both"/>
        <w:rPr>
          <w:rFonts w:ascii="Book Antiqua" w:hAnsi="Book Antiqua"/>
        </w:rPr>
      </w:pPr>
      <w:r>
        <w:rPr>
          <w:rFonts w:ascii="Book Antiqua" w:hAnsi="Book Antiqua"/>
        </w:rPr>
        <w:t xml:space="preserve">38 </w:t>
      </w:r>
      <w:r>
        <w:rPr>
          <w:rFonts w:ascii="Book Antiqua" w:hAnsi="Book Antiqua"/>
          <w:b/>
          <w:bCs/>
        </w:rPr>
        <w:t>Jafri NS</w:t>
      </w:r>
      <w:r>
        <w:rPr>
          <w:rFonts w:ascii="Book Antiqua" w:hAnsi="Book Antiqua"/>
        </w:rPr>
        <w:t xml:space="preserve">, Mahid SS, Minor KS, Idstein SR, Hornung CA, Galandiuk S. Meta-analysis: antibiotic prophylaxis to prevent peristomal infection following percutaneous endoscopic gastrostomy. </w:t>
      </w:r>
      <w:r>
        <w:rPr>
          <w:rFonts w:ascii="Book Antiqua" w:hAnsi="Book Antiqua"/>
          <w:i/>
          <w:iCs/>
        </w:rPr>
        <w:t>Aliment Pharmacol Ther</w:t>
      </w:r>
      <w:r>
        <w:rPr>
          <w:rFonts w:ascii="Book Antiqua" w:hAnsi="Book Antiqua"/>
        </w:rPr>
        <w:t xml:space="preserve"> 2007; </w:t>
      </w:r>
      <w:r>
        <w:rPr>
          <w:rFonts w:ascii="Book Antiqua" w:hAnsi="Book Antiqua"/>
          <w:b/>
          <w:bCs/>
        </w:rPr>
        <w:t>25</w:t>
      </w:r>
      <w:r>
        <w:rPr>
          <w:rFonts w:ascii="Book Antiqua" w:hAnsi="Book Antiqua"/>
        </w:rPr>
        <w:t>: 647-656 [PMID: 17311597 DOI: 10.1111/j.1365-2036.2007.03247.x]</w:t>
      </w:r>
    </w:p>
    <w:p>
      <w:pPr>
        <w:spacing w:line="360" w:lineRule="auto"/>
        <w:jc w:val="both"/>
        <w:rPr>
          <w:rFonts w:ascii="Book Antiqua" w:hAnsi="Book Antiqua"/>
        </w:rPr>
      </w:pPr>
      <w:r>
        <w:rPr>
          <w:rFonts w:ascii="Book Antiqua" w:hAnsi="Book Antiqua"/>
        </w:rPr>
        <w:t xml:space="preserve">39 </w:t>
      </w:r>
      <w:r>
        <w:rPr>
          <w:rFonts w:ascii="Book Antiqua" w:hAnsi="Book Antiqua"/>
          <w:b/>
          <w:bCs/>
        </w:rPr>
        <w:t>Singh RR</w:t>
      </w:r>
      <w:r>
        <w:rPr>
          <w:rFonts w:ascii="Book Antiqua" w:hAnsi="Book Antiqua"/>
        </w:rPr>
        <w:t xml:space="preserve">, Mitchell W, David Y, Cheesman A, Dixon RE, Nagula S, DiMaio CJ, Greenwald DA, Kumta NA. Pancreatic Fungal Infection in Patients With Necrotizing Pancreatitis: A Systematic Review and Meta-analysis. </w:t>
      </w:r>
      <w:r>
        <w:rPr>
          <w:rFonts w:ascii="Book Antiqua" w:hAnsi="Book Antiqua"/>
          <w:i/>
          <w:iCs/>
        </w:rPr>
        <w:t>J Clin Gastroenterol</w:t>
      </w:r>
      <w:r>
        <w:rPr>
          <w:rFonts w:ascii="Book Antiqua" w:hAnsi="Book Antiqua"/>
        </w:rPr>
        <w:t xml:space="preserve"> 2021; </w:t>
      </w:r>
      <w:r>
        <w:rPr>
          <w:rFonts w:ascii="Book Antiqua" w:hAnsi="Book Antiqua"/>
          <w:b/>
          <w:bCs/>
        </w:rPr>
        <w:t>55</w:t>
      </w:r>
      <w:r>
        <w:rPr>
          <w:rFonts w:ascii="Book Antiqua" w:hAnsi="Book Antiqua"/>
        </w:rPr>
        <w:t>: 218-226 [PMID: 33252558 DOI: 10.1097/MCG.0000000000001467]</w:t>
      </w:r>
    </w:p>
    <w:p>
      <w:pPr>
        <w:spacing w:line="360" w:lineRule="auto"/>
        <w:jc w:val="both"/>
        <w:rPr>
          <w:rFonts w:ascii="Book Antiqua" w:hAnsi="Book Antiqua"/>
        </w:rPr>
      </w:pPr>
      <w:r>
        <w:rPr>
          <w:rFonts w:ascii="Book Antiqua" w:hAnsi="Book Antiqua"/>
        </w:rPr>
        <w:t xml:space="preserve">40 </w:t>
      </w:r>
      <w:r>
        <w:rPr>
          <w:rFonts w:ascii="Book Antiqua" w:hAnsi="Book Antiqua"/>
          <w:b/>
          <w:bCs/>
        </w:rPr>
        <w:t>Besselink MG</w:t>
      </w:r>
      <w:r>
        <w:rPr>
          <w:rFonts w:ascii="Book Antiqua" w:hAnsi="Book Antiqua"/>
        </w:rPr>
        <w:t xml:space="preserve">, van Santvoort HC, Nieuwenhuijs VB, Boermeester MA, Bollen TL, Buskens E, Dejong CH, van Eijck CH, van Goor H, Hofker SS, Lameris JS, van Leeuwen MS, Ploeg RJ, van Ramshorst B, Schaapherder AF, Cuesta MA, Consten EC, Gouma DJ, van der Harst E, Hesselink EJ, Houdijk LP, Karsten TM, van Laarhoven CJ, Pierie JP, Rosman C, Bilgen EJ, Timmer R, van der Tweel I, de Wit RJ, Witteman BJ, Gooszen HG; Dutch Acute Pancreatitis Study Group. Minimally invasive 'step-up approach' versus maximal necrosectomy in patients with acute necrotising pancreatitis (PANTER trial): design and rationale of a randomised controlled multicenter trial [ISRCTN13975868]. </w:t>
      </w:r>
      <w:r>
        <w:rPr>
          <w:rFonts w:ascii="Book Antiqua" w:hAnsi="Book Antiqua"/>
          <w:i/>
          <w:iCs/>
        </w:rPr>
        <w:t>BMC Surg</w:t>
      </w:r>
      <w:r>
        <w:rPr>
          <w:rFonts w:ascii="Book Antiqua" w:hAnsi="Book Antiqua"/>
        </w:rPr>
        <w:t xml:space="preserve"> 2006; </w:t>
      </w:r>
      <w:r>
        <w:rPr>
          <w:rFonts w:ascii="Book Antiqua" w:hAnsi="Book Antiqua"/>
          <w:b/>
          <w:bCs/>
        </w:rPr>
        <w:t>6</w:t>
      </w:r>
      <w:r>
        <w:rPr>
          <w:rFonts w:ascii="Book Antiqua" w:hAnsi="Book Antiqua"/>
        </w:rPr>
        <w:t>: 6 [PMID: 16606471 DOI: 10.1186/1471-2482-6-6]</w:t>
      </w:r>
    </w:p>
    <w:p>
      <w:pPr>
        <w:spacing w:line="360" w:lineRule="auto"/>
        <w:jc w:val="both"/>
        <w:rPr>
          <w:rFonts w:ascii="Book Antiqua" w:hAnsi="Book Antiqua"/>
        </w:rPr>
      </w:pPr>
      <w:r>
        <w:rPr>
          <w:rFonts w:ascii="Book Antiqua" w:hAnsi="Book Antiqua"/>
        </w:rPr>
        <w:t xml:space="preserve">41 </w:t>
      </w:r>
      <w:r>
        <w:rPr>
          <w:rFonts w:ascii="Book Antiqua" w:hAnsi="Book Antiqua"/>
          <w:b/>
          <w:bCs/>
        </w:rPr>
        <w:t>Ruiz-Clavijo D</w:t>
      </w:r>
      <w:r>
        <w:rPr>
          <w:rFonts w:ascii="Book Antiqua" w:hAnsi="Book Antiqua"/>
        </w:rPr>
        <w:t xml:space="preserve">, de la Higuera BG, Vila JJ. Advances in the endoscopic management of pancreatic collections. </w:t>
      </w:r>
      <w:r>
        <w:rPr>
          <w:rFonts w:ascii="Book Antiqua" w:hAnsi="Book Antiqua"/>
          <w:i/>
          <w:iCs/>
        </w:rPr>
        <w:t>World J Gastrointest Endosc</w:t>
      </w:r>
      <w:r>
        <w:rPr>
          <w:rFonts w:ascii="Book Antiqua" w:hAnsi="Book Antiqua"/>
        </w:rPr>
        <w:t xml:space="preserve"> 2015; </w:t>
      </w:r>
      <w:r>
        <w:rPr>
          <w:rFonts w:ascii="Book Antiqua" w:hAnsi="Book Antiqua"/>
          <w:b/>
          <w:bCs/>
        </w:rPr>
        <w:t>7</w:t>
      </w:r>
      <w:r>
        <w:rPr>
          <w:rFonts w:ascii="Book Antiqua" w:hAnsi="Book Antiqua"/>
        </w:rPr>
        <w:t>: 381-388 [PMID: 25901217 DOI: 10.4253/wjge.v7.i4.381]</w:t>
      </w:r>
    </w:p>
    <w:p>
      <w:pPr>
        <w:spacing w:line="360" w:lineRule="auto"/>
        <w:jc w:val="both"/>
        <w:rPr>
          <w:rFonts w:ascii="Book Antiqua" w:hAnsi="Book Antiqua"/>
        </w:rPr>
      </w:pPr>
      <w:r>
        <w:rPr>
          <w:rFonts w:ascii="Book Antiqua" w:hAnsi="Book Antiqua"/>
        </w:rPr>
        <w:t xml:space="preserve">42 </w:t>
      </w:r>
      <w:r>
        <w:rPr>
          <w:rFonts w:ascii="Book Antiqua" w:hAnsi="Book Antiqua"/>
          <w:b/>
          <w:bCs/>
        </w:rPr>
        <w:t>Trikudanathan G</w:t>
      </w:r>
      <w:r>
        <w:rPr>
          <w:rFonts w:ascii="Book Antiqua" w:hAnsi="Book Antiqua"/>
        </w:rPr>
        <w:t xml:space="preserve">, Attam R, Arain MA, Mallery S, Freeman ML. Endoscopic interventions for necrotizing pancreatitis. </w:t>
      </w:r>
      <w:r>
        <w:rPr>
          <w:rFonts w:ascii="Book Antiqua" w:hAnsi="Book Antiqua"/>
          <w:i/>
          <w:iCs/>
        </w:rPr>
        <w:t>Am J Gastroenterol</w:t>
      </w:r>
      <w:r>
        <w:rPr>
          <w:rFonts w:ascii="Book Antiqua" w:hAnsi="Book Antiqua"/>
        </w:rPr>
        <w:t xml:space="preserve"> 2014; </w:t>
      </w:r>
      <w:r>
        <w:rPr>
          <w:rFonts w:ascii="Book Antiqua" w:hAnsi="Book Antiqua"/>
          <w:b/>
          <w:bCs/>
        </w:rPr>
        <w:t>109</w:t>
      </w:r>
      <w:r>
        <w:rPr>
          <w:rFonts w:ascii="Book Antiqua" w:hAnsi="Book Antiqua"/>
        </w:rPr>
        <w:t>: 969-81; quiz 982 [PMID: 24957157 DOI: 10.1038/ajg.2014.130]</w:t>
      </w:r>
    </w:p>
    <w:p>
      <w:pPr>
        <w:spacing w:line="360" w:lineRule="auto"/>
        <w:jc w:val="both"/>
        <w:rPr>
          <w:rFonts w:ascii="Book Antiqua" w:hAnsi="Book Antiqua"/>
        </w:rPr>
      </w:pPr>
      <w:r>
        <w:rPr>
          <w:rFonts w:ascii="Book Antiqua" w:hAnsi="Book Antiqua"/>
        </w:rPr>
        <w:t xml:space="preserve">43 </w:t>
      </w:r>
      <w:r>
        <w:rPr>
          <w:rFonts w:ascii="Book Antiqua" w:hAnsi="Book Antiqua"/>
          <w:b/>
          <w:bCs/>
        </w:rPr>
        <w:t>Talreja JP</w:t>
      </w:r>
      <w:r>
        <w:rPr>
          <w:rFonts w:ascii="Book Antiqua" w:hAnsi="Book Antiqua"/>
        </w:rPr>
        <w:t xml:space="preserve">, Shami VM, Ku J, Morris TD, Ellen K, Kahaleh M. Transenteric drainage of pancreatic-fluid collections with fully covered self-expanding metallic stents (with video). </w:t>
      </w:r>
      <w:r>
        <w:rPr>
          <w:rFonts w:ascii="Book Antiqua" w:hAnsi="Book Antiqua"/>
          <w:i/>
          <w:iCs/>
        </w:rPr>
        <w:t>Gastrointest Endosc</w:t>
      </w:r>
      <w:r>
        <w:rPr>
          <w:rFonts w:ascii="Book Antiqua" w:hAnsi="Book Antiqua"/>
        </w:rPr>
        <w:t xml:space="preserve"> 2008; </w:t>
      </w:r>
      <w:r>
        <w:rPr>
          <w:rFonts w:ascii="Book Antiqua" w:hAnsi="Book Antiqua"/>
          <w:b/>
          <w:bCs/>
        </w:rPr>
        <w:t>68</w:t>
      </w:r>
      <w:r>
        <w:rPr>
          <w:rFonts w:ascii="Book Antiqua" w:hAnsi="Book Antiqua"/>
        </w:rPr>
        <w:t>: 1199-1203 [PMID: 19028232 DOI: 10.1016/j.gie.2008.06.015]</w:t>
      </w:r>
    </w:p>
    <w:p>
      <w:pPr>
        <w:spacing w:line="360" w:lineRule="auto"/>
        <w:jc w:val="both"/>
        <w:rPr>
          <w:rFonts w:ascii="Book Antiqua" w:hAnsi="Book Antiqua"/>
        </w:rPr>
      </w:pPr>
      <w:r>
        <w:rPr>
          <w:rFonts w:ascii="Book Antiqua" w:hAnsi="Book Antiqua"/>
        </w:rPr>
        <w:t xml:space="preserve">44 </w:t>
      </w:r>
      <w:r>
        <w:rPr>
          <w:rFonts w:ascii="Book Antiqua" w:hAnsi="Book Antiqua"/>
          <w:b/>
          <w:bCs/>
        </w:rPr>
        <w:t>Mussetto A</w:t>
      </w:r>
      <w:r>
        <w:rPr>
          <w:rFonts w:ascii="Book Antiqua" w:hAnsi="Book Antiqua"/>
        </w:rPr>
        <w:t xml:space="preserve">, Fugazza A, Fuccio L, Triossi O, Repici A, Anderloni A. Current uses and outcomes of lumen-apposing metal stents. </w:t>
      </w:r>
      <w:r>
        <w:rPr>
          <w:rFonts w:ascii="Book Antiqua" w:hAnsi="Book Antiqua"/>
          <w:i/>
          <w:iCs/>
        </w:rPr>
        <w:t>Ann Gastroenterol</w:t>
      </w:r>
      <w:r>
        <w:rPr>
          <w:rFonts w:ascii="Book Antiqua" w:hAnsi="Book Antiqua"/>
        </w:rPr>
        <w:t xml:space="preserve"> 2018; </w:t>
      </w:r>
      <w:r>
        <w:rPr>
          <w:rFonts w:ascii="Book Antiqua" w:hAnsi="Book Antiqua"/>
          <w:b/>
          <w:bCs/>
        </w:rPr>
        <w:t>31</w:t>
      </w:r>
      <w:r>
        <w:rPr>
          <w:rFonts w:ascii="Book Antiqua" w:hAnsi="Book Antiqua"/>
        </w:rPr>
        <w:t>: 535-540 [PMID: 30174389 DOI: 10.20524/aog.2018.0287]</w:t>
      </w:r>
    </w:p>
    <w:p>
      <w:pPr>
        <w:spacing w:line="360" w:lineRule="auto"/>
        <w:jc w:val="both"/>
        <w:rPr>
          <w:rFonts w:ascii="Book Antiqua" w:hAnsi="Book Antiqua"/>
        </w:rPr>
      </w:pPr>
      <w:r>
        <w:rPr>
          <w:rFonts w:ascii="Book Antiqua" w:hAnsi="Book Antiqua"/>
        </w:rPr>
        <w:t xml:space="preserve">45 </w:t>
      </w:r>
      <w:r>
        <w:rPr>
          <w:rFonts w:ascii="Book Antiqua" w:hAnsi="Book Antiqua"/>
          <w:b/>
          <w:bCs/>
        </w:rPr>
        <w:t>Dalsania R</w:t>
      </w:r>
      <w:r>
        <w:rPr>
          <w:rFonts w:ascii="Book Antiqua" w:hAnsi="Book Antiqua"/>
        </w:rPr>
        <w:t xml:space="preserve">, Willingham FF. Treatment of walled-off pancreatic necrosis. </w:t>
      </w:r>
      <w:r>
        <w:rPr>
          <w:rFonts w:ascii="Book Antiqua" w:hAnsi="Book Antiqua"/>
          <w:i/>
          <w:iCs/>
        </w:rPr>
        <w:t>Curr Opin Gastroenterol</w:t>
      </w:r>
      <w:r>
        <w:rPr>
          <w:rFonts w:ascii="Book Antiqua" w:hAnsi="Book Antiqua"/>
        </w:rPr>
        <w:t xml:space="preserve"> 2019; </w:t>
      </w:r>
      <w:r>
        <w:rPr>
          <w:rFonts w:ascii="Book Antiqua" w:hAnsi="Book Antiqua"/>
          <w:b/>
          <w:bCs/>
        </w:rPr>
        <w:t>35</w:t>
      </w:r>
      <w:r>
        <w:rPr>
          <w:rFonts w:ascii="Book Antiqua" w:hAnsi="Book Antiqua"/>
        </w:rPr>
        <w:t>: 478-482 [PMID: 31313686 DOI: 10.1097/MOG.0000000000000564]</w:t>
      </w:r>
    </w:p>
    <w:p>
      <w:pPr>
        <w:spacing w:line="360" w:lineRule="auto"/>
        <w:jc w:val="both"/>
        <w:rPr>
          <w:rFonts w:ascii="Book Antiqua" w:hAnsi="Book Antiqua"/>
        </w:rPr>
      </w:pPr>
      <w:r>
        <w:rPr>
          <w:rFonts w:ascii="Book Antiqua" w:hAnsi="Book Antiqua"/>
        </w:rPr>
        <w:t xml:space="preserve">46 </w:t>
      </w:r>
      <w:r>
        <w:rPr>
          <w:rFonts w:ascii="Book Antiqua" w:hAnsi="Book Antiqua"/>
          <w:b/>
          <w:bCs/>
        </w:rPr>
        <w:t>Bang JY</w:t>
      </w:r>
      <w:r>
        <w:rPr>
          <w:rFonts w:ascii="Book Antiqua" w:hAnsi="Book Antiqua"/>
        </w:rPr>
        <w:t xml:space="preserve">, Varadarajulu S. Lumen-apposing metal stents for endoscopic ultrasonography-guided interventions. </w:t>
      </w:r>
      <w:r>
        <w:rPr>
          <w:rFonts w:ascii="Book Antiqua" w:hAnsi="Book Antiqua"/>
          <w:i/>
          <w:iCs/>
        </w:rPr>
        <w:t>Dig Endosc</w:t>
      </w:r>
      <w:r>
        <w:rPr>
          <w:rFonts w:ascii="Book Antiqua" w:hAnsi="Book Antiqua"/>
        </w:rPr>
        <w:t xml:space="preserve"> 2019; </w:t>
      </w:r>
      <w:r>
        <w:rPr>
          <w:rFonts w:ascii="Book Antiqua" w:hAnsi="Book Antiqua"/>
          <w:b/>
          <w:bCs/>
        </w:rPr>
        <w:t>31</w:t>
      </w:r>
      <w:r>
        <w:rPr>
          <w:rFonts w:ascii="Book Antiqua" w:hAnsi="Book Antiqua"/>
        </w:rPr>
        <w:t>: 619-626 [PMID: 31050068 DOI: 10.1111/den.13428]</w:t>
      </w:r>
    </w:p>
    <w:p>
      <w:pPr>
        <w:spacing w:line="360" w:lineRule="auto"/>
        <w:jc w:val="both"/>
        <w:rPr>
          <w:rFonts w:ascii="Book Antiqua" w:hAnsi="Book Antiqua"/>
        </w:rPr>
      </w:pPr>
      <w:r>
        <w:rPr>
          <w:rFonts w:ascii="Book Antiqua" w:hAnsi="Book Antiqua"/>
        </w:rPr>
        <w:t xml:space="preserve">47 </w:t>
      </w:r>
      <w:r>
        <w:rPr>
          <w:rFonts w:ascii="Book Antiqua" w:hAnsi="Book Antiqua"/>
          <w:b/>
          <w:bCs/>
        </w:rPr>
        <w:t>Chen YI</w:t>
      </w:r>
      <w:r>
        <w:rPr>
          <w:rFonts w:ascii="Book Antiqua" w:hAnsi="Book Antiqua"/>
        </w:rPr>
        <w:t xml:space="preserve">, Yang J, Friedland S, Holmes I, Law R, Hosmer A, Stevens T, Franco MC, Jang S, Pawa R, Mathur N, Sejpal DV, Inamdar S, Trindade AJ, Nieto J, Berzin TM, Sawhney M, DeSimone ML, DiMaio C, Kumta NA, Gupta S, Yachimski P, Anderloni A, Baron TH, James TW, Jamil LH, Ona MA, Lo SK, Gaddam S, Dollhopf M, Bukhari MA, Moran R, Gutierrez OB, Sanaei O, Fayad L, Ngamruengphong S, Kumbhari V, Singh V, Repici A, Khashab MA. Lumen apposing metal stents are superior to plastic stents in pancreatic walled-off necrosis: a large international multicenter study. </w:t>
      </w:r>
      <w:r>
        <w:rPr>
          <w:rFonts w:ascii="Book Antiqua" w:hAnsi="Book Antiqua"/>
          <w:i/>
          <w:iCs/>
        </w:rPr>
        <w:t>Endosc Int Open</w:t>
      </w:r>
      <w:r>
        <w:rPr>
          <w:rFonts w:ascii="Book Antiqua" w:hAnsi="Book Antiqua"/>
        </w:rPr>
        <w:t xml:space="preserve"> 2019; </w:t>
      </w:r>
      <w:r>
        <w:rPr>
          <w:rFonts w:ascii="Book Antiqua" w:hAnsi="Book Antiqua"/>
          <w:b/>
          <w:bCs/>
        </w:rPr>
        <w:t>7</w:t>
      </w:r>
      <w:r>
        <w:rPr>
          <w:rFonts w:ascii="Book Antiqua" w:hAnsi="Book Antiqua"/>
        </w:rPr>
        <w:t>: E347-E354 [PMID: 30834293 DOI: 10.1055/a-0828-7630]</w:t>
      </w:r>
    </w:p>
    <w:p>
      <w:pPr>
        <w:spacing w:line="360" w:lineRule="auto"/>
        <w:jc w:val="both"/>
        <w:rPr>
          <w:rFonts w:ascii="Book Antiqua" w:hAnsi="Book Antiqua"/>
        </w:rPr>
      </w:pPr>
      <w:r>
        <w:rPr>
          <w:rFonts w:ascii="Book Antiqua" w:hAnsi="Book Antiqua"/>
        </w:rPr>
        <w:t xml:space="preserve">48 </w:t>
      </w:r>
      <w:r>
        <w:rPr>
          <w:rFonts w:ascii="Book Antiqua" w:hAnsi="Book Antiqua"/>
          <w:b/>
          <w:bCs/>
        </w:rPr>
        <w:t>Rana SS</w:t>
      </w:r>
      <w:r>
        <w:rPr>
          <w:rFonts w:ascii="Book Antiqua" w:hAnsi="Book Antiqua"/>
        </w:rPr>
        <w:t xml:space="preserve">, Sharma R, Dhalaria L, Gupta R. Efficacy and safety of plastic versus lumen-apposing metal stents for transmural drainage of walled-off necrosis: a retrospective single-center study. </w:t>
      </w:r>
      <w:r>
        <w:rPr>
          <w:rFonts w:ascii="Book Antiqua" w:hAnsi="Book Antiqua"/>
          <w:i/>
          <w:iCs/>
        </w:rPr>
        <w:t>Ann Gastroenterol</w:t>
      </w:r>
      <w:r>
        <w:rPr>
          <w:rFonts w:ascii="Book Antiqua" w:hAnsi="Book Antiqua"/>
        </w:rPr>
        <w:t xml:space="preserve"> 2020; </w:t>
      </w:r>
      <w:r>
        <w:rPr>
          <w:rFonts w:ascii="Book Antiqua" w:hAnsi="Book Antiqua"/>
          <w:b/>
          <w:bCs/>
        </w:rPr>
        <w:t>33</w:t>
      </w:r>
      <w:r>
        <w:rPr>
          <w:rFonts w:ascii="Book Antiqua" w:hAnsi="Book Antiqua"/>
        </w:rPr>
        <w:t>: 426-432 [PMID: 32624665 DOI: 10.20524/aog.2020.0499]</w:t>
      </w:r>
    </w:p>
    <w:p>
      <w:pPr>
        <w:spacing w:line="360" w:lineRule="auto"/>
        <w:jc w:val="both"/>
        <w:rPr>
          <w:rFonts w:ascii="Book Antiqua" w:hAnsi="Book Antiqua"/>
        </w:rPr>
      </w:pPr>
      <w:r>
        <w:rPr>
          <w:rFonts w:ascii="Book Antiqua" w:hAnsi="Book Antiqua"/>
        </w:rPr>
        <w:t xml:space="preserve">49 </w:t>
      </w:r>
      <w:r>
        <w:rPr>
          <w:rFonts w:ascii="Book Antiqua" w:hAnsi="Book Antiqua"/>
          <w:b/>
          <w:bCs/>
        </w:rPr>
        <w:t>Bang JY</w:t>
      </w:r>
      <w:r>
        <w:rPr>
          <w:rFonts w:ascii="Book Antiqua" w:hAnsi="Book Antiqua"/>
        </w:rPr>
        <w:t xml:space="preserve">, Arnoletti JP, Holt BA, Sutton B, Hasan MK, Navaneethan U, Feranec N, Wilcox CM, Tharian B, Hawes RH, Varadarajulu S. An Endoscopic Transluminal Approach, Compared With Minimally Invasive Surgery, Reduces Complications and Costs for Patients With Necrotizing Pancreatitis. </w:t>
      </w:r>
      <w:r>
        <w:rPr>
          <w:rFonts w:ascii="Book Antiqua" w:hAnsi="Book Antiqua"/>
          <w:i/>
          <w:iCs/>
        </w:rPr>
        <w:t>Gastroenterology</w:t>
      </w:r>
      <w:r>
        <w:rPr>
          <w:rFonts w:ascii="Book Antiqua" w:hAnsi="Book Antiqua"/>
        </w:rPr>
        <w:t xml:space="preserve"> 2019; </w:t>
      </w:r>
      <w:r>
        <w:rPr>
          <w:rFonts w:ascii="Book Antiqua" w:hAnsi="Book Antiqua"/>
          <w:b/>
          <w:bCs/>
        </w:rPr>
        <w:t>156</w:t>
      </w:r>
      <w:r>
        <w:rPr>
          <w:rFonts w:ascii="Book Antiqua" w:hAnsi="Book Antiqua"/>
        </w:rPr>
        <w:t>: 1027-1040.e3 [PMID: 30452918 DOI: 10.1053/j.gastro.2018.11.031]</w:t>
      </w:r>
    </w:p>
    <w:p>
      <w:pPr>
        <w:spacing w:line="360" w:lineRule="auto"/>
        <w:jc w:val="both"/>
        <w:rPr>
          <w:rFonts w:ascii="Book Antiqua" w:hAnsi="Book Antiqua"/>
        </w:rPr>
      </w:pPr>
      <w:r>
        <w:rPr>
          <w:rFonts w:ascii="Book Antiqua" w:hAnsi="Book Antiqua"/>
        </w:rPr>
        <w:t xml:space="preserve">50 </w:t>
      </w:r>
      <w:r>
        <w:rPr>
          <w:rFonts w:ascii="Book Antiqua" w:hAnsi="Book Antiqua"/>
          <w:b/>
          <w:bCs/>
        </w:rPr>
        <w:t>Bang JY</w:t>
      </w:r>
      <w:r>
        <w:rPr>
          <w:rFonts w:ascii="Book Antiqua" w:hAnsi="Book Antiqua"/>
        </w:rPr>
        <w:t xml:space="preserve">, Hasan MK, Navaneethan U, Sutton B, Frandah W, Siddique S, Hawes RH, Varadarajulu S. Lumen-apposing metal stents for drainage of pancreatic fluid collections: When and for whom? </w:t>
      </w:r>
      <w:r>
        <w:rPr>
          <w:rFonts w:ascii="Book Antiqua" w:hAnsi="Book Antiqua"/>
          <w:i/>
          <w:iCs/>
        </w:rPr>
        <w:t>Dig Endosc</w:t>
      </w:r>
      <w:r>
        <w:rPr>
          <w:rFonts w:ascii="Book Antiqua" w:hAnsi="Book Antiqua"/>
        </w:rPr>
        <w:t xml:space="preserve"> 2017; </w:t>
      </w:r>
      <w:r>
        <w:rPr>
          <w:rFonts w:ascii="Book Antiqua" w:hAnsi="Book Antiqua"/>
          <w:b/>
          <w:bCs/>
        </w:rPr>
        <w:t>29</w:t>
      </w:r>
      <w:r>
        <w:rPr>
          <w:rFonts w:ascii="Book Antiqua" w:hAnsi="Book Antiqua"/>
        </w:rPr>
        <w:t>: 83-90 [PMID: 27199157 DOI: 10.1111/den.12681]</w:t>
      </w:r>
    </w:p>
    <w:p>
      <w:pPr>
        <w:spacing w:line="360" w:lineRule="auto"/>
        <w:jc w:val="both"/>
        <w:rPr>
          <w:rFonts w:ascii="Book Antiqua" w:hAnsi="Book Antiqua"/>
        </w:rPr>
      </w:pPr>
      <w:r>
        <w:rPr>
          <w:rFonts w:ascii="Book Antiqua" w:hAnsi="Book Antiqua"/>
        </w:rPr>
        <w:t xml:space="preserve">51 </w:t>
      </w:r>
      <w:r>
        <w:rPr>
          <w:rFonts w:ascii="Book Antiqua" w:hAnsi="Book Antiqua"/>
          <w:b/>
          <w:bCs/>
        </w:rPr>
        <w:t>Bang JY</w:t>
      </w:r>
      <w:r>
        <w:rPr>
          <w:rFonts w:ascii="Book Antiqua" w:hAnsi="Book Antiqua"/>
        </w:rPr>
        <w:t xml:space="preserve">, Navaneethan U, Hasan MK, Sutton B, Hawes R, Varadarajulu S. Non-superiority of lumen-apposing metal stents over plastic stents for drainage of walled-off necrosis in a randomised trial.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1200-1209 [PMID: 29858393 DOI: 10.1136/gutjnl-2017-315335]</w:t>
      </w:r>
    </w:p>
    <w:p>
      <w:pPr>
        <w:spacing w:line="360" w:lineRule="auto"/>
        <w:jc w:val="both"/>
        <w:rPr>
          <w:rFonts w:ascii="Book Antiqua" w:hAnsi="Book Antiqua"/>
        </w:rPr>
      </w:pPr>
      <w:r>
        <w:rPr>
          <w:rFonts w:ascii="Book Antiqua" w:hAnsi="Book Antiqua"/>
        </w:rPr>
        <w:t xml:space="preserve">52 </w:t>
      </w:r>
      <w:r>
        <w:rPr>
          <w:rFonts w:ascii="Book Antiqua" w:hAnsi="Book Antiqua"/>
          <w:b/>
          <w:bCs/>
        </w:rPr>
        <w:t>Arvanitakis M</w:t>
      </w:r>
      <w:r>
        <w:rPr>
          <w:rFonts w:ascii="Book Antiqua" w:hAnsi="Book Antiqua"/>
        </w:rPr>
        <w:t xml:space="preserve">, Dumonceau JM, Albert J, Badaoui A, Bali MA, Barthet M, Besselink M, Deviere J, Oliveira Ferreira A, Gyökeres T, Hritz I, Hucl T, Milashka M, Papanikolaou IS, Poley JW, Seewald S, Vanbiervliet G, van Lienden K, van Santvoort H, Voermans R, Delhaye M, van Hooft J. Endoscopic management of acute necrotizing pancreatitis: European Society of Gastrointestinal Endoscopy (ESGE) evidence-based multidisciplinary guidelines. </w:t>
      </w:r>
      <w:r>
        <w:rPr>
          <w:rFonts w:ascii="Book Antiqua" w:hAnsi="Book Antiqua"/>
          <w:i/>
          <w:iCs/>
        </w:rPr>
        <w:t>Endoscopy</w:t>
      </w:r>
      <w:r>
        <w:rPr>
          <w:rFonts w:ascii="Book Antiqua" w:hAnsi="Book Antiqua"/>
        </w:rPr>
        <w:t xml:space="preserve"> 2018; </w:t>
      </w:r>
      <w:r>
        <w:rPr>
          <w:rFonts w:ascii="Book Antiqua" w:hAnsi="Book Antiqua"/>
          <w:b/>
          <w:bCs/>
        </w:rPr>
        <w:t>50</w:t>
      </w:r>
      <w:r>
        <w:rPr>
          <w:rFonts w:ascii="Book Antiqua" w:hAnsi="Book Antiqua"/>
        </w:rPr>
        <w:t>: 524-546 [PMID: 29631305 DOI: 10.1055/a-0588-5365]</w:t>
      </w:r>
    </w:p>
    <w:p>
      <w:pPr>
        <w:spacing w:line="360" w:lineRule="auto"/>
        <w:jc w:val="both"/>
        <w:rPr>
          <w:rFonts w:ascii="Book Antiqua" w:hAnsi="Book Antiqua"/>
        </w:rPr>
      </w:pPr>
      <w:r>
        <w:rPr>
          <w:rFonts w:ascii="Book Antiqua" w:hAnsi="Book Antiqua"/>
        </w:rPr>
        <w:t xml:space="preserve">53 </w:t>
      </w:r>
      <w:r>
        <w:rPr>
          <w:rFonts w:ascii="Book Antiqua" w:hAnsi="Book Antiqua"/>
          <w:b/>
          <w:bCs/>
        </w:rPr>
        <w:t>Baron TH</w:t>
      </w:r>
      <w:r>
        <w:rPr>
          <w:rFonts w:ascii="Book Antiqua" w:hAnsi="Book Antiqua"/>
        </w:rPr>
        <w:t xml:space="preserve">. Endoscopic pancreatic necrosectomy. </w:t>
      </w:r>
      <w:r>
        <w:rPr>
          <w:rFonts w:ascii="Book Antiqua" w:hAnsi="Book Antiqua"/>
          <w:i/>
          <w:iCs/>
        </w:rPr>
        <w:t>Gastroenterol Hepatol (N Y)</w:t>
      </w:r>
      <w:r>
        <w:rPr>
          <w:rFonts w:ascii="Book Antiqua" w:hAnsi="Book Antiqua"/>
        </w:rPr>
        <w:t xml:space="preserve"> 2008; </w:t>
      </w:r>
      <w:r>
        <w:rPr>
          <w:rFonts w:ascii="Book Antiqua" w:hAnsi="Book Antiqua"/>
          <w:b/>
          <w:bCs/>
        </w:rPr>
        <w:t>4</w:t>
      </w:r>
      <w:r>
        <w:rPr>
          <w:rFonts w:ascii="Book Antiqua" w:hAnsi="Book Antiqua"/>
        </w:rPr>
        <w:t>: 617-620 [PMID: 22798744 DOI: 10.1016/s0016-5085(08)60559-4]</w:t>
      </w:r>
    </w:p>
    <w:p>
      <w:pPr>
        <w:spacing w:line="360" w:lineRule="auto"/>
        <w:jc w:val="both"/>
        <w:rPr>
          <w:rFonts w:ascii="Book Antiqua" w:hAnsi="Book Antiqua"/>
        </w:rPr>
      </w:pPr>
      <w:r>
        <w:rPr>
          <w:rFonts w:ascii="Book Antiqua" w:hAnsi="Book Antiqua"/>
        </w:rPr>
        <w:t xml:space="preserve">54 </w:t>
      </w:r>
      <w:r>
        <w:rPr>
          <w:rFonts w:ascii="Book Antiqua" w:hAnsi="Book Antiqua"/>
          <w:b/>
          <w:bCs/>
        </w:rPr>
        <w:t>Goenka MK</w:t>
      </w:r>
      <w:r>
        <w:rPr>
          <w:rFonts w:ascii="Book Antiqua" w:hAnsi="Book Antiqua"/>
        </w:rPr>
        <w:t xml:space="preserve">, Goenka U, Mujoo MY, Tiwary IK, Mahawar S, Rai VK. Pancreatic Necrosectomy through Sinus Tract Endoscopy. </w:t>
      </w:r>
      <w:r>
        <w:rPr>
          <w:rFonts w:ascii="Book Antiqua" w:hAnsi="Book Antiqua"/>
          <w:i/>
          <w:iCs/>
        </w:rPr>
        <w:t>Clin Endosc</w:t>
      </w:r>
      <w:r>
        <w:rPr>
          <w:rFonts w:ascii="Book Antiqua" w:hAnsi="Book Antiqua"/>
        </w:rPr>
        <w:t xml:space="preserve"> 2018; </w:t>
      </w:r>
      <w:r>
        <w:rPr>
          <w:rFonts w:ascii="Book Antiqua" w:hAnsi="Book Antiqua"/>
          <w:b/>
          <w:bCs/>
        </w:rPr>
        <w:t>51</w:t>
      </w:r>
      <w:r>
        <w:rPr>
          <w:rFonts w:ascii="Book Antiqua" w:hAnsi="Book Antiqua"/>
        </w:rPr>
        <w:t>: 279-284 [PMID: 29301065 DOI: 10.5946/ce.2017.066]</w:t>
      </w:r>
    </w:p>
    <w:p>
      <w:pPr>
        <w:spacing w:line="360" w:lineRule="auto"/>
        <w:jc w:val="both"/>
        <w:rPr>
          <w:rFonts w:ascii="Book Antiqua" w:hAnsi="Book Antiqua"/>
        </w:rPr>
      </w:pPr>
      <w:r>
        <w:rPr>
          <w:rFonts w:ascii="Book Antiqua" w:hAnsi="Book Antiqua"/>
        </w:rPr>
        <w:t xml:space="preserve">55 </w:t>
      </w:r>
      <w:r>
        <w:rPr>
          <w:rFonts w:ascii="Book Antiqua" w:hAnsi="Book Antiqua"/>
          <w:b/>
          <w:bCs/>
        </w:rPr>
        <w:t>Gardner TB</w:t>
      </w:r>
      <w:r>
        <w:rPr>
          <w:rFonts w:ascii="Book Antiqua" w:hAnsi="Book Antiqua"/>
        </w:rPr>
        <w:t xml:space="preserve">, Coelho-Prabhu N, Gordon SR, Gelrud A, Maple JT, Papachristou GI, Freeman ML, Topazian MD, Attam R, Mackenzie TA, Baron TH. Direct endoscopic necrosectomy for the treatment of walled-off pancreatic necrosis: results from a multicenter U.S. series. </w:t>
      </w:r>
      <w:r>
        <w:rPr>
          <w:rFonts w:ascii="Book Antiqua" w:hAnsi="Book Antiqua"/>
          <w:i/>
          <w:iCs/>
        </w:rPr>
        <w:t>Gastrointest Endosc</w:t>
      </w:r>
      <w:r>
        <w:rPr>
          <w:rFonts w:ascii="Book Antiqua" w:hAnsi="Book Antiqua"/>
        </w:rPr>
        <w:t xml:space="preserve"> 2011; </w:t>
      </w:r>
      <w:r>
        <w:rPr>
          <w:rFonts w:ascii="Book Antiqua" w:hAnsi="Book Antiqua"/>
          <w:b/>
          <w:bCs/>
        </w:rPr>
        <w:t>73</w:t>
      </w:r>
      <w:r>
        <w:rPr>
          <w:rFonts w:ascii="Book Antiqua" w:hAnsi="Book Antiqua"/>
        </w:rPr>
        <w:t>: 718-726 [PMID: 21237454 DOI: 10.1016/j.gie.2010.10.053]</w:t>
      </w:r>
    </w:p>
    <w:p>
      <w:pPr>
        <w:spacing w:line="360" w:lineRule="auto"/>
        <w:jc w:val="both"/>
        <w:rPr>
          <w:rFonts w:ascii="Book Antiqua" w:hAnsi="Book Antiqua"/>
        </w:rPr>
      </w:pPr>
      <w:r>
        <w:rPr>
          <w:rFonts w:ascii="Book Antiqua" w:hAnsi="Book Antiqua"/>
        </w:rPr>
        <w:t xml:space="preserve">56 </w:t>
      </w:r>
      <w:r>
        <w:rPr>
          <w:rFonts w:ascii="Book Antiqua" w:hAnsi="Book Antiqua"/>
          <w:b/>
          <w:bCs/>
        </w:rPr>
        <w:t>Voermans RP</w:t>
      </w:r>
      <w:r>
        <w:rPr>
          <w:rFonts w:ascii="Book Antiqua" w:hAnsi="Book Antiqua"/>
        </w:rPr>
        <w:t xml:space="preserve">, Besselink MG, Fockens P. Endoscopic management of walled-off pancreatic necrosis. </w:t>
      </w:r>
      <w:r>
        <w:rPr>
          <w:rFonts w:ascii="Book Antiqua" w:hAnsi="Book Antiqua"/>
          <w:i/>
          <w:iCs/>
        </w:rPr>
        <w:t>J Hepatobiliary Pancreat Sci</w:t>
      </w:r>
      <w:r>
        <w:rPr>
          <w:rFonts w:ascii="Book Antiqua" w:hAnsi="Book Antiqua"/>
        </w:rPr>
        <w:t xml:space="preserve"> 2015; </w:t>
      </w:r>
      <w:r>
        <w:rPr>
          <w:rFonts w:ascii="Book Antiqua" w:hAnsi="Book Antiqua"/>
          <w:b/>
          <w:bCs/>
        </w:rPr>
        <w:t>22</w:t>
      </w:r>
      <w:r>
        <w:rPr>
          <w:rFonts w:ascii="Book Antiqua" w:hAnsi="Book Antiqua"/>
        </w:rPr>
        <w:t>: 20-26 [PMID: 25345777 DOI: 10.1002/jhbp.180]</w:t>
      </w:r>
    </w:p>
    <w:p>
      <w:pPr>
        <w:spacing w:line="360" w:lineRule="auto"/>
        <w:jc w:val="both"/>
        <w:rPr>
          <w:rFonts w:ascii="Book Antiqua" w:hAnsi="Book Antiqua"/>
        </w:rPr>
      </w:pPr>
      <w:r>
        <w:rPr>
          <w:rFonts w:ascii="Book Antiqua" w:hAnsi="Book Antiqua"/>
        </w:rPr>
        <w:t xml:space="preserve">57 </w:t>
      </w:r>
      <w:r>
        <w:rPr>
          <w:rFonts w:ascii="Book Antiqua" w:hAnsi="Book Antiqua"/>
          <w:b/>
          <w:bCs/>
        </w:rPr>
        <w:t>Boxhoorn L</w:t>
      </w:r>
      <w:r>
        <w:rPr>
          <w:rFonts w:ascii="Book Antiqua" w:hAnsi="Book Antiqua"/>
        </w:rPr>
        <w:t xml:space="preserve">, Voermans RP, Bouwense SA, Bruno MJ, Verdonk RC, Boermeester MA, van Santvoort HC, Besselink MG. Acute pancreatitis. </w:t>
      </w:r>
      <w:r>
        <w:rPr>
          <w:rFonts w:ascii="Book Antiqua" w:hAnsi="Book Antiqua"/>
          <w:i/>
          <w:iCs/>
        </w:rPr>
        <w:t>Lancet</w:t>
      </w:r>
      <w:r>
        <w:rPr>
          <w:rFonts w:ascii="Book Antiqua" w:hAnsi="Book Antiqua"/>
        </w:rPr>
        <w:t xml:space="preserve"> 2020; </w:t>
      </w:r>
      <w:r>
        <w:rPr>
          <w:rFonts w:ascii="Book Antiqua" w:hAnsi="Book Antiqua"/>
          <w:b/>
          <w:bCs/>
        </w:rPr>
        <w:t>396</w:t>
      </w:r>
      <w:r>
        <w:rPr>
          <w:rFonts w:ascii="Book Antiqua" w:hAnsi="Book Antiqua"/>
        </w:rPr>
        <w:t>: 726-734 [PMID: 32891214 DOI: 10.1016/S0140-6736(20)31310-6]</w:t>
      </w:r>
    </w:p>
    <w:p>
      <w:pPr>
        <w:spacing w:line="360" w:lineRule="auto"/>
        <w:jc w:val="both"/>
        <w:rPr>
          <w:rFonts w:ascii="Book Antiqua" w:hAnsi="Book Antiqua"/>
          <w:lang w:val="de-DE"/>
        </w:rPr>
      </w:pPr>
      <w:r>
        <w:rPr>
          <w:rFonts w:ascii="Book Antiqua" w:hAnsi="Book Antiqua"/>
        </w:rPr>
        <w:t xml:space="preserve">58 </w:t>
      </w:r>
      <w:r>
        <w:rPr>
          <w:rFonts w:ascii="Book Antiqua" w:hAnsi="Book Antiqua"/>
          <w:b/>
          <w:bCs/>
        </w:rPr>
        <w:t>Trikudanathan G</w:t>
      </w:r>
      <w:r>
        <w:rPr>
          <w:rFonts w:ascii="Book Antiqua" w:hAnsi="Book Antiqua"/>
        </w:rPr>
        <w:t xml:space="preserve">, Wolbrink DRJ, van Santvoort HC, Mallery S, Freeman M, Besselink MG. Current Concepts in Severe Acute and Necrotizing Pancreatitis: An Evidence-Based Approach. </w:t>
      </w:r>
      <w:r>
        <w:rPr>
          <w:rFonts w:ascii="Book Antiqua" w:hAnsi="Book Antiqua"/>
          <w:i/>
          <w:iCs/>
          <w:lang w:val="de-DE"/>
        </w:rPr>
        <w:t>Gastroenterology</w:t>
      </w:r>
      <w:r>
        <w:rPr>
          <w:rFonts w:ascii="Book Antiqua" w:hAnsi="Book Antiqua"/>
          <w:lang w:val="de-DE"/>
        </w:rPr>
        <w:t xml:space="preserve"> 2019; </w:t>
      </w:r>
      <w:r>
        <w:rPr>
          <w:rFonts w:ascii="Book Antiqua" w:hAnsi="Book Antiqua"/>
          <w:b/>
          <w:bCs/>
          <w:lang w:val="de-DE"/>
        </w:rPr>
        <w:t>156</w:t>
      </w:r>
      <w:r>
        <w:rPr>
          <w:rFonts w:ascii="Book Antiqua" w:hAnsi="Book Antiqua"/>
          <w:lang w:val="de-DE"/>
        </w:rPr>
        <w:t>: 1994-2007.e3 [PMID: 30776347 DOI: 10.1053/j.gastro.2019.01.269]</w:t>
      </w:r>
    </w:p>
    <w:p>
      <w:pPr>
        <w:spacing w:line="360" w:lineRule="auto"/>
        <w:jc w:val="both"/>
        <w:rPr>
          <w:rFonts w:ascii="Book Antiqua" w:hAnsi="Book Antiqua"/>
        </w:rPr>
      </w:pPr>
      <w:r>
        <w:rPr>
          <w:rFonts w:ascii="Book Antiqua" w:hAnsi="Book Antiqua"/>
          <w:lang w:val="de-DE"/>
        </w:rPr>
        <w:t xml:space="preserve">59 </w:t>
      </w:r>
      <w:r>
        <w:rPr>
          <w:rFonts w:ascii="Book Antiqua" w:hAnsi="Book Antiqua"/>
          <w:b/>
          <w:bCs/>
          <w:lang w:val="de-DE"/>
        </w:rPr>
        <w:t>Werner J</w:t>
      </w:r>
      <w:r>
        <w:rPr>
          <w:rFonts w:ascii="Book Antiqua" w:hAnsi="Book Antiqua"/>
          <w:lang w:val="de-DE"/>
        </w:rPr>
        <w:t xml:space="preserve">, Hartwig W, Hackert T, Büchler MW. </w:t>
      </w:r>
      <w:r>
        <w:rPr>
          <w:rFonts w:ascii="Book Antiqua" w:hAnsi="Book Antiqua"/>
        </w:rPr>
        <w:t xml:space="preserve">Surgery in the treatment of acute pancreatitis--open pancreatic necrosectomy. </w:t>
      </w:r>
      <w:r>
        <w:rPr>
          <w:rFonts w:ascii="Book Antiqua" w:hAnsi="Book Antiqua"/>
          <w:i/>
          <w:iCs/>
        </w:rPr>
        <w:t>Scand J Surg</w:t>
      </w:r>
      <w:r>
        <w:rPr>
          <w:rFonts w:ascii="Book Antiqua" w:hAnsi="Book Antiqua"/>
        </w:rPr>
        <w:t xml:space="preserve"> 2005; </w:t>
      </w:r>
      <w:r>
        <w:rPr>
          <w:rFonts w:ascii="Book Antiqua" w:hAnsi="Book Antiqua"/>
          <w:b/>
          <w:bCs/>
        </w:rPr>
        <w:t>94</w:t>
      </w:r>
      <w:r>
        <w:rPr>
          <w:rFonts w:ascii="Book Antiqua" w:hAnsi="Book Antiqua"/>
        </w:rPr>
        <w:t>: 130-134 [PMID: 16111095 DOI: 10.1177/145749690509400209]</w:t>
      </w:r>
    </w:p>
    <w:p>
      <w:pPr>
        <w:spacing w:line="360" w:lineRule="auto"/>
        <w:jc w:val="both"/>
        <w:rPr>
          <w:rFonts w:ascii="Book Antiqua" w:hAnsi="Book Antiqua"/>
        </w:rPr>
      </w:pPr>
      <w:r>
        <w:rPr>
          <w:rFonts w:ascii="Book Antiqua" w:hAnsi="Book Antiqua"/>
        </w:rPr>
        <w:t xml:space="preserve">60 </w:t>
      </w:r>
      <w:r>
        <w:rPr>
          <w:rFonts w:ascii="Book Antiqua" w:hAnsi="Book Antiqua"/>
          <w:b/>
          <w:bCs/>
        </w:rPr>
        <w:t>Driedger M</w:t>
      </w:r>
      <w:r>
        <w:rPr>
          <w:rFonts w:ascii="Book Antiqua" w:hAnsi="Book Antiqua"/>
        </w:rPr>
        <w:t xml:space="preserve">, Zyromski NJ, Visser BC, Jester A, Sutherland FR, Nakeeb A, Dixon E, Dua MM, House MG, Worhunsky DJ, Munene G, Ball CG. Surgical Transgastric Necrosectomy for Necrotizing Pancreatitis: A Single-stage Procedure for Walled-off Pancreatic Necrosis. </w:t>
      </w:r>
      <w:r>
        <w:rPr>
          <w:rFonts w:ascii="Book Antiqua" w:hAnsi="Book Antiqua"/>
          <w:i/>
          <w:iCs/>
        </w:rPr>
        <w:t>Ann Surg</w:t>
      </w:r>
      <w:r>
        <w:rPr>
          <w:rFonts w:ascii="Book Antiqua" w:hAnsi="Book Antiqua"/>
        </w:rPr>
        <w:t xml:space="preserve"> 2020; </w:t>
      </w:r>
      <w:r>
        <w:rPr>
          <w:rFonts w:ascii="Book Antiqua" w:hAnsi="Book Antiqua"/>
          <w:b/>
          <w:bCs/>
        </w:rPr>
        <w:t>271</w:t>
      </w:r>
      <w:r>
        <w:rPr>
          <w:rFonts w:ascii="Book Antiqua" w:hAnsi="Book Antiqua"/>
        </w:rPr>
        <w:t>: 163-168 [PMID: 30216220 DOI: 10.1097/SLA.0000000000003048]</w:t>
      </w:r>
    </w:p>
    <w:p>
      <w:pPr>
        <w:spacing w:line="360" w:lineRule="auto"/>
        <w:jc w:val="both"/>
        <w:rPr>
          <w:rFonts w:ascii="Book Antiqua" w:hAnsi="Book Antiqua"/>
        </w:rPr>
      </w:pPr>
      <w:r>
        <w:rPr>
          <w:rFonts w:ascii="Book Antiqua" w:hAnsi="Book Antiqua"/>
        </w:rPr>
        <w:t xml:space="preserve">61 </w:t>
      </w:r>
      <w:r>
        <w:rPr>
          <w:rFonts w:ascii="Book Antiqua" w:hAnsi="Book Antiqua"/>
          <w:b/>
          <w:bCs/>
        </w:rPr>
        <w:t>Luckhurst CM</w:t>
      </w:r>
      <w:r>
        <w:rPr>
          <w:rFonts w:ascii="Book Antiqua" w:hAnsi="Book Antiqua"/>
        </w:rPr>
        <w:t xml:space="preserve">, El Hechi M, Elsharkawy AE, Eid AI, Maurer LR, Kaafarani HM, Thabet A, Forcione DG, Fernández-Del Castillo C, Lillemoe KD, Fagenholz PJ. Improved Mortality in Necrotizing Pancreatitis with a Multidisciplinary Minimally Invasive Step-Up Approach: Comparison with a Modern Open Necrosectomy Cohort. </w:t>
      </w:r>
      <w:r>
        <w:rPr>
          <w:rFonts w:ascii="Book Antiqua" w:hAnsi="Book Antiqua"/>
          <w:i/>
          <w:iCs/>
        </w:rPr>
        <w:t>J Am Coll Surg</w:t>
      </w:r>
      <w:r>
        <w:rPr>
          <w:rFonts w:ascii="Book Antiqua" w:hAnsi="Book Antiqua"/>
        </w:rPr>
        <w:t xml:space="preserve"> 2020; </w:t>
      </w:r>
      <w:r>
        <w:rPr>
          <w:rFonts w:ascii="Book Antiqua" w:hAnsi="Book Antiqua"/>
          <w:b/>
          <w:bCs/>
        </w:rPr>
        <w:t>230</w:t>
      </w:r>
      <w:r>
        <w:rPr>
          <w:rFonts w:ascii="Book Antiqua" w:hAnsi="Book Antiqua"/>
        </w:rPr>
        <w:t>: 873-883 [PMID: 32251846 DOI: 10.1016/j.jamcollsurg.2020.01.038]</w:t>
      </w:r>
    </w:p>
    <w:p>
      <w:pPr>
        <w:spacing w:line="360" w:lineRule="auto"/>
        <w:jc w:val="both"/>
        <w:rPr>
          <w:rFonts w:ascii="Book Antiqua" w:hAnsi="Book Antiqua"/>
        </w:rPr>
      </w:pPr>
      <w:r>
        <w:rPr>
          <w:rFonts w:ascii="Book Antiqua" w:hAnsi="Book Antiqua"/>
        </w:rPr>
        <w:t xml:space="preserve">62 </w:t>
      </w:r>
      <w:r>
        <w:rPr>
          <w:rFonts w:ascii="Book Antiqua" w:hAnsi="Book Antiqua"/>
          <w:b/>
          <w:bCs/>
        </w:rPr>
        <w:t>van Santvoort HC</w:t>
      </w:r>
      <w:r>
        <w:rPr>
          <w:rFonts w:ascii="Book Antiqua" w:hAnsi="Book Antiqua"/>
        </w:rPr>
        <w:t xml:space="preserve">, Besselink MG, Horvath KD, Sinanan MN, Bollen TL, van Ramshorst B, Gooszen HG; Dutch Acute Pancreatis Study Group. Videoscopic assisted retroperitoneal debridement in infected necrotizing pancreatitis. </w:t>
      </w:r>
      <w:r>
        <w:rPr>
          <w:rFonts w:ascii="Book Antiqua" w:hAnsi="Book Antiqua"/>
          <w:i/>
          <w:iCs/>
        </w:rPr>
        <w:t>HPB (Oxford)</w:t>
      </w:r>
      <w:r>
        <w:rPr>
          <w:rFonts w:ascii="Book Antiqua" w:hAnsi="Book Antiqua"/>
        </w:rPr>
        <w:t xml:space="preserve"> 2007; </w:t>
      </w:r>
      <w:r>
        <w:rPr>
          <w:rFonts w:ascii="Book Antiqua" w:hAnsi="Book Antiqua"/>
          <w:b/>
          <w:bCs/>
        </w:rPr>
        <w:t>9</w:t>
      </w:r>
      <w:r>
        <w:rPr>
          <w:rFonts w:ascii="Book Antiqua" w:hAnsi="Book Antiqua"/>
        </w:rPr>
        <w:t>: 156-159 [PMID: 18333133 DOI: 10.1080/13651820701225688]</w:t>
      </w:r>
    </w:p>
    <w:p>
      <w:pPr>
        <w:spacing w:line="360" w:lineRule="auto"/>
        <w:jc w:val="both"/>
        <w:rPr>
          <w:rFonts w:ascii="Book Antiqua" w:hAnsi="Book Antiqua"/>
        </w:rPr>
      </w:pPr>
      <w:r>
        <w:rPr>
          <w:rFonts w:ascii="Book Antiqua" w:hAnsi="Book Antiqua"/>
        </w:rPr>
        <w:t xml:space="preserve">63 </w:t>
      </w:r>
      <w:r>
        <w:rPr>
          <w:rFonts w:ascii="Book Antiqua" w:hAnsi="Book Antiqua"/>
          <w:b/>
          <w:bCs/>
        </w:rPr>
        <w:t>Mier J</w:t>
      </w:r>
      <w:r>
        <w:rPr>
          <w:rFonts w:ascii="Book Antiqua" w:hAnsi="Book Antiqua"/>
        </w:rPr>
        <w:t xml:space="preserve">, León EL, Castillo A, Robledo F, Blanco R. Early versus late necrosectomy in severe necrotizing pancreatitis. </w:t>
      </w:r>
      <w:r>
        <w:rPr>
          <w:rFonts w:ascii="Book Antiqua" w:hAnsi="Book Antiqua"/>
          <w:i/>
          <w:iCs/>
        </w:rPr>
        <w:t>Am J Surg</w:t>
      </w:r>
      <w:r>
        <w:rPr>
          <w:rFonts w:ascii="Book Antiqua" w:hAnsi="Book Antiqua"/>
        </w:rPr>
        <w:t xml:space="preserve"> 1997; </w:t>
      </w:r>
      <w:r>
        <w:rPr>
          <w:rFonts w:ascii="Book Antiqua" w:hAnsi="Book Antiqua"/>
          <w:b/>
          <w:bCs/>
        </w:rPr>
        <w:t>173</w:t>
      </w:r>
      <w:r>
        <w:rPr>
          <w:rFonts w:ascii="Book Antiqua" w:hAnsi="Book Antiqua"/>
        </w:rPr>
        <w:t>: 71-75 [PMID: 9074366 DOI: 10.1016/S0002-9610(96)00425-4]</w:t>
      </w:r>
    </w:p>
    <w:p>
      <w:pPr>
        <w:spacing w:line="360" w:lineRule="auto"/>
        <w:jc w:val="both"/>
        <w:rPr>
          <w:rFonts w:ascii="Book Antiqua" w:hAnsi="Book Antiqua"/>
        </w:rPr>
      </w:pPr>
      <w:r>
        <w:rPr>
          <w:rFonts w:ascii="Book Antiqua" w:hAnsi="Book Antiqua"/>
        </w:rPr>
        <w:t xml:space="preserve">64 </w:t>
      </w:r>
      <w:r>
        <w:rPr>
          <w:rFonts w:ascii="Book Antiqua" w:hAnsi="Book Antiqua"/>
          <w:b/>
          <w:bCs/>
        </w:rPr>
        <w:t>Götzinger P</w:t>
      </w:r>
      <w:r>
        <w:rPr>
          <w:rFonts w:ascii="Book Antiqua" w:hAnsi="Book Antiqua"/>
        </w:rPr>
        <w:t xml:space="preserve">, Sautner T, Kriwanek S, Beckerhinn P, Barlan M, Armbruster C, Wamser P, Függer R. Surgical treatment for severe acute pancreatitis: extent and surgical control of necrosis determine outcome. </w:t>
      </w:r>
      <w:r>
        <w:rPr>
          <w:rFonts w:ascii="Book Antiqua" w:hAnsi="Book Antiqua"/>
          <w:i/>
          <w:iCs/>
        </w:rPr>
        <w:t>World J Surg</w:t>
      </w:r>
      <w:r>
        <w:rPr>
          <w:rFonts w:ascii="Book Antiqua" w:hAnsi="Book Antiqua"/>
        </w:rPr>
        <w:t xml:space="preserve"> 2002; </w:t>
      </w:r>
      <w:r>
        <w:rPr>
          <w:rFonts w:ascii="Book Antiqua" w:hAnsi="Book Antiqua"/>
          <w:b/>
          <w:bCs/>
        </w:rPr>
        <w:t>26</w:t>
      </w:r>
      <w:r>
        <w:rPr>
          <w:rFonts w:ascii="Book Antiqua" w:hAnsi="Book Antiqua"/>
        </w:rPr>
        <w:t>: 474-478 [PMID: 11910483 DOI: 10.1007/s00268-001-0252-8]</w:t>
      </w:r>
    </w:p>
    <w:p>
      <w:pPr>
        <w:spacing w:line="360" w:lineRule="auto"/>
        <w:jc w:val="both"/>
        <w:rPr>
          <w:rFonts w:ascii="Book Antiqua" w:hAnsi="Book Antiqua"/>
        </w:rPr>
      </w:pPr>
      <w:r>
        <w:rPr>
          <w:rFonts w:ascii="Book Antiqua" w:hAnsi="Book Antiqua"/>
        </w:rPr>
        <w:t xml:space="preserve">65 </w:t>
      </w:r>
      <w:r>
        <w:rPr>
          <w:rFonts w:ascii="Book Antiqua" w:hAnsi="Book Antiqua"/>
          <w:b/>
          <w:bCs/>
        </w:rPr>
        <w:t>Szeliga J</w:t>
      </w:r>
      <w:r>
        <w:rPr>
          <w:rFonts w:ascii="Book Antiqua" w:hAnsi="Book Antiqua"/>
        </w:rPr>
        <w:t xml:space="preserve">, Jackowski M. Minimally invasive procedures in severe acute pancreatitis treatment - assessment of benefits and possibilities of use. </w:t>
      </w:r>
      <w:r>
        <w:rPr>
          <w:rFonts w:ascii="Book Antiqua" w:hAnsi="Book Antiqua"/>
          <w:i/>
          <w:iCs/>
        </w:rPr>
        <w:t>Wideochir Inne Tech Maloinwazyjne</w:t>
      </w:r>
      <w:r>
        <w:rPr>
          <w:rFonts w:ascii="Book Antiqua" w:hAnsi="Book Antiqua"/>
        </w:rPr>
        <w:t xml:space="preserve"> 2014; </w:t>
      </w:r>
      <w:r>
        <w:rPr>
          <w:rFonts w:ascii="Book Antiqua" w:hAnsi="Book Antiqua"/>
          <w:b/>
          <w:bCs/>
        </w:rPr>
        <w:t>9</w:t>
      </w:r>
      <w:r>
        <w:rPr>
          <w:rFonts w:ascii="Book Antiqua" w:hAnsi="Book Antiqua"/>
        </w:rPr>
        <w:t>: 170-178 [PMID: 25097683 DOI: 10.5114/wiitm.2014.41628]</w:t>
      </w:r>
    </w:p>
    <w:p>
      <w:pPr>
        <w:spacing w:line="360" w:lineRule="auto"/>
        <w:jc w:val="both"/>
        <w:rPr>
          <w:rFonts w:ascii="Book Antiqua" w:hAnsi="Book Antiqua"/>
        </w:rPr>
      </w:pPr>
      <w:r>
        <w:rPr>
          <w:rFonts w:ascii="Book Antiqua" w:hAnsi="Book Antiqua"/>
        </w:rPr>
        <w:t xml:space="preserve">66 </w:t>
      </w:r>
      <w:r>
        <w:rPr>
          <w:rFonts w:ascii="Book Antiqua" w:hAnsi="Book Antiqua"/>
          <w:b/>
          <w:bCs/>
        </w:rPr>
        <w:t>Gomatos IP</w:t>
      </w:r>
      <w:r>
        <w:rPr>
          <w:rFonts w:ascii="Book Antiqua" w:hAnsi="Book Antiqua"/>
        </w:rPr>
        <w:t xml:space="preserve">, Halloran CM, Ghaneh P, Raraty MG, Polydoros F, Evans JC, Smart HL, Yagati-Satchidanand R, Garry JM, Whelan PA, Hughes FE, Sutton R, Neoptolemos JP. Outcomes From Minimal Access Retroperitoneal and Open Pancreatic Necrosectomy in 394 Patients With Necrotizing Pancreatitis. </w:t>
      </w:r>
      <w:r>
        <w:rPr>
          <w:rFonts w:ascii="Book Antiqua" w:hAnsi="Book Antiqua"/>
          <w:i/>
          <w:iCs/>
        </w:rPr>
        <w:t>Ann Surg</w:t>
      </w:r>
      <w:r>
        <w:rPr>
          <w:rFonts w:ascii="Book Antiqua" w:hAnsi="Book Antiqua"/>
        </w:rPr>
        <w:t xml:space="preserve"> 2016; </w:t>
      </w:r>
      <w:r>
        <w:rPr>
          <w:rFonts w:ascii="Book Antiqua" w:hAnsi="Book Antiqua"/>
          <w:b/>
          <w:bCs/>
        </w:rPr>
        <w:t>263</w:t>
      </w:r>
      <w:r>
        <w:rPr>
          <w:rFonts w:ascii="Book Antiqua" w:hAnsi="Book Antiqua"/>
        </w:rPr>
        <w:t>: 992-1001 [PMID: 26501713 DOI: 10.1097/SLA.0000000000001407]</w:t>
      </w:r>
    </w:p>
    <w:p>
      <w:pPr>
        <w:spacing w:line="360" w:lineRule="auto"/>
        <w:jc w:val="both"/>
        <w:rPr>
          <w:rFonts w:ascii="Book Antiqua" w:hAnsi="Book Antiqua"/>
        </w:rPr>
      </w:pPr>
      <w:r>
        <w:rPr>
          <w:rFonts w:ascii="Book Antiqua" w:hAnsi="Book Antiqua"/>
        </w:rPr>
        <w:t xml:space="preserve">67 </w:t>
      </w:r>
      <w:r>
        <w:rPr>
          <w:rFonts w:ascii="Book Antiqua" w:hAnsi="Book Antiqua"/>
          <w:b/>
          <w:bCs/>
        </w:rPr>
        <w:t>van Brunschot S</w:t>
      </w:r>
      <w:r>
        <w:rPr>
          <w:rFonts w:ascii="Book Antiqua" w:hAnsi="Book Antiqua"/>
        </w:rPr>
        <w:t xml:space="preserve">, Hollemans RA, Bakker OJ, Besselink MG, Baron TH, Beger HG, Boermeester MA, Bollen TL, Bruno MJ, Carter R, French JJ, Coelho D, Dahl B, Dijkgraaf MG, Doctor N, Fagenholz PJ, Farkas G, Castillo CFD, Fockens P, Freeman ML, Gardner TB, Goor HV, Gooszen HG, Hannink G, Lochan R, McKay CJ, Neoptolemos JP, Oláh A, Parks RW, Peev MP, Raraty M, Rau B, Rösch T, Rovers M, Seifert H, Siriwardena AK, Horvath KD, van Santvoort HC. Minimally invasive and endoscopic versus open necrosectomy for necrotising pancreatitis: a pooled analysis of individual data for 1980 patients.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697-706 [PMID: 28774886 DOI: 10.1136/gutjnl-2016-313341]</w:t>
      </w:r>
    </w:p>
    <w:p>
      <w:pPr>
        <w:spacing w:line="360" w:lineRule="auto"/>
        <w:jc w:val="both"/>
        <w:rPr>
          <w:rFonts w:ascii="Book Antiqua" w:hAnsi="Book Antiqua"/>
        </w:rPr>
      </w:pPr>
      <w:r>
        <w:rPr>
          <w:rFonts w:ascii="Book Antiqua" w:hAnsi="Book Antiqua"/>
        </w:rPr>
        <w:t xml:space="preserve">68 </w:t>
      </w:r>
      <w:r>
        <w:rPr>
          <w:rFonts w:ascii="Book Antiqua" w:hAnsi="Book Antiqua"/>
          <w:b/>
          <w:bCs/>
        </w:rPr>
        <w:t>Tenner S</w:t>
      </w:r>
      <w:r>
        <w:rPr>
          <w:rFonts w:ascii="Book Antiqua" w:hAnsi="Book Antiqua"/>
        </w:rPr>
        <w:t xml:space="preserve">, Baillie J, DeWitt J, Vege SS; American College of Gastroenterology. American College of Gastroenterology guideline: management of acute pancreatitis. </w:t>
      </w:r>
      <w:r>
        <w:rPr>
          <w:rFonts w:ascii="Book Antiqua" w:hAnsi="Book Antiqua"/>
          <w:i/>
          <w:iCs/>
        </w:rPr>
        <w:t>Am J Gastroenterol</w:t>
      </w:r>
      <w:r>
        <w:rPr>
          <w:rFonts w:ascii="Book Antiqua" w:hAnsi="Book Antiqua"/>
        </w:rPr>
        <w:t xml:space="preserve"> 2013; </w:t>
      </w:r>
      <w:r>
        <w:rPr>
          <w:rFonts w:ascii="Book Antiqua" w:hAnsi="Book Antiqua"/>
          <w:b/>
          <w:bCs/>
        </w:rPr>
        <w:t>108</w:t>
      </w:r>
      <w:r>
        <w:rPr>
          <w:rFonts w:ascii="Book Antiqua" w:hAnsi="Book Antiqua"/>
        </w:rPr>
        <w:t>: 1400-15; 1416 [PMID: 23896955 DOI: 10.1038/ajg.2013.218]</w:t>
      </w:r>
    </w:p>
    <w:p>
      <w:pPr>
        <w:spacing w:line="360" w:lineRule="auto"/>
        <w:jc w:val="both"/>
        <w:rPr>
          <w:rFonts w:ascii="Book Antiqua" w:hAnsi="Book Antiqua"/>
        </w:rPr>
      </w:pPr>
      <w:r>
        <w:rPr>
          <w:rFonts w:ascii="Book Antiqua" w:hAnsi="Book Antiqua"/>
        </w:rPr>
        <w:t xml:space="preserve">69 </w:t>
      </w:r>
      <w:r>
        <w:rPr>
          <w:rFonts w:ascii="Book Antiqua" w:hAnsi="Book Antiqua"/>
          <w:b/>
          <w:bCs/>
        </w:rPr>
        <w:t>Bakker OJ</w:t>
      </w:r>
      <w:r>
        <w:rPr>
          <w:rFonts w:ascii="Book Antiqua" w:hAnsi="Book Antiqua"/>
        </w:rPr>
        <w:t xml:space="preserve">, van Santvoort HC, van Brunschot S, Geskus RB, Besselink MG, Bollen TL, van Eijck CH, Fockens P, Hazebroek EJ, Nijmeijer RM, Poley JW, van Ramshorst B, Vleggaar FP, Boermeester MA, Gooszen HG, Weusten BL, Timmer R; Dutch Pancreatitis Study Group. Endoscopic transgastric vs surgical necrosectomy for infected necrotizing pancreatitis: a randomized trial. </w:t>
      </w:r>
      <w:r>
        <w:rPr>
          <w:rFonts w:ascii="Book Antiqua" w:hAnsi="Book Antiqua"/>
          <w:i/>
          <w:iCs/>
        </w:rPr>
        <w:t>JAMA</w:t>
      </w:r>
      <w:r>
        <w:rPr>
          <w:rFonts w:ascii="Book Antiqua" w:hAnsi="Book Antiqua"/>
        </w:rPr>
        <w:t xml:space="preserve"> 2012; </w:t>
      </w:r>
      <w:r>
        <w:rPr>
          <w:rFonts w:ascii="Book Antiqua" w:hAnsi="Book Antiqua"/>
          <w:b/>
          <w:bCs/>
        </w:rPr>
        <w:t>307</w:t>
      </w:r>
      <w:r>
        <w:rPr>
          <w:rFonts w:ascii="Book Antiqua" w:hAnsi="Book Antiqua"/>
        </w:rPr>
        <w:t>: 1053-1061 [PMID: 22416101 DOI: 10.1001/jama.2012.276]</w:t>
      </w:r>
    </w:p>
    <w:p>
      <w:pPr>
        <w:spacing w:line="360" w:lineRule="auto"/>
        <w:jc w:val="both"/>
        <w:rPr>
          <w:rFonts w:ascii="Book Antiqua" w:hAnsi="Book Antiqua"/>
        </w:rPr>
      </w:pPr>
      <w:r>
        <w:rPr>
          <w:rFonts w:ascii="Book Antiqua" w:hAnsi="Book Antiqua"/>
        </w:rPr>
        <w:t xml:space="preserve">70 </w:t>
      </w:r>
      <w:r>
        <w:rPr>
          <w:rFonts w:ascii="Book Antiqua" w:hAnsi="Book Antiqua"/>
          <w:b/>
          <w:bCs/>
        </w:rPr>
        <w:t>van Brunschot S</w:t>
      </w:r>
      <w:r>
        <w:rPr>
          <w:rFonts w:ascii="Book Antiqua" w:hAnsi="Book Antiqua"/>
        </w:rPr>
        <w:t xml:space="preserve">, van Grinsven J, Voermans RP, Bakker OJ, Besselink MG, Boermeester MA, Bollen TL, Bosscha K, Bouwense SA, Bruno MJ, Cappendijk VC, Consten EC, Dejong CH, Dijkgraaf MG, van Eijck CH, Erkelens GW, van Goor H, Hadithi M, Haveman JW, Hofker SH, Jansen JJ, Laméris JS, van Lienden KP, Manusama ER, Meijssen MA, Mulder CJ, Nieuwenhuis VB, Poley JW, de Ridder RJ, Rosman C, Schaapherder AF, Scheepers JJ, Schoon EJ, Seerden T, Spanier BW, Straathof JW, Timmer R, Venneman NG, Vleggaar FP, Witteman BJ, Gooszen HG, van Santvoort HC, Fockens P; Dutch Pancreatitis Study Group. Transluminal endoscopic step-up approach versus minimally invasive surgical step-up approach in patients with infected necrotising pancreatitis (TENSION trial): design and rationale of a randomised controlled multicenter trial [ISRCTN09186711]. </w:t>
      </w:r>
      <w:r>
        <w:rPr>
          <w:rFonts w:ascii="Book Antiqua" w:hAnsi="Book Antiqua"/>
          <w:i/>
          <w:iCs/>
        </w:rPr>
        <w:t>BMC Gastroenterol</w:t>
      </w:r>
      <w:r>
        <w:rPr>
          <w:rFonts w:ascii="Book Antiqua" w:hAnsi="Book Antiqua"/>
        </w:rPr>
        <w:t xml:space="preserve"> 2013; </w:t>
      </w:r>
      <w:r>
        <w:rPr>
          <w:rFonts w:ascii="Book Antiqua" w:hAnsi="Book Antiqua"/>
          <w:b/>
          <w:bCs/>
        </w:rPr>
        <w:t>13</w:t>
      </w:r>
      <w:r>
        <w:rPr>
          <w:rFonts w:ascii="Book Antiqua" w:hAnsi="Book Antiqua"/>
        </w:rPr>
        <w:t>: 161 [PMID: 24274589 DOI: 10.1186/1471-230X-13-161]</w:t>
      </w:r>
    </w:p>
    <w:p>
      <w:pPr>
        <w:spacing w:line="360" w:lineRule="auto"/>
        <w:jc w:val="both"/>
        <w:rPr>
          <w:rFonts w:ascii="Book Antiqua" w:hAnsi="Book Antiqua"/>
        </w:rPr>
      </w:pPr>
      <w:r>
        <w:rPr>
          <w:rFonts w:ascii="Book Antiqua" w:hAnsi="Book Antiqua"/>
        </w:rPr>
        <w:t xml:space="preserve">71 </w:t>
      </w:r>
      <w:r>
        <w:rPr>
          <w:rFonts w:ascii="Book Antiqua" w:hAnsi="Book Antiqua"/>
          <w:b/>
          <w:bCs/>
        </w:rPr>
        <w:t>van Grinsven J</w:t>
      </w:r>
      <w:r>
        <w:rPr>
          <w:rFonts w:ascii="Book Antiqua" w:hAnsi="Book Antiqua"/>
        </w:rPr>
        <w:t xml:space="preserve">, van Brunschot S, Bakker OJ, Bollen TL, Boermeester MA, Bruno MJ, Dejong CH, Dijkgraaf MG, van Eijck CH, Fockens P, van Goor H, Gooszen HG, Horvath KD, van Lienden KP, van Santvoort HC, Besselink MG; Dutch Pancreatitis Study Group. Diagnostic strategy and timing of intervention in infected necrotizing pancreatitis: an international expert survey and case vignette study. </w:t>
      </w:r>
      <w:r>
        <w:rPr>
          <w:rFonts w:ascii="Book Antiqua" w:hAnsi="Book Antiqua"/>
          <w:i/>
          <w:iCs/>
        </w:rPr>
        <w:t>HPB (Oxford)</w:t>
      </w:r>
      <w:r>
        <w:rPr>
          <w:rFonts w:ascii="Book Antiqua" w:hAnsi="Book Antiqua"/>
        </w:rPr>
        <w:t xml:space="preserve"> 2016; </w:t>
      </w:r>
      <w:r>
        <w:rPr>
          <w:rFonts w:ascii="Book Antiqua" w:hAnsi="Book Antiqua"/>
          <w:b/>
          <w:bCs/>
        </w:rPr>
        <w:t>18</w:t>
      </w:r>
      <w:r>
        <w:rPr>
          <w:rFonts w:ascii="Book Antiqua" w:hAnsi="Book Antiqua"/>
        </w:rPr>
        <w:t>: 49-56 [PMID: 26776851 DOI: 10.1016/j.hpb.2015.07.003]</w:t>
      </w:r>
    </w:p>
    <w:p>
      <w:pPr>
        <w:spacing w:line="360" w:lineRule="auto"/>
        <w:jc w:val="both"/>
        <w:rPr>
          <w:rFonts w:ascii="Book Antiqua" w:hAnsi="Book Antiqua"/>
        </w:rPr>
      </w:pPr>
      <w:r>
        <w:rPr>
          <w:rFonts w:ascii="Book Antiqua" w:hAnsi="Book Antiqua"/>
        </w:rPr>
        <w:t xml:space="preserve">72 </w:t>
      </w:r>
      <w:r>
        <w:rPr>
          <w:rFonts w:ascii="Book Antiqua" w:hAnsi="Book Antiqua"/>
          <w:b/>
          <w:bCs/>
        </w:rPr>
        <w:t>Guo Q</w:t>
      </w:r>
      <w:r>
        <w:rPr>
          <w:rFonts w:ascii="Book Antiqua" w:hAnsi="Book Antiqua"/>
        </w:rPr>
        <w:t xml:space="preserve">, Li A, Xia Q, Lu H, Ke N, Du X, Zhang Z, Hu W. Timing of intervention in necrotizing pancreatitis. </w:t>
      </w:r>
      <w:r>
        <w:rPr>
          <w:rFonts w:ascii="Book Antiqua" w:hAnsi="Book Antiqua"/>
          <w:i/>
          <w:iCs/>
        </w:rPr>
        <w:t>J Gastrointest Surg</w:t>
      </w:r>
      <w:r>
        <w:rPr>
          <w:rFonts w:ascii="Book Antiqua" w:hAnsi="Book Antiqua"/>
        </w:rPr>
        <w:t xml:space="preserve"> 2014; </w:t>
      </w:r>
      <w:r>
        <w:rPr>
          <w:rFonts w:ascii="Book Antiqua" w:hAnsi="Book Antiqua"/>
          <w:b/>
          <w:bCs/>
        </w:rPr>
        <w:t>18</w:t>
      </w:r>
      <w:r>
        <w:rPr>
          <w:rFonts w:ascii="Book Antiqua" w:hAnsi="Book Antiqua"/>
        </w:rPr>
        <w:t>: 1770-1776 [PMID: 25091844 DOI: 10.1007/s11605-014-2606-1]</w:t>
      </w:r>
    </w:p>
    <w:p>
      <w:pPr>
        <w:spacing w:line="360" w:lineRule="auto"/>
        <w:jc w:val="both"/>
        <w:rPr>
          <w:rFonts w:ascii="Book Antiqua" w:hAnsi="Book Antiqua"/>
        </w:rPr>
      </w:pPr>
      <w:r>
        <w:rPr>
          <w:rFonts w:ascii="Book Antiqua" w:hAnsi="Book Antiqua"/>
        </w:rPr>
        <w:t xml:space="preserve">73 </w:t>
      </w:r>
      <w:r>
        <w:rPr>
          <w:rFonts w:ascii="Book Antiqua" w:hAnsi="Book Antiqua"/>
          <w:b/>
          <w:bCs/>
        </w:rPr>
        <w:t>Boxhoorn L</w:t>
      </w:r>
      <w:r>
        <w:rPr>
          <w:rFonts w:ascii="Book Antiqua" w:hAnsi="Book Antiqua"/>
        </w:rPr>
        <w:t xml:space="preserve">, van Dijk SM, van Grinsven J, Verdonk RC, Boermeester MA, Bollen TL, Bouwense SAW, Bruno MJ, Cappendijk VC, Dejong CHC, van Duijvendijk P, van Eijck CHJ, Fockens P, Francken MFG, van Goor H, Hadithi M, Hallensleben NDL, Haveman JW, Jacobs MAJM, Jansen JM, Kop MPM, van Lienden KP, Manusama ER, Mieog JSD, Molenaar IQ, Nieuwenhuijs VB, Poen AC, Poley JW, van de Poll M, Quispel R, Römkens TEH, Schwartz MP, Seerden TC, Stommel MWJ, Straathof JWA, Timmerhuis HC, Venneman NG, Voermans RP, van de Vrie W, Witteman BJ, Dijkgraaf MGW, van Santvoort HC, Besselink MG; Dutch Pancreatitis Study Group. Immediate versus Postponed Intervention for Infected Necrotizing Pancreatitis. </w:t>
      </w:r>
      <w:r>
        <w:rPr>
          <w:rFonts w:ascii="Book Antiqua" w:hAnsi="Book Antiqua"/>
          <w:i/>
          <w:iCs/>
        </w:rPr>
        <w:t>N Engl J Med</w:t>
      </w:r>
      <w:r>
        <w:rPr>
          <w:rFonts w:ascii="Book Antiqua" w:hAnsi="Book Antiqua"/>
        </w:rPr>
        <w:t xml:space="preserve"> 2021; </w:t>
      </w:r>
      <w:r>
        <w:rPr>
          <w:rFonts w:ascii="Book Antiqua" w:hAnsi="Book Antiqua"/>
          <w:b/>
          <w:bCs/>
        </w:rPr>
        <w:t>385</w:t>
      </w:r>
      <w:r>
        <w:rPr>
          <w:rFonts w:ascii="Book Antiqua" w:hAnsi="Book Antiqua"/>
        </w:rPr>
        <w:t>: 1372-1381 [PMID: 34614330 DOI: 10.1056/NEJMoa2100826]</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Authors declare no conflicts of interests for this article.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Japan Gastroenterological Endoscopy Society, No. 20190318; Japanese Society of Gastroenterology,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39625; American Gastroenterological Association,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1156949; Japan Society of Human Genetics,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1517082360; Japanese Society of Internal Medicine,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99021; Japanese Association for Medical Artificial Intelligence,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388; Japanese Board of Cancer Therapy,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1810053; Japan Society of Medical Oncology,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20-0076; Japanese Society for Helicobacter Research; Japan Society of Hepatology,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8987; Royal Society of Medicine,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00723754.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20,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24,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Japan</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Jiang M, China; Shalli K, United Kingdom</w:t>
      </w:r>
      <w:r>
        <w:rPr>
          <w:rFonts w:ascii="Book Antiqua" w:hAnsi="Book Antiqua" w:eastAsia="Book Antiqua" w:cs="Book Antiqua"/>
          <w:b/>
          <w:color w:val="000000"/>
        </w:rPr>
        <w:t xml:space="preserve"> S-Editor: </w:t>
      </w:r>
      <w:bookmarkStart w:id="68" w:name="OLE_LINK4183"/>
      <w:bookmarkStart w:id="69" w:name="OLE_LINK4184"/>
      <w:r>
        <w:rPr>
          <w:rFonts w:ascii="Book Antiqua" w:hAnsi="Book Antiqua" w:eastAsia="Book Antiqua" w:cs="Book Antiqua"/>
          <w:bCs/>
          <w:color w:val="000000"/>
        </w:rPr>
        <w:t>Yan JP</w:t>
      </w:r>
      <w:bookmarkEnd w:id="68"/>
      <w:bookmarkEnd w:id="69"/>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Yan JP</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02935" cy="2679065"/>
            <wp:effectExtent l="0" t="0" r="12065" b="3175"/>
            <wp:docPr id="1" name="图片 1" descr="WJG-28-338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28-3383-g001"/>
                    <pic:cNvPicPr>
                      <a:picLocks noChangeAspect="1"/>
                    </pic:cNvPicPr>
                  </pic:nvPicPr>
                  <pic:blipFill>
                    <a:blip r:embed="rId6"/>
                    <a:stretch>
                      <a:fillRect/>
                    </a:stretch>
                  </pic:blipFill>
                  <pic:spPr>
                    <a:xfrm>
                      <a:off x="0" y="0"/>
                      <a:ext cx="5702935" cy="26790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Mortality rates of </w:t>
      </w:r>
      <w:bookmarkStart w:id="70" w:name="OLE_LINK4586"/>
      <w:bookmarkStart w:id="71" w:name="OLE_LINK4585"/>
      <w:r>
        <w:rPr>
          <w:rFonts w:ascii="Book Antiqua" w:hAnsi="Book Antiqua" w:eastAsia="Book Antiqua" w:cs="Book Antiqua"/>
          <w:b/>
          <w:bCs/>
          <w:color w:val="000000"/>
        </w:rPr>
        <w:t>acute pancreatitis</w:t>
      </w:r>
      <w:bookmarkEnd w:id="70"/>
      <w:bookmarkEnd w:id="71"/>
      <w:r>
        <w:rPr>
          <w:rFonts w:ascii="Book Antiqua" w:hAnsi="Book Antiqua" w:eastAsia="Book Antiqua" w:cs="Book Antiqua"/>
          <w:b/>
          <w:bCs/>
          <w:color w:val="000000"/>
        </w:rPr>
        <w:t xml:space="preserve"> and pathomechanisms. </w:t>
      </w:r>
      <w:r>
        <w:rPr>
          <w:rFonts w:ascii="Book Antiqua" w:hAnsi="Book Antiqua" w:eastAsia="Book Antiqua" w:cs="Book Antiqua"/>
          <w:color w:val="000000"/>
        </w:rPr>
        <w:t>The mortality rate of all patients with acute pancreatitis (AP) is less than 10%. One-fifth of the patients developed necrotizing AP by ATP depletion, MLKL phosphorylation, acinar cell necroptosis, and/or acinar cell necrosis. One-third of the patients with necrotizing AP developed bacterial or fungal infection. The mortality rate of the infected necrotizing pancreatitis is up to 39%.</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925570" cy="4178935"/>
            <wp:effectExtent l="0" t="0" r="6350" b="12065"/>
            <wp:docPr id="2" name="图片 2" descr="WJG-28-338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28-3383-g002"/>
                    <pic:cNvPicPr>
                      <a:picLocks noChangeAspect="1"/>
                    </pic:cNvPicPr>
                  </pic:nvPicPr>
                  <pic:blipFill>
                    <a:blip r:embed="rId7"/>
                    <a:stretch>
                      <a:fillRect/>
                    </a:stretch>
                  </pic:blipFill>
                  <pic:spPr>
                    <a:xfrm>
                      <a:off x="0" y="0"/>
                      <a:ext cx="3925570" cy="4178935"/>
                    </a:xfrm>
                    <a:prstGeom prst="rect">
                      <a:avLst/>
                    </a:prstGeom>
                  </pic:spPr>
                </pic:pic>
              </a:graphicData>
            </a:graphic>
          </wp:inline>
        </w:drawing>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Endoscopic transluminal drainage with plastic stenting.</w:t>
      </w:r>
      <w:r>
        <w:rPr>
          <w:rFonts w:ascii="Book Antiqua" w:hAnsi="Book Antiqua"/>
        </w:rPr>
        <w:t xml:space="preserve"> </w:t>
      </w:r>
      <w:r>
        <w:rPr>
          <w:rFonts w:ascii="Book Antiqua" w:hAnsi="Book Antiqua" w:eastAsia="Book Antiqua" w:cs="Book Antiqua"/>
          <w:color w:val="000000"/>
        </w:rPr>
        <w:t xml:space="preserve">A: A typical </w:t>
      </w:r>
      <w:bookmarkStart w:id="72" w:name="OLE_LINK4587"/>
      <w:bookmarkStart w:id="73" w:name="OLE_LINK4591"/>
      <w:r>
        <w:rPr>
          <w:rFonts w:ascii="Book Antiqua" w:hAnsi="Book Antiqua"/>
        </w:rPr>
        <w:t>computed tomography</w:t>
      </w:r>
      <w:bookmarkEnd w:id="72"/>
      <w:bookmarkEnd w:id="73"/>
      <w:r>
        <w:rPr>
          <w:rFonts w:ascii="Book Antiqua" w:hAnsi="Book Antiqua" w:eastAsia="Book Antiqua" w:cs="Book Antiqua"/>
          <w:color w:val="000000"/>
        </w:rPr>
        <w:t xml:space="preserve"> (CT) scan with </w:t>
      </w:r>
      <w:bookmarkStart w:id="74" w:name="OLE_LINK4604"/>
      <w:bookmarkStart w:id="75" w:name="OLE_LINK4605"/>
      <w:r>
        <w:rPr>
          <w:rFonts w:ascii="Book Antiqua" w:hAnsi="Book Antiqua" w:eastAsia="Book Antiqua" w:cs="Book Antiqua"/>
          <w:color w:val="000000"/>
        </w:rPr>
        <w:t>walled-off necrosis</w:t>
      </w:r>
      <w:bookmarkEnd w:id="74"/>
      <w:bookmarkEnd w:id="75"/>
      <w:r>
        <w:rPr>
          <w:rFonts w:ascii="Book Antiqua" w:hAnsi="Book Antiqua" w:eastAsia="Book Antiqua" w:cs="Book Antiqua"/>
          <w:color w:val="000000"/>
        </w:rPr>
        <w:t xml:space="preserve"> (WON) formed by necrotizing pancreatitis (white arrow shows stomach and yellow dotted line is the demarcation line of the WON); B: </w:t>
      </w:r>
      <w:r>
        <w:rPr>
          <w:rFonts w:ascii="Book Antiqua" w:hAnsi="Book Antiqua" w:eastAsia="宋体"/>
          <w:color w:val="000000"/>
        </w:rPr>
        <w:t>Endoscopic ultrasonography</w:t>
      </w:r>
      <w:r>
        <w:rPr>
          <w:rFonts w:ascii="Book Antiqua" w:hAnsi="Book Antiqua" w:eastAsia="Book Antiqua" w:cs="Book Antiqua"/>
          <w:color w:val="000000"/>
        </w:rPr>
        <w:t xml:space="preserve"> (EUS)-guided drainage for WON was performed (orange arrow shows the needle of 22-gauge EUS needle); C: Two plastic stents and nasobiliary drainage tube was placed into the WON; D: The size of the WON was reduced in the CT scan one month after the procedure. WON: Walled-off necrosis.</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574665" cy="5281930"/>
            <wp:effectExtent l="0" t="0" r="3175" b="6350"/>
            <wp:docPr id="3" name="图片 3" descr="WJG-28-338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28-3383-g003"/>
                    <pic:cNvPicPr>
                      <a:picLocks noChangeAspect="1"/>
                    </pic:cNvPicPr>
                  </pic:nvPicPr>
                  <pic:blipFill>
                    <a:blip r:embed="rId8"/>
                    <a:stretch>
                      <a:fillRect/>
                    </a:stretch>
                  </pic:blipFill>
                  <pic:spPr>
                    <a:xfrm>
                      <a:off x="0" y="0"/>
                      <a:ext cx="5574665" cy="52819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A case with endoscopic transluminal drainage with lumen-apposing metal stent. </w:t>
      </w:r>
      <w:r>
        <w:rPr>
          <w:rFonts w:ascii="Book Antiqua" w:hAnsi="Book Antiqua" w:eastAsia="Book Antiqua" w:cs="Book Antiqua"/>
          <w:color w:val="000000"/>
        </w:rPr>
        <w:t xml:space="preserve">A: </w:t>
      </w:r>
      <w:r>
        <w:rPr>
          <w:rFonts w:ascii="Book Antiqua" w:hAnsi="Book Antiqua"/>
        </w:rPr>
        <w:t>Computed tomography</w:t>
      </w:r>
      <w:r>
        <w:rPr>
          <w:rFonts w:ascii="Book Antiqua" w:hAnsi="Book Antiqua" w:eastAsia="Book Antiqua" w:cs="Book Antiqua"/>
          <w:color w:val="000000"/>
        </w:rPr>
        <w:t xml:space="preserve"> (CT) scan before performing the </w:t>
      </w:r>
      <w:r>
        <w:rPr>
          <w:rFonts w:ascii="Book Antiqua" w:hAnsi="Book Antiqua" w:eastAsia="宋体"/>
          <w:color w:val="000000"/>
        </w:rPr>
        <w:t>endoscopic ultrasonography</w:t>
      </w:r>
      <w:r>
        <w:rPr>
          <w:rFonts w:ascii="Book Antiqua" w:hAnsi="Book Antiqua" w:eastAsia="Book Antiqua" w:cs="Book Antiqua"/>
          <w:color w:val="000000"/>
        </w:rPr>
        <w:t xml:space="preserve"> (EUS)-guided drainage (White arrow shows the stomach and the yellow arrow shows the walled-off necrosis (WON); the yellow dotted line is the demarcation line of the WON); B: EUS (with color doppler) picture shows marked echoic lesion without vessels; C: </w:t>
      </w:r>
      <w:bookmarkStart w:id="76" w:name="OLE_LINK4606"/>
      <w:bookmarkStart w:id="77" w:name="OLE_LINK4607"/>
      <w:r>
        <w:rPr>
          <w:rFonts w:ascii="Book Antiqua" w:hAnsi="Book Antiqua" w:eastAsia="Book Antiqua" w:cs="Book Antiqua"/>
          <w:color w:val="000000"/>
        </w:rPr>
        <w:t>Lumen-apposing metal stent</w:t>
      </w:r>
      <w:bookmarkEnd w:id="76"/>
      <w:bookmarkEnd w:id="77"/>
      <w:r>
        <w:rPr>
          <w:rFonts w:ascii="Book Antiqua" w:hAnsi="Book Antiqua" w:eastAsia="Book Antiqua" w:cs="Book Antiqua"/>
          <w:color w:val="000000"/>
        </w:rPr>
        <w:t xml:space="preserve"> (LAMS) and nasobiliary drainage tube were placed (white arrow shows LAMS: Hot AXIOS</w:t>
      </w:r>
      <w:r>
        <w:rPr>
          <w:rFonts w:ascii="Book Antiqua" w:hAnsi="Book Antiqua" w:eastAsia="Book Antiqua" w:cs="Book Antiqua"/>
          <w:color w:val="000000"/>
          <w:vertAlign w:val="superscript"/>
        </w:rPr>
        <w:t>TM</w:t>
      </w:r>
      <w:r>
        <w:rPr>
          <w:rFonts w:ascii="Book Antiqua" w:hAnsi="Book Antiqua" w:eastAsia="Book Antiqua" w:cs="Book Antiqua"/>
          <w:color w:val="000000"/>
        </w:rPr>
        <w:t xml:space="preserve"> 15 mm × 10 mm, Boston Scientific, Marlborough, MA, United S</w:t>
      </w:r>
      <w:r>
        <w:rPr>
          <w:rFonts w:ascii="Book Antiqua" w:hAnsi="Book Antiqua" w:eastAsia="Book Antiqua" w:cs="Book Antiqua"/>
          <w:color w:val="000000"/>
          <w:lang w:eastAsia="zh-CN"/>
        </w:rPr>
        <w:t>tates; Boston Scientific Japan, Tokyo, Japan</w:t>
      </w:r>
      <w:r>
        <w:rPr>
          <w:rFonts w:ascii="Book Antiqua" w:hAnsi="Book Antiqua" w:eastAsia="Book Antiqua" w:cs="Book Antiqua"/>
          <w:color w:val="000000"/>
        </w:rPr>
        <w:t>); D: Esophagogastroduodenoscopy was inserted into necrotic cavity through LAMS; E: Necrosectomy was performed using endoscopic retrieval net; F: Endoscopic findings of the WON one month after the multiple necrosectomy sessions (2-3 times/wk); G: CT scan shows marked reduction of WON cavity one month after multiple necrosectomy sessions. WON: Walled-off necrosis; LAMS: Lumen-apposing metal stent.</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830570" cy="5550535"/>
            <wp:effectExtent l="0" t="0" r="6350" b="12065"/>
            <wp:docPr id="4" name="图片 4" descr="WJG-28-338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28-3383-g004"/>
                    <pic:cNvPicPr>
                      <a:picLocks noChangeAspect="1"/>
                    </pic:cNvPicPr>
                  </pic:nvPicPr>
                  <pic:blipFill>
                    <a:blip r:embed="rId9"/>
                    <a:stretch>
                      <a:fillRect/>
                    </a:stretch>
                  </pic:blipFill>
                  <pic:spPr>
                    <a:xfrm>
                      <a:off x="0" y="0"/>
                      <a:ext cx="5830570" cy="5550535"/>
                    </a:xfrm>
                    <a:prstGeom prst="rect">
                      <a:avLst/>
                    </a:prstGeom>
                  </pic:spPr>
                </pic:pic>
              </a:graphicData>
            </a:graphic>
          </wp:inline>
        </w:drawing>
      </w:r>
      <w:bookmarkStart w:id="94" w:name="_GoBack"/>
      <w:bookmarkEnd w:id="94"/>
    </w:p>
    <w:p>
      <w:pPr>
        <w:spacing w:line="360" w:lineRule="auto"/>
        <w:jc w:val="both"/>
        <w:rPr>
          <w:rFonts w:ascii="Book Antiqua" w:hAnsi="Book Antiqua" w:eastAsia="Book Antiqua" w:cs="Book Antiqua"/>
          <w:color w:val="000000"/>
        </w:rPr>
      </w:pPr>
      <w:bookmarkStart w:id="78" w:name="OLE_LINK4594"/>
      <w:bookmarkStart w:id="79" w:name="OLE_LINK4595"/>
      <w:r>
        <w:rPr>
          <w:rFonts w:ascii="Book Antiqua" w:hAnsi="Book Antiqua" w:eastAsia="Book Antiqua" w:cs="Book Antiqua"/>
          <w:b/>
          <w:bCs/>
          <w:color w:val="000000"/>
        </w:rPr>
        <w:t xml:space="preserve">Figure 4 Overview of the step-up approaches of </w:t>
      </w:r>
      <w:bookmarkStart w:id="80" w:name="OLE_LINK4622"/>
      <w:bookmarkStart w:id="81" w:name="OLE_LINK4623"/>
      <w:r>
        <w:rPr>
          <w:rFonts w:ascii="Book Antiqua" w:hAnsi="Book Antiqua" w:eastAsia="Book Antiqua" w:cs="Book Antiqua"/>
          <w:b/>
          <w:bCs/>
          <w:color w:val="000000"/>
        </w:rPr>
        <w:t>infected necrotizing pancreatitis</w:t>
      </w:r>
      <w:bookmarkEnd w:id="80"/>
      <w:bookmarkEnd w:id="81"/>
      <w:r>
        <w:rPr>
          <w:rFonts w:ascii="Book Antiqua" w:hAnsi="Book Antiqua" w:eastAsia="Book Antiqua" w:cs="Book Antiqua"/>
          <w:b/>
          <w:bCs/>
          <w:color w:val="000000"/>
        </w:rPr>
        <w:t xml:space="preserve"> patients. </w:t>
      </w:r>
      <w:bookmarkEnd w:id="78"/>
      <w:bookmarkEnd w:id="79"/>
      <w:r>
        <w:rPr>
          <w:rFonts w:ascii="Book Antiqua" w:hAnsi="Book Antiqua" w:eastAsia="Book Antiqua" w:cs="Book Antiqua"/>
          <w:color w:val="000000"/>
        </w:rPr>
        <w:t xml:space="preserve">In the acute phase, multidisciplinary treatment for acute pancreatitis is recommended. Endoscopic necrosectomy or surgical step-up should be considered if there no clinical improvement is observed within 72 h. Open necrosectomy should be considered after </w:t>
      </w:r>
      <w:bookmarkStart w:id="82" w:name="OLE_LINK4616"/>
      <w:bookmarkStart w:id="83" w:name="OLE_LINK4615"/>
      <w:r>
        <w:rPr>
          <w:rFonts w:ascii="Book Antiqua" w:hAnsi="Book Antiqua" w:eastAsia="Book Antiqua" w:cs="Book Antiqua"/>
          <w:color w:val="000000"/>
        </w:rPr>
        <w:t>video-assisted retroperitoneal debridement</w:t>
      </w:r>
      <w:bookmarkEnd w:id="82"/>
      <w:bookmarkEnd w:id="83"/>
      <w:r>
        <w:rPr>
          <w:rFonts w:ascii="Book Antiqua" w:hAnsi="Book Antiqua" w:eastAsia="Book Antiqua" w:cs="Book Antiqua"/>
          <w:color w:val="000000"/>
        </w:rPr>
        <w:t xml:space="preserve"> or </w:t>
      </w:r>
      <w:bookmarkStart w:id="84" w:name="OLE_LINK4617"/>
      <w:bookmarkStart w:id="85" w:name="OLE_LINK4618"/>
      <w:r>
        <w:rPr>
          <w:rFonts w:ascii="Book Antiqua" w:hAnsi="Book Antiqua" w:eastAsia="Book Antiqua" w:cs="Book Antiqua"/>
          <w:color w:val="000000"/>
        </w:rPr>
        <w:t>minimal access retroperitoneal pancreatic necrosectomy</w:t>
      </w:r>
      <w:bookmarkEnd w:id="84"/>
      <w:bookmarkEnd w:id="85"/>
      <w:r>
        <w:rPr>
          <w:rFonts w:ascii="Book Antiqua" w:hAnsi="Book Antiqua" w:eastAsia="Book Antiqua" w:cs="Book Antiqua"/>
          <w:color w:val="000000"/>
        </w:rPr>
        <w:t>.</w:t>
      </w:r>
      <w:r>
        <w:rPr>
          <w:rFonts w:ascii="Book Antiqua" w:hAnsi="Book Antiqua" w:eastAsia="Book Antiqua" w:cs="Book Antiqua"/>
          <w:color w:val="000000"/>
          <w:lang w:eastAsia="zh-CN"/>
        </w:rPr>
        <w:t xml:space="preserve"> ETN: </w:t>
      </w:r>
      <w:r>
        <w:rPr>
          <w:rFonts w:ascii="Book Antiqua" w:hAnsi="Book Antiqua" w:eastAsia="Book Antiqua" w:cs="Book Antiqua"/>
          <w:color w:val="000000"/>
        </w:rPr>
        <w:t xml:space="preserve">Endoscopic transluminal necrosectomy; </w:t>
      </w:r>
      <w:r>
        <w:rPr>
          <w:rFonts w:ascii="Book Antiqua" w:hAnsi="Book Antiqua" w:eastAsia="Book Antiqua" w:cs="Book Antiqua"/>
          <w:color w:val="000000"/>
          <w:lang w:eastAsia="zh-CN"/>
        </w:rPr>
        <w:t xml:space="preserve">STE: </w:t>
      </w:r>
      <w:r>
        <w:rPr>
          <w:rFonts w:ascii="Book Antiqua" w:hAnsi="Book Antiqua" w:eastAsia="Book Antiqua" w:cs="Book Antiqua"/>
          <w:color w:val="000000"/>
        </w:rPr>
        <w:t>Sinus tract endoscopy</w:t>
      </w:r>
      <w:r>
        <w:rPr>
          <w:rFonts w:ascii="Book Antiqua" w:hAnsi="Book Antiqua" w:eastAsia="Book Antiqua" w:cs="Book Antiqua"/>
          <w:color w:val="000000"/>
          <w:lang w:eastAsia="zh-CN"/>
        </w:rPr>
        <w:t xml:space="preserve">; </w:t>
      </w:r>
      <w:bookmarkStart w:id="86" w:name="OLE_LINK4626"/>
      <w:bookmarkStart w:id="87" w:name="OLE_LINK4627"/>
      <w:r>
        <w:rPr>
          <w:rFonts w:ascii="Book Antiqua" w:hAnsi="Book Antiqua" w:eastAsia="Book Antiqua" w:cs="Book Antiqua"/>
          <w:color w:val="000000"/>
          <w:lang w:eastAsia="zh-CN"/>
        </w:rPr>
        <w:t xml:space="preserve">ETD: </w:t>
      </w:r>
      <w:r>
        <w:rPr>
          <w:rFonts w:ascii="Book Antiqua" w:hAnsi="Book Antiqua" w:eastAsia="Book Antiqua" w:cs="Book Antiqua"/>
          <w:color w:val="000000"/>
        </w:rPr>
        <w:t>Endoscopic transluminal drainage</w:t>
      </w:r>
      <w:r>
        <w:rPr>
          <w:rFonts w:ascii="Book Antiqua" w:hAnsi="Book Antiqua" w:eastAsia="Book Antiqua" w:cs="Book Antiqua"/>
          <w:color w:val="000000"/>
          <w:lang w:eastAsia="zh-CN"/>
        </w:rPr>
        <w:t>;</w:t>
      </w:r>
      <w:bookmarkEnd w:id="86"/>
      <w:bookmarkEnd w:id="87"/>
      <w:r>
        <w:rPr>
          <w:rFonts w:ascii="Book Antiqua" w:hAnsi="Book Antiqua" w:eastAsia="Book Antiqua" w:cs="Book Antiqua"/>
          <w:color w:val="000000"/>
          <w:lang w:eastAsia="zh-CN"/>
        </w:rPr>
        <w:t xml:space="preserve"> PCD: </w:t>
      </w:r>
      <w:r>
        <w:rPr>
          <w:rFonts w:ascii="Book Antiqua" w:hAnsi="Book Antiqua" w:eastAsia="Book Antiqua" w:cs="Book Antiqua"/>
          <w:color w:val="000000"/>
        </w:rPr>
        <w:t>Percutaneous</w:t>
      </w:r>
      <w:r>
        <w:rPr>
          <w:rFonts w:ascii="Book Antiqua" w:hAnsi="Book Antiqua" w:eastAsia="Book Antiqua" w:cs="Book Antiqua"/>
          <w:caps/>
          <w:color w:val="000000"/>
        </w:rPr>
        <w:t xml:space="preserve"> </w:t>
      </w:r>
      <w:r>
        <w:rPr>
          <w:rFonts w:ascii="Book Antiqua" w:hAnsi="Book Antiqua" w:eastAsia="Book Antiqua" w:cs="Book Antiqua"/>
          <w:color w:val="000000"/>
        </w:rPr>
        <w:t>catheter</w:t>
      </w:r>
      <w:r>
        <w:rPr>
          <w:rFonts w:ascii="Book Antiqua" w:hAnsi="Book Antiqua" w:eastAsia="Book Antiqua" w:cs="Book Antiqua"/>
          <w:caps/>
          <w:color w:val="000000"/>
        </w:rPr>
        <w:t xml:space="preserve"> </w:t>
      </w:r>
      <w:r>
        <w:rPr>
          <w:rFonts w:ascii="Book Antiqua" w:hAnsi="Book Antiqua" w:eastAsia="Book Antiqua" w:cs="Book Antiqua"/>
          <w:color w:val="000000"/>
        </w:rPr>
        <w:t>drainage</w:t>
      </w:r>
      <w:r>
        <w:rPr>
          <w:rFonts w:ascii="Book Antiqua" w:hAnsi="Book Antiqua" w:eastAsia="Book Antiqua" w:cs="Book Antiqua"/>
          <w:color w:val="000000"/>
          <w:lang w:eastAsia="zh-CN"/>
        </w:rPr>
        <w:t xml:space="preserve">; VARD: </w:t>
      </w:r>
      <w:r>
        <w:rPr>
          <w:rFonts w:ascii="Book Antiqua" w:hAnsi="Book Antiqua" w:eastAsia="Book Antiqua" w:cs="Book Antiqua"/>
          <w:color w:val="000000"/>
        </w:rPr>
        <w:t>Video-assisted retroperitoneal debridement</w:t>
      </w:r>
      <w:r>
        <w:rPr>
          <w:rFonts w:ascii="Book Antiqua" w:hAnsi="Book Antiqua" w:eastAsia="Book Antiqua" w:cs="Book Antiqua"/>
          <w:color w:val="000000"/>
          <w:lang w:eastAsia="zh-CN"/>
        </w:rPr>
        <w:t xml:space="preserve">; MARPN: </w:t>
      </w:r>
      <w:r>
        <w:rPr>
          <w:rFonts w:ascii="Book Antiqua" w:hAnsi="Book Antiqua" w:eastAsia="Book Antiqua" w:cs="Book Antiqua"/>
          <w:color w:val="000000"/>
        </w:rPr>
        <w:t>Minimal access retroperitoneal pancreatic necrosectomy.</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p>
    <w:p>
      <w:pPr>
        <w:spacing w:line="360" w:lineRule="auto"/>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
          <w:bCs/>
          <w:lang w:eastAsia="zh-CN"/>
        </w:rPr>
      </w:pPr>
      <w:bookmarkStart w:id="88" w:name="OLE_LINK4624"/>
      <w:bookmarkStart w:id="89" w:name="OLE_LINK4625"/>
      <w:r>
        <w:rPr>
          <w:rFonts w:ascii="Book Antiqua" w:hAnsi="Book Antiqua"/>
          <w:b/>
          <w:bCs/>
          <w:lang w:eastAsia="zh-CN"/>
        </w:rPr>
        <w:t xml:space="preserve">Table 1 </w:t>
      </w:r>
      <w:bookmarkStart w:id="90" w:name="OLE_LINK4620"/>
      <w:bookmarkStart w:id="91" w:name="OLE_LINK4621"/>
      <w:r>
        <w:rPr>
          <w:rFonts w:ascii="Book Antiqua" w:hAnsi="Book Antiqua" w:eastAsia="Book Antiqua" w:cs="Book Antiqua"/>
          <w:b/>
          <w:bCs/>
          <w:color w:val="000000" w:themeColor="text1"/>
          <w14:textFill>
            <w14:solidFill>
              <w14:schemeClr w14:val="tx1"/>
            </w14:solidFill>
          </w14:textFill>
        </w:rPr>
        <w:t xml:space="preserve">Overview of possible interventions in </w:t>
      </w:r>
      <w:bookmarkEnd w:id="90"/>
      <w:bookmarkEnd w:id="91"/>
      <w:bookmarkStart w:id="92" w:name="OLE_LINK4629"/>
      <w:bookmarkStart w:id="93" w:name="OLE_LINK4628"/>
      <w:r>
        <w:rPr>
          <w:rFonts w:ascii="Book Antiqua" w:hAnsi="Book Antiqua" w:eastAsia="Book Antiqua" w:cs="Book Antiqua"/>
          <w:b/>
          <w:bCs/>
          <w:color w:val="000000"/>
        </w:rPr>
        <w:t>infected necrotizing pancreatitis</w:t>
      </w:r>
      <w:bookmarkEnd w:id="92"/>
      <w:bookmarkEnd w:id="93"/>
    </w:p>
    <w:bookmarkEnd w:id="88"/>
    <w:bookmarkEnd w:id="89"/>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36"/>
        <w:gridCol w:w="1846"/>
        <w:gridCol w:w="3289"/>
        <w:gridCol w:w="2842"/>
        <w:gridCol w:w="2347"/>
        <w:gridCol w:w="1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bottom w:val="single" w:color="auto" w:sz="4" w:space="0"/>
            </w:tcBorders>
            <w:noWrap/>
          </w:tcPr>
          <w:p>
            <w:pPr>
              <w:spacing w:line="360" w:lineRule="auto"/>
              <w:rPr>
                <w:rFonts w:ascii="Book Antiqua" w:hAnsi="Book Antiqua"/>
                <w:b/>
                <w:bCs/>
                <w:lang w:eastAsia="zh-CN"/>
              </w:rPr>
            </w:pPr>
          </w:p>
        </w:tc>
        <w:tc>
          <w:tcPr>
            <w:tcW w:w="0" w:type="auto"/>
            <w:tcBorders>
              <w:top w:val="single" w:color="auto" w:sz="4" w:space="0"/>
              <w:bottom w:val="single" w:color="auto" w:sz="4" w:space="0"/>
            </w:tcBorders>
            <w:noWrap/>
          </w:tcPr>
          <w:p>
            <w:pPr>
              <w:spacing w:line="360" w:lineRule="auto"/>
              <w:rPr>
                <w:rFonts w:ascii="Book Antiqua" w:hAnsi="Book Antiqua"/>
                <w:b/>
                <w:bCs/>
                <w:lang w:eastAsia="zh-CN"/>
              </w:rPr>
            </w:pPr>
          </w:p>
        </w:tc>
        <w:tc>
          <w:tcPr>
            <w:tcW w:w="0" w:type="auto"/>
            <w:tcBorders>
              <w:top w:val="single" w:color="auto" w:sz="4" w:space="0"/>
              <w:bottom w:val="single" w:color="auto" w:sz="4" w:space="0"/>
            </w:tcBorders>
            <w:noWrap/>
          </w:tcPr>
          <w:p>
            <w:pPr>
              <w:spacing w:line="360" w:lineRule="auto"/>
              <w:rPr>
                <w:rFonts w:ascii="Book Antiqua" w:hAnsi="Book Antiqua"/>
                <w:b/>
                <w:bCs/>
                <w:lang w:eastAsia="zh-CN"/>
              </w:rPr>
            </w:pPr>
            <w:r>
              <w:rPr>
                <w:rFonts w:ascii="Book Antiqua" w:hAnsi="Book Antiqua"/>
                <w:b/>
                <w:bCs/>
                <w:lang w:eastAsia="zh-CN"/>
              </w:rPr>
              <w:t>Indications</w:t>
            </w:r>
          </w:p>
        </w:tc>
        <w:tc>
          <w:tcPr>
            <w:tcW w:w="0" w:type="auto"/>
            <w:tcBorders>
              <w:top w:val="single" w:color="auto" w:sz="4" w:space="0"/>
              <w:bottom w:val="single" w:color="auto" w:sz="4" w:space="0"/>
            </w:tcBorders>
            <w:noWrap/>
          </w:tcPr>
          <w:p>
            <w:pPr>
              <w:spacing w:line="360" w:lineRule="auto"/>
              <w:rPr>
                <w:rFonts w:ascii="Book Antiqua" w:hAnsi="Book Antiqua"/>
                <w:b/>
                <w:bCs/>
                <w:lang w:eastAsia="zh-CN"/>
              </w:rPr>
            </w:pPr>
            <w:r>
              <w:rPr>
                <w:rFonts w:ascii="Book Antiqua" w:hAnsi="Book Antiqua"/>
                <w:b/>
                <w:bCs/>
                <w:lang w:eastAsia="zh-CN"/>
              </w:rPr>
              <w:t>Contraindications</w:t>
            </w:r>
          </w:p>
        </w:tc>
        <w:tc>
          <w:tcPr>
            <w:tcW w:w="0" w:type="auto"/>
            <w:tcBorders>
              <w:top w:val="single" w:color="auto" w:sz="4" w:space="0"/>
              <w:bottom w:val="single" w:color="auto" w:sz="4" w:space="0"/>
            </w:tcBorders>
          </w:tcPr>
          <w:p>
            <w:pPr>
              <w:spacing w:line="360" w:lineRule="auto"/>
              <w:rPr>
                <w:rFonts w:ascii="Book Antiqua" w:hAnsi="Book Antiqua"/>
                <w:b/>
                <w:bCs/>
                <w:lang w:eastAsia="zh-CN"/>
              </w:rPr>
            </w:pPr>
            <w:r>
              <w:rPr>
                <w:rFonts w:ascii="Book Antiqua" w:hAnsi="Book Antiqua"/>
                <w:b/>
                <w:bCs/>
                <w:lang w:eastAsia="zh-CN"/>
              </w:rPr>
              <w:t>Most common complications</w:t>
            </w:r>
          </w:p>
        </w:tc>
        <w:tc>
          <w:tcPr>
            <w:tcW w:w="0" w:type="auto"/>
            <w:tcBorders>
              <w:top w:val="single" w:color="auto" w:sz="4" w:space="0"/>
              <w:bottom w:val="single" w:color="auto" w:sz="4" w:space="0"/>
            </w:tcBorders>
            <w:noWrap/>
          </w:tcPr>
          <w:p>
            <w:pPr>
              <w:spacing w:line="360" w:lineRule="auto"/>
              <w:rPr>
                <w:rFonts w:ascii="Book Antiqua" w:hAnsi="Book Antiqua"/>
                <w:b/>
                <w:bCs/>
                <w:lang w:eastAsia="zh-CN"/>
              </w:rPr>
            </w:pPr>
            <w:r>
              <w:rPr>
                <w:rFonts w:ascii="Book Antiqua" w:hAnsi="Book Antiqua"/>
                <w:b/>
                <w:bCs/>
                <w:lang w:eastAsia="zh-CN"/>
              </w:rPr>
              <w:t>Ref.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restart"/>
            <w:tcBorders>
              <w:top w:val="single" w:color="auto" w:sz="4" w:space="0"/>
            </w:tcBorders>
            <w:noWrap/>
          </w:tcPr>
          <w:p>
            <w:pPr>
              <w:spacing w:line="360" w:lineRule="auto"/>
              <w:rPr>
                <w:rFonts w:ascii="Book Antiqua" w:hAnsi="Book Antiqua"/>
                <w:lang w:eastAsia="zh-CN"/>
              </w:rPr>
            </w:pPr>
            <w:r>
              <w:rPr>
                <w:rFonts w:ascii="Book Antiqua" w:hAnsi="Book Antiqua"/>
                <w:lang w:eastAsia="zh-CN"/>
              </w:rPr>
              <w:t>Interventions</w:t>
            </w:r>
          </w:p>
        </w:tc>
        <w:tc>
          <w:tcPr>
            <w:tcW w:w="0" w:type="auto"/>
            <w:tcBorders>
              <w:top w:val="single" w:color="auto" w:sz="4" w:space="0"/>
            </w:tcBorders>
          </w:tcPr>
          <w:p>
            <w:pPr>
              <w:spacing w:line="360" w:lineRule="auto"/>
              <w:rPr>
                <w:rFonts w:ascii="Book Antiqua" w:hAnsi="Book Antiqua"/>
                <w:lang w:eastAsia="zh-CN"/>
              </w:rPr>
            </w:pPr>
            <w:r>
              <w:rPr>
                <w:rFonts w:ascii="Book Antiqua" w:hAnsi="Book Antiqua"/>
                <w:lang w:eastAsia="zh-CN"/>
              </w:rPr>
              <w:t>Endoscopic transluminal drainage</w:t>
            </w:r>
          </w:p>
        </w:tc>
        <w:tc>
          <w:tcPr>
            <w:tcW w:w="0" w:type="auto"/>
            <w:tcBorders>
              <w:top w:val="single" w:color="auto" w:sz="4" w:space="0"/>
            </w:tcBorders>
          </w:tcPr>
          <w:p>
            <w:pPr>
              <w:spacing w:line="360" w:lineRule="auto"/>
              <w:rPr>
                <w:rFonts w:ascii="Book Antiqua" w:hAnsi="Book Antiqua"/>
                <w:lang w:eastAsia="zh-CN"/>
              </w:rPr>
            </w:pPr>
            <w:r>
              <w:rPr>
                <w:rFonts w:ascii="Book Antiqua" w:hAnsi="Book Antiqua"/>
                <w:lang w:eastAsia="zh-CN"/>
              </w:rPr>
              <w:t>Standard first step for INP, standard for PFC treatment</w:t>
            </w:r>
          </w:p>
        </w:tc>
        <w:tc>
          <w:tcPr>
            <w:tcW w:w="0" w:type="auto"/>
            <w:tcBorders>
              <w:top w:val="single" w:color="auto" w:sz="4" w:space="0"/>
            </w:tcBorders>
          </w:tcPr>
          <w:p>
            <w:pPr>
              <w:spacing w:line="360" w:lineRule="auto"/>
              <w:rPr>
                <w:rFonts w:ascii="Book Antiqua" w:hAnsi="Book Antiqua"/>
                <w:lang w:eastAsia="zh-CN"/>
              </w:rPr>
            </w:pPr>
            <w:r>
              <w:rPr>
                <w:rFonts w:ascii="Book Antiqua" w:hAnsi="Book Antiqua"/>
                <w:lang w:eastAsia="zh-CN"/>
              </w:rPr>
              <w:t>Unencapsulated collections, distance from gastroduodenal duct (&gt; 1 cm), vascular pseudoaneuryms</w:t>
            </w:r>
          </w:p>
        </w:tc>
        <w:tc>
          <w:tcPr>
            <w:tcW w:w="0" w:type="auto"/>
            <w:tcBorders>
              <w:top w:val="single" w:color="auto" w:sz="4" w:space="0"/>
            </w:tcBorders>
          </w:tcPr>
          <w:p>
            <w:pPr>
              <w:spacing w:line="360" w:lineRule="auto"/>
              <w:rPr>
                <w:rFonts w:ascii="Book Antiqua" w:hAnsi="Book Antiqua"/>
                <w:lang w:eastAsia="zh-CN"/>
              </w:rPr>
            </w:pPr>
            <w:r>
              <w:rPr>
                <w:rFonts w:ascii="Book Antiqua" w:hAnsi="Book Antiqua"/>
                <w:lang w:eastAsia="zh-CN"/>
              </w:rPr>
              <w:t>Major bleedings, perforation, post-procedure infection, recurrence, migration of the stent</w:t>
            </w:r>
          </w:p>
        </w:tc>
        <w:tc>
          <w:tcPr>
            <w:tcW w:w="0" w:type="auto"/>
            <w:tcBorders>
              <w:top w:val="single" w:color="auto" w:sz="4" w:space="0"/>
            </w:tcBorders>
          </w:tcPr>
          <w:p>
            <w:pPr>
              <w:spacing w:line="360" w:lineRule="auto"/>
              <w:rPr>
                <w:rFonts w:ascii="Book Antiqua" w:hAnsi="Book Antiqua"/>
                <w:lang w:eastAsia="zh-CN"/>
              </w:rPr>
            </w:pPr>
            <w:r>
              <w:rPr>
                <w:rFonts w:ascii="Book Antiqua" w:hAnsi="Book Antiqua"/>
                <w:lang w:eastAsia="zh-CN"/>
              </w:rPr>
              <w:t>[37,38,40]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spacing w:line="360" w:lineRule="auto"/>
              <w:rPr>
                <w:rFonts w:ascii="Book Antiqua" w:hAnsi="Book Antiqua"/>
                <w:lang w:eastAsia="zh-CN"/>
              </w:rPr>
            </w:pPr>
          </w:p>
        </w:tc>
        <w:tc>
          <w:tcPr>
            <w:tcW w:w="0" w:type="auto"/>
          </w:tcPr>
          <w:p>
            <w:pPr>
              <w:spacing w:line="360" w:lineRule="auto"/>
              <w:rPr>
                <w:rFonts w:ascii="Book Antiqua" w:hAnsi="Book Antiqua"/>
                <w:lang w:eastAsia="zh-CN"/>
              </w:rPr>
            </w:pPr>
            <w:r>
              <w:rPr>
                <w:rFonts w:ascii="Book Antiqua" w:hAnsi="Book Antiqua"/>
                <w:lang w:eastAsia="zh-CN"/>
              </w:rPr>
              <w:t>Endoscopic necrosectomy</w:t>
            </w:r>
          </w:p>
        </w:tc>
        <w:tc>
          <w:tcPr>
            <w:tcW w:w="0" w:type="auto"/>
          </w:tcPr>
          <w:p>
            <w:pPr>
              <w:spacing w:line="360" w:lineRule="auto"/>
              <w:rPr>
                <w:rFonts w:ascii="Book Antiqua" w:hAnsi="Book Antiqua"/>
                <w:lang w:eastAsia="zh-CN"/>
              </w:rPr>
            </w:pPr>
            <w:r>
              <w:rPr>
                <w:rFonts w:ascii="Book Antiqua" w:hAnsi="Book Antiqua"/>
                <w:lang w:eastAsia="zh-CN"/>
              </w:rPr>
              <w:t>No improvement in clinical condition within &lt; 72 h after ETD, follow-up treatment</w:t>
            </w:r>
          </w:p>
        </w:tc>
        <w:tc>
          <w:tcPr>
            <w:tcW w:w="0" w:type="auto"/>
          </w:tcPr>
          <w:p>
            <w:pPr>
              <w:spacing w:line="360" w:lineRule="auto"/>
              <w:rPr>
                <w:rFonts w:ascii="Book Antiqua" w:hAnsi="Book Antiqua"/>
                <w:lang w:eastAsia="zh-CN"/>
              </w:rPr>
            </w:pPr>
            <w:r>
              <w:rPr>
                <w:rFonts w:ascii="Book Antiqua" w:hAnsi="Book Antiqua"/>
                <w:lang w:eastAsia="zh-CN"/>
              </w:rPr>
              <w:t>Large necrotic areas, dense necrosis, disconnected duct</w:t>
            </w:r>
          </w:p>
        </w:tc>
        <w:tc>
          <w:tcPr>
            <w:tcW w:w="0" w:type="auto"/>
          </w:tcPr>
          <w:p>
            <w:pPr>
              <w:spacing w:line="360" w:lineRule="auto"/>
              <w:rPr>
                <w:rFonts w:ascii="Book Antiqua" w:hAnsi="Book Antiqua"/>
                <w:lang w:eastAsia="zh-CN"/>
              </w:rPr>
            </w:pPr>
            <w:r>
              <w:rPr>
                <w:rFonts w:ascii="Book Antiqua" w:hAnsi="Book Antiqua"/>
                <w:lang w:eastAsia="zh-CN"/>
              </w:rPr>
              <w:t>Bleeding, perforation, pancreatic fistula, infections</w:t>
            </w:r>
          </w:p>
        </w:tc>
        <w:tc>
          <w:tcPr>
            <w:tcW w:w="0" w:type="auto"/>
          </w:tcPr>
          <w:p>
            <w:pPr>
              <w:spacing w:line="360" w:lineRule="auto"/>
              <w:rPr>
                <w:rFonts w:ascii="Book Antiqua" w:hAnsi="Book Antiqua"/>
                <w:lang w:eastAsia="zh-CN"/>
              </w:rPr>
            </w:pPr>
            <w:r>
              <w:rPr>
                <w:rFonts w:ascii="Book Antiqua" w:hAnsi="Book Antiqua"/>
                <w:lang w:eastAsia="zh-CN"/>
              </w:rPr>
              <w:t>[37,48,50]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spacing w:line="360" w:lineRule="auto"/>
              <w:rPr>
                <w:rFonts w:ascii="Book Antiqua" w:hAnsi="Book Antiqua"/>
                <w:lang w:eastAsia="zh-CN"/>
              </w:rPr>
            </w:pPr>
          </w:p>
        </w:tc>
        <w:tc>
          <w:tcPr>
            <w:tcW w:w="0" w:type="auto"/>
          </w:tcPr>
          <w:p>
            <w:pPr>
              <w:spacing w:line="360" w:lineRule="auto"/>
              <w:rPr>
                <w:rFonts w:ascii="Book Antiqua" w:hAnsi="Book Antiqua"/>
                <w:lang w:eastAsia="zh-CN"/>
              </w:rPr>
            </w:pPr>
            <w:r>
              <w:rPr>
                <w:rFonts w:ascii="Book Antiqua" w:hAnsi="Book Antiqua"/>
                <w:lang w:eastAsia="zh-CN"/>
              </w:rPr>
              <w:t>Percutaneous catheter drainage</w:t>
            </w:r>
          </w:p>
        </w:tc>
        <w:tc>
          <w:tcPr>
            <w:tcW w:w="0" w:type="auto"/>
          </w:tcPr>
          <w:p>
            <w:pPr>
              <w:spacing w:line="360" w:lineRule="auto"/>
              <w:rPr>
                <w:rFonts w:ascii="Book Antiqua" w:hAnsi="Book Antiqua"/>
                <w:lang w:eastAsia="zh-CN"/>
              </w:rPr>
            </w:pPr>
            <w:r>
              <w:rPr>
                <w:rFonts w:ascii="Book Antiqua" w:hAnsi="Book Antiqua"/>
                <w:lang w:eastAsia="zh-CN"/>
              </w:rPr>
              <w:t>Hardly accessible ANC, ETD not feasible, as combination with ETD</w:t>
            </w:r>
          </w:p>
        </w:tc>
        <w:tc>
          <w:tcPr>
            <w:tcW w:w="0" w:type="auto"/>
          </w:tcPr>
          <w:p>
            <w:pPr>
              <w:spacing w:line="360" w:lineRule="auto"/>
              <w:rPr>
                <w:rFonts w:ascii="Book Antiqua" w:hAnsi="Book Antiqua"/>
                <w:lang w:eastAsia="zh-CN"/>
              </w:rPr>
            </w:pPr>
            <w:r>
              <w:rPr>
                <w:rFonts w:ascii="Book Antiqua" w:hAnsi="Book Antiqua"/>
                <w:lang w:eastAsia="zh-CN"/>
              </w:rPr>
              <w:t xml:space="preserve">Intracystic haemorrhagia, pancreatic ascites </w:t>
            </w:r>
          </w:p>
        </w:tc>
        <w:tc>
          <w:tcPr>
            <w:tcW w:w="0" w:type="auto"/>
          </w:tcPr>
          <w:p>
            <w:pPr>
              <w:spacing w:line="360" w:lineRule="auto"/>
              <w:rPr>
                <w:rFonts w:ascii="Book Antiqua" w:hAnsi="Book Antiqua"/>
                <w:lang w:eastAsia="zh-CN"/>
              </w:rPr>
            </w:pPr>
            <w:r>
              <w:rPr>
                <w:rFonts w:ascii="Book Antiqua" w:hAnsi="Book Antiqua"/>
                <w:lang w:eastAsia="zh-CN"/>
              </w:rPr>
              <w:t>Intestinal fistula, infection</w:t>
            </w:r>
          </w:p>
        </w:tc>
        <w:tc>
          <w:tcPr>
            <w:tcW w:w="0" w:type="auto"/>
          </w:tcPr>
          <w:p>
            <w:pPr>
              <w:spacing w:line="360" w:lineRule="auto"/>
              <w:rPr>
                <w:rFonts w:ascii="Book Antiqua" w:hAnsi="Book Antiqua"/>
                <w:lang w:eastAsia="zh-CN"/>
              </w:rPr>
            </w:pPr>
            <w:r>
              <w:rPr>
                <w:rFonts w:ascii="Book Antiqua" w:hAnsi="Book Antiqua"/>
                <w:lang w:eastAsia="zh-CN"/>
              </w:rPr>
              <w:t>[36,51]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spacing w:line="360" w:lineRule="auto"/>
              <w:rPr>
                <w:rFonts w:ascii="Book Antiqua" w:hAnsi="Book Antiqua"/>
                <w:b/>
                <w:bCs/>
                <w:lang w:eastAsia="zh-CN"/>
              </w:rPr>
            </w:pPr>
          </w:p>
        </w:tc>
        <w:tc>
          <w:tcPr>
            <w:tcW w:w="0" w:type="auto"/>
          </w:tcPr>
          <w:p>
            <w:pPr>
              <w:spacing w:line="360" w:lineRule="auto"/>
              <w:rPr>
                <w:rFonts w:ascii="Book Antiqua" w:hAnsi="Book Antiqua"/>
                <w:lang w:eastAsia="zh-CN"/>
              </w:rPr>
            </w:pPr>
            <w:r>
              <w:rPr>
                <w:rFonts w:ascii="Book Antiqua" w:hAnsi="Book Antiqua"/>
                <w:lang w:eastAsia="zh-CN"/>
              </w:rPr>
              <w:t>Open surgery</w:t>
            </w:r>
          </w:p>
        </w:tc>
        <w:tc>
          <w:tcPr>
            <w:tcW w:w="0" w:type="auto"/>
          </w:tcPr>
          <w:p>
            <w:pPr>
              <w:spacing w:line="360" w:lineRule="auto"/>
              <w:rPr>
                <w:rFonts w:ascii="Book Antiqua" w:hAnsi="Book Antiqua"/>
                <w:lang w:eastAsia="zh-CN"/>
              </w:rPr>
            </w:pPr>
            <w:r>
              <w:rPr>
                <w:rFonts w:ascii="Book Antiqua" w:hAnsi="Book Antiqua"/>
                <w:lang w:eastAsia="zh-CN"/>
              </w:rPr>
              <w:t>Infected necrosis, suspected perforation, abdominal compartment syndrome, ischemia, intrabadominal haemorrhagia, poorly walled off necrosis, final treatment option if other interventions fail</w:t>
            </w:r>
          </w:p>
        </w:tc>
        <w:tc>
          <w:tcPr>
            <w:tcW w:w="0" w:type="auto"/>
          </w:tcPr>
          <w:p>
            <w:pPr>
              <w:spacing w:line="360" w:lineRule="auto"/>
              <w:rPr>
                <w:rFonts w:ascii="Book Antiqua" w:hAnsi="Book Antiqua"/>
                <w:lang w:eastAsia="zh-CN"/>
              </w:rPr>
            </w:pPr>
            <w:r>
              <w:rPr>
                <w:rFonts w:ascii="Book Antiqua" w:hAnsi="Book Antiqua"/>
                <w:lang w:eastAsia="zh-CN"/>
              </w:rPr>
              <w:t>No clear contraindications reported</w:t>
            </w:r>
          </w:p>
        </w:tc>
        <w:tc>
          <w:tcPr>
            <w:tcW w:w="0" w:type="auto"/>
          </w:tcPr>
          <w:p>
            <w:pPr>
              <w:spacing w:line="360" w:lineRule="auto"/>
              <w:rPr>
                <w:rFonts w:ascii="Book Antiqua" w:hAnsi="Book Antiqua"/>
                <w:lang w:eastAsia="zh-CN"/>
              </w:rPr>
            </w:pPr>
            <w:r>
              <w:rPr>
                <w:rFonts w:ascii="Book Antiqua" w:hAnsi="Book Antiqua"/>
                <w:lang w:eastAsia="zh-CN"/>
              </w:rPr>
              <w:t>Bleeding, infection, perforation, multi-organ failure</w:t>
            </w:r>
          </w:p>
        </w:tc>
        <w:tc>
          <w:tcPr>
            <w:tcW w:w="0" w:type="auto"/>
          </w:tcPr>
          <w:p>
            <w:pPr>
              <w:spacing w:line="360" w:lineRule="auto"/>
              <w:rPr>
                <w:rFonts w:ascii="Book Antiqua" w:hAnsi="Book Antiqua"/>
                <w:lang w:eastAsia="zh-CN"/>
              </w:rPr>
            </w:pPr>
            <w:r>
              <w:rPr>
                <w:rFonts w:ascii="Book Antiqua" w:hAnsi="Book Antiqua"/>
                <w:lang w:eastAsia="zh-CN"/>
              </w:rPr>
              <w:t>[52,53]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Borders>
              <w:bottom w:val="single" w:color="auto" w:sz="4" w:space="0"/>
            </w:tcBorders>
          </w:tcPr>
          <w:p>
            <w:pPr>
              <w:spacing w:line="360" w:lineRule="auto"/>
              <w:rPr>
                <w:rFonts w:ascii="Book Antiqua" w:hAnsi="Book Antiqua"/>
                <w:b/>
                <w:bCs/>
                <w:lang w:eastAsia="zh-CN"/>
              </w:rPr>
            </w:pPr>
          </w:p>
        </w:tc>
        <w:tc>
          <w:tcPr>
            <w:tcW w:w="0" w:type="auto"/>
            <w:tcBorders>
              <w:bottom w:val="single" w:color="auto" w:sz="4" w:space="0"/>
            </w:tcBorders>
          </w:tcPr>
          <w:p>
            <w:pPr>
              <w:spacing w:line="360" w:lineRule="auto"/>
              <w:rPr>
                <w:rFonts w:ascii="Book Antiqua" w:hAnsi="Book Antiqua"/>
                <w:lang w:eastAsia="zh-CN"/>
              </w:rPr>
            </w:pPr>
            <w:r>
              <w:rPr>
                <w:rFonts w:ascii="Book Antiqua" w:hAnsi="Book Antiqua"/>
                <w:lang w:eastAsia="zh-CN"/>
              </w:rPr>
              <w:t>Minimally invasive surgery</w:t>
            </w:r>
          </w:p>
        </w:tc>
        <w:tc>
          <w:tcPr>
            <w:tcW w:w="0" w:type="auto"/>
            <w:tcBorders>
              <w:bottom w:val="single" w:color="auto" w:sz="4" w:space="0"/>
            </w:tcBorders>
          </w:tcPr>
          <w:p>
            <w:pPr>
              <w:spacing w:line="360" w:lineRule="auto"/>
              <w:rPr>
                <w:rFonts w:ascii="Book Antiqua" w:hAnsi="Book Antiqua"/>
                <w:lang w:eastAsia="zh-CN"/>
              </w:rPr>
            </w:pPr>
            <w:r>
              <w:rPr>
                <w:rFonts w:ascii="Book Antiqua" w:hAnsi="Book Antiqua"/>
                <w:lang w:eastAsia="zh-CN"/>
              </w:rPr>
              <w:t>Infected necrosis</w:t>
            </w:r>
          </w:p>
        </w:tc>
        <w:tc>
          <w:tcPr>
            <w:tcW w:w="0" w:type="auto"/>
            <w:tcBorders>
              <w:bottom w:val="single" w:color="auto" w:sz="4" w:space="0"/>
            </w:tcBorders>
          </w:tcPr>
          <w:p>
            <w:pPr>
              <w:spacing w:line="360" w:lineRule="auto"/>
              <w:rPr>
                <w:rFonts w:ascii="Book Antiqua" w:hAnsi="Book Antiqua"/>
                <w:lang w:eastAsia="zh-CN"/>
              </w:rPr>
            </w:pPr>
            <w:r>
              <w:rPr>
                <w:rFonts w:ascii="Book Antiqua" w:hAnsi="Book Antiqua"/>
                <w:lang w:eastAsia="zh-CN"/>
              </w:rPr>
              <w:t>Extensive or hardly accessible collections</w:t>
            </w:r>
          </w:p>
        </w:tc>
        <w:tc>
          <w:tcPr>
            <w:tcW w:w="0" w:type="auto"/>
            <w:tcBorders>
              <w:bottom w:val="single" w:color="auto" w:sz="4" w:space="0"/>
            </w:tcBorders>
          </w:tcPr>
          <w:p>
            <w:pPr>
              <w:spacing w:line="360" w:lineRule="auto"/>
              <w:rPr>
                <w:rFonts w:ascii="Book Antiqua" w:hAnsi="Book Antiqua"/>
                <w:lang w:eastAsia="zh-CN"/>
              </w:rPr>
            </w:pPr>
            <w:r>
              <w:rPr>
                <w:rFonts w:ascii="Book Antiqua" w:hAnsi="Book Antiqua"/>
                <w:lang w:eastAsia="zh-CN"/>
              </w:rPr>
              <w:t>Bleeding, infection, perforation</w:t>
            </w:r>
          </w:p>
        </w:tc>
        <w:tc>
          <w:tcPr>
            <w:tcW w:w="0" w:type="auto"/>
            <w:tcBorders>
              <w:bottom w:val="single" w:color="auto" w:sz="4" w:space="0"/>
            </w:tcBorders>
          </w:tcPr>
          <w:p>
            <w:pPr>
              <w:spacing w:line="360" w:lineRule="auto"/>
              <w:rPr>
                <w:rFonts w:ascii="Book Antiqua" w:hAnsi="Book Antiqua"/>
                <w:lang w:eastAsia="zh-CN"/>
              </w:rPr>
            </w:pPr>
            <w:r>
              <w:rPr>
                <w:rFonts w:ascii="Book Antiqua" w:hAnsi="Book Antiqua"/>
                <w:lang w:eastAsia="zh-CN"/>
              </w:rPr>
              <w:t>[44,57,58]</w:t>
            </w:r>
          </w:p>
        </w:tc>
      </w:tr>
    </w:tbl>
    <w:p>
      <w:pPr>
        <w:spacing w:line="360" w:lineRule="auto"/>
        <w:jc w:val="both"/>
        <w:rPr>
          <w:rFonts w:ascii="Book Antiqua" w:hAnsi="Book Antiqua"/>
          <w:lang w:eastAsia="zh-CN"/>
        </w:rPr>
      </w:pPr>
      <w:r>
        <w:rPr>
          <w:rFonts w:hint="eastAsia" w:ascii="Book Antiqua" w:hAnsi="Book Antiqua"/>
          <w:lang w:eastAsia="zh-CN"/>
        </w:rPr>
        <w:t>I</w:t>
      </w:r>
      <w:r>
        <w:rPr>
          <w:rFonts w:ascii="Book Antiqua" w:hAnsi="Book Antiqua"/>
          <w:lang w:eastAsia="zh-CN"/>
        </w:rPr>
        <w:t xml:space="preserve">NP: </w:t>
      </w:r>
      <w:r>
        <w:rPr>
          <w:rFonts w:ascii="Book Antiqua" w:hAnsi="Book Antiqua" w:eastAsia="Book Antiqua" w:cs="Book Antiqua"/>
          <w:color w:val="000000"/>
        </w:rPr>
        <w:t>Infected necrotizing pancreatitis</w:t>
      </w:r>
      <w:r>
        <w:rPr>
          <w:rFonts w:ascii="Book Antiqua" w:hAnsi="Book Antiqua"/>
          <w:lang w:eastAsia="zh-CN"/>
        </w:rPr>
        <w:t xml:space="preserve">; ANC: </w:t>
      </w:r>
      <w:r>
        <w:rPr>
          <w:rFonts w:ascii="Book Antiqua" w:hAnsi="Book Antiqua" w:eastAsia="Book Antiqua" w:cs="Book Antiqua"/>
          <w:color w:val="000000"/>
        </w:rPr>
        <w:t>Acute necrotic collection</w:t>
      </w:r>
      <w:r>
        <w:rPr>
          <w:rFonts w:ascii="Book Antiqua" w:hAnsi="Book Antiqua" w:eastAsia="Book Antiqua" w:cs="Book Antiqua"/>
          <w:color w:val="000000"/>
          <w:lang w:eastAsia="zh-CN"/>
        </w:rPr>
        <w:t xml:space="preserve">; ETD: </w:t>
      </w:r>
      <w:r>
        <w:rPr>
          <w:rFonts w:ascii="Book Antiqua" w:hAnsi="Book Antiqua" w:eastAsia="Book Antiqua" w:cs="Book Antiqua"/>
          <w:color w:val="000000"/>
        </w:rPr>
        <w:t>Endoscopic transluminal drainage</w:t>
      </w:r>
      <w:r>
        <w:rPr>
          <w:rFonts w:ascii="Book Antiqua" w:hAnsi="Book Antiqua" w:eastAsia="Book Antiqua" w:cs="Book Antiqua"/>
          <w:color w:val="000000"/>
          <w:lang w:eastAsia="zh-CN"/>
        </w:rPr>
        <w:t xml:space="preserve">. </w:t>
      </w:r>
    </w:p>
    <w:sectPr>
      <w:headerReference r:id="rId4" w:type="default"/>
      <w:pgSz w:w="15840" w:h="12240" w:orient="landscape"/>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5A34"/>
    <w:rsid w:val="00024954"/>
    <w:rsid w:val="00040D11"/>
    <w:rsid w:val="00057617"/>
    <w:rsid w:val="00086671"/>
    <w:rsid w:val="0009543F"/>
    <w:rsid w:val="00101D71"/>
    <w:rsid w:val="00106B2D"/>
    <w:rsid w:val="001165E7"/>
    <w:rsid w:val="00183DDA"/>
    <w:rsid w:val="00190D6B"/>
    <w:rsid w:val="00213886"/>
    <w:rsid w:val="002B0C8C"/>
    <w:rsid w:val="00304361"/>
    <w:rsid w:val="00393E2C"/>
    <w:rsid w:val="003B6795"/>
    <w:rsid w:val="003C524C"/>
    <w:rsid w:val="003D0D12"/>
    <w:rsid w:val="003E1E0B"/>
    <w:rsid w:val="003F7F66"/>
    <w:rsid w:val="00404F9A"/>
    <w:rsid w:val="00524739"/>
    <w:rsid w:val="00536EFB"/>
    <w:rsid w:val="00547A78"/>
    <w:rsid w:val="00571900"/>
    <w:rsid w:val="00592F11"/>
    <w:rsid w:val="005B02BD"/>
    <w:rsid w:val="00617F30"/>
    <w:rsid w:val="006206FA"/>
    <w:rsid w:val="0064171E"/>
    <w:rsid w:val="00660F64"/>
    <w:rsid w:val="0069783B"/>
    <w:rsid w:val="007369B9"/>
    <w:rsid w:val="007527B4"/>
    <w:rsid w:val="007563EF"/>
    <w:rsid w:val="00781AC4"/>
    <w:rsid w:val="007B1B11"/>
    <w:rsid w:val="007D4B70"/>
    <w:rsid w:val="007F617A"/>
    <w:rsid w:val="00823648"/>
    <w:rsid w:val="00831BEA"/>
    <w:rsid w:val="00846743"/>
    <w:rsid w:val="00855713"/>
    <w:rsid w:val="00855F24"/>
    <w:rsid w:val="008669D4"/>
    <w:rsid w:val="00872266"/>
    <w:rsid w:val="00883DFA"/>
    <w:rsid w:val="008B0D3C"/>
    <w:rsid w:val="008B5D2C"/>
    <w:rsid w:val="008C1DCB"/>
    <w:rsid w:val="008D6FDD"/>
    <w:rsid w:val="008F7ACC"/>
    <w:rsid w:val="00904995"/>
    <w:rsid w:val="0091347F"/>
    <w:rsid w:val="00924054"/>
    <w:rsid w:val="009C28F6"/>
    <w:rsid w:val="009F07CB"/>
    <w:rsid w:val="00A05E89"/>
    <w:rsid w:val="00A265D2"/>
    <w:rsid w:val="00A331E7"/>
    <w:rsid w:val="00A579F6"/>
    <w:rsid w:val="00A77B3E"/>
    <w:rsid w:val="00A84E4B"/>
    <w:rsid w:val="00A85D76"/>
    <w:rsid w:val="00AB494F"/>
    <w:rsid w:val="00AE15CF"/>
    <w:rsid w:val="00AF25B3"/>
    <w:rsid w:val="00B10869"/>
    <w:rsid w:val="00B1276E"/>
    <w:rsid w:val="00B37F3D"/>
    <w:rsid w:val="00B9443C"/>
    <w:rsid w:val="00B964BC"/>
    <w:rsid w:val="00BD5F86"/>
    <w:rsid w:val="00C40170"/>
    <w:rsid w:val="00C425F0"/>
    <w:rsid w:val="00C60C7A"/>
    <w:rsid w:val="00C71B8B"/>
    <w:rsid w:val="00C93CB5"/>
    <w:rsid w:val="00CA2A55"/>
    <w:rsid w:val="00CA6560"/>
    <w:rsid w:val="00CC5086"/>
    <w:rsid w:val="00CF454A"/>
    <w:rsid w:val="00D105DE"/>
    <w:rsid w:val="00D12310"/>
    <w:rsid w:val="00D90C5E"/>
    <w:rsid w:val="00DE2452"/>
    <w:rsid w:val="00E538B1"/>
    <w:rsid w:val="00E87BA1"/>
    <w:rsid w:val="00EA2B93"/>
    <w:rsid w:val="00EE572C"/>
    <w:rsid w:val="00EF7CDA"/>
    <w:rsid w:val="00FA7643"/>
    <w:rsid w:val="0BC1796F"/>
    <w:rsid w:val="0DAF0B93"/>
    <w:rsid w:val="16B06C81"/>
    <w:rsid w:val="248F0656"/>
    <w:rsid w:val="63AC3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unhideWhenUsed/>
    <w:qFormat/>
    <w:uiPriority w:val="0"/>
  </w:style>
  <w:style w:type="paragraph" w:styleId="3">
    <w:name w:val="footer"/>
    <w:basedOn w:val="1"/>
    <w:link w:val="11"/>
    <w:unhideWhenUsed/>
    <w:uiPriority w:val="99"/>
    <w:pPr>
      <w:tabs>
        <w:tab w:val="center" w:pos="4153"/>
        <w:tab w:val="right" w:pos="8306"/>
      </w:tabs>
      <w:snapToGrid w:val="0"/>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semiHidden/>
    <w:unhideWhenUsed/>
    <w:qFormat/>
    <w:uiPriority w:val="0"/>
    <w:rPr>
      <w:sz w:val="21"/>
      <w:szCs w:val="21"/>
    </w:rPr>
  </w:style>
  <w:style w:type="character" w:customStyle="1" w:styleId="10">
    <w:name w:val="Header Char"/>
    <w:basedOn w:val="8"/>
    <w:link w:val="4"/>
    <w:qFormat/>
    <w:uiPriority w:val="0"/>
    <w:rPr>
      <w:sz w:val="18"/>
      <w:szCs w:val="18"/>
    </w:rPr>
  </w:style>
  <w:style w:type="character" w:customStyle="1" w:styleId="11">
    <w:name w:val="Footer Char"/>
    <w:basedOn w:val="8"/>
    <w:link w:val="3"/>
    <w:qFormat/>
    <w:uiPriority w:val="99"/>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3">
    <w:name w:val="Comment Text Char"/>
    <w:basedOn w:val="8"/>
    <w:link w:val="2"/>
    <w:qFormat/>
    <w:uiPriority w:val="0"/>
    <w:rPr>
      <w:sz w:val="24"/>
      <w:szCs w:val="24"/>
    </w:rPr>
  </w:style>
  <w:style w:type="character" w:customStyle="1" w:styleId="14">
    <w:name w:val="Comment Subject Char"/>
    <w:basedOn w:val="13"/>
    <w:link w:val="5"/>
    <w:semiHidden/>
    <w:qFormat/>
    <w:uiPriority w:val="0"/>
    <w:rPr>
      <w:b/>
      <w:bCs/>
      <w:sz w:val="24"/>
      <w:szCs w:val="24"/>
    </w:rPr>
  </w:style>
  <w:style w:type="paragraph" w:customStyle="1" w:styleId="15">
    <w:name w:val="正文1"/>
    <w:qFormat/>
    <w:uiPriority w:val="99"/>
    <w:pPr>
      <w:spacing w:line="276" w:lineRule="auto"/>
    </w:pPr>
    <w:rPr>
      <w:rFonts w:ascii="Arial" w:hAnsi="Arial" w:eastAsia="宋体" w:cs="Arial"/>
      <w:color w:val="000000"/>
      <w:sz w:val="22"/>
      <w:lang w:val="pl-PL" w:eastAsia="pl-PL"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9275</Words>
  <Characters>52871</Characters>
  <Lines>440</Lines>
  <Paragraphs>124</Paragraphs>
  <TotalTime>0</TotalTime>
  <ScaleCrop>false</ScaleCrop>
  <LinksUpToDate>false</LinksUpToDate>
  <CharactersWithSpaces>62022</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2022-06-16T16:35:00Z</dcterms:created>
  <dc:creator>Hiroki Sato</dc:creator>
  <cp:lastModifiedBy>千</cp:lastModifiedBy>
  <dcterms:modified xsi:type="dcterms:W3CDTF">2022-07-18T06:27:50Z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8E6F18703612434E8B991431E5881128</vt:lpwstr>
  </property>
</Properties>
</file>