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75488</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pPr>
      <w:r>
        <w:rPr>
          <w:rFonts w:ascii="Book Antiqua" w:hAnsi="Book Antiqua" w:eastAsia="Book Antiqua" w:cs="Book Antiqua"/>
          <w:b/>
          <w:bCs/>
          <w:color w:val="000000"/>
        </w:rPr>
        <w:t>Gallstone associated celiac trunk thromboembolisms complicated with splenic infarction: A case report</w:t>
      </w:r>
    </w:p>
    <w:p>
      <w:pPr>
        <w:spacing w:line="360" w:lineRule="auto"/>
        <w:jc w:val="both"/>
      </w:pPr>
    </w:p>
    <w:p>
      <w:pPr>
        <w:spacing w:line="360" w:lineRule="auto"/>
        <w:jc w:val="both"/>
      </w:pPr>
      <w:r>
        <w:rPr>
          <w:rFonts w:ascii="Book Antiqua" w:hAnsi="Book Antiqua" w:eastAsia="Book Antiqua" w:cs="Book Antiqua"/>
          <w:color w:val="000000"/>
        </w:rPr>
        <w:t xml:space="preserve">We CY </w:t>
      </w:r>
      <w:r>
        <w:rPr>
          <w:rFonts w:ascii="Book Antiqua" w:hAnsi="Book Antiqua" w:eastAsia="Book Antiqua" w:cs="Book Antiqua"/>
          <w:i/>
          <w:iCs/>
          <w:color w:val="000000"/>
        </w:rPr>
        <w:t>et al</w:t>
      </w:r>
      <w:r>
        <w:rPr>
          <w:rFonts w:ascii="Book Antiqua" w:hAnsi="Book Antiqua" w:eastAsia="Book Antiqua" w:cs="Book Antiqua"/>
          <w:color w:val="000000"/>
        </w:rPr>
        <w:t>. Rare case of celiac trunk thromboembolism</w:t>
      </w:r>
    </w:p>
    <w:p>
      <w:pPr>
        <w:spacing w:line="360" w:lineRule="auto"/>
        <w:jc w:val="both"/>
      </w:pPr>
    </w:p>
    <w:p>
      <w:pPr>
        <w:spacing w:line="360" w:lineRule="auto"/>
        <w:jc w:val="both"/>
      </w:pPr>
      <w:r>
        <w:rPr>
          <w:rFonts w:ascii="Book Antiqua" w:hAnsi="Book Antiqua" w:eastAsia="Book Antiqua" w:cs="Book Antiqua"/>
          <w:color w:val="000000"/>
        </w:rPr>
        <w:t>Chia-Ying Wu, Chang-Cheng Su, Hsin-Hui Huang, Yao-Tung Wang, Chi-Chih Wang</w:t>
      </w:r>
    </w:p>
    <w:p>
      <w:pPr>
        <w:spacing w:line="360" w:lineRule="auto"/>
        <w:jc w:val="both"/>
      </w:pPr>
    </w:p>
    <w:p>
      <w:pPr>
        <w:spacing w:line="360" w:lineRule="auto"/>
        <w:jc w:val="both"/>
      </w:pPr>
      <w:r>
        <w:rPr>
          <w:rFonts w:ascii="Book Antiqua" w:hAnsi="Book Antiqua" w:eastAsia="Book Antiqua" w:cs="Book Antiqua"/>
          <w:b/>
          <w:bCs/>
          <w:color w:val="000000"/>
        </w:rPr>
        <w:t xml:space="preserve">Chia-Ying Wu, </w:t>
      </w:r>
      <w:r>
        <w:rPr>
          <w:rFonts w:ascii="Book Antiqua" w:hAnsi="Book Antiqua" w:eastAsia="Book Antiqua" w:cs="Book Antiqua"/>
          <w:color w:val="000000"/>
        </w:rPr>
        <w:t>Department of Medicine, Taipei Veterans General Hospital, Taipei 112, Taiwan</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Chang-Cheng Su, Chi-Chih Wang, </w:t>
      </w:r>
      <w:r>
        <w:rPr>
          <w:rFonts w:ascii="Book Antiqua" w:hAnsi="Book Antiqua" w:eastAsia="Book Antiqua" w:cs="Book Antiqua"/>
          <w:color w:val="000000"/>
        </w:rPr>
        <w:t>Division of Gastroenterology and Hepatology, Department of Internal Medicine, Chung Shan Medical University Hospital, Taichung 402, Taiwan</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Chang-Cheng Su, Yao-Tung Wang, Chi-Chih Wang,</w:t>
      </w:r>
      <w:r>
        <w:t xml:space="preserve"> </w:t>
      </w:r>
      <w:r>
        <w:rPr>
          <w:rFonts w:ascii="Book Antiqua" w:hAnsi="Book Antiqua" w:eastAsia="Book Antiqua" w:cs="Book Antiqua"/>
          <w:color w:val="000000"/>
        </w:rPr>
        <w:t>School of Medicine, Chung Shan Medical University, Taichung 402, Taiwan</w:t>
      </w:r>
    </w:p>
    <w:p>
      <w:pPr>
        <w:spacing w:line="360" w:lineRule="auto"/>
        <w:jc w:val="both"/>
      </w:pPr>
    </w:p>
    <w:p>
      <w:pPr>
        <w:spacing w:line="360" w:lineRule="auto"/>
        <w:jc w:val="both"/>
      </w:pPr>
      <w:r>
        <w:rPr>
          <w:rFonts w:ascii="Book Antiqua" w:hAnsi="Book Antiqua" w:eastAsia="Book Antiqua" w:cs="Book Antiqua"/>
          <w:b/>
          <w:bCs/>
          <w:color w:val="000000"/>
        </w:rPr>
        <w:t xml:space="preserve">Hsin-Hui Huang, </w:t>
      </w:r>
      <w:r>
        <w:rPr>
          <w:rFonts w:ascii="Book Antiqua" w:hAnsi="Book Antiqua" w:eastAsia="Book Antiqua" w:cs="Book Antiqua"/>
          <w:color w:val="000000"/>
        </w:rPr>
        <w:t>Department of Medical Imaging and Radiological Sciences, Chung Shan Medical University, Taichung 402, Taiwan</w:t>
      </w:r>
    </w:p>
    <w:p>
      <w:pPr>
        <w:spacing w:line="360" w:lineRule="auto"/>
        <w:jc w:val="both"/>
      </w:pPr>
    </w:p>
    <w:p>
      <w:pPr>
        <w:spacing w:line="360" w:lineRule="auto"/>
        <w:jc w:val="both"/>
      </w:pPr>
      <w:r>
        <w:rPr>
          <w:rFonts w:ascii="Book Antiqua" w:hAnsi="Book Antiqua" w:eastAsia="Book Antiqua" w:cs="Book Antiqua"/>
          <w:b/>
          <w:bCs/>
          <w:color w:val="000000"/>
        </w:rPr>
        <w:t xml:space="preserve">Yao-Tung Wang, </w:t>
      </w:r>
      <w:r>
        <w:rPr>
          <w:rFonts w:ascii="Book Antiqua" w:hAnsi="Book Antiqua" w:eastAsia="Book Antiqua" w:cs="Book Antiqua"/>
          <w:color w:val="000000"/>
        </w:rPr>
        <w:t>Division of Pulmonary Medicine, Chung Shan Medical University Hospital, Taichung 402, Taiwan</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Wu CY and Su CC contributed equally to this work, </w:t>
      </w:r>
      <w:r>
        <w:rPr>
          <w:rFonts w:ascii="Book Antiqua" w:hAnsi="Book Antiqua" w:cs="Book Antiqua"/>
          <w:color w:val="000000"/>
          <w:lang w:eastAsia="zh-CN"/>
        </w:rPr>
        <w:t>and considered as co-first authors;</w:t>
      </w:r>
      <w:r>
        <w:rPr>
          <w:rFonts w:ascii="Book Antiqua" w:hAnsi="Book Antiqua" w:eastAsia="Book Antiqua" w:cs="Book Antiqua"/>
          <w:b/>
          <w:bCs/>
          <w:color w:val="000000"/>
        </w:rPr>
        <w:t xml:space="preserve"> </w:t>
      </w:r>
      <w:r>
        <w:rPr>
          <w:rFonts w:ascii="Book Antiqua" w:hAnsi="Book Antiqua" w:eastAsia="Book Antiqua" w:cs="Book Antiqua"/>
          <w:color w:val="000000"/>
        </w:rPr>
        <w:t>Wu CY reviewed the literature and contributed to manuscript drafting;</w:t>
      </w:r>
      <w:r>
        <w:rPr>
          <w:rFonts w:hint="eastAsia"/>
          <w:lang w:eastAsia="zh-CN"/>
        </w:rPr>
        <w:t xml:space="preserve"> </w:t>
      </w:r>
      <w:r>
        <w:rPr>
          <w:rFonts w:ascii="Book Antiqua" w:hAnsi="Book Antiqua" w:eastAsia="Book Antiqua" w:cs="Book Antiqua"/>
          <w:color w:val="000000"/>
        </w:rPr>
        <w:t xml:space="preserve">Su CC and Wang YT responsible for </w:t>
      </w:r>
      <w:r>
        <w:rPr>
          <w:rFonts w:ascii="Book Antiqua" w:hAnsi="Book Antiqua" w:eastAsia="Book Antiqua" w:cs="Book Antiqua"/>
          <w:color w:val="000000"/>
          <w:shd w:val="clear" w:color="auto" w:fill="FFFFFF"/>
        </w:rPr>
        <w:t xml:space="preserve">manuscript revision based upon the reviewers’ comments; </w:t>
      </w:r>
      <w:r>
        <w:rPr>
          <w:rFonts w:ascii="Book Antiqua" w:hAnsi="Book Antiqua" w:eastAsia="Book Antiqua" w:cs="Book Antiqua"/>
          <w:color w:val="000000"/>
        </w:rPr>
        <w:t>Wang CC was the patient’s gastroenterologist, responsible for the revision and final approval of the manuscript; Huang HH is responsible for the interpretation of image in our article; and all authors issued final approval for the version to be submitted.</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Chi-Chih Wang, PhD, Assistant Professor, Director, </w:t>
      </w:r>
      <w:r>
        <w:rPr>
          <w:rFonts w:ascii="Book Antiqua" w:hAnsi="Book Antiqua" w:eastAsia="Book Antiqua" w:cs="Book Antiqua"/>
          <w:color w:val="000000"/>
        </w:rPr>
        <w:t>Division of Gastroenterology and Hepatology, Department of Internal Medicine, Chung Shan Medical University Hospital, No. 110, Sec. 1, Jianguo N. Rd., South Dist., Taichung 40201, Taiwan. bananaudwang@gmail.com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February 6, 2022</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19, 2022</w:t>
      </w:r>
    </w:p>
    <w:p>
      <w:pPr>
        <w:spacing w:line="360" w:lineRule="auto"/>
        <w:jc w:val="both"/>
      </w:pPr>
      <w:r>
        <w:rPr>
          <w:rFonts w:ascii="Book Antiqua" w:hAnsi="Book Antiqua" w:eastAsia="Book Antiqua" w:cs="Book Antiqua"/>
          <w:b/>
          <w:bCs/>
          <w:color w:val="000000"/>
        </w:rPr>
        <w:t xml:space="preserve">Accepted: </w:t>
      </w:r>
      <w:r>
        <w:rPr>
          <w:rFonts w:ascii="Book Antiqua" w:hAnsi="Book Antiqua" w:eastAsia="Book Antiqua" w:cs="Book Antiqua"/>
          <w:bCs/>
          <w:color w:val="000000"/>
        </w:rPr>
        <w:t>July 20, 2022</w:t>
      </w:r>
    </w:p>
    <w:p>
      <w:pPr>
        <w:spacing w:line="360" w:lineRule="auto"/>
        <w:jc w:val="both"/>
      </w:pPr>
      <w:r>
        <w:rPr>
          <w:rFonts w:ascii="Book Antiqua" w:hAnsi="Book Antiqua" w:eastAsia="Book Antiqua" w:cs="Book Antiqua"/>
          <w:b/>
          <w:bCs/>
          <w:color w:val="000000"/>
        </w:rPr>
        <w:t>Published online:</w:t>
      </w:r>
      <w:r>
        <w:rPr>
          <w:rFonts w:hint="eastAsia" w:ascii="Book Antiqua" w:hAnsi="Book Antiqua" w:cs="Book Antiqua"/>
          <w:b/>
          <w:bCs/>
          <w:color w:val="000000"/>
          <w:lang w:eastAsia="zh-CN"/>
        </w:rPr>
        <w:t xml:space="preserve"> </w:t>
      </w:r>
      <w:r>
        <w:rPr>
          <w:rFonts w:ascii="Book Antiqua" w:hAnsi="Book Antiqua" w:cs="Book Antiqua"/>
          <w:bCs/>
          <w:lang w:eastAsia="zh-CN"/>
        </w:rPr>
        <w:t>September 6, 2022</w:t>
      </w:r>
      <w:r>
        <w:rPr>
          <w:rFonts w:ascii="Book Antiqua" w:hAnsi="Book Antiqua" w:eastAsia="Book Antiqua" w:cs="Book Antiqua"/>
          <w:b/>
          <w:bCs/>
          <w:color w:val="000000"/>
        </w:rPr>
        <w:t xml:space="preserve"> </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Gallstone disease (GD) can have prolonged, subacute inflammatory period before biliary events. The intricate relationship between GD and inflammatory processes can possible lead to prothrombotic tendency that can result in confusing clinical course before diagnosis. </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A 51-year-old man, presented with a 1-year history of self-relief occasional postprandial upper abdominal pain, had sudden onset severe left upper quadrant pain and visited our emergency room. Contrast enhanced computed tomography (CECT) showed filling defect in celiac trunk, common hepatic, part of splenic arteries and wedge-shaped hypo-enhancing region of spleen, consistent with splenic infarction secondary to splenic arterial occlusion. No convincing predisposing factors were found during first hospitalization. Abdominal pain mildly subsided after low molecular weight heparin and bridge to oral anticoagulant use. However, in the following six months, the patient was admitted twice due to acute cholangitis and finally cholecystitis. Second CECT revealed biliary impacted stone was adjacent to poor dissoluble thrombus. The abdominal pain did not achieve a clinical full remission until endoscopic retrograde cholangiopancreatography stone removal and series laparoscopic cholecystectomy was performed. </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This is the first case to present serious thrombotic complication due to inflammation status in chronic GD. It could be a rare, confusing and difficult recognizing cause of a celiac trunk thromboembolic event.</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Gallstones; cholelithiasis; Splenic infarction; Cholecystectomy; Thromboembolisms; Case report</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rPr>
        <w:t xml:space="preserve">Wu CY, Su CC, Huang HH, Wang YT, Wang CC. Gallstone associated celiac trunk thromboembolisms complicated with splenic infarction: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w:t>
      </w:r>
      <w:r>
        <w:rPr>
          <w:rFonts w:ascii="Book Antiqua" w:hAnsi="Book Antiqua"/>
          <w:iCs/>
        </w:rPr>
        <w:t>202</w:t>
      </w:r>
      <w:r>
        <w:rPr>
          <w:rFonts w:hint="eastAsia" w:ascii="Book Antiqua" w:hAnsi="Book Antiqua"/>
          <w:iCs/>
          <w:lang w:eastAsia="zh-CN"/>
        </w:rPr>
        <w:t>2</w:t>
      </w:r>
      <w:r>
        <w:rPr>
          <w:rFonts w:ascii="Book Antiqua" w:hAnsi="Book Antiqua"/>
          <w:iCs/>
        </w:rPr>
        <w:t>;</w:t>
      </w:r>
      <w:r>
        <w:rPr>
          <w:rFonts w:ascii="Book Antiqua" w:hAnsi="Book Antiqua" w:eastAsia="Book Antiqua" w:cs="Book Antiqua"/>
          <w:color w:val="000000"/>
        </w:rPr>
        <w:t xml:space="preserve"> </w:t>
      </w:r>
      <w:r>
        <w:rPr>
          <w:rFonts w:hint="eastAsia" w:ascii="Book Antiqua" w:hAnsi="Book Antiqua" w:eastAsia="Book Antiqua" w:cs="Book Antiqua"/>
          <w:color w:val="000000"/>
        </w:rPr>
        <w:t xml:space="preserve">10(25): </w:t>
      </w:r>
      <w:r>
        <w:rPr>
          <w:rFonts w:hint="default" w:ascii="Book Antiqua" w:hAnsi="Book Antiqua" w:eastAsia="Book Antiqua" w:cs="Book Antiqua"/>
          <w:i w:val="0"/>
          <w:iCs w:val="0"/>
          <w:color w:val="000000"/>
          <w:kern w:val="0"/>
          <w:sz w:val="24"/>
          <w:szCs w:val="24"/>
          <w:u w:val="none"/>
          <w:lang w:val="en-US" w:eastAsia="zh-CN" w:bidi="ar"/>
        </w:rPr>
        <w:t>8968-8973</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https://www.wjgnet.com/2307-8960/full/v10/i25/</w:t>
      </w:r>
      <w:r>
        <w:rPr>
          <w:rFonts w:hint="default" w:ascii="Book Antiqua" w:hAnsi="Book Antiqua" w:eastAsia="Book Antiqua" w:cs="Book Antiqua"/>
          <w:i w:val="0"/>
          <w:iCs w:val="0"/>
          <w:color w:val="000000"/>
          <w:kern w:val="0"/>
          <w:sz w:val="24"/>
          <w:szCs w:val="24"/>
          <w:u w:val="none"/>
          <w:lang w:val="en-US" w:eastAsia="zh-CN" w:bidi="ar"/>
        </w:rPr>
        <w:t>8968</w:t>
      </w:r>
      <w:r>
        <w:rPr>
          <w:rFonts w:hint="eastAsia" w:ascii="Book Antiqua" w:hAnsi="Book Antiqua" w:eastAsia="Book Antiqua" w:cs="Book Antiqua"/>
          <w:color w:val="000000"/>
        </w:rPr>
        <w:t>.htm</w:t>
      </w:r>
    </w:p>
    <w:p>
      <w:pPr>
        <w:spacing w:line="360" w:lineRule="auto"/>
        <w:jc w:val="both"/>
        <w:rPr>
          <w:rFonts w:ascii="Book Antiqua" w:hAnsi="Book Antiqua"/>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https://dx.doi.org/10.12998/wjcc.v10.i25.</w:t>
      </w:r>
      <w:r>
        <w:rPr>
          <w:rFonts w:hint="default" w:ascii="Book Antiqua" w:hAnsi="Book Antiqua" w:eastAsia="Book Antiqua" w:cs="Book Antiqua"/>
          <w:i w:val="0"/>
          <w:iCs w:val="0"/>
          <w:color w:val="000000"/>
          <w:kern w:val="0"/>
          <w:sz w:val="24"/>
          <w:szCs w:val="24"/>
          <w:u w:val="none"/>
          <w:lang w:val="en-US" w:eastAsia="zh-CN" w:bidi="ar"/>
        </w:rPr>
        <w:t>8968</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We present a case of a gallstone-associated thromboembolic event and highlight the clinical course with difficulty of recognizing the predisposing factor. Recent studies have shown a bidirectional relationship between inflammation and perturbation of the coagulation process. This case highlights that gallstone-related local inflammation, even asymptomatic, can cause serious thromboembolic complications.</w:t>
      </w:r>
    </w:p>
    <w:p>
      <w:pPr>
        <w:spacing w:line="360" w:lineRule="auto"/>
        <w:jc w:val="both"/>
      </w:pPr>
    </w:p>
    <w:p>
      <w:pPr>
        <w:spacing w:line="360" w:lineRule="auto"/>
        <w:jc w:val="both"/>
        <w:rPr>
          <w:rFonts w:ascii="Book Antiqua" w:hAnsi="Book Antiqua" w:eastAsia="Book Antiqua" w:cs="Book Antiqua"/>
          <w:b/>
          <w:caps/>
          <w:color w:val="000000"/>
          <w:u w:val="single"/>
        </w:rPr>
      </w:pPr>
    </w:p>
    <w:p>
      <w:pPr>
        <w:spacing w:line="360" w:lineRule="auto"/>
        <w:jc w:val="both"/>
        <w:rPr>
          <w:rFonts w:ascii="Book Antiqua" w:hAnsi="Book Antiqua" w:eastAsia="Book Antiqua" w:cs="Book Antiqua"/>
          <w:b/>
          <w:caps/>
          <w:color w:val="000000"/>
          <w:u w:val="single"/>
        </w:rPr>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Celiac trunk thromboembolisms complicated with splenic infarction is an uncommon clinical entity associated with variable symptoms and signs. In previous case studies, missed diagnosis or misdiagnosis are common if base on only clinical clues and etiology</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currently availability of contrast enhanced computed tomography (CECT) scanning poses an appropriate instrumental for diagnosis of splenic infarction, comparing to abdominal sonography</w:t>
      </w:r>
      <w:r>
        <w:rPr>
          <w:rFonts w:ascii="Book Antiqua" w:hAnsi="Book Antiqua" w:eastAsia="Book Antiqua" w:cs="Book Antiqua"/>
          <w:color w:val="000000"/>
          <w:vertAlign w:val="superscript"/>
        </w:rPr>
        <w:t>[2]</w:t>
      </w:r>
      <w:r>
        <w:rPr>
          <w:rFonts w:ascii="Book Antiqua" w:hAnsi="Book Antiqua" w:eastAsia="Book Antiqua" w:cs="Book Antiqua"/>
          <w:color w:val="000000"/>
        </w:rPr>
        <w:t>. It is well advised for clinicians to consider possible underlying etiology when dealing with splenic infarction.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Gallstone disease (GD) is reported higher in Western (10% in America, 6%–19.5% in European) and lower in Asia (2.3%-5.4%)</w:t>
      </w:r>
      <w:r>
        <w:rPr>
          <w:rFonts w:ascii="Book Antiqua" w:hAnsi="Book Antiqua" w:eastAsia="Book Antiqua" w:cs="Book Antiqua"/>
          <w:color w:val="000000"/>
          <w:vertAlign w:val="superscript"/>
        </w:rPr>
        <w:t>[3]</w:t>
      </w:r>
      <w:r>
        <w:rPr>
          <w:rFonts w:ascii="Book Antiqua" w:hAnsi="Book Antiqua" w:eastAsia="Book Antiqua" w:cs="Book Antiqua"/>
          <w:color w:val="000000"/>
        </w:rPr>
        <w:t>. Recently, GD has been proved associated with cardiovascular diseases</w:t>
      </w:r>
      <w:r>
        <w:rPr>
          <w:rFonts w:ascii="Book Antiqua" w:hAnsi="Book Antiqua" w:eastAsia="Book Antiqua" w:cs="Book Antiqua"/>
          <w:color w:val="000000"/>
          <w:vertAlign w:val="superscript"/>
        </w:rPr>
        <w:t>[4]</w:t>
      </w:r>
      <w:r>
        <w:rPr>
          <w:rFonts w:ascii="Book Antiqua" w:hAnsi="Book Antiqua" w:eastAsia="Book Antiqua" w:cs="Book Antiqua"/>
          <w:color w:val="000000"/>
        </w:rPr>
        <w:t>, thromboembolic venous disease, including deep vein thrombosis and pulmonary embolism</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To our knowledge, this is the first case to highlights that a thromboembolic event without evident predisposing risk should be consider as a prothrombotic tendency due to inflammation status in chronic calculous biliary events with a high clinical consequence.</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51-year-old man had sudden onset, severe left upper </w:t>
      </w:r>
      <w:r>
        <w:rPr>
          <w:rFonts w:ascii="Book Antiqua" w:hAnsi="Book Antiqua" w:eastAsia="Book Antiqua" w:cs="Book Antiqua"/>
          <w:color w:val="000000"/>
          <w:shd w:val="clear" w:color="auto" w:fill="FFFFFF"/>
        </w:rPr>
        <w:t>quadrant</w:t>
      </w:r>
      <w:r>
        <w:rPr>
          <w:rFonts w:ascii="Book Antiqua" w:hAnsi="Book Antiqua" w:eastAsia="Book Antiqua" w:cs="Book Antiqua"/>
          <w:color w:val="000000"/>
        </w:rPr>
        <w:t> pain accompanied with cold sweating and nausea.</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The patient had a 1-year history of intermittent postprandial pain over upper </w:t>
      </w:r>
      <w:r>
        <w:rPr>
          <w:rFonts w:ascii="Book Antiqua" w:hAnsi="Book Antiqua" w:eastAsia="Book Antiqua" w:cs="Book Antiqua"/>
          <w:color w:val="000000"/>
          <w:shd w:val="clear" w:color="auto" w:fill="FFFFFF"/>
        </w:rPr>
        <w:t>quadrant</w:t>
      </w:r>
      <w:r>
        <w:rPr>
          <w:rFonts w:ascii="Book Antiqua" w:hAnsi="Book Antiqua" w:eastAsia="Book Antiqua" w:cs="Book Antiqua"/>
          <w:color w:val="000000"/>
        </w:rPr>
        <w:t> abdomen, which can subside itself, without seeking medical treatment before this admission. He suffered from sudden onset, severe left upper </w:t>
      </w:r>
      <w:r>
        <w:rPr>
          <w:rFonts w:ascii="Book Antiqua" w:hAnsi="Book Antiqua" w:eastAsia="Book Antiqua" w:cs="Book Antiqua"/>
          <w:color w:val="000000"/>
          <w:shd w:val="clear" w:color="auto" w:fill="FFFFFF"/>
        </w:rPr>
        <w:t xml:space="preserve">quadrant </w:t>
      </w:r>
      <w:r>
        <w:rPr>
          <w:rFonts w:ascii="Book Antiqua" w:hAnsi="Book Antiqua" w:eastAsia="Book Antiqua" w:cs="Book Antiqua"/>
          <w:color w:val="000000"/>
        </w:rPr>
        <w:t>abdominal pain radiating to the epigastrium was accompanied with cold sweating and nausea. Initially he came to our outpatient department for help. However, due to intolerable pain and hypertension urgency, he was referred to our emergency department for immediate management. He denied fever, cough, dyspnea, weight loss, recent bowel habit change nor urinary symptoms.</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The patient had hypertension for more than ten years under regular medication control.</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The patient drink beer occasionally without addiction. He also smokes one pack per day for over 30 years.</w:t>
      </w:r>
      <w:r>
        <w:rPr>
          <w:rFonts w:hint="eastAsia"/>
          <w:lang w:eastAsia="zh-CN"/>
        </w:rPr>
        <w:t xml:space="preserve"> </w:t>
      </w:r>
      <w:r>
        <w:rPr>
          <w:rFonts w:ascii="Book Antiqua" w:hAnsi="Book Antiqua" w:eastAsia="Book Antiqua" w:cs="Book Antiqua"/>
          <w:color w:val="000000"/>
        </w:rPr>
        <w:t>There was no remarkable family medical history</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At emergency department, he was apyrexial with a temperature of 36.0°C, hypertensive with a blood pressure of 176/109 mmHg and a pulse of 85 beats/min. There were local tenderness and muscle guarding over the left upper quadrant of abdomen without rebounding tenderness. </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Laboratory investigations showed Hb of 16.4 g/dL (</w:t>
      </w:r>
      <w:r>
        <w:rPr>
          <w:rFonts w:ascii="Book Antiqua" w:hAnsi="Book Antiqua" w:eastAsia="Book Antiqua" w:cs="Book Antiqua"/>
          <w:i/>
          <w:iCs/>
          <w:color w:val="000000"/>
        </w:rPr>
        <w:t>n</w:t>
      </w:r>
      <w:r>
        <w:rPr>
          <w:rFonts w:ascii="Book Antiqua" w:hAnsi="Book Antiqua" w:eastAsia="Book Antiqua" w:cs="Book Antiqua"/>
          <w:color w:val="000000"/>
        </w:rPr>
        <w:t> = 13–17 g/dL), white blood cell count of 12.64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w:t>
      </w:r>
      <w:r>
        <w:rPr>
          <w:rFonts w:ascii="Book Antiqua" w:hAnsi="Book Antiqua" w:eastAsia="Book Antiqua" w:cs="Book Antiqua"/>
          <w:i/>
          <w:iCs/>
          <w:color w:val="000000"/>
        </w:rPr>
        <w:t>n</w:t>
      </w:r>
      <w:r>
        <w:rPr>
          <w:rFonts w:ascii="Book Antiqua" w:hAnsi="Book Antiqua" w:eastAsia="Book Antiqua" w:cs="Book Antiqua"/>
          <w:color w:val="000000"/>
        </w:rPr>
        <w:t> = 4–11 × 10</w:t>
      </w:r>
      <w:r>
        <w:rPr>
          <w:rFonts w:ascii="Book Antiqua" w:hAnsi="Book Antiqua" w:eastAsia="Book Antiqua" w:cs="Book Antiqua"/>
          <w:color w:val="000000"/>
          <w:vertAlign w:val="superscript"/>
        </w:rPr>
        <w:t>9</w:t>
      </w:r>
      <w:r>
        <w:rPr>
          <w:rFonts w:ascii="Book Antiqua" w:hAnsi="Book Antiqua" w:eastAsia="Book Antiqua" w:cs="Book Antiqua"/>
          <w:color w:val="000000"/>
        </w:rPr>
        <w:t>/L) and a platelet count of 251 × 10</w:t>
      </w:r>
      <w:r>
        <w:rPr>
          <w:rFonts w:ascii="Book Antiqua" w:hAnsi="Book Antiqua" w:eastAsia="Book Antiqua" w:cs="Book Antiqua"/>
          <w:color w:val="000000"/>
          <w:vertAlign w:val="superscript"/>
        </w:rPr>
        <w:t>3</w:t>
      </w:r>
      <w:r>
        <w:rPr>
          <w:rFonts w:ascii="Book Antiqua" w:hAnsi="Book Antiqua" w:eastAsia="Book Antiqua" w:cs="Book Antiqua"/>
          <w:color w:val="000000"/>
        </w:rPr>
        <w:t>/L (</w:t>
      </w:r>
      <w:r>
        <w:rPr>
          <w:rFonts w:ascii="Book Antiqua" w:hAnsi="Book Antiqua" w:eastAsia="Book Antiqua" w:cs="Book Antiqua"/>
          <w:i/>
          <w:iCs/>
          <w:color w:val="000000"/>
        </w:rPr>
        <w:t>n</w:t>
      </w:r>
      <w:r>
        <w:rPr>
          <w:rFonts w:ascii="Book Antiqua" w:hAnsi="Book Antiqua" w:eastAsia="Book Antiqua" w:cs="Book Antiqua"/>
          <w:color w:val="000000"/>
        </w:rPr>
        <w:t> = 150–400 × 10</w:t>
      </w:r>
      <w:r>
        <w:rPr>
          <w:rFonts w:ascii="Book Antiqua" w:hAnsi="Book Antiqua" w:eastAsia="Book Antiqua" w:cs="Book Antiqua"/>
          <w:color w:val="000000"/>
          <w:vertAlign w:val="superscript"/>
        </w:rPr>
        <w:t>3</w:t>
      </w:r>
      <w:r>
        <w:rPr>
          <w:rFonts w:ascii="Book Antiqua" w:hAnsi="Book Antiqua" w:eastAsia="Book Antiqua" w:cs="Book Antiqua"/>
          <w:color w:val="000000"/>
        </w:rPr>
        <w:t>/L). Inflammatory markers elevated with a C-reactive protein of 1.36 mg/dL (UNL = 0.748 mg/dL). Serum alanine aminotransferase 40 IU/L (</w:t>
      </w:r>
      <w:r>
        <w:rPr>
          <w:rFonts w:ascii="Book Antiqua" w:hAnsi="Book Antiqua" w:eastAsia="Book Antiqua" w:cs="Book Antiqua"/>
          <w:i/>
          <w:iCs/>
          <w:color w:val="000000"/>
        </w:rPr>
        <w:t>n</w:t>
      </w:r>
      <w:r>
        <w:rPr>
          <w:rFonts w:ascii="Book Antiqua" w:hAnsi="Book Antiqua" w:eastAsia="Book Antiqua" w:cs="Book Antiqua"/>
          <w:color w:val="000000"/>
        </w:rPr>
        <w:t> = 10-40 IU/L), total bilirubin, 0.90 mg/dL. However D-dimer levels (2737.72 ng/mL, UNL= 500 ng/mL) were much elevated. </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Abdominal ultrasound showed a hypoechoic area of spleen. CECT revealed filling defects in celiac trunk, common hepatic and part of splenic arteries along with fat stranding. Wedge-shaped low density region of spleen consistent with standard pattern of splenic infarction suggesting secondary to splenic artery occlusion. The hyperdense gallstone and cystic duct stone are also visualized at CT without biliary tract dilatation (Figure 1). </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pPr>
      <w:r>
        <w:rPr>
          <w:rFonts w:ascii="Book Antiqua" w:hAnsi="Book Antiqua" w:eastAsia="Book Antiqua" w:cs="Book Antiqua"/>
          <w:color w:val="000000"/>
        </w:rPr>
        <w:t>The final diagnosis of the presented case is gallstone disease associated celiac trunk thromboembolism complicated with splenic infarction.</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Low molecular weight heparin (enoxaparin) 6000 IU per 12 h was given. After 3 d of administration, according to hematology and rheumatologist on board, with improved symptoms and lack of predisposing risk factors, we switched to non-vitamin. K antagonist oral-anticoagulant (NOAC) - Apixaban 5 mg twice daily and continued after discharge.</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After discharged, he had been regular followed up in our gastroenterology outpatient department on a monthly basis. During his follow-up period, he complained only acid regurgitation sensation accompanied with mild epigastric bloating. </w:t>
      </w:r>
    </w:p>
    <w:p>
      <w:pPr>
        <w:spacing w:line="360" w:lineRule="auto"/>
        <w:ind w:firstLine="240" w:firstLineChars="100"/>
        <w:jc w:val="both"/>
      </w:pPr>
      <w:r>
        <w:rPr>
          <w:rFonts w:ascii="Book Antiqua" w:hAnsi="Book Antiqua" w:eastAsia="Book Antiqua" w:cs="Book Antiqua"/>
          <w:color w:val="000000"/>
        </w:rPr>
        <w:t>Six weeks later, the patient was re-admitted due to another episode of severe abdominal pain for three days associated with post-prandial vomiting. There were icteric sclera and tenderness over right upper </w:t>
      </w:r>
      <w:r>
        <w:rPr>
          <w:rFonts w:ascii="Book Antiqua" w:hAnsi="Book Antiqua" w:eastAsia="Book Antiqua" w:cs="Book Antiqua"/>
          <w:color w:val="000000"/>
          <w:shd w:val="clear" w:color="auto" w:fill="FFFFFF"/>
        </w:rPr>
        <w:t>quadrant</w:t>
      </w:r>
      <w:r>
        <w:rPr>
          <w:rFonts w:ascii="Book Antiqua" w:hAnsi="Book Antiqua" w:eastAsia="Book Antiqua" w:cs="Book Antiqua"/>
          <w:color w:val="000000"/>
        </w:rPr>
        <w:t> of abdomen. Laboratory data at emergency room showed elevated biliary enzymes, such as serum aspartate transferase, alanine transaminase, r-GT, alkaline phosphatase, and total bilirubin level. Cystic duct stone become lodged in the lower common bile duct and return homogenous contrast enhancement of splenic parenchyma at following CT scan (Figure 2). Acute cholangitis was diagnosed therefore endoscopic retrograde cholangiopancreatography stone removal was achieved smoothly and the episode of cholangitis resolved in the second hospital course. He refused interval cholecystectomy (CCY) initially, but refractory biliary event happened. Not until after laparoscopic CCY did the patient achieve a clinical full remission. </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Splenic infarction is a relatively uncommon diagnosis. Symptoms</w:t>
      </w:r>
      <w:r>
        <w:rPr>
          <w:rFonts w:ascii="Book Antiqua" w:hAnsi="Book Antiqua" w:eastAsia="Book Antiqua" w:cs="Book Antiqua"/>
          <w:color w:val="000000"/>
          <w:shd w:val="clear" w:color="auto" w:fill="FFFFFF"/>
        </w:rPr>
        <w:t> can represent with left upper quadrant pain, left flank pain, nausea, fever or even asymptomatic. Predisposing </w:t>
      </w:r>
      <w:r>
        <w:rPr>
          <w:rFonts w:ascii="Book Antiqua" w:hAnsi="Book Antiqua" w:eastAsia="Book Antiqua" w:cs="Book Antiqua"/>
          <w:color w:val="000000"/>
        </w:rPr>
        <w:t>etiology including atherosclerosis, emboli (either cardiogenic or from aortic plagues), hematological disorders, and autoimmune disease (antiphospholipid syndrome, vasculitis,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[2,6]</w:t>
      </w:r>
      <w:r>
        <w:rPr>
          <w:rFonts w:ascii="Book Antiqua" w:hAnsi="Book Antiqua" w:eastAsia="Book Antiqua" w:cs="Book Antiqua"/>
          <w:color w:val="000000"/>
        </w:rPr>
        <w:t>. In our case, however, during first evaluation in hospitalization, we did not observe any convincing predisposing factor that could possibility results in extensive thrombus causing a splenic infraction. Until the following admissions, GD related thrombotic event gained our concern.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previous studies, over 80% of patients with gallstones remain asymptomatic</w:t>
      </w:r>
      <w:r>
        <w:rPr>
          <w:rFonts w:ascii="Book Antiqua" w:hAnsi="Book Antiqua" w:eastAsia="Book Antiqua" w:cs="Book Antiqua"/>
          <w:color w:val="000000"/>
          <w:vertAlign w:val="superscript"/>
        </w:rPr>
        <w:t>[7]</w:t>
      </w:r>
      <w:r>
        <w:rPr>
          <w:rFonts w:ascii="Book Antiqua" w:hAnsi="Book Antiqua" w:eastAsia="Book Antiqua" w:cs="Book Antiqua"/>
          <w:color w:val="000000"/>
        </w:rPr>
        <w:t> and symptomatic biliary complications include cholecystitis, cholangitis and even biliary tract cancers. However numerous epidemiological studies demonstrated that even asymptomatic gallstones increase risk of stroke</w:t>
      </w:r>
      <w:r>
        <w:rPr>
          <w:rFonts w:ascii="Book Antiqua" w:hAnsi="Book Antiqua" w:eastAsia="Book Antiqua" w:cs="Book Antiqua"/>
          <w:color w:val="000000"/>
          <w:vertAlign w:val="superscript"/>
        </w:rPr>
        <w:t>[8]</w:t>
      </w:r>
      <w:r>
        <w:rPr>
          <w:rFonts w:ascii="Book Antiqua" w:hAnsi="Book Antiqua" w:eastAsia="Book Antiqua" w:cs="Book Antiqua"/>
          <w:color w:val="000000"/>
        </w:rPr>
        <w:t>, cardiovascular disease</w:t>
      </w:r>
      <w:r>
        <w:rPr>
          <w:rFonts w:ascii="Book Antiqua" w:hAnsi="Book Antiqua" w:eastAsia="Book Antiqua" w:cs="Book Antiqua"/>
          <w:color w:val="000000"/>
          <w:vertAlign w:val="superscript"/>
        </w:rPr>
        <w:t>[4,9]</w:t>
      </w:r>
      <w:r>
        <w:rPr>
          <w:rFonts w:ascii="Book Antiqua" w:hAnsi="Book Antiqua" w:eastAsia="Book Antiqua" w:cs="Book Antiqua"/>
          <w:color w:val="000000"/>
        </w:rPr>
        <w:t> and thromboembolic venous disease</w:t>
      </w:r>
      <w:r>
        <w:rPr>
          <w:rFonts w:ascii="Book Antiqua" w:hAnsi="Book Antiqua" w:eastAsia="Book Antiqua" w:cs="Book Antiqua"/>
          <w:color w:val="000000"/>
          <w:vertAlign w:val="superscript"/>
        </w:rPr>
        <w:t>[5]</w:t>
      </w:r>
      <w:r>
        <w:rPr>
          <w:rFonts w:ascii="Book Antiqua" w:hAnsi="Book Antiqua" w:eastAsia="Book Antiqua" w:cs="Book Antiqua"/>
          <w:color w:val="000000"/>
        </w:rPr>
        <w:t>. Although, vascular disease shared common risk factor with biliary events, such as high fat diet, obesity, diabetes mellitus and age, most studies still present significant correlation after adjusted for these common risk factors. Two studies using nationwide population base studies in Taiwan even showed higher risk among younger GD patients</w:t>
      </w:r>
      <w:r>
        <w:rPr>
          <w:rFonts w:ascii="Book Antiqua" w:hAnsi="Book Antiqua" w:eastAsia="Book Antiqua" w:cs="Book Antiqua"/>
          <w:color w:val="000000"/>
          <w:vertAlign w:val="superscript"/>
        </w:rPr>
        <w:t>[8,9]</w:t>
      </w:r>
      <w:r>
        <w:rPr>
          <w:rFonts w:ascii="Book Antiqua" w:hAnsi="Book Antiqua" w:eastAsia="Book Antiqua" w:cs="Book Antiqua"/>
          <w:color w:val="000000"/>
        </w:rPr>
        <w:t>, who shared less risk factors of cardiovascular disease.</w:t>
      </w:r>
    </w:p>
    <w:p>
      <w:pPr>
        <w:spacing w:line="360" w:lineRule="auto"/>
        <w:ind w:firstLine="240" w:firstLineChars="100"/>
        <w:jc w:val="both"/>
      </w:pPr>
      <w:r>
        <w:rPr>
          <w:rFonts w:ascii="Book Antiqua" w:hAnsi="Book Antiqua" w:eastAsia="Book Antiqua" w:cs="Book Antiqua"/>
          <w:color w:val="000000"/>
        </w:rPr>
        <w:t>Tracing back to the patient’s history, there was intermittent mild epigastric discomfort for a year. Besides, the time interval between thrombosis formation and the following refractory GD raised our concern. Compatible to clinical symptoms and hospital course, chronic biliary events may serve as a cause of local inflammation which was masked by thromboembolic event. The symptoms were not fully resolved and further lead to cholangitis and finally cholecystitis in the following 6 months. The patient had no other predisposing factors and after CCY, the patient is finally symptom free on following examination after discontinue NOAC treatment. </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Local inflammation was not first recognized as a predisposing factor for thrombus formation.</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Recent studies already demonstrated a bidirectional relationship between local or systematic inflammation</w:t>
      </w:r>
      <w:r>
        <w:rPr>
          <w:rFonts w:ascii="Book Antiqua" w:hAnsi="Book Antiqua" w:eastAsia="Book Antiqua" w:cs="Book Antiqua"/>
          <w:color w:val="000000"/>
          <w:vertAlign w:val="superscript"/>
        </w:rPr>
        <w:t>[10]</w:t>
      </w:r>
      <w:r>
        <w:rPr>
          <w:rFonts w:ascii="Book Antiqua" w:hAnsi="Book Antiqua" w:eastAsia="Book Antiqua" w:cs="Book Antiqua"/>
          <w:color w:val="000000"/>
        </w:rPr>
        <w:t> which is an intricately related processes. In molecular analysis, chronic calculous cholecystitis showed proinflammatory cytokines interleukin (IL)-1α, IL-6, and tumor necrosis factor-α in gallbladder mucosa</w:t>
      </w:r>
      <w:r>
        <w:rPr>
          <w:rFonts w:ascii="Book Antiqua" w:hAnsi="Book Antiqua" w:eastAsia="Book Antiqua" w:cs="Book Antiqua"/>
          <w:color w:val="000000"/>
          <w:vertAlign w:val="superscript"/>
        </w:rPr>
        <w:t>[11]</w:t>
      </w:r>
      <w:r>
        <w:rPr>
          <w:rFonts w:ascii="Book Antiqua" w:hAnsi="Book Antiqua" w:eastAsia="Book Antiqua" w:cs="Book Antiqua"/>
          <w:color w:val="000000"/>
        </w:rPr>
        <w:t>. Circulating monocytes which stimulated by proinflammatory cytokines, express tissue factor, which leads to thrombin generation and both activate platelets and result in the formation of a platelet-fibrin thrombus. IL-6 </w:t>
      </w:r>
      <w:r>
        <w:rPr>
          <w:rFonts w:ascii="Book Antiqua" w:hAnsi="Book Antiqua" w:eastAsia="Book Antiqua" w:cs="Book Antiqua"/>
          <w:i/>
          <w:iCs/>
          <w:color w:val="000000"/>
        </w:rPr>
        <w:t>in vivo</w:t>
      </w:r>
      <w:r>
        <w:rPr>
          <w:rFonts w:ascii="Book Antiqua" w:hAnsi="Book Antiqua" w:eastAsia="Book Antiqua" w:cs="Book Antiqua"/>
          <w:color w:val="000000"/>
        </w:rPr>
        <w:t> is a pivotal initiator that amplificated of tissue factor, which appears to be mostly depended pro-inflammatory factors</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Perivascular inflammation can develop secondary to trauma or inflammation due to adjacent local inflammatory reaction, causing thrombosis of vasa vasorum with pseudo-aneurysms formation or true artery aneurysms</w:t>
      </w:r>
      <w:r>
        <w:rPr>
          <w:rFonts w:ascii="Book Antiqua" w:hAnsi="Book Antiqua" w:eastAsia="Book Antiqua" w:cs="Book Antiqua"/>
          <w:color w:val="000000"/>
          <w:vertAlign w:val="superscript"/>
        </w:rPr>
        <w:t>[13]</w:t>
      </w:r>
      <w:r>
        <w:rPr>
          <w:rFonts w:ascii="Book Antiqua" w:hAnsi="Book Antiqua" w:eastAsia="Book Antiqua" w:cs="Book Antiqua"/>
          <w:color w:val="000000"/>
        </w:rPr>
        <w:t>. Gallbladder with gallstones also showed increase oxidative stress</w:t>
      </w:r>
      <w:r>
        <w:rPr>
          <w:rFonts w:ascii="Book Antiqua" w:hAnsi="Book Antiqua" w:eastAsia="Book Antiqua" w:cs="Book Antiqua"/>
          <w:color w:val="000000"/>
          <w:vertAlign w:val="superscript"/>
        </w:rPr>
        <w:t>[14]</w:t>
      </w:r>
      <w:r>
        <w:rPr>
          <w:rFonts w:ascii="Book Antiqua" w:hAnsi="Book Antiqua" w:eastAsia="Book Antiqua" w:cs="Book Antiqua"/>
          <w:color w:val="000000"/>
        </w:rPr>
        <w:t> which plays a role in the pathogenesis of abnormal coagulation and impaired vasodilatation</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Despite biliary events being common, the rarity of splenic infarction can only be explained by a prolonged inflammatory process without acute cholecystitis or cholangitis in our case. Ours is the first report of a case of GD associated thromboembolic event in celiac trunk, which induced splenic infarction. Taken all together, GD should be considered as a risk factor of celiac trunk thrombosis or spleen infarction by future clinicians if no prothrombotic tendency nor cardiac risk were found. Further scientific evidence worth large-scaled study confirmation.</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pPr>
      <w:r>
        <w:rPr>
          <w:rFonts w:ascii="Book Antiqua" w:hAnsi="Book Antiqua" w:eastAsia="Book Antiqua" w:cs="Book Antiqua"/>
          <w:color w:val="000000"/>
        </w:rPr>
        <w:t xml:space="preserve">1 </w:t>
      </w:r>
      <w:r>
        <w:rPr>
          <w:rFonts w:ascii="Book Antiqua" w:hAnsi="Book Antiqua" w:eastAsia="Book Antiqua" w:cs="Book Antiqua"/>
          <w:b/>
          <w:bCs/>
          <w:color w:val="000000"/>
        </w:rPr>
        <w:t>Li Y</w:t>
      </w:r>
      <w:r>
        <w:rPr>
          <w:rFonts w:ascii="Book Antiqua" w:hAnsi="Book Antiqua" w:eastAsia="Book Antiqua" w:cs="Book Antiqua"/>
          <w:color w:val="000000"/>
        </w:rPr>
        <w:t xml:space="preserve">, Liu H, Shi Y. Splenic infarction associated with obstructive sleep apnoea/hypopnoea syndrome: a case report. </w:t>
      </w:r>
      <w:r>
        <w:rPr>
          <w:rFonts w:ascii="Book Antiqua" w:hAnsi="Book Antiqua" w:eastAsia="Book Antiqua" w:cs="Book Antiqua"/>
          <w:i/>
          <w:iCs/>
          <w:color w:val="000000"/>
        </w:rPr>
        <w:t>J Int Med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48</w:t>
      </w:r>
      <w:r>
        <w:rPr>
          <w:rFonts w:ascii="Book Antiqua" w:hAnsi="Book Antiqua" w:eastAsia="Book Antiqua" w:cs="Book Antiqua"/>
          <w:color w:val="000000"/>
        </w:rPr>
        <w:t>: 300060520954691 [PMID: 33050767 DOI: 10.1177/0300060520954691]</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Schattner A</w:t>
      </w:r>
      <w:r>
        <w:rPr>
          <w:rFonts w:ascii="Book Antiqua" w:hAnsi="Book Antiqua" w:eastAsia="Book Antiqua" w:cs="Book Antiqua"/>
          <w:color w:val="000000"/>
        </w:rPr>
        <w:t xml:space="preserve">, Adi M, Kitroser E, Klepfish A. Acute Splenic Infarction at an Academic General Hospital Over 10 Years: Presentation, Etiology, and Outcome. </w:t>
      </w:r>
      <w:r>
        <w:rPr>
          <w:rFonts w:ascii="Book Antiqua" w:hAnsi="Book Antiqua" w:eastAsia="Book Antiqua" w:cs="Book Antiqua"/>
          <w:i/>
          <w:iCs/>
          <w:color w:val="000000"/>
        </w:rPr>
        <w:t>Medicine (Baltimore)</w:t>
      </w:r>
      <w:r>
        <w:rPr>
          <w:rFonts w:ascii="Book Antiqua" w:hAnsi="Book Antiqua" w:eastAsia="Book Antiqua" w:cs="Book Antiqua"/>
          <w:color w:val="000000"/>
        </w:rPr>
        <w:t xml:space="preserve"> 2015; </w:t>
      </w:r>
      <w:r>
        <w:rPr>
          <w:rFonts w:ascii="Book Antiqua" w:hAnsi="Book Antiqua" w:eastAsia="Book Antiqua" w:cs="Book Antiqua"/>
          <w:b/>
          <w:bCs/>
          <w:color w:val="000000"/>
        </w:rPr>
        <w:t>94</w:t>
      </w:r>
      <w:r>
        <w:rPr>
          <w:rFonts w:ascii="Book Antiqua" w:hAnsi="Book Antiqua" w:eastAsia="Book Antiqua" w:cs="Book Antiqua"/>
          <w:color w:val="000000"/>
        </w:rPr>
        <w:t>: e1363 [PMID: 26356690 DOI: 10.1097/MD.0000000000001363]</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Chen CH</w:t>
      </w:r>
      <w:r>
        <w:rPr>
          <w:rFonts w:ascii="Book Antiqua" w:hAnsi="Book Antiqua" w:eastAsia="Book Antiqua" w:cs="Book Antiqua"/>
          <w:color w:val="000000"/>
        </w:rPr>
        <w:t xml:space="preserve">, Huang MH, Yang JC, Nien CK, Etheredge GD, Yang CC, Yeh YH, Wu HS, Chou DA, Yueh SK. Prevalence and risk factors of gallstone disease in an adult population of Taiwan: an epidemiological survey. </w:t>
      </w:r>
      <w:r>
        <w:rPr>
          <w:rFonts w:ascii="Book Antiqua" w:hAnsi="Book Antiqua" w:eastAsia="Book Antiqua" w:cs="Book Antiqua"/>
          <w:i/>
          <w:iCs/>
          <w:color w:val="000000"/>
        </w:rPr>
        <w:t>J Gastroenterol Hepatol</w:t>
      </w:r>
      <w:r>
        <w:rPr>
          <w:rFonts w:ascii="Book Antiqua" w:hAnsi="Book Antiqua" w:eastAsia="Book Antiqua" w:cs="Book Antiqua"/>
          <w:color w:val="000000"/>
        </w:rPr>
        <w:t xml:space="preserve"> 2006; </w:t>
      </w:r>
      <w:r>
        <w:rPr>
          <w:rFonts w:ascii="Book Antiqua" w:hAnsi="Book Antiqua" w:eastAsia="Book Antiqua" w:cs="Book Antiqua"/>
          <w:b/>
          <w:bCs/>
          <w:color w:val="000000"/>
        </w:rPr>
        <w:t>21</w:t>
      </w:r>
      <w:r>
        <w:rPr>
          <w:rFonts w:ascii="Book Antiqua" w:hAnsi="Book Antiqua" w:eastAsia="Book Antiqua" w:cs="Book Antiqua"/>
          <w:color w:val="000000"/>
        </w:rPr>
        <w:t>: 1737-1743 [PMID: 16984599 DOI: 10.1111/j.1440-1746.2006.04381.x]</w:t>
      </w:r>
    </w:p>
    <w:p>
      <w:pPr>
        <w:spacing w:line="360" w:lineRule="auto"/>
        <w:jc w:val="both"/>
      </w:pPr>
      <w:r>
        <w:rPr>
          <w:rFonts w:ascii="Book Antiqua" w:hAnsi="Book Antiqua" w:eastAsia="Book Antiqua" w:cs="Book Antiqua"/>
          <w:color w:val="000000"/>
        </w:rPr>
        <w:t xml:space="preserve">4 </w:t>
      </w:r>
      <w:r>
        <w:rPr>
          <w:rFonts w:ascii="Book Antiqua" w:hAnsi="Book Antiqua" w:eastAsia="Book Antiqua" w:cs="Book Antiqua"/>
          <w:b/>
          <w:bCs/>
          <w:color w:val="000000"/>
        </w:rPr>
        <w:t>Fan LL</w:t>
      </w:r>
      <w:r>
        <w:rPr>
          <w:rFonts w:ascii="Book Antiqua" w:hAnsi="Book Antiqua" w:eastAsia="Book Antiqua" w:cs="Book Antiqua"/>
          <w:color w:val="000000"/>
        </w:rPr>
        <w:t xml:space="preserve">, Chen BH, Dai ZJ. The relation between gallstone disease and cardiovascular disease. </w:t>
      </w:r>
      <w:r>
        <w:rPr>
          <w:rFonts w:ascii="Book Antiqua" w:hAnsi="Book Antiqua" w:eastAsia="Book Antiqua" w:cs="Book Antiqua"/>
          <w:i/>
          <w:iCs/>
          <w:color w:val="000000"/>
        </w:rPr>
        <w:t>Sci Rep</w:t>
      </w:r>
      <w:r>
        <w:rPr>
          <w:rFonts w:ascii="Book Antiqua" w:hAnsi="Book Antiqua" w:eastAsia="Book Antiqua" w:cs="Book Antiqua"/>
          <w:color w:val="000000"/>
        </w:rPr>
        <w:t xml:space="preserve"> 2017; </w:t>
      </w:r>
      <w:r>
        <w:rPr>
          <w:rFonts w:ascii="Book Antiqua" w:hAnsi="Book Antiqua" w:eastAsia="Book Antiqua" w:cs="Book Antiqua"/>
          <w:b/>
          <w:bCs/>
          <w:color w:val="000000"/>
        </w:rPr>
        <w:t>7</w:t>
      </w:r>
      <w:r>
        <w:rPr>
          <w:rFonts w:ascii="Book Antiqua" w:hAnsi="Book Antiqua" w:eastAsia="Book Antiqua" w:cs="Book Antiqua"/>
          <w:color w:val="000000"/>
        </w:rPr>
        <w:t>: 15104 [PMID: 29118437 DOI: 10.1038/s41598-017-15430-5]</w:t>
      </w:r>
    </w:p>
    <w:p>
      <w:pPr>
        <w:spacing w:line="360" w:lineRule="auto"/>
        <w:jc w:val="both"/>
      </w:pPr>
      <w:r>
        <w:rPr>
          <w:rFonts w:ascii="Book Antiqua" w:hAnsi="Book Antiqua" w:eastAsia="Book Antiqua" w:cs="Book Antiqua"/>
          <w:color w:val="000000"/>
        </w:rPr>
        <w:t xml:space="preserve">5 </w:t>
      </w:r>
      <w:r>
        <w:rPr>
          <w:rFonts w:ascii="Book Antiqua" w:hAnsi="Book Antiqua" w:eastAsia="Book Antiqua" w:cs="Book Antiqua"/>
          <w:b/>
          <w:bCs/>
          <w:color w:val="000000"/>
        </w:rPr>
        <w:t>Chen CH</w:t>
      </w:r>
      <w:r>
        <w:rPr>
          <w:rFonts w:ascii="Book Antiqua" w:hAnsi="Book Antiqua" w:eastAsia="Book Antiqua" w:cs="Book Antiqua"/>
          <w:color w:val="000000"/>
        </w:rPr>
        <w:t xml:space="preserve">, Lin CL, Kao CH. The Risk of Venous Thromboembolism in Patients with Gallstones. </w:t>
      </w:r>
      <w:r>
        <w:rPr>
          <w:rFonts w:ascii="Book Antiqua" w:hAnsi="Book Antiqua" w:eastAsia="Book Antiqua" w:cs="Book Antiqua"/>
          <w:i/>
          <w:iCs/>
          <w:color w:val="000000"/>
        </w:rPr>
        <w:t>Int J Environ Res Public Health</w:t>
      </w:r>
      <w:r>
        <w:rPr>
          <w:rFonts w:ascii="Book Antiqua" w:hAnsi="Book Antiqua" w:eastAsia="Book Antiqua" w:cs="Book Antiqua"/>
          <w:color w:val="000000"/>
        </w:rPr>
        <w:t xml:space="preserve"> 2020; </w:t>
      </w:r>
      <w:r>
        <w:rPr>
          <w:rFonts w:ascii="Book Antiqua" w:hAnsi="Book Antiqua" w:eastAsia="Book Antiqua" w:cs="Book Antiqua"/>
          <w:b/>
          <w:bCs/>
          <w:color w:val="000000"/>
        </w:rPr>
        <w:t>17</w:t>
      </w:r>
      <w:r>
        <w:rPr>
          <w:rFonts w:ascii="Book Antiqua" w:hAnsi="Book Antiqua" w:eastAsia="Book Antiqua" w:cs="Book Antiqua"/>
          <w:color w:val="000000"/>
        </w:rPr>
        <w:t xml:space="preserve"> [PMID: 32340378 DOI: 10.3390/ijerph17082930]</w:t>
      </w:r>
    </w:p>
    <w:p>
      <w:pPr>
        <w:spacing w:line="360" w:lineRule="auto"/>
        <w:jc w:val="both"/>
      </w:pPr>
      <w:r>
        <w:rPr>
          <w:rFonts w:ascii="Book Antiqua" w:hAnsi="Book Antiqua" w:eastAsia="Book Antiqua" w:cs="Book Antiqua"/>
          <w:color w:val="000000"/>
        </w:rPr>
        <w:t xml:space="preserve">6 </w:t>
      </w:r>
      <w:r>
        <w:rPr>
          <w:rFonts w:ascii="Book Antiqua" w:hAnsi="Book Antiqua" w:eastAsia="Book Antiqua" w:cs="Book Antiqua"/>
          <w:b/>
          <w:bCs/>
          <w:color w:val="000000"/>
        </w:rPr>
        <w:t>Wand O</w:t>
      </w:r>
      <w:r>
        <w:rPr>
          <w:rFonts w:ascii="Book Antiqua" w:hAnsi="Book Antiqua" w:eastAsia="Book Antiqua" w:cs="Book Antiqua"/>
          <w:color w:val="000000"/>
        </w:rPr>
        <w:t xml:space="preserve">, Tayer-Shifman OE, Khoury S, Hershko AY. A practical approach to infarction of the spleen as a rare manifestation of multiple common diseases. </w:t>
      </w:r>
      <w:r>
        <w:rPr>
          <w:rFonts w:ascii="Book Antiqua" w:hAnsi="Book Antiqua" w:eastAsia="Book Antiqua" w:cs="Book Antiqua"/>
          <w:i/>
          <w:iCs/>
          <w:color w:val="000000"/>
        </w:rPr>
        <w:t>Ann Med</w:t>
      </w:r>
      <w:r>
        <w:rPr>
          <w:rFonts w:ascii="Book Antiqua" w:hAnsi="Book Antiqua" w:eastAsia="Book Antiqua" w:cs="Book Antiqua"/>
          <w:color w:val="000000"/>
        </w:rPr>
        <w:t xml:space="preserve"> 2018; </w:t>
      </w:r>
      <w:r>
        <w:rPr>
          <w:rFonts w:ascii="Book Antiqua" w:hAnsi="Book Antiqua" w:eastAsia="Book Antiqua" w:cs="Book Antiqua"/>
          <w:b/>
          <w:bCs/>
          <w:color w:val="000000"/>
        </w:rPr>
        <w:t>50</w:t>
      </w:r>
      <w:r>
        <w:rPr>
          <w:rFonts w:ascii="Book Antiqua" w:hAnsi="Book Antiqua" w:eastAsia="Book Antiqua" w:cs="Book Antiqua"/>
          <w:color w:val="000000"/>
        </w:rPr>
        <w:t>: 494-500 [PMID: 29929401 DOI: 10.1080/07853890.2018.1492148]</w:t>
      </w:r>
    </w:p>
    <w:p>
      <w:pPr>
        <w:spacing w:line="360" w:lineRule="auto"/>
        <w:jc w:val="both"/>
      </w:pPr>
      <w:r>
        <w:rPr>
          <w:rFonts w:ascii="Book Antiqua" w:hAnsi="Book Antiqua" w:eastAsia="Book Antiqua" w:cs="Book Antiqua"/>
          <w:color w:val="000000"/>
        </w:rPr>
        <w:t xml:space="preserve">7 </w:t>
      </w:r>
      <w:r>
        <w:rPr>
          <w:rFonts w:ascii="Book Antiqua" w:hAnsi="Book Antiqua" w:eastAsia="Book Antiqua" w:cs="Book Antiqua"/>
          <w:b/>
          <w:bCs/>
          <w:color w:val="000000"/>
        </w:rPr>
        <w:t>Friedman GD</w:t>
      </w:r>
      <w:r>
        <w:rPr>
          <w:rFonts w:ascii="Book Antiqua" w:hAnsi="Book Antiqua" w:eastAsia="Book Antiqua" w:cs="Book Antiqua"/>
          <w:color w:val="000000"/>
        </w:rPr>
        <w:t xml:space="preserve">. Natural history of asymptomatic and symptomatic gallstones. </w:t>
      </w:r>
      <w:r>
        <w:rPr>
          <w:rFonts w:ascii="Book Antiqua" w:hAnsi="Book Antiqua" w:eastAsia="Book Antiqua" w:cs="Book Antiqua"/>
          <w:i/>
          <w:iCs/>
          <w:color w:val="000000"/>
        </w:rPr>
        <w:t>Am J Surg</w:t>
      </w:r>
      <w:r>
        <w:rPr>
          <w:rFonts w:ascii="Book Antiqua" w:hAnsi="Book Antiqua" w:eastAsia="Book Antiqua" w:cs="Book Antiqua"/>
          <w:color w:val="000000"/>
        </w:rPr>
        <w:t xml:space="preserve"> 1993; </w:t>
      </w:r>
      <w:r>
        <w:rPr>
          <w:rFonts w:ascii="Book Antiqua" w:hAnsi="Book Antiqua" w:eastAsia="Book Antiqua" w:cs="Book Antiqua"/>
          <w:b/>
          <w:bCs/>
          <w:color w:val="000000"/>
        </w:rPr>
        <w:t>165</w:t>
      </w:r>
      <w:r>
        <w:rPr>
          <w:rFonts w:ascii="Book Antiqua" w:hAnsi="Book Antiqua" w:eastAsia="Book Antiqua" w:cs="Book Antiqua"/>
          <w:color w:val="000000"/>
        </w:rPr>
        <w:t>: 399-404 [PMID: 8480871 DOI: 10.1016/s0002-9610(05)80930-4]</w:t>
      </w:r>
    </w:p>
    <w:p>
      <w:pPr>
        <w:spacing w:line="360" w:lineRule="auto"/>
        <w:jc w:val="both"/>
      </w:pPr>
      <w:r>
        <w:rPr>
          <w:rFonts w:ascii="Book Antiqua" w:hAnsi="Book Antiqua" w:eastAsia="Book Antiqua" w:cs="Book Antiqua"/>
          <w:color w:val="000000"/>
        </w:rPr>
        <w:t xml:space="preserve">8 </w:t>
      </w:r>
      <w:r>
        <w:rPr>
          <w:rFonts w:ascii="Book Antiqua" w:hAnsi="Book Antiqua" w:eastAsia="Book Antiqua" w:cs="Book Antiqua"/>
          <w:b/>
          <w:bCs/>
          <w:color w:val="000000"/>
        </w:rPr>
        <w:t>Wei CY</w:t>
      </w:r>
      <w:r>
        <w:rPr>
          <w:rFonts w:ascii="Book Antiqua" w:hAnsi="Book Antiqua" w:eastAsia="Book Antiqua" w:cs="Book Antiqua"/>
          <w:color w:val="000000"/>
        </w:rPr>
        <w:t xml:space="preserve">, Chung TC, Chen CH, Lin CC, Sung FC, Chung WT, Kung WM, Hsu CY, Yeh YH. Gallstone disease and the risk of stroke: a nationwide population-based study. </w:t>
      </w:r>
      <w:r>
        <w:rPr>
          <w:rFonts w:ascii="Book Antiqua" w:hAnsi="Book Antiqua" w:eastAsia="Book Antiqua" w:cs="Book Antiqua"/>
          <w:i/>
          <w:iCs/>
          <w:color w:val="000000"/>
        </w:rPr>
        <w:t>J Stroke Cerebrovasc Dis</w:t>
      </w:r>
      <w:r>
        <w:rPr>
          <w:rFonts w:ascii="Book Antiqua" w:hAnsi="Book Antiqua" w:eastAsia="Book Antiqua" w:cs="Book Antiqua"/>
          <w:color w:val="000000"/>
        </w:rPr>
        <w:t xml:space="preserve"> 2014; </w:t>
      </w:r>
      <w:r>
        <w:rPr>
          <w:rFonts w:ascii="Book Antiqua" w:hAnsi="Book Antiqua" w:eastAsia="Book Antiqua" w:cs="Book Antiqua"/>
          <w:b/>
          <w:bCs/>
          <w:color w:val="000000"/>
        </w:rPr>
        <w:t>23</w:t>
      </w:r>
      <w:r>
        <w:rPr>
          <w:rFonts w:ascii="Book Antiqua" w:hAnsi="Book Antiqua" w:eastAsia="Book Antiqua" w:cs="Book Antiqua"/>
          <w:color w:val="000000"/>
        </w:rPr>
        <w:t>: 1813-1820 [PMID: 24957305 DOI: 10.1016/j.jstrokecerebrovasdis.2014.04.024]</w:t>
      </w:r>
    </w:p>
    <w:p>
      <w:pPr>
        <w:spacing w:line="360" w:lineRule="auto"/>
        <w:jc w:val="both"/>
      </w:pPr>
      <w:r>
        <w:rPr>
          <w:rFonts w:ascii="Book Antiqua" w:hAnsi="Book Antiqua" w:eastAsia="Book Antiqua" w:cs="Book Antiqua"/>
          <w:color w:val="000000"/>
        </w:rPr>
        <w:t xml:space="preserve">9 </w:t>
      </w:r>
      <w:r>
        <w:rPr>
          <w:rFonts w:ascii="Book Antiqua" w:hAnsi="Book Antiqua" w:eastAsia="Book Antiqua" w:cs="Book Antiqua"/>
          <w:b/>
          <w:bCs/>
          <w:color w:val="000000"/>
        </w:rPr>
        <w:t>Olaiya MT</w:t>
      </w:r>
      <w:r>
        <w:rPr>
          <w:rFonts w:ascii="Book Antiqua" w:hAnsi="Book Antiqua" w:eastAsia="Book Antiqua" w:cs="Book Antiqua"/>
          <w:color w:val="000000"/>
        </w:rPr>
        <w:t xml:space="preserve">, Chiou HY, Jeng JS, Lien LM, Hsieh FI. Significantly increased risk of cardiovascular disease among patients with gallstone disease: a population-based cohort study. </w:t>
      </w:r>
      <w:r>
        <w:rPr>
          <w:rFonts w:ascii="Book Antiqua" w:hAnsi="Book Antiqua" w:eastAsia="Book Antiqua" w:cs="Book Antiqua"/>
          <w:i/>
          <w:iCs/>
          <w:color w:val="000000"/>
        </w:rPr>
        <w:t>PLoS One</w:t>
      </w:r>
      <w:r>
        <w:rPr>
          <w:rFonts w:ascii="Book Antiqua" w:hAnsi="Book Antiqua" w:eastAsia="Book Antiqua" w:cs="Book Antiqua"/>
          <w:color w:val="000000"/>
        </w:rPr>
        <w:t xml:space="preserve"> 2013; </w:t>
      </w:r>
      <w:r>
        <w:rPr>
          <w:rFonts w:ascii="Book Antiqua" w:hAnsi="Book Antiqua" w:eastAsia="Book Antiqua" w:cs="Book Antiqua"/>
          <w:b/>
          <w:bCs/>
          <w:color w:val="000000"/>
        </w:rPr>
        <w:t>8</w:t>
      </w:r>
      <w:r>
        <w:rPr>
          <w:rFonts w:ascii="Book Antiqua" w:hAnsi="Book Antiqua" w:eastAsia="Book Antiqua" w:cs="Book Antiqua"/>
          <w:color w:val="000000"/>
        </w:rPr>
        <w:t>: e76448 [PMID: 24098504 DOI: 10.1371/journal.pone.0076448]</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Levi M</w:t>
      </w:r>
      <w:r>
        <w:rPr>
          <w:rFonts w:ascii="Book Antiqua" w:hAnsi="Book Antiqua" w:eastAsia="Book Antiqua" w:cs="Book Antiqua"/>
          <w:color w:val="000000"/>
        </w:rPr>
        <w:t xml:space="preserve">, van der Poll T, Büller HR. Bidirectional relation between inflammation and coagulation. </w:t>
      </w:r>
      <w:r>
        <w:rPr>
          <w:rFonts w:ascii="Book Antiqua" w:hAnsi="Book Antiqua" w:eastAsia="Book Antiqua" w:cs="Book Antiqua"/>
          <w:i/>
          <w:iCs/>
          <w:color w:val="000000"/>
        </w:rPr>
        <w:t>Circulation</w:t>
      </w:r>
      <w:r>
        <w:rPr>
          <w:rFonts w:ascii="Book Antiqua" w:hAnsi="Book Antiqua" w:eastAsia="Book Antiqua" w:cs="Book Antiqua"/>
          <w:color w:val="000000"/>
        </w:rPr>
        <w:t xml:space="preserve"> 2004; </w:t>
      </w:r>
      <w:r>
        <w:rPr>
          <w:rFonts w:ascii="Book Antiqua" w:hAnsi="Book Antiqua" w:eastAsia="Book Antiqua" w:cs="Book Antiqua"/>
          <w:b/>
          <w:bCs/>
          <w:color w:val="000000"/>
        </w:rPr>
        <w:t>109</w:t>
      </w:r>
      <w:r>
        <w:rPr>
          <w:rFonts w:ascii="Book Antiqua" w:hAnsi="Book Antiqua" w:eastAsia="Book Antiqua" w:cs="Book Antiqua"/>
          <w:color w:val="000000"/>
        </w:rPr>
        <w:t>: 2698-2704 [PMID: 15184294 DOI: 10.1161/01.Cir.0000131660.51520.9a]</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Levi M</w:t>
      </w:r>
      <w:r>
        <w:rPr>
          <w:rFonts w:ascii="Book Antiqua" w:hAnsi="Book Antiqua" w:eastAsia="Book Antiqua" w:cs="Book Antiqua"/>
          <w:color w:val="000000"/>
        </w:rPr>
        <w:t xml:space="preserve">, van der Poll T, ten Cate H, van Deventer SJ. The cytokine-mediated imbalance between coagulant and anticoagulant mechanisms in sepsis and endotoxaemia. </w:t>
      </w:r>
      <w:r>
        <w:rPr>
          <w:rFonts w:ascii="Book Antiqua" w:hAnsi="Book Antiqua" w:eastAsia="Book Antiqua" w:cs="Book Antiqua"/>
          <w:i/>
          <w:iCs/>
          <w:color w:val="000000"/>
        </w:rPr>
        <w:t>Eur J Clin Invest</w:t>
      </w:r>
      <w:r>
        <w:rPr>
          <w:rFonts w:ascii="Book Antiqua" w:hAnsi="Book Antiqua" w:eastAsia="Book Antiqua" w:cs="Book Antiqua"/>
          <w:color w:val="000000"/>
        </w:rPr>
        <w:t xml:space="preserve"> 1997; </w:t>
      </w:r>
      <w:r>
        <w:rPr>
          <w:rFonts w:ascii="Book Antiqua" w:hAnsi="Book Antiqua" w:eastAsia="Book Antiqua" w:cs="Book Antiqua"/>
          <w:b/>
          <w:bCs/>
          <w:color w:val="000000"/>
        </w:rPr>
        <w:t>27</w:t>
      </w:r>
      <w:r>
        <w:rPr>
          <w:rFonts w:ascii="Book Antiqua" w:hAnsi="Book Antiqua" w:eastAsia="Book Antiqua" w:cs="Book Antiqua"/>
          <w:color w:val="000000"/>
        </w:rPr>
        <w:t>: 3-9 [PMID: 9041370 DOI: 10.1046/j.1365-2362.1997.570614.x]</w:t>
      </w:r>
    </w:p>
    <w:p>
      <w:pPr>
        <w:spacing w:line="360" w:lineRule="auto"/>
        <w:jc w:val="both"/>
      </w:pPr>
      <w:r>
        <w:rPr>
          <w:rFonts w:ascii="Book Antiqua" w:hAnsi="Book Antiqua" w:eastAsia="Book Antiqua" w:cs="Book Antiqua"/>
          <w:color w:val="000000"/>
        </w:rPr>
        <w:t xml:space="preserve">12 </w:t>
      </w:r>
      <w:r>
        <w:rPr>
          <w:rFonts w:ascii="Book Antiqua" w:hAnsi="Book Antiqua" w:eastAsia="Book Antiqua" w:cs="Book Antiqua"/>
          <w:b/>
          <w:bCs/>
          <w:color w:val="000000"/>
        </w:rPr>
        <w:t>Kasprzak A</w:t>
      </w:r>
      <w:r>
        <w:rPr>
          <w:rFonts w:ascii="Book Antiqua" w:hAnsi="Book Antiqua" w:eastAsia="Book Antiqua" w:cs="Book Antiqua"/>
          <w:color w:val="000000"/>
        </w:rPr>
        <w:t xml:space="preserve">, Szmyt M, Malkowski W, Przybyszewska W, Helak-Łapaj C, Seraszek-Jaros A, Surdacka A, Małkowska-Lanzafame A, Kaczmarek E. Analysis of immunohistochemical expression of proinflammatory cytokines (IL-1α, IL-6, and TNF-α) in gallbladder mucosa: comparative study in acute and chronic calculous cholecystitis. </w:t>
      </w:r>
      <w:r>
        <w:rPr>
          <w:rFonts w:ascii="Book Antiqua" w:hAnsi="Book Antiqua" w:eastAsia="Book Antiqua" w:cs="Book Antiqua"/>
          <w:i/>
          <w:iCs/>
          <w:color w:val="000000"/>
        </w:rPr>
        <w:t>Folia Morphol (Warsz)</w:t>
      </w:r>
      <w:r>
        <w:rPr>
          <w:rFonts w:ascii="Book Antiqua" w:hAnsi="Book Antiqua" w:eastAsia="Book Antiqua" w:cs="Book Antiqua"/>
          <w:color w:val="000000"/>
        </w:rPr>
        <w:t xml:space="preserve"> 2015; </w:t>
      </w:r>
      <w:r>
        <w:rPr>
          <w:rFonts w:ascii="Book Antiqua" w:hAnsi="Book Antiqua" w:eastAsia="Book Antiqua" w:cs="Book Antiqua"/>
          <w:b/>
          <w:bCs/>
          <w:color w:val="000000"/>
        </w:rPr>
        <w:t>74</w:t>
      </w:r>
      <w:r>
        <w:rPr>
          <w:rFonts w:ascii="Book Antiqua" w:hAnsi="Book Antiqua" w:eastAsia="Book Antiqua" w:cs="Book Antiqua"/>
          <w:color w:val="000000"/>
        </w:rPr>
        <w:t>: 65-72 [PMID: 25792398 DOI: 10.5603/FM.2015.0011]</w:t>
      </w:r>
    </w:p>
    <w:p>
      <w:pPr>
        <w:spacing w:line="360" w:lineRule="auto"/>
        <w:jc w:val="both"/>
      </w:pPr>
      <w:r>
        <w:rPr>
          <w:rFonts w:ascii="Book Antiqua" w:hAnsi="Book Antiqua" w:eastAsia="Book Antiqua" w:cs="Book Antiqua"/>
          <w:color w:val="000000"/>
        </w:rPr>
        <w:t xml:space="preserve">13 </w:t>
      </w:r>
      <w:r>
        <w:rPr>
          <w:rFonts w:ascii="Book Antiqua" w:hAnsi="Book Antiqua" w:eastAsia="Book Antiqua" w:cs="Book Antiqua"/>
          <w:b/>
          <w:bCs/>
          <w:color w:val="000000"/>
        </w:rPr>
        <w:t>Kulkarni V</w:t>
      </w:r>
      <w:r>
        <w:rPr>
          <w:rFonts w:ascii="Book Antiqua" w:hAnsi="Book Antiqua" w:eastAsia="Book Antiqua" w:cs="Book Antiqua"/>
          <w:color w:val="000000"/>
        </w:rPr>
        <w:t xml:space="preserve">, Deshmukh H, Gupta R. Pseudoaneurysm of anomalous cystic artery due to calculous cholecystitis. </w:t>
      </w:r>
      <w:r>
        <w:rPr>
          <w:rFonts w:ascii="Book Antiqua" w:hAnsi="Book Antiqua" w:eastAsia="Book Antiqua" w:cs="Book Antiqua"/>
          <w:i/>
          <w:iCs/>
          <w:color w:val="000000"/>
        </w:rPr>
        <w:t>BMJ Case Rep</w:t>
      </w:r>
      <w:r>
        <w:rPr>
          <w:rFonts w:ascii="Book Antiqua" w:hAnsi="Book Antiqua" w:eastAsia="Book Antiqua" w:cs="Book Antiqua"/>
          <w:color w:val="000000"/>
        </w:rPr>
        <w:t xml:space="preserve"> 2014; </w:t>
      </w:r>
      <w:r>
        <w:rPr>
          <w:rFonts w:ascii="Book Antiqua" w:hAnsi="Book Antiqua" w:eastAsia="Book Antiqua" w:cs="Book Antiqua"/>
          <w:b/>
          <w:bCs/>
          <w:color w:val="000000"/>
        </w:rPr>
        <w:t>2014</w:t>
      </w:r>
      <w:r>
        <w:rPr>
          <w:rFonts w:ascii="Book Antiqua" w:hAnsi="Book Antiqua" w:eastAsia="Book Antiqua" w:cs="Book Antiqua"/>
          <w:color w:val="000000"/>
        </w:rPr>
        <w:t xml:space="preserve"> [PMID: 25404251 DOI: 10.1136/bcr-2014-207069]</w:t>
      </w:r>
    </w:p>
    <w:p>
      <w:pPr>
        <w:spacing w:line="360" w:lineRule="auto"/>
        <w:jc w:val="both"/>
      </w:pPr>
      <w:r>
        <w:rPr>
          <w:rFonts w:ascii="Book Antiqua" w:hAnsi="Book Antiqua" w:eastAsia="Book Antiqua" w:cs="Book Antiqua"/>
          <w:color w:val="000000"/>
        </w:rPr>
        <w:t xml:space="preserve">14 </w:t>
      </w:r>
      <w:r>
        <w:rPr>
          <w:rFonts w:ascii="Book Antiqua" w:hAnsi="Book Antiqua" w:eastAsia="Book Antiqua" w:cs="Book Antiqua"/>
          <w:b/>
          <w:bCs/>
          <w:color w:val="000000"/>
        </w:rPr>
        <w:t>Geetha A</w:t>
      </w:r>
      <w:r>
        <w:rPr>
          <w:rFonts w:ascii="Book Antiqua" w:hAnsi="Book Antiqua" w:eastAsia="Book Antiqua" w:cs="Book Antiqua"/>
          <w:color w:val="000000"/>
        </w:rPr>
        <w:t xml:space="preserve">. Evidence for oxidative stress in the gall bladder mucosa of gall stone patients. </w:t>
      </w:r>
      <w:r>
        <w:rPr>
          <w:rFonts w:ascii="Book Antiqua" w:hAnsi="Book Antiqua" w:eastAsia="Book Antiqua" w:cs="Book Antiqua"/>
          <w:i/>
          <w:iCs/>
          <w:color w:val="000000"/>
        </w:rPr>
        <w:t>J Biochem Mol Biol Biophys</w:t>
      </w:r>
      <w:r>
        <w:rPr>
          <w:rFonts w:ascii="Book Antiqua" w:hAnsi="Book Antiqua" w:eastAsia="Book Antiqua" w:cs="Book Antiqua"/>
          <w:color w:val="000000"/>
        </w:rPr>
        <w:t xml:space="preserve"> 2002; </w:t>
      </w:r>
      <w:r>
        <w:rPr>
          <w:rFonts w:ascii="Book Antiqua" w:hAnsi="Book Antiqua" w:eastAsia="Book Antiqua" w:cs="Book Antiqua"/>
          <w:b/>
          <w:bCs/>
          <w:color w:val="000000"/>
        </w:rPr>
        <w:t>6</w:t>
      </w:r>
      <w:r>
        <w:rPr>
          <w:rFonts w:ascii="Book Antiqua" w:hAnsi="Book Antiqua" w:eastAsia="Book Antiqua" w:cs="Book Antiqua"/>
          <w:color w:val="000000"/>
        </w:rPr>
        <w:t>: 427-432 [PMID: 14972799 DOI: 10.1080/1025814021000036179]</w:t>
      </w:r>
    </w:p>
    <w:p>
      <w:pPr>
        <w:spacing w:line="360" w:lineRule="auto"/>
        <w:jc w:val="both"/>
      </w:pPr>
      <w:r>
        <w:rPr>
          <w:rFonts w:ascii="Book Antiqua" w:hAnsi="Book Antiqua" w:eastAsia="Book Antiqua" w:cs="Book Antiqua"/>
          <w:color w:val="000000"/>
        </w:rPr>
        <w:t xml:space="preserve">15 </w:t>
      </w:r>
      <w:r>
        <w:rPr>
          <w:rFonts w:ascii="Book Antiqua" w:hAnsi="Book Antiqua" w:eastAsia="Book Antiqua" w:cs="Book Antiqua"/>
          <w:b/>
          <w:bCs/>
          <w:color w:val="000000"/>
        </w:rPr>
        <w:t>Saghazadeh A</w:t>
      </w:r>
      <w:r>
        <w:rPr>
          <w:rFonts w:ascii="Book Antiqua" w:hAnsi="Book Antiqua" w:eastAsia="Book Antiqua" w:cs="Book Antiqua"/>
          <w:color w:val="000000"/>
        </w:rPr>
        <w:t xml:space="preserve">, Hafizi S, Rezaei N. Inflammation in venous thromboembolism: Cause or consequence? </w:t>
      </w:r>
      <w:r>
        <w:rPr>
          <w:rFonts w:ascii="Book Antiqua" w:hAnsi="Book Antiqua" w:eastAsia="Book Antiqua" w:cs="Book Antiqua"/>
          <w:i/>
          <w:iCs/>
          <w:color w:val="000000"/>
        </w:rPr>
        <w:t>Int Immunopharmacol</w:t>
      </w:r>
      <w:r>
        <w:rPr>
          <w:rFonts w:ascii="Book Antiqua" w:hAnsi="Book Antiqua" w:eastAsia="Book Antiqua" w:cs="Book Antiqua"/>
          <w:color w:val="000000"/>
        </w:rPr>
        <w:t xml:space="preserve"> 2015; </w:t>
      </w:r>
      <w:r>
        <w:rPr>
          <w:rFonts w:ascii="Book Antiqua" w:hAnsi="Book Antiqua" w:eastAsia="Book Antiqua" w:cs="Book Antiqua"/>
          <w:b/>
          <w:bCs/>
          <w:color w:val="000000"/>
        </w:rPr>
        <w:t>28</w:t>
      </w:r>
      <w:r>
        <w:rPr>
          <w:rFonts w:ascii="Book Antiqua" w:hAnsi="Book Antiqua" w:eastAsia="Book Antiqua" w:cs="Book Antiqua"/>
          <w:color w:val="000000"/>
        </w:rPr>
        <w:t>: 655-665 [PMID: 26253657 DOI: 10.1016/j.intimp.2015.07.044]</w:t>
      </w:r>
    </w:p>
    <w:p>
      <w:pPr>
        <w:spacing w:line="360" w:lineRule="auto"/>
        <w:jc w:val="both"/>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Informed written consent was obtained from the patient for publication of this report and any accompanying images.</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 </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Gastroenterological Society of Taiwan.</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February 6, 2022</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April 10, 2022</w:t>
      </w:r>
    </w:p>
    <w:p>
      <w:pPr>
        <w:spacing w:line="360" w:lineRule="auto"/>
        <w:jc w:val="both"/>
      </w:pPr>
      <w:r>
        <w:rPr>
          <w:rFonts w:ascii="Book Antiqua" w:hAnsi="Book Antiqua" w:eastAsia="Book Antiqua" w:cs="Book Antiqua"/>
          <w:b/>
          <w:color w:val="000000"/>
        </w:rPr>
        <w:t>Article in press:</w:t>
      </w:r>
      <w:r>
        <w:rPr>
          <w:rFonts w:hint="eastAsia" w:ascii="Book Antiqua" w:hAnsi="Book Antiqua" w:cs="Book Antiqua"/>
          <w:b/>
          <w:color w:val="000000"/>
          <w:lang w:eastAsia="zh-CN"/>
        </w:rPr>
        <w:t xml:space="preserve"> </w:t>
      </w:r>
      <w:r>
        <w:rPr>
          <w:rFonts w:ascii="Book Antiqua" w:hAnsi="Book Antiqua" w:eastAsia="Book Antiqua" w:cs="Book Antiqua"/>
          <w:bCs/>
          <w:color w:val="000000"/>
        </w:rPr>
        <w:t>July 20, 2022</w:t>
      </w:r>
      <w:r>
        <w:rPr>
          <w:rFonts w:ascii="Book Antiqua" w:hAnsi="Book Antiqua" w:eastAsia="Book Antiqua" w:cs="Book Antiqua"/>
          <w:b/>
          <w:color w:val="000000"/>
        </w:rPr>
        <w:t xml:space="preserve"> </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Taiwan</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Mishra TS, India; Moshref L, Saudi Arabia</w:t>
      </w:r>
      <w:r>
        <w:rPr>
          <w:rFonts w:ascii="Book Antiqua" w:hAnsi="Book Antiqua" w:eastAsia="Book Antiqua" w:cs="Book Antiqua"/>
          <w:b/>
          <w:color w:val="000000"/>
        </w:rPr>
        <w:t xml:space="preserve"> S-Editor: </w:t>
      </w:r>
      <w:r>
        <w:rPr>
          <w:rFonts w:ascii="Book Antiqua" w:hAnsi="Book Antiqua" w:eastAsia="Book Antiqua" w:cs="Book Antiqua"/>
          <w:color w:val="000000"/>
        </w:rPr>
        <w:t>Wang JL</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Wang JL</w:t>
      </w:r>
    </w:p>
    <w:p>
      <w:pPr>
        <w:spacing w:line="360" w:lineRule="auto"/>
        <w:jc w:val="both"/>
        <w:rPr>
          <w:rFonts w:ascii="Book Antiqua" w:hAnsi="Book Antiqua" w:eastAsia="Book Antiqua" w:cs="Book Antiqua"/>
          <w:b/>
          <w:color w:val="000000"/>
        </w:rPr>
      </w:pPr>
    </w:p>
    <w:p>
      <w:pPr>
        <w:spacing w:line="360" w:lineRule="auto"/>
        <w:jc w:val="both"/>
      </w:pPr>
      <w:r>
        <w:rPr>
          <w:rFonts w:ascii="Book Antiqua" w:hAnsi="Book Antiqua" w:eastAsia="Book Antiqua" w:cs="Book Antiqua"/>
          <w:b/>
          <w:color w:val="000000"/>
        </w:rPr>
        <w:t>Figure Legends</w:t>
      </w: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4511040" cy="2648585"/>
            <wp:effectExtent l="0" t="0" r="0" b="3175"/>
            <wp:docPr id="3" name="图片 3" descr="WJCC-10-896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8968-g001"/>
                    <pic:cNvPicPr>
                      <a:picLocks noChangeAspect="1"/>
                    </pic:cNvPicPr>
                  </pic:nvPicPr>
                  <pic:blipFill>
                    <a:blip r:embed="rId5"/>
                    <a:stretch>
                      <a:fillRect/>
                    </a:stretch>
                  </pic:blipFill>
                  <pic:spPr>
                    <a:xfrm>
                      <a:off x="0" y="0"/>
                      <a:ext cx="4511040" cy="2648585"/>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Figure 1 Ultrasound and contras-enhanced computed tomography images. </w:t>
      </w:r>
      <w:r>
        <w:rPr>
          <w:rFonts w:ascii="Book Antiqua" w:hAnsi="Book Antiqua" w:eastAsia="Book Antiqua" w:cs="Book Antiqua"/>
          <w:color w:val="000000"/>
        </w:rPr>
        <w:t>A:</w:t>
      </w:r>
      <w:r>
        <w:rPr>
          <w:rFonts w:ascii="Book Antiqua" w:hAnsi="Book Antiqua" w:eastAsia="Book Antiqua" w:cs="Book Antiqua"/>
          <w:b/>
          <w:bCs/>
          <w:color w:val="000000"/>
        </w:rPr>
        <w:t xml:space="preserve"> </w:t>
      </w:r>
      <w:r>
        <w:rPr>
          <w:rFonts w:ascii="Book Antiqua" w:hAnsi="Book Antiqua" w:eastAsia="Book Antiqua" w:cs="Book Antiqua"/>
          <w:color w:val="000000"/>
        </w:rPr>
        <w:t>Ultrasound showed hypoechoic area compared to the rest of the spleen; B: Contras-enhanced computed tomography revealed hyperdense stones at gallbladder and cystic duct. Irregular filling defect in celiac trunk, common hepatic artery and partial splenic artery along with fat stranding, and focal wedge-shaped hypoenhancing region of spleen (</w:t>
      </w:r>
      <w:r>
        <w:rPr>
          <w:rFonts w:ascii="Book Antiqua" w:hAnsi="Book Antiqua" w:eastAsia="Book Antiqua" w:cs="Book Antiqua"/>
          <w:color w:val="000000"/>
          <w:shd w:val="clear" w:color="auto" w:fill="FFFFFF"/>
        </w:rPr>
        <w:t>arrows</w:t>
      </w:r>
      <w:r>
        <w:rPr>
          <w:rFonts w:ascii="Book Antiqua" w:hAnsi="Book Antiqua" w:eastAsia="Book Antiqua" w:cs="Book Antiqua"/>
          <w:color w:val="000000"/>
        </w:rPr>
        <w:t>), suggesting extensive thrombosis following splenic infarction.</w:t>
      </w:r>
    </w:p>
    <w:p>
      <w:pPr>
        <w:spacing w:line="360" w:lineRule="auto"/>
        <w:jc w:val="both"/>
      </w:pPr>
    </w:p>
    <w:p>
      <w:pPr>
        <w:spacing w:line="360" w:lineRule="auto"/>
        <w:jc w:val="both"/>
        <w:rPr>
          <w:rFonts w:hint="eastAsia" w:ascii="Book Antiqua" w:hAnsi="Book Antiqua" w:eastAsia="宋体" w:cs="Book Antiqua"/>
          <w:b/>
          <w:bCs/>
          <w:color w:val="000000"/>
          <w:lang w:eastAsia="zh-CN"/>
        </w:rPr>
      </w:pPr>
      <w:bookmarkStart w:id="0" w:name="_GoBack"/>
      <w:r>
        <w:rPr>
          <w:rFonts w:hint="eastAsia" w:ascii="Book Antiqua" w:hAnsi="Book Antiqua" w:eastAsia="宋体" w:cs="Book Antiqua"/>
          <w:b/>
          <w:bCs/>
          <w:color w:val="000000"/>
          <w:lang w:eastAsia="zh-CN"/>
        </w:rPr>
        <w:drawing>
          <wp:inline distT="0" distB="0" distL="114300" distR="114300">
            <wp:extent cx="4800600" cy="2289175"/>
            <wp:effectExtent l="0" t="0" r="0" b="12065"/>
            <wp:docPr id="4" name="图片 4" descr="WJCC-10-896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8968-g002"/>
                    <pic:cNvPicPr>
                      <a:picLocks noChangeAspect="1"/>
                    </pic:cNvPicPr>
                  </pic:nvPicPr>
                  <pic:blipFill>
                    <a:blip r:embed="rId6"/>
                    <a:stretch>
                      <a:fillRect/>
                    </a:stretch>
                  </pic:blipFill>
                  <pic:spPr>
                    <a:xfrm>
                      <a:off x="0" y="0"/>
                      <a:ext cx="4800600" cy="2289175"/>
                    </a:xfrm>
                    <a:prstGeom prst="rect">
                      <a:avLst/>
                    </a:prstGeom>
                  </pic:spPr>
                </pic:pic>
              </a:graphicData>
            </a:graphic>
          </wp:inline>
        </w:drawing>
      </w:r>
      <w:bookmarkEnd w:id="0"/>
    </w:p>
    <w:p>
      <w:pPr>
        <w:spacing w:line="360" w:lineRule="auto"/>
        <w:jc w:val="both"/>
        <w:rPr>
          <w:rFonts w:ascii="Book Antiqua" w:hAnsi="Book Antiqua" w:eastAsia="Book Antiqua" w:cs="Book Antiqua"/>
          <w:color w:val="000000"/>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rPr>
        <w:t xml:space="preserve">Figure 2 Contrast-enhanced computed tomography image. </w:t>
      </w:r>
      <w:r>
        <w:rPr>
          <w:rFonts w:ascii="Book Antiqua" w:hAnsi="Book Antiqua" w:eastAsia="Book Antiqua" w:cs="Book Antiqua"/>
          <w:color w:val="000000"/>
        </w:rPr>
        <w:t>Contrast-enhanced computed tomography scan present hyperdense gallstone and previous cystic duct stone become lodged in the common bile duct (</w:t>
      </w:r>
      <w:r>
        <w:rPr>
          <w:rFonts w:ascii="Book Antiqua" w:hAnsi="Book Antiqua" w:eastAsia="Book Antiqua" w:cs="Book Antiqua"/>
          <w:color w:val="000000"/>
          <w:shd w:val="clear" w:color="auto" w:fill="FFFFFF"/>
        </w:rPr>
        <w:t>arrow</w:t>
      </w:r>
      <w:r>
        <w:rPr>
          <w:rFonts w:ascii="Book Antiqua" w:hAnsi="Book Antiqua" w:eastAsia="Book Antiqua" w:cs="Book Antiqua"/>
          <w:color w:val="000000"/>
        </w:rPr>
        <w:t>). Recovery of splenic infarction.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398615"/>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75579"/>
    <w:rsid w:val="000E040F"/>
    <w:rsid w:val="001107DC"/>
    <w:rsid w:val="00130B66"/>
    <w:rsid w:val="00163367"/>
    <w:rsid w:val="001B7CBD"/>
    <w:rsid w:val="001D50D9"/>
    <w:rsid w:val="001E7AFB"/>
    <w:rsid w:val="00220EA7"/>
    <w:rsid w:val="002C3FDC"/>
    <w:rsid w:val="00326A6D"/>
    <w:rsid w:val="0035129F"/>
    <w:rsid w:val="003E3EA7"/>
    <w:rsid w:val="003E7A7E"/>
    <w:rsid w:val="003F6357"/>
    <w:rsid w:val="00402C1E"/>
    <w:rsid w:val="0041307E"/>
    <w:rsid w:val="00422939"/>
    <w:rsid w:val="00424676"/>
    <w:rsid w:val="00446265"/>
    <w:rsid w:val="00472714"/>
    <w:rsid w:val="004A0939"/>
    <w:rsid w:val="004A3DF3"/>
    <w:rsid w:val="004C3E4C"/>
    <w:rsid w:val="004C5E08"/>
    <w:rsid w:val="004D7E82"/>
    <w:rsid w:val="00504240"/>
    <w:rsid w:val="00506A3A"/>
    <w:rsid w:val="00525585"/>
    <w:rsid w:val="005516DD"/>
    <w:rsid w:val="005A1CD6"/>
    <w:rsid w:val="005E4F6F"/>
    <w:rsid w:val="006324D4"/>
    <w:rsid w:val="00641B3B"/>
    <w:rsid w:val="006727A0"/>
    <w:rsid w:val="0067401F"/>
    <w:rsid w:val="006C70D4"/>
    <w:rsid w:val="006D081C"/>
    <w:rsid w:val="006D12FD"/>
    <w:rsid w:val="006D73BA"/>
    <w:rsid w:val="00737FAB"/>
    <w:rsid w:val="00754A4E"/>
    <w:rsid w:val="007E18B5"/>
    <w:rsid w:val="007F2120"/>
    <w:rsid w:val="008515FC"/>
    <w:rsid w:val="008A4A96"/>
    <w:rsid w:val="008C5B53"/>
    <w:rsid w:val="008D2196"/>
    <w:rsid w:val="00964589"/>
    <w:rsid w:val="009A4623"/>
    <w:rsid w:val="009D73D3"/>
    <w:rsid w:val="00A17E8F"/>
    <w:rsid w:val="00A21FA9"/>
    <w:rsid w:val="00A42326"/>
    <w:rsid w:val="00A77B3E"/>
    <w:rsid w:val="00B82481"/>
    <w:rsid w:val="00BB4076"/>
    <w:rsid w:val="00C06B8F"/>
    <w:rsid w:val="00C15498"/>
    <w:rsid w:val="00C403BC"/>
    <w:rsid w:val="00C759DA"/>
    <w:rsid w:val="00CA2A55"/>
    <w:rsid w:val="00CE4799"/>
    <w:rsid w:val="00D50D3F"/>
    <w:rsid w:val="00D70832"/>
    <w:rsid w:val="00D80AE1"/>
    <w:rsid w:val="00DA6251"/>
    <w:rsid w:val="00DE0133"/>
    <w:rsid w:val="00DE2B29"/>
    <w:rsid w:val="00DE360B"/>
    <w:rsid w:val="00E047F6"/>
    <w:rsid w:val="00E51712"/>
    <w:rsid w:val="00E60366"/>
    <w:rsid w:val="00E87DB8"/>
    <w:rsid w:val="00E97772"/>
    <w:rsid w:val="00EB47A2"/>
    <w:rsid w:val="132C7C2A"/>
    <w:rsid w:val="67716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nhideWhenUsed/>
    <w:uiPriority w:val="99"/>
    <w:pPr>
      <w:tabs>
        <w:tab w:val="center" w:pos="4153"/>
        <w:tab w:val="right" w:pos="8306"/>
      </w:tabs>
      <w:snapToGrid w:val="0"/>
    </w:pPr>
    <w:rPr>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sz w:val="18"/>
      <w:szCs w:val="18"/>
    </w:rPr>
  </w:style>
  <w:style w:type="character" w:customStyle="1" w:styleId="8">
    <w:name w:val="页脚 Char"/>
    <w:basedOn w:val="6"/>
    <w:link w:val="3"/>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批注框文本 Char"/>
    <w:basedOn w:val="6"/>
    <w:link w:val="2"/>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2645</Words>
  <Characters>16620</Characters>
  <Lines>134</Lines>
  <Paragraphs>37</Paragraphs>
  <TotalTime>0</TotalTime>
  <ScaleCrop>false</ScaleCrop>
  <LinksUpToDate>false</LinksUpToDate>
  <CharactersWithSpaces>19167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2022-07-19T16:31:00Z</dcterms:created>
  <dc:creator>Lian-Sheng Ma</dc:creator>
  <cp:lastModifiedBy>晓晨</cp:lastModifiedBy>
  <dcterms:modified xsi:type="dcterms:W3CDTF">2022-08-26T06:00:45Z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865359BC513D4B7C9E309BD404A10E71</vt:lpwstr>
  </property>
</Properties>
</file>