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0289" w14:textId="77777777" w:rsidR="00D01483" w:rsidRDefault="007E3D42">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3C320AD3" w14:textId="77777777" w:rsidR="00D01483" w:rsidRDefault="007E3D4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75491</w:t>
      </w:r>
    </w:p>
    <w:p w14:paraId="66D61E50" w14:textId="77777777" w:rsidR="00D01483" w:rsidRDefault="007E3D4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F55BEDA" w14:textId="77777777" w:rsidR="00D01483" w:rsidRDefault="00D01483">
      <w:pPr>
        <w:spacing w:line="360" w:lineRule="auto"/>
        <w:jc w:val="both"/>
        <w:rPr>
          <w:rFonts w:ascii="Book Antiqua" w:hAnsi="Book Antiqua"/>
        </w:rPr>
      </w:pPr>
    </w:p>
    <w:p w14:paraId="5787783A" w14:textId="77777777" w:rsidR="00D01483" w:rsidRDefault="007E3D42">
      <w:pPr>
        <w:spacing w:line="360" w:lineRule="auto"/>
        <w:jc w:val="both"/>
        <w:rPr>
          <w:rFonts w:ascii="Book Antiqua" w:hAnsi="Book Antiqua"/>
        </w:rPr>
      </w:pPr>
      <w:r>
        <w:rPr>
          <w:rFonts w:ascii="Book Antiqua" w:eastAsia="Book Antiqua" w:hAnsi="Book Antiqua" w:cs="Book Antiqua"/>
          <w:b/>
          <w:i/>
          <w:color w:val="000000"/>
        </w:rPr>
        <w:t>Retrospective Cohort Study</w:t>
      </w:r>
    </w:p>
    <w:p w14:paraId="031C2A68" w14:textId="77777777" w:rsidR="00D01483" w:rsidRDefault="007E3D42">
      <w:pPr>
        <w:spacing w:line="360" w:lineRule="auto"/>
        <w:jc w:val="both"/>
        <w:rPr>
          <w:rFonts w:ascii="Book Antiqua" w:hAnsi="Book Antiqua"/>
        </w:rPr>
      </w:pPr>
      <w:r>
        <w:rPr>
          <w:rFonts w:ascii="Book Antiqua" w:eastAsia="Book Antiqua" w:hAnsi="Book Antiqua" w:cs="Book Antiqua"/>
          <w:b/>
          <w:color w:val="000000"/>
        </w:rPr>
        <w:t>Intensive care unit readmission in adult Egyptian patients undergoing living donor liver transplant: A single-centre retrospective cohort study</w:t>
      </w:r>
    </w:p>
    <w:p w14:paraId="6A938962" w14:textId="77777777" w:rsidR="00D01483" w:rsidRDefault="00D01483">
      <w:pPr>
        <w:spacing w:line="360" w:lineRule="auto"/>
        <w:jc w:val="both"/>
        <w:rPr>
          <w:rFonts w:ascii="Book Antiqua" w:hAnsi="Book Antiqua"/>
        </w:rPr>
      </w:pPr>
    </w:p>
    <w:p w14:paraId="390A57E2"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 xml:space="preserve">Salah M </w:t>
      </w:r>
      <w:r>
        <w:rPr>
          <w:rFonts w:ascii="Book Antiqua" w:eastAsia="Book Antiqua" w:hAnsi="Book Antiqua" w:cs="Book Antiqua"/>
          <w:i/>
          <w:color w:val="000000"/>
        </w:rPr>
        <w:t>et al</w:t>
      </w:r>
      <w:r>
        <w:rPr>
          <w:rFonts w:ascii="Book Antiqua" w:eastAsia="Book Antiqua" w:hAnsi="Book Antiqua" w:cs="Book Antiqua"/>
          <w:color w:val="000000"/>
        </w:rPr>
        <w:t>. ICU readmission and Liver transplantation</w:t>
      </w:r>
    </w:p>
    <w:p w14:paraId="5CDA5D6E" w14:textId="77777777" w:rsidR="00D01483" w:rsidRDefault="00D01483">
      <w:pPr>
        <w:spacing w:line="360" w:lineRule="auto"/>
        <w:jc w:val="both"/>
        <w:rPr>
          <w:rFonts w:ascii="Book Antiqua" w:hAnsi="Book Antiqua"/>
        </w:rPr>
      </w:pPr>
    </w:p>
    <w:p w14:paraId="403F271E"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Manar Salah, Iman Fawzy Montasser, Hanaa A El Gendy, Alaa A Korraa, Gamal M Elewa, Hany Dabbous, Hossam R Mahfouz, Mostafa Abdelrahman, Mohammed Hisham Goda, Mohamed Mohamed Bahaa El-Din, Mahmoud El-Meteini, Heba A Labib</w:t>
      </w:r>
    </w:p>
    <w:p w14:paraId="51CC81CA" w14:textId="77777777" w:rsidR="00D01483" w:rsidRDefault="00D01483">
      <w:pPr>
        <w:spacing w:line="360" w:lineRule="auto"/>
        <w:jc w:val="both"/>
        <w:rPr>
          <w:rFonts w:ascii="Book Antiqua" w:hAnsi="Book Antiqua"/>
        </w:rPr>
      </w:pPr>
    </w:p>
    <w:p w14:paraId="2D9BFEB2" w14:textId="77777777" w:rsidR="00D01483" w:rsidRDefault="007E3D42">
      <w:pPr>
        <w:spacing w:line="360" w:lineRule="auto"/>
        <w:jc w:val="both"/>
        <w:rPr>
          <w:rFonts w:ascii="Book Antiqua" w:hAnsi="Book Antiqua"/>
        </w:rPr>
      </w:pPr>
      <w:r>
        <w:rPr>
          <w:rFonts w:ascii="Book Antiqua" w:eastAsia="Book Antiqua" w:hAnsi="Book Antiqua" w:cs="Book Antiqua"/>
          <w:b/>
          <w:bCs/>
          <w:color w:val="000000"/>
        </w:rPr>
        <w:t xml:space="preserve">Manar Salah, Iman Fawzy Montasser, Hany Dabbous, </w:t>
      </w:r>
      <w:r>
        <w:rPr>
          <w:rFonts w:ascii="Book Antiqua" w:eastAsia="Book Antiqua" w:hAnsi="Book Antiqua" w:cs="Book Antiqua"/>
          <w:color w:val="000000"/>
        </w:rPr>
        <w:t>Department of Tropical Medicine, Ain Shams Center for Organ Transplantation, Ain Shams University, Cairo 11566, Egypt</w:t>
      </w:r>
    </w:p>
    <w:p w14:paraId="5486C41C" w14:textId="77777777" w:rsidR="00D01483" w:rsidRDefault="00D01483">
      <w:pPr>
        <w:spacing w:line="360" w:lineRule="auto"/>
        <w:jc w:val="both"/>
        <w:rPr>
          <w:rFonts w:ascii="Book Antiqua" w:hAnsi="Book Antiqua"/>
        </w:rPr>
      </w:pPr>
    </w:p>
    <w:p w14:paraId="511E5105" w14:textId="77777777" w:rsidR="00D01483" w:rsidRDefault="007E3D42">
      <w:pPr>
        <w:spacing w:line="360" w:lineRule="auto"/>
        <w:jc w:val="both"/>
        <w:rPr>
          <w:rFonts w:ascii="Book Antiqua" w:hAnsi="Book Antiqua"/>
        </w:rPr>
      </w:pPr>
      <w:r>
        <w:rPr>
          <w:rFonts w:ascii="Book Antiqua" w:eastAsia="Book Antiqua" w:hAnsi="Book Antiqua" w:cs="Book Antiqua"/>
          <w:b/>
          <w:bCs/>
          <w:color w:val="000000"/>
        </w:rPr>
        <w:t xml:space="preserve">Hanaa A El Gendy, Alaa A Korraa, Gamal M Elewa, Hossam R Mahfouz, Heba A Labib, </w:t>
      </w:r>
      <w:r>
        <w:rPr>
          <w:rFonts w:ascii="Book Antiqua" w:eastAsia="Book Antiqua" w:hAnsi="Book Antiqua" w:cs="Book Antiqua"/>
          <w:color w:val="000000"/>
        </w:rPr>
        <w:t>Department of Anaesthesia and Critical Care, Ain Shams Centre for Organ Transplantation, Ain Shams University, Cairo 11566, Egypt</w:t>
      </w:r>
    </w:p>
    <w:p w14:paraId="13170768" w14:textId="77777777" w:rsidR="00D01483" w:rsidRDefault="00D01483">
      <w:pPr>
        <w:spacing w:line="360" w:lineRule="auto"/>
        <w:jc w:val="both"/>
        <w:rPr>
          <w:rFonts w:ascii="Book Antiqua" w:hAnsi="Book Antiqua"/>
        </w:rPr>
      </w:pPr>
    </w:p>
    <w:p w14:paraId="7583EB68" w14:textId="77777777" w:rsidR="00D01483" w:rsidRDefault="007E3D42">
      <w:pPr>
        <w:spacing w:line="360" w:lineRule="auto"/>
        <w:jc w:val="both"/>
        <w:rPr>
          <w:rFonts w:ascii="Book Antiqua" w:hAnsi="Book Antiqua"/>
        </w:rPr>
      </w:pPr>
      <w:r>
        <w:rPr>
          <w:rFonts w:ascii="Book Antiqua" w:eastAsia="Book Antiqua" w:hAnsi="Book Antiqua" w:cs="Book Antiqua"/>
          <w:b/>
          <w:bCs/>
          <w:color w:val="000000"/>
        </w:rPr>
        <w:t xml:space="preserve">Mostafa Abdelrahman, Mohammed Hisham Goda, Mohamed Mohamed Bahaa El-Din, Mahmoud El-Meteini, </w:t>
      </w:r>
      <w:r>
        <w:rPr>
          <w:rFonts w:ascii="Book Antiqua" w:eastAsia="Book Antiqua" w:hAnsi="Book Antiqua" w:cs="Book Antiqua"/>
          <w:color w:val="000000"/>
        </w:rPr>
        <w:t>Department of General Surgery and Liver Transplantation, Ain Shams Centre for Organ Transplantation, Ain Shams University, Cairo 11566, Egypt</w:t>
      </w:r>
    </w:p>
    <w:p w14:paraId="60EAF1AF" w14:textId="77777777" w:rsidR="00D01483" w:rsidRDefault="00D01483">
      <w:pPr>
        <w:spacing w:line="360" w:lineRule="auto"/>
        <w:jc w:val="both"/>
        <w:rPr>
          <w:rFonts w:ascii="Book Antiqua" w:hAnsi="Book Antiqua"/>
        </w:rPr>
      </w:pPr>
    </w:p>
    <w:p w14:paraId="3046BEFC" w14:textId="77777777" w:rsidR="00D01483" w:rsidRDefault="007E3D4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Korraa AA, Elewa GM, and El Gendy HA designed the research; Montasser IF, Salah M, and Labib HA performed the research, wrote the paper, contributed analytical tools and analysed the data; Abdelrahman M and Goda MH </w:t>
      </w:r>
      <w:r>
        <w:rPr>
          <w:rFonts w:ascii="Book Antiqua" w:eastAsia="Book Antiqua" w:hAnsi="Book Antiqua" w:cs="Book Antiqua"/>
          <w:color w:val="000000"/>
        </w:rPr>
        <w:lastRenderedPageBreak/>
        <w:t>contributed in data collection and analysis; Dabbous H, Bahaa M, and El-Meteini M revised the manuscript; All authors have read and approved the final manuscript.</w:t>
      </w:r>
    </w:p>
    <w:p w14:paraId="25199F6B" w14:textId="77777777" w:rsidR="00D01483" w:rsidRDefault="00D01483">
      <w:pPr>
        <w:spacing w:line="360" w:lineRule="auto"/>
        <w:jc w:val="both"/>
        <w:rPr>
          <w:rFonts w:ascii="Book Antiqua" w:hAnsi="Book Antiqua"/>
        </w:rPr>
      </w:pPr>
    </w:p>
    <w:p w14:paraId="6305857D" w14:textId="77777777" w:rsidR="00D01483" w:rsidRDefault="007E3D42">
      <w:pPr>
        <w:spacing w:line="360" w:lineRule="auto"/>
        <w:jc w:val="both"/>
        <w:rPr>
          <w:rFonts w:ascii="Book Antiqua" w:hAnsi="Book Antiqua"/>
        </w:rPr>
      </w:pPr>
      <w:r>
        <w:rPr>
          <w:rFonts w:ascii="Book Antiqua" w:eastAsia="Book Antiqua" w:hAnsi="Book Antiqua" w:cs="Book Antiqua"/>
          <w:b/>
          <w:bCs/>
          <w:color w:val="000000"/>
        </w:rPr>
        <w:t xml:space="preserve">Corresponding author: Iman Fawzy Montasser, MD, Professor, </w:t>
      </w:r>
      <w:r>
        <w:rPr>
          <w:rFonts w:ascii="Book Antiqua" w:eastAsia="Book Antiqua" w:hAnsi="Book Antiqua" w:cs="Book Antiqua"/>
          <w:color w:val="000000"/>
        </w:rPr>
        <w:t>Department of Tropical Medicine, Ain Shams Centerfor Organ Transplantation, Ain Shams University, Abbassia Square, Khalifa El Mamoun Street, Cairo 11566, Egypt. imanfawzy2@gmail.com</w:t>
      </w:r>
    </w:p>
    <w:p w14:paraId="65DF0066" w14:textId="77777777" w:rsidR="00D01483" w:rsidRDefault="00D01483">
      <w:pPr>
        <w:spacing w:line="360" w:lineRule="auto"/>
        <w:jc w:val="both"/>
        <w:rPr>
          <w:rFonts w:ascii="Book Antiqua" w:hAnsi="Book Antiqua"/>
        </w:rPr>
      </w:pPr>
    </w:p>
    <w:p w14:paraId="371F29CA" w14:textId="77777777" w:rsidR="00D01483" w:rsidRDefault="007E3D4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31, 2022</w:t>
      </w:r>
    </w:p>
    <w:p w14:paraId="4192F0F7" w14:textId="77777777" w:rsidR="00D01483" w:rsidRDefault="007E3D42">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April 1, 2022</w:t>
      </w:r>
    </w:p>
    <w:p w14:paraId="3D33119E" w14:textId="77777777" w:rsidR="00D01483" w:rsidRDefault="007E3D42">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June 3, 2022</w:t>
      </w:r>
    </w:p>
    <w:p w14:paraId="6B37A4BA" w14:textId="77777777" w:rsidR="00D01483" w:rsidRDefault="007E3D42">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June 27, 2022</w:t>
      </w:r>
    </w:p>
    <w:p w14:paraId="50B7549A" w14:textId="77777777" w:rsidR="00D01483" w:rsidRDefault="00D01483">
      <w:pPr>
        <w:spacing w:line="360" w:lineRule="auto"/>
        <w:jc w:val="both"/>
        <w:rPr>
          <w:rFonts w:ascii="Book Antiqua" w:hAnsi="Book Antiqua"/>
        </w:rPr>
      </w:pPr>
    </w:p>
    <w:p w14:paraId="24357A7A" w14:textId="77777777" w:rsidR="00D01483" w:rsidRDefault="007E3D42">
      <w:pPr>
        <w:spacing w:line="360" w:lineRule="auto"/>
        <w:jc w:val="both"/>
        <w:rPr>
          <w:rFonts w:ascii="Book Antiqua" w:hAnsi="Book Antiqua"/>
        </w:rPr>
      </w:pPr>
      <w:r>
        <w:rPr>
          <w:rFonts w:ascii="Book Antiqua" w:eastAsia="Book Antiqua" w:hAnsi="Book Antiqua" w:cs="Book Antiqua"/>
          <w:b/>
          <w:color w:val="000000"/>
        </w:rPr>
        <w:t>Abstract</w:t>
      </w:r>
    </w:p>
    <w:p w14:paraId="32A86EB1"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BACKGROUND</w:t>
      </w:r>
    </w:p>
    <w:p w14:paraId="02AB4403"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Patients who undergo living donor liver transplantation (LDLT) may suffer complications that require intensive care unit (ICU) readmission.</w:t>
      </w:r>
    </w:p>
    <w:p w14:paraId="7F5CD40B" w14:textId="77777777" w:rsidR="00D01483" w:rsidRDefault="00D01483">
      <w:pPr>
        <w:spacing w:line="360" w:lineRule="auto"/>
        <w:jc w:val="both"/>
        <w:rPr>
          <w:rFonts w:ascii="Book Antiqua" w:hAnsi="Book Antiqua"/>
        </w:rPr>
      </w:pPr>
    </w:p>
    <w:p w14:paraId="273FA99A"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AIM</w:t>
      </w:r>
    </w:p>
    <w:p w14:paraId="505A503C"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To identify the incidence, causes, and outcomes of ICU readmission after LDLT.</w:t>
      </w:r>
    </w:p>
    <w:p w14:paraId="33C4FF17" w14:textId="77777777" w:rsidR="00D01483" w:rsidRDefault="00D01483">
      <w:pPr>
        <w:spacing w:line="360" w:lineRule="auto"/>
        <w:jc w:val="both"/>
        <w:rPr>
          <w:rFonts w:ascii="Book Antiqua" w:hAnsi="Book Antiqua"/>
        </w:rPr>
      </w:pPr>
    </w:p>
    <w:p w14:paraId="277AE169"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METHODS</w:t>
      </w:r>
    </w:p>
    <w:p w14:paraId="30263AA2"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A retrospective cohort study was conducted on patients who underwent LDLT. The collected data included patient demographics, preoperative characteristics, intraoperative details; postoperative stay, complications, causes of ICU readmission, and outcomes. Patients were divided into two groups according to ICU readmission after hospital discharge. Risk factors for ICU readmission were identified in univariate and multivariate analyses.</w:t>
      </w:r>
    </w:p>
    <w:p w14:paraId="45A42940" w14:textId="77777777" w:rsidR="00D01483" w:rsidRDefault="00D01483">
      <w:pPr>
        <w:spacing w:line="360" w:lineRule="auto"/>
        <w:jc w:val="both"/>
        <w:rPr>
          <w:rFonts w:ascii="Book Antiqua" w:hAnsi="Book Antiqua"/>
        </w:rPr>
      </w:pPr>
    </w:p>
    <w:p w14:paraId="45CF5245"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RESULTS</w:t>
      </w:r>
    </w:p>
    <w:p w14:paraId="3D93E8A0"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lastRenderedPageBreak/>
        <w:t xml:space="preserve">The present study included 299 patients. Thirty-one (10.4%) patients were readmitted to the ICU after discharge. Patients who were readmitted to the ICU were older in age (53.0 ± 5.1 </w:t>
      </w:r>
      <w:r>
        <w:rPr>
          <w:rFonts w:ascii="Book Antiqua" w:eastAsia="Book Antiqua" w:hAnsi="Book Antiqua" w:cs="Book Antiqua"/>
          <w:i/>
          <w:color w:val="000000"/>
        </w:rPr>
        <w:t>vs</w:t>
      </w:r>
      <w:r>
        <w:rPr>
          <w:rFonts w:ascii="Book Antiqua" w:eastAsia="Book Antiqua" w:hAnsi="Book Antiqua" w:cs="Book Antiqua"/>
          <w:color w:val="000000"/>
        </w:rPr>
        <w:t xml:space="preserve"> 49.4 ± 8.8,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had a significantly higher percentage of women (29% </w:t>
      </w:r>
      <w:r>
        <w:rPr>
          <w:rFonts w:ascii="Book Antiqua" w:eastAsia="Book Antiqua" w:hAnsi="Book Antiqua" w:cs="Book Antiqua"/>
          <w:i/>
          <w:color w:val="000000"/>
        </w:rPr>
        <w:t>vs</w:t>
      </w:r>
      <w:r>
        <w:rPr>
          <w:rFonts w:ascii="Book Antiqua" w:eastAsia="Book Antiqua" w:hAnsi="Book Antiqua" w:cs="Book Antiqua"/>
          <w:color w:val="000000"/>
        </w:rPr>
        <w:t xml:space="preserve"> 13.4%, </w:t>
      </w:r>
      <w:r>
        <w:rPr>
          <w:rFonts w:ascii="Book Antiqua" w:eastAsia="Book Antiqua" w:hAnsi="Book Antiqua" w:cs="Book Antiqua"/>
          <w:i/>
          <w:iCs/>
          <w:color w:val="000000"/>
        </w:rPr>
        <w:t>P</w:t>
      </w:r>
      <w:r>
        <w:rPr>
          <w:rFonts w:ascii="Book Antiqua" w:eastAsia="Book Antiqua" w:hAnsi="Book Antiqua" w:cs="Book Antiqua"/>
          <w:color w:val="000000"/>
        </w:rPr>
        <w:t xml:space="preserve"> = 0.032), diabetics (41.9% </w:t>
      </w:r>
      <w:r>
        <w:rPr>
          <w:rFonts w:ascii="Book Antiqua" w:eastAsia="Book Antiqua" w:hAnsi="Book Antiqua" w:cs="Book Antiqua"/>
          <w:i/>
          <w:color w:val="000000"/>
        </w:rPr>
        <w:t>vs</w:t>
      </w:r>
      <w:r>
        <w:rPr>
          <w:rFonts w:ascii="Book Antiqua" w:eastAsia="Book Antiqua" w:hAnsi="Book Antiqua" w:cs="Book Antiqua"/>
          <w:color w:val="000000"/>
        </w:rPr>
        <w:t xml:space="preserve"> 24.6%,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hypertensives (22.6% </w:t>
      </w:r>
      <w:r>
        <w:rPr>
          <w:rFonts w:ascii="Book Antiqua" w:eastAsia="Book Antiqua" w:hAnsi="Book Antiqua" w:cs="Book Antiqua"/>
          <w:i/>
          <w:color w:val="000000"/>
        </w:rPr>
        <w:t>vs</w:t>
      </w:r>
      <w:r>
        <w:rPr>
          <w:rFonts w:ascii="Book Antiqua" w:eastAsia="Book Antiqua" w:hAnsi="Book Antiqua" w:cs="Book Antiqua"/>
          <w:color w:val="000000"/>
        </w:rPr>
        <w:t xml:space="preserve"> 6.3%,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renal (6.5% </w:t>
      </w:r>
      <w:r>
        <w:rPr>
          <w:rFonts w:ascii="Book Antiqua" w:eastAsia="Book Antiqua" w:hAnsi="Book Antiqua" w:cs="Book Antiqua"/>
          <w:i/>
          <w:color w:val="000000"/>
        </w:rPr>
        <w:t>vs</w:t>
      </w:r>
      <w:r>
        <w:rPr>
          <w:rFonts w:ascii="Book Antiqua" w:eastAsia="Book Antiqua" w:hAnsi="Book Antiqua" w:cs="Book Antiqua"/>
          <w:color w:val="000000"/>
        </w:rPr>
        <w:t xml:space="preserve"> 0%,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patients as well as a significantly longer initial ICU stay (6 </w:t>
      </w:r>
      <w:r>
        <w:rPr>
          <w:rFonts w:ascii="Book Antiqua" w:eastAsia="Book Antiqua" w:hAnsi="Book Antiqua" w:cs="Book Antiqua"/>
          <w:i/>
          <w:color w:val="000000"/>
        </w:rPr>
        <w:t>vs</w:t>
      </w:r>
      <w:r>
        <w:rPr>
          <w:rFonts w:ascii="Book Antiqua" w:eastAsia="Book Antiqua" w:hAnsi="Book Antiqua" w:cs="Book Antiqua"/>
          <w:color w:val="000000"/>
        </w:rPr>
        <w:t xml:space="preserve"> 4 d, respectively, </w:t>
      </w:r>
      <w:r>
        <w:rPr>
          <w:rFonts w:ascii="Book Antiqua" w:eastAsia="Book Antiqua" w:hAnsi="Book Antiqua" w:cs="Book Antiqua"/>
          <w:i/>
          <w:color w:val="000000"/>
        </w:rPr>
        <w:t xml:space="preserve">P </w:t>
      </w:r>
      <w:r>
        <w:rPr>
          <w:rFonts w:ascii="Book Antiqua" w:eastAsia="Book Antiqua" w:hAnsi="Book Antiqua" w:cs="Book Antiqua"/>
          <w:color w:val="000000"/>
        </w:rPr>
        <w:t xml:space="preserve">&lt; 0.001). Logistic regression analysis revealed that significant independent risk factors for ICU readmission included recipient age (OR = 1.048, 95%CI = 1.005-1.094,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and length of initial hospital stay (OR = 0.836, 95%CI = 0.789-0.885,</w:t>
      </w:r>
      <w:r>
        <w:rPr>
          <w:rFonts w:ascii="Book Antiqua" w:eastAsia="Book Antiqua" w:hAnsi="Book Antiqua" w:cs="Book Antiqua"/>
          <w:i/>
          <w:color w:val="000000"/>
        </w:rPr>
        <w:t xml:space="preserve"> P </w:t>
      </w:r>
      <w:r>
        <w:rPr>
          <w:rFonts w:ascii="Book Antiqua" w:eastAsia="Book Antiqua" w:hAnsi="Book Antiqua" w:cs="Book Antiqua"/>
          <w:color w:val="000000"/>
        </w:rPr>
        <w:t>&lt; 0.001).</w:t>
      </w:r>
    </w:p>
    <w:p w14:paraId="6E500782" w14:textId="77777777" w:rsidR="00D01483" w:rsidRDefault="00D01483">
      <w:pPr>
        <w:spacing w:line="360" w:lineRule="auto"/>
        <w:jc w:val="both"/>
        <w:rPr>
          <w:rFonts w:ascii="Book Antiqua" w:hAnsi="Book Antiqua"/>
        </w:rPr>
      </w:pPr>
    </w:p>
    <w:p w14:paraId="0F3CE7B6"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CONCLUSION</w:t>
      </w:r>
    </w:p>
    <w:p w14:paraId="2E91F0BC"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The identification of high-risk patients (older age and shorter initial hospital stay) before ICU discharge may help provide optimal care and tailor follow-up to reduce the rate of ICU readmission.</w:t>
      </w:r>
    </w:p>
    <w:p w14:paraId="2FCD17F1" w14:textId="77777777" w:rsidR="00D01483" w:rsidRDefault="00D01483">
      <w:pPr>
        <w:spacing w:line="360" w:lineRule="auto"/>
        <w:jc w:val="both"/>
        <w:rPr>
          <w:rFonts w:ascii="Book Antiqua" w:hAnsi="Book Antiqua"/>
        </w:rPr>
      </w:pPr>
    </w:p>
    <w:p w14:paraId="6A1C4281" w14:textId="77777777" w:rsidR="00D01483" w:rsidRDefault="007E3D42">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Intensive care units; Liver transplantation; Patient readmission; Risk factors</w:t>
      </w:r>
    </w:p>
    <w:p w14:paraId="5930336A" w14:textId="3BD65A52" w:rsidR="00D01483" w:rsidRDefault="00D01483">
      <w:pPr>
        <w:spacing w:line="360" w:lineRule="auto"/>
        <w:jc w:val="both"/>
        <w:rPr>
          <w:rFonts w:ascii="Book Antiqua" w:hAnsi="Book Antiqua"/>
        </w:rPr>
      </w:pPr>
    </w:p>
    <w:p w14:paraId="1E2F3FA0" w14:textId="77777777" w:rsidR="00372C57" w:rsidRDefault="00372C57" w:rsidP="00372C57">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953CC57" w14:textId="77777777" w:rsidR="00372C57" w:rsidRDefault="00372C57">
      <w:pPr>
        <w:spacing w:line="360" w:lineRule="auto"/>
        <w:jc w:val="both"/>
        <w:rPr>
          <w:rFonts w:ascii="Book Antiqua" w:hAnsi="Book Antiqua"/>
        </w:rPr>
      </w:pPr>
    </w:p>
    <w:p w14:paraId="1468968A" w14:textId="60D0B014" w:rsidR="008E61F3" w:rsidRDefault="008E61F3">
      <w:pPr>
        <w:spacing w:line="360" w:lineRule="auto"/>
        <w:jc w:val="both"/>
        <w:rPr>
          <w:rFonts w:ascii="Book Antiqua" w:eastAsia="Book Antiqua" w:hAnsi="Book Antiqua" w:cs="Book Antiqua"/>
          <w:color w:val="000000"/>
        </w:rPr>
      </w:pPr>
      <w:r>
        <w:rPr>
          <w:rFonts w:ascii="Book Antiqua" w:hAnsi="Book Antiqua" w:hint="eastAsia"/>
          <w:b/>
          <w:bCs/>
        </w:rPr>
        <w:t xml:space="preserve">Citation: </w:t>
      </w:r>
      <w:r w:rsidR="007E3D42">
        <w:rPr>
          <w:rFonts w:ascii="Book Antiqua" w:eastAsia="Book Antiqua" w:hAnsi="Book Antiqua" w:cs="Book Antiqua"/>
          <w:color w:val="000000"/>
        </w:rPr>
        <w:t xml:space="preserve">Salah M, Montasser IF, El Gendy HA, Korraa AA, Elewa GM, Dabbous H, Mahfouz HR, Abdelrahman M, Goda MH, Bahaa El-Din MM, El-Meteini M, Labib HA. Intensive care unit readmission in adult Egyptian patients undergoing living donor liver transplant: A single-centre retrospective cohort study. </w:t>
      </w:r>
      <w:r w:rsidR="007E3D42">
        <w:rPr>
          <w:rFonts w:ascii="Book Antiqua" w:eastAsia="Book Antiqua" w:hAnsi="Book Antiqua" w:cs="Book Antiqua"/>
          <w:i/>
          <w:iCs/>
          <w:color w:val="000000"/>
        </w:rPr>
        <w:t>World J Hepatol</w:t>
      </w:r>
      <w:r w:rsidR="007E3D42">
        <w:rPr>
          <w:rFonts w:ascii="Book Antiqua" w:eastAsia="Book Antiqua" w:hAnsi="Book Antiqua" w:cs="Book Antiqua"/>
          <w:color w:val="000000"/>
        </w:rPr>
        <w:t xml:space="preserve"> 2022; </w:t>
      </w:r>
      <w:r w:rsidR="007E3D42">
        <w:rPr>
          <w:rFonts w:ascii="Book Antiqua" w:eastAsia="Book Antiqua" w:hAnsi="Book Antiqua" w:cs="Book Antiqua" w:hint="eastAsia"/>
          <w:color w:val="000000"/>
        </w:rPr>
        <w:t xml:space="preserve">14(6): </w:t>
      </w:r>
      <w:r>
        <w:rPr>
          <w:rFonts w:ascii="Book Antiqua" w:eastAsia="Book Antiqua" w:hAnsi="Book Antiqua" w:cs="Book Antiqua"/>
          <w:color w:val="000000"/>
        </w:rPr>
        <w:t>1150</w:t>
      </w:r>
      <w:r w:rsidR="007E3D42">
        <w:rPr>
          <w:rFonts w:ascii="Book Antiqua" w:eastAsia="Book Antiqua" w:hAnsi="Book Antiqua" w:cs="Book Antiqua" w:hint="eastAsia"/>
          <w:color w:val="000000"/>
        </w:rPr>
        <w:t>-</w:t>
      </w:r>
      <w:r>
        <w:rPr>
          <w:rFonts w:ascii="Book Antiqua" w:eastAsia="Book Antiqua" w:hAnsi="Book Antiqua" w:cs="Book Antiqua"/>
          <w:color w:val="000000"/>
        </w:rPr>
        <w:t>1161</w:t>
      </w:r>
      <w:r w:rsidR="007E3D42">
        <w:rPr>
          <w:rFonts w:ascii="Book Antiqua" w:eastAsia="Book Antiqua" w:hAnsi="Book Antiqua" w:cs="Book Antiqua" w:hint="eastAsia"/>
          <w:color w:val="000000"/>
        </w:rPr>
        <w:t xml:space="preserve"> </w:t>
      </w:r>
    </w:p>
    <w:p w14:paraId="5D978EAE" w14:textId="65C1FBBC" w:rsidR="008E61F3" w:rsidRDefault="007E3D42">
      <w:pPr>
        <w:spacing w:line="360" w:lineRule="auto"/>
        <w:jc w:val="both"/>
        <w:rPr>
          <w:rFonts w:ascii="Book Antiqua" w:eastAsia="Book Antiqua" w:hAnsi="Book Antiqua" w:cs="Book Antiqua"/>
          <w:color w:val="000000"/>
        </w:rPr>
      </w:pPr>
      <w:r w:rsidRPr="008E61F3">
        <w:rPr>
          <w:rFonts w:ascii="Book Antiqua" w:eastAsia="Book Antiqua" w:hAnsi="Book Antiqua" w:cs="Book Antiqua" w:hint="eastAsia"/>
          <w:b/>
          <w:bCs/>
          <w:color w:val="000000"/>
        </w:rPr>
        <w:t>URL</w:t>
      </w:r>
      <w:r>
        <w:rPr>
          <w:rFonts w:ascii="Book Antiqua" w:eastAsia="Book Antiqua" w:hAnsi="Book Antiqua" w:cs="Book Antiqua" w:hint="eastAsia"/>
          <w:color w:val="000000"/>
        </w:rPr>
        <w:t>: https://www.wjgnet.com/1948-5182/full/v14/i6/</w:t>
      </w:r>
      <w:r w:rsidR="008E61F3">
        <w:rPr>
          <w:rFonts w:ascii="Book Antiqua" w:eastAsia="Book Antiqua" w:hAnsi="Book Antiqua" w:cs="Book Antiqua"/>
          <w:color w:val="000000"/>
        </w:rPr>
        <w:t>1150</w:t>
      </w:r>
      <w:r>
        <w:rPr>
          <w:rFonts w:ascii="Book Antiqua" w:eastAsia="Book Antiqua" w:hAnsi="Book Antiqua" w:cs="Book Antiqua" w:hint="eastAsia"/>
          <w:color w:val="000000"/>
        </w:rPr>
        <w:t xml:space="preserve">.htm </w:t>
      </w:r>
    </w:p>
    <w:p w14:paraId="29316092" w14:textId="47800988" w:rsidR="00D01483" w:rsidRDefault="007E3D42">
      <w:pPr>
        <w:spacing w:line="360" w:lineRule="auto"/>
        <w:jc w:val="both"/>
        <w:rPr>
          <w:rFonts w:ascii="Book Antiqua" w:eastAsia="Book Antiqua" w:hAnsi="Book Antiqua" w:cs="Book Antiqua"/>
          <w:color w:val="000000"/>
        </w:rPr>
      </w:pPr>
      <w:r w:rsidRPr="008E61F3">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https://dx.doi.org/10.4254/wjh.v14.i6.</w:t>
      </w:r>
      <w:r w:rsidR="008E61F3">
        <w:rPr>
          <w:rFonts w:ascii="Book Antiqua" w:eastAsia="Book Antiqua" w:hAnsi="Book Antiqua" w:cs="Book Antiqua"/>
          <w:color w:val="000000"/>
        </w:rPr>
        <w:t>1150</w:t>
      </w:r>
    </w:p>
    <w:p w14:paraId="66528C91" w14:textId="77777777" w:rsidR="00D01483" w:rsidRDefault="00D01483">
      <w:pPr>
        <w:spacing w:line="360" w:lineRule="auto"/>
        <w:jc w:val="both"/>
        <w:rPr>
          <w:rFonts w:ascii="Book Antiqua" w:hAnsi="Book Antiqua"/>
        </w:rPr>
      </w:pPr>
    </w:p>
    <w:p w14:paraId="07E7741D" w14:textId="77777777" w:rsidR="00D01483" w:rsidRDefault="00D01483">
      <w:pPr>
        <w:spacing w:line="360" w:lineRule="auto"/>
        <w:jc w:val="both"/>
        <w:rPr>
          <w:rFonts w:ascii="Book Antiqua" w:hAnsi="Book Antiqua"/>
        </w:rPr>
      </w:pPr>
    </w:p>
    <w:p w14:paraId="555E436B" w14:textId="77777777" w:rsidR="00D01483" w:rsidRDefault="007E3D42">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Patients undergoing living donor liver transplantation may suffer complications that require intensive care unit readmission. We retrospectively evaluated 299 patients who underwent living donor liver transplantation. We identified the incidence, causes, and outcomes of intensive care unit readmission after living donor liver transplantation. Older recipient age and longer length of initial hospital stay were recognized as significant independent risk factors for intensive care unit readmission. The identification of high-risk patients before discharge may help provide optimal care and tailor follow-up to reduce the rate of intensive care unit readmission.</w:t>
      </w:r>
    </w:p>
    <w:p w14:paraId="1C4D3345" w14:textId="77777777" w:rsidR="00D01483" w:rsidRDefault="00D01483">
      <w:pPr>
        <w:spacing w:line="360" w:lineRule="auto"/>
        <w:jc w:val="both"/>
        <w:rPr>
          <w:rFonts w:ascii="Book Antiqua" w:hAnsi="Book Antiqua"/>
        </w:rPr>
      </w:pPr>
    </w:p>
    <w:p w14:paraId="58B497E9" w14:textId="77777777" w:rsidR="00D01483" w:rsidRDefault="007E3D42">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334A82D"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Liver transplantation is the only definitive treatment for end-stage liver disease</w:t>
      </w:r>
      <w:r>
        <w:rPr>
          <w:rFonts w:ascii="Book Antiqua" w:eastAsia="Book Antiqua" w:hAnsi="Book Antiqua" w:cs="Book Antiqua"/>
          <w:color w:val="000000"/>
          <w:vertAlign w:val="superscript"/>
        </w:rPr>
        <w:t>[1]</w:t>
      </w:r>
      <w:r>
        <w:rPr>
          <w:rFonts w:ascii="Book Antiqua" w:eastAsia="Book Antiqua" w:hAnsi="Book Antiqua" w:cs="Book Antiqua"/>
          <w:color w:val="000000"/>
        </w:rPr>
        <w:t>. As a major abdominal surgery, postoperative complications may occur and might require readmission, which may be serious and life threatening. In general, patients who require intensive care unit (ICU) readmission show higher morbidity, mortality, and prolonged hospital stays than those who do not require readmission</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36249AB8"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Complications following living donor liver transplantation (LDLT) requiring ICU readmission may be serious and life threatening. Identification of the causes of ICU readmission is pivotal to establish effective strategies to reduce the rate of readmission, improve the quality of care and patient outcomes, and reduce health expenditures by medical institutions</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35504C8D"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Most available reports are on hospital readmission after deceased donor liver transplantation (DDLT). To our knowledge, there are limited published data about hospital readmission of LDLT patients. We hypothesized that ICU readmission after LDLT is due to different reasons. Consequently, this study was conducted to identify the incidence, causes, and outcomes of ICU readmission after LDLT.</w:t>
      </w:r>
    </w:p>
    <w:p w14:paraId="6495908A" w14:textId="77777777" w:rsidR="00D01483" w:rsidRDefault="00D01483">
      <w:pPr>
        <w:spacing w:line="360" w:lineRule="auto"/>
        <w:jc w:val="both"/>
        <w:rPr>
          <w:rFonts w:ascii="Book Antiqua" w:hAnsi="Book Antiqua"/>
        </w:rPr>
      </w:pPr>
    </w:p>
    <w:p w14:paraId="58D6FDBC" w14:textId="77777777" w:rsidR="00D01483" w:rsidRDefault="007E3D42">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AD0FBF3" w14:textId="77777777" w:rsidR="00D01483" w:rsidRDefault="007E3D42">
      <w:pPr>
        <w:spacing w:line="360" w:lineRule="auto"/>
        <w:jc w:val="both"/>
        <w:rPr>
          <w:rFonts w:ascii="Book Antiqua" w:hAnsi="Book Antiqua"/>
        </w:rPr>
      </w:pPr>
      <w:r>
        <w:rPr>
          <w:rFonts w:ascii="Book Antiqua" w:eastAsia="Book Antiqua" w:hAnsi="Book Antiqua" w:cs="Book Antiqua"/>
          <w:b/>
          <w:bCs/>
          <w:i/>
          <w:iCs/>
          <w:color w:val="000000"/>
        </w:rPr>
        <w:t>Study design and settings</w:t>
      </w:r>
    </w:p>
    <w:p w14:paraId="4E5E6D45"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lastRenderedPageBreak/>
        <w:t>This retrospective cohort study was conducted by reviewing the hospital files of adult patients who underwent LDLT at Ain Shams University Hospital, Cairo, Egypt, during the period from January 1, 2008, to December 31, 2018.</w:t>
      </w:r>
    </w:p>
    <w:p w14:paraId="1792E1A9" w14:textId="77777777" w:rsidR="00D01483" w:rsidRDefault="00D01483">
      <w:pPr>
        <w:spacing w:line="360" w:lineRule="auto"/>
        <w:jc w:val="both"/>
        <w:rPr>
          <w:rFonts w:ascii="Book Antiqua" w:eastAsia="Book Antiqua" w:hAnsi="Book Antiqua" w:cs="Book Antiqua"/>
          <w:b/>
          <w:bCs/>
          <w:i/>
          <w:iCs/>
          <w:color w:val="000000"/>
        </w:rPr>
      </w:pPr>
    </w:p>
    <w:p w14:paraId="78E7D1F4" w14:textId="77777777" w:rsidR="00D01483" w:rsidRDefault="007E3D42">
      <w:pPr>
        <w:spacing w:line="360" w:lineRule="auto"/>
        <w:jc w:val="both"/>
        <w:rPr>
          <w:rFonts w:ascii="Book Antiqua" w:hAnsi="Book Antiqua"/>
        </w:rPr>
      </w:pPr>
      <w:r>
        <w:rPr>
          <w:rFonts w:ascii="Book Antiqua" w:eastAsia="Book Antiqua" w:hAnsi="Book Antiqua" w:cs="Book Antiqua"/>
          <w:b/>
          <w:bCs/>
          <w:i/>
          <w:iCs/>
          <w:color w:val="000000"/>
        </w:rPr>
        <w:t>Ethical considerations</w:t>
      </w:r>
    </w:p>
    <w:p w14:paraId="706E7B5E"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This study was approved by the Ethics Committee of the Faculty of Medicine, Ain Shams University, Egypt (approval number: IRB/0006379). The confidentiality of the patients’ data was maintained by assigning a code number to each patient. The trial is registered in clinical trial.gov (</w:t>
      </w:r>
      <w:r>
        <w:rPr>
          <w:rFonts w:ascii="Book Antiqua" w:eastAsia="Book Antiqua" w:hAnsi="Book Antiqua" w:cs="Book Antiqua"/>
          <w:color w:val="000000"/>
          <w:shd w:val="clear" w:color="auto" w:fill="FFFFFF"/>
        </w:rPr>
        <w:t>NCT04067739</w:t>
      </w:r>
      <w:r>
        <w:rPr>
          <w:rFonts w:ascii="Book Antiqua" w:eastAsia="Book Antiqua" w:hAnsi="Book Antiqua" w:cs="Book Antiqua"/>
          <w:color w:val="000000"/>
        </w:rPr>
        <w:t>).</w:t>
      </w:r>
    </w:p>
    <w:p w14:paraId="597FBD8F" w14:textId="77777777" w:rsidR="00D01483" w:rsidRDefault="00D01483">
      <w:pPr>
        <w:spacing w:line="360" w:lineRule="auto"/>
        <w:jc w:val="both"/>
        <w:rPr>
          <w:rFonts w:ascii="Book Antiqua" w:eastAsia="Book Antiqua" w:hAnsi="Book Antiqua" w:cs="Book Antiqua"/>
          <w:b/>
          <w:bCs/>
          <w:i/>
          <w:iCs/>
          <w:color w:val="000000"/>
        </w:rPr>
      </w:pPr>
    </w:p>
    <w:p w14:paraId="1497ECE5" w14:textId="77777777" w:rsidR="00D01483" w:rsidRDefault="007E3D42">
      <w:pPr>
        <w:spacing w:line="360" w:lineRule="auto"/>
        <w:jc w:val="both"/>
        <w:rPr>
          <w:rFonts w:ascii="Book Antiqua" w:hAnsi="Book Antiqua"/>
        </w:rPr>
      </w:pPr>
      <w:r>
        <w:rPr>
          <w:rFonts w:ascii="Book Antiqua" w:eastAsia="Book Antiqua" w:hAnsi="Book Antiqua" w:cs="Book Antiqua"/>
          <w:b/>
          <w:bCs/>
          <w:i/>
          <w:iCs/>
          <w:color w:val="000000"/>
        </w:rPr>
        <w:t>Inclusion criteria</w:t>
      </w:r>
    </w:p>
    <w:p w14:paraId="2367CDC8"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We included adult Egyptian patients (18 years old or above) of either sex who underwent LDLT at our institution during the period from January 1, 2008, to December 31, 2018.</w:t>
      </w:r>
    </w:p>
    <w:p w14:paraId="604E3B29" w14:textId="77777777" w:rsidR="00D01483" w:rsidRDefault="00D01483">
      <w:pPr>
        <w:spacing w:line="360" w:lineRule="auto"/>
        <w:jc w:val="both"/>
        <w:rPr>
          <w:rFonts w:ascii="Book Antiqua" w:eastAsia="Book Antiqua" w:hAnsi="Book Antiqua" w:cs="Book Antiqua"/>
          <w:b/>
          <w:bCs/>
          <w:i/>
          <w:iCs/>
          <w:color w:val="000000"/>
        </w:rPr>
      </w:pPr>
    </w:p>
    <w:p w14:paraId="34407501" w14:textId="77777777" w:rsidR="00D01483" w:rsidRDefault="007E3D42">
      <w:pPr>
        <w:spacing w:line="360" w:lineRule="auto"/>
        <w:jc w:val="both"/>
        <w:rPr>
          <w:rFonts w:ascii="Book Antiqua" w:hAnsi="Book Antiqua"/>
        </w:rPr>
      </w:pPr>
      <w:r>
        <w:rPr>
          <w:rFonts w:ascii="Book Antiqua" w:eastAsia="Book Antiqua" w:hAnsi="Book Antiqua" w:cs="Book Antiqua"/>
          <w:b/>
          <w:bCs/>
          <w:i/>
          <w:iCs/>
          <w:color w:val="000000"/>
        </w:rPr>
        <w:t>Exclusion criteria</w:t>
      </w:r>
    </w:p>
    <w:p w14:paraId="27D56A6D"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The following patients were excluded from the study: We excluded patients who were less than 18 years old, who died before discharge after LDLT, who underwent retransplantation before discharge from the ICU after the first liver transplant, and who were pregnant patients.</w:t>
      </w:r>
    </w:p>
    <w:p w14:paraId="4160A0E1" w14:textId="77777777" w:rsidR="00D01483" w:rsidRDefault="00D01483">
      <w:pPr>
        <w:spacing w:line="360" w:lineRule="auto"/>
        <w:jc w:val="both"/>
        <w:rPr>
          <w:rFonts w:ascii="Book Antiqua" w:eastAsia="Book Antiqua" w:hAnsi="Book Antiqua" w:cs="Book Antiqua"/>
          <w:b/>
          <w:bCs/>
          <w:i/>
          <w:iCs/>
          <w:color w:val="000000"/>
        </w:rPr>
      </w:pPr>
    </w:p>
    <w:p w14:paraId="3308A3F1" w14:textId="77777777" w:rsidR="00D01483" w:rsidRDefault="007E3D42">
      <w:pPr>
        <w:spacing w:line="360" w:lineRule="auto"/>
        <w:jc w:val="both"/>
        <w:rPr>
          <w:rFonts w:ascii="Book Antiqua" w:hAnsi="Book Antiqua"/>
        </w:rPr>
      </w:pPr>
      <w:r>
        <w:rPr>
          <w:rFonts w:ascii="Book Antiqua" w:eastAsia="Book Antiqua" w:hAnsi="Book Antiqua" w:cs="Book Antiqua"/>
          <w:b/>
          <w:bCs/>
          <w:i/>
          <w:iCs/>
          <w:color w:val="000000"/>
        </w:rPr>
        <w:t>Sampling method</w:t>
      </w:r>
    </w:p>
    <w:p w14:paraId="6D8623F9"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The sample size was calculated using Epi Info</w:t>
      </w:r>
      <w:r>
        <w:rPr>
          <w:rFonts w:ascii="Book Antiqua" w:eastAsia="Book Antiqua" w:hAnsi="Book Antiqua" w:cs="Book Antiqua"/>
          <w:color w:val="000000"/>
          <w:vertAlign w:val="superscript"/>
        </w:rPr>
        <w:t>TM</w:t>
      </w:r>
      <w:r>
        <w:rPr>
          <w:rFonts w:ascii="Book Antiqua" w:eastAsia="Book Antiqua" w:hAnsi="Book Antiqua" w:cs="Book Antiqua"/>
          <w:color w:val="000000"/>
        </w:rPr>
        <w:t xml:space="preserve"> software (Centers for Disease Control and Prevention, version 7.2.3.0), setting the type-1 error (α) at 0.05, an acceptable margin of error of 5%, and a 95% confidence interval. The results from a previous study</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showed that the incidence of hospital readmission among cases undergoing liver transplantation was 17.1%. Calculation according to these values produced a minimal sample size of 218 cases.</w:t>
      </w:r>
    </w:p>
    <w:p w14:paraId="4E1EF5FA" w14:textId="77777777" w:rsidR="00D01483" w:rsidRDefault="00D01483">
      <w:pPr>
        <w:spacing w:line="360" w:lineRule="auto"/>
        <w:jc w:val="both"/>
        <w:rPr>
          <w:rFonts w:ascii="Book Antiqua" w:eastAsia="Book Antiqua" w:hAnsi="Book Antiqua" w:cs="Book Antiqua"/>
          <w:b/>
          <w:bCs/>
          <w:i/>
          <w:iCs/>
          <w:color w:val="000000"/>
        </w:rPr>
      </w:pPr>
    </w:p>
    <w:p w14:paraId="14CF4EAA" w14:textId="77777777" w:rsidR="00D01483" w:rsidRDefault="007E3D42">
      <w:pPr>
        <w:spacing w:line="360" w:lineRule="auto"/>
        <w:jc w:val="both"/>
        <w:rPr>
          <w:rFonts w:ascii="Book Antiqua" w:hAnsi="Book Antiqua"/>
        </w:rPr>
      </w:pPr>
      <w:r>
        <w:rPr>
          <w:rFonts w:ascii="Book Antiqua" w:eastAsia="Book Antiqua" w:hAnsi="Book Antiqua" w:cs="Book Antiqua"/>
          <w:b/>
          <w:bCs/>
          <w:i/>
          <w:iCs/>
          <w:color w:val="000000"/>
        </w:rPr>
        <w:t>Study procedures</w:t>
      </w:r>
    </w:p>
    <w:p w14:paraId="7009973D"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lastRenderedPageBreak/>
        <w:t>The hospital files of patients who met the eligibility criteria were thoroughly revised to extract relevant data. The collected data included patient demographics, donor characteristics, preoperative and intraoperative variables, postoperative stay, complications, causes for ICU readmission, and outcomes after ICU readmission.</w:t>
      </w:r>
    </w:p>
    <w:p w14:paraId="3AFBE3F0"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The studied primary outcome was the incidence of ICU readmission. Readmission was defined as ICU readmission within ≤ 3 mo of initial ICU discharge. Patients were divided into two groups: those who were readmitted to the ICU (the readmission group) and those who were not (the control group). The secondary outcomes included the causes of first hospital readmission after discharge as well as the incidence of ICU readmission for more than one time and two-year survival.</w:t>
      </w:r>
    </w:p>
    <w:p w14:paraId="6C6453DD"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Risk factors for ICU readmission were assessed by examining the contribution of collected patient and donor variables to the probability of ICU readmission.</w:t>
      </w:r>
    </w:p>
    <w:p w14:paraId="5FF231C8" w14:textId="77777777" w:rsidR="00D01483" w:rsidRDefault="00D01483">
      <w:pPr>
        <w:spacing w:line="360" w:lineRule="auto"/>
        <w:jc w:val="both"/>
        <w:rPr>
          <w:rFonts w:ascii="Book Antiqua" w:eastAsia="Book Antiqua" w:hAnsi="Book Antiqua" w:cs="Book Antiqua"/>
          <w:b/>
          <w:bCs/>
          <w:i/>
          <w:iCs/>
          <w:color w:val="000000"/>
        </w:rPr>
      </w:pPr>
    </w:p>
    <w:p w14:paraId="696CA018" w14:textId="77777777" w:rsidR="00D01483" w:rsidRDefault="007E3D42">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07469BC7"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Statistical analysis was performed using the Statistical Package for Social Sciences (IBM SPSS Statistics) for Windows, version 26 (IBM Corp., Armonk, NY, United States). For quantitative data, the Shapiro-Wilk test for normality was performed. For data that followed a normal distribution, values were expressed as the mean ± SD. Comparisons between two groups were carried out using an independent samples T test. For data that did not follow a normal distribution, the median and interquartile range (IQR; expressed as the 25</w:t>
      </w:r>
      <w:r>
        <w:rPr>
          <w:rFonts w:ascii="Book Antiqua" w:eastAsia="Book Antiqua" w:hAnsi="Book Antiqua" w:cs="Book Antiqua"/>
          <w:color w:val="000000"/>
          <w:vertAlign w:val="superscript"/>
        </w:rPr>
        <w:t>th</w:t>
      </w:r>
      <w:r>
        <w:rPr>
          <w:rFonts w:ascii="Book Antiqua" w:eastAsia="Book Antiqua" w:hAnsi="Book Antiqua" w:cs="Book Antiqua"/>
          <w:color w:val="000000"/>
        </w:rPr>
        <w:t>-75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percentiles) were calculated, and the Mann–Whitney test was used to compare the two groups. For qualitative data, the variables were summarized as frequencies. Pearson’s chi square tests for independence, Fisher’s exact test or Fisher-Freeman-Halton exact test were used to examine the association between two categorical variables as appropriate. Binomial logistic regression was conducted to identify independent risk factors for ICU readmission, including all variables with a </w:t>
      </w:r>
      <w:r>
        <w:rPr>
          <w:rFonts w:ascii="Book Antiqua" w:eastAsia="Book Antiqua" w:hAnsi="Book Antiqua" w:cs="Book Antiqua"/>
          <w:i/>
          <w:color w:val="000000"/>
        </w:rPr>
        <w:t>P</w:t>
      </w:r>
      <w:r>
        <w:rPr>
          <w:rFonts w:ascii="Book Antiqua" w:eastAsia="Book Antiqua" w:hAnsi="Book Antiqua" w:cs="Book Antiqua"/>
          <w:color w:val="000000"/>
        </w:rPr>
        <w:t xml:space="preserve"> value &lt; 0.1 in univariant analysis. Kaplan–Meier curves and log rank tests were performed to estimate two-year survival. A </w:t>
      </w:r>
      <w:r>
        <w:rPr>
          <w:rFonts w:ascii="Book Antiqua" w:eastAsia="Book Antiqua" w:hAnsi="Book Antiqua" w:cs="Book Antiqua"/>
          <w:i/>
          <w:color w:val="000000"/>
        </w:rPr>
        <w:t>P</w:t>
      </w:r>
      <w:r>
        <w:rPr>
          <w:rFonts w:ascii="Book Antiqua" w:eastAsia="Book Antiqua" w:hAnsi="Book Antiqua" w:cs="Book Antiqua"/>
          <w:color w:val="000000"/>
        </w:rPr>
        <w:t xml:space="preserve"> value &lt; 0.05 was adopted to interpret the significance of statistical tests.</w:t>
      </w:r>
    </w:p>
    <w:p w14:paraId="3AD2D9B7"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 statistical review of this study was performed by a biomedical statistician.</w:t>
      </w:r>
    </w:p>
    <w:p w14:paraId="45F712B4" w14:textId="77777777" w:rsidR="00D01483" w:rsidRDefault="00D01483">
      <w:pPr>
        <w:spacing w:line="360" w:lineRule="auto"/>
        <w:jc w:val="both"/>
        <w:rPr>
          <w:rFonts w:ascii="Book Antiqua" w:hAnsi="Book Antiqua"/>
        </w:rPr>
      </w:pPr>
    </w:p>
    <w:p w14:paraId="32955956" w14:textId="77777777" w:rsidR="00D01483" w:rsidRDefault="007E3D42">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2690F8D5"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The present study included 299 patients who underwent liver transplantation and were followed up for a median duration of 40 mo (ranging from less than one month to 136 mo) after surgery. Thirty-one (10.4%) patients were readmitted into the ICU within ≤ 3 mo of initial ICU discharge, among whom 7 (2.3% of total cases) had more than one ICU readmission. Hospital readmission was recorded in 10 (3.3%), among whom 5 (1.6% of total cases) were readmitted due to biliary complications and sepsis. Table 1 depicts the causes for ICU readmission.</w:t>
      </w:r>
    </w:p>
    <w:p w14:paraId="22A6CCE3"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preoperative characteristics of the studied patients and donors are shown in Table 2. The mean age of the patients was 49.8 ± 8.6 years. Men outnumbered women (84.9% </w:t>
      </w:r>
      <w:r>
        <w:rPr>
          <w:rFonts w:ascii="Book Antiqua" w:eastAsia="Book Antiqua" w:hAnsi="Book Antiqua" w:cs="Book Antiqua"/>
          <w:i/>
          <w:color w:val="000000"/>
        </w:rPr>
        <w:t>vs</w:t>
      </w:r>
      <w:r>
        <w:rPr>
          <w:rFonts w:ascii="Book Antiqua" w:eastAsia="Book Antiqua" w:hAnsi="Book Antiqua" w:cs="Book Antiqua"/>
          <w:color w:val="000000"/>
        </w:rPr>
        <w:t xml:space="preserve"> 15.1%, respectively). The mean BMI was 28.4 ± 4.3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median MELD score was 16 (ranging from 6 to 29). Approximately one-third of the patients had one or more comorbidities; the most frequent were </w:t>
      </w:r>
      <w:r>
        <w:rPr>
          <w:rFonts w:ascii="Book Antiqua" w:hAnsi="Book Antiqua" w:cstheme="minorHAnsi"/>
          <w:color w:val="000000" w:themeColor="text1"/>
        </w:rPr>
        <w:t>diabetes mellitus</w:t>
      </w:r>
      <w:r>
        <w:rPr>
          <w:rFonts w:ascii="Book Antiqua" w:eastAsia="Book Antiqua" w:hAnsi="Book Antiqua" w:cs="Book Antiqua"/>
          <w:color w:val="000000"/>
        </w:rPr>
        <w:t xml:space="preserve"> (26.4%), hypertension (8%), and IHD (1.3%). The most frequent liver disease was HCV (76.6%), followed by HCC (39.1%), PVT (12.4%), and cryptogenic (10.7%). Encephalopathy was diagnosed in 31.8% of patients. Regarding the donors, the mean age was 29.8 ± 6.3 years (ranging from 18 to 48), with a higher percentage of men than women (68.6% </w:t>
      </w:r>
      <w:r>
        <w:rPr>
          <w:rFonts w:ascii="Book Antiqua" w:eastAsia="Book Antiqua" w:hAnsi="Book Antiqua" w:cs="Book Antiqua"/>
          <w:i/>
          <w:color w:val="000000"/>
        </w:rPr>
        <w:t>vs</w:t>
      </w:r>
      <w:r>
        <w:rPr>
          <w:rFonts w:ascii="Book Antiqua" w:eastAsia="Book Antiqua" w:hAnsi="Book Antiqua" w:cs="Book Antiqua"/>
          <w:color w:val="000000"/>
        </w:rPr>
        <w:t xml:space="preserve"> 31.4%, respectively); their mean BMI was 23.7 ± 2.6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comparison between patients who were readmitted to the ICU and patients who were not readmitted showed that the former group was older in age (53.0 ± 5.1 </w:t>
      </w:r>
      <w:r>
        <w:rPr>
          <w:rFonts w:ascii="Book Antiqua" w:eastAsia="Book Antiqua" w:hAnsi="Book Antiqua" w:cs="Book Antiqua"/>
          <w:i/>
          <w:color w:val="000000"/>
        </w:rPr>
        <w:t>vs</w:t>
      </w:r>
      <w:r>
        <w:rPr>
          <w:rFonts w:ascii="Book Antiqua" w:eastAsia="Book Antiqua" w:hAnsi="Book Antiqua" w:cs="Book Antiqua"/>
          <w:color w:val="000000"/>
        </w:rPr>
        <w:t xml:space="preserve"> 49.4 ± 8.8,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had a significantly higher percentage of women (29% </w:t>
      </w:r>
      <w:r>
        <w:rPr>
          <w:rFonts w:ascii="Book Antiqua" w:eastAsia="Book Antiqua" w:hAnsi="Book Antiqua" w:cs="Book Antiqua"/>
          <w:i/>
          <w:color w:val="000000"/>
        </w:rPr>
        <w:t>vs</w:t>
      </w:r>
      <w:r>
        <w:rPr>
          <w:rFonts w:ascii="Book Antiqua" w:eastAsia="Book Antiqua" w:hAnsi="Book Antiqua" w:cs="Book Antiqua"/>
          <w:color w:val="000000"/>
        </w:rPr>
        <w:t xml:space="preserve"> 13.4%, </w:t>
      </w:r>
      <w:r>
        <w:rPr>
          <w:rFonts w:ascii="Book Antiqua" w:eastAsia="Book Antiqua" w:hAnsi="Book Antiqua" w:cs="Book Antiqua"/>
          <w:i/>
          <w:iCs/>
          <w:color w:val="000000"/>
        </w:rPr>
        <w:t>P</w:t>
      </w:r>
      <w:r>
        <w:rPr>
          <w:rFonts w:ascii="Book Antiqua" w:eastAsia="Book Antiqua" w:hAnsi="Book Antiqua" w:cs="Book Antiqua"/>
          <w:color w:val="000000"/>
        </w:rPr>
        <w:t xml:space="preserve"> = 0.032), diabetic patients (41.9% </w:t>
      </w:r>
      <w:r>
        <w:rPr>
          <w:rFonts w:ascii="Book Antiqua" w:eastAsia="Book Antiqua" w:hAnsi="Book Antiqua" w:cs="Book Antiqua"/>
          <w:i/>
          <w:color w:val="000000"/>
        </w:rPr>
        <w:t>vs</w:t>
      </w:r>
      <w:r>
        <w:rPr>
          <w:rFonts w:ascii="Book Antiqua" w:eastAsia="Book Antiqua" w:hAnsi="Book Antiqua" w:cs="Book Antiqua"/>
          <w:color w:val="000000"/>
        </w:rPr>
        <w:t xml:space="preserve"> 24.6%,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hypertensive patients (22.6% </w:t>
      </w:r>
      <w:r>
        <w:rPr>
          <w:rFonts w:ascii="Book Antiqua" w:eastAsia="Book Antiqua" w:hAnsi="Book Antiqua" w:cs="Book Antiqua"/>
          <w:i/>
          <w:color w:val="000000"/>
        </w:rPr>
        <w:t>vs</w:t>
      </w:r>
      <w:r>
        <w:rPr>
          <w:rFonts w:ascii="Book Antiqua" w:eastAsia="Book Antiqua" w:hAnsi="Book Antiqua" w:cs="Book Antiqua"/>
          <w:color w:val="000000"/>
        </w:rPr>
        <w:t xml:space="preserve"> 6.3%,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renal patients (6.5% </w:t>
      </w:r>
      <w:r>
        <w:rPr>
          <w:rFonts w:ascii="Book Antiqua" w:eastAsia="Book Antiqua" w:hAnsi="Book Antiqua" w:cs="Book Antiqua"/>
          <w:i/>
          <w:color w:val="000000"/>
        </w:rPr>
        <w:t xml:space="preserve">vs </w:t>
      </w:r>
      <w:r>
        <w:rPr>
          <w:rFonts w:ascii="Book Antiqua" w:eastAsia="Book Antiqua" w:hAnsi="Book Antiqua" w:cs="Book Antiqua"/>
          <w:color w:val="000000"/>
        </w:rPr>
        <w:t xml:space="preserve">0%, </w:t>
      </w:r>
      <w:r>
        <w:rPr>
          <w:rFonts w:ascii="Book Antiqua" w:eastAsia="Book Antiqua" w:hAnsi="Book Antiqua" w:cs="Book Antiqua"/>
          <w:i/>
          <w:iCs/>
          <w:color w:val="000000"/>
        </w:rPr>
        <w:t>P</w:t>
      </w:r>
      <w:r>
        <w:rPr>
          <w:rFonts w:ascii="Book Antiqua" w:eastAsia="Book Antiqua" w:hAnsi="Book Antiqua" w:cs="Book Antiqua"/>
          <w:color w:val="000000"/>
        </w:rPr>
        <w:t xml:space="preserve"> = 0.010).</w:t>
      </w:r>
    </w:p>
    <w:p w14:paraId="740EDB35"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Table 3 summarizes the intraoperative and postoperative details of the studied patients. Synthetic grafts were used in 2.7% of patients. Vascular surgical complications were encountered in 15.7% of patients, mainly in the form of hepatic artery thrombosis (8%). No significant difference was detected between the two groups (</w:t>
      </w:r>
      <w:r>
        <w:rPr>
          <w:rFonts w:ascii="Book Antiqua" w:eastAsia="Book Antiqua" w:hAnsi="Book Antiqua" w:cs="Book Antiqua"/>
          <w:i/>
          <w:color w:val="000000"/>
        </w:rPr>
        <w:t xml:space="preserve">P </w:t>
      </w:r>
      <w:r>
        <w:rPr>
          <w:rFonts w:ascii="Book Antiqua" w:eastAsia="Book Antiqua" w:hAnsi="Book Antiqua" w:cs="Book Antiqua"/>
          <w:color w:val="000000"/>
        </w:rPr>
        <w:t>&gt; 0.05).</w:t>
      </w:r>
    </w:p>
    <w:p w14:paraId="78FC69AD"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Table 4 shows the follow-up details of the patients. The median LOS of initial ICU admission was significantly longer in the readmission group (6 </w:t>
      </w:r>
      <w:r>
        <w:rPr>
          <w:rFonts w:ascii="Book Antiqua" w:eastAsia="Book Antiqua" w:hAnsi="Book Antiqua" w:cs="Book Antiqua"/>
          <w:i/>
          <w:color w:val="000000"/>
        </w:rPr>
        <w:t>vs</w:t>
      </w:r>
      <w:r>
        <w:rPr>
          <w:rFonts w:ascii="Book Antiqua" w:eastAsia="Book Antiqua" w:hAnsi="Book Antiqua" w:cs="Book Antiqua"/>
          <w:color w:val="000000"/>
        </w:rPr>
        <w:t xml:space="preserve"> 4 d, respectively, </w:t>
      </w:r>
      <w:r>
        <w:rPr>
          <w:rFonts w:ascii="Book Antiqua" w:eastAsia="Book Antiqua" w:hAnsi="Book Antiqua" w:cs="Book Antiqua"/>
          <w:i/>
          <w:color w:val="000000"/>
        </w:rPr>
        <w:t xml:space="preserve">P </w:t>
      </w:r>
      <w:r>
        <w:rPr>
          <w:rFonts w:ascii="Book Antiqua" w:eastAsia="Book Antiqua" w:hAnsi="Book Antiqua" w:cs="Book Antiqua"/>
          <w:color w:val="000000"/>
        </w:rPr>
        <w:t xml:space="preserve">&lt; 0.001). Rejection occurred in 12% of all patients. The mortality rate was 29.8%, with a significantly higher percentage in the readmission group (64.5% </w:t>
      </w:r>
      <w:r>
        <w:rPr>
          <w:rFonts w:ascii="Book Antiqua" w:eastAsia="Book Antiqua" w:hAnsi="Book Antiqua" w:cs="Book Antiqua"/>
          <w:i/>
          <w:color w:val="000000"/>
        </w:rPr>
        <w:t xml:space="preserve">vs </w:t>
      </w:r>
      <w:r>
        <w:rPr>
          <w:rFonts w:ascii="Book Antiqua" w:eastAsia="Book Antiqua" w:hAnsi="Book Antiqua" w:cs="Book Antiqua"/>
          <w:color w:val="000000"/>
        </w:rPr>
        <w:t xml:space="preserve">25.7%, </w:t>
      </w:r>
      <w:r>
        <w:rPr>
          <w:rFonts w:ascii="Book Antiqua" w:eastAsia="Book Antiqua" w:hAnsi="Book Antiqua" w:cs="Book Antiqua"/>
          <w:i/>
          <w:color w:val="000000"/>
        </w:rPr>
        <w:t xml:space="preserve">P </w:t>
      </w:r>
      <w:r>
        <w:rPr>
          <w:rFonts w:ascii="Book Antiqua" w:eastAsia="Book Antiqua" w:hAnsi="Book Antiqua" w:cs="Book Antiqua"/>
          <w:color w:val="000000"/>
        </w:rPr>
        <w:t>&lt; 0.001).</w:t>
      </w:r>
    </w:p>
    <w:p w14:paraId="066F0192"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Logistic regression analysis was conducted to identify risk factors for ICU readmission after discharge (Table 5). Significant independent risk factors included recipient age and length of initial hospital stay after discharge from the ICU. The increase in recipient age by one year was associated with an increased likelihood of ICU readmission by 4.8% (OR = 1.048, 95%CI = 1.005-1.094,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A negative relationship existed between the length of initial hospital stay and the probability of ICU readmission, as an increased length of stay resulted in a decreased risk of readmission (OR = 0.836, 95%CI = 0.789-0.885, </w:t>
      </w:r>
      <w:r>
        <w:rPr>
          <w:rFonts w:ascii="Book Antiqua" w:eastAsia="Book Antiqua" w:hAnsi="Book Antiqua" w:cs="Book Antiqua"/>
          <w:i/>
          <w:color w:val="000000"/>
        </w:rPr>
        <w:t xml:space="preserve">P </w:t>
      </w:r>
      <w:r>
        <w:rPr>
          <w:rFonts w:ascii="Book Antiqua" w:eastAsia="Book Antiqua" w:hAnsi="Book Antiqua" w:cs="Book Antiqua"/>
          <w:color w:val="000000"/>
        </w:rPr>
        <w:t>&lt; 0.001).</w:t>
      </w:r>
    </w:p>
    <w:p w14:paraId="6B9BEAEB"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Figures 1 and 2 illustrate the survival curve for all studied patients and according to ICU readmission, respectively. The OS rates for all patients at 1 and 2 years were 79.5% ± 2.3% and 75.2% ± 2.5%, respectively. The overall survival (OS) rates for non-ICU readmitted patients were 83.9% ± 2.3% and 79.2% ± 2.5% at 1 and 2 years, respectively. For ICU readmitted patients, the OS rate was 40.6% ± 9.1% at 1 year and persisted until 2 years. The log rank test showed a significant difference between the survival curves of the two groups (</w:t>
      </w:r>
      <w:r>
        <w:rPr>
          <w:rFonts w:ascii="Book Antiqua" w:eastAsia="Book Antiqua" w:hAnsi="Book Antiqua" w:cs="Book Antiqua"/>
          <w:i/>
          <w:color w:val="000000"/>
        </w:rPr>
        <w:t xml:space="preserve">P </w:t>
      </w:r>
      <w:r>
        <w:rPr>
          <w:rFonts w:ascii="Book Antiqua" w:eastAsia="Book Antiqua" w:hAnsi="Book Antiqua" w:cs="Book Antiqua"/>
          <w:color w:val="000000"/>
        </w:rPr>
        <w:t>&lt; 0.001).</w:t>
      </w:r>
    </w:p>
    <w:p w14:paraId="57903201" w14:textId="77777777" w:rsidR="00D01483" w:rsidRDefault="00D01483">
      <w:pPr>
        <w:spacing w:line="360" w:lineRule="auto"/>
        <w:jc w:val="both"/>
        <w:rPr>
          <w:rFonts w:ascii="Book Antiqua" w:hAnsi="Book Antiqua"/>
        </w:rPr>
      </w:pPr>
    </w:p>
    <w:p w14:paraId="51DB3B49" w14:textId="77777777" w:rsidR="00D01483" w:rsidRDefault="007E3D42">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27E4113"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Readmission after discharge from the hospital is considered among the important indicators of the quality of delivered health care services. Moreover, readmissions impose an additional considerable burden on health care expenditure and on hospital resources</w:t>
      </w:r>
      <w:r>
        <w:rPr>
          <w:rFonts w:ascii="Book Antiqua" w:eastAsia="Book Antiqua" w:hAnsi="Book Antiqua" w:cs="Book Antiqua"/>
          <w:color w:val="000000"/>
          <w:vertAlign w:val="superscript"/>
        </w:rPr>
        <w:t>[7]</w:t>
      </w:r>
      <w:r>
        <w:rPr>
          <w:rFonts w:ascii="Book Antiqua" w:eastAsia="Book Antiqua" w:hAnsi="Book Antiqua" w:cs="Book Antiqua"/>
          <w:color w:val="000000"/>
        </w:rPr>
        <w:t>. Recipients of liver transplantation are susceptible to the administration of multiple drug regimens, and they endure metabolic changes in addition to the complications that may arise from surgery</w:t>
      </w:r>
      <w:r>
        <w:rPr>
          <w:rFonts w:ascii="Book Antiqua" w:eastAsia="Book Antiqua" w:hAnsi="Book Antiqua" w:cs="Book Antiqua"/>
          <w:color w:val="000000"/>
          <w:vertAlign w:val="superscript"/>
        </w:rPr>
        <w:t>[5]</w:t>
      </w:r>
      <w:r>
        <w:rPr>
          <w:rFonts w:ascii="Book Antiqua" w:eastAsia="Book Antiqua" w:hAnsi="Book Antiqua" w:cs="Book Antiqua"/>
          <w:color w:val="000000"/>
        </w:rPr>
        <w:t>. All of these factors increase the risk of hospital and ICU readmission in this group of patients</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The current study aimed to identify the incidence, causes, </w:t>
      </w:r>
      <w:r>
        <w:rPr>
          <w:rFonts w:ascii="Book Antiqua" w:eastAsia="Book Antiqua" w:hAnsi="Book Antiqua" w:cs="Book Antiqua"/>
          <w:color w:val="000000"/>
        </w:rPr>
        <w:lastRenderedPageBreak/>
        <w:t>and outcomes of ICU readmission after LDLT. Our cohort consisted of 299 patients who underwent LDLT and were followed up for a median duration of 40 mo.</w:t>
      </w:r>
    </w:p>
    <w:p w14:paraId="209362C7"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present study, the incidence of ICU readmission within the first 3 mo after discharge was 10.4% and that of multiple ICU readmissions was 2.3% of the total cases. The incidence of hospital readmission after discharge was 3.3%. In agreement with this low rate of readmission, 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reported a 3-mo hospital readmission rate of 9.4% in 791 patients who underwent either LDLT or DDLT. On the other hand, much higher incidence rates of hospital readmission were reported by earlier studies</w:t>
      </w:r>
      <w:r>
        <w:rPr>
          <w:rFonts w:ascii="Book Antiqua" w:eastAsia="Book Antiqua" w:hAnsi="Book Antiqua" w:cs="Book Antiqua"/>
          <w:color w:val="000000"/>
          <w:vertAlign w:val="superscript"/>
        </w:rPr>
        <w:t>[6,8-10]</w:t>
      </w:r>
      <w:r>
        <w:rPr>
          <w:rFonts w:ascii="Book Antiqua" w:eastAsia="Book Antiqua" w:hAnsi="Book Antiqua" w:cs="Book Antiqua"/>
          <w:color w:val="000000"/>
        </w:rPr>
        <w:t>.</w:t>
      </w:r>
    </w:p>
    <w:p w14:paraId="51411CD9"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Shankar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assessed risk factors for rehospitalization in 208 patients who underwent liver transplantation (among whom 8 patients only underwent LDLT) over a duration of 4 years. They reported a hospital readmission rate of 30.3% within 3 mo. Pereira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conducted an assessment of 766 patients undergoing DDLT over an 8-year period. They found a 30-d readmission rate of 45%. Patel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evaluated 325 patients with DDLT over a 10-year period, with an overall 90-d readmission rate of 46%. Yataco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studied hospital readmission in 445 patients who underwent either DDLT or LDLT, with a 90-d hospital readmission rate of 42%. All of these studies included patients who underwent either DDLT only or a mixed sample of DDLT and LDLT. Nagaraja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assessed 140 LDLT patients and found the rate of readmission within 3 mo after discharge to be lower than reported in DDLT or a mixed sample (27.1%).</w:t>
      </w:r>
    </w:p>
    <w:p w14:paraId="49FC7F48"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The wide variation in the reported readmission rates among studies may be explained by the difference in preoperative patient characteristics, as only 16.7% of studies included patients undergoing LDLT and had MELD scores above 19. In addition, institutional policies for patient selection before transplant and the criteria for readmission differ among the centres, potentially impacting the reported rates of readmission.</w:t>
      </w:r>
    </w:p>
    <w:p w14:paraId="76ABCDD0"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most common causes of ICU readmission among our patients included sepsis (5/31 patients), followed by pulmonary and cardiac causes (3/31 each). Previous studies reported sepsis as the most common cause for hospital readmission, followed by biliary </w:t>
      </w:r>
      <w:r>
        <w:rPr>
          <w:rFonts w:ascii="Book Antiqua" w:eastAsia="Book Antiqua" w:hAnsi="Book Antiqua" w:cs="Book Antiqua"/>
          <w:color w:val="000000"/>
        </w:rPr>
        <w:lastRenderedPageBreak/>
        <w:t>complications</w:t>
      </w:r>
      <w:r>
        <w:rPr>
          <w:rFonts w:ascii="Book Antiqua" w:eastAsia="Book Antiqua" w:hAnsi="Book Antiqua" w:cs="Book Antiqua"/>
          <w:color w:val="000000"/>
          <w:vertAlign w:val="superscript"/>
        </w:rPr>
        <w:t>[6,11]</w:t>
      </w:r>
      <w:r>
        <w:rPr>
          <w:rFonts w:ascii="Book Antiqua" w:eastAsia="Book Antiqua" w:hAnsi="Book Antiqua" w:cs="Book Antiqua"/>
          <w:color w:val="000000"/>
        </w:rPr>
        <w:t>. Meanwhile, sepsis due to biliary complications were reported among the causes for hospital readmission (1.6% of total cases) in our cohort.</w:t>
      </w:r>
    </w:p>
    <w:p w14:paraId="38038A8A"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We proceeded in the current study to identify potential risk factors that increase the likelihood of ICU readmission within 3 mo after discharge. Several variables were assessed in the literature as potential predictors of rehospitalization after liver transplantation.</w:t>
      </w:r>
    </w:p>
    <w:p w14:paraId="7AE6B236"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recipient’s age was found on univariate and multivariate analyses in the current study to be significantly associated with an increased probability of ICU readmission. This association is supported by the results of Levy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Patel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However, several studies showed a lack of significant association with rehospitalization</w:t>
      </w:r>
      <w:r>
        <w:rPr>
          <w:rFonts w:ascii="Book Antiqua" w:eastAsia="Book Antiqua" w:hAnsi="Book Antiqua" w:cs="Book Antiqua"/>
          <w:color w:val="000000"/>
          <w:vertAlign w:val="superscript"/>
        </w:rPr>
        <w:t>[5,6,8,9,11]</w:t>
      </w:r>
      <w:r>
        <w:rPr>
          <w:rFonts w:ascii="Book Antiqua" w:eastAsia="Book Antiqua" w:hAnsi="Book Antiqua" w:cs="Book Antiqua"/>
          <w:color w:val="000000"/>
        </w:rPr>
        <w:t>.</w:t>
      </w:r>
    </w:p>
    <w:p w14:paraId="7F4FB8E6"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the recipient’s sex, univariate analysis showed that women were significantly more likely to be readmitted to the ICU, but this association was not significant in multivariate analysis. Patel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reported a lower risk for men and an increased risk for women. Other previous studies reported the lack of a significant effect of recipient sex on rehospitalization</w:t>
      </w:r>
      <w:r>
        <w:rPr>
          <w:rFonts w:ascii="Book Antiqua" w:eastAsia="Book Antiqua" w:hAnsi="Book Antiqua" w:cs="Book Antiqua"/>
          <w:color w:val="000000"/>
          <w:vertAlign w:val="superscript"/>
        </w:rPr>
        <w:t>[5,6,8,9,11,12]</w:t>
      </w:r>
      <w:r>
        <w:rPr>
          <w:rFonts w:ascii="Book Antiqua" w:eastAsia="Book Antiqua" w:hAnsi="Book Antiqua" w:cs="Book Antiqua"/>
          <w:color w:val="000000"/>
        </w:rPr>
        <w:t>.</w:t>
      </w:r>
    </w:p>
    <w:p w14:paraId="3075565A"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The presence of comorbidities was assessed in the present study. A higher percentage of ICU readmission was associated with diabetes, hypertension, and renal disease in univariate analysis, while multivariate analysis showed the lack of a significant effect on ICU readmission. The increased risk of rehospitalization with the presence of chronic illnesses was stated in the literature in patients undergoing surgery</w:t>
      </w:r>
      <w:r>
        <w:rPr>
          <w:rFonts w:ascii="Book Antiqua" w:eastAsia="Book Antiqua" w:hAnsi="Book Antiqua" w:cs="Book Antiqua"/>
          <w:color w:val="000000"/>
          <w:vertAlign w:val="superscript"/>
        </w:rPr>
        <w:t>[13,14]</w:t>
      </w:r>
      <w:r>
        <w:rPr>
          <w:rFonts w:ascii="Book Antiqua" w:eastAsia="Book Antiqua" w:hAnsi="Book Antiqua" w:cs="Book Antiqua"/>
          <w:color w:val="000000"/>
        </w:rPr>
        <w:t>. Our results are in line with previous studies assessing rehospitalization after liver transplantation, which did not show this significant association</w:t>
      </w:r>
      <w:r>
        <w:rPr>
          <w:rFonts w:ascii="Book Antiqua" w:eastAsia="Book Antiqua" w:hAnsi="Book Antiqua" w:cs="Book Antiqua"/>
          <w:color w:val="000000"/>
          <w:vertAlign w:val="superscript"/>
        </w:rPr>
        <w:t>[5,8,11]</w:t>
      </w:r>
      <w:r>
        <w:rPr>
          <w:rFonts w:ascii="Book Antiqua" w:eastAsia="Book Antiqua" w:hAnsi="Book Antiqua" w:cs="Book Antiqua"/>
          <w:color w:val="000000"/>
        </w:rPr>
        <w:t>. On the other hand, other preoperative morbid conditions, such as preoperative HCV infection</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PVT</w:t>
      </w:r>
      <w:r>
        <w:rPr>
          <w:rFonts w:ascii="Book Antiqua" w:eastAsia="Book Antiqua" w:hAnsi="Book Antiqua" w:cs="Book Antiqua"/>
          <w:color w:val="000000"/>
          <w:vertAlign w:val="superscript"/>
        </w:rPr>
        <w:t>[8]</w:t>
      </w:r>
      <w:r>
        <w:rPr>
          <w:rFonts w:ascii="Book Antiqua" w:eastAsia="Book Antiqua" w:hAnsi="Book Antiqua" w:cs="Book Antiqua"/>
          <w:color w:val="000000"/>
        </w:rPr>
        <w:t>, were reported to increase the risk of hospital readmission, although such an association was not detected in our cohort.</w:t>
      </w:r>
    </w:p>
    <w:p w14:paraId="207E8BD8"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While the current study results revealed a significantly longer initial ICU stay in ICU readmitted patients using univariate analysis, the association was not found to be significant on multivariate analysis. Similarly, Nagaraja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and Yataco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reported the lack of a significant difference between readmitted and non readmitted groups. In </w:t>
      </w:r>
      <w:r>
        <w:rPr>
          <w:rFonts w:ascii="Book Antiqua" w:eastAsia="Book Antiqua" w:hAnsi="Book Antiqua" w:cs="Book Antiqua"/>
          <w:color w:val="000000"/>
        </w:rPr>
        <w:lastRenderedPageBreak/>
        <w:t xml:space="preserve">contrast, Levy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found that a higher percentage of non readmitted patients had an ICU stay less than 3 d than readmitted patients (67.8% </w:t>
      </w:r>
      <w:r>
        <w:rPr>
          <w:rFonts w:ascii="Book Antiqua" w:eastAsia="Book Antiqua" w:hAnsi="Book Antiqua" w:cs="Book Antiqua"/>
          <w:i/>
          <w:color w:val="000000"/>
        </w:rPr>
        <w:t>vs</w:t>
      </w:r>
      <w:r>
        <w:rPr>
          <w:rFonts w:ascii="Book Antiqua" w:eastAsia="Book Antiqua" w:hAnsi="Book Antiqua" w:cs="Book Antiqua"/>
          <w:color w:val="000000"/>
        </w:rPr>
        <w:t xml:space="preserve"> 56.3%, </w:t>
      </w:r>
      <w:r>
        <w:rPr>
          <w:rFonts w:ascii="Book Antiqua" w:eastAsia="Book Antiqua" w:hAnsi="Book Antiqua" w:cs="Book Antiqua"/>
          <w:i/>
          <w:iCs/>
          <w:color w:val="000000"/>
        </w:rPr>
        <w:t>P</w:t>
      </w:r>
      <w:r>
        <w:rPr>
          <w:rFonts w:ascii="Book Antiqua" w:eastAsia="Book Antiqua" w:hAnsi="Book Antiqua" w:cs="Book Antiqua"/>
          <w:color w:val="000000"/>
        </w:rPr>
        <w:t xml:space="preserve"> = 0.0231). Shankar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reported that a longer LOS in the ICU had a lower risk ratio.</w:t>
      </w:r>
    </w:p>
    <w:p w14:paraId="31C7AC72"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Numerous other factors were identified by some researchers as predictors of rehospitalization but were nonsignificant in the current study, including the MELD score and postoperative complications.</w:t>
      </w:r>
    </w:p>
    <w:p w14:paraId="542F561F"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We found that the initial hospital stay correlated negatively with the probability of ICU readmission (OR = 0.836, 95%CI = 0.789-0.885, </w:t>
      </w:r>
      <w:r>
        <w:rPr>
          <w:rFonts w:ascii="Book Antiqua" w:eastAsia="Book Antiqua" w:hAnsi="Book Antiqua" w:cs="Book Antiqua"/>
          <w:i/>
          <w:color w:val="000000"/>
        </w:rPr>
        <w:t xml:space="preserve">P </w:t>
      </w:r>
      <w:r>
        <w:rPr>
          <w:rFonts w:ascii="Book Antiqua" w:eastAsia="Book Antiqua" w:hAnsi="Book Antiqua" w:cs="Book Antiqua"/>
          <w:color w:val="000000"/>
        </w:rPr>
        <w:t xml:space="preserve">&lt; 0.001), indicating an increased risk with shorter stays. The literature shows controversial reports concerning the relationship between the length of initial hospital stay and rehospitalization. A negative correlation was also observed by Kassin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Ladner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Pereira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and 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Contradictory results were stated by Yataco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who found that an initial hospital stay longer than 7 d was significantly associated with hospital readmission. Prolonged hospital stay can potentially exert two contradictory effects on the probability of hospital readmission, which may depend largely on the range of stay. On the one hand, a longer stay can prevent discharge before full assessment, optimization of the patient, and adequate management of postoperative complications. Some postoperative complications, such as rejection, may not manifest within the first days after transplantation, and their detection after discharge leads to early hospital readmission. On the other hand, prolonged stay predisposes the patient to an increased risk of contracting nosocomial infection with a negative impact on the patient’s health and outcomes.</w:t>
      </w:r>
    </w:p>
    <w:p w14:paraId="3707D2C2"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A higher MELD score has been associated with higher health care costs and increased utilization of hospital resources</w:t>
      </w:r>
      <w:r>
        <w:rPr>
          <w:rFonts w:ascii="Book Antiqua" w:eastAsia="Book Antiqua" w:hAnsi="Book Antiqua" w:cs="Book Antiqua"/>
          <w:color w:val="000000"/>
          <w:vertAlign w:val="superscript"/>
        </w:rPr>
        <w:t>[16,17]</w:t>
      </w:r>
      <w:r>
        <w:rPr>
          <w:rFonts w:ascii="Book Antiqua" w:eastAsia="Book Antiqua" w:hAnsi="Book Antiqua" w:cs="Book Antiqua"/>
          <w:color w:val="000000"/>
        </w:rPr>
        <w:t>. Nevertheless, the MELD score was not found to be significantly associated with ICU readmission in this study, a finding shared by several previous studies assessing risk factors for hospital readmission</w:t>
      </w:r>
      <w:r>
        <w:rPr>
          <w:rFonts w:ascii="Book Antiqua" w:eastAsia="Book Antiqua" w:hAnsi="Book Antiqua" w:cs="Book Antiqua"/>
          <w:color w:val="000000"/>
          <w:vertAlign w:val="superscript"/>
        </w:rPr>
        <w:t>[5,6,8-11]</w:t>
      </w:r>
      <w:r>
        <w:rPr>
          <w:rFonts w:ascii="Book Antiqua" w:eastAsia="Book Antiqua" w:hAnsi="Book Antiqua" w:cs="Book Antiqua"/>
          <w:color w:val="000000"/>
        </w:rPr>
        <w:t>. The calculation of the MELD score is based on a limited set of laboratory measurements that are not able to capture all aspects of the patient’s functional status.</w:t>
      </w:r>
    </w:p>
    <w:p w14:paraId="422D1ABE"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We did not find a significant difference in the rate of postoperative complications between readmitted and nonreadmitted groups, a finding shared by Nagaraja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However, 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found that the risk of readmission correlated positively with the number and severity of complications after liver transplantation. An increased risk in patients suffering postoperative complications was also observed by Pereira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5767C2B0"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mortality rate in our series was 29.8%. The OS rates for all patients at 1 and 2 years were 79.5% ± 2.3% and 75.2% ± 2.5%, respectively. Patients with ICU readmission had a significantly higher mortality rate than those without readmission (64.5% </w:t>
      </w:r>
      <w:r>
        <w:rPr>
          <w:rFonts w:ascii="Book Antiqua" w:eastAsia="Book Antiqua" w:hAnsi="Book Antiqua" w:cs="Book Antiqua"/>
          <w:i/>
          <w:color w:val="000000"/>
        </w:rPr>
        <w:t>vs</w:t>
      </w:r>
      <w:r>
        <w:rPr>
          <w:rFonts w:ascii="Book Antiqua" w:eastAsia="Book Antiqua" w:hAnsi="Book Antiqua" w:cs="Book Antiqua"/>
          <w:color w:val="000000"/>
        </w:rPr>
        <w:t xml:space="preserve"> 25.7%, </w:t>
      </w:r>
      <w:r>
        <w:rPr>
          <w:rFonts w:ascii="Book Antiqua" w:eastAsia="Book Antiqua" w:hAnsi="Book Antiqua" w:cs="Book Antiqua"/>
          <w:i/>
          <w:color w:val="000000"/>
        </w:rPr>
        <w:t xml:space="preserve">P </w:t>
      </w:r>
      <w:r>
        <w:rPr>
          <w:rFonts w:ascii="Book Antiqua" w:eastAsia="Book Antiqua" w:hAnsi="Book Antiqua" w:cs="Book Antiqua"/>
          <w:color w:val="000000"/>
        </w:rPr>
        <w:t xml:space="preserve">&lt; 0.001). The OS rates for ICU readmitted patients were significantly reduced compared to the non readmission group at one year (40.6% ± 9.1% </w:t>
      </w:r>
      <w:r>
        <w:rPr>
          <w:rFonts w:ascii="Book Antiqua" w:eastAsia="Book Antiqua" w:hAnsi="Book Antiqua" w:cs="Book Antiqua"/>
          <w:i/>
          <w:color w:val="000000"/>
        </w:rPr>
        <w:t>vs</w:t>
      </w:r>
      <w:r>
        <w:rPr>
          <w:rFonts w:ascii="Book Antiqua" w:eastAsia="Book Antiqua" w:hAnsi="Book Antiqua" w:cs="Book Antiqua"/>
          <w:color w:val="000000"/>
        </w:rPr>
        <w:t xml:space="preserve"> 83.9% ± 2.3%) and two years (40.6% ± 9.1% </w:t>
      </w:r>
      <w:r>
        <w:rPr>
          <w:rFonts w:ascii="Book Antiqua" w:eastAsia="Book Antiqua" w:hAnsi="Book Antiqua" w:cs="Book Antiqua"/>
          <w:i/>
          <w:color w:val="000000"/>
        </w:rPr>
        <w:t xml:space="preserve">vs </w:t>
      </w:r>
      <w:r>
        <w:rPr>
          <w:rFonts w:ascii="Book Antiqua" w:eastAsia="Book Antiqua" w:hAnsi="Book Antiqua" w:cs="Book Antiqua"/>
          <w:color w:val="000000"/>
        </w:rPr>
        <w:t>79.2% ± 2.5%) post transplantation. This association between readmission and mortality could be explained by the worsened health status of readmitted patients, which requires readmission and at the same time increases the risk of mortality. Moreover, ICU readmission may expose the patient to nosocomial infections, and the use of multiple medications may negatively affect renal function and result in further deterioration of the patient’s health status.</w:t>
      </w:r>
    </w:p>
    <w:p w14:paraId="42A4C7B5"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accordance with these findings, Pereira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found decreased OS at one year after transplantation in readmitted patients compared to nonreadmitted patients (88.2% </w:t>
      </w:r>
      <w:r>
        <w:rPr>
          <w:rFonts w:ascii="Book Antiqua" w:eastAsia="Book Antiqua" w:hAnsi="Book Antiqua" w:cs="Book Antiqua"/>
          <w:i/>
          <w:iCs/>
          <w:color w:val="000000"/>
        </w:rPr>
        <w:t>vs</w:t>
      </w:r>
      <w:r>
        <w:rPr>
          <w:rFonts w:ascii="Book Antiqua" w:eastAsia="Book Antiqua" w:hAnsi="Book Antiqua" w:cs="Book Antiqua"/>
          <w:color w:val="000000"/>
        </w:rPr>
        <w:t xml:space="preserve"> 95.6%, </w:t>
      </w:r>
      <w:r>
        <w:rPr>
          <w:rFonts w:ascii="Book Antiqua" w:eastAsia="Book Antiqua" w:hAnsi="Book Antiqua" w:cs="Book Antiqua"/>
          <w:i/>
          <w:color w:val="000000"/>
        </w:rPr>
        <w:t xml:space="preserve">P </w:t>
      </w:r>
      <w:r>
        <w:rPr>
          <w:rFonts w:ascii="Book Antiqua" w:eastAsia="Book Antiqua" w:hAnsi="Book Antiqua" w:cs="Book Antiqua"/>
          <w:color w:val="000000"/>
        </w:rPr>
        <w:t xml:space="preserve">&lt; 0.05). Nagaraja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reported that readmitted patients had a significantly higher mortality rate than nonreadmitted patients (8% </w:t>
      </w:r>
      <w:r>
        <w:rPr>
          <w:rFonts w:ascii="Book Antiqua" w:eastAsia="Book Antiqua" w:hAnsi="Book Antiqua" w:cs="Book Antiqua"/>
          <w:i/>
          <w:color w:val="000000"/>
        </w:rPr>
        <w:t>vs</w:t>
      </w:r>
      <w:r>
        <w:rPr>
          <w:rFonts w:ascii="Book Antiqua" w:eastAsia="Book Antiqua" w:hAnsi="Book Antiqua" w:cs="Book Antiqua"/>
          <w:color w:val="000000"/>
        </w:rPr>
        <w:t xml:space="preserve"> 0%; </w:t>
      </w:r>
      <w:r>
        <w:rPr>
          <w:rFonts w:ascii="Book Antiqua" w:eastAsia="Book Antiqua" w:hAnsi="Book Antiqua" w:cs="Book Antiqua"/>
          <w:i/>
          <w:iCs/>
          <w:color w:val="000000"/>
        </w:rPr>
        <w:t>P</w:t>
      </w:r>
      <w:r>
        <w:rPr>
          <w:rFonts w:ascii="Book Antiqua" w:eastAsia="Book Antiqua" w:hAnsi="Book Antiqua" w:cs="Book Antiqua"/>
          <w:color w:val="000000"/>
        </w:rPr>
        <w:t xml:space="preserve"> = 0.01). 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reported reduced OS in readmitted patients at 1 year (81.2% </w:t>
      </w:r>
      <w:r>
        <w:rPr>
          <w:rFonts w:ascii="Book Antiqua" w:eastAsia="Book Antiqua" w:hAnsi="Book Antiqua" w:cs="Book Antiqua"/>
          <w:i/>
          <w:color w:val="000000"/>
        </w:rPr>
        <w:t>vs</w:t>
      </w:r>
      <w:r>
        <w:rPr>
          <w:rFonts w:ascii="Book Antiqua" w:eastAsia="Book Antiqua" w:hAnsi="Book Antiqua" w:cs="Book Antiqua"/>
          <w:color w:val="000000"/>
        </w:rPr>
        <w:t xml:space="preserve"> 94.1%) and 2 years (68.1% </w:t>
      </w:r>
      <w:r>
        <w:rPr>
          <w:rFonts w:ascii="Book Antiqua" w:eastAsia="Book Antiqua" w:hAnsi="Book Antiqua" w:cs="Book Antiqua"/>
          <w:i/>
          <w:color w:val="000000"/>
        </w:rPr>
        <w:t>vs</w:t>
      </w:r>
      <w:r>
        <w:rPr>
          <w:rFonts w:ascii="Book Antiqua" w:eastAsia="Book Antiqua" w:hAnsi="Book Antiqua" w:cs="Book Antiqua"/>
          <w:color w:val="000000"/>
        </w:rPr>
        <w:t xml:space="preserve"> 88.2). Patel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stated that readmitted patients had a significantly lower 5-year survival (75% </w:t>
      </w:r>
      <w:r>
        <w:rPr>
          <w:rFonts w:ascii="Book Antiqua" w:eastAsia="Book Antiqua" w:hAnsi="Book Antiqua" w:cs="Book Antiqua"/>
          <w:i/>
          <w:color w:val="000000"/>
        </w:rPr>
        <w:t>vs</w:t>
      </w:r>
      <w:r>
        <w:rPr>
          <w:rFonts w:ascii="Book Antiqua" w:eastAsia="Book Antiqua" w:hAnsi="Book Antiqua" w:cs="Book Antiqua"/>
          <w:color w:val="000000"/>
        </w:rPr>
        <w:t xml:space="preserve"> 88%,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Nevertheless, Yataco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reported the lack of a significant difference in the 1-year survival rate between readmitted and nonreadmitted recipients.</w:t>
      </w:r>
    </w:p>
    <w:p w14:paraId="468E4890" w14:textId="77777777" w:rsidR="00D01483" w:rsidRDefault="007E3D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present study differs from previous studies by investigating ICU readmission and not all rehospitalizations, which may explain differences in results from those studies. We believe that ICU readmission imposes more negative effects on both patients and the resources of health care systems than rehospitalization into other hospital wards or units. </w:t>
      </w:r>
      <w:r>
        <w:rPr>
          <w:rFonts w:ascii="Book Antiqua" w:eastAsia="Book Antiqua" w:hAnsi="Book Antiqua" w:cs="Book Antiqua"/>
          <w:color w:val="000000"/>
        </w:rPr>
        <w:lastRenderedPageBreak/>
        <w:t>Considering that the resources of the ICU are limited and the cost of care is higher than that encountered with hospital ward admission, the identification of specific causes and risk factors for ICU readmission is crucial. However, the present study bears some points of limitation. The retrospective nature of the study predisposes the collected data to inaccuracies. Moreover, patients may have been readmitted to other health care facilities, and such data may not be recorded in our institution’s files. Being a single-centre experience hinders the generalization of our results.</w:t>
      </w:r>
    </w:p>
    <w:p w14:paraId="5B82A609" w14:textId="77777777" w:rsidR="00D01483" w:rsidRDefault="00D01483">
      <w:pPr>
        <w:spacing w:line="360" w:lineRule="auto"/>
        <w:jc w:val="both"/>
        <w:rPr>
          <w:rFonts w:ascii="Book Antiqua" w:hAnsi="Book Antiqua"/>
        </w:rPr>
      </w:pPr>
    </w:p>
    <w:p w14:paraId="3E288C6C" w14:textId="77777777" w:rsidR="00D01483" w:rsidRDefault="007E3D42">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49FED51"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Older recipient age and shorter initial hospital stay were significantly associated with ICU readmission. The overall survival rate for ICU readmitted patients was significantly lower than that for non-ICU readmitted patients. The identification of high-risk patients with these factors before discharge may help provide optimal care and tailor follow-up to reduce the rate of ICU readmission.</w:t>
      </w:r>
    </w:p>
    <w:p w14:paraId="76600D58" w14:textId="77777777" w:rsidR="00D01483" w:rsidRDefault="00D01483">
      <w:pPr>
        <w:spacing w:line="360" w:lineRule="auto"/>
        <w:jc w:val="both"/>
        <w:rPr>
          <w:rFonts w:ascii="Book Antiqua" w:hAnsi="Book Antiqua"/>
        </w:rPr>
      </w:pPr>
    </w:p>
    <w:p w14:paraId="5DECEFC3" w14:textId="77777777" w:rsidR="00D01483" w:rsidRDefault="007E3D42">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5B70359" w14:textId="77777777" w:rsidR="00D01483" w:rsidRDefault="007E3D42">
      <w:pPr>
        <w:spacing w:line="360" w:lineRule="auto"/>
        <w:jc w:val="both"/>
        <w:rPr>
          <w:rFonts w:ascii="Book Antiqua" w:hAnsi="Book Antiqua"/>
        </w:rPr>
      </w:pPr>
      <w:r>
        <w:rPr>
          <w:rFonts w:ascii="Book Antiqua" w:eastAsia="Book Antiqua" w:hAnsi="Book Antiqua" w:cs="Book Antiqua"/>
          <w:b/>
          <w:i/>
          <w:color w:val="000000"/>
        </w:rPr>
        <w:t>Research background</w:t>
      </w:r>
    </w:p>
    <w:p w14:paraId="390862AC" w14:textId="77777777" w:rsidR="00D01483" w:rsidRDefault="007E3D42">
      <w:pPr>
        <w:spacing w:line="360" w:lineRule="auto"/>
        <w:jc w:val="both"/>
        <w:rPr>
          <w:rFonts w:ascii="Book Antiqua" w:hAnsi="Book Antiqua"/>
        </w:rPr>
      </w:pPr>
      <w:r>
        <w:rPr>
          <w:rFonts w:ascii="Book Antiqua" w:eastAsia="Book Antiqua" w:hAnsi="Book Antiqua" w:cs="Book Antiqua"/>
          <w:bCs/>
          <w:color w:val="000000"/>
        </w:rPr>
        <w:t>Intensive care unit (ICU) admission and readmission following liver transplantation is important field in liver transplantation operation. Readmission causes and effect on prognosis in terms of morbidity and mortality are still needed to be further investigated</w:t>
      </w:r>
    </w:p>
    <w:p w14:paraId="11BE2532" w14:textId="77777777" w:rsidR="00D01483" w:rsidRDefault="00D01483">
      <w:pPr>
        <w:spacing w:line="360" w:lineRule="auto"/>
        <w:jc w:val="both"/>
        <w:rPr>
          <w:rFonts w:ascii="Book Antiqua" w:hAnsi="Book Antiqua"/>
        </w:rPr>
      </w:pPr>
    </w:p>
    <w:p w14:paraId="46A5B84B" w14:textId="77777777" w:rsidR="00D01483" w:rsidRDefault="007E3D42">
      <w:pPr>
        <w:spacing w:line="360" w:lineRule="auto"/>
        <w:jc w:val="both"/>
        <w:rPr>
          <w:rFonts w:ascii="Book Antiqua" w:hAnsi="Book Antiqua"/>
        </w:rPr>
      </w:pPr>
      <w:r>
        <w:rPr>
          <w:rFonts w:ascii="Book Antiqua" w:eastAsia="Book Antiqua" w:hAnsi="Book Antiqua" w:cs="Book Antiqua"/>
          <w:b/>
          <w:i/>
          <w:color w:val="000000"/>
        </w:rPr>
        <w:t>Research motivation</w:t>
      </w:r>
    </w:p>
    <w:p w14:paraId="5E9BF9E0"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To identify causes and outcome in recipients post living donor liver transplantation (LDLT) who required ICU readmission after initial discharge from ICU and to compare them with patients who did not require readmission</w:t>
      </w:r>
    </w:p>
    <w:p w14:paraId="20CDDE0B" w14:textId="77777777" w:rsidR="00D01483" w:rsidRDefault="00D01483">
      <w:pPr>
        <w:spacing w:line="360" w:lineRule="auto"/>
        <w:jc w:val="both"/>
        <w:rPr>
          <w:rFonts w:ascii="Book Antiqua" w:hAnsi="Book Antiqua"/>
        </w:rPr>
      </w:pPr>
    </w:p>
    <w:p w14:paraId="14CC1368" w14:textId="77777777" w:rsidR="00D01483" w:rsidRDefault="007E3D42">
      <w:pPr>
        <w:spacing w:line="360" w:lineRule="auto"/>
        <w:jc w:val="both"/>
        <w:rPr>
          <w:rFonts w:ascii="Book Antiqua" w:hAnsi="Book Antiqua"/>
        </w:rPr>
      </w:pPr>
      <w:r>
        <w:rPr>
          <w:rFonts w:ascii="Book Antiqua" w:eastAsia="Book Antiqua" w:hAnsi="Book Antiqua" w:cs="Book Antiqua"/>
          <w:b/>
          <w:i/>
          <w:color w:val="000000"/>
        </w:rPr>
        <w:t>Research objectives</w:t>
      </w:r>
    </w:p>
    <w:p w14:paraId="7411343A"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 xml:space="preserve">A retrospective cohort study carried on recipients who had LDLT in single Egyptian center in the period betwenn 2008 and 2018. Patients were divided into two groups </w:t>
      </w:r>
      <w:r>
        <w:rPr>
          <w:rFonts w:ascii="Book Antiqua" w:eastAsia="Book Antiqua" w:hAnsi="Book Antiqua" w:cs="Book Antiqua"/>
          <w:color w:val="000000"/>
        </w:rPr>
        <w:lastRenderedPageBreak/>
        <w:t>according to ICU readmission after initial hospital discharge. Risk factors for ICU readmission were identified in univariate and multivariate analyses.</w:t>
      </w:r>
    </w:p>
    <w:p w14:paraId="530D7ECB" w14:textId="77777777" w:rsidR="00D01483" w:rsidRDefault="00D01483">
      <w:pPr>
        <w:spacing w:line="360" w:lineRule="auto"/>
        <w:jc w:val="both"/>
        <w:rPr>
          <w:rFonts w:ascii="Book Antiqua" w:hAnsi="Book Antiqua"/>
        </w:rPr>
      </w:pPr>
    </w:p>
    <w:p w14:paraId="47C616F9" w14:textId="77777777" w:rsidR="00D01483" w:rsidRDefault="007E3D42">
      <w:pPr>
        <w:spacing w:line="360" w:lineRule="auto"/>
        <w:jc w:val="both"/>
        <w:rPr>
          <w:rFonts w:ascii="Book Antiqua" w:hAnsi="Book Antiqua"/>
        </w:rPr>
      </w:pPr>
      <w:r>
        <w:rPr>
          <w:rFonts w:ascii="Book Antiqua" w:eastAsia="Book Antiqua" w:hAnsi="Book Antiqua" w:cs="Book Antiqua"/>
          <w:b/>
          <w:i/>
          <w:color w:val="000000"/>
        </w:rPr>
        <w:t>Research methods</w:t>
      </w:r>
    </w:p>
    <w:p w14:paraId="156C3782"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 xml:space="preserve">Retrospective cohort study was conducted by reviewing the hospital files and records of adult patients who underwent LDLT at Ain Shams University Hospital, Cairo, Egypt, during the period from January 1, 2008, to December 31, 2018. Causes and outcome of ICU readmission were compared between both groups (Readmission group and non readmission group). Risk factors for ICU readmission were also assessed including donor and recipient factors. Binomial logistic regression was conducted to identify independent risk factors for ICU readmission, including all variables with a </w:t>
      </w:r>
      <w:r>
        <w:rPr>
          <w:rFonts w:ascii="Book Antiqua" w:eastAsia="Book Antiqua" w:hAnsi="Book Antiqua" w:cs="Book Antiqua"/>
          <w:i/>
          <w:color w:val="000000"/>
        </w:rPr>
        <w:t>P</w:t>
      </w:r>
      <w:r>
        <w:rPr>
          <w:rFonts w:ascii="Book Antiqua" w:eastAsia="Book Antiqua" w:hAnsi="Book Antiqua" w:cs="Book Antiqua"/>
          <w:color w:val="000000"/>
        </w:rPr>
        <w:t xml:space="preserve"> value &lt; 0.1 in univariant analysis. </w:t>
      </w:r>
    </w:p>
    <w:p w14:paraId="739A4306" w14:textId="77777777" w:rsidR="00D01483" w:rsidRDefault="00D01483">
      <w:pPr>
        <w:spacing w:line="360" w:lineRule="auto"/>
        <w:jc w:val="both"/>
        <w:rPr>
          <w:rFonts w:ascii="Book Antiqua" w:hAnsi="Book Antiqua"/>
        </w:rPr>
      </w:pPr>
    </w:p>
    <w:p w14:paraId="000A445B" w14:textId="77777777" w:rsidR="00D01483" w:rsidRDefault="007E3D42">
      <w:pPr>
        <w:spacing w:line="360" w:lineRule="auto"/>
        <w:jc w:val="both"/>
        <w:rPr>
          <w:rFonts w:ascii="Book Antiqua" w:hAnsi="Book Antiqua"/>
        </w:rPr>
      </w:pPr>
      <w:r>
        <w:rPr>
          <w:rFonts w:ascii="Book Antiqua" w:eastAsia="Book Antiqua" w:hAnsi="Book Antiqua" w:cs="Book Antiqua"/>
          <w:b/>
          <w:i/>
          <w:color w:val="000000"/>
        </w:rPr>
        <w:t>Research results</w:t>
      </w:r>
    </w:p>
    <w:p w14:paraId="24ECFE40"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Thirty-one (10.4%) patients were readmitted into the ICU within ≤ 3 mo of initial ICU discharge, among whom 7 (2.3% of total cases) had more than one ICU readmission. Biliary complication and sepsis was the most common cause of ICU readmission. Significant independent risk factors included recipient age and length of initial hospital stay after discharge from the ICU.</w:t>
      </w:r>
    </w:p>
    <w:p w14:paraId="32E290A7" w14:textId="77777777" w:rsidR="00D01483" w:rsidRDefault="00D01483">
      <w:pPr>
        <w:spacing w:line="360" w:lineRule="auto"/>
        <w:jc w:val="both"/>
        <w:rPr>
          <w:rFonts w:ascii="Book Antiqua" w:hAnsi="Book Antiqua"/>
        </w:rPr>
      </w:pPr>
    </w:p>
    <w:p w14:paraId="38D42F02" w14:textId="77777777" w:rsidR="00D01483" w:rsidRDefault="007E3D42">
      <w:pPr>
        <w:spacing w:line="360" w:lineRule="auto"/>
        <w:jc w:val="both"/>
        <w:rPr>
          <w:rFonts w:ascii="Book Antiqua" w:hAnsi="Book Antiqua"/>
        </w:rPr>
      </w:pPr>
      <w:r>
        <w:rPr>
          <w:rFonts w:ascii="Book Antiqua" w:eastAsia="Book Antiqua" w:hAnsi="Book Antiqua" w:cs="Book Antiqua"/>
          <w:b/>
          <w:i/>
          <w:color w:val="000000"/>
        </w:rPr>
        <w:t>Research conclusions</w:t>
      </w:r>
    </w:p>
    <w:p w14:paraId="3F1C3F7C"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The study concluded that older recipient age and duration of hospital stay (word stay) before ICU readmission were significant risk factors for ICU readmission. The overall survival rate for ICU readmitted patients was significantly lower than that for non-ICU readmitted patients.</w:t>
      </w:r>
    </w:p>
    <w:p w14:paraId="39BC5722" w14:textId="77777777" w:rsidR="00D01483" w:rsidRDefault="00D01483">
      <w:pPr>
        <w:spacing w:line="360" w:lineRule="auto"/>
        <w:jc w:val="both"/>
        <w:rPr>
          <w:rFonts w:ascii="Book Antiqua" w:hAnsi="Book Antiqua"/>
        </w:rPr>
      </w:pPr>
    </w:p>
    <w:p w14:paraId="09677A16" w14:textId="77777777" w:rsidR="00D01483" w:rsidRDefault="007E3D42">
      <w:pPr>
        <w:spacing w:line="360" w:lineRule="auto"/>
        <w:jc w:val="both"/>
        <w:rPr>
          <w:rFonts w:ascii="Book Antiqua" w:hAnsi="Book Antiqua"/>
        </w:rPr>
      </w:pPr>
      <w:r>
        <w:rPr>
          <w:rFonts w:ascii="Book Antiqua" w:eastAsia="Book Antiqua" w:hAnsi="Book Antiqua" w:cs="Book Antiqua"/>
          <w:b/>
          <w:i/>
          <w:color w:val="000000"/>
        </w:rPr>
        <w:t>Research perspectives</w:t>
      </w:r>
    </w:p>
    <w:p w14:paraId="61C36373" w14:textId="77777777" w:rsidR="00D01483" w:rsidRDefault="007E3D42">
      <w:pPr>
        <w:spacing w:line="360" w:lineRule="auto"/>
        <w:jc w:val="both"/>
        <w:rPr>
          <w:rFonts w:ascii="Book Antiqua" w:hAnsi="Book Antiqua"/>
          <w:lang w:eastAsia="zh-CN"/>
        </w:rPr>
      </w:pPr>
      <w:r>
        <w:rPr>
          <w:rFonts w:ascii="Book Antiqua" w:eastAsia="Book Antiqua" w:hAnsi="Book Antiqua" w:cs="Book Antiqua"/>
          <w:color w:val="000000"/>
        </w:rPr>
        <w:t>Further study are warranted to identity how to improve management of the risky patients and hence improve their survival</w:t>
      </w:r>
      <w:r>
        <w:rPr>
          <w:rFonts w:ascii="Book Antiqua" w:hAnsi="Book Antiqua" w:cs="Book Antiqua"/>
          <w:color w:val="000000"/>
          <w:lang w:eastAsia="zh-CN"/>
        </w:rPr>
        <w:t>.</w:t>
      </w:r>
    </w:p>
    <w:p w14:paraId="1FCB1B3B" w14:textId="77777777" w:rsidR="00D01483" w:rsidRDefault="00D01483">
      <w:pPr>
        <w:spacing w:line="360" w:lineRule="auto"/>
        <w:jc w:val="both"/>
        <w:rPr>
          <w:rFonts w:ascii="Book Antiqua" w:hAnsi="Book Antiqua"/>
        </w:rPr>
      </w:pPr>
    </w:p>
    <w:p w14:paraId="4DE061DA" w14:textId="77777777" w:rsidR="00D01483" w:rsidRDefault="007E3D42">
      <w:pPr>
        <w:spacing w:line="360" w:lineRule="auto"/>
        <w:jc w:val="both"/>
        <w:rPr>
          <w:rFonts w:ascii="Book Antiqua" w:hAnsi="Book Antiqua"/>
        </w:rPr>
      </w:pPr>
      <w:r>
        <w:rPr>
          <w:rFonts w:ascii="Book Antiqua" w:eastAsia="Book Antiqua" w:hAnsi="Book Antiqua" w:cs="Book Antiqua"/>
          <w:b/>
          <w:color w:val="000000"/>
        </w:rPr>
        <w:t>REFERENCES</w:t>
      </w:r>
    </w:p>
    <w:p w14:paraId="3416C39C" w14:textId="77777777" w:rsidR="00D01483" w:rsidRDefault="007E3D42">
      <w:pPr>
        <w:spacing w:line="360" w:lineRule="auto"/>
        <w:jc w:val="both"/>
        <w:rPr>
          <w:rFonts w:ascii="Book Antiqua" w:hAnsi="Book Antiqua"/>
        </w:rPr>
      </w:pPr>
      <w:r>
        <w:rPr>
          <w:rFonts w:ascii="Book Antiqua" w:hAnsi="Book Antiqua"/>
        </w:rPr>
        <w:t xml:space="preserve">1 </w:t>
      </w:r>
      <w:r>
        <w:rPr>
          <w:rFonts w:ascii="Book Antiqua" w:hAnsi="Book Antiqua"/>
          <w:b/>
          <w:bCs/>
        </w:rPr>
        <w:t>Farkas S</w:t>
      </w:r>
      <w:r>
        <w:rPr>
          <w:rFonts w:ascii="Book Antiqua" w:hAnsi="Book Antiqua"/>
        </w:rPr>
        <w:t xml:space="preserve">, Hackl C, Schlitt HJ. Overview of the indications and contraindications for liver transplantation. </w:t>
      </w:r>
      <w:r>
        <w:rPr>
          <w:rFonts w:ascii="Book Antiqua" w:hAnsi="Book Antiqua"/>
          <w:i/>
          <w:iCs/>
        </w:rPr>
        <w:t>Cold Spring HarbPerspect Med</w:t>
      </w:r>
      <w:r>
        <w:rPr>
          <w:rFonts w:ascii="Book Antiqua" w:hAnsi="Book Antiqua"/>
        </w:rPr>
        <w:t xml:space="preserve"> 2014; </w:t>
      </w:r>
      <w:r>
        <w:rPr>
          <w:rFonts w:ascii="Book Antiqua" w:hAnsi="Book Antiqua"/>
          <w:b/>
          <w:bCs/>
        </w:rPr>
        <w:t>4</w:t>
      </w:r>
      <w:r>
        <w:rPr>
          <w:rFonts w:ascii="Book Antiqua" w:hAnsi="Book Antiqua"/>
        </w:rPr>
        <w:t xml:space="preserve"> [PMID: 24789874 DOI: 10.1101/cshperspect.a015602]</w:t>
      </w:r>
    </w:p>
    <w:p w14:paraId="685B0239" w14:textId="77777777" w:rsidR="00D01483" w:rsidRDefault="007E3D42">
      <w:pPr>
        <w:spacing w:line="360" w:lineRule="auto"/>
        <w:jc w:val="both"/>
        <w:rPr>
          <w:rFonts w:ascii="Book Antiqua" w:hAnsi="Book Antiqua"/>
        </w:rPr>
      </w:pPr>
      <w:r>
        <w:rPr>
          <w:rFonts w:ascii="Book Antiqua" w:hAnsi="Book Antiqua"/>
        </w:rPr>
        <w:t xml:space="preserve">2 </w:t>
      </w:r>
      <w:r>
        <w:rPr>
          <w:rFonts w:ascii="Book Antiqua" w:hAnsi="Book Antiqua"/>
          <w:b/>
          <w:bCs/>
        </w:rPr>
        <w:t>Rosenberg AL</w:t>
      </w:r>
      <w:r>
        <w:rPr>
          <w:rFonts w:ascii="Book Antiqua" w:hAnsi="Book Antiqua"/>
        </w:rPr>
        <w:t xml:space="preserve">, Hofer TP, Hayward RA, Strachan C, Watts CM. Who bounces back? Physiologic and other predictors of intensive care unit readmission. </w:t>
      </w:r>
      <w:r>
        <w:rPr>
          <w:rFonts w:ascii="Book Antiqua" w:hAnsi="Book Antiqua"/>
          <w:i/>
          <w:iCs/>
        </w:rPr>
        <w:t>Crit Care Med</w:t>
      </w:r>
      <w:r>
        <w:rPr>
          <w:rFonts w:ascii="Book Antiqua" w:hAnsi="Book Antiqua"/>
        </w:rPr>
        <w:t xml:space="preserve"> 2001; </w:t>
      </w:r>
      <w:r>
        <w:rPr>
          <w:rFonts w:ascii="Book Antiqua" w:hAnsi="Book Antiqua"/>
          <w:b/>
          <w:bCs/>
        </w:rPr>
        <w:t>29</w:t>
      </w:r>
      <w:r>
        <w:rPr>
          <w:rFonts w:ascii="Book Antiqua" w:hAnsi="Book Antiqua"/>
        </w:rPr>
        <w:t>: 511-518 [PMID: 11373413 DOI: 10.1097/00003246-200103000-00008]</w:t>
      </w:r>
    </w:p>
    <w:p w14:paraId="06713AA6" w14:textId="77777777" w:rsidR="00D01483" w:rsidRDefault="007E3D42">
      <w:pPr>
        <w:spacing w:line="360" w:lineRule="auto"/>
        <w:jc w:val="both"/>
        <w:rPr>
          <w:rFonts w:ascii="Book Antiqua" w:hAnsi="Book Antiqua"/>
        </w:rPr>
      </w:pPr>
      <w:r>
        <w:rPr>
          <w:rFonts w:ascii="Book Antiqua" w:hAnsi="Book Antiqua"/>
        </w:rPr>
        <w:t xml:space="preserve">3 </w:t>
      </w:r>
      <w:r>
        <w:rPr>
          <w:rFonts w:ascii="Book Antiqua" w:hAnsi="Book Antiqua"/>
          <w:b/>
          <w:bCs/>
        </w:rPr>
        <w:t>Rosenberg AL</w:t>
      </w:r>
      <w:r>
        <w:rPr>
          <w:rFonts w:ascii="Book Antiqua" w:hAnsi="Book Antiqua"/>
        </w:rPr>
        <w:t xml:space="preserve">, Watts C. Patients readmitted to ICUs* : a systematic review of risk factors and outcomes. </w:t>
      </w:r>
      <w:r>
        <w:rPr>
          <w:rFonts w:ascii="Book Antiqua" w:hAnsi="Book Antiqua"/>
          <w:i/>
          <w:iCs/>
        </w:rPr>
        <w:t>Chest</w:t>
      </w:r>
      <w:r>
        <w:rPr>
          <w:rFonts w:ascii="Book Antiqua" w:hAnsi="Book Antiqua"/>
        </w:rPr>
        <w:t xml:space="preserve"> 2000; </w:t>
      </w:r>
      <w:r>
        <w:rPr>
          <w:rFonts w:ascii="Book Antiqua" w:hAnsi="Book Antiqua"/>
          <w:b/>
          <w:bCs/>
        </w:rPr>
        <w:t>118</w:t>
      </w:r>
      <w:r>
        <w:rPr>
          <w:rFonts w:ascii="Book Antiqua" w:hAnsi="Book Antiqua"/>
        </w:rPr>
        <w:t>: 492-502 [PMID: 10936146 DOI: 10.1378/chest.118.2.492]</w:t>
      </w:r>
    </w:p>
    <w:p w14:paraId="40E3A209" w14:textId="77777777" w:rsidR="00D01483" w:rsidRDefault="007E3D42">
      <w:pPr>
        <w:spacing w:line="360" w:lineRule="auto"/>
        <w:jc w:val="both"/>
        <w:rPr>
          <w:rFonts w:ascii="Book Antiqua" w:hAnsi="Book Antiqua"/>
        </w:rPr>
      </w:pPr>
      <w:r>
        <w:rPr>
          <w:rFonts w:ascii="Book Antiqua" w:hAnsi="Book Antiqua"/>
        </w:rPr>
        <w:t xml:space="preserve">4 </w:t>
      </w:r>
      <w:r>
        <w:rPr>
          <w:rFonts w:ascii="Book Antiqua" w:hAnsi="Book Antiqua"/>
          <w:b/>
          <w:bCs/>
        </w:rPr>
        <w:t>Chan KS</w:t>
      </w:r>
      <w:r>
        <w:rPr>
          <w:rFonts w:ascii="Book Antiqua" w:hAnsi="Book Antiqua"/>
        </w:rPr>
        <w:t xml:space="preserve">, Tan CK, Fang CS, Tsai CL, Hou CC, Cheng KC, Lee MC. Readmission to the intensive care unit: an indicator that reflects the potential risks of morbidity and mortality of surgical patients in the intensive care unit. </w:t>
      </w:r>
      <w:r>
        <w:rPr>
          <w:rFonts w:ascii="Book Antiqua" w:hAnsi="Book Antiqua"/>
          <w:i/>
          <w:iCs/>
        </w:rPr>
        <w:t>Surg Today</w:t>
      </w:r>
      <w:r>
        <w:rPr>
          <w:rFonts w:ascii="Book Antiqua" w:hAnsi="Book Antiqua"/>
        </w:rPr>
        <w:t xml:space="preserve"> 2009; </w:t>
      </w:r>
      <w:r>
        <w:rPr>
          <w:rFonts w:ascii="Book Antiqua" w:hAnsi="Book Antiqua"/>
          <w:b/>
          <w:bCs/>
        </w:rPr>
        <w:t>39</w:t>
      </w:r>
      <w:r>
        <w:rPr>
          <w:rFonts w:ascii="Book Antiqua" w:hAnsi="Book Antiqua"/>
        </w:rPr>
        <w:t>: 295-299 [PMID: 19319635 DOI: 10.1007/s00595-008-3876-6]</w:t>
      </w:r>
    </w:p>
    <w:p w14:paraId="77CC01CB" w14:textId="77777777" w:rsidR="00D01483" w:rsidRDefault="007E3D42">
      <w:pPr>
        <w:spacing w:line="360" w:lineRule="auto"/>
        <w:jc w:val="both"/>
        <w:rPr>
          <w:rFonts w:ascii="Book Antiqua" w:hAnsi="Book Antiqua"/>
        </w:rPr>
      </w:pPr>
      <w:r>
        <w:rPr>
          <w:rFonts w:ascii="Book Antiqua" w:hAnsi="Book Antiqua"/>
        </w:rPr>
        <w:t xml:space="preserve">5 </w:t>
      </w:r>
      <w:r>
        <w:rPr>
          <w:rFonts w:ascii="Book Antiqua" w:hAnsi="Book Antiqua"/>
          <w:b/>
          <w:bCs/>
        </w:rPr>
        <w:t>Chen P</w:t>
      </w:r>
      <w:r>
        <w:rPr>
          <w:rFonts w:ascii="Book Antiqua" w:hAnsi="Book Antiqua"/>
        </w:rPr>
        <w:t xml:space="preserve">, Wang W, Yan L, Yang J, Wen T, Li B, Zhao J, Xu M. Risk factors for first-year hospital readmission after liver transplantation. </w:t>
      </w:r>
      <w:r>
        <w:rPr>
          <w:rFonts w:ascii="Book Antiqua" w:hAnsi="Book Antiqua"/>
          <w:i/>
          <w:iCs/>
        </w:rPr>
        <w:t>Eur J GastroenterolHepatol</w:t>
      </w:r>
      <w:r>
        <w:rPr>
          <w:rFonts w:ascii="Book Antiqua" w:hAnsi="Book Antiqua"/>
        </w:rPr>
        <w:t xml:space="preserve"> 2015; </w:t>
      </w:r>
      <w:r>
        <w:rPr>
          <w:rFonts w:ascii="Book Antiqua" w:hAnsi="Book Antiqua"/>
          <w:b/>
          <w:bCs/>
        </w:rPr>
        <w:t>27</w:t>
      </w:r>
      <w:r>
        <w:rPr>
          <w:rFonts w:ascii="Book Antiqua" w:hAnsi="Book Antiqua"/>
        </w:rPr>
        <w:t>: 600-606 [PMID: 25822868 DOI: 10.1097/MEG.0000000000000327]</w:t>
      </w:r>
    </w:p>
    <w:p w14:paraId="686DB05F" w14:textId="77777777" w:rsidR="00D01483" w:rsidRDefault="007E3D42">
      <w:pPr>
        <w:spacing w:line="360" w:lineRule="auto"/>
        <w:jc w:val="both"/>
        <w:rPr>
          <w:rFonts w:ascii="Book Antiqua" w:hAnsi="Book Antiqua"/>
        </w:rPr>
      </w:pPr>
      <w:r>
        <w:rPr>
          <w:rFonts w:ascii="Book Antiqua" w:hAnsi="Book Antiqua"/>
        </w:rPr>
        <w:t xml:space="preserve">6 </w:t>
      </w:r>
      <w:r>
        <w:rPr>
          <w:rFonts w:ascii="Book Antiqua" w:hAnsi="Book Antiqua"/>
          <w:b/>
          <w:bCs/>
        </w:rPr>
        <w:t>Yataco M</w:t>
      </w:r>
      <w:r>
        <w:rPr>
          <w:rFonts w:ascii="Book Antiqua" w:hAnsi="Book Antiqua"/>
        </w:rPr>
        <w:t xml:space="preserve">, Cowell A, David W, Keaveny AP, Taner CB, Patel T. Predictors and impacts of hospital readmissions following liver transplantation. </w:t>
      </w:r>
      <w:r>
        <w:rPr>
          <w:rFonts w:ascii="Book Antiqua" w:hAnsi="Book Antiqua"/>
          <w:i/>
          <w:iCs/>
        </w:rPr>
        <w:t>Ann Hepatol</w:t>
      </w:r>
      <w:r>
        <w:rPr>
          <w:rFonts w:ascii="Book Antiqua" w:hAnsi="Book Antiqua"/>
        </w:rPr>
        <w:t xml:space="preserve"> 2016; </w:t>
      </w:r>
      <w:r>
        <w:rPr>
          <w:rFonts w:ascii="Book Antiqua" w:hAnsi="Book Antiqua"/>
          <w:b/>
          <w:bCs/>
        </w:rPr>
        <w:t>15</w:t>
      </w:r>
      <w:r>
        <w:rPr>
          <w:rFonts w:ascii="Book Antiqua" w:hAnsi="Book Antiqua"/>
        </w:rPr>
        <w:t>: 356-362 [PMID: 27049489 DOI: 10.5604/16652681.1198805]</w:t>
      </w:r>
    </w:p>
    <w:p w14:paraId="53140E71" w14:textId="77777777" w:rsidR="00D01483" w:rsidRDefault="007E3D42">
      <w:pPr>
        <w:spacing w:line="360" w:lineRule="auto"/>
        <w:jc w:val="both"/>
        <w:rPr>
          <w:rFonts w:ascii="Book Antiqua" w:hAnsi="Book Antiqua"/>
        </w:rPr>
      </w:pPr>
      <w:r>
        <w:rPr>
          <w:rFonts w:ascii="Book Antiqua" w:hAnsi="Book Antiqua"/>
        </w:rPr>
        <w:t xml:space="preserve">7 </w:t>
      </w:r>
      <w:r>
        <w:rPr>
          <w:rFonts w:ascii="Book Antiqua" w:hAnsi="Book Antiqua"/>
          <w:b/>
          <w:bCs/>
        </w:rPr>
        <w:t>Jencks SF</w:t>
      </w:r>
      <w:r>
        <w:rPr>
          <w:rFonts w:ascii="Book Antiqua" w:hAnsi="Book Antiqua"/>
        </w:rPr>
        <w:t xml:space="preserve">, Williams MV, Coleman EA. Rehospitalizations among patients in the Medicare fee-for-service program. </w:t>
      </w:r>
      <w:r>
        <w:rPr>
          <w:rFonts w:ascii="Book Antiqua" w:hAnsi="Book Antiqua"/>
          <w:i/>
          <w:iCs/>
        </w:rPr>
        <w:t>N Engl J Med</w:t>
      </w:r>
      <w:r>
        <w:rPr>
          <w:rFonts w:ascii="Book Antiqua" w:hAnsi="Book Antiqua"/>
        </w:rPr>
        <w:t xml:space="preserve"> 2009; </w:t>
      </w:r>
      <w:r>
        <w:rPr>
          <w:rFonts w:ascii="Book Antiqua" w:hAnsi="Book Antiqua"/>
          <w:b/>
          <w:bCs/>
        </w:rPr>
        <w:t>360</w:t>
      </w:r>
      <w:r>
        <w:rPr>
          <w:rFonts w:ascii="Book Antiqua" w:hAnsi="Book Antiqua"/>
        </w:rPr>
        <w:t>: 1418-1428 [PMID: 19339721 DOI: 10.1056/NEJMsa0803563]</w:t>
      </w:r>
    </w:p>
    <w:p w14:paraId="437AEE66" w14:textId="77777777" w:rsidR="00D01483" w:rsidRDefault="007E3D42">
      <w:pPr>
        <w:spacing w:line="360" w:lineRule="auto"/>
        <w:jc w:val="both"/>
        <w:rPr>
          <w:rFonts w:ascii="Book Antiqua" w:hAnsi="Book Antiqua"/>
        </w:rPr>
      </w:pPr>
      <w:r>
        <w:rPr>
          <w:rFonts w:ascii="Book Antiqua" w:hAnsi="Book Antiqua"/>
        </w:rPr>
        <w:t xml:space="preserve">8 </w:t>
      </w:r>
      <w:r>
        <w:rPr>
          <w:rFonts w:ascii="Book Antiqua" w:hAnsi="Book Antiqua"/>
          <w:b/>
          <w:bCs/>
        </w:rPr>
        <w:t>Pereira AA</w:t>
      </w:r>
      <w:r>
        <w:rPr>
          <w:rFonts w:ascii="Book Antiqua" w:hAnsi="Book Antiqua"/>
        </w:rPr>
        <w:t xml:space="preserve">, Bhattacharya R, Carithers R, Reyes J, Perkins J. Clinical factors predicting readmission after orthotopic liver transplantation. </w:t>
      </w:r>
      <w:r>
        <w:rPr>
          <w:rFonts w:ascii="Book Antiqua" w:hAnsi="Book Antiqua"/>
          <w:i/>
          <w:iCs/>
        </w:rPr>
        <w:t>Liver Transpl</w:t>
      </w:r>
      <w:r>
        <w:rPr>
          <w:rFonts w:ascii="Book Antiqua" w:hAnsi="Book Antiqua"/>
        </w:rPr>
        <w:t xml:space="preserve"> 2012; </w:t>
      </w:r>
      <w:r>
        <w:rPr>
          <w:rFonts w:ascii="Book Antiqua" w:hAnsi="Book Antiqua"/>
          <w:b/>
          <w:bCs/>
        </w:rPr>
        <w:t>18</w:t>
      </w:r>
      <w:r>
        <w:rPr>
          <w:rFonts w:ascii="Book Antiqua" w:hAnsi="Book Antiqua"/>
        </w:rPr>
        <w:t>: 1037-1045 [PMID: 22639419 DOI: 10.1002/lt.23475]</w:t>
      </w:r>
    </w:p>
    <w:p w14:paraId="5E18A7BA" w14:textId="77777777" w:rsidR="00D01483" w:rsidRDefault="007E3D42">
      <w:pPr>
        <w:spacing w:line="360" w:lineRule="auto"/>
        <w:jc w:val="both"/>
        <w:rPr>
          <w:rFonts w:ascii="Book Antiqua" w:hAnsi="Book Antiqua"/>
        </w:rPr>
      </w:pPr>
      <w:r>
        <w:rPr>
          <w:rFonts w:ascii="Book Antiqua" w:hAnsi="Book Antiqua"/>
        </w:rPr>
        <w:lastRenderedPageBreak/>
        <w:t xml:space="preserve">9 </w:t>
      </w:r>
      <w:r>
        <w:rPr>
          <w:rFonts w:ascii="Book Antiqua" w:hAnsi="Book Antiqua"/>
          <w:b/>
          <w:bCs/>
        </w:rPr>
        <w:t>Shankar N</w:t>
      </w:r>
      <w:r>
        <w:rPr>
          <w:rFonts w:ascii="Book Antiqua" w:hAnsi="Book Antiqua"/>
        </w:rPr>
        <w:t xml:space="preserve">, Marotta P, Wall W, Albasheer M, Hernandez-Alejandro R, Chandok N. Defining readmission risk factors for liver transplantation recipients. </w:t>
      </w:r>
      <w:r>
        <w:rPr>
          <w:rFonts w:ascii="Book Antiqua" w:hAnsi="Book Antiqua"/>
          <w:i/>
          <w:iCs/>
        </w:rPr>
        <w:t>GastroenterolHepatol (N Y)</w:t>
      </w:r>
      <w:r>
        <w:rPr>
          <w:rFonts w:ascii="Book Antiqua" w:hAnsi="Book Antiqua"/>
        </w:rPr>
        <w:t xml:space="preserve"> 2011; </w:t>
      </w:r>
      <w:r>
        <w:rPr>
          <w:rFonts w:ascii="Book Antiqua" w:hAnsi="Book Antiqua"/>
          <w:b/>
          <w:bCs/>
        </w:rPr>
        <w:t>7</w:t>
      </w:r>
      <w:r>
        <w:rPr>
          <w:rFonts w:ascii="Book Antiqua" w:hAnsi="Book Antiqua"/>
        </w:rPr>
        <w:t>: 585-590 [PMID: 22298997]</w:t>
      </w:r>
    </w:p>
    <w:p w14:paraId="72E78141" w14:textId="77777777" w:rsidR="00D01483" w:rsidRDefault="007E3D42">
      <w:pPr>
        <w:spacing w:line="360" w:lineRule="auto"/>
        <w:jc w:val="both"/>
        <w:rPr>
          <w:rFonts w:ascii="Book Antiqua" w:hAnsi="Book Antiqua"/>
        </w:rPr>
      </w:pPr>
      <w:r>
        <w:rPr>
          <w:rFonts w:ascii="Book Antiqua" w:hAnsi="Book Antiqua"/>
        </w:rPr>
        <w:t xml:space="preserve">10 </w:t>
      </w:r>
      <w:r>
        <w:rPr>
          <w:rFonts w:ascii="Book Antiqua" w:hAnsi="Book Antiqua"/>
          <w:b/>
          <w:bCs/>
        </w:rPr>
        <w:t>Patel MS</w:t>
      </w:r>
      <w:r>
        <w:rPr>
          <w:rFonts w:ascii="Book Antiqua" w:hAnsi="Book Antiqua"/>
        </w:rPr>
        <w:t xml:space="preserve">, Mohebali J, Shah JA, Markmann JF, Vagefi PA. Readmission following liver transplantation: an unwanted occurrence but an opportunity to act. </w:t>
      </w:r>
      <w:r>
        <w:rPr>
          <w:rFonts w:ascii="Book Antiqua" w:hAnsi="Book Antiqua"/>
          <w:i/>
          <w:iCs/>
        </w:rPr>
        <w:t>HPB (Oxford)</w:t>
      </w:r>
      <w:r>
        <w:rPr>
          <w:rFonts w:ascii="Book Antiqua" w:hAnsi="Book Antiqua"/>
        </w:rPr>
        <w:t xml:space="preserve"> 2016; </w:t>
      </w:r>
      <w:r>
        <w:rPr>
          <w:rFonts w:ascii="Book Antiqua" w:hAnsi="Book Antiqua"/>
          <w:b/>
          <w:bCs/>
        </w:rPr>
        <w:t>18</w:t>
      </w:r>
      <w:r>
        <w:rPr>
          <w:rFonts w:ascii="Book Antiqua" w:hAnsi="Book Antiqua"/>
        </w:rPr>
        <w:t>: 936-942 [PMID: 27642080 DOI: 10.1016/j.hpb.2016.08.003]</w:t>
      </w:r>
    </w:p>
    <w:p w14:paraId="36569007" w14:textId="77777777" w:rsidR="00D01483" w:rsidRDefault="007E3D42">
      <w:pPr>
        <w:spacing w:line="360" w:lineRule="auto"/>
        <w:jc w:val="both"/>
        <w:rPr>
          <w:rFonts w:ascii="Book Antiqua" w:hAnsi="Book Antiqua"/>
        </w:rPr>
      </w:pPr>
      <w:r>
        <w:rPr>
          <w:rFonts w:ascii="Book Antiqua" w:hAnsi="Book Antiqua"/>
        </w:rPr>
        <w:t xml:space="preserve">11 </w:t>
      </w:r>
      <w:r>
        <w:rPr>
          <w:rFonts w:ascii="Book Antiqua" w:hAnsi="Book Antiqua"/>
          <w:b/>
          <w:bCs/>
        </w:rPr>
        <w:t>Nagaraja R</w:t>
      </w:r>
      <w:r>
        <w:rPr>
          <w:rFonts w:ascii="Book Antiqua" w:hAnsi="Book Antiqua"/>
        </w:rPr>
        <w:t xml:space="preserve">, Mehta N, Kumaran V, Varma V, Kapoor S, Nundy S. Readmission after living donor liver transplantation: predictors, causes, and outcomes. </w:t>
      </w:r>
      <w:r>
        <w:rPr>
          <w:rFonts w:ascii="Book Antiqua" w:hAnsi="Book Antiqua"/>
          <w:i/>
          <w:iCs/>
        </w:rPr>
        <w:t>Indian J Gastroenterol</w:t>
      </w:r>
      <w:r>
        <w:rPr>
          <w:rFonts w:ascii="Book Antiqua" w:hAnsi="Book Antiqua"/>
        </w:rPr>
        <w:t xml:space="preserve"> 2014; </w:t>
      </w:r>
      <w:r>
        <w:rPr>
          <w:rFonts w:ascii="Book Antiqua" w:hAnsi="Book Antiqua"/>
          <w:b/>
          <w:bCs/>
        </w:rPr>
        <w:t>33</w:t>
      </w:r>
      <w:r>
        <w:rPr>
          <w:rFonts w:ascii="Book Antiqua" w:hAnsi="Book Antiqua"/>
        </w:rPr>
        <w:t>: 369-374 [PMID: 24756424 DOI: 10.1007/s12664-014-0462-2]</w:t>
      </w:r>
    </w:p>
    <w:p w14:paraId="31E0284C" w14:textId="77777777" w:rsidR="00D01483" w:rsidRDefault="007E3D42">
      <w:pPr>
        <w:spacing w:line="360" w:lineRule="auto"/>
        <w:jc w:val="both"/>
        <w:rPr>
          <w:rFonts w:ascii="Book Antiqua" w:hAnsi="Book Antiqua"/>
        </w:rPr>
      </w:pPr>
      <w:r>
        <w:rPr>
          <w:rFonts w:ascii="Book Antiqua" w:hAnsi="Book Antiqua"/>
        </w:rPr>
        <w:t xml:space="preserve">12 </w:t>
      </w:r>
      <w:r>
        <w:rPr>
          <w:rFonts w:ascii="Book Antiqua" w:hAnsi="Book Antiqua"/>
          <w:b/>
          <w:bCs/>
        </w:rPr>
        <w:t>Levy MF</w:t>
      </w:r>
      <w:r>
        <w:rPr>
          <w:rFonts w:ascii="Book Antiqua" w:hAnsi="Book Antiqua"/>
        </w:rPr>
        <w:t xml:space="preserve">, Greene L, Ramsay MA, Jennings LW, Ramsay KJ, Meng J, Hein HA, Goldstein RM, Husberg BS, Gonwa TA, Klintmalm GB. Readmission to the intensive care unit after liver transplantation. </w:t>
      </w:r>
      <w:r>
        <w:rPr>
          <w:rFonts w:ascii="Book Antiqua" w:hAnsi="Book Antiqua"/>
          <w:i/>
          <w:iCs/>
        </w:rPr>
        <w:t>Crit Care Med</w:t>
      </w:r>
      <w:r>
        <w:rPr>
          <w:rFonts w:ascii="Book Antiqua" w:hAnsi="Book Antiqua"/>
        </w:rPr>
        <w:t xml:space="preserve"> 2001; </w:t>
      </w:r>
      <w:r>
        <w:rPr>
          <w:rFonts w:ascii="Book Antiqua" w:hAnsi="Book Antiqua"/>
          <w:b/>
          <w:bCs/>
        </w:rPr>
        <w:t>29</w:t>
      </w:r>
      <w:r>
        <w:rPr>
          <w:rFonts w:ascii="Book Antiqua" w:hAnsi="Book Antiqua"/>
        </w:rPr>
        <w:t>: 18-24 [PMID: 11176152 DOI: 10.1097/00003246-200101000-00004]</w:t>
      </w:r>
    </w:p>
    <w:p w14:paraId="7F76B795" w14:textId="77777777" w:rsidR="00D01483" w:rsidRDefault="007E3D42">
      <w:pPr>
        <w:spacing w:line="360" w:lineRule="auto"/>
        <w:jc w:val="both"/>
        <w:rPr>
          <w:rFonts w:ascii="Book Antiqua" w:hAnsi="Book Antiqua"/>
        </w:rPr>
      </w:pPr>
      <w:r>
        <w:rPr>
          <w:rFonts w:ascii="Book Antiqua" w:hAnsi="Book Antiqua"/>
        </w:rPr>
        <w:t xml:space="preserve">13 </w:t>
      </w:r>
      <w:r>
        <w:rPr>
          <w:rFonts w:ascii="Book Antiqua" w:hAnsi="Book Antiqua"/>
          <w:b/>
          <w:bCs/>
        </w:rPr>
        <w:t>Kassin MT</w:t>
      </w:r>
      <w:r>
        <w:rPr>
          <w:rFonts w:ascii="Book Antiqua" w:hAnsi="Book Antiqua"/>
        </w:rPr>
        <w:t xml:space="preserve">, Owen RM, Perez SD, Leeds I, Cox JC, Schnier K, Sadiraj V, Sweeney JF. Risk factors for 30-day hospital readmission among general surgery patients. </w:t>
      </w:r>
      <w:r>
        <w:rPr>
          <w:rFonts w:ascii="Book Antiqua" w:hAnsi="Book Antiqua"/>
          <w:i/>
          <w:iCs/>
        </w:rPr>
        <w:t>J Am CollSurg</w:t>
      </w:r>
      <w:r>
        <w:rPr>
          <w:rFonts w:ascii="Book Antiqua" w:hAnsi="Book Antiqua"/>
        </w:rPr>
        <w:t xml:space="preserve"> 2012; </w:t>
      </w:r>
      <w:r>
        <w:rPr>
          <w:rFonts w:ascii="Book Antiqua" w:hAnsi="Book Antiqua"/>
          <w:b/>
          <w:bCs/>
        </w:rPr>
        <w:t>215</w:t>
      </w:r>
      <w:r>
        <w:rPr>
          <w:rFonts w:ascii="Book Antiqua" w:hAnsi="Book Antiqua"/>
        </w:rPr>
        <w:t>: 322-330 [PMID: 22726893 DOI: 10.1016/j.jamcollsurg.2012.05.024]</w:t>
      </w:r>
    </w:p>
    <w:p w14:paraId="086DD661" w14:textId="77777777" w:rsidR="00D01483" w:rsidRDefault="007E3D42">
      <w:pPr>
        <w:spacing w:line="360" w:lineRule="auto"/>
        <w:jc w:val="both"/>
        <w:rPr>
          <w:rFonts w:ascii="Book Antiqua" w:hAnsi="Book Antiqua"/>
        </w:rPr>
      </w:pPr>
      <w:r>
        <w:rPr>
          <w:rFonts w:ascii="Book Antiqua" w:hAnsi="Book Antiqua"/>
        </w:rPr>
        <w:t xml:space="preserve">14 </w:t>
      </w:r>
      <w:r>
        <w:rPr>
          <w:rFonts w:ascii="Book Antiqua" w:hAnsi="Book Antiqua"/>
          <w:b/>
          <w:bCs/>
        </w:rPr>
        <w:t>Silverstein MD</w:t>
      </w:r>
      <w:r>
        <w:rPr>
          <w:rFonts w:ascii="Book Antiqua" w:hAnsi="Book Antiqua"/>
        </w:rPr>
        <w:t xml:space="preserve">, Qin H, Mercer SQ, Fong J, Haydar Z. Risk factors for 30-day hospital readmission in patients ≥65 years of age. </w:t>
      </w:r>
      <w:r>
        <w:rPr>
          <w:rFonts w:ascii="Book Antiqua" w:hAnsi="Book Antiqua"/>
          <w:i/>
          <w:iCs/>
        </w:rPr>
        <w:t>Proc (BaylUniv Med Cent)</w:t>
      </w:r>
      <w:r>
        <w:rPr>
          <w:rFonts w:ascii="Book Antiqua" w:hAnsi="Book Antiqua"/>
        </w:rPr>
        <w:t xml:space="preserve"> 2008; </w:t>
      </w:r>
      <w:r>
        <w:rPr>
          <w:rFonts w:ascii="Book Antiqua" w:hAnsi="Book Antiqua"/>
          <w:b/>
          <w:bCs/>
        </w:rPr>
        <w:t>21</w:t>
      </w:r>
      <w:r>
        <w:rPr>
          <w:rFonts w:ascii="Book Antiqua" w:hAnsi="Book Antiqua"/>
        </w:rPr>
        <w:t>: 363-372 [PMID: 18982076 DOI: 10.1080/08998280.2008.11928429]</w:t>
      </w:r>
    </w:p>
    <w:p w14:paraId="78C5F577" w14:textId="77777777" w:rsidR="00D01483" w:rsidRDefault="007E3D42">
      <w:pPr>
        <w:spacing w:line="360" w:lineRule="auto"/>
        <w:jc w:val="both"/>
        <w:rPr>
          <w:rFonts w:ascii="Book Antiqua" w:hAnsi="Book Antiqua"/>
        </w:rPr>
      </w:pPr>
      <w:r>
        <w:rPr>
          <w:rFonts w:ascii="Book Antiqua" w:hAnsi="Book Antiqua"/>
        </w:rPr>
        <w:t xml:space="preserve">15 </w:t>
      </w:r>
      <w:r>
        <w:rPr>
          <w:rFonts w:ascii="Book Antiqua" w:hAnsi="Book Antiqua"/>
          <w:b/>
          <w:bCs/>
        </w:rPr>
        <w:t>Ladner DP</w:t>
      </w:r>
      <w:r>
        <w:rPr>
          <w:rFonts w:ascii="Book Antiqua" w:hAnsi="Book Antiqua"/>
        </w:rPr>
        <w:t xml:space="preserve">, Skaro AI, Abecassis MM. Are all readmissions the same? </w:t>
      </w:r>
      <w:r>
        <w:rPr>
          <w:rFonts w:ascii="Book Antiqua" w:hAnsi="Book Antiqua"/>
          <w:i/>
          <w:iCs/>
        </w:rPr>
        <w:t>Liver Transpl</w:t>
      </w:r>
      <w:r>
        <w:rPr>
          <w:rFonts w:ascii="Book Antiqua" w:hAnsi="Book Antiqua"/>
        </w:rPr>
        <w:t xml:space="preserve"> 2012; </w:t>
      </w:r>
      <w:r>
        <w:rPr>
          <w:rFonts w:ascii="Book Antiqua" w:hAnsi="Book Antiqua"/>
          <w:b/>
          <w:bCs/>
        </w:rPr>
        <w:t>18</w:t>
      </w:r>
      <w:r>
        <w:rPr>
          <w:rFonts w:ascii="Book Antiqua" w:hAnsi="Book Antiqua"/>
        </w:rPr>
        <w:t>: 1007-1008 [PMID: 22847799 DOI: 10.1002/lt.23517]</w:t>
      </w:r>
    </w:p>
    <w:p w14:paraId="5D66D934" w14:textId="77777777" w:rsidR="00D01483" w:rsidRDefault="007E3D42">
      <w:pPr>
        <w:spacing w:line="360" w:lineRule="auto"/>
        <w:jc w:val="both"/>
        <w:rPr>
          <w:rFonts w:ascii="Book Antiqua" w:hAnsi="Book Antiqua"/>
        </w:rPr>
      </w:pPr>
      <w:r>
        <w:rPr>
          <w:rFonts w:ascii="Book Antiqua" w:hAnsi="Book Antiqua"/>
        </w:rPr>
        <w:t xml:space="preserve">16 </w:t>
      </w:r>
      <w:r>
        <w:rPr>
          <w:rFonts w:ascii="Book Antiqua" w:hAnsi="Book Antiqua"/>
          <w:b/>
          <w:bCs/>
        </w:rPr>
        <w:t>Buchanan P</w:t>
      </w:r>
      <w:r>
        <w:rPr>
          <w:rFonts w:ascii="Book Antiqua" w:hAnsi="Book Antiqua"/>
        </w:rPr>
        <w:t xml:space="preserve">, Dzebisashvili N, Lentine KL, Axelrod DA, Schnitzler MA, Salvalaggio PR. Liver transplantation cost in the model for end-stage liver disease era: looking beyond the transplant admission. </w:t>
      </w:r>
      <w:r>
        <w:rPr>
          <w:rFonts w:ascii="Book Antiqua" w:hAnsi="Book Antiqua"/>
          <w:i/>
          <w:iCs/>
        </w:rPr>
        <w:t>Liver Transpl</w:t>
      </w:r>
      <w:r>
        <w:rPr>
          <w:rFonts w:ascii="Book Antiqua" w:hAnsi="Book Antiqua"/>
        </w:rPr>
        <w:t xml:space="preserve"> 2009; </w:t>
      </w:r>
      <w:r>
        <w:rPr>
          <w:rFonts w:ascii="Book Antiqua" w:hAnsi="Book Antiqua"/>
          <w:b/>
          <w:bCs/>
        </w:rPr>
        <w:t>15</w:t>
      </w:r>
      <w:r>
        <w:rPr>
          <w:rFonts w:ascii="Book Antiqua" w:hAnsi="Book Antiqua"/>
        </w:rPr>
        <w:t>: 1270-1277 [PMID: 19790155 DOI: 10.1002/lt.21802]</w:t>
      </w:r>
    </w:p>
    <w:p w14:paraId="4DA78D36" w14:textId="77777777" w:rsidR="00D01483" w:rsidRDefault="007E3D42">
      <w:pPr>
        <w:spacing w:line="360" w:lineRule="auto"/>
        <w:jc w:val="both"/>
        <w:rPr>
          <w:rFonts w:ascii="Book Antiqua" w:hAnsi="Book Antiqua"/>
        </w:rPr>
      </w:pPr>
      <w:r>
        <w:rPr>
          <w:rFonts w:ascii="Book Antiqua" w:hAnsi="Book Antiqua"/>
        </w:rPr>
        <w:t xml:space="preserve">17 </w:t>
      </w:r>
      <w:r>
        <w:rPr>
          <w:rFonts w:ascii="Book Antiqua" w:hAnsi="Book Antiqua"/>
          <w:b/>
          <w:bCs/>
        </w:rPr>
        <w:t>Washburn WK</w:t>
      </w:r>
      <w:r>
        <w:rPr>
          <w:rFonts w:ascii="Book Antiqua" w:hAnsi="Book Antiqua"/>
        </w:rPr>
        <w:t xml:space="preserve">, Pollock BH, Nichols L, Speeg KV, Halff G. Impact of recipient MELD score on resource utilization. </w:t>
      </w:r>
      <w:r>
        <w:rPr>
          <w:rFonts w:ascii="Book Antiqua" w:hAnsi="Book Antiqua"/>
          <w:i/>
          <w:iCs/>
        </w:rPr>
        <w:t>Am J Transplant</w:t>
      </w:r>
      <w:r>
        <w:rPr>
          <w:rFonts w:ascii="Book Antiqua" w:hAnsi="Book Antiqua"/>
        </w:rPr>
        <w:t xml:space="preserve"> 2006; </w:t>
      </w:r>
      <w:r>
        <w:rPr>
          <w:rFonts w:ascii="Book Antiqua" w:hAnsi="Book Antiqua"/>
          <w:b/>
          <w:bCs/>
        </w:rPr>
        <w:t>6</w:t>
      </w:r>
      <w:r>
        <w:rPr>
          <w:rFonts w:ascii="Book Antiqua" w:hAnsi="Book Antiqua"/>
        </w:rPr>
        <w:t>: 2449-2454 [PMID: 16889598 DOI: 10.1111/j.1600-6143.2006.01490.x]</w:t>
      </w:r>
    </w:p>
    <w:p w14:paraId="2FE12AFB" w14:textId="77777777" w:rsidR="00D01483" w:rsidRDefault="00D01483">
      <w:pPr>
        <w:spacing w:line="360" w:lineRule="auto"/>
        <w:jc w:val="both"/>
        <w:rPr>
          <w:rFonts w:ascii="Book Antiqua" w:hAnsi="Book Antiqua"/>
        </w:rPr>
      </w:pPr>
    </w:p>
    <w:p w14:paraId="6C3ABB45" w14:textId="77777777" w:rsidR="00D01483" w:rsidRDefault="00D01483">
      <w:pPr>
        <w:spacing w:line="360" w:lineRule="auto"/>
        <w:jc w:val="both"/>
        <w:rPr>
          <w:rFonts w:ascii="Book Antiqua" w:hAnsi="Book Antiqua"/>
        </w:rPr>
        <w:sectPr w:rsidR="00D01483">
          <w:footerReference w:type="default" r:id="rId6"/>
          <w:pgSz w:w="12240" w:h="15840"/>
          <w:pgMar w:top="1440" w:right="1440" w:bottom="1440" w:left="1440" w:header="720" w:footer="720" w:gutter="0"/>
          <w:cols w:space="720"/>
          <w:docGrid w:linePitch="360"/>
        </w:sectPr>
      </w:pPr>
    </w:p>
    <w:p w14:paraId="242F28F9" w14:textId="77777777" w:rsidR="00D01483" w:rsidRDefault="007E3D42">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043A94E" w14:textId="77777777" w:rsidR="00D01483" w:rsidRDefault="007E3D42">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Ethics Committee of the Faculty of Medicine, Ain Shams University, Egypt (approval number: IRB/0006379). The confidentiality of the patients’ data was maintained by assigning a code number to each patient. The trial is registered in clinical trial.gov (</w:t>
      </w:r>
      <w:r>
        <w:rPr>
          <w:rFonts w:ascii="Book Antiqua" w:eastAsia="Book Antiqua" w:hAnsi="Book Antiqua" w:cs="Book Antiqua"/>
          <w:color w:val="000000"/>
          <w:shd w:val="clear" w:color="auto" w:fill="FFFFFF"/>
        </w:rPr>
        <w:t>NCT04067739</w:t>
      </w:r>
      <w:r>
        <w:rPr>
          <w:rFonts w:ascii="Book Antiqua" w:eastAsia="Book Antiqua" w:hAnsi="Book Antiqua" w:cs="Book Antiqua"/>
          <w:color w:val="000000"/>
        </w:rPr>
        <w:t>).</w:t>
      </w:r>
    </w:p>
    <w:p w14:paraId="7EC2EECC" w14:textId="77777777" w:rsidR="00D01483" w:rsidRDefault="00D01483">
      <w:pPr>
        <w:spacing w:line="360" w:lineRule="auto"/>
        <w:jc w:val="both"/>
        <w:rPr>
          <w:rFonts w:ascii="Book Antiqua" w:hAnsi="Book Antiqua"/>
        </w:rPr>
      </w:pPr>
    </w:p>
    <w:p w14:paraId="175003AB" w14:textId="77777777" w:rsidR="00D01483" w:rsidRDefault="007E3D42">
      <w:pPr>
        <w:spacing w:line="360" w:lineRule="auto"/>
        <w:jc w:val="both"/>
        <w:rPr>
          <w:rFonts w:ascii="Book Antiqua" w:hAnsi="Book Antiqua"/>
        </w:rPr>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The trial is registered in clinical trial.gov (</w:t>
      </w:r>
      <w:r>
        <w:rPr>
          <w:rFonts w:ascii="Book Antiqua" w:eastAsia="Book Antiqua" w:hAnsi="Book Antiqua" w:cs="Book Antiqua"/>
          <w:color w:val="000000"/>
          <w:shd w:val="clear" w:color="auto" w:fill="FFFFFF"/>
        </w:rPr>
        <w:t>NCT04067739</w:t>
      </w:r>
      <w:r>
        <w:rPr>
          <w:rFonts w:ascii="Book Antiqua" w:eastAsia="Book Antiqua" w:hAnsi="Book Antiqua" w:cs="Book Antiqua"/>
          <w:color w:val="000000"/>
        </w:rPr>
        <w:t>).</w:t>
      </w:r>
    </w:p>
    <w:p w14:paraId="73A97ED3" w14:textId="77777777" w:rsidR="00D01483" w:rsidRDefault="00D01483">
      <w:pPr>
        <w:spacing w:line="360" w:lineRule="auto"/>
        <w:jc w:val="both"/>
        <w:rPr>
          <w:rFonts w:ascii="Book Antiqua" w:hAnsi="Book Antiqua"/>
        </w:rPr>
      </w:pPr>
    </w:p>
    <w:p w14:paraId="48735E56" w14:textId="77777777" w:rsidR="00D01483" w:rsidRDefault="007E3D4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declare that they have no conflict of interest.</w:t>
      </w:r>
    </w:p>
    <w:p w14:paraId="0CF6E27C" w14:textId="77777777" w:rsidR="00D01483" w:rsidRDefault="00D01483">
      <w:pPr>
        <w:spacing w:line="360" w:lineRule="auto"/>
        <w:jc w:val="both"/>
        <w:rPr>
          <w:rFonts w:ascii="Book Antiqua" w:hAnsi="Book Antiqua"/>
        </w:rPr>
      </w:pPr>
    </w:p>
    <w:p w14:paraId="765B6F55" w14:textId="77777777" w:rsidR="00D01483" w:rsidRDefault="007E3D42">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2CCB0A3D" w14:textId="77777777" w:rsidR="00D01483" w:rsidRDefault="00D01483">
      <w:pPr>
        <w:spacing w:line="360" w:lineRule="auto"/>
        <w:jc w:val="both"/>
        <w:rPr>
          <w:rFonts w:ascii="Book Antiqua" w:hAnsi="Book Antiqua"/>
        </w:rPr>
      </w:pPr>
    </w:p>
    <w:p w14:paraId="04549178" w14:textId="77777777" w:rsidR="00D01483" w:rsidRDefault="007E3D42">
      <w:pPr>
        <w:spacing w:line="360" w:lineRule="auto"/>
        <w:jc w:val="both"/>
        <w:rPr>
          <w:rFonts w:ascii="Book Antiqua" w:hAnsi="Book Antiqua"/>
        </w:rPr>
      </w:pPr>
      <w:bookmarkStart w:id="0" w:name="OLE_LINK507"/>
      <w:bookmarkStart w:id="1" w:name="OLE_LINK479"/>
      <w:bookmarkStart w:id="2" w:name="OLE_LINK506"/>
      <w:bookmarkStart w:id="3" w:name="OLE_LINK496"/>
      <w:r>
        <w:rPr>
          <w:rFonts w:ascii="Book Antiqua" w:hAnsi="Book Antiqua"/>
          <w:b/>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0"/>
      <w:bookmarkEnd w:id="1"/>
      <w:bookmarkEnd w:id="2"/>
      <w:bookmarkEnd w:id="3"/>
    </w:p>
    <w:p w14:paraId="3B5D4AC3" w14:textId="77777777" w:rsidR="00D01483" w:rsidRDefault="00D01483">
      <w:pPr>
        <w:spacing w:line="360" w:lineRule="auto"/>
        <w:jc w:val="both"/>
        <w:rPr>
          <w:rFonts w:ascii="Book Antiqua" w:hAnsi="Book Antiqua"/>
        </w:rPr>
      </w:pPr>
    </w:p>
    <w:p w14:paraId="0509EE17" w14:textId="77777777" w:rsidR="00D01483" w:rsidRDefault="007E3D42">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FF9443" w14:textId="77777777" w:rsidR="00D01483" w:rsidRDefault="00D01483">
      <w:pPr>
        <w:spacing w:line="360" w:lineRule="auto"/>
        <w:jc w:val="both"/>
        <w:rPr>
          <w:rFonts w:ascii="Book Antiqua" w:hAnsi="Book Antiqua"/>
        </w:rPr>
      </w:pPr>
    </w:p>
    <w:p w14:paraId="2FE7B91D" w14:textId="77777777" w:rsidR="00D01483" w:rsidRDefault="007E3D42">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7B56127" w14:textId="77777777" w:rsidR="00D01483" w:rsidRDefault="007E3D42">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45D0A48" w14:textId="77777777" w:rsidR="00D01483" w:rsidRDefault="00D01483">
      <w:pPr>
        <w:spacing w:line="360" w:lineRule="auto"/>
        <w:jc w:val="both"/>
        <w:rPr>
          <w:rFonts w:ascii="Book Antiqua" w:hAnsi="Book Antiqua"/>
        </w:rPr>
      </w:pPr>
    </w:p>
    <w:p w14:paraId="70604252" w14:textId="77777777" w:rsidR="00D01483" w:rsidRDefault="007E3D4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31, 2022</w:t>
      </w:r>
    </w:p>
    <w:p w14:paraId="37DD3FA5" w14:textId="77777777" w:rsidR="00D01483" w:rsidRDefault="007E3D42">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March 25, 2022</w:t>
      </w:r>
    </w:p>
    <w:p w14:paraId="3DDF8086" w14:textId="77777777" w:rsidR="00D01483" w:rsidRDefault="007E3D42">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June 3, 2022</w:t>
      </w:r>
    </w:p>
    <w:p w14:paraId="42525784" w14:textId="77777777" w:rsidR="00D01483" w:rsidRDefault="00D01483">
      <w:pPr>
        <w:spacing w:line="360" w:lineRule="auto"/>
        <w:jc w:val="both"/>
        <w:rPr>
          <w:rFonts w:ascii="Book Antiqua" w:hAnsi="Book Antiqua"/>
        </w:rPr>
      </w:pPr>
    </w:p>
    <w:p w14:paraId="6BF43DB0" w14:textId="77777777" w:rsidR="00D01483" w:rsidRDefault="00D01483">
      <w:pPr>
        <w:spacing w:line="360" w:lineRule="auto"/>
        <w:jc w:val="both"/>
        <w:rPr>
          <w:rFonts w:ascii="Book Antiqua" w:hAnsi="Book Antiqua"/>
        </w:rPr>
      </w:pPr>
    </w:p>
    <w:p w14:paraId="13EF87DE" w14:textId="77777777" w:rsidR="00D01483" w:rsidRDefault="007E3D4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673C1E19" w14:textId="77777777" w:rsidR="00D01483" w:rsidRDefault="007E3D4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085B85BE" w14:textId="77777777" w:rsidR="00D01483" w:rsidRDefault="007E3D4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A2689A3"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Grade A (Excellent): A</w:t>
      </w:r>
    </w:p>
    <w:p w14:paraId="737B1438"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Grade B (Very good): 0</w:t>
      </w:r>
    </w:p>
    <w:p w14:paraId="53C398A9"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Grade C (Good): C, C</w:t>
      </w:r>
    </w:p>
    <w:p w14:paraId="11C47007"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Grade D (Fair): 0</w:t>
      </w:r>
    </w:p>
    <w:p w14:paraId="380A6DD9" w14:textId="77777777" w:rsidR="00D01483" w:rsidRDefault="007E3D42">
      <w:pPr>
        <w:spacing w:line="360" w:lineRule="auto"/>
        <w:jc w:val="both"/>
        <w:rPr>
          <w:rFonts w:ascii="Book Antiqua" w:hAnsi="Book Antiqua"/>
        </w:rPr>
      </w:pPr>
      <w:r>
        <w:rPr>
          <w:rFonts w:ascii="Book Antiqua" w:eastAsia="Book Antiqua" w:hAnsi="Book Antiqua" w:cs="Book Antiqua"/>
          <w:color w:val="000000"/>
        </w:rPr>
        <w:t>Grade E (Poor): 0</w:t>
      </w:r>
    </w:p>
    <w:p w14:paraId="0324E53E" w14:textId="77777777" w:rsidR="00D01483" w:rsidRDefault="00D01483">
      <w:pPr>
        <w:spacing w:line="360" w:lineRule="auto"/>
        <w:jc w:val="both"/>
        <w:rPr>
          <w:rFonts w:ascii="Book Antiqua" w:hAnsi="Book Antiqua"/>
        </w:rPr>
      </w:pPr>
    </w:p>
    <w:p w14:paraId="397B32F9" w14:textId="77777777" w:rsidR="00D01483" w:rsidRDefault="007E3D42">
      <w:pPr>
        <w:spacing w:line="360" w:lineRule="auto"/>
        <w:jc w:val="both"/>
        <w:rPr>
          <w:rFonts w:ascii="Book Antiqua" w:hAnsi="Book Antiqua"/>
        </w:rPr>
        <w:sectPr w:rsidR="00D0148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Cimen SG, Turkey; Deshwal H, United States; Kumar R, India</w:t>
      </w:r>
      <w:r>
        <w:rPr>
          <w:rFonts w:ascii="Book Antiqua" w:eastAsia="Book Antiqua" w:hAnsi="Book Antiqua" w:cs="Book Antiqua"/>
          <w:b/>
          <w:color w:val="000000"/>
        </w:rPr>
        <w:t xml:space="preserve"> A-Editor: </w:t>
      </w:r>
      <w:r>
        <w:rPr>
          <w:rFonts w:ascii="Book Antiqua" w:eastAsia="Book Antiqua" w:hAnsi="Book Antiqua" w:cs="Book Antiqua"/>
          <w:color w:val="000000"/>
        </w:rPr>
        <w:t xml:space="preserve">Zhu JQ, China </w:t>
      </w:r>
      <w:r>
        <w:rPr>
          <w:rFonts w:ascii="Book Antiqua" w:eastAsia="Book Antiqua" w:hAnsi="Book Antiqua" w:cs="Book Antiqua"/>
          <w:b/>
          <w:color w:val="000000"/>
        </w:rPr>
        <w:t xml:space="preserve">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465F3DD2" w14:textId="77777777" w:rsidR="00D01483" w:rsidRDefault="007E3D42">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4ED37715" w14:textId="2E7FD346" w:rsidR="00D01483" w:rsidRDefault="006B55D6">
      <w:pPr>
        <w:spacing w:line="360" w:lineRule="auto"/>
        <w:jc w:val="both"/>
        <w:rPr>
          <w:rFonts w:ascii="Book Antiqua" w:eastAsia="Book Antiqua" w:hAnsi="Book Antiqua" w:cs="Book Antiqua"/>
          <w:b/>
          <w:bCs/>
          <w:color w:val="000000"/>
        </w:rPr>
      </w:pPr>
      <w:r>
        <w:rPr>
          <w:noProof/>
        </w:rPr>
        <w:drawing>
          <wp:inline distT="0" distB="0" distL="0" distR="0" wp14:anchorId="62420A27" wp14:editId="72C2994B">
            <wp:extent cx="3390900" cy="26987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0" cy="2698750"/>
                    </a:xfrm>
                    <a:prstGeom prst="rect">
                      <a:avLst/>
                    </a:prstGeom>
                    <a:noFill/>
                    <a:ln>
                      <a:noFill/>
                    </a:ln>
                  </pic:spPr>
                </pic:pic>
              </a:graphicData>
            </a:graphic>
          </wp:inline>
        </w:drawing>
      </w:r>
    </w:p>
    <w:p w14:paraId="218C39A5" w14:textId="77777777" w:rsidR="00D01483" w:rsidRDefault="007E3D42">
      <w:pPr>
        <w:spacing w:line="360" w:lineRule="auto"/>
        <w:jc w:val="both"/>
        <w:rPr>
          <w:rFonts w:ascii="Book Antiqua" w:hAnsi="Book Antiqua"/>
        </w:rPr>
      </w:pPr>
      <w:r>
        <w:rPr>
          <w:rFonts w:ascii="Book Antiqua" w:eastAsia="Book Antiqua" w:hAnsi="Book Antiqua" w:cs="Book Antiqua"/>
          <w:b/>
          <w:bCs/>
          <w:color w:val="000000"/>
        </w:rPr>
        <w:t>Figure 1 Kaplan-Meier curve showing survival after surgery in all patients.</w:t>
      </w:r>
    </w:p>
    <w:p w14:paraId="1B8C40B1" w14:textId="4B66C49C" w:rsidR="00D01483" w:rsidRDefault="006B55D6">
      <w:pPr>
        <w:spacing w:line="360" w:lineRule="auto"/>
        <w:jc w:val="both"/>
        <w:rPr>
          <w:rFonts w:ascii="Book Antiqua" w:hAnsi="Book Antiqua"/>
        </w:rPr>
      </w:pPr>
      <w:r>
        <w:rPr>
          <w:noProof/>
        </w:rPr>
        <w:drawing>
          <wp:inline distT="0" distB="0" distL="0" distR="0" wp14:anchorId="3F317393" wp14:editId="14D1B057">
            <wp:extent cx="3409950" cy="2997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2997200"/>
                    </a:xfrm>
                    <a:prstGeom prst="rect">
                      <a:avLst/>
                    </a:prstGeom>
                    <a:noFill/>
                    <a:ln>
                      <a:noFill/>
                    </a:ln>
                  </pic:spPr>
                </pic:pic>
              </a:graphicData>
            </a:graphic>
          </wp:inline>
        </w:drawing>
      </w:r>
    </w:p>
    <w:p w14:paraId="6E9A804B" w14:textId="77777777" w:rsidR="00D01483" w:rsidRDefault="007E3D4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Kaplan-Meier curve showing survival after surgery in the studied groups. </w:t>
      </w:r>
      <w:r>
        <w:rPr>
          <w:rFonts w:ascii="Book Antiqua" w:eastAsia="Book Antiqua" w:hAnsi="Book Antiqua" w:cs="Book Antiqua"/>
          <w:color w:val="000000"/>
        </w:rPr>
        <w:t xml:space="preserve">Log rank test: </w:t>
      </w:r>
      <w:r>
        <w:rPr>
          <w:rFonts w:ascii="Book Antiqua" w:eastAsia="Book Antiqua" w:hAnsi="Book Antiqua" w:cs="Book Antiqua"/>
          <w:i/>
          <w:color w:val="000000"/>
        </w:rPr>
        <w:t>X</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44.426, </w:t>
      </w:r>
      <w:r>
        <w:rPr>
          <w:rFonts w:ascii="Book Antiqua" w:eastAsia="Book Antiqua" w:hAnsi="Book Antiqua" w:cs="Book Antiqua"/>
          <w:i/>
          <w:color w:val="000000"/>
        </w:rPr>
        <w:t xml:space="preserve">P </w:t>
      </w:r>
      <w:r>
        <w:rPr>
          <w:rFonts w:ascii="Book Antiqua" w:eastAsia="Book Antiqua" w:hAnsi="Book Antiqua" w:cs="Book Antiqua"/>
          <w:color w:val="000000"/>
        </w:rPr>
        <w:t xml:space="preserve">&lt; 0.001. ICU: </w:t>
      </w:r>
      <w:r>
        <w:rPr>
          <w:rFonts w:ascii="Book Antiqua" w:hAnsi="Book Antiqua" w:cstheme="minorHAnsi"/>
          <w:color w:val="000000" w:themeColor="text1"/>
        </w:rPr>
        <w:t>Intensive care unit.</w:t>
      </w:r>
    </w:p>
    <w:p w14:paraId="3838ADB7" w14:textId="77777777" w:rsidR="00D01483" w:rsidRDefault="007E3D42">
      <w:pPr>
        <w:spacing w:line="360" w:lineRule="auto"/>
        <w:jc w:val="both"/>
        <w:rPr>
          <w:rFonts w:ascii="Book Antiqua" w:hAnsi="Book Antiqua" w:cstheme="minorHAnsi"/>
          <w:b/>
          <w:bCs/>
          <w:color w:val="000000" w:themeColor="text1"/>
        </w:rPr>
      </w:pPr>
      <w:r>
        <w:rPr>
          <w:rFonts w:ascii="Book Antiqua" w:eastAsia="Book Antiqua" w:hAnsi="Book Antiqua" w:cs="Book Antiqua"/>
          <w:color w:val="000000"/>
        </w:rPr>
        <w:br w:type="page"/>
      </w:r>
      <w:r>
        <w:rPr>
          <w:rFonts w:ascii="Book Antiqua" w:hAnsi="Book Antiqua" w:cstheme="minorHAnsi"/>
          <w:b/>
          <w:bCs/>
          <w:color w:val="000000" w:themeColor="text1"/>
        </w:rPr>
        <w:lastRenderedPageBreak/>
        <w:t>Table 1 Causes of intensive care unit readmission (total N = 31 out of 299 patients)</w:t>
      </w:r>
    </w:p>
    <w:tbl>
      <w:tblPr>
        <w:tblW w:w="7650" w:type="dxa"/>
        <w:tblLayout w:type="fixed"/>
        <w:tblCellMar>
          <w:left w:w="0" w:type="dxa"/>
          <w:right w:w="0" w:type="dxa"/>
        </w:tblCellMar>
        <w:tblLook w:val="04A0" w:firstRow="1" w:lastRow="0" w:firstColumn="1" w:lastColumn="0" w:noHBand="0" w:noVBand="1"/>
      </w:tblPr>
      <w:tblGrid>
        <w:gridCol w:w="4495"/>
        <w:gridCol w:w="1625"/>
        <w:gridCol w:w="1530"/>
      </w:tblGrid>
      <w:tr w:rsidR="00D01483" w14:paraId="1E1BE34D" w14:textId="77777777">
        <w:trPr>
          <w:cantSplit/>
        </w:trPr>
        <w:tc>
          <w:tcPr>
            <w:tcW w:w="4495" w:type="dxa"/>
            <w:tcBorders>
              <w:top w:val="single" w:sz="4" w:space="0" w:color="auto"/>
              <w:left w:val="nil"/>
              <w:bottom w:val="single" w:sz="4" w:space="0" w:color="auto"/>
              <w:right w:val="nil"/>
            </w:tcBorders>
            <w:shd w:val="clear" w:color="auto" w:fill="FFFFFF"/>
            <w:vAlign w:val="bottom"/>
          </w:tcPr>
          <w:p w14:paraId="716D11AE" w14:textId="77777777" w:rsidR="00D01483" w:rsidRDefault="00D01483">
            <w:pPr>
              <w:spacing w:line="360" w:lineRule="auto"/>
              <w:jc w:val="both"/>
              <w:rPr>
                <w:rFonts w:ascii="Book Antiqua" w:hAnsi="Book Antiqua" w:cstheme="minorHAnsi"/>
                <w:color w:val="000000" w:themeColor="text1"/>
              </w:rPr>
            </w:pPr>
          </w:p>
        </w:tc>
        <w:tc>
          <w:tcPr>
            <w:tcW w:w="1625" w:type="dxa"/>
            <w:tcBorders>
              <w:top w:val="single" w:sz="4" w:space="0" w:color="auto"/>
              <w:left w:val="nil"/>
              <w:bottom w:val="single" w:sz="4" w:space="0" w:color="auto"/>
              <w:right w:val="nil"/>
            </w:tcBorders>
            <w:shd w:val="clear" w:color="auto" w:fill="FFFFFF"/>
            <w:vAlign w:val="bottom"/>
          </w:tcPr>
          <w:p w14:paraId="004C3601" w14:textId="77777777" w:rsidR="00D01483" w:rsidRDefault="007E3D42">
            <w:pPr>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N</w:t>
            </w:r>
          </w:p>
        </w:tc>
        <w:tc>
          <w:tcPr>
            <w:tcW w:w="1530" w:type="dxa"/>
            <w:tcBorders>
              <w:top w:val="single" w:sz="4" w:space="0" w:color="auto"/>
              <w:left w:val="nil"/>
              <w:bottom w:val="single" w:sz="4" w:space="0" w:color="auto"/>
              <w:right w:val="nil"/>
            </w:tcBorders>
            <w:shd w:val="clear" w:color="auto" w:fill="FFFFFF"/>
            <w:vAlign w:val="bottom"/>
          </w:tcPr>
          <w:p w14:paraId="06C06629" w14:textId="77777777" w:rsidR="00D01483" w:rsidRDefault="007E3D42">
            <w:pPr>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w:t>
            </w:r>
          </w:p>
        </w:tc>
      </w:tr>
      <w:tr w:rsidR="00D01483" w14:paraId="79048744" w14:textId="77777777">
        <w:trPr>
          <w:cantSplit/>
        </w:trPr>
        <w:tc>
          <w:tcPr>
            <w:tcW w:w="4495" w:type="dxa"/>
            <w:tcBorders>
              <w:top w:val="single" w:sz="4" w:space="0" w:color="auto"/>
              <w:left w:val="nil"/>
              <w:bottom w:val="nil"/>
              <w:right w:val="nil"/>
            </w:tcBorders>
            <w:shd w:val="clear" w:color="auto" w:fill="FFFFFF"/>
          </w:tcPr>
          <w:p w14:paraId="2EEBCFDD"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Sepsis</w:t>
            </w:r>
          </w:p>
        </w:tc>
        <w:tc>
          <w:tcPr>
            <w:tcW w:w="1625" w:type="dxa"/>
            <w:tcBorders>
              <w:top w:val="single" w:sz="4" w:space="0" w:color="auto"/>
              <w:left w:val="nil"/>
              <w:bottom w:val="nil"/>
              <w:right w:val="nil"/>
            </w:tcBorders>
            <w:shd w:val="clear" w:color="auto" w:fill="FFFFFF"/>
          </w:tcPr>
          <w:p w14:paraId="27922625"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5</w:t>
            </w:r>
          </w:p>
        </w:tc>
        <w:tc>
          <w:tcPr>
            <w:tcW w:w="1530" w:type="dxa"/>
            <w:tcBorders>
              <w:top w:val="single" w:sz="4" w:space="0" w:color="auto"/>
              <w:left w:val="nil"/>
              <w:bottom w:val="nil"/>
              <w:right w:val="nil"/>
            </w:tcBorders>
            <w:shd w:val="clear" w:color="auto" w:fill="FFFFFF"/>
          </w:tcPr>
          <w:p w14:paraId="2CCE14E6"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1.6</w:t>
            </w:r>
          </w:p>
        </w:tc>
      </w:tr>
      <w:tr w:rsidR="00D01483" w14:paraId="7202890B" w14:textId="77777777">
        <w:trPr>
          <w:cantSplit/>
        </w:trPr>
        <w:tc>
          <w:tcPr>
            <w:tcW w:w="4495" w:type="dxa"/>
            <w:shd w:val="clear" w:color="auto" w:fill="FFFFFF"/>
          </w:tcPr>
          <w:p w14:paraId="3DC63DBE"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Pulmonary complications</w:t>
            </w:r>
          </w:p>
        </w:tc>
        <w:tc>
          <w:tcPr>
            <w:tcW w:w="1625" w:type="dxa"/>
            <w:shd w:val="clear" w:color="auto" w:fill="FFFFFF"/>
          </w:tcPr>
          <w:p w14:paraId="793B71D2"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3</w:t>
            </w:r>
          </w:p>
        </w:tc>
        <w:tc>
          <w:tcPr>
            <w:tcW w:w="1530" w:type="dxa"/>
            <w:shd w:val="clear" w:color="auto" w:fill="FFFFFF"/>
          </w:tcPr>
          <w:p w14:paraId="788A7049"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0.9</w:t>
            </w:r>
          </w:p>
        </w:tc>
      </w:tr>
      <w:tr w:rsidR="00D01483" w14:paraId="51CCD639" w14:textId="77777777">
        <w:trPr>
          <w:cantSplit/>
        </w:trPr>
        <w:tc>
          <w:tcPr>
            <w:tcW w:w="4495" w:type="dxa"/>
            <w:shd w:val="clear" w:color="auto" w:fill="FFFFFF"/>
          </w:tcPr>
          <w:p w14:paraId="665053D2"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Cardiovascular complications</w:t>
            </w:r>
          </w:p>
        </w:tc>
        <w:tc>
          <w:tcPr>
            <w:tcW w:w="1625" w:type="dxa"/>
            <w:shd w:val="clear" w:color="auto" w:fill="FFFFFF"/>
          </w:tcPr>
          <w:p w14:paraId="32AC7DA0"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3</w:t>
            </w:r>
          </w:p>
        </w:tc>
        <w:tc>
          <w:tcPr>
            <w:tcW w:w="1530" w:type="dxa"/>
            <w:shd w:val="clear" w:color="auto" w:fill="FFFFFF"/>
          </w:tcPr>
          <w:p w14:paraId="1E5C30E7"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0.9</w:t>
            </w:r>
          </w:p>
        </w:tc>
      </w:tr>
      <w:tr w:rsidR="00D01483" w14:paraId="5417B5BC" w14:textId="77777777">
        <w:trPr>
          <w:cantSplit/>
        </w:trPr>
        <w:tc>
          <w:tcPr>
            <w:tcW w:w="4495" w:type="dxa"/>
            <w:shd w:val="clear" w:color="auto" w:fill="FFFFFF"/>
          </w:tcPr>
          <w:p w14:paraId="3A432D69"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HA thrombosis</w:t>
            </w:r>
          </w:p>
        </w:tc>
        <w:tc>
          <w:tcPr>
            <w:tcW w:w="1625" w:type="dxa"/>
            <w:shd w:val="clear" w:color="auto" w:fill="FFFFFF"/>
          </w:tcPr>
          <w:p w14:paraId="3E31F3C8"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3</w:t>
            </w:r>
          </w:p>
        </w:tc>
        <w:tc>
          <w:tcPr>
            <w:tcW w:w="1530" w:type="dxa"/>
            <w:shd w:val="clear" w:color="auto" w:fill="FFFFFF"/>
          </w:tcPr>
          <w:p w14:paraId="1D6202F2"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0.9</w:t>
            </w:r>
          </w:p>
        </w:tc>
      </w:tr>
      <w:tr w:rsidR="00D01483" w14:paraId="0EFC28BE" w14:textId="77777777">
        <w:trPr>
          <w:cantSplit/>
        </w:trPr>
        <w:tc>
          <w:tcPr>
            <w:tcW w:w="4495" w:type="dxa"/>
            <w:shd w:val="clear" w:color="auto" w:fill="FFFFFF"/>
          </w:tcPr>
          <w:p w14:paraId="2CA3D380"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7</w:t>
            </w:r>
            <w:r>
              <w:rPr>
                <w:rFonts w:ascii="Book Antiqua" w:hAnsi="Book Antiqua" w:cstheme="minorHAnsi"/>
                <w:color w:val="000000" w:themeColor="text1"/>
                <w:vertAlign w:val="superscript"/>
              </w:rPr>
              <w:t>Th</w:t>
            </w:r>
            <w:r>
              <w:rPr>
                <w:rFonts w:ascii="Book Antiqua" w:hAnsi="Book Antiqua" w:cstheme="minorHAnsi"/>
                <w:color w:val="000000" w:themeColor="text1"/>
              </w:rPr>
              <w:t xml:space="preserve"> day syndrome</w:t>
            </w:r>
          </w:p>
        </w:tc>
        <w:tc>
          <w:tcPr>
            <w:tcW w:w="1625" w:type="dxa"/>
            <w:shd w:val="clear" w:color="auto" w:fill="FFFFFF"/>
          </w:tcPr>
          <w:p w14:paraId="23F5A60D"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w:t>
            </w:r>
          </w:p>
        </w:tc>
        <w:tc>
          <w:tcPr>
            <w:tcW w:w="1530" w:type="dxa"/>
            <w:shd w:val="clear" w:color="auto" w:fill="FFFFFF"/>
          </w:tcPr>
          <w:p w14:paraId="21EFFE51"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0.3</w:t>
            </w:r>
          </w:p>
        </w:tc>
      </w:tr>
      <w:tr w:rsidR="00D01483" w14:paraId="1B70A476" w14:textId="77777777">
        <w:trPr>
          <w:cantSplit/>
        </w:trPr>
        <w:tc>
          <w:tcPr>
            <w:tcW w:w="4495" w:type="dxa"/>
            <w:shd w:val="clear" w:color="auto" w:fill="FFFFFF"/>
          </w:tcPr>
          <w:p w14:paraId="7AB3C727"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Acute cellular rejection</w:t>
            </w:r>
          </w:p>
        </w:tc>
        <w:tc>
          <w:tcPr>
            <w:tcW w:w="1625" w:type="dxa"/>
            <w:shd w:val="clear" w:color="auto" w:fill="FFFFFF"/>
          </w:tcPr>
          <w:p w14:paraId="5DEC23F8"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w:t>
            </w:r>
          </w:p>
        </w:tc>
        <w:tc>
          <w:tcPr>
            <w:tcW w:w="1530" w:type="dxa"/>
            <w:shd w:val="clear" w:color="auto" w:fill="FFFFFF"/>
          </w:tcPr>
          <w:p w14:paraId="472CC439"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0.3</w:t>
            </w:r>
          </w:p>
        </w:tc>
      </w:tr>
      <w:tr w:rsidR="00D01483" w14:paraId="6A06F0AA" w14:textId="77777777">
        <w:trPr>
          <w:cantSplit/>
        </w:trPr>
        <w:tc>
          <w:tcPr>
            <w:tcW w:w="4495" w:type="dxa"/>
            <w:shd w:val="clear" w:color="auto" w:fill="FFFFFF"/>
          </w:tcPr>
          <w:p w14:paraId="4B620FF8"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Acute Pancreatitis</w:t>
            </w:r>
          </w:p>
        </w:tc>
        <w:tc>
          <w:tcPr>
            <w:tcW w:w="1625" w:type="dxa"/>
            <w:shd w:val="clear" w:color="auto" w:fill="FFFFFF"/>
          </w:tcPr>
          <w:p w14:paraId="0C0B736A"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w:t>
            </w:r>
          </w:p>
        </w:tc>
        <w:tc>
          <w:tcPr>
            <w:tcW w:w="1530" w:type="dxa"/>
            <w:shd w:val="clear" w:color="auto" w:fill="FFFFFF"/>
          </w:tcPr>
          <w:p w14:paraId="2E576693"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0.3</w:t>
            </w:r>
          </w:p>
        </w:tc>
      </w:tr>
      <w:tr w:rsidR="00D01483" w14:paraId="4EEF8E53" w14:textId="77777777">
        <w:trPr>
          <w:cantSplit/>
        </w:trPr>
        <w:tc>
          <w:tcPr>
            <w:tcW w:w="4495" w:type="dxa"/>
            <w:shd w:val="clear" w:color="auto" w:fill="FFFFFF"/>
          </w:tcPr>
          <w:p w14:paraId="274B8CBD"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Cerebrovascular stroke</w:t>
            </w:r>
          </w:p>
        </w:tc>
        <w:tc>
          <w:tcPr>
            <w:tcW w:w="1625" w:type="dxa"/>
            <w:shd w:val="clear" w:color="auto" w:fill="FFFFFF"/>
          </w:tcPr>
          <w:p w14:paraId="1863067B"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3</w:t>
            </w:r>
          </w:p>
        </w:tc>
        <w:tc>
          <w:tcPr>
            <w:tcW w:w="1530" w:type="dxa"/>
            <w:shd w:val="clear" w:color="auto" w:fill="FFFFFF"/>
          </w:tcPr>
          <w:p w14:paraId="29FC4BAA"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0.9</w:t>
            </w:r>
          </w:p>
        </w:tc>
      </w:tr>
      <w:tr w:rsidR="00D01483" w14:paraId="73B698A6" w14:textId="77777777">
        <w:trPr>
          <w:cantSplit/>
        </w:trPr>
        <w:tc>
          <w:tcPr>
            <w:tcW w:w="4495" w:type="dxa"/>
            <w:shd w:val="clear" w:color="auto" w:fill="FFFFFF"/>
          </w:tcPr>
          <w:p w14:paraId="5733F0A0"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Graft failure</w:t>
            </w:r>
          </w:p>
        </w:tc>
        <w:tc>
          <w:tcPr>
            <w:tcW w:w="1625" w:type="dxa"/>
            <w:shd w:val="clear" w:color="auto" w:fill="FFFFFF"/>
          </w:tcPr>
          <w:p w14:paraId="7EA3083B"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w:t>
            </w:r>
          </w:p>
        </w:tc>
        <w:tc>
          <w:tcPr>
            <w:tcW w:w="1530" w:type="dxa"/>
            <w:shd w:val="clear" w:color="auto" w:fill="FFFFFF"/>
          </w:tcPr>
          <w:p w14:paraId="4F7FC508"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0.3</w:t>
            </w:r>
          </w:p>
        </w:tc>
      </w:tr>
      <w:tr w:rsidR="00D01483" w14:paraId="2B168F53" w14:textId="77777777">
        <w:trPr>
          <w:cantSplit/>
        </w:trPr>
        <w:tc>
          <w:tcPr>
            <w:tcW w:w="4495" w:type="dxa"/>
            <w:shd w:val="clear" w:color="auto" w:fill="FFFFFF"/>
          </w:tcPr>
          <w:p w14:paraId="3F0B02DA"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hemorrhagic shock</w:t>
            </w:r>
          </w:p>
        </w:tc>
        <w:tc>
          <w:tcPr>
            <w:tcW w:w="1625" w:type="dxa"/>
            <w:shd w:val="clear" w:color="auto" w:fill="FFFFFF"/>
          </w:tcPr>
          <w:p w14:paraId="24794A6D"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w:t>
            </w:r>
          </w:p>
        </w:tc>
        <w:tc>
          <w:tcPr>
            <w:tcW w:w="1530" w:type="dxa"/>
            <w:shd w:val="clear" w:color="auto" w:fill="FFFFFF"/>
          </w:tcPr>
          <w:p w14:paraId="5C28FA48"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0.3</w:t>
            </w:r>
          </w:p>
        </w:tc>
      </w:tr>
      <w:tr w:rsidR="00D01483" w14:paraId="3EE0979A" w14:textId="77777777">
        <w:trPr>
          <w:cantSplit/>
        </w:trPr>
        <w:tc>
          <w:tcPr>
            <w:tcW w:w="4495" w:type="dxa"/>
            <w:shd w:val="clear" w:color="auto" w:fill="FFFFFF"/>
          </w:tcPr>
          <w:p w14:paraId="1B851D99"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Liver infarction</w:t>
            </w:r>
          </w:p>
        </w:tc>
        <w:tc>
          <w:tcPr>
            <w:tcW w:w="1625" w:type="dxa"/>
            <w:shd w:val="clear" w:color="auto" w:fill="FFFFFF"/>
          </w:tcPr>
          <w:p w14:paraId="5CCD4422"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w:t>
            </w:r>
          </w:p>
        </w:tc>
        <w:tc>
          <w:tcPr>
            <w:tcW w:w="1530" w:type="dxa"/>
            <w:shd w:val="clear" w:color="auto" w:fill="FFFFFF"/>
          </w:tcPr>
          <w:p w14:paraId="49BBA61E"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0.3</w:t>
            </w:r>
          </w:p>
        </w:tc>
      </w:tr>
      <w:tr w:rsidR="00D01483" w14:paraId="0C088977" w14:textId="77777777">
        <w:trPr>
          <w:cantSplit/>
        </w:trPr>
        <w:tc>
          <w:tcPr>
            <w:tcW w:w="4495" w:type="dxa"/>
            <w:shd w:val="clear" w:color="auto" w:fill="FFFFFF"/>
          </w:tcPr>
          <w:p w14:paraId="4924CC75"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Metabolic disorders</w:t>
            </w:r>
          </w:p>
        </w:tc>
        <w:tc>
          <w:tcPr>
            <w:tcW w:w="1625" w:type="dxa"/>
            <w:shd w:val="clear" w:color="auto" w:fill="FFFFFF"/>
          </w:tcPr>
          <w:p w14:paraId="23C4725B"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w:t>
            </w:r>
          </w:p>
        </w:tc>
        <w:tc>
          <w:tcPr>
            <w:tcW w:w="1530" w:type="dxa"/>
            <w:shd w:val="clear" w:color="auto" w:fill="FFFFFF"/>
          </w:tcPr>
          <w:p w14:paraId="4263DC55"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0.3</w:t>
            </w:r>
          </w:p>
        </w:tc>
      </w:tr>
      <w:tr w:rsidR="00D01483" w14:paraId="276AC647" w14:textId="77777777">
        <w:trPr>
          <w:cantSplit/>
        </w:trPr>
        <w:tc>
          <w:tcPr>
            <w:tcW w:w="4495" w:type="dxa"/>
            <w:shd w:val="clear" w:color="auto" w:fill="FFFFFF"/>
          </w:tcPr>
          <w:p w14:paraId="3E8E52E0"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Portal vein thrombosis</w:t>
            </w:r>
          </w:p>
        </w:tc>
        <w:tc>
          <w:tcPr>
            <w:tcW w:w="1625" w:type="dxa"/>
            <w:shd w:val="clear" w:color="auto" w:fill="FFFFFF"/>
          </w:tcPr>
          <w:p w14:paraId="750E4180"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w:t>
            </w:r>
          </w:p>
        </w:tc>
        <w:tc>
          <w:tcPr>
            <w:tcW w:w="1530" w:type="dxa"/>
            <w:shd w:val="clear" w:color="auto" w:fill="FFFFFF"/>
          </w:tcPr>
          <w:p w14:paraId="3EF3BB71"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0.3</w:t>
            </w:r>
          </w:p>
        </w:tc>
      </w:tr>
      <w:tr w:rsidR="00D01483" w14:paraId="0592B2B1" w14:textId="77777777">
        <w:trPr>
          <w:cantSplit/>
        </w:trPr>
        <w:tc>
          <w:tcPr>
            <w:tcW w:w="4495" w:type="dxa"/>
            <w:shd w:val="clear" w:color="auto" w:fill="FFFFFF"/>
          </w:tcPr>
          <w:p w14:paraId="46455EAB"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Prograf neurotoxicity</w:t>
            </w:r>
          </w:p>
        </w:tc>
        <w:tc>
          <w:tcPr>
            <w:tcW w:w="1625" w:type="dxa"/>
            <w:shd w:val="clear" w:color="auto" w:fill="FFFFFF"/>
          </w:tcPr>
          <w:p w14:paraId="6E4DADE5"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w:t>
            </w:r>
          </w:p>
        </w:tc>
        <w:tc>
          <w:tcPr>
            <w:tcW w:w="1530" w:type="dxa"/>
            <w:shd w:val="clear" w:color="auto" w:fill="FFFFFF"/>
          </w:tcPr>
          <w:p w14:paraId="351519FC"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0.6</w:t>
            </w:r>
          </w:p>
        </w:tc>
      </w:tr>
      <w:tr w:rsidR="00D01483" w14:paraId="13412400" w14:textId="77777777">
        <w:trPr>
          <w:cantSplit/>
        </w:trPr>
        <w:tc>
          <w:tcPr>
            <w:tcW w:w="4495" w:type="dxa"/>
            <w:shd w:val="clear" w:color="auto" w:fill="FFFFFF"/>
          </w:tcPr>
          <w:p w14:paraId="67DDD11E"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PV STENOSIS</w:t>
            </w:r>
          </w:p>
        </w:tc>
        <w:tc>
          <w:tcPr>
            <w:tcW w:w="1625" w:type="dxa"/>
            <w:shd w:val="clear" w:color="auto" w:fill="FFFFFF"/>
          </w:tcPr>
          <w:p w14:paraId="43AC5B2B"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w:t>
            </w:r>
          </w:p>
        </w:tc>
        <w:tc>
          <w:tcPr>
            <w:tcW w:w="1530" w:type="dxa"/>
            <w:shd w:val="clear" w:color="auto" w:fill="FFFFFF"/>
          </w:tcPr>
          <w:p w14:paraId="46325058"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0.3</w:t>
            </w:r>
          </w:p>
        </w:tc>
      </w:tr>
      <w:tr w:rsidR="00D01483" w14:paraId="18AF13E1" w14:textId="77777777">
        <w:trPr>
          <w:cantSplit/>
        </w:trPr>
        <w:tc>
          <w:tcPr>
            <w:tcW w:w="4495" w:type="dxa"/>
            <w:shd w:val="clear" w:color="auto" w:fill="FFFFFF"/>
          </w:tcPr>
          <w:p w14:paraId="450EDA48"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Re -transplant</w:t>
            </w:r>
            <w:r>
              <w:rPr>
                <w:rFonts w:ascii="Book Antiqua" w:hAnsi="Book Antiqua" w:cstheme="minorHAnsi"/>
                <w:color w:val="000000" w:themeColor="text1"/>
                <w:vertAlign w:val="superscript"/>
              </w:rPr>
              <w:t>1</w:t>
            </w:r>
          </w:p>
        </w:tc>
        <w:tc>
          <w:tcPr>
            <w:tcW w:w="1625" w:type="dxa"/>
            <w:shd w:val="clear" w:color="auto" w:fill="FFFFFF"/>
          </w:tcPr>
          <w:p w14:paraId="65D8E488"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w:t>
            </w:r>
          </w:p>
        </w:tc>
        <w:tc>
          <w:tcPr>
            <w:tcW w:w="1530" w:type="dxa"/>
            <w:shd w:val="clear" w:color="auto" w:fill="FFFFFF"/>
          </w:tcPr>
          <w:p w14:paraId="4CC41038"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0.6</w:t>
            </w:r>
          </w:p>
        </w:tc>
      </w:tr>
      <w:tr w:rsidR="00D01483" w14:paraId="7313BC1C" w14:textId="77777777">
        <w:trPr>
          <w:cantSplit/>
        </w:trPr>
        <w:tc>
          <w:tcPr>
            <w:tcW w:w="4495" w:type="dxa"/>
            <w:tcBorders>
              <w:top w:val="nil"/>
              <w:left w:val="nil"/>
              <w:bottom w:val="single" w:sz="4" w:space="0" w:color="auto"/>
              <w:right w:val="nil"/>
            </w:tcBorders>
            <w:shd w:val="clear" w:color="auto" w:fill="FFFFFF"/>
          </w:tcPr>
          <w:p w14:paraId="0F9A68EC"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Renal impairment</w:t>
            </w:r>
          </w:p>
        </w:tc>
        <w:tc>
          <w:tcPr>
            <w:tcW w:w="1625" w:type="dxa"/>
            <w:tcBorders>
              <w:top w:val="nil"/>
              <w:left w:val="nil"/>
              <w:bottom w:val="single" w:sz="4" w:space="0" w:color="auto"/>
              <w:right w:val="nil"/>
            </w:tcBorders>
            <w:shd w:val="clear" w:color="auto" w:fill="FFFFFF"/>
          </w:tcPr>
          <w:p w14:paraId="31B7D278"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w:t>
            </w:r>
          </w:p>
        </w:tc>
        <w:tc>
          <w:tcPr>
            <w:tcW w:w="1530" w:type="dxa"/>
            <w:tcBorders>
              <w:top w:val="nil"/>
              <w:left w:val="nil"/>
              <w:bottom w:val="single" w:sz="4" w:space="0" w:color="auto"/>
              <w:right w:val="nil"/>
            </w:tcBorders>
            <w:shd w:val="clear" w:color="auto" w:fill="FFFFFF"/>
          </w:tcPr>
          <w:p w14:paraId="741209ED"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0.3</w:t>
            </w:r>
          </w:p>
        </w:tc>
      </w:tr>
    </w:tbl>
    <w:p w14:paraId="5724777B" w14:textId="77777777" w:rsidR="00D01483" w:rsidRDefault="007E3D42">
      <w:pPr>
        <w:spacing w:line="360" w:lineRule="auto"/>
        <w:ind w:right="1655"/>
        <w:jc w:val="both"/>
        <w:rPr>
          <w:rFonts w:ascii="Book Antiqua" w:hAnsi="Book Antiqua" w:cstheme="minorHAnsi"/>
          <w:color w:val="000000" w:themeColor="text1"/>
        </w:rPr>
      </w:pPr>
      <w:r>
        <w:rPr>
          <w:rFonts w:ascii="Book Antiqua" w:hAnsi="Book Antiqua" w:cstheme="minorHAnsi"/>
          <w:color w:val="000000" w:themeColor="text1"/>
          <w:vertAlign w:val="superscript"/>
        </w:rPr>
        <w:t>1</w:t>
      </w:r>
      <w:r>
        <w:rPr>
          <w:rFonts w:ascii="Book Antiqua" w:hAnsi="Book Antiqua" w:cstheme="minorHAnsi"/>
          <w:color w:val="000000" w:themeColor="text1"/>
        </w:rPr>
        <w:t>Re-transplantation for graft failure due to hepatic artery thrombosis in 1 case and small for size in the other case. HA: Hepatic artery; HV: Hepatic vein; LDLT: Living donor liver transplantation; N: Number; PV: Portal vein.</w:t>
      </w:r>
    </w:p>
    <w:p w14:paraId="2D088685" w14:textId="77777777" w:rsidR="00D01483" w:rsidRDefault="00D01483">
      <w:pPr>
        <w:spacing w:line="360" w:lineRule="auto"/>
        <w:ind w:right="1655"/>
        <w:jc w:val="both"/>
        <w:rPr>
          <w:rFonts w:ascii="Book Antiqua" w:hAnsi="Book Antiqua" w:cstheme="minorHAnsi"/>
          <w:color w:val="000000" w:themeColor="text1"/>
        </w:rPr>
      </w:pPr>
    </w:p>
    <w:p w14:paraId="3B1D782E" w14:textId="77777777" w:rsidR="00D01483" w:rsidRDefault="007E3D42">
      <w:pPr>
        <w:spacing w:line="360" w:lineRule="auto"/>
        <w:ind w:right="1655"/>
        <w:jc w:val="both"/>
        <w:rPr>
          <w:rFonts w:ascii="Book Antiqua" w:hAnsi="Book Antiqua" w:cstheme="minorHAnsi"/>
          <w:b/>
          <w:bCs/>
          <w:color w:val="000000" w:themeColor="text1"/>
        </w:rPr>
      </w:pPr>
      <w:r>
        <w:rPr>
          <w:rFonts w:ascii="Book Antiqua" w:hAnsi="Book Antiqua" w:cstheme="minorHAnsi"/>
          <w:color w:val="000000" w:themeColor="text1"/>
        </w:rPr>
        <w:br w:type="page"/>
      </w:r>
      <w:r>
        <w:rPr>
          <w:rFonts w:ascii="Book Antiqua" w:hAnsi="Book Antiqua" w:cstheme="minorHAnsi"/>
          <w:b/>
          <w:bCs/>
          <w:color w:val="000000" w:themeColor="text1"/>
        </w:rPr>
        <w:lastRenderedPageBreak/>
        <w:t xml:space="preserve">Table 2 Preoperative patients’ and donors’ characteristics (data were expressed as mean </w:t>
      </w:r>
      <w:r>
        <w:rPr>
          <w:rFonts w:ascii="Book Antiqua" w:hAnsi="Book Antiqua" w:cstheme="minorHAnsi"/>
          <w:b/>
          <w:color w:val="000000" w:themeColor="text1"/>
        </w:rPr>
        <w:t>± SD or number &amp; percentage</w:t>
      </w:r>
      <w:r>
        <w:rPr>
          <w:rFonts w:ascii="Book Antiqua" w:hAnsi="Book Antiqua" w:cstheme="minorHAnsi"/>
          <w:b/>
          <w:bCs/>
          <w:color w:val="000000" w:themeColor="text1"/>
        </w:rPr>
        <w:t>) (total N = 299)</w:t>
      </w:r>
    </w:p>
    <w:tbl>
      <w:tblPr>
        <w:tblW w:w="10515" w:type="dxa"/>
        <w:tblInd w:w="-450" w:type="dxa"/>
        <w:tblLayout w:type="fixed"/>
        <w:tblCellMar>
          <w:left w:w="0" w:type="dxa"/>
          <w:right w:w="0" w:type="dxa"/>
        </w:tblCellMar>
        <w:tblLook w:val="04A0" w:firstRow="1" w:lastRow="0" w:firstColumn="1" w:lastColumn="0" w:noHBand="0" w:noVBand="1"/>
      </w:tblPr>
      <w:tblGrid>
        <w:gridCol w:w="1170"/>
        <w:gridCol w:w="1834"/>
        <w:gridCol w:w="562"/>
        <w:gridCol w:w="992"/>
        <w:gridCol w:w="567"/>
        <w:gridCol w:w="1560"/>
        <w:gridCol w:w="567"/>
        <w:gridCol w:w="1277"/>
        <w:gridCol w:w="993"/>
        <w:gridCol w:w="993"/>
      </w:tblGrid>
      <w:tr w:rsidR="00D01483" w14:paraId="3178739D" w14:textId="77777777">
        <w:trPr>
          <w:cantSplit/>
        </w:trPr>
        <w:tc>
          <w:tcPr>
            <w:tcW w:w="3003" w:type="dxa"/>
            <w:gridSpan w:val="2"/>
            <w:tcBorders>
              <w:top w:val="single" w:sz="4" w:space="0" w:color="auto"/>
              <w:left w:val="nil"/>
              <w:bottom w:val="single" w:sz="4" w:space="0" w:color="auto"/>
              <w:right w:val="nil"/>
            </w:tcBorders>
            <w:shd w:val="clear" w:color="auto" w:fill="FFFFFF"/>
            <w:vAlign w:val="bottom"/>
          </w:tcPr>
          <w:p w14:paraId="74984AB5" w14:textId="77777777" w:rsidR="00D01483" w:rsidRDefault="00D01483">
            <w:pPr>
              <w:autoSpaceDE w:val="0"/>
              <w:autoSpaceDN w:val="0"/>
              <w:adjustRightInd w:val="0"/>
              <w:spacing w:line="360" w:lineRule="auto"/>
              <w:jc w:val="both"/>
              <w:rPr>
                <w:rFonts w:ascii="Book Antiqua" w:hAnsi="Book Antiqua" w:cstheme="minorHAnsi"/>
                <w:color w:val="000000" w:themeColor="text1"/>
              </w:rPr>
            </w:pPr>
          </w:p>
        </w:tc>
        <w:tc>
          <w:tcPr>
            <w:tcW w:w="1553" w:type="dxa"/>
            <w:gridSpan w:val="2"/>
            <w:tcBorders>
              <w:top w:val="single" w:sz="4" w:space="0" w:color="auto"/>
              <w:left w:val="nil"/>
              <w:bottom w:val="single" w:sz="4" w:space="0" w:color="auto"/>
              <w:right w:val="nil"/>
            </w:tcBorders>
            <w:shd w:val="clear" w:color="auto" w:fill="FFFFFF"/>
            <w:vAlign w:val="bottom"/>
          </w:tcPr>
          <w:p w14:paraId="11770555" w14:textId="77777777" w:rsidR="00D01483" w:rsidRDefault="007E3D42">
            <w:pPr>
              <w:autoSpaceDE w:val="0"/>
              <w:autoSpaceDN w:val="0"/>
              <w:adjustRightInd w:val="0"/>
              <w:spacing w:line="360" w:lineRule="auto"/>
              <w:ind w:left="60" w:right="60"/>
              <w:jc w:val="both"/>
              <w:rPr>
                <w:rFonts w:ascii="Book Antiqua" w:hAnsi="Book Antiqua" w:cstheme="minorHAnsi"/>
                <w:b/>
                <w:bCs/>
                <w:color w:val="000000" w:themeColor="text1"/>
              </w:rPr>
            </w:pPr>
            <w:r>
              <w:rPr>
                <w:rFonts w:ascii="Book Antiqua" w:hAnsi="Book Antiqua" w:cstheme="minorHAnsi"/>
                <w:b/>
                <w:bCs/>
                <w:color w:val="000000" w:themeColor="text1"/>
              </w:rPr>
              <w:t>Total</w:t>
            </w:r>
            <w:r>
              <w:rPr>
                <w:rFonts w:ascii="Book Antiqua" w:hAnsi="Book Antiqua" w:cstheme="minorHAnsi"/>
                <w:b/>
                <w:bCs/>
                <w:color w:val="000000" w:themeColor="text1"/>
                <w:lang w:eastAsia="zh-CN"/>
              </w:rPr>
              <w:t xml:space="preserve"> </w:t>
            </w:r>
            <w:r>
              <w:rPr>
                <w:rFonts w:ascii="Book Antiqua" w:hAnsi="Book Antiqua" w:cstheme="minorHAnsi"/>
                <w:b/>
                <w:bCs/>
                <w:color w:val="000000" w:themeColor="text1"/>
              </w:rPr>
              <w:t>(N = 299), %</w:t>
            </w:r>
          </w:p>
        </w:tc>
        <w:tc>
          <w:tcPr>
            <w:tcW w:w="2126" w:type="dxa"/>
            <w:gridSpan w:val="2"/>
            <w:tcBorders>
              <w:top w:val="single" w:sz="4" w:space="0" w:color="auto"/>
              <w:left w:val="nil"/>
              <w:bottom w:val="single" w:sz="4" w:space="0" w:color="auto"/>
              <w:right w:val="nil"/>
            </w:tcBorders>
            <w:shd w:val="clear" w:color="auto" w:fill="FFFFFF"/>
            <w:vAlign w:val="bottom"/>
          </w:tcPr>
          <w:p w14:paraId="1E143FDC" w14:textId="77777777" w:rsidR="00D01483" w:rsidRDefault="007E3D42">
            <w:pPr>
              <w:autoSpaceDE w:val="0"/>
              <w:autoSpaceDN w:val="0"/>
              <w:adjustRightInd w:val="0"/>
              <w:spacing w:line="360" w:lineRule="auto"/>
              <w:ind w:left="60" w:right="60"/>
              <w:jc w:val="both"/>
              <w:rPr>
                <w:rFonts w:ascii="Book Antiqua" w:hAnsi="Book Antiqua" w:cstheme="minorHAnsi"/>
                <w:b/>
                <w:bCs/>
                <w:color w:val="000000" w:themeColor="text1"/>
              </w:rPr>
            </w:pPr>
            <w:r>
              <w:rPr>
                <w:rFonts w:ascii="Book Antiqua" w:hAnsi="Book Antiqua" w:cstheme="minorHAnsi"/>
                <w:b/>
                <w:bCs/>
                <w:color w:val="000000" w:themeColor="text1"/>
              </w:rPr>
              <w:t>No ICU readmission</w:t>
            </w:r>
            <w:r>
              <w:rPr>
                <w:rFonts w:ascii="Book Antiqua" w:hAnsi="Book Antiqua" w:cstheme="minorHAnsi"/>
                <w:b/>
                <w:bCs/>
                <w:color w:val="000000" w:themeColor="text1"/>
                <w:lang w:eastAsia="zh-CN"/>
              </w:rPr>
              <w:t xml:space="preserve"> </w:t>
            </w:r>
            <w:r>
              <w:rPr>
                <w:rFonts w:ascii="Book Antiqua" w:hAnsi="Book Antiqua" w:cstheme="minorHAnsi"/>
                <w:b/>
                <w:bCs/>
                <w:color w:val="000000" w:themeColor="text1"/>
              </w:rPr>
              <w:t>(N = 268), %</w:t>
            </w:r>
          </w:p>
        </w:tc>
        <w:tc>
          <w:tcPr>
            <w:tcW w:w="1843" w:type="dxa"/>
            <w:gridSpan w:val="2"/>
            <w:tcBorders>
              <w:top w:val="single" w:sz="4" w:space="0" w:color="auto"/>
              <w:left w:val="nil"/>
              <w:bottom w:val="single" w:sz="4" w:space="0" w:color="auto"/>
              <w:right w:val="nil"/>
            </w:tcBorders>
            <w:shd w:val="clear" w:color="auto" w:fill="FFFFFF"/>
            <w:vAlign w:val="bottom"/>
          </w:tcPr>
          <w:p w14:paraId="09E29452" w14:textId="77777777" w:rsidR="00D01483" w:rsidRDefault="007E3D42">
            <w:pPr>
              <w:autoSpaceDE w:val="0"/>
              <w:autoSpaceDN w:val="0"/>
              <w:adjustRightInd w:val="0"/>
              <w:spacing w:line="360" w:lineRule="auto"/>
              <w:ind w:left="60" w:right="60"/>
              <w:jc w:val="both"/>
              <w:rPr>
                <w:rFonts w:ascii="Book Antiqua" w:hAnsi="Book Antiqua" w:cstheme="minorHAnsi"/>
                <w:b/>
                <w:bCs/>
                <w:color w:val="000000" w:themeColor="text1"/>
              </w:rPr>
            </w:pPr>
            <w:r>
              <w:rPr>
                <w:rFonts w:ascii="Book Antiqua" w:hAnsi="Book Antiqua" w:cstheme="minorHAnsi"/>
                <w:b/>
                <w:bCs/>
                <w:color w:val="000000" w:themeColor="text1"/>
              </w:rPr>
              <w:t>ICU readmission</w:t>
            </w:r>
            <w:r>
              <w:rPr>
                <w:rFonts w:ascii="Book Antiqua" w:hAnsi="Book Antiqua" w:cstheme="minorHAnsi"/>
                <w:b/>
                <w:bCs/>
                <w:color w:val="000000" w:themeColor="text1"/>
                <w:lang w:eastAsia="zh-CN"/>
              </w:rPr>
              <w:t xml:space="preserve"> </w:t>
            </w:r>
            <w:r>
              <w:rPr>
                <w:rFonts w:ascii="Book Antiqua" w:hAnsi="Book Antiqua" w:cstheme="minorHAnsi"/>
                <w:b/>
                <w:bCs/>
                <w:color w:val="000000" w:themeColor="text1"/>
              </w:rPr>
              <w:t>(N = 31), %</w:t>
            </w:r>
          </w:p>
        </w:tc>
        <w:tc>
          <w:tcPr>
            <w:tcW w:w="992" w:type="dxa"/>
            <w:tcBorders>
              <w:top w:val="single" w:sz="4" w:space="0" w:color="auto"/>
              <w:left w:val="nil"/>
              <w:bottom w:val="single" w:sz="4" w:space="0" w:color="auto"/>
              <w:right w:val="nil"/>
            </w:tcBorders>
            <w:shd w:val="clear" w:color="auto" w:fill="FFFFFF"/>
          </w:tcPr>
          <w:p w14:paraId="5460C682" w14:textId="77777777" w:rsidR="00D01483" w:rsidRDefault="007E3D42">
            <w:pPr>
              <w:autoSpaceDE w:val="0"/>
              <w:autoSpaceDN w:val="0"/>
              <w:adjustRightInd w:val="0"/>
              <w:spacing w:line="360" w:lineRule="auto"/>
              <w:ind w:left="60" w:right="60"/>
              <w:jc w:val="both"/>
              <w:rPr>
                <w:rFonts w:ascii="Book Antiqua" w:hAnsi="Book Antiqua" w:cstheme="minorHAnsi"/>
                <w:b/>
                <w:bCs/>
                <w:color w:val="000000" w:themeColor="text1"/>
              </w:rPr>
            </w:pPr>
            <w:r>
              <w:rPr>
                <w:rFonts w:ascii="Book Antiqua" w:hAnsi="Book Antiqua" w:cstheme="minorHAnsi"/>
                <w:b/>
                <w:bCs/>
                <w:color w:val="000000" w:themeColor="text1"/>
              </w:rPr>
              <w:t>Test statistic</w:t>
            </w:r>
          </w:p>
        </w:tc>
        <w:tc>
          <w:tcPr>
            <w:tcW w:w="992" w:type="dxa"/>
            <w:tcBorders>
              <w:top w:val="single" w:sz="4" w:space="0" w:color="auto"/>
              <w:left w:val="nil"/>
              <w:bottom w:val="single" w:sz="4" w:space="0" w:color="auto"/>
              <w:right w:val="nil"/>
            </w:tcBorders>
            <w:shd w:val="clear" w:color="auto" w:fill="FFFFFF"/>
          </w:tcPr>
          <w:p w14:paraId="1FAC5653" w14:textId="77777777" w:rsidR="00D01483" w:rsidRDefault="007E3D42">
            <w:pPr>
              <w:autoSpaceDE w:val="0"/>
              <w:autoSpaceDN w:val="0"/>
              <w:adjustRightInd w:val="0"/>
              <w:spacing w:line="360" w:lineRule="auto"/>
              <w:ind w:left="60" w:right="60"/>
              <w:jc w:val="both"/>
              <w:rPr>
                <w:rFonts w:ascii="Book Antiqua" w:hAnsi="Book Antiqua" w:cstheme="minorHAnsi"/>
                <w:b/>
                <w:bCs/>
                <w:color w:val="000000" w:themeColor="text1"/>
              </w:rPr>
            </w:pPr>
            <w:r>
              <w:rPr>
                <w:rFonts w:ascii="Book Antiqua" w:hAnsi="Book Antiqua" w:cstheme="minorHAnsi"/>
                <w:b/>
                <w:bCs/>
                <w:i/>
                <w:color w:val="000000" w:themeColor="text1"/>
              </w:rPr>
              <w:t xml:space="preserve">P </w:t>
            </w:r>
            <w:r>
              <w:rPr>
                <w:rFonts w:ascii="Book Antiqua" w:hAnsi="Book Antiqua" w:cstheme="minorHAnsi"/>
                <w:b/>
                <w:bCs/>
                <w:color w:val="000000" w:themeColor="text1"/>
              </w:rPr>
              <w:t>value</w:t>
            </w:r>
          </w:p>
        </w:tc>
      </w:tr>
      <w:tr w:rsidR="00D01483" w14:paraId="7F568D9E" w14:textId="77777777">
        <w:trPr>
          <w:cantSplit/>
        </w:trPr>
        <w:tc>
          <w:tcPr>
            <w:tcW w:w="3003" w:type="dxa"/>
            <w:gridSpan w:val="2"/>
            <w:tcBorders>
              <w:top w:val="single" w:sz="4" w:space="0" w:color="auto"/>
              <w:left w:val="nil"/>
              <w:bottom w:val="nil"/>
              <w:right w:val="nil"/>
            </w:tcBorders>
            <w:shd w:val="clear" w:color="auto" w:fill="FFFFFF"/>
          </w:tcPr>
          <w:p w14:paraId="74F8101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Age (years);</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mean ± SD (Range)</w:t>
            </w:r>
          </w:p>
        </w:tc>
        <w:tc>
          <w:tcPr>
            <w:tcW w:w="1553" w:type="dxa"/>
            <w:gridSpan w:val="2"/>
            <w:tcBorders>
              <w:top w:val="single" w:sz="4" w:space="0" w:color="auto"/>
              <w:left w:val="nil"/>
              <w:bottom w:val="nil"/>
              <w:right w:val="nil"/>
            </w:tcBorders>
            <w:shd w:val="clear" w:color="auto" w:fill="FFFFFF"/>
          </w:tcPr>
          <w:p w14:paraId="6B8F570A"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49.8 ± 8.6;</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(19.0 - 67.0)</w:t>
            </w:r>
          </w:p>
        </w:tc>
        <w:tc>
          <w:tcPr>
            <w:tcW w:w="2126" w:type="dxa"/>
            <w:gridSpan w:val="2"/>
            <w:tcBorders>
              <w:top w:val="single" w:sz="4" w:space="0" w:color="auto"/>
              <w:left w:val="nil"/>
              <w:bottom w:val="nil"/>
              <w:right w:val="nil"/>
            </w:tcBorders>
            <w:shd w:val="clear" w:color="auto" w:fill="FFFFFF"/>
          </w:tcPr>
          <w:p w14:paraId="750B1C7B"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49.4 ± 8.8;</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(19.0 - 67.0)</w:t>
            </w:r>
          </w:p>
        </w:tc>
        <w:tc>
          <w:tcPr>
            <w:tcW w:w="1843" w:type="dxa"/>
            <w:gridSpan w:val="2"/>
            <w:tcBorders>
              <w:top w:val="single" w:sz="4" w:space="0" w:color="auto"/>
              <w:left w:val="nil"/>
              <w:bottom w:val="nil"/>
              <w:right w:val="nil"/>
            </w:tcBorders>
            <w:shd w:val="clear" w:color="auto" w:fill="FFFFFF"/>
          </w:tcPr>
          <w:p w14:paraId="465092A5"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53.0 ± 5.1;</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(42.0 - 64.0)</w:t>
            </w:r>
          </w:p>
        </w:tc>
        <w:tc>
          <w:tcPr>
            <w:tcW w:w="992" w:type="dxa"/>
            <w:tcBorders>
              <w:top w:val="single" w:sz="4" w:space="0" w:color="auto"/>
              <w:left w:val="nil"/>
              <w:bottom w:val="nil"/>
              <w:right w:val="nil"/>
            </w:tcBorders>
            <w:shd w:val="clear" w:color="auto" w:fill="FFFFFF"/>
          </w:tcPr>
          <w:p w14:paraId="1C16967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3.381</w:t>
            </w:r>
            <w:r>
              <w:rPr>
                <w:rFonts w:ascii="Book Antiqua" w:hAnsi="Book Antiqua" w:cstheme="minorHAnsi"/>
                <w:color w:val="000000" w:themeColor="text1"/>
                <w:vertAlign w:val="superscript"/>
              </w:rPr>
              <w:t>a</w:t>
            </w:r>
          </w:p>
        </w:tc>
        <w:tc>
          <w:tcPr>
            <w:tcW w:w="992" w:type="dxa"/>
            <w:tcBorders>
              <w:top w:val="single" w:sz="4" w:space="0" w:color="auto"/>
              <w:left w:val="nil"/>
              <w:bottom w:val="nil"/>
              <w:right w:val="nil"/>
            </w:tcBorders>
            <w:shd w:val="clear" w:color="auto" w:fill="FFFFFF"/>
          </w:tcPr>
          <w:p w14:paraId="2996200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0.001</w:t>
            </w:r>
            <w:r>
              <w:rPr>
                <w:rFonts w:ascii="Book Antiqua" w:hAnsi="Book Antiqua" w:cstheme="minorHAnsi"/>
                <w:color w:val="000000" w:themeColor="text1"/>
                <w:vertAlign w:val="superscript"/>
              </w:rPr>
              <w:t>1</w:t>
            </w:r>
          </w:p>
        </w:tc>
      </w:tr>
      <w:tr w:rsidR="00D01483" w14:paraId="6E3AD9FB" w14:textId="77777777">
        <w:trPr>
          <w:cantSplit/>
        </w:trPr>
        <w:tc>
          <w:tcPr>
            <w:tcW w:w="1170" w:type="dxa"/>
            <w:vMerge w:val="restart"/>
            <w:shd w:val="clear" w:color="auto" w:fill="FFFFFF"/>
          </w:tcPr>
          <w:p w14:paraId="3683DCA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Gender</w:t>
            </w:r>
          </w:p>
        </w:tc>
        <w:tc>
          <w:tcPr>
            <w:tcW w:w="1833" w:type="dxa"/>
            <w:shd w:val="clear" w:color="auto" w:fill="FFFFFF"/>
          </w:tcPr>
          <w:p w14:paraId="7BB424F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Female</w:t>
            </w:r>
          </w:p>
        </w:tc>
        <w:tc>
          <w:tcPr>
            <w:tcW w:w="562" w:type="dxa"/>
            <w:shd w:val="clear" w:color="auto" w:fill="FFFFFF"/>
          </w:tcPr>
          <w:p w14:paraId="48FB0A1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45</w:t>
            </w:r>
          </w:p>
        </w:tc>
        <w:tc>
          <w:tcPr>
            <w:tcW w:w="991" w:type="dxa"/>
            <w:shd w:val="clear" w:color="auto" w:fill="FFFFFF"/>
          </w:tcPr>
          <w:p w14:paraId="61BE359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15.1</w:t>
            </w:r>
          </w:p>
        </w:tc>
        <w:tc>
          <w:tcPr>
            <w:tcW w:w="567" w:type="dxa"/>
            <w:shd w:val="clear" w:color="auto" w:fill="FFFFFF"/>
          </w:tcPr>
          <w:p w14:paraId="591A047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36</w:t>
            </w:r>
          </w:p>
        </w:tc>
        <w:tc>
          <w:tcPr>
            <w:tcW w:w="1559" w:type="dxa"/>
            <w:shd w:val="clear" w:color="auto" w:fill="FFFFFF"/>
          </w:tcPr>
          <w:p w14:paraId="562B498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13.4</w:t>
            </w:r>
          </w:p>
        </w:tc>
        <w:tc>
          <w:tcPr>
            <w:tcW w:w="567" w:type="dxa"/>
            <w:shd w:val="clear" w:color="auto" w:fill="FFFFFF"/>
          </w:tcPr>
          <w:p w14:paraId="55B0FEF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9</w:t>
            </w:r>
          </w:p>
        </w:tc>
        <w:tc>
          <w:tcPr>
            <w:tcW w:w="1276" w:type="dxa"/>
            <w:shd w:val="clear" w:color="auto" w:fill="FFFFFF"/>
          </w:tcPr>
          <w:p w14:paraId="0231F65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29.0</w:t>
            </w:r>
          </w:p>
        </w:tc>
        <w:tc>
          <w:tcPr>
            <w:tcW w:w="992" w:type="dxa"/>
            <w:vMerge w:val="restart"/>
            <w:shd w:val="clear" w:color="auto" w:fill="FFFFFF"/>
          </w:tcPr>
          <w:p w14:paraId="51C337D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vMerge w:val="restart"/>
            <w:shd w:val="clear" w:color="auto" w:fill="FFFFFF"/>
          </w:tcPr>
          <w:p w14:paraId="49416E8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0.032</w:t>
            </w:r>
            <w:r>
              <w:rPr>
                <w:rFonts w:ascii="Book Antiqua" w:hAnsi="Book Antiqua" w:cstheme="minorHAnsi"/>
                <w:color w:val="000000" w:themeColor="text1"/>
                <w:vertAlign w:val="superscript"/>
              </w:rPr>
              <w:t>1</w:t>
            </w:r>
          </w:p>
        </w:tc>
      </w:tr>
      <w:tr w:rsidR="00D01483" w14:paraId="7BB9DA2B" w14:textId="77777777">
        <w:trPr>
          <w:cantSplit/>
        </w:trPr>
        <w:tc>
          <w:tcPr>
            <w:tcW w:w="3003" w:type="dxa"/>
            <w:vMerge/>
            <w:vAlign w:val="center"/>
          </w:tcPr>
          <w:p w14:paraId="62C96C51" w14:textId="77777777" w:rsidR="00D01483" w:rsidRDefault="00D01483">
            <w:pPr>
              <w:spacing w:line="360" w:lineRule="auto"/>
              <w:jc w:val="both"/>
              <w:rPr>
                <w:rFonts w:ascii="Book Antiqua" w:hAnsi="Book Antiqua" w:cstheme="minorHAnsi"/>
                <w:color w:val="000000" w:themeColor="text1"/>
              </w:rPr>
            </w:pPr>
          </w:p>
        </w:tc>
        <w:tc>
          <w:tcPr>
            <w:tcW w:w="1833" w:type="dxa"/>
            <w:shd w:val="clear" w:color="auto" w:fill="FFFFFF"/>
          </w:tcPr>
          <w:p w14:paraId="644D3C4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Male</w:t>
            </w:r>
          </w:p>
        </w:tc>
        <w:tc>
          <w:tcPr>
            <w:tcW w:w="562" w:type="dxa"/>
            <w:shd w:val="clear" w:color="auto" w:fill="FFFFFF"/>
          </w:tcPr>
          <w:p w14:paraId="020DB23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254</w:t>
            </w:r>
          </w:p>
        </w:tc>
        <w:tc>
          <w:tcPr>
            <w:tcW w:w="991" w:type="dxa"/>
            <w:shd w:val="clear" w:color="auto" w:fill="FFFFFF"/>
          </w:tcPr>
          <w:p w14:paraId="627A42E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84.9</w:t>
            </w:r>
          </w:p>
        </w:tc>
        <w:tc>
          <w:tcPr>
            <w:tcW w:w="567" w:type="dxa"/>
            <w:shd w:val="clear" w:color="auto" w:fill="FFFFFF"/>
          </w:tcPr>
          <w:p w14:paraId="0765020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232</w:t>
            </w:r>
          </w:p>
        </w:tc>
        <w:tc>
          <w:tcPr>
            <w:tcW w:w="1559" w:type="dxa"/>
            <w:shd w:val="clear" w:color="auto" w:fill="FFFFFF"/>
          </w:tcPr>
          <w:p w14:paraId="490C28F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86.6</w:t>
            </w:r>
          </w:p>
        </w:tc>
        <w:tc>
          <w:tcPr>
            <w:tcW w:w="567" w:type="dxa"/>
            <w:shd w:val="clear" w:color="auto" w:fill="FFFFFF"/>
          </w:tcPr>
          <w:p w14:paraId="728CD58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22</w:t>
            </w:r>
          </w:p>
        </w:tc>
        <w:tc>
          <w:tcPr>
            <w:tcW w:w="1276" w:type="dxa"/>
            <w:shd w:val="clear" w:color="auto" w:fill="FFFFFF"/>
          </w:tcPr>
          <w:p w14:paraId="1FE7E28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71.0</w:t>
            </w:r>
          </w:p>
        </w:tc>
        <w:tc>
          <w:tcPr>
            <w:tcW w:w="992" w:type="dxa"/>
            <w:vMerge/>
            <w:vAlign w:val="center"/>
          </w:tcPr>
          <w:p w14:paraId="1DE90F29" w14:textId="77777777" w:rsidR="00D01483" w:rsidRDefault="00D01483">
            <w:pPr>
              <w:spacing w:line="360" w:lineRule="auto"/>
              <w:jc w:val="both"/>
              <w:rPr>
                <w:rFonts w:ascii="Book Antiqua" w:hAnsi="Book Antiqua" w:cstheme="minorHAnsi"/>
                <w:color w:val="000000" w:themeColor="text1"/>
              </w:rPr>
            </w:pPr>
          </w:p>
        </w:tc>
        <w:tc>
          <w:tcPr>
            <w:tcW w:w="992" w:type="dxa"/>
            <w:vMerge/>
            <w:vAlign w:val="center"/>
          </w:tcPr>
          <w:p w14:paraId="10F75663" w14:textId="77777777" w:rsidR="00D01483" w:rsidRDefault="00D01483">
            <w:pPr>
              <w:spacing w:line="360" w:lineRule="auto"/>
              <w:jc w:val="both"/>
              <w:rPr>
                <w:rFonts w:ascii="Book Antiqua" w:hAnsi="Book Antiqua" w:cstheme="minorHAnsi"/>
                <w:color w:val="000000" w:themeColor="text1"/>
              </w:rPr>
            </w:pPr>
          </w:p>
        </w:tc>
      </w:tr>
      <w:tr w:rsidR="00D01483" w14:paraId="73884773" w14:textId="77777777">
        <w:trPr>
          <w:cantSplit/>
        </w:trPr>
        <w:tc>
          <w:tcPr>
            <w:tcW w:w="3003" w:type="dxa"/>
            <w:gridSpan w:val="2"/>
            <w:shd w:val="clear" w:color="auto" w:fill="FFFFFF"/>
          </w:tcPr>
          <w:p w14:paraId="23F3AB65" w14:textId="77777777" w:rsidR="00D01483" w:rsidRDefault="007E3D42">
            <w:pPr>
              <w:autoSpaceDE w:val="0"/>
              <w:autoSpaceDN w:val="0"/>
              <w:adjustRightIn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BMI (Kg/m</w:t>
            </w:r>
            <w:r>
              <w:rPr>
                <w:rFonts w:ascii="Book Antiqua" w:hAnsi="Book Antiqua" w:cstheme="minorHAnsi"/>
                <w:color w:val="000000" w:themeColor="text1"/>
                <w:vertAlign w:val="superscript"/>
              </w:rPr>
              <w:t>2</w:t>
            </w:r>
            <w:r>
              <w:rPr>
                <w:rFonts w:ascii="Book Antiqua" w:hAnsi="Book Antiqua" w:cstheme="minorHAnsi"/>
                <w:color w:val="000000" w:themeColor="text1"/>
              </w:rPr>
              <w:t>);</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mean ± SD (Range)</w:t>
            </w:r>
          </w:p>
        </w:tc>
        <w:tc>
          <w:tcPr>
            <w:tcW w:w="1553" w:type="dxa"/>
            <w:gridSpan w:val="2"/>
            <w:shd w:val="clear" w:color="auto" w:fill="FFFFFF"/>
          </w:tcPr>
          <w:p w14:paraId="5602FA43"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28.4 ± 4.3;</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(18.5 - 52.9)</w:t>
            </w:r>
          </w:p>
        </w:tc>
        <w:tc>
          <w:tcPr>
            <w:tcW w:w="2126" w:type="dxa"/>
            <w:gridSpan w:val="2"/>
            <w:shd w:val="clear" w:color="auto" w:fill="FFFFFF"/>
          </w:tcPr>
          <w:p w14:paraId="4B47BB80"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28.2 ± 4.0;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(18.5 - 42.0)</w:t>
            </w:r>
          </w:p>
        </w:tc>
        <w:tc>
          <w:tcPr>
            <w:tcW w:w="1843" w:type="dxa"/>
            <w:gridSpan w:val="2"/>
            <w:shd w:val="clear" w:color="auto" w:fill="FFFFFF"/>
          </w:tcPr>
          <w:p w14:paraId="19F0EB34"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29.4 ± 6.5;</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(20.6 - 52.9)</w:t>
            </w:r>
          </w:p>
        </w:tc>
        <w:tc>
          <w:tcPr>
            <w:tcW w:w="992" w:type="dxa"/>
            <w:shd w:val="clear" w:color="auto" w:fill="FFFFFF"/>
          </w:tcPr>
          <w:p w14:paraId="4A7BEB3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0.936</w:t>
            </w:r>
            <w:r>
              <w:rPr>
                <w:rFonts w:ascii="Book Antiqua" w:hAnsi="Book Antiqua" w:cstheme="minorHAnsi"/>
                <w:color w:val="000000" w:themeColor="text1"/>
                <w:vertAlign w:val="superscript"/>
              </w:rPr>
              <w:t>a</w:t>
            </w:r>
          </w:p>
        </w:tc>
        <w:tc>
          <w:tcPr>
            <w:tcW w:w="992" w:type="dxa"/>
            <w:shd w:val="clear" w:color="auto" w:fill="FFFFFF"/>
          </w:tcPr>
          <w:p w14:paraId="0EFBF8E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0.356</w:t>
            </w:r>
          </w:p>
        </w:tc>
      </w:tr>
      <w:tr w:rsidR="00D01483" w14:paraId="3016AC53" w14:textId="77777777">
        <w:trPr>
          <w:cantSplit/>
        </w:trPr>
        <w:tc>
          <w:tcPr>
            <w:tcW w:w="3003" w:type="dxa"/>
            <w:gridSpan w:val="2"/>
            <w:shd w:val="clear" w:color="auto" w:fill="FFFFFF"/>
          </w:tcPr>
          <w:p w14:paraId="4E29F3F3" w14:textId="77777777" w:rsidR="00D01483" w:rsidRDefault="007E3D42">
            <w:pPr>
              <w:autoSpaceDE w:val="0"/>
              <w:autoSpaceDN w:val="0"/>
              <w:adjustRightIn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MELD score;</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Median [IQR] (Range)</w:t>
            </w:r>
          </w:p>
        </w:tc>
        <w:tc>
          <w:tcPr>
            <w:tcW w:w="1553" w:type="dxa"/>
            <w:gridSpan w:val="2"/>
            <w:shd w:val="clear" w:color="auto" w:fill="FFFFFF"/>
          </w:tcPr>
          <w:p w14:paraId="3A807DC8"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16.0; [13.0 – 18.0]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(6.0 - 29.0)</w:t>
            </w:r>
          </w:p>
        </w:tc>
        <w:tc>
          <w:tcPr>
            <w:tcW w:w="2126" w:type="dxa"/>
            <w:gridSpan w:val="2"/>
            <w:shd w:val="clear" w:color="auto" w:fill="FFFFFF"/>
          </w:tcPr>
          <w:p w14:paraId="6E662696"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16.0; [13.0 -18.0]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(6.0 - 29.0)</w:t>
            </w:r>
          </w:p>
        </w:tc>
        <w:tc>
          <w:tcPr>
            <w:tcW w:w="1843" w:type="dxa"/>
            <w:gridSpan w:val="2"/>
            <w:shd w:val="clear" w:color="auto" w:fill="FFFFFF"/>
          </w:tcPr>
          <w:p w14:paraId="5FE34CE4"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15.0; [12.0 – 20.0] (7.0 - 28.0)</w:t>
            </w:r>
          </w:p>
        </w:tc>
        <w:tc>
          <w:tcPr>
            <w:tcW w:w="992" w:type="dxa"/>
            <w:shd w:val="clear" w:color="auto" w:fill="FFFFFF"/>
          </w:tcPr>
          <w:p w14:paraId="2E099F2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0.538</w:t>
            </w:r>
            <w:r>
              <w:rPr>
                <w:rFonts w:ascii="Book Antiqua" w:hAnsi="Book Antiqua" w:cstheme="minorHAnsi"/>
                <w:color w:val="000000" w:themeColor="text1"/>
                <w:vertAlign w:val="superscript"/>
              </w:rPr>
              <w:t>b</w:t>
            </w:r>
          </w:p>
        </w:tc>
        <w:tc>
          <w:tcPr>
            <w:tcW w:w="992" w:type="dxa"/>
            <w:shd w:val="clear" w:color="auto" w:fill="FFFFFF"/>
          </w:tcPr>
          <w:p w14:paraId="422C146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0.590</w:t>
            </w:r>
          </w:p>
        </w:tc>
      </w:tr>
      <w:tr w:rsidR="00D01483" w14:paraId="197FD165" w14:textId="77777777">
        <w:trPr>
          <w:cantSplit/>
        </w:trPr>
        <w:tc>
          <w:tcPr>
            <w:tcW w:w="3003" w:type="dxa"/>
            <w:gridSpan w:val="2"/>
            <w:shd w:val="clear" w:color="auto" w:fill="FFFFFF"/>
          </w:tcPr>
          <w:p w14:paraId="70DDB2E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Positive medical history</w:t>
            </w:r>
          </w:p>
        </w:tc>
        <w:tc>
          <w:tcPr>
            <w:tcW w:w="562" w:type="dxa"/>
            <w:shd w:val="clear" w:color="auto" w:fill="FFFFFF"/>
          </w:tcPr>
          <w:p w14:paraId="042473E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103</w:t>
            </w:r>
          </w:p>
        </w:tc>
        <w:tc>
          <w:tcPr>
            <w:tcW w:w="991" w:type="dxa"/>
            <w:shd w:val="clear" w:color="auto" w:fill="FFFFFF"/>
          </w:tcPr>
          <w:p w14:paraId="05800D4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34.4</w:t>
            </w:r>
          </w:p>
        </w:tc>
        <w:tc>
          <w:tcPr>
            <w:tcW w:w="567" w:type="dxa"/>
            <w:shd w:val="clear" w:color="auto" w:fill="FFFFFF"/>
          </w:tcPr>
          <w:p w14:paraId="1C8985B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86</w:t>
            </w:r>
          </w:p>
        </w:tc>
        <w:tc>
          <w:tcPr>
            <w:tcW w:w="1559" w:type="dxa"/>
            <w:shd w:val="clear" w:color="auto" w:fill="FFFFFF"/>
          </w:tcPr>
          <w:p w14:paraId="62DC07D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32.1</w:t>
            </w:r>
          </w:p>
        </w:tc>
        <w:tc>
          <w:tcPr>
            <w:tcW w:w="567" w:type="dxa"/>
            <w:shd w:val="clear" w:color="auto" w:fill="FFFFFF"/>
          </w:tcPr>
          <w:p w14:paraId="2E26743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17</w:t>
            </w:r>
          </w:p>
        </w:tc>
        <w:tc>
          <w:tcPr>
            <w:tcW w:w="1276" w:type="dxa"/>
            <w:shd w:val="clear" w:color="auto" w:fill="FFFFFF"/>
          </w:tcPr>
          <w:p w14:paraId="14452E0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54.8</w:t>
            </w:r>
          </w:p>
        </w:tc>
        <w:tc>
          <w:tcPr>
            <w:tcW w:w="992" w:type="dxa"/>
            <w:shd w:val="clear" w:color="auto" w:fill="FFFFFF"/>
          </w:tcPr>
          <w:p w14:paraId="3D03D0C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566C72E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1.000</w:t>
            </w:r>
          </w:p>
        </w:tc>
      </w:tr>
      <w:tr w:rsidR="00D01483" w14:paraId="20F49907" w14:textId="77777777">
        <w:trPr>
          <w:cantSplit/>
        </w:trPr>
        <w:tc>
          <w:tcPr>
            <w:tcW w:w="1170" w:type="dxa"/>
            <w:vMerge w:val="restart"/>
            <w:shd w:val="clear" w:color="auto" w:fill="FFFFFF"/>
          </w:tcPr>
          <w:p w14:paraId="5790D73F"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c>
          <w:tcPr>
            <w:tcW w:w="1833" w:type="dxa"/>
            <w:shd w:val="clear" w:color="auto" w:fill="FFFFFF"/>
          </w:tcPr>
          <w:p w14:paraId="6A9E77A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DM</w:t>
            </w:r>
          </w:p>
        </w:tc>
        <w:tc>
          <w:tcPr>
            <w:tcW w:w="562" w:type="dxa"/>
            <w:shd w:val="clear" w:color="auto" w:fill="FFFFFF"/>
          </w:tcPr>
          <w:p w14:paraId="5C60635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79</w:t>
            </w:r>
          </w:p>
        </w:tc>
        <w:tc>
          <w:tcPr>
            <w:tcW w:w="991" w:type="dxa"/>
            <w:shd w:val="clear" w:color="auto" w:fill="FFFFFF"/>
          </w:tcPr>
          <w:p w14:paraId="78CF99C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26.4</w:t>
            </w:r>
          </w:p>
        </w:tc>
        <w:tc>
          <w:tcPr>
            <w:tcW w:w="567" w:type="dxa"/>
            <w:shd w:val="clear" w:color="auto" w:fill="FFFFFF"/>
          </w:tcPr>
          <w:p w14:paraId="4F4B68B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66</w:t>
            </w:r>
          </w:p>
        </w:tc>
        <w:tc>
          <w:tcPr>
            <w:tcW w:w="1559" w:type="dxa"/>
            <w:shd w:val="clear" w:color="auto" w:fill="FFFFFF"/>
          </w:tcPr>
          <w:p w14:paraId="1AFC42D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24.6</w:t>
            </w:r>
          </w:p>
        </w:tc>
        <w:tc>
          <w:tcPr>
            <w:tcW w:w="567" w:type="dxa"/>
            <w:shd w:val="clear" w:color="auto" w:fill="FFFFFF"/>
          </w:tcPr>
          <w:p w14:paraId="5A9C10B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13</w:t>
            </w:r>
          </w:p>
        </w:tc>
        <w:tc>
          <w:tcPr>
            <w:tcW w:w="1276" w:type="dxa"/>
            <w:shd w:val="clear" w:color="auto" w:fill="FFFFFF"/>
          </w:tcPr>
          <w:p w14:paraId="3039E63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41.9</w:t>
            </w:r>
          </w:p>
        </w:tc>
        <w:tc>
          <w:tcPr>
            <w:tcW w:w="992" w:type="dxa"/>
            <w:shd w:val="clear" w:color="auto" w:fill="FFFFFF"/>
          </w:tcPr>
          <w:p w14:paraId="3841AC7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4.282</w:t>
            </w:r>
            <w:r>
              <w:rPr>
                <w:rFonts w:ascii="Book Antiqua" w:hAnsi="Book Antiqua" w:cstheme="minorHAnsi"/>
                <w:color w:val="000000" w:themeColor="text1"/>
                <w:vertAlign w:val="superscript"/>
              </w:rPr>
              <w:t>c</w:t>
            </w:r>
          </w:p>
        </w:tc>
        <w:tc>
          <w:tcPr>
            <w:tcW w:w="992" w:type="dxa"/>
            <w:shd w:val="clear" w:color="auto" w:fill="FFFFFF"/>
          </w:tcPr>
          <w:p w14:paraId="4A830F7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0.039</w:t>
            </w:r>
            <w:r>
              <w:rPr>
                <w:rFonts w:ascii="Book Antiqua" w:hAnsi="Book Antiqua" w:cstheme="minorHAnsi"/>
                <w:color w:val="000000" w:themeColor="text1"/>
                <w:vertAlign w:val="superscript"/>
              </w:rPr>
              <w:t>1</w:t>
            </w:r>
          </w:p>
        </w:tc>
      </w:tr>
      <w:tr w:rsidR="00D01483" w14:paraId="03D69C8B" w14:textId="77777777">
        <w:trPr>
          <w:cantSplit/>
        </w:trPr>
        <w:tc>
          <w:tcPr>
            <w:tcW w:w="3003" w:type="dxa"/>
            <w:vMerge/>
            <w:vAlign w:val="center"/>
          </w:tcPr>
          <w:p w14:paraId="629F6ABF" w14:textId="77777777" w:rsidR="00D01483" w:rsidRDefault="00D01483">
            <w:pPr>
              <w:spacing w:line="360" w:lineRule="auto"/>
              <w:jc w:val="both"/>
              <w:rPr>
                <w:rFonts w:ascii="Book Antiqua" w:hAnsi="Book Antiqua" w:cstheme="minorHAnsi"/>
                <w:color w:val="000000" w:themeColor="text1"/>
              </w:rPr>
            </w:pPr>
          </w:p>
        </w:tc>
        <w:tc>
          <w:tcPr>
            <w:tcW w:w="1833" w:type="dxa"/>
            <w:shd w:val="clear" w:color="auto" w:fill="FFFFFF"/>
          </w:tcPr>
          <w:p w14:paraId="18CF0CF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Hypertension</w:t>
            </w:r>
          </w:p>
        </w:tc>
        <w:tc>
          <w:tcPr>
            <w:tcW w:w="562" w:type="dxa"/>
            <w:shd w:val="clear" w:color="auto" w:fill="FFFFFF"/>
          </w:tcPr>
          <w:p w14:paraId="5A31F31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24</w:t>
            </w:r>
          </w:p>
        </w:tc>
        <w:tc>
          <w:tcPr>
            <w:tcW w:w="991" w:type="dxa"/>
            <w:shd w:val="clear" w:color="auto" w:fill="FFFFFF"/>
          </w:tcPr>
          <w:p w14:paraId="4947A78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8.0</w:t>
            </w:r>
          </w:p>
        </w:tc>
        <w:tc>
          <w:tcPr>
            <w:tcW w:w="567" w:type="dxa"/>
            <w:shd w:val="clear" w:color="auto" w:fill="FFFFFF"/>
          </w:tcPr>
          <w:p w14:paraId="5CF1B3C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17</w:t>
            </w:r>
          </w:p>
        </w:tc>
        <w:tc>
          <w:tcPr>
            <w:tcW w:w="1559" w:type="dxa"/>
            <w:shd w:val="clear" w:color="auto" w:fill="FFFFFF"/>
          </w:tcPr>
          <w:p w14:paraId="3F8B218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6.3</w:t>
            </w:r>
          </w:p>
        </w:tc>
        <w:tc>
          <w:tcPr>
            <w:tcW w:w="567" w:type="dxa"/>
            <w:shd w:val="clear" w:color="auto" w:fill="FFFFFF"/>
          </w:tcPr>
          <w:p w14:paraId="5791128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7</w:t>
            </w:r>
          </w:p>
        </w:tc>
        <w:tc>
          <w:tcPr>
            <w:tcW w:w="1276" w:type="dxa"/>
            <w:shd w:val="clear" w:color="auto" w:fill="FFFFFF"/>
          </w:tcPr>
          <w:p w14:paraId="7380958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22.6</w:t>
            </w:r>
          </w:p>
        </w:tc>
        <w:tc>
          <w:tcPr>
            <w:tcW w:w="992" w:type="dxa"/>
            <w:shd w:val="clear" w:color="auto" w:fill="FFFFFF"/>
          </w:tcPr>
          <w:p w14:paraId="26F4C5F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175A721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0.006</w:t>
            </w:r>
            <w:r>
              <w:rPr>
                <w:rFonts w:ascii="Book Antiqua" w:hAnsi="Book Antiqua" w:cstheme="minorHAnsi"/>
                <w:color w:val="000000" w:themeColor="text1"/>
                <w:vertAlign w:val="superscript"/>
              </w:rPr>
              <w:t>1</w:t>
            </w:r>
          </w:p>
        </w:tc>
      </w:tr>
      <w:tr w:rsidR="00D01483" w14:paraId="1625F6F8" w14:textId="77777777">
        <w:trPr>
          <w:cantSplit/>
        </w:trPr>
        <w:tc>
          <w:tcPr>
            <w:tcW w:w="3003" w:type="dxa"/>
            <w:vMerge/>
            <w:vAlign w:val="center"/>
          </w:tcPr>
          <w:p w14:paraId="5B4033F8" w14:textId="77777777" w:rsidR="00D01483" w:rsidRDefault="00D01483">
            <w:pPr>
              <w:spacing w:line="360" w:lineRule="auto"/>
              <w:jc w:val="both"/>
              <w:rPr>
                <w:rFonts w:ascii="Book Antiqua" w:hAnsi="Book Antiqua" w:cstheme="minorHAnsi"/>
                <w:color w:val="000000" w:themeColor="text1"/>
              </w:rPr>
            </w:pPr>
          </w:p>
        </w:tc>
        <w:tc>
          <w:tcPr>
            <w:tcW w:w="1833" w:type="dxa"/>
            <w:shd w:val="clear" w:color="auto" w:fill="FFFFFF"/>
          </w:tcPr>
          <w:p w14:paraId="4916A92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Bronchial asthma</w:t>
            </w:r>
          </w:p>
        </w:tc>
        <w:tc>
          <w:tcPr>
            <w:tcW w:w="562" w:type="dxa"/>
            <w:shd w:val="clear" w:color="auto" w:fill="FFFFFF"/>
          </w:tcPr>
          <w:p w14:paraId="0563306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w:t>
            </w:r>
          </w:p>
        </w:tc>
        <w:tc>
          <w:tcPr>
            <w:tcW w:w="991" w:type="dxa"/>
            <w:shd w:val="clear" w:color="auto" w:fill="FFFFFF"/>
          </w:tcPr>
          <w:p w14:paraId="4943C77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w:t>
            </w:r>
          </w:p>
        </w:tc>
        <w:tc>
          <w:tcPr>
            <w:tcW w:w="567" w:type="dxa"/>
            <w:shd w:val="clear" w:color="auto" w:fill="FFFFFF"/>
          </w:tcPr>
          <w:p w14:paraId="4847EBF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w:t>
            </w:r>
          </w:p>
        </w:tc>
        <w:tc>
          <w:tcPr>
            <w:tcW w:w="1559" w:type="dxa"/>
            <w:shd w:val="clear" w:color="auto" w:fill="FFFFFF"/>
          </w:tcPr>
          <w:p w14:paraId="0A34EE8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0.7</w:t>
            </w:r>
          </w:p>
        </w:tc>
        <w:tc>
          <w:tcPr>
            <w:tcW w:w="567" w:type="dxa"/>
            <w:shd w:val="clear" w:color="auto" w:fill="FFFFFF"/>
          </w:tcPr>
          <w:p w14:paraId="2BAF6B9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w:t>
            </w:r>
          </w:p>
        </w:tc>
        <w:tc>
          <w:tcPr>
            <w:tcW w:w="1276" w:type="dxa"/>
            <w:shd w:val="clear" w:color="auto" w:fill="FFFFFF"/>
          </w:tcPr>
          <w:p w14:paraId="03BE47D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3.2</w:t>
            </w:r>
          </w:p>
        </w:tc>
        <w:tc>
          <w:tcPr>
            <w:tcW w:w="992" w:type="dxa"/>
            <w:shd w:val="clear" w:color="auto" w:fill="FFFFFF"/>
          </w:tcPr>
          <w:p w14:paraId="35D68C0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02C68D4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0.281</w:t>
            </w:r>
          </w:p>
        </w:tc>
      </w:tr>
      <w:tr w:rsidR="00D01483" w14:paraId="427F4B25" w14:textId="77777777">
        <w:trPr>
          <w:cantSplit/>
        </w:trPr>
        <w:tc>
          <w:tcPr>
            <w:tcW w:w="3003" w:type="dxa"/>
            <w:vMerge/>
            <w:vAlign w:val="center"/>
          </w:tcPr>
          <w:p w14:paraId="49804157" w14:textId="77777777" w:rsidR="00D01483" w:rsidRDefault="00D01483">
            <w:pPr>
              <w:spacing w:line="360" w:lineRule="auto"/>
              <w:jc w:val="both"/>
              <w:rPr>
                <w:rFonts w:ascii="Book Antiqua" w:hAnsi="Book Antiqua" w:cstheme="minorHAnsi"/>
                <w:color w:val="000000" w:themeColor="text1"/>
              </w:rPr>
            </w:pPr>
          </w:p>
        </w:tc>
        <w:tc>
          <w:tcPr>
            <w:tcW w:w="1833" w:type="dxa"/>
            <w:shd w:val="clear" w:color="auto" w:fill="FFFFFF"/>
          </w:tcPr>
          <w:p w14:paraId="58578EC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IHD</w:t>
            </w:r>
          </w:p>
        </w:tc>
        <w:tc>
          <w:tcPr>
            <w:tcW w:w="562" w:type="dxa"/>
            <w:shd w:val="clear" w:color="auto" w:fill="FFFFFF"/>
          </w:tcPr>
          <w:p w14:paraId="320C6E6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4</w:t>
            </w:r>
          </w:p>
        </w:tc>
        <w:tc>
          <w:tcPr>
            <w:tcW w:w="991" w:type="dxa"/>
            <w:shd w:val="clear" w:color="auto" w:fill="FFFFFF"/>
          </w:tcPr>
          <w:p w14:paraId="21F3918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1.3</w:t>
            </w:r>
          </w:p>
        </w:tc>
        <w:tc>
          <w:tcPr>
            <w:tcW w:w="567" w:type="dxa"/>
            <w:shd w:val="clear" w:color="auto" w:fill="FFFFFF"/>
          </w:tcPr>
          <w:p w14:paraId="1821A48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4</w:t>
            </w:r>
          </w:p>
        </w:tc>
        <w:tc>
          <w:tcPr>
            <w:tcW w:w="1559" w:type="dxa"/>
            <w:shd w:val="clear" w:color="auto" w:fill="FFFFFF"/>
          </w:tcPr>
          <w:p w14:paraId="5DB2B93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1.5</w:t>
            </w:r>
          </w:p>
        </w:tc>
        <w:tc>
          <w:tcPr>
            <w:tcW w:w="567" w:type="dxa"/>
            <w:shd w:val="clear" w:color="auto" w:fill="FFFFFF"/>
          </w:tcPr>
          <w:p w14:paraId="2C7981A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w:t>
            </w:r>
          </w:p>
        </w:tc>
        <w:tc>
          <w:tcPr>
            <w:tcW w:w="1276" w:type="dxa"/>
            <w:shd w:val="clear" w:color="auto" w:fill="FFFFFF"/>
          </w:tcPr>
          <w:p w14:paraId="4C7090E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w:t>
            </w:r>
          </w:p>
        </w:tc>
        <w:tc>
          <w:tcPr>
            <w:tcW w:w="992" w:type="dxa"/>
            <w:shd w:val="clear" w:color="auto" w:fill="FFFFFF"/>
          </w:tcPr>
          <w:p w14:paraId="1572E91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74642F8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1.000</w:t>
            </w:r>
          </w:p>
        </w:tc>
      </w:tr>
      <w:tr w:rsidR="00D01483" w14:paraId="60599D8D" w14:textId="77777777">
        <w:trPr>
          <w:cantSplit/>
        </w:trPr>
        <w:tc>
          <w:tcPr>
            <w:tcW w:w="3003" w:type="dxa"/>
            <w:vMerge/>
            <w:vAlign w:val="center"/>
          </w:tcPr>
          <w:p w14:paraId="287297D8" w14:textId="77777777" w:rsidR="00D01483" w:rsidRDefault="00D01483">
            <w:pPr>
              <w:spacing w:line="360" w:lineRule="auto"/>
              <w:jc w:val="both"/>
              <w:rPr>
                <w:rFonts w:ascii="Book Antiqua" w:hAnsi="Book Antiqua" w:cstheme="minorHAnsi"/>
                <w:color w:val="000000" w:themeColor="text1"/>
              </w:rPr>
            </w:pPr>
          </w:p>
        </w:tc>
        <w:tc>
          <w:tcPr>
            <w:tcW w:w="1833" w:type="dxa"/>
            <w:shd w:val="clear" w:color="auto" w:fill="FFFFFF"/>
          </w:tcPr>
          <w:p w14:paraId="4F38054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Renal</w:t>
            </w:r>
          </w:p>
        </w:tc>
        <w:tc>
          <w:tcPr>
            <w:tcW w:w="562" w:type="dxa"/>
            <w:shd w:val="clear" w:color="auto" w:fill="FFFFFF"/>
          </w:tcPr>
          <w:p w14:paraId="3330078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w:t>
            </w:r>
          </w:p>
        </w:tc>
        <w:tc>
          <w:tcPr>
            <w:tcW w:w="991" w:type="dxa"/>
            <w:shd w:val="clear" w:color="auto" w:fill="FFFFFF"/>
          </w:tcPr>
          <w:p w14:paraId="549EAF5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0.7</w:t>
            </w:r>
          </w:p>
        </w:tc>
        <w:tc>
          <w:tcPr>
            <w:tcW w:w="567" w:type="dxa"/>
            <w:shd w:val="clear" w:color="auto" w:fill="FFFFFF"/>
          </w:tcPr>
          <w:p w14:paraId="66B9BE3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w:t>
            </w:r>
          </w:p>
        </w:tc>
        <w:tc>
          <w:tcPr>
            <w:tcW w:w="1559" w:type="dxa"/>
            <w:shd w:val="clear" w:color="auto" w:fill="FFFFFF"/>
          </w:tcPr>
          <w:p w14:paraId="7EC3893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w:t>
            </w:r>
          </w:p>
        </w:tc>
        <w:tc>
          <w:tcPr>
            <w:tcW w:w="567" w:type="dxa"/>
            <w:shd w:val="clear" w:color="auto" w:fill="FFFFFF"/>
          </w:tcPr>
          <w:p w14:paraId="2E72F9A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w:t>
            </w:r>
          </w:p>
        </w:tc>
        <w:tc>
          <w:tcPr>
            <w:tcW w:w="1276" w:type="dxa"/>
            <w:shd w:val="clear" w:color="auto" w:fill="FFFFFF"/>
          </w:tcPr>
          <w:p w14:paraId="0BDFBE2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6.5</w:t>
            </w:r>
          </w:p>
        </w:tc>
        <w:tc>
          <w:tcPr>
            <w:tcW w:w="992" w:type="dxa"/>
            <w:shd w:val="clear" w:color="auto" w:fill="FFFFFF"/>
          </w:tcPr>
          <w:p w14:paraId="218EB32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7A7B1EC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0.010</w:t>
            </w:r>
            <w:r>
              <w:rPr>
                <w:rFonts w:ascii="Book Antiqua" w:hAnsi="Book Antiqua" w:cstheme="minorHAnsi"/>
                <w:color w:val="000000" w:themeColor="text1"/>
                <w:vertAlign w:val="superscript"/>
              </w:rPr>
              <w:t>1</w:t>
            </w:r>
          </w:p>
        </w:tc>
      </w:tr>
      <w:tr w:rsidR="00D01483" w14:paraId="12E599D8" w14:textId="77777777">
        <w:trPr>
          <w:cantSplit/>
        </w:trPr>
        <w:tc>
          <w:tcPr>
            <w:tcW w:w="3003" w:type="dxa"/>
            <w:vMerge/>
            <w:vAlign w:val="center"/>
          </w:tcPr>
          <w:p w14:paraId="68FE0675" w14:textId="77777777" w:rsidR="00D01483" w:rsidRDefault="00D01483">
            <w:pPr>
              <w:spacing w:line="360" w:lineRule="auto"/>
              <w:jc w:val="both"/>
              <w:rPr>
                <w:rFonts w:ascii="Book Antiqua" w:hAnsi="Book Antiqua" w:cstheme="minorHAnsi"/>
                <w:color w:val="000000" w:themeColor="text1"/>
              </w:rPr>
            </w:pPr>
          </w:p>
        </w:tc>
        <w:tc>
          <w:tcPr>
            <w:tcW w:w="1833" w:type="dxa"/>
            <w:shd w:val="clear" w:color="auto" w:fill="FFFFFF"/>
          </w:tcPr>
          <w:p w14:paraId="744AA75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Bilharziasis</w:t>
            </w:r>
          </w:p>
        </w:tc>
        <w:tc>
          <w:tcPr>
            <w:tcW w:w="562" w:type="dxa"/>
            <w:shd w:val="clear" w:color="auto" w:fill="FFFFFF"/>
          </w:tcPr>
          <w:p w14:paraId="6F02C9E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w:t>
            </w:r>
          </w:p>
        </w:tc>
        <w:tc>
          <w:tcPr>
            <w:tcW w:w="991" w:type="dxa"/>
            <w:shd w:val="clear" w:color="auto" w:fill="FFFFFF"/>
          </w:tcPr>
          <w:p w14:paraId="5909D67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0.7</w:t>
            </w:r>
          </w:p>
        </w:tc>
        <w:tc>
          <w:tcPr>
            <w:tcW w:w="567" w:type="dxa"/>
            <w:shd w:val="clear" w:color="auto" w:fill="FFFFFF"/>
          </w:tcPr>
          <w:p w14:paraId="6975DB8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w:t>
            </w:r>
          </w:p>
        </w:tc>
        <w:tc>
          <w:tcPr>
            <w:tcW w:w="1559" w:type="dxa"/>
            <w:shd w:val="clear" w:color="auto" w:fill="FFFFFF"/>
          </w:tcPr>
          <w:p w14:paraId="69731E9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0.7</w:t>
            </w:r>
          </w:p>
        </w:tc>
        <w:tc>
          <w:tcPr>
            <w:tcW w:w="567" w:type="dxa"/>
            <w:shd w:val="clear" w:color="auto" w:fill="FFFFFF"/>
          </w:tcPr>
          <w:p w14:paraId="00692CD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w:t>
            </w:r>
          </w:p>
        </w:tc>
        <w:tc>
          <w:tcPr>
            <w:tcW w:w="1276" w:type="dxa"/>
            <w:shd w:val="clear" w:color="auto" w:fill="FFFFFF"/>
          </w:tcPr>
          <w:p w14:paraId="5DEA37D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w:t>
            </w:r>
          </w:p>
        </w:tc>
        <w:tc>
          <w:tcPr>
            <w:tcW w:w="992" w:type="dxa"/>
            <w:shd w:val="clear" w:color="auto" w:fill="FFFFFF"/>
          </w:tcPr>
          <w:p w14:paraId="7D6CA64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4C34712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1.000</w:t>
            </w:r>
          </w:p>
        </w:tc>
      </w:tr>
      <w:tr w:rsidR="00D01483" w14:paraId="1A06E747" w14:textId="77777777">
        <w:trPr>
          <w:cantSplit/>
        </w:trPr>
        <w:tc>
          <w:tcPr>
            <w:tcW w:w="3003" w:type="dxa"/>
            <w:vMerge/>
            <w:vAlign w:val="center"/>
          </w:tcPr>
          <w:p w14:paraId="0D4BC18C" w14:textId="77777777" w:rsidR="00D01483" w:rsidRDefault="00D01483">
            <w:pPr>
              <w:spacing w:line="360" w:lineRule="auto"/>
              <w:jc w:val="both"/>
              <w:rPr>
                <w:rFonts w:ascii="Book Antiqua" w:hAnsi="Book Antiqua" w:cstheme="minorHAnsi"/>
                <w:color w:val="000000" w:themeColor="text1"/>
              </w:rPr>
            </w:pPr>
          </w:p>
        </w:tc>
        <w:tc>
          <w:tcPr>
            <w:tcW w:w="1833" w:type="dxa"/>
            <w:shd w:val="clear" w:color="auto" w:fill="FFFFFF"/>
          </w:tcPr>
          <w:p w14:paraId="2E4CD5A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Others</w:t>
            </w:r>
          </w:p>
        </w:tc>
        <w:tc>
          <w:tcPr>
            <w:tcW w:w="562" w:type="dxa"/>
            <w:shd w:val="clear" w:color="auto" w:fill="FFFFFF"/>
          </w:tcPr>
          <w:p w14:paraId="54AE221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9</w:t>
            </w:r>
          </w:p>
        </w:tc>
        <w:tc>
          <w:tcPr>
            <w:tcW w:w="991" w:type="dxa"/>
            <w:shd w:val="clear" w:color="auto" w:fill="FFFFFF"/>
          </w:tcPr>
          <w:p w14:paraId="375DC64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3.0</w:t>
            </w:r>
          </w:p>
        </w:tc>
        <w:tc>
          <w:tcPr>
            <w:tcW w:w="567" w:type="dxa"/>
            <w:shd w:val="clear" w:color="auto" w:fill="FFFFFF"/>
          </w:tcPr>
          <w:p w14:paraId="238DA04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8</w:t>
            </w:r>
          </w:p>
        </w:tc>
        <w:tc>
          <w:tcPr>
            <w:tcW w:w="1559" w:type="dxa"/>
            <w:shd w:val="clear" w:color="auto" w:fill="FFFFFF"/>
          </w:tcPr>
          <w:p w14:paraId="0B4A02D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3.0</w:t>
            </w:r>
          </w:p>
        </w:tc>
        <w:tc>
          <w:tcPr>
            <w:tcW w:w="567" w:type="dxa"/>
            <w:shd w:val="clear" w:color="auto" w:fill="FFFFFF"/>
          </w:tcPr>
          <w:p w14:paraId="315B6CB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w:t>
            </w:r>
          </w:p>
        </w:tc>
        <w:tc>
          <w:tcPr>
            <w:tcW w:w="1276" w:type="dxa"/>
            <w:shd w:val="clear" w:color="auto" w:fill="FFFFFF"/>
          </w:tcPr>
          <w:p w14:paraId="1B6658F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3.2</w:t>
            </w:r>
          </w:p>
        </w:tc>
        <w:tc>
          <w:tcPr>
            <w:tcW w:w="992" w:type="dxa"/>
            <w:shd w:val="clear" w:color="auto" w:fill="FFFFFF"/>
          </w:tcPr>
          <w:p w14:paraId="406F9CD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14E1159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1.000</w:t>
            </w:r>
          </w:p>
        </w:tc>
      </w:tr>
      <w:tr w:rsidR="00D01483" w14:paraId="1E033519" w14:textId="77777777">
        <w:trPr>
          <w:cantSplit/>
        </w:trPr>
        <w:tc>
          <w:tcPr>
            <w:tcW w:w="1170" w:type="dxa"/>
            <w:vMerge w:val="restart"/>
            <w:shd w:val="clear" w:color="auto" w:fill="FFFFFF"/>
          </w:tcPr>
          <w:p w14:paraId="15E34DF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Diagnosis</w:t>
            </w:r>
          </w:p>
        </w:tc>
        <w:tc>
          <w:tcPr>
            <w:tcW w:w="1833" w:type="dxa"/>
            <w:shd w:val="clear" w:color="auto" w:fill="FFFFFF"/>
          </w:tcPr>
          <w:p w14:paraId="4C328E9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AIH</w:t>
            </w:r>
          </w:p>
        </w:tc>
        <w:tc>
          <w:tcPr>
            <w:tcW w:w="562" w:type="dxa"/>
            <w:shd w:val="clear" w:color="auto" w:fill="FFFFFF"/>
          </w:tcPr>
          <w:p w14:paraId="4A940CF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w:t>
            </w:r>
          </w:p>
        </w:tc>
        <w:tc>
          <w:tcPr>
            <w:tcW w:w="991" w:type="dxa"/>
            <w:shd w:val="clear" w:color="auto" w:fill="FFFFFF"/>
          </w:tcPr>
          <w:p w14:paraId="2CC34E9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3.3</w:t>
            </w:r>
          </w:p>
        </w:tc>
        <w:tc>
          <w:tcPr>
            <w:tcW w:w="567" w:type="dxa"/>
            <w:shd w:val="clear" w:color="auto" w:fill="FFFFFF"/>
          </w:tcPr>
          <w:p w14:paraId="5BAA699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w:t>
            </w:r>
          </w:p>
        </w:tc>
        <w:tc>
          <w:tcPr>
            <w:tcW w:w="1559" w:type="dxa"/>
            <w:shd w:val="clear" w:color="auto" w:fill="FFFFFF"/>
          </w:tcPr>
          <w:p w14:paraId="33A1C04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3.7</w:t>
            </w:r>
          </w:p>
        </w:tc>
        <w:tc>
          <w:tcPr>
            <w:tcW w:w="567" w:type="dxa"/>
            <w:shd w:val="clear" w:color="auto" w:fill="FFFFFF"/>
          </w:tcPr>
          <w:p w14:paraId="5F5AA91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w:t>
            </w:r>
          </w:p>
        </w:tc>
        <w:tc>
          <w:tcPr>
            <w:tcW w:w="1276" w:type="dxa"/>
            <w:shd w:val="clear" w:color="auto" w:fill="FFFFFF"/>
          </w:tcPr>
          <w:p w14:paraId="3415481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w:t>
            </w:r>
          </w:p>
        </w:tc>
        <w:tc>
          <w:tcPr>
            <w:tcW w:w="992" w:type="dxa"/>
            <w:shd w:val="clear" w:color="auto" w:fill="FFFFFF"/>
          </w:tcPr>
          <w:p w14:paraId="2F7AB24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1116428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0.606</w:t>
            </w:r>
          </w:p>
        </w:tc>
      </w:tr>
      <w:tr w:rsidR="00D01483" w14:paraId="3A8DD967" w14:textId="77777777">
        <w:trPr>
          <w:cantSplit/>
        </w:trPr>
        <w:tc>
          <w:tcPr>
            <w:tcW w:w="3003" w:type="dxa"/>
            <w:vMerge/>
            <w:vAlign w:val="center"/>
          </w:tcPr>
          <w:p w14:paraId="7C18C3D0" w14:textId="77777777" w:rsidR="00D01483" w:rsidRDefault="00D01483">
            <w:pPr>
              <w:spacing w:line="360" w:lineRule="auto"/>
              <w:jc w:val="both"/>
              <w:rPr>
                <w:rFonts w:ascii="Book Antiqua" w:hAnsi="Book Antiqua" w:cstheme="minorHAnsi"/>
                <w:color w:val="000000" w:themeColor="text1"/>
              </w:rPr>
            </w:pPr>
          </w:p>
        </w:tc>
        <w:tc>
          <w:tcPr>
            <w:tcW w:w="1833" w:type="dxa"/>
            <w:shd w:val="clear" w:color="auto" w:fill="FFFFFF"/>
          </w:tcPr>
          <w:p w14:paraId="5D1D0A8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HCC</w:t>
            </w:r>
          </w:p>
        </w:tc>
        <w:tc>
          <w:tcPr>
            <w:tcW w:w="562" w:type="dxa"/>
            <w:shd w:val="clear" w:color="auto" w:fill="FFFFFF"/>
          </w:tcPr>
          <w:p w14:paraId="3E2ADD8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117</w:t>
            </w:r>
          </w:p>
        </w:tc>
        <w:tc>
          <w:tcPr>
            <w:tcW w:w="991" w:type="dxa"/>
            <w:shd w:val="clear" w:color="auto" w:fill="FFFFFF"/>
          </w:tcPr>
          <w:p w14:paraId="0D80514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39.1</w:t>
            </w:r>
          </w:p>
        </w:tc>
        <w:tc>
          <w:tcPr>
            <w:tcW w:w="567" w:type="dxa"/>
            <w:shd w:val="clear" w:color="auto" w:fill="FFFFFF"/>
          </w:tcPr>
          <w:p w14:paraId="0EBA686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107</w:t>
            </w:r>
          </w:p>
        </w:tc>
        <w:tc>
          <w:tcPr>
            <w:tcW w:w="1559" w:type="dxa"/>
            <w:shd w:val="clear" w:color="auto" w:fill="FFFFFF"/>
          </w:tcPr>
          <w:p w14:paraId="20443B4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39.9</w:t>
            </w:r>
          </w:p>
        </w:tc>
        <w:tc>
          <w:tcPr>
            <w:tcW w:w="567" w:type="dxa"/>
            <w:shd w:val="clear" w:color="auto" w:fill="FFFFFF"/>
          </w:tcPr>
          <w:p w14:paraId="74A37A1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w:t>
            </w:r>
          </w:p>
        </w:tc>
        <w:tc>
          <w:tcPr>
            <w:tcW w:w="1276" w:type="dxa"/>
            <w:shd w:val="clear" w:color="auto" w:fill="FFFFFF"/>
          </w:tcPr>
          <w:p w14:paraId="3E8FE05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32.3</w:t>
            </w:r>
          </w:p>
        </w:tc>
        <w:tc>
          <w:tcPr>
            <w:tcW w:w="992" w:type="dxa"/>
            <w:shd w:val="clear" w:color="auto" w:fill="FFFFFF"/>
          </w:tcPr>
          <w:p w14:paraId="309EE3C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0.686</w:t>
            </w:r>
            <w:r>
              <w:rPr>
                <w:rFonts w:ascii="Book Antiqua" w:hAnsi="Book Antiqua" w:cstheme="minorHAnsi"/>
                <w:color w:val="000000" w:themeColor="text1"/>
                <w:vertAlign w:val="superscript"/>
              </w:rPr>
              <w:t>c</w:t>
            </w:r>
          </w:p>
        </w:tc>
        <w:tc>
          <w:tcPr>
            <w:tcW w:w="992" w:type="dxa"/>
            <w:shd w:val="clear" w:color="auto" w:fill="FFFFFF"/>
          </w:tcPr>
          <w:p w14:paraId="5A95A95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0.408</w:t>
            </w:r>
          </w:p>
        </w:tc>
      </w:tr>
      <w:tr w:rsidR="00D01483" w14:paraId="6D2697B5" w14:textId="77777777">
        <w:trPr>
          <w:cantSplit/>
        </w:trPr>
        <w:tc>
          <w:tcPr>
            <w:tcW w:w="3003" w:type="dxa"/>
            <w:vMerge/>
            <w:vAlign w:val="center"/>
          </w:tcPr>
          <w:p w14:paraId="6EDA0EBF" w14:textId="77777777" w:rsidR="00D01483" w:rsidRDefault="00D01483">
            <w:pPr>
              <w:spacing w:line="360" w:lineRule="auto"/>
              <w:jc w:val="both"/>
              <w:rPr>
                <w:rFonts w:ascii="Book Antiqua" w:hAnsi="Book Antiqua" w:cstheme="minorHAnsi"/>
                <w:color w:val="000000" w:themeColor="text1"/>
              </w:rPr>
            </w:pPr>
          </w:p>
        </w:tc>
        <w:tc>
          <w:tcPr>
            <w:tcW w:w="1833" w:type="dxa"/>
            <w:shd w:val="clear" w:color="auto" w:fill="FFFFFF"/>
          </w:tcPr>
          <w:p w14:paraId="3E74966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PVT</w:t>
            </w:r>
          </w:p>
        </w:tc>
        <w:tc>
          <w:tcPr>
            <w:tcW w:w="562" w:type="dxa"/>
            <w:shd w:val="clear" w:color="auto" w:fill="FFFFFF"/>
          </w:tcPr>
          <w:p w14:paraId="19BB696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37</w:t>
            </w:r>
          </w:p>
        </w:tc>
        <w:tc>
          <w:tcPr>
            <w:tcW w:w="991" w:type="dxa"/>
            <w:shd w:val="clear" w:color="auto" w:fill="FFFFFF"/>
          </w:tcPr>
          <w:p w14:paraId="45C768C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12.4</w:t>
            </w:r>
          </w:p>
        </w:tc>
        <w:tc>
          <w:tcPr>
            <w:tcW w:w="567" w:type="dxa"/>
            <w:shd w:val="clear" w:color="auto" w:fill="FFFFFF"/>
          </w:tcPr>
          <w:p w14:paraId="0E0BD51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34</w:t>
            </w:r>
          </w:p>
        </w:tc>
        <w:tc>
          <w:tcPr>
            <w:tcW w:w="1559" w:type="dxa"/>
            <w:shd w:val="clear" w:color="auto" w:fill="FFFFFF"/>
          </w:tcPr>
          <w:p w14:paraId="76FAA6A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12.7</w:t>
            </w:r>
          </w:p>
        </w:tc>
        <w:tc>
          <w:tcPr>
            <w:tcW w:w="567" w:type="dxa"/>
            <w:shd w:val="clear" w:color="auto" w:fill="FFFFFF"/>
          </w:tcPr>
          <w:p w14:paraId="08D9141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w:t>
            </w:r>
          </w:p>
        </w:tc>
        <w:tc>
          <w:tcPr>
            <w:tcW w:w="1276" w:type="dxa"/>
            <w:shd w:val="clear" w:color="auto" w:fill="FFFFFF"/>
          </w:tcPr>
          <w:p w14:paraId="0AE476B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9.7</w:t>
            </w:r>
          </w:p>
        </w:tc>
        <w:tc>
          <w:tcPr>
            <w:tcW w:w="992" w:type="dxa"/>
            <w:shd w:val="clear" w:color="auto" w:fill="FFFFFF"/>
          </w:tcPr>
          <w:p w14:paraId="79AB4BC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3B880B4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0.780</w:t>
            </w:r>
          </w:p>
        </w:tc>
      </w:tr>
      <w:tr w:rsidR="00D01483" w14:paraId="013A1314" w14:textId="77777777">
        <w:trPr>
          <w:cantSplit/>
        </w:trPr>
        <w:tc>
          <w:tcPr>
            <w:tcW w:w="3003" w:type="dxa"/>
            <w:vMerge/>
            <w:vAlign w:val="center"/>
          </w:tcPr>
          <w:p w14:paraId="7C96FBED" w14:textId="77777777" w:rsidR="00D01483" w:rsidRDefault="00D01483">
            <w:pPr>
              <w:spacing w:line="360" w:lineRule="auto"/>
              <w:jc w:val="both"/>
              <w:rPr>
                <w:rFonts w:ascii="Book Antiqua" w:hAnsi="Book Antiqua" w:cstheme="minorHAnsi"/>
                <w:color w:val="000000" w:themeColor="text1"/>
              </w:rPr>
            </w:pPr>
          </w:p>
        </w:tc>
        <w:tc>
          <w:tcPr>
            <w:tcW w:w="1833" w:type="dxa"/>
            <w:shd w:val="clear" w:color="auto" w:fill="FFFFFF"/>
          </w:tcPr>
          <w:p w14:paraId="474BB8F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Cryptogenic</w:t>
            </w:r>
          </w:p>
        </w:tc>
        <w:tc>
          <w:tcPr>
            <w:tcW w:w="562" w:type="dxa"/>
            <w:shd w:val="clear" w:color="auto" w:fill="FFFFFF"/>
          </w:tcPr>
          <w:p w14:paraId="3F04D8E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32</w:t>
            </w:r>
          </w:p>
        </w:tc>
        <w:tc>
          <w:tcPr>
            <w:tcW w:w="991" w:type="dxa"/>
            <w:shd w:val="clear" w:color="auto" w:fill="FFFFFF"/>
          </w:tcPr>
          <w:p w14:paraId="38017CE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10.7</w:t>
            </w:r>
          </w:p>
        </w:tc>
        <w:tc>
          <w:tcPr>
            <w:tcW w:w="567" w:type="dxa"/>
            <w:shd w:val="clear" w:color="auto" w:fill="FFFFFF"/>
          </w:tcPr>
          <w:p w14:paraId="2C211D6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29</w:t>
            </w:r>
          </w:p>
        </w:tc>
        <w:tc>
          <w:tcPr>
            <w:tcW w:w="1559" w:type="dxa"/>
            <w:shd w:val="clear" w:color="auto" w:fill="FFFFFF"/>
          </w:tcPr>
          <w:p w14:paraId="0D71EBD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10.8</w:t>
            </w:r>
          </w:p>
        </w:tc>
        <w:tc>
          <w:tcPr>
            <w:tcW w:w="567" w:type="dxa"/>
            <w:shd w:val="clear" w:color="auto" w:fill="FFFFFF"/>
          </w:tcPr>
          <w:p w14:paraId="6670338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w:t>
            </w:r>
          </w:p>
        </w:tc>
        <w:tc>
          <w:tcPr>
            <w:tcW w:w="1276" w:type="dxa"/>
            <w:shd w:val="clear" w:color="auto" w:fill="FFFFFF"/>
          </w:tcPr>
          <w:p w14:paraId="7976696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9.7</w:t>
            </w:r>
          </w:p>
        </w:tc>
        <w:tc>
          <w:tcPr>
            <w:tcW w:w="992" w:type="dxa"/>
            <w:shd w:val="clear" w:color="auto" w:fill="FFFFFF"/>
          </w:tcPr>
          <w:p w14:paraId="4EB6BC0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5358657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1.000</w:t>
            </w:r>
          </w:p>
        </w:tc>
      </w:tr>
      <w:tr w:rsidR="00D01483" w14:paraId="72558734" w14:textId="77777777">
        <w:trPr>
          <w:cantSplit/>
        </w:trPr>
        <w:tc>
          <w:tcPr>
            <w:tcW w:w="3003" w:type="dxa"/>
            <w:vMerge/>
            <w:vAlign w:val="center"/>
          </w:tcPr>
          <w:p w14:paraId="2BFA8F41" w14:textId="77777777" w:rsidR="00D01483" w:rsidRDefault="00D01483">
            <w:pPr>
              <w:spacing w:line="360" w:lineRule="auto"/>
              <w:jc w:val="both"/>
              <w:rPr>
                <w:rFonts w:ascii="Book Antiqua" w:hAnsi="Book Antiqua" w:cstheme="minorHAnsi"/>
                <w:color w:val="000000" w:themeColor="text1"/>
              </w:rPr>
            </w:pPr>
          </w:p>
        </w:tc>
        <w:tc>
          <w:tcPr>
            <w:tcW w:w="1833" w:type="dxa"/>
            <w:shd w:val="clear" w:color="auto" w:fill="FFFFFF"/>
          </w:tcPr>
          <w:p w14:paraId="465671C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ESLD</w:t>
            </w:r>
          </w:p>
        </w:tc>
        <w:tc>
          <w:tcPr>
            <w:tcW w:w="562" w:type="dxa"/>
            <w:shd w:val="clear" w:color="auto" w:fill="FFFFFF"/>
          </w:tcPr>
          <w:p w14:paraId="7D58ABD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w:t>
            </w:r>
          </w:p>
        </w:tc>
        <w:tc>
          <w:tcPr>
            <w:tcW w:w="991" w:type="dxa"/>
            <w:shd w:val="clear" w:color="auto" w:fill="FFFFFF"/>
          </w:tcPr>
          <w:p w14:paraId="4DC60C1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3.3</w:t>
            </w:r>
          </w:p>
        </w:tc>
        <w:tc>
          <w:tcPr>
            <w:tcW w:w="567" w:type="dxa"/>
            <w:shd w:val="clear" w:color="auto" w:fill="FFFFFF"/>
          </w:tcPr>
          <w:p w14:paraId="41CB6B4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8</w:t>
            </w:r>
          </w:p>
        </w:tc>
        <w:tc>
          <w:tcPr>
            <w:tcW w:w="1559" w:type="dxa"/>
            <w:shd w:val="clear" w:color="auto" w:fill="FFFFFF"/>
          </w:tcPr>
          <w:p w14:paraId="33E0871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3.0</w:t>
            </w:r>
          </w:p>
        </w:tc>
        <w:tc>
          <w:tcPr>
            <w:tcW w:w="567" w:type="dxa"/>
            <w:shd w:val="clear" w:color="auto" w:fill="FFFFFF"/>
          </w:tcPr>
          <w:p w14:paraId="47AAA16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w:t>
            </w:r>
          </w:p>
        </w:tc>
        <w:tc>
          <w:tcPr>
            <w:tcW w:w="1276" w:type="dxa"/>
            <w:shd w:val="clear" w:color="auto" w:fill="FFFFFF"/>
          </w:tcPr>
          <w:p w14:paraId="77FF649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6.5</w:t>
            </w:r>
          </w:p>
        </w:tc>
        <w:tc>
          <w:tcPr>
            <w:tcW w:w="992" w:type="dxa"/>
            <w:shd w:val="clear" w:color="auto" w:fill="FFFFFF"/>
          </w:tcPr>
          <w:p w14:paraId="1BC2726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0DAAF3B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0.278</w:t>
            </w:r>
          </w:p>
        </w:tc>
      </w:tr>
      <w:tr w:rsidR="00D01483" w14:paraId="60AB1BD7" w14:textId="77777777">
        <w:trPr>
          <w:cantSplit/>
        </w:trPr>
        <w:tc>
          <w:tcPr>
            <w:tcW w:w="3003" w:type="dxa"/>
            <w:vMerge/>
            <w:vAlign w:val="center"/>
          </w:tcPr>
          <w:p w14:paraId="5630C528" w14:textId="77777777" w:rsidR="00D01483" w:rsidRDefault="00D01483">
            <w:pPr>
              <w:spacing w:line="360" w:lineRule="auto"/>
              <w:jc w:val="both"/>
              <w:rPr>
                <w:rFonts w:ascii="Book Antiqua" w:hAnsi="Book Antiqua" w:cstheme="minorHAnsi"/>
                <w:color w:val="000000" w:themeColor="text1"/>
              </w:rPr>
            </w:pPr>
          </w:p>
        </w:tc>
        <w:tc>
          <w:tcPr>
            <w:tcW w:w="1833" w:type="dxa"/>
            <w:shd w:val="clear" w:color="auto" w:fill="FFFFFF"/>
          </w:tcPr>
          <w:p w14:paraId="280885B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HCV</w:t>
            </w:r>
          </w:p>
        </w:tc>
        <w:tc>
          <w:tcPr>
            <w:tcW w:w="562" w:type="dxa"/>
            <w:shd w:val="clear" w:color="auto" w:fill="FFFFFF"/>
          </w:tcPr>
          <w:p w14:paraId="69FDC24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229</w:t>
            </w:r>
          </w:p>
        </w:tc>
        <w:tc>
          <w:tcPr>
            <w:tcW w:w="991" w:type="dxa"/>
            <w:shd w:val="clear" w:color="auto" w:fill="FFFFFF"/>
          </w:tcPr>
          <w:p w14:paraId="4713C62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76.6</w:t>
            </w:r>
          </w:p>
        </w:tc>
        <w:tc>
          <w:tcPr>
            <w:tcW w:w="567" w:type="dxa"/>
            <w:shd w:val="clear" w:color="auto" w:fill="FFFFFF"/>
          </w:tcPr>
          <w:p w14:paraId="5CA4EF1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204</w:t>
            </w:r>
          </w:p>
        </w:tc>
        <w:tc>
          <w:tcPr>
            <w:tcW w:w="1559" w:type="dxa"/>
            <w:shd w:val="clear" w:color="auto" w:fill="FFFFFF"/>
          </w:tcPr>
          <w:p w14:paraId="3E758FB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76.1</w:t>
            </w:r>
          </w:p>
        </w:tc>
        <w:tc>
          <w:tcPr>
            <w:tcW w:w="567" w:type="dxa"/>
            <w:shd w:val="clear" w:color="auto" w:fill="FFFFFF"/>
          </w:tcPr>
          <w:p w14:paraId="3F18109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25</w:t>
            </w:r>
          </w:p>
        </w:tc>
        <w:tc>
          <w:tcPr>
            <w:tcW w:w="1276" w:type="dxa"/>
            <w:shd w:val="clear" w:color="auto" w:fill="FFFFFF"/>
          </w:tcPr>
          <w:p w14:paraId="19413CE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80.6</w:t>
            </w:r>
          </w:p>
        </w:tc>
        <w:tc>
          <w:tcPr>
            <w:tcW w:w="992" w:type="dxa"/>
            <w:shd w:val="clear" w:color="auto" w:fill="FFFFFF"/>
          </w:tcPr>
          <w:p w14:paraId="76CA782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0.317</w:t>
            </w:r>
            <w:r>
              <w:rPr>
                <w:rFonts w:ascii="Book Antiqua" w:hAnsi="Book Antiqua" w:cstheme="minorHAnsi"/>
                <w:color w:val="000000" w:themeColor="text1"/>
                <w:vertAlign w:val="superscript"/>
              </w:rPr>
              <w:t>c</w:t>
            </w:r>
          </w:p>
        </w:tc>
        <w:tc>
          <w:tcPr>
            <w:tcW w:w="992" w:type="dxa"/>
            <w:shd w:val="clear" w:color="auto" w:fill="FFFFFF"/>
          </w:tcPr>
          <w:p w14:paraId="506F80C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0.573</w:t>
            </w:r>
          </w:p>
        </w:tc>
      </w:tr>
      <w:tr w:rsidR="00D01483" w14:paraId="2F17C25A" w14:textId="77777777">
        <w:trPr>
          <w:cantSplit/>
        </w:trPr>
        <w:tc>
          <w:tcPr>
            <w:tcW w:w="3003" w:type="dxa"/>
            <w:vMerge/>
            <w:vAlign w:val="center"/>
          </w:tcPr>
          <w:p w14:paraId="1F57FBFF" w14:textId="77777777" w:rsidR="00D01483" w:rsidRDefault="00D01483">
            <w:pPr>
              <w:spacing w:line="360" w:lineRule="auto"/>
              <w:jc w:val="both"/>
              <w:rPr>
                <w:rFonts w:ascii="Book Antiqua" w:hAnsi="Book Antiqua" w:cstheme="minorHAnsi"/>
                <w:color w:val="000000" w:themeColor="text1"/>
              </w:rPr>
            </w:pPr>
          </w:p>
        </w:tc>
        <w:tc>
          <w:tcPr>
            <w:tcW w:w="1833" w:type="dxa"/>
            <w:shd w:val="clear" w:color="auto" w:fill="FFFFFF"/>
          </w:tcPr>
          <w:p w14:paraId="0D6B26E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HBV</w:t>
            </w:r>
          </w:p>
        </w:tc>
        <w:tc>
          <w:tcPr>
            <w:tcW w:w="562" w:type="dxa"/>
            <w:shd w:val="clear" w:color="auto" w:fill="FFFFFF"/>
          </w:tcPr>
          <w:p w14:paraId="62C0276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11</w:t>
            </w:r>
          </w:p>
        </w:tc>
        <w:tc>
          <w:tcPr>
            <w:tcW w:w="991" w:type="dxa"/>
            <w:shd w:val="clear" w:color="auto" w:fill="FFFFFF"/>
          </w:tcPr>
          <w:p w14:paraId="00B4C98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3.7</w:t>
            </w:r>
          </w:p>
        </w:tc>
        <w:tc>
          <w:tcPr>
            <w:tcW w:w="567" w:type="dxa"/>
            <w:shd w:val="clear" w:color="auto" w:fill="FFFFFF"/>
          </w:tcPr>
          <w:p w14:paraId="32A4067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11</w:t>
            </w:r>
          </w:p>
        </w:tc>
        <w:tc>
          <w:tcPr>
            <w:tcW w:w="1559" w:type="dxa"/>
            <w:shd w:val="clear" w:color="auto" w:fill="FFFFFF"/>
          </w:tcPr>
          <w:p w14:paraId="5999464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4.1</w:t>
            </w:r>
          </w:p>
        </w:tc>
        <w:tc>
          <w:tcPr>
            <w:tcW w:w="567" w:type="dxa"/>
            <w:shd w:val="clear" w:color="auto" w:fill="FFFFFF"/>
          </w:tcPr>
          <w:p w14:paraId="6829A32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w:t>
            </w:r>
          </w:p>
        </w:tc>
        <w:tc>
          <w:tcPr>
            <w:tcW w:w="1276" w:type="dxa"/>
            <w:shd w:val="clear" w:color="auto" w:fill="FFFFFF"/>
          </w:tcPr>
          <w:p w14:paraId="2064649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w:t>
            </w:r>
          </w:p>
        </w:tc>
        <w:tc>
          <w:tcPr>
            <w:tcW w:w="992" w:type="dxa"/>
            <w:shd w:val="clear" w:color="auto" w:fill="FFFFFF"/>
          </w:tcPr>
          <w:p w14:paraId="467487E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7F8F14A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0.612</w:t>
            </w:r>
          </w:p>
        </w:tc>
      </w:tr>
      <w:tr w:rsidR="00D01483" w14:paraId="36323B66" w14:textId="77777777">
        <w:trPr>
          <w:cantSplit/>
        </w:trPr>
        <w:tc>
          <w:tcPr>
            <w:tcW w:w="3003" w:type="dxa"/>
            <w:vMerge/>
            <w:vAlign w:val="center"/>
          </w:tcPr>
          <w:p w14:paraId="3D87CA64" w14:textId="77777777" w:rsidR="00D01483" w:rsidRDefault="00D01483">
            <w:pPr>
              <w:spacing w:line="360" w:lineRule="auto"/>
              <w:jc w:val="both"/>
              <w:rPr>
                <w:rFonts w:ascii="Book Antiqua" w:hAnsi="Book Antiqua" w:cstheme="minorHAnsi"/>
                <w:color w:val="000000" w:themeColor="text1"/>
              </w:rPr>
            </w:pPr>
          </w:p>
        </w:tc>
        <w:tc>
          <w:tcPr>
            <w:tcW w:w="1833" w:type="dxa"/>
            <w:shd w:val="clear" w:color="auto" w:fill="FFFFFF"/>
          </w:tcPr>
          <w:p w14:paraId="1D6C340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BCS</w:t>
            </w:r>
          </w:p>
        </w:tc>
        <w:tc>
          <w:tcPr>
            <w:tcW w:w="562" w:type="dxa"/>
            <w:shd w:val="clear" w:color="auto" w:fill="FFFFFF"/>
          </w:tcPr>
          <w:p w14:paraId="5B15826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w:t>
            </w:r>
          </w:p>
        </w:tc>
        <w:tc>
          <w:tcPr>
            <w:tcW w:w="991" w:type="dxa"/>
            <w:shd w:val="clear" w:color="auto" w:fill="FFFFFF"/>
          </w:tcPr>
          <w:p w14:paraId="6338A5A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0.7</w:t>
            </w:r>
          </w:p>
        </w:tc>
        <w:tc>
          <w:tcPr>
            <w:tcW w:w="567" w:type="dxa"/>
            <w:shd w:val="clear" w:color="auto" w:fill="FFFFFF"/>
          </w:tcPr>
          <w:p w14:paraId="0F37B14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w:t>
            </w:r>
          </w:p>
        </w:tc>
        <w:tc>
          <w:tcPr>
            <w:tcW w:w="1559" w:type="dxa"/>
            <w:shd w:val="clear" w:color="auto" w:fill="FFFFFF"/>
          </w:tcPr>
          <w:p w14:paraId="6699318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0.7</w:t>
            </w:r>
          </w:p>
        </w:tc>
        <w:tc>
          <w:tcPr>
            <w:tcW w:w="567" w:type="dxa"/>
            <w:shd w:val="clear" w:color="auto" w:fill="FFFFFF"/>
          </w:tcPr>
          <w:p w14:paraId="1E0D28F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w:t>
            </w:r>
          </w:p>
        </w:tc>
        <w:tc>
          <w:tcPr>
            <w:tcW w:w="1276" w:type="dxa"/>
            <w:shd w:val="clear" w:color="auto" w:fill="FFFFFF"/>
          </w:tcPr>
          <w:p w14:paraId="79E92BF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w:t>
            </w:r>
          </w:p>
        </w:tc>
        <w:tc>
          <w:tcPr>
            <w:tcW w:w="992" w:type="dxa"/>
            <w:shd w:val="clear" w:color="auto" w:fill="FFFFFF"/>
          </w:tcPr>
          <w:p w14:paraId="0147E72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3E7C00A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1.000</w:t>
            </w:r>
          </w:p>
        </w:tc>
      </w:tr>
      <w:tr w:rsidR="00D01483" w14:paraId="3285F5D1" w14:textId="77777777">
        <w:trPr>
          <w:cantSplit/>
        </w:trPr>
        <w:tc>
          <w:tcPr>
            <w:tcW w:w="3003" w:type="dxa"/>
            <w:vMerge/>
            <w:vAlign w:val="center"/>
          </w:tcPr>
          <w:p w14:paraId="401D7B7E" w14:textId="77777777" w:rsidR="00D01483" w:rsidRDefault="00D01483">
            <w:pPr>
              <w:spacing w:line="360" w:lineRule="auto"/>
              <w:jc w:val="both"/>
              <w:rPr>
                <w:rFonts w:ascii="Book Antiqua" w:hAnsi="Book Antiqua" w:cstheme="minorHAnsi"/>
                <w:color w:val="000000" w:themeColor="text1"/>
              </w:rPr>
            </w:pPr>
          </w:p>
        </w:tc>
        <w:tc>
          <w:tcPr>
            <w:tcW w:w="1833" w:type="dxa"/>
            <w:shd w:val="clear" w:color="auto" w:fill="FFFFFF"/>
          </w:tcPr>
          <w:p w14:paraId="4617568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PSC</w:t>
            </w:r>
          </w:p>
        </w:tc>
        <w:tc>
          <w:tcPr>
            <w:tcW w:w="562" w:type="dxa"/>
            <w:shd w:val="clear" w:color="auto" w:fill="FFFFFF"/>
          </w:tcPr>
          <w:p w14:paraId="085F7D5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w:t>
            </w:r>
          </w:p>
        </w:tc>
        <w:tc>
          <w:tcPr>
            <w:tcW w:w="991" w:type="dxa"/>
            <w:shd w:val="clear" w:color="auto" w:fill="FFFFFF"/>
          </w:tcPr>
          <w:p w14:paraId="5259507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0.7</w:t>
            </w:r>
          </w:p>
        </w:tc>
        <w:tc>
          <w:tcPr>
            <w:tcW w:w="567" w:type="dxa"/>
            <w:shd w:val="clear" w:color="auto" w:fill="FFFFFF"/>
          </w:tcPr>
          <w:p w14:paraId="4770025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w:t>
            </w:r>
          </w:p>
        </w:tc>
        <w:tc>
          <w:tcPr>
            <w:tcW w:w="1559" w:type="dxa"/>
            <w:shd w:val="clear" w:color="auto" w:fill="FFFFFF"/>
          </w:tcPr>
          <w:p w14:paraId="2F160CF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0.7</w:t>
            </w:r>
          </w:p>
        </w:tc>
        <w:tc>
          <w:tcPr>
            <w:tcW w:w="567" w:type="dxa"/>
            <w:shd w:val="clear" w:color="auto" w:fill="FFFFFF"/>
          </w:tcPr>
          <w:p w14:paraId="7BFCE96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w:t>
            </w:r>
          </w:p>
        </w:tc>
        <w:tc>
          <w:tcPr>
            <w:tcW w:w="1276" w:type="dxa"/>
            <w:shd w:val="clear" w:color="auto" w:fill="FFFFFF"/>
          </w:tcPr>
          <w:p w14:paraId="3093D82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w:t>
            </w:r>
          </w:p>
        </w:tc>
        <w:tc>
          <w:tcPr>
            <w:tcW w:w="992" w:type="dxa"/>
            <w:shd w:val="clear" w:color="auto" w:fill="FFFFFF"/>
          </w:tcPr>
          <w:p w14:paraId="32D957F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5710973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1.000</w:t>
            </w:r>
          </w:p>
        </w:tc>
      </w:tr>
      <w:tr w:rsidR="00D01483" w14:paraId="6E2D641E" w14:textId="77777777">
        <w:trPr>
          <w:cantSplit/>
        </w:trPr>
        <w:tc>
          <w:tcPr>
            <w:tcW w:w="3003" w:type="dxa"/>
            <w:gridSpan w:val="2"/>
            <w:shd w:val="clear" w:color="auto" w:fill="FFFFFF"/>
          </w:tcPr>
          <w:p w14:paraId="58342EC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Encephalopathy</w:t>
            </w:r>
          </w:p>
        </w:tc>
        <w:tc>
          <w:tcPr>
            <w:tcW w:w="562" w:type="dxa"/>
            <w:shd w:val="clear" w:color="auto" w:fill="FFFFFF"/>
          </w:tcPr>
          <w:p w14:paraId="64F3C96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95</w:t>
            </w:r>
          </w:p>
        </w:tc>
        <w:tc>
          <w:tcPr>
            <w:tcW w:w="991" w:type="dxa"/>
            <w:shd w:val="clear" w:color="auto" w:fill="FFFFFF"/>
          </w:tcPr>
          <w:p w14:paraId="778191C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31.8</w:t>
            </w:r>
          </w:p>
        </w:tc>
        <w:tc>
          <w:tcPr>
            <w:tcW w:w="567" w:type="dxa"/>
            <w:shd w:val="clear" w:color="auto" w:fill="FFFFFF"/>
          </w:tcPr>
          <w:p w14:paraId="40C3B0E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87</w:t>
            </w:r>
          </w:p>
        </w:tc>
        <w:tc>
          <w:tcPr>
            <w:tcW w:w="1559" w:type="dxa"/>
            <w:shd w:val="clear" w:color="auto" w:fill="FFFFFF"/>
          </w:tcPr>
          <w:p w14:paraId="2E666DC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32.5</w:t>
            </w:r>
          </w:p>
        </w:tc>
        <w:tc>
          <w:tcPr>
            <w:tcW w:w="567" w:type="dxa"/>
            <w:shd w:val="clear" w:color="auto" w:fill="FFFFFF"/>
          </w:tcPr>
          <w:p w14:paraId="2A8D44C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8</w:t>
            </w:r>
          </w:p>
        </w:tc>
        <w:tc>
          <w:tcPr>
            <w:tcW w:w="1276" w:type="dxa"/>
            <w:shd w:val="clear" w:color="auto" w:fill="FFFFFF"/>
          </w:tcPr>
          <w:p w14:paraId="0895557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25.8</w:t>
            </w:r>
          </w:p>
        </w:tc>
        <w:tc>
          <w:tcPr>
            <w:tcW w:w="992" w:type="dxa"/>
            <w:shd w:val="clear" w:color="auto" w:fill="FFFFFF"/>
          </w:tcPr>
          <w:p w14:paraId="63FBE29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0.568</w:t>
            </w:r>
            <w:r>
              <w:rPr>
                <w:rFonts w:ascii="Book Antiqua" w:hAnsi="Book Antiqua" w:cstheme="minorHAnsi"/>
                <w:color w:val="000000" w:themeColor="text1"/>
                <w:vertAlign w:val="superscript"/>
              </w:rPr>
              <w:t>c</w:t>
            </w:r>
          </w:p>
        </w:tc>
        <w:tc>
          <w:tcPr>
            <w:tcW w:w="992" w:type="dxa"/>
            <w:shd w:val="clear" w:color="auto" w:fill="FFFFFF"/>
          </w:tcPr>
          <w:p w14:paraId="51315F9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0.451</w:t>
            </w:r>
          </w:p>
        </w:tc>
      </w:tr>
      <w:tr w:rsidR="00D01483" w14:paraId="3A058FCC" w14:textId="77777777">
        <w:trPr>
          <w:cantSplit/>
        </w:trPr>
        <w:tc>
          <w:tcPr>
            <w:tcW w:w="3003" w:type="dxa"/>
            <w:gridSpan w:val="2"/>
            <w:shd w:val="clear" w:color="auto" w:fill="FFFFFF"/>
          </w:tcPr>
          <w:p w14:paraId="5E66D68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Creatinine clearance (mL/min);</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mean ± SD (Range)</w:t>
            </w:r>
          </w:p>
        </w:tc>
        <w:tc>
          <w:tcPr>
            <w:tcW w:w="1553" w:type="dxa"/>
            <w:gridSpan w:val="2"/>
            <w:shd w:val="clear" w:color="auto" w:fill="FFFFFF"/>
          </w:tcPr>
          <w:p w14:paraId="2A41983F"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88.7 ± 26.5;</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(10.0 - 172.0)</w:t>
            </w:r>
          </w:p>
        </w:tc>
        <w:tc>
          <w:tcPr>
            <w:tcW w:w="2126" w:type="dxa"/>
            <w:gridSpan w:val="2"/>
            <w:shd w:val="clear" w:color="auto" w:fill="FFFFFF"/>
          </w:tcPr>
          <w:p w14:paraId="317A6521"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88.5 ± 25.8;</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(10.0 - 170.0)</w:t>
            </w:r>
          </w:p>
        </w:tc>
        <w:tc>
          <w:tcPr>
            <w:tcW w:w="1843" w:type="dxa"/>
            <w:gridSpan w:val="2"/>
            <w:shd w:val="clear" w:color="auto" w:fill="FFFFFF"/>
          </w:tcPr>
          <w:p w14:paraId="3F867E54"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90.4 ± 32.7;</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(16.0 - 172.0)</w:t>
            </w:r>
          </w:p>
        </w:tc>
        <w:tc>
          <w:tcPr>
            <w:tcW w:w="992" w:type="dxa"/>
            <w:shd w:val="clear" w:color="auto" w:fill="FFFFFF"/>
          </w:tcPr>
          <w:p w14:paraId="25A9201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0.384</w:t>
            </w:r>
            <w:r>
              <w:rPr>
                <w:rFonts w:ascii="Book Antiqua" w:hAnsi="Book Antiqua" w:cstheme="minorHAnsi"/>
                <w:color w:val="000000" w:themeColor="text1"/>
                <w:vertAlign w:val="superscript"/>
              </w:rPr>
              <w:t>a</w:t>
            </w:r>
          </w:p>
        </w:tc>
        <w:tc>
          <w:tcPr>
            <w:tcW w:w="992" w:type="dxa"/>
            <w:shd w:val="clear" w:color="auto" w:fill="FFFFFF"/>
          </w:tcPr>
          <w:p w14:paraId="6441592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0.702</w:t>
            </w:r>
          </w:p>
        </w:tc>
      </w:tr>
      <w:tr w:rsidR="00D01483" w14:paraId="41B0DC29" w14:textId="77777777">
        <w:trPr>
          <w:cantSplit/>
        </w:trPr>
        <w:tc>
          <w:tcPr>
            <w:tcW w:w="3003" w:type="dxa"/>
            <w:gridSpan w:val="2"/>
            <w:shd w:val="clear" w:color="auto" w:fill="FFFFFF"/>
          </w:tcPr>
          <w:p w14:paraId="026A572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Serum creatinine (mg/dL);</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mean ± SD (Range)</w:t>
            </w:r>
          </w:p>
        </w:tc>
        <w:tc>
          <w:tcPr>
            <w:tcW w:w="1553" w:type="dxa"/>
            <w:gridSpan w:val="2"/>
            <w:shd w:val="clear" w:color="auto" w:fill="FFFFFF"/>
          </w:tcPr>
          <w:p w14:paraId="449E6F66"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0.97 ± 0.31;</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(0.30 - 2.40)</w:t>
            </w:r>
          </w:p>
        </w:tc>
        <w:tc>
          <w:tcPr>
            <w:tcW w:w="2126" w:type="dxa"/>
            <w:gridSpan w:val="2"/>
            <w:shd w:val="clear" w:color="auto" w:fill="FFFFFF"/>
          </w:tcPr>
          <w:p w14:paraId="0D247C0B"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0.97 ± 0.32;</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(0.30 - 2.40)</w:t>
            </w:r>
          </w:p>
        </w:tc>
        <w:tc>
          <w:tcPr>
            <w:tcW w:w="1843" w:type="dxa"/>
            <w:gridSpan w:val="2"/>
            <w:shd w:val="clear" w:color="auto" w:fill="FFFFFF"/>
          </w:tcPr>
          <w:p w14:paraId="4BB77043"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0.96 ± 0.24;</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(0.50 - 1.30)</w:t>
            </w:r>
          </w:p>
        </w:tc>
        <w:tc>
          <w:tcPr>
            <w:tcW w:w="992" w:type="dxa"/>
            <w:shd w:val="clear" w:color="auto" w:fill="FFFFFF"/>
          </w:tcPr>
          <w:p w14:paraId="575A920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0.255</w:t>
            </w:r>
            <w:r>
              <w:rPr>
                <w:rFonts w:ascii="Book Antiqua" w:hAnsi="Book Antiqua" w:cstheme="minorHAnsi"/>
                <w:color w:val="000000" w:themeColor="text1"/>
                <w:vertAlign w:val="superscript"/>
              </w:rPr>
              <w:t>a</w:t>
            </w:r>
          </w:p>
        </w:tc>
        <w:tc>
          <w:tcPr>
            <w:tcW w:w="992" w:type="dxa"/>
            <w:shd w:val="clear" w:color="auto" w:fill="FFFFFF"/>
          </w:tcPr>
          <w:p w14:paraId="48A01E2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0.799</w:t>
            </w:r>
          </w:p>
        </w:tc>
      </w:tr>
      <w:tr w:rsidR="00D01483" w14:paraId="4BEAB54C" w14:textId="77777777">
        <w:trPr>
          <w:cantSplit/>
        </w:trPr>
        <w:tc>
          <w:tcPr>
            <w:tcW w:w="3003" w:type="dxa"/>
            <w:gridSpan w:val="2"/>
            <w:shd w:val="clear" w:color="auto" w:fill="FFFFFF"/>
          </w:tcPr>
          <w:p w14:paraId="38FAFA9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Serum Albumin gm/dL;</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mean ± SD (Range)</w:t>
            </w:r>
          </w:p>
        </w:tc>
        <w:tc>
          <w:tcPr>
            <w:tcW w:w="1553" w:type="dxa"/>
            <w:gridSpan w:val="2"/>
            <w:shd w:val="clear" w:color="auto" w:fill="FFFFFF"/>
          </w:tcPr>
          <w:p w14:paraId="0F6D648E"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3.0 ± 0.5;</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(1.8 - 4.8)</w:t>
            </w:r>
          </w:p>
        </w:tc>
        <w:tc>
          <w:tcPr>
            <w:tcW w:w="2126" w:type="dxa"/>
            <w:gridSpan w:val="2"/>
            <w:shd w:val="clear" w:color="auto" w:fill="FFFFFF"/>
          </w:tcPr>
          <w:p w14:paraId="72B7574D"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3.0 ± 0.5;</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(1.8 - 4.8)</w:t>
            </w:r>
          </w:p>
        </w:tc>
        <w:tc>
          <w:tcPr>
            <w:tcW w:w="1843" w:type="dxa"/>
            <w:gridSpan w:val="2"/>
            <w:shd w:val="clear" w:color="auto" w:fill="FFFFFF"/>
          </w:tcPr>
          <w:p w14:paraId="7E9D1C41"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2.8 ± 0.5;</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(1.8 - 3.8)</w:t>
            </w:r>
          </w:p>
        </w:tc>
        <w:tc>
          <w:tcPr>
            <w:tcW w:w="992" w:type="dxa"/>
            <w:shd w:val="clear" w:color="auto" w:fill="FFFFFF"/>
          </w:tcPr>
          <w:p w14:paraId="6C51F06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1.428</w:t>
            </w:r>
            <w:r>
              <w:rPr>
                <w:rFonts w:ascii="Book Antiqua" w:hAnsi="Book Antiqua" w:cstheme="minorHAnsi"/>
                <w:color w:val="000000" w:themeColor="text1"/>
                <w:vertAlign w:val="superscript"/>
              </w:rPr>
              <w:t>a</w:t>
            </w:r>
          </w:p>
        </w:tc>
        <w:tc>
          <w:tcPr>
            <w:tcW w:w="992" w:type="dxa"/>
            <w:shd w:val="clear" w:color="auto" w:fill="FFFFFF"/>
          </w:tcPr>
          <w:p w14:paraId="1E80BD4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0.154</w:t>
            </w:r>
          </w:p>
        </w:tc>
      </w:tr>
      <w:tr w:rsidR="00D01483" w14:paraId="5DAD3419" w14:textId="77777777">
        <w:trPr>
          <w:cantSplit/>
        </w:trPr>
        <w:tc>
          <w:tcPr>
            <w:tcW w:w="3003" w:type="dxa"/>
            <w:gridSpan w:val="2"/>
            <w:shd w:val="clear" w:color="auto" w:fill="FFFFFF"/>
          </w:tcPr>
          <w:p w14:paraId="0639F04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Na mmol/L;</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mean ± SD (Range)</w:t>
            </w:r>
          </w:p>
        </w:tc>
        <w:tc>
          <w:tcPr>
            <w:tcW w:w="1553" w:type="dxa"/>
            <w:gridSpan w:val="2"/>
            <w:shd w:val="clear" w:color="auto" w:fill="FFFFFF"/>
          </w:tcPr>
          <w:p w14:paraId="77C40BE4"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135.1 ± 5.2;</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(117.0 - 147.0)</w:t>
            </w:r>
          </w:p>
        </w:tc>
        <w:tc>
          <w:tcPr>
            <w:tcW w:w="2126" w:type="dxa"/>
            <w:gridSpan w:val="2"/>
            <w:shd w:val="clear" w:color="auto" w:fill="FFFFFF"/>
          </w:tcPr>
          <w:p w14:paraId="37090ED5"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135.1 ± 5.4;</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(117.0 - 147.0)</w:t>
            </w:r>
          </w:p>
        </w:tc>
        <w:tc>
          <w:tcPr>
            <w:tcW w:w="1843" w:type="dxa"/>
            <w:gridSpan w:val="2"/>
            <w:shd w:val="clear" w:color="auto" w:fill="FFFFFF"/>
          </w:tcPr>
          <w:p w14:paraId="718AD585"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135.0 ± 3.6;</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(128.0 - 145.0)</w:t>
            </w:r>
          </w:p>
        </w:tc>
        <w:tc>
          <w:tcPr>
            <w:tcW w:w="992" w:type="dxa"/>
            <w:shd w:val="clear" w:color="auto" w:fill="FFFFFF"/>
          </w:tcPr>
          <w:p w14:paraId="762E4ED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0.137</w:t>
            </w:r>
            <w:r>
              <w:rPr>
                <w:rFonts w:ascii="Book Antiqua" w:hAnsi="Book Antiqua" w:cstheme="minorHAnsi"/>
                <w:color w:val="000000" w:themeColor="text1"/>
                <w:vertAlign w:val="superscript"/>
              </w:rPr>
              <w:t>a</w:t>
            </w:r>
          </w:p>
        </w:tc>
        <w:tc>
          <w:tcPr>
            <w:tcW w:w="992" w:type="dxa"/>
            <w:shd w:val="clear" w:color="auto" w:fill="FFFFFF"/>
          </w:tcPr>
          <w:p w14:paraId="6993944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0.891</w:t>
            </w:r>
          </w:p>
        </w:tc>
      </w:tr>
      <w:tr w:rsidR="00D01483" w14:paraId="467868DC" w14:textId="77777777">
        <w:trPr>
          <w:cantSplit/>
        </w:trPr>
        <w:tc>
          <w:tcPr>
            <w:tcW w:w="3003" w:type="dxa"/>
            <w:gridSpan w:val="2"/>
            <w:shd w:val="clear" w:color="auto" w:fill="FFFFFF"/>
          </w:tcPr>
          <w:p w14:paraId="58B4930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Total bilirubin mg/dL;</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Median [IQR] (Range)</w:t>
            </w:r>
          </w:p>
        </w:tc>
        <w:tc>
          <w:tcPr>
            <w:tcW w:w="1553" w:type="dxa"/>
            <w:gridSpan w:val="2"/>
            <w:shd w:val="clear" w:color="auto" w:fill="FFFFFF"/>
          </w:tcPr>
          <w:p w14:paraId="2279354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1.3;</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[0.8 - 1.9]</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(0.2 - 27.0)</w:t>
            </w:r>
          </w:p>
        </w:tc>
        <w:tc>
          <w:tcPr>
            <w:tcW w:w="2126" w:type="dxa"/>
            <w:gridSpan w:val="2"/>
            <w:shd w:val="clear" w:color="auto" w:fill="FFFFFF"/>
          </w:tcPr>
          <w:p w14:paraId="1EFCE3E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1.3;</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[0.7 - 1.9]</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(0.2 - 27.0)</w:t>
            </w:r>
          </w:p>
        </w:tc>
        <w:tc>
          <w:tcPr>
            <w:tcW w:w="1843" w:type="dxa"/>
            <w:gridSpan w:val="2"/>
            <w:shd w:val="clear" w:color="auto" w:fill="FFFFFF"/>
          </w:tcPr>
          <w:p w14:paraId="66C0780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1.4;</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[1.1 - 1.9] (0.6 - 5.6)</w:t>
            </w:r>
          </w:p>
        </w:tc>
        <w:tc>
          <w:tcPr>
            <w:tcW w:w="992" w:type="dxa"/>
            <w:shd w:val="clear" w:color="auto" w:fill="FFFFFF"/>
          </w:tcPr>
          <w:p w14:paraId="00C96D3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1.270</w:t>
            </w:r>
            <w:r>
              <w:rPr>
                <w:rFonts w:ascii="Book Antiqua" w:hAnsi="Book Antiqua" w:cstheme="minorHAnsi"/>
                <w:color w:val="000000" w:themeColor="text1"/>
                <w:vertAlign w:val="superscript"/>
              </w:rPr>
              <w:t>b</w:t>
            </w:r>
          </w:p>
        </w:tc>
        <w:tc>
          <w:tcPr>
            <w:tcW w:w="992" w:type="dxa"/>
            <w:shd w:val="clear" w:color="auto" w:fill="FFFFFF"/>
          </w:tcPr>
          <w:p w14:paraId="4A7004E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0.204</w:t>
            </w:r>
          </w:p>
        </w:tc>
      </w:tr>
      <w:tr w:rsidR="00D01483" w14:paraId="2750932F" w14:textId="77777777">
        <w:trPr>
          <w:cantSplit/>
        </w:trPr>
        <w:tc>
          <w:tcPr>
            <w:tcW w:w="3003" w:type="dxa"/>
            <w:gridSpan w:val="2"/>
            <w:shd w:val="clear" w:color="auto" w:fill="FFFFFF"/>
          </w:tcPr>
          <w:p w14:paraId="145B908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Alkaline phosphatase IU/L;</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Median [IQR] (Range)</w:t>
            </w:r>
          </w:p>
        </w:tc>
        <w:tc>
          <w:tcPr>
            <w:tcW w:w="1553" w:type="dxa"/>
            <w:gridSpan w:val="2"/>
            <w:shd w:val="clear" w:color="auto" w:fill="FFFFFF"/>
          </w:tcPr>
          <w:p w14:paraId="17C50F6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143.0;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[97.0 - 221.0]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(6.2 - 2369.0)</w:t>
            </w:r>
          </w:p>
        </w:tc>
        <w:tc>
          <w:tcPr>
            <w:tcW w:w="2126" w:type="dxa"/>
            <w:gridSpan w:val="2"/>
            <w:shd w:val="clear" w:color="auto" w:fill="FFFFFF"/>
          </w:tcPr>
          <w:p w14:paraId="7DED5D6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144.5;</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[97.0 - 231.5]</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(6.2 - 2369.0)</w:t>
            </w:r>
          </w:p>
        </w:tc>
        <w:tc>
          <w:tcPr>
            <w:tcW w:w="1843" w:type="dxa"/>
            <w:gridSpan w:val="2"/>
            <w:shd w:val="clear" w:color="auto" w:fill="FFFFFF"/>
          </w:tcPr>
          <w:p w14:paraId="16260B7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131.0;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[98.0 - 167.0]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(45.0 - 1410.0)</w:t>
            </w:r>
          </w:p>
        </w:tc>
        <w:tc>
          <w:tcPr>
            <w:tcW w:w="992" w:type="dxa"/>
            <w:shd w:val="clear" w:color="auto" w:fill="FFFFFF"/>
          </w:tcPr>
          <w:p w14:paraId="4C92D19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1.041</w:t>
            </w:r>
            <w:r>
              <w:rPr>
                <w:rFonts w:ascii="Book Antiqua" w:hAnsi="Book Antiqua" w:cstheme="minorHAnsi"/>
                <w:color w:val="000000" w:themeColor="text1"/>
                <w:vertAlign w:val="superscript"/>
              </w:rPr>
              <w:t>b</w:t>
            </w:r>
          </w:p>
        </w:tc>
        <w:tc>
          <w:tcPr>
            <w:tcW w:w="992" w:type="dxa"/>
            <w:shd w:val="clear" w:color="auto" w:fill="FFFFFF"/>
          </w:tcPr>
          <w:p w14:paraId="377F3CE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0.298</w:t>
            </w:r>
          </w:p>
        </w:tc>
      </w:tr>
      <w:tr w:rsidR="00D01483" w14:paraId="185C5C8E" w14:textId="77777777">
        <w:trPr>
          <w:cantSplit/>
        </w:trPr>
        <w:tc>
          <w:tcPr>
            <w:tcW w:w="3003" w:type="dxa"/>
            <w:gridSpan w:val="2"/>
            <w:shd w:val="clear" w:color="auto" w:fill="FFFFFF"/>
          </w:tcPr>
          <w:p w14:paraId="592B321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Donor age (years);</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mean ± SD (Range)</w:t>
            </w:r>
          </w:p>
        </w:tc>
        <w:tc>
          <w:tcPr>
            <w:tcW w:w="1553" w:type="dxa"/>
            <w:gridSpan w:val="2"/>
            <w:shd w:val="clear" w:color="auto" w:fill="FFFFFF"/>
          </w:tcPr>
          <w:p w14:paraId="692C6E4B"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29.8 ± 6.3;</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(16.0 - 48.0)</w:t>
            </w:r>
          </w:p>
        </w:tc>
        <w:tc>
          <w:tcPr>
            <w:tcW w:w="2126" w:type="dxa"/>
            <w:gridSpan w:val="2"/>
            <w:shd w:val="clear" w:color="auto" w:fill="FFFFFF"/>
          </w:tcPr>
          <w:p w14:paraId="68903552"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30.0 ± 6.3;</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(16.0 - 48.0)</w:t>
            </w:r>
          </w:p>
        </w:tc>
        <w:tc>
          <w:tcPr>
            <w:tcW w:w="1843" w:type="dxa"/>
            <w:gridSpan w:val="2"/>
            <w:shd w:val="clear" w:color="auto" w:fill="FFFFFF"/>
          </w:tcPr>
          <w:p w14:paraId="7F5A7136"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28.0 ± 5.9;</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(18.0 - 39.0)</w:t>
            </w:r>
          </w:p>
        </w:tc>
        <w:tc>
          <w:tcPr>
            <w:tcW w:w="992" w:type="dxa"/>
            <w:shd w:val="clear" w:color="auto" w:fill="FFFFFF"/>
          </w:tcPr>
          <w:p w14:paraId="4BB6306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1.731</w:t>
            </w:r>
            <w:r>
              <w:rPr>
                <w:rFonts w:ascii="Book Antiqua" w:hAnsi="Book Antiqua" w:cstheme="minorHAnsi"/>
                <w:color w:val="000000" w:themeColor="text1"/>
                <w:vertAlign w:val="superscript"/>
              </w:rPr>
              <w:t>a</w:t>
            </w:r>
          </w:p>
        </w:tc>
        <w:tc>
          <w:tcPr>
            <w:tcW w:w="992" w:type="dxa"/>
            <w:shd w:val="clear" w:color="auto" w:fill="FFFFFF"/>
          </w:tcPr>
          <w:p w14:paraId="276CEA1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0.084</w:t>
            </w:r>
          </w:p>
        </w:tc>
      </w:tr>
      <w:tr w:rsidR="00D01483" w14:paraId="4A8E7B77" w14:textId="77777777">
        <w:trPr>
          <w:cantSplit/>
        </w:trPr>
        <w:tc>
          <w:tcPr>
            <w:tcW w:w="1170" w:type="dxa"/>
            <w:vMerge w:val="restart"/>
            <w:shd w:val="clear" w:color="auto" w:fill="FFFFFF"/>
          </w:tcPr>
          <w:p w14:paraId="2A5766E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Donor gender</w:t>
            </w:r>
          </w:p>
        </w:tc>
        <w:tc>
          <w:tcPr>
            <w:tcW w:w="1833" w:type="dxa"/>
            <w:shd w:val="clear" w:color="auto" w:fill="FFFFFF"/>
          </w:tcPr>
          <w:p w14:paraId="7613E2B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Female</w:t>
            </w:r>
          </w:p>
        </w:tc>
        <w:tc>
          <w:tcPr>
            <w:tcW w:w="562" w:type="dxa"/>
            <w:shd w:val="clear" w:color="auto" w:fill="FFFFFF"/>
          </w:tcPr>
          <w:p w14:paraId="73EE74A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94</w:t>
            </w:r>
          </w:p>
        </w:tc>
        <w:tc>
          <w:tcPr>
            <w:tcW w:w="991" w:type="dxa"/>
            <w:shd w:val="clear" w:color="auto" w:fill="FFFFFF"/>
          </w:tcPr>
          <w:p w14:paraId="1DFE1E9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31.4</w:t>
            </w:r>
          </w:p>
        </w:tc>
        <w:tc>
          <w:tcPr>
            <w:tcW w:w="567" w:type="dxa"/>
            <w:shd w:val="clear" w:color="auto" w:fill="FFFFFF"/>
          </w:tcPr>
          <w:p w14:paraId="38E813F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83</w:t>
            </w:r>
          </w:p>
        </w:tc>
        <w:tc>
          <w:tcPr>
            <w:tcW w:w="1559" w:type="dxa"/>
            <w:shd w:val="clear" w:color="auto" w:fill="FFFFFF"/>
          </w:tcPr>
          <w:p w14:paraId="3A52E2C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31.0%</w:t>
            </w:r>
          </w:p>
        </w:tc>
        <w:tc>
          <w:tcPr>
            <w:tcW w:w="567" w:type="dxa"/>
            <w:shd w:val="clear" w:color="auto" w:fill="FFFFFF"/>
          </w:tcPr>
          <w:p w14:paraId="18D2529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11</w:t>
            </w:r>
          </w:p>
        </w:tc>
        <w:tc>
          <w:tcPr>
            <w:tcW w:w="1276" w:type="dxa"/>
            <w:shd w:val="clear" w:color="auto" w:fill="FFFFFF"/>
          </w:tcPr>
          <w:p w14:paraId="57B75F7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35.5</w:t>
            </w:r>
          </w:p>
        </w:tc>
        <w:tc>
          <w:tcPr>
            <w:tcW w:w="992" w:type="dxa"/>
            <w:vMerge w:val="restart"/>
            <w:shd w:val="clear" w:color="auto" w:fill="FFFFFF"/>
          </w:tcPr>
          <w:p w14:paraId="30D5642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0.263</w:t>
            </w:r>
            <w:r>
              <w:rPr>
                <w:rFonts w:ascii="Book Antiqua" w:hAnsi="Book Antiqua" w:cstheme="minorHAnsi"/>
                <w:color w:val="000000" w:themeColor="text1"/>
                <w:vertAlign w:val="superscript"/>
              </w:rPr>
              <w:t>c</w:t>
            </w:r>
          </w:p>
        </w:tc>
        <w:tc>
          <w:tcPr>
            <w:tcW w:w="992" w:type="dxa"/>
            <w:vMerge w:val="restart"/>
            <w:shd w:val="clear" w:color="auto" w:fill="FFFFFF"/>
          </w:tcPr>
          <w:p w14:paraId="0570919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0.608</w:t>
            </w:r>
          </w:p>
        </w:tc>
      </w:tr>
      <w:tr w:rsidR="00D01483" w14:paraId="23110668" w14:textId="77777777">
        <w:trPr>
          <w:cantSplit/>
        </w:trPr>
        <w:tc>
          <w:tcPr>
            <w:tcW w:w="3003" w:type="dxa"/>
            <w:vMerge/>
            <w:vAlign w:val="center"/>
          </w:tcPr>
          <w:p w14:paraId="572358C0" w14:textId="77777777" w:rsidR="00D01483" w:rsidRDefault="00D01483">
            <w:pPr>
              <w:spacing w:line="360" w:lineRule="auto"/>
              <w:jc w:val="both"/>
              <w:rPr>
                <w:rFonts w:ascii="Book Antiqua" w:hAnsi="Book Antiqua" w:cstheme="minorHAnsi"/>
                <w:color w:val="000000" w:themeColor="text1"/>
              </w:rPr>
            </w:pPr>
          </w:p>
        </w:tc>
        <w:tc>
          <w:tcPr>
            <w:tcW w:w="1833" w:type="dxa"/>
            <w:shd w:val="clear" w:color="auto" w:fill="FFFFFF"/>
          </w:tcPr>
          <w:p w14:paraId="0210936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Male</w:t>
            </w:r>
          </w:p>
        </w:tc>
        <w:tc>
          <w:tcPr>
            <w:tcW w:w="562" w:type="dxa"/>
            <w:shd w:val="clear" w:color="auto" w:fill="FFFFFF"/>
          </w:tcPr>
          <w:p w14:paraId="50F354C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205</w:t>
            </w:r>
          </w:p>
        </w:tc>
        <w:tc>
          <w:tcPr>
            <w:tcW w:w="991" w:type="dxa"/>
            <w:shd w:val="clear" w:color="auto" w:fill="FFFFFF"/>
          </w:tcPr>
          <w:p w14:paraId="2207E38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68.6</w:t>
            </w:r>
          </w:p>
        </w:tc>
        <w:tc>
          <w:tcPr>
            <w:tcW w:w="567" w:type="dxa"/>
            <w:shd w:val="clear" w:color="auto" w:fill="FFFFFF"/>
          </w:tcPr>
          <w:p w14:paraId="23B1B53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185</w:t>
            </w:r>
          </w:p>
        </w:tc>
        <w:tc>
          <w:tcPr>
            <w:tcW w:w="1559" w:type="dxa"/>
            <w:shd w:val="clear" w:color="auto" w:fill="FFFFFF"/>
          </w:tcPr>
          <w:p w14:paraId="73812D9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69.0%</w:t>
            </w:r>
          </w:p>
        </w:tc>
        <w:tc>
          <w:tcPr>
            <w:tcW w:w="567" w:type="dxa"/>
            <w:shd w:val="clear" w:color="auto" w:fill="FFFFFF"/>
          </w:tcPr>
          <w:p w14:paraId="3DBF897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20</w:t>
            </w:r>
          </w:p>
        </w:tc>
        <w:tc>
          <w:tcPr>
            <w:tcW w:w="1276" w:type="dxa"/>
            <w:shd w:val="clear" w:color="auto" w:fill="FFFFFF"/>
          </w:tcPr>
          <w:p w14:paraId="7809ABA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64.5</w:t>
            </w:r>
          </w:p>
        </w:tc>
        <w:tc>
          <w:tcPr>
            <w:tcW w:w="992" w:type="dxa"/>
            <w:vMerge/>
            <w:vAlign w:val="center"/>
          </w:tcPr>
          <w:p w14:paraId="260B8841" w14:textId="77777777" w:rsidR="00D01483" w:rsidRDefault="00D01483">
            <w:pPr>
              <w:spacing w:line="360" w:lineRule="auto"/>
              <w:jc w:val="both"/>
              <w:rPr>
                <w:rFonts w:ascii="Book Antiqua" w:hAnsi="Book Antiqua" w:cstheme="minorHAnsi"/>
                <w:color w:val="000000" w:themeColor="text1"/>
              </w:rPr>
            </w:pPr>
          </w:p>
        </w:tc>
        <w:tc>
          <w:tcPr>
            <w:tcW w:w="992" w:type="dxa"/>
            <w:vMerge/>
            <w:vAlign w:val="center"/>
          </w:tcPr>
          <w:p w14:paraId="2376E3E1" w14:textId="77777777" w:rsidR="00D01483" w:rsidRDefault="00D01483">
            <w:pPr>
              <w:spacing w:line="360" w:lineRule="auto"/>
              <w:jc w:val="both"/>
              <w:rPr>
                <w:rFonts w:ascii="Book Antiqua" w:hAnsi="Book Antiqua" w:cstheme="minorHAnsi"/>
                <w:color w:val="000000" w:themeColor="text1"/>
              </w:rPr>
            </w:pPr>
          </w:p>
        </w:tc>
      </w:tr>
      <w:tr w:rsidR="00D01483" w14:paraId="55C1CA8F" w14:textId="77777777">
        <w:trPr>
          <w:cantSplit/>
        </w:trPr>
        <w:tc>
          <w:tcPr>
            <w:tcW w:w="3003" w:type="dxa"/>
            <w:gridSpan w:val="2"/>
            <w:tcBorders>
              <w:top w:val="nil"/>
              <w:left w:val="nil"/>
              <w:bottom w:val="single" w:sz="4" w:space="0" w:color="auto"/>
              <w:right w:val="nil"/>
            </w:tcBorders>
            <w:shd w:val="clear" w:color="auto" w:fill="FFFFFF"/>
          </w:tcPr>
          <w:p w14:paraId="5F2F8B30" w14:textId="77777777" w:rsidR="00D01483" w:rsidRDefault="007E3D42">
            <w:pPr>
              <w:autoSpaceDE w:val="0"/>
              <w:autoSpaceDN w:val="0"/>
              <w:adjustRightIn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Donor BMI (Kg/m</w:t>
            </w:r>
            <w:r>
              <w:rPr>
                <w:rFonts w:ascii="Book Antiqua" w:hAnsi="Book Antiqua" w:cstheme="minorHAnsi"/>
                <w:color w:val="000000" w:themeColor="text1"/>
                <w:vertAlign w:val="superscript"/>
              </w:rPr>
              <w:t>2</w:t>
            </w:r>
            <w:r>
              <w:rPr>
                <w:rFonts w:ascii="Book Antiqua" w:hAnsi="Book Antiqua" w:cstheme="minorHAnsi"/>
                <w:color w:val="000000" w:themeColor="text1"/>
              </w:rPr>
              <w:t>);</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mean ± SD (Range)</w:t>
            </w:r>
          </w:p>
        </w:tc>
        <w:tc>
          <w:tcPr>
            <w:tcW w:w="1553" w:type="dxa"/>
            <w:gridSpan w:val="2"/>
            <w:tcBorders>
              <w:top w:val="nil"/>
              <w:left w:val="nil"/>
              <w:bottom w:val="single" w:sz="4" w:space="0" w:color="auto"/>
              <w:right w:val="nil"/>
            </w:tcBorders>
            <w:shd w:val="clear" w:color="auto" w:fill="FFFFFF"/>
          </w:tcPr>
          <w:p w14:paraId="3DFB8E40"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23.7 ± 2.6;</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(17.7 - 32.0)</w:t>
            </w:r>
          </w:p>
        </w:tc>
        <w:tc>
          <w:tcPr>
            <w:tcW w:w="2126" w:type="dxa"/>
            <w:gridSpan w:val="2"/>
            <w:tcBorders>
              <w:top w:val="nil"/>
              <w:left w:val="nil"/>
              <w:bottom w:val="single" w:sz="4" w:space="0" w:color="auto"/>
              <w:right w:val="nil"/>
            </w:tcBorders>
            <w:shd w:val="clear" w:color="auto" w:fill="FFFFFF"/>
          </w:tcPr>
          <w:p w14:paraId="768CF09C"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23.8 ± 2.6;</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(17.7 - 32.0)</w:t>
            </w:r>
          </w:p>
        </w:tc>
        <w:tc>
          <w:tcPr>
            <w:tcW w:w="1843" w:type="dxa"/>
            <w:gridSpan w:val="2"/>
            <w:tcBorders>
              <w:top w:val="nil"/>
              <w:left w:val="nil"/>
              <w:bottom w:val="single" w:sz="4" w:space="0" w:color="auto"/>
              <w:right w:val="nil"/>
            </w:tcBorders>
            <w:shd w:val="clear" w:color="auto" w:fill="FFFFFF"/>
          </w:tcPr>
          <w:p w14:paraId="17F775D4"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23.0 ± 2.3;</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(18.3 - 29.0)</w:t>
            </w:r>
          </w:p>
        </w:tc>
        <w:tc>
          <w:tcPr>
            <w:tcW w:w="992" w:type="dxa"/>
            <w:tcBorders>
              <w:top w:val="nil"/>
              <w:left w:val="nil"/>
              <w:bottom w:val="single" w:sz="4" w:space="0" w:color="auto"/>
              <w:right w:val="nil"/>
            </w:tcBorders>
            <w:shd w:val="clear" w:color="auto" w:fill="FFFFFF"/>
          </w:tcPr>
          <w:p w14:paraId="0B7001E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1.545</w:t>
            </w:r>
            <w:r>
              <w:rPr>
                <w:rFonts w:ascii="Book Antiqua" w:hAnsi="Book Antiqua" w:cstheme="minorHAnsi"/>
                <w:color w:val="000000" w:themeColor="text1"/>
                <w:vertAlign w:val="superscript"/>
              </w:rPr>
              <w:t>a</w:t>
            </w:r>
          </w:p>
        </w:tc>
        <w:tc>
          <w:tcPr>
            <w:tcW w:w="992" w:type="dxa"/>
            <w:tcBorders>
              <w:top w:val="nil"/>
              <w:left w:val="nil"/>
              <w:bottom w:val="single" w:sz="4" w:space="0" w:color="auto"/>
              <w:right w:val="nil"/>
            </w:tcBorders>
            <w:shd w:val="clear" w:color="auto" w:fill="FFFFFF"/>
          </w:tcPr>
          <w:p w14:paraId="630519F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0.124</w:t>
            </w:r>
          </w:p>
        </w:tc>
      </w:tr>
    </w:tbl>
    <w:p w14:paraId="0684A1C6" w14:textId="77777777" w:rsidR="00D01483" w:rsidRDefault="007E3D42">
      <w:pPr>
        <w:spacing w:line="360" w:lineRule="auto"/>
        <w:jc w:val="both"/>
        <w:rPr>
          <w:rFonts w:ascii="Book Antiqua" w:hAnsi="Book Antiqua" w:cstheme="minorHAnsi"/>
          <w:b/>
          <w:bCs/>
          <w:color w:val="000000" w:themeColor="text1"/>
        </w:rPr>
      </w:pPr>
      <w:bookmarkStart w:id="4" w:name="_Hlk67696487"/>
      <w:r>
        <w:rPr>
          <w:rFonts w:ascii="Book Antiqua" w:hAnsi="Book Antiqua" w:cstheme="minorHAnsi"/>
          <w:color w:val="000000" w:themeColor="text1"/>
          <w:vertAlign w:val="superscript"/>
        </w:rPr>
        <w:t>a</w:t>
      </w:r>
      <w:r>
        <w:rPr>
          <w:rFonts w:ascii="Book Antiqua" w:hAnsi="Book Antiqua" w:cstheme="minorHAnsi"/>
          <w:color w:val="000000" w:themeColor="text1"/>
        </w:rPr>
        <w:t xml:space="preserve">Independent samples T-test; </w:t>
      </w:r>
      <w:r>
        <w:rPr>
          <w:rFonts w:ascii="Book Antiqua" w:hAnsi="Book Antiqua" w:cstheme="minorHAnsi"/>
          <w:color w:val="000000" w:themeColor="text1"/>
          <w:vertAlign w:val="superscript"/>
        </w:rPr>
        <w:t>b</w:t>
      </w:r>
      <w:r>
        <w:rPr>
          <w:rFonts w:ascii="Book Antiqua" w:hAnsi="Book Antiqua" w:cstheme="minorHAnsi"/>
          <w:color w:val="000000" w:themeColor="text1"/>
        </w:rPr>
        <w:t xml:space="preserve">Mann-Whitney test; </w:t>
      </w:r>
      <w:r>
        <w:rPr>
          <w:rFonts w:ascii="Book Antiqua" w:hAnsi="Book Antiqua" w:cstheme="minorHAnsi"/>
          <w:color w:val="000000" w:themeColor="text1"/>
          <w:vertAlign w:val="superscript"/>
        </w:rPr>
        <w:t>c</w:t>
      </w:r>
      <w:r>
        <w:rPr>
          <w:rFonts w:ascii="Book Antiqua" w:hAnsi="Book Antiqua" w:cstheme="minorHAnsi"/>
          <w:color w:val="000000" w:themeColor="text1"/>
        </w:rPr>
        <w:t xml:space="preserve">Pearson’s Chi square test for independence; </w:t>
      </w:r>
      <w:r>
        <w:rPr>
          <w:rFonts w:ascii="Book Antiqua" w:hAnsi="Book Antiqua" w:cstheme="minorHAnsi"/>
          <w:color w:val="000000" w:themeColor="text1"/>
          <w:vertAlign w:val="superscript"/>
        </w:rPr>
        <w:t>1</w:t>
      </w:r>
      <w:r>
        <w:rPr>
          <w:rFonts w:ascii="Book Antiqua" w:hAnsi="Book Antiqua" w:cstheme="minorHAnsi"/>
          <w:color w:val="000000" w:themeColor="text1"/>
        </w:rPr>
        <w:t>Significant at</w:t>
      </w:r>
      <w:r>
        <w:rPr>
          <w:rFonts w:ascii="Book Antiqua" w:hAnsi="Book Antiqua" w:cstheme="minorHAnsi"/>
          <w:i/>
          <w:color w:val="000000" w:themeColor="text1"/>
        </w:rPr>
        <w:t xml:space="preserve"> P</w:t>
      </w:r>
      <w:r>
        <w:rPr>
          <w:rFonts w:ascii="Book Antiqua" w:hAnsi="Book Antiqua" w:cstheme="minorHAnsi"/>
          <w:color w:val="000000" w:themeColor="text1"/>
        </w:rPr>
        <w:t xml:space="preserve"> &lt; 0.05. AIH: Autoimmune hepatitis; BMI: Body mass index; DM: Diabetes mellitus; FE: Fisher’s exact test; IQR: Interquartile range; N: Number; SD: Standard deviation; ICU: Intensive care unit; IHD: Ischemic heart disease; HCC: Hepatocellular carcinoma; PVT: Portal vein thrombosis; ESLD: End-stage liver disease; </w:t>
      </w:r>
      <w:r>
        <w:rPr>
          <w:rFonts w:ascii="Book Antiqua" w:hAnsi="Book Antiqua" w:cstheme="minorHAnsi"/>
          <w:color w:val="000000" w:themeColor="text1"/>
        </w:rPr>
        <w:lastRenderedPageBreak/>
        <w:t>HCV: Hepatitis C virus; HBV: Hepatitis B virus; BCS: Budd-Chiari syndrome; PSC: Primary sclerosing cholangitis.</w:t>
      </w:r>
      <w:bookmarkEnd w:id="4"/>
    </w:p>
    <w:p w14:paraId="293EE9E5" w14:textId="77777777" w:rsidR="00D01483" w:rsidRDefault="00D01483">
      <w:pPr>
        <w:spacing w:line="360" w:lineRule="auto"/>
        <w:jc w:val="both"/>
        <w:rPr>
          <w:rFonts w:ascii="Book Antiqua" w:hAnsi="Book Antiqua" w:cstheme="minorHAnsi"/>
          <w:b/>
          <w:bCs/>
          <w:color w:val="000000" w:themeColor="text1"/>
        </w:rPr>
      </w:pPr>
    </w:p>
    <w:p w14:paraId="6D9FBC2C"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b/>
          <w:bCs/>
          <w:color w:val="000000" w:themeColor="text1"/>
        </w:rPr>
        <w:t>Table 3 Intraoperative and postoperative data of the studied patients (total N = 299)</w:t>
      </w:r>
    </w:p>
    <w:tbl>
      <w:tblPr>
        <w:tblW w:w="10740" w:type="dxa"/>
        <w:tblInd w:w="-540" w:type="dxa"/>
        <w:tblLayout w:type="fixed"/>
        <w:tblCellMar>
          <w:left w:w="0" w:type="dxa"/>
          <w:right w:w="0" w:type="dxa"/>
        </w:tblCellMar>
        <w:tblLook w:val="04A0" w:firstRow="1" w:lastRow="0" w:firstColumn="1" w:lastColumn="0" w:noHBand="0" w:noVBand="1"/>
      </w:tblPr>
      <w:tblGrid>
        <w:gridCol w:w="1624"/>
        <w:gridCol w:w="1784"/>
        <w:gridCol w:w="11"/>
        <w:gridCol w:w="697"/>
        <w:gridCol w:w="11"/>
        <w:gridCol w:w="980"/>
        <w:gridCol w:w="11"/>
        <w:gridCol w:w="697"/>
        <w:gridCol w:w="11"/>
        <w:gridCol w:w="1234"/>
        <w:gridCol w:w="566"/>
        <w:gridCol w:w="1133"/>
        <w:gridCol w:w="990"/>
        <w:gridCol w:w="991"/>
      </w:tblGrid>
      <w:tr w:rsidR="00D01483" w14:paraId="0A6AF85A" w14:textId="77777777">
        <w:trPr>
          <w:cantSplit/>
        </w:trPr>
        <w:tc>
          <w:tcPr>
            <w:tcW w:w="3411" w:type="dxa"/>
            <w:gridSpan w:val="3"/>
            <w:tcBorders>
              <w:top w:val="single" w:sz="4" w:space="0" w:color="auto"/>
              <w:left w:val="nil"/>
              <w:bottom w:val="single" w:sz="4" w:space="0" w:color="auto"/>
              <w:right w:val="nil"/>
            </w:tcBorders>
            <w:shd w:val="clear" w:color="auto" w:fill="FFFFFF"/>
            <w:vAlign w:val="bottom"/>
          </w:tcPr>
          <w:p w14:paraId="2402D6DA" w14:textId="77777777" w:rsidR="00D01483" w:rsidRDefault="00D01483">
            <w:pPr>
              <w:autoSpaceDE w:val="0"/>
              <w:autoSpaceDN w:val="0"/>
              <w:adjustRightInd w:val="0"/>
              <w:spacing w:line="360" w:lineRule="auto"/>
              <w:jc w:val="both"/>
              <w:rPr>
                <w:rFonts w:ascii="Book Antiqua" w:hAnsi="Book Antiqua" w:cstheme="minorHAnsi"/>
                <w:color w:val="000000" w:themeColor="text1"/>
              </w:rPr>
            </w:pPr>
          </w:p>
        </w:tc>
        <w:tc>
          <w:tcPr>
            <w:tcW w:w="1701" w:type="dxa"/>
            <w:gridSpan w:val="4"/>
            <w:tcBorders>
              <w:top w:val="single" w:sz="4" w:space="0" w:color="auto"/>
              <w:left w:val="nil"/>
              <w:bottom w:val="single" w:sz="4" w:space="0" w:color="auto"/>
              <w:right w:val="nil"/>
            </w:tcBorders>
            <w:shd w:val="clear" w:color="auto" w:fill="FFFFFF"/>
            <w:vAlign w:val="bottom"/>
          </w:tcPr>
          <w:p w14:paraId="1BF92E35" w14:textId="77777777" w:rsidR="00D01483" w:rsidRDefault="007E3D42">
            <w:pPr>
              <w:autoSpaceDE w:val="0"/>
              <w:autoSpaceDN w:val="0"/>
              <w:adjustRightInd w:val="0"/>
              <w:spacing w:line="360" w:lineRule="auto"/>
              <w:ind w:left="60" w:right="60"/>
              <w:jc w:val="both"/>
              <w:rPr>
                <w:rFonts w:ascii="Book Antiqua" w:hAnsi="Book Antiqua" w:cstheme="minorHAnsi"/>
                <w:b/>
                <w:bCs/>
                <w:color w:val="000000" w:themeColor="text1"/>
              </w:rPr>
            </w:pPr>
            <w:r>
              <w:rPr>
                <w:rFonts w:ascii="Book Antiqua" w:hAnsi="Book Antiqua" w:cstheme="minorHAnsi"/>
                <w:b/>
                <w:bCs/>
                <w:color w:val="000000" w:themeColor="text1"/>
              </w:rPr>
              <w:t>Total</w:t>
            </w:r>
            <w:r>
              <w:rPr>
                <w:rFonts w:ascii="Book Antiqua" w:hAnsi="Book Antiqua" w:cstheme="minorHAnsi"/>
                <w:b/>
                <w:bCs/>
                <w:color w:val="000000" w:themeColor="text1"/>
                <w:lang w:eastAsia="zh-CN"/>
              </w:rPr>
              <w:t xml:space="preserve"> </w:t>
            </w:r>
            <w:r>
              <w:rPr>
                <w:rFonts w:ascii="Book Antiqua" w:hAnsi="Book Antiqua" w:cstheme="minorHAnsi"/>
                <w:b/>
                <w:bCs/>
                <w:color w:val="000000" w:themeColor="text1"/>
              </w:rPr>
              <w:t>(N = 299), %</w:t>
            </w:r>
          </w:p>
        </w:tc>
        <w:tc>
          <w:tcPr>
            <w:tcW w:w="1944" w:type="dxa"/>
            <w:gridSpan w:val="3"/>
            <w:tcBorders>
              <w:top w:val="single" w:sz="4" w:space="0" w:color="auto"/>
              <w:left w:val="nil"/>
              <w:bottom w:val="single" w:sz="4" w:space="0" w:color="auto"/>
              <w:right w:val="nil"/>
            </w:tcBorders>
            <w:shd w:val="clear" w:color="auto" w:fill="FFFFFF"/>
            <w:vAlign w:val="bottom"/>
          </w:tcPr>
          <w:p w14:paraId="416E65E5" w14:textId="77777777" w:rsidR="00D01483" w:rsidRDefault="007E3D42">
            <w:pPr>
              <w:autoSpaceDE w:val="0"/>
              <w:autoSpaceDN w:val="0"/>
              <w:adjustRightInd w:val="0"/>
              <w:spacing w:line="360" w:lineRule="auto"/>
              <w:ind w:left="60" w:right="60"/>
              <w:jc w:val="both"/>
              <w:rPr>
                <w:rFonts w:ascii="Book Antiqua" w:hAnsi="Book Antiqua" w:cstheme="minorHAnsi"/>
                <w:b/>
                <w:bCs/>
                <w:color w:val="000000" w:themeColor="text1"/>
              </w:rPr>
            </w:pPr>
            <w:r>
              <w:rPr>
                <w:rFonts w:ascii="Book Antiqua" w:hAnsi="Book Antiqua" w:cstheme="minorHAnsi"/>
                <w:b/>
                <w:bCs/>
                <w:color w:val="000000" w:themeColor="text1"/>
              </w:rPr>
              <w:t>No ICU readmission</w:t>
            </w:r>
            <w:r>
              <w:rPr>
                <w:rFonts w:ascii="Book Antiqua" w:hAnsi="Book Antiqua" w:cstheme="minorHAnsi"/>
                <w:b/>
                <w:bCs/>
                <w:color w:val="000000" w:themeColor="text1"/>
                <w:lang w:eastAsia="zh-CN"/>
              </w:rPr>
              <w:t xml:space="preserve"> </w:t>
            </w:r>
            <w:r>
              <w:rPr>
                <w:rFonts w:ascii="Book Antiqua" w:hAnsi="Book Antiqua" w:cstheme="minorHAnsi"/>
                <w:b/>
                <w:bCs/>
                <w:color w:val="000000" w:themeColor="text1"/>
              </w:rPr>
              <w:t>(N = 268), %</w:t>
            </w:r>
          </w:p>
        </w:tc>
        <w:tc>
          <w:tcPr>
            <w:tcW w:w="1701" w:type="dxa"/>
            <w:gridSpan w:val="2"/>
            <w:tcBorders>
              <w:top w:val="single" w:sz="4" w:space="0" w:color="auto"/>
              <w:left w:val="nil"/>
              <w:bottom w:val="single" w:sz="4" w:space="0" w:color="auto"/>
              <w:right w:val="nil"/>
            </w:tcBorders>
            <w:shd w:val="clear" w:color="auto" w:fill="FFFFFF"/>
            <w:vAlign w:val="bottom"/>
          </w:tcPr>
          <w:p w14:paraId="4347D656" w14:textId="77777777" w:rsidR="00D01483" w:rsidRDefault="007E3D42">
            <w:pPr>
              <w:autoSpaceDE w:val="0"/>
              <w:autoSpaceDN w:val="0"/>
              <w:adjustRightInd w:val="0"/>
              <w:spacing w:line="360" w:lineRule="auto"/>
              <w:ind w:left="60" w:right="60"/>
              <w:jc w:val="both"/>
              <w:rPr>
                <w:rFonts w:ascii="Book Antiqua" w:hAnsi="Book Antiqua" w:cstheme="minorHAnsi"/>
                <w:b/>
                <w:bCs/>
                <w:color w:val="000000" w:themeColor="text1"/>
              </w:rPr>
            </w:pPr>
            <w:r>
              <w:rPr>
                <w:rFonts w:ascii="Book Antiqua" w:hAnsi="Book Antiqua" w:cstheme="minorHAnsi"/>
                <w:b/>
                <w:bCs/>
                <w:color w:val="000000" w:themeColor="text1"/>
              </w:rPr>
              <w:t>ICU readmission</w:t>
            </w:r>
            <w:r>
              <w:rPr>
                <w:rFonts w:ascii="Book Antiqua" w:hAnsi="Book Antiqua" w:cstheme="minorHAnsi"/>
                <w:b/>
                <w:bCs/>
                <w:color w:val="000000" w:themeColor="text1"/>
                <w:lang w:eastAsia="zh-CN"/>
              </w:rPr>
              <w:t xml:space="preserve"> </w:t>
            </w:r>
            <w:r>
              <w:rPr>
                <w:rFonts w:ascii="Book Antiqua" w:hAnsi="Book Antiqua" w:cstheme="minorHAnsi"/>
                <w:b/>
                <w:bCs/>
                <w:color w:val="000000" w:themeColor="text1"/>
              </w:rPr>
              <w:t>(N = 31), %</w:t>
            </w:r>
          </w:p>
        </w:tc>
        <w:tc>
          <w:tcPr>
            <w:tcW w:w="991" w:type="dxa"/>
            <w:tcBorders>
              <w:top w:val="single" w:sz="4" w:space="0" w:color="auto"/>
              <w:left w:val="nil"/>
              <w:bottom w:val="single" w:sz="4" w:space="0" w:color="auto"/>
              <w:right w:val="nil"/>
            </w:tcBorders>
            <w:shd w:val="clear" w:color="auto" w:fill="FFFFFF"/>
          </w:tcPr>
          <w:p w14:paraId="35F67A68" w14:textId="77777777" w:rsidR="00D01483" w:rsidRDefault="007E3D42">
            <w:pPr>
              <w:autoSpaceDE w:val="0"/>
              <w:autoSpaceDN w:val="0"/>
              <w:adjustRightInd w:val="0"/>
              <w:spacing w:line="360" w:lineRule="auto"/>
              <w:ind w:left="60" w:right="60"/>
              <w:jc w:val="both"/>
              <w:rPr>
                <w:rFonts w:ascii="Book Antiqua" w:hAnsi="Book Antiqua" w:cstheme="minorHAnsi"/>
                <w:b/>
                <w:bCs/>
                <w:color w:val="000000" w:themeColor="text1"/>
              </w:rPr>
            </w:pPr>
            <w:r>
              <w:rPr>
                <w:rFonts w:ascii="Book Antiqua" w:hAnsi="Book Antiqua" w:cstheme="minorHAnsi"/>
                <w:b/>
                <w:bCs/>
                <w:color w:val="000000" w:themeColor="text1"/>
              </w:rPr>
              <w:t>Test statistic</w:t>
            </w:r>
          </w:p>
        </w:tc>
        <w:tc>
          <w:tcPr>
            <w:tcW w:w="992" w:type="dxa"/>
            <w:tcBorders>
              <w:top w:val="single" w:sz="4" w:space="0" w:color="auto"/>
              <w:left w:val="nil"/>
              <w:bottom w:val="single" w:sz="4" w:space="0" w:color="auto"/>
              <w:right w:val="nil"/>
            </w:tcBorders>
            <w:shd w:val="clear" w:color="auto" w:fill="FFFFFF"/>
          </w:tcPr>
          <w:p w14:paraId="4BC2C777" w14:textId="77777777" w:rsidR="00D01483" w:rsidRDefault="007E3D42">
            <w:pPr>
              <w:autoSpaceDE w:val="0"/>
              <w:autoSpaceDN w:val="0"/>
              <w:adjustRightInd w:val="0"/>
              <w:spacing w:line="360" w:lineRule="auto"/>
              <w:ind w:left="60" w:right="60"/>
              <w:jc w:val="both"/>
              <w:rPr>
                <w:rFonts w:ascii="Book Antiqua" w:hAnsi="Book Antiqua" w:cstheme="minorHAnsi"/>
                <w:b/>
                <w:bCs/>
                <w:color w:val="000000" w:themeColor="text1"/>
              </w:rPr>
            </w:pPr>
            <w:r>
              <w:rPr>
                <w:rFonts w:ascii="Book Antiqua" w:hAnsi="Book Antiqua" w:cstheme="minorHAnsi"/>
                <w:b/>
                <w:bCs/>
                <w:i/>
                <w:color w:val="000000" w:themeColor="text1"/>
              </w:rPr>
              <w:t xml:space="preserve">P </w:t>
            </w:r>
            <w:r>
              <w:rPr>
                <w:rFonts w:ascii="Book Antiqua" w:hAnsi="Book Antiqua" w:cstheme="minorHAnsi"/>
                <w:b/>
                <w:bCs/>
                <w:color w:val="000000" w:themeColor="text1"/>
              </w:rPr>
              <w:t>value</w:t>
            </w:r>
          </w:p>
        </w:tc>
      </w:tr>
      <w:tr w:rsidR="00D01483" w14:paraId="6479B5A6" w14:textId="77777777">
        <w:trPr>
          <w:cantSplit/>
        </w:trPr>
        <w:tc>
          <w:tcPr>
            <w:tcW w:w="3411" w:type="dxa"/>
            <w:gridSpan w:val="3"/>
            <w:tcBorders>
              <w:top w:val="single" w:sz="4" w:space="0" w:color="auto"/>
              <w:left w:val="nil"/>
              <w:bottom w:val="nil"/>
              <w:right w:val="nil"/>
            </w:tcBorders>
            <w:shd w:val="clear" w:color="auto" w:fill="FFFFFF"/>
          </w:tcPr>
          <w:p w14:paraId="44C6392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Waiting Time (days);</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Median [IQR] (Range)</w:t>
            </w:r>
          </w:p>
        </w:tc>
        <w:tc>
          <w:tcPr>
            <w:tcW w:w="1701" w:type="dxa"/>
            <w:gridSpan w:val="4"/>
            <w:tcBorders>
              <w:top w:val="single" w:sz="4" w:space="0" w:color="auto"/>
              <w:left w:val="nil"/>
              <w:bottom w:val="nil"/>
              <w:right w:val="nil"/>
            </w:tcBorders>
            <w:shd w:val="clear" w:color="auto" w:fill="FFFFFF"/>
          </w:tcPr>
          <w:p w14:paraId="038CAB8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86.0;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[59.0 - 120.0]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(20.0 - 546.0)</w:t>
            </w:r>
          </w:p>
        </w:tc>
        <w:tc>
          <w:tcPr>
            <w:tcW w:w="1944" w:type="dxa"/>
            <w:gridSpan w:val="3"/>
            <w:tcBorders>
              <w:top w:val="single" w:sz="4" w:space="0" w:color="auto"/>
              <w:left w:val="nil"/>
              <w:bottom w:val="nil"/>
              <w:right w:val="nil"/>
            </w:tcBorders>
            <w:shd w:val="clear" w:color="auto" w:fill="FFFFFF"/>
          </w:tcPr>
          <w:p w14:paraId="469CF94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86.5;</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[56.5 - 120.0]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(20.0 - 462.0)</w:t>
            </w:r>
          </w:p>
        </w:tc>
        <w:tc>
          <w:tcPr>
            <w:tcW w:w="1701" w:type="dxa"/>
            <w:gridSpan w:val="2"/>
            <w:tcBorders>
              <w:top w:val="single" w:sz="4" w:space="0" w:color="auto"/>
              <w:left w:val="nil"/>
              <w:bottom w:val="nil"/>
              <w:right w:val="nil"/>
            </w:tcBorders>
            <w:shd w:val="clear" w:color="auto" w:fill="FFFFFF"/>
          </w:tcPr>
          <w:p w14:paraId="0F145BE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74.0;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[65.0 - 119.0]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(29.0 - 546.0)</w:t>
            </w:r>
          </w:p>
        </w:tc>
        <w:tc>
          <w:tcPr>
            <w:tcW w:w="991" w:type="dxa"/>
            <w:tcBorders>
              <w:top w:val="single" w:sz="4" w:space="0" w:color="auto"/>
              <w:left w:val="nil"/>
              <w:bottom w:val="nil"/>
              <w:right w:val="nil"/>
            </w:tcBorders>
            <w:shd w:val="clear" w:color="auto" w:fill="FFFFFF"/>
          </w:tcPr>
          <w:p w14:paraId="1B16ACD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0.034</w:t>
            </w:r>
            <w:r>
              <w:rPr>
                <w:rFonts w:ascii="Book Antiqua" w:hAnsi="Book Antiqua" w:cstheme="minorHAnsi"/>
                <w:color w:val="000000" w:themeColor="text1"/>
                <w:vertAlign w:val="superscript"/>
              </w:rPr>
              <w:t>a</w:t>
            </w:r>
          </w:p>
        </w:tc>
        <w:tc>
          <w:tcPr>
            <w:tcW w:w="992" w:type="dxa"/>
            <w:tcBorders>
              <w:top w:val="single" w:sz="4" w:space="0" w:color="auto"/>
              <w:left w:val="nil"/>
              <w:bottom w:val="nil"/>
              <w:right w:val="nil"/>
            </w:tcBorders>
            <w:shd w:val="clear" w:color="auto" w:fill="FFFFFF"/>
          </w:tcPr>
          <w:p w14:paraId="4FF0D07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0.973</w:t>
            </w:r>
          </w:p>
        </w:tc>
      </w:tr>
      <w:tr w:rsidR="00D01483" w14:paraId="7FDBBF11" w14:textId="77777777">
        <w:trPr>
          <w:cantSplit/>
        </w:trPr>
        <w:tc>
          <w:tcPr>
            <w:tcW w:w="3411" w:type="dxa"/>
            <w:gridSpan w:val="3"/>
            <w:shd w:val="clear" w:color="auto" w:fill="FFFFFF"/>
          </w:tcPr>
          <w:p w14:paraId="2C3A946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Warm ischemia time (min);</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mean ± SD (Range)</w:t>
            </w:r>
          </w:p>
        </w:tc>
        <w:tc>
          <w:tcPr>
            <w:tcW w:w="1701" w:type="dxa"/>
            <w:gridSpan w:val="4"/>
            <w:shd w:val="clear" w:color="auto" w:fill="FFFFFF"/>
          </w:tcPr>
          <w:p w14:paraId="5E5BC087"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48.6 ± 19.4;</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(20.0 - 145.0)</w:t>
            </w:r>
          </w:p>
        </w:tc>
        <w:tc>
          <w:tcPr>
            <w:tcW w:w="1944" w:type="dxa"/>
            <w:gridSpan w:val="3"/>
            <w:shd w:val="clear" w:color="auto" w:fill="FFFFFF"/>
          </w:tcPr>
          <w:p w14:paraId="00F5F315"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48.7 ± 19.0;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(20.0 - 145.0)</w:t>
            </w:r>
          </w:p>
        </w:tc>
        <w:tc>
          <w:tcPr>
            <w:tcW w:w="1701" w:type="dxa"/>
            <w:gridSpan w:val="2"/>
            <w:shd w:val="clear" w:color="auto" w:fill="FFFFFF"/>
          </w:tcPr>
          <w:p w14:paraId="767B1FA7"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47.9 ± 22.7;</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(20.0 - 145.0)</w:t>
            </w:r>
          </w:p>
        </w:tc>
        <w:tc>
          <w:tcPr>
            <w:tcW w:w="991" w:type="dxa"/>
            <w:shd w:val="clear" w:color="auto" w:fill="FFFFFF"/>
          </w:tcPr>
          <w:p w14:paraId="6C7A3E4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0.222</w:t>
            </w:r>
            <w:r>
              <w:rPr>
                <w:rFonts w:ascii="Book Antiqua" w:hAnsi="Book Antiqua" w:cstheme="minorHAnsi"/>
                <w:color w:val="000000" w:themeColor="text1"/>
                <w:vertAlign w:val="superscript"/>
              </w:rPr>
              <w:t>b</w:t>
            </w:r>
          </w:p>
        </w:tc>
        <w:tc>
          <w:tcPr>
            <w:tcW w:w="992" w:type="dxa"/>
            <w:shd w:val="clear" w:color="auto" w:fill="FFFFFF"/>
          </w:tcPr>
          <w:p w14:paraId="28B3414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0.274</w:t>
            </w:r>
          </w:p>
        </w:tc>
      </w:tr>
      <w:tr w:rsidR="00D01483" w14:paraId="3962EAAA" w14:textId="77777777">
        <w:trPr>
          <w:cantSplit/>
        </w:trPr>
        <w:tc>
          <w:tcPr>
            <w:tcW w:w="3411" w:type="dxa"/>
            <w:gridSpan w:val="3"/>
            <w:shd w:val="clear" w:color="auto" w:fill="FFFFFF"/>
          </w:tcPr>
          <w:p w14:paraId="2C3DE89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Graft weight/GRWR;</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mean ± SD (Range)</w:t>
            </w:r>
          </w:p>
        </w:tc>
        <w:tc>
          <w:tcPr>
            <w:tcW w:w="1701" w:type="dxa"/>
            <w:gridSpan w:val="4"/>
            <w:shd w:val="clear" w:color="auto" w:fill="FFFFFF"/>
          </w:tcPr>
          <w:p w14:paraId="5E0F99AD"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1.06 ± 0.47;</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(0.01 - 6.30)</w:t>
            </w:r>
          </w:p>
        </w:tc>
        <w:tc>
          <w:tcPr>
            <w:tcW w:w="1944" w:type="dxa"/>
            <w:gridSpan w:val="3"/>
            <w:shd w:val="clear" w:color="auto" w:fill="FFFFFF"/>
          </w:tcPr>
          <w:p w14:paraId="178778FD"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1.08 ± 0.49;</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(0.01 - 6.30)</w:t>
            </w:r>
          </w:p>
        </w:tc>
        <w:tc>
          <w:tcPr>
            <w:tcW w:w="1701" w:type="dxa"/>
            <w:gridSpan w:val="2"/>
            <w:shd w:val="clear" w:color="auto" w:fill="FFFFFF"/>
          </w:tcPr>
          <w:p w14:paraId="43392E0B"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0.98 ± 0.23;</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(0.01 - 1.30)</w:t>
            </w:r>
          </w:p>
        </w:tc>
        <w:tc>
          <w:tcPr>
            <w:tcW w:w="991" w:type="dxa"/>
            <w:shd w:val="clear" w:color="auto" w:fill="FFFFFF"/>
          </w:tcPr>
          <w:p w14:paraId="03A8355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1.095</w:t>
            </w:r>
            <w:r>
              <w:rPr>
                <w:rFonts w:ascii="Book Antiqua" w:hAnsi="Book Antiqua" w:cstheme="minorHAnsi"/>
                <w:color w:val="000000" w:themeColor="text1"/>
                <w:vertAlign w:val="superscript"/>
              </w:rPr>
              <w:t>b</w:t>
            </w:r>
          </w:p>
        </w:tc>
        <w:tc>
          <w:tcPr>
            <w:tcW w:w="992" w:type="dxa"/>
            <w:shd w:val="clear" w:color="auto" w:fill="FFFFFF"/>
          </w:tcPr>
          <w:p w14:paraId="6712055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0.825</w:t>
            </w:r>
          </w:p>
        </w:tc>
      </w:tr>
      <w:tr w:rsidR="00D01483" w14:paraId="32E716D7" w14:textId="77777777">
        <w:trPr>
          <w:cantSplit/>
        </w:trPr>
        <w:tc>
          <w:tcPr>
            <w:tcW w:w="3411" w:type="dxa"/>
            <w:gridSpan w:val="3"/>
            <w:shd w:val="clear" w:color="auto" w:fill="FFFFFF"/>
          </w:tcPr>
          <w:p w14:paraId="22D1475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Cold ischemia time (min);</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Median [IQR] (Range)</w:t>
            </w:r>
          </w:p>
        </w:tc>
        <w:tc>
          <w:tcPr>
            <w:tcW w:w="1701" w:type="dxa"/>
            <w:gridSpan w:val="4"/>
            <w:shd w:val="clear" w:color="auto" w:fill="FFFFFF"/>
          </w:tcPr>
          <w:p w14:paraId="51AB78D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45.0;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[30.0 - 60.0]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(10.0 - 180.0)</w:t>
            </w:r>
          </w:p>
        </w:tc>
        <w:tc>
          <w:tcPr>
            <w:tcW w:w="1944" w:type="dxa"/>
            <w:gridSpan w:val="3"/>
            <w:shd w:val="clear" w:color="auto" w:fill="FFFFFF"/>
          </w:tcPr>
          <w:p w14:paraId="3A471FC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45.0;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[31.0 - 60.0] (10.0 - 180.0)</w:t>
            </w:r>
          </w:p>
        </w:tc>
        <w:tc>
          <w:tcPr>
            <w:tcW w:w="1701" w:type="dxa"/>
            <w:gridSpan w:val="2"/>
            <w:shd w:val="clear" w:color="auto" w:fill="FFFFFF"/>
          </w:tcPr>
          <w:p w14:paraId="559AE91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45.0;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[30.0 - 50.0] (20.0 - 125.0)</w:t>
            </w:r>
          </w:p>
        </w:tc>
        <w:tc>
          <w:tcPr>
            <w:tcW w:w="991" w:type="dxa"/>
            <w:shd w:val="clear" w:color="auto" w:fill="FFFFFF"/>
          </w:tcPr>
          <w:p w14:paraId="32EBE78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0.864</w:t>
            </w:r>
            <w:r>
              <w:rPr>
                <w:rFonts w:ascii="Book Antiqua" w:hAnsi="Book Antiqua" w:cstheme="minorHAnsi"/>
                <w:color w:val="000000" w:themeColor="text1"/>
                <w:vertAlign w:val="superscript"/>
              </w:rPr>
              <w:t>a</w:t>
            </w:r>
          </w:p>
        </w:tc>
        <w:tc>
          <w:tcPr>
            <w:tcW w:w="992" w:type="dxa"/>
            <w:shd w:val="clear" w:color="auto" w:fill="FFFFFF"/>
          </w:tcPr>
          <w:p w14:paraId="1F1CE76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0.387</w:t>
            </w:r>
          </w:p>
        </w:tc>
      </w:tr>
      <w:tr w:rsidR="00D01483" w14:paraId="6D233C06" w14:textId="77777777">
        <w:trPr>
          <w:cantSplit/>
        </w:trPr>
        <w:tc>
          <w:tcPr>
            <w:tcW w:w="3411" w:type="dxa"/>
            <w:gridSpan w:val="3"/>
            <w:shd w:val="clear" w:color="auto" w:fill="FFFFFF"/>
          </w:tcPr>
          <w:p w14:paraId="6664129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Packed red blood cells (units);</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Median [IQR] (Range)</w:t>
            </w:r>
          </w:p>
        </w:tc>
        <w:tc>
          <w:tcPr>
            <w:tcW w:w="1701" w:type="dxa"/>
            <w:gridSpan w:val="4"/>
            <w:shd w:val="clear" w:color="auto" w:fill="FFFFFF"/>
          </w:tcPr>
          <w:p w14:paraId="2829241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4.0;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[2.0 - 7.0] (1.0 - 28.0)</w:t>
            </w:r>
          </w:p>
        </w:tc>
        <w:tc>
          <w:tcPr>
            <w:tcW w:w="1944" w:type="dxa"/>
            <w:gridSpan w:val="3"/>
            <w:shd w:val="clear" w:color="auto" w:fill="FFFFFF"/>
          </w:tcPr>
          <w:p w14:paraId="4D59360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4.0;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[2.0 - 7.0] (1.0 - 28.0)</w:t>
            </w:r>
          </w:p>
        </w:tc>
        <w:tc>
          <w:tcPr>
            <w:tcW w:w="1701" w:type="dxa"/>
            <w:gridSpan w:val="2"/>
            <w:shd w:val="clear" w:color="auto" w:fill="FFFFFF"/>
          </w:tcPr>
          <w:p w14:paraId="727B926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3.0; [2.0 - 6.0] (1.0 - 17.0)</w:t>
            </w:r>
          </w:p>
        </w:tc>
        <w:tc>
          <w:tcPr>
            <w:tcW w:w="991" w:type="dxa"/>
            <w:shd w:val="clear" w:color="auto" w:fill="FFFFFF"/>
          </w:tcPr>
          <w:p w14:paraId="09AD233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0.957</w:t>
            </w:r>
            <w:r>
              <w:rPr>
                <w:rFonts w:ascii="Book Antiqua" w:hAnsi="Book Antiqua" w:cstheme="minorHAnsi"/>
                <w:color w:val="000000" w:themeColor="text1"/>
                <w:vertAlign w:val="superscript"/>
              </w:rPr>
              <w:t>a</w:t>
            </w:r>
          </w:p>
        </w:tc>
        <w:tc>
          <w:tcPr>
            <w:tcW w:w="992" w:type="dxa"/>
            <w:shd w:val="clear" w:color="auto" w:fill="FFFFFF"/>
          </w:tcPr>
          <w:p w14:paraId="522B95E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0.339</w:t>
            </w:r>
          </w:p>
        </w:tc>
      </w:tr>
      <w:tr w:rsidR="00D01483" w14:paraId="2FF61352" w14:textId="77777777">
        <w:trPr>
          <w:cantSplit/>
        </w:trPr>
        <w:tc>
          <w:tcPr>
            <w:tcW w:w="1620" w:type="dxa"/>
            <w:vMerge w:val="restart"/>
            <w:shd w:val="clear" w:color="auto" w:fill="FFFFFF"/>
          </w:tcPr>
          <w:p w14:paraId="7BC2A25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PV Anastomosis</w:t>
            </w:r>
          </w:p>
        </w:tc>
        <w:tc>
          <w:tcPr>
            <w:tcW w:w="1785" w:type="dxa"/>
            <w:shd w:val="clear" w:color="auto" w:fill="FFFFFF"/>
          </w:tcPr>
          <w:p w14:paraId="74DB070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RPV/MPV</w:t>
            </w:r>
          </w:p>
        </w:tc>
        <w:tc>
          <w:tcPr>
            <w:tcW w:w="709" w:type="dxa"/>
            <w:gridSpan w:val="2"/>
            <w:shd w:val="clear" w:color="auto" w:fill="FFFFFF"/>
          </w:tcPr>
          <w:p w14:paraId="11A9512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255</w:t>
            </w:r>
          </w:p>
        </w:tc>
        <w:tc>
          <w:tcPr>
            <w:tcW w:w="992" w:type="dxa"/>
            <w:gridSpan w:val="2"/>
            <w:shd w:val="clear" w:color="auto" w:fill="FFFFFF"/>
          </w:tcPr>
          <w:p w14:paraId="279B85F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85.3</w:t>
            </w:r>
          </w:p>
        </w:tc>
        <w:tc>
          <w:tcPr>
            <w:tcW w:w="709" w:type="dxa"/>
            <w:gridSpan w:val="2"/>
            <w:shd w:val="clear" w:color="auto" w:fill="FFFFFF"/>
          </w:tcPr>
          <w:p w14:paraId="146EEFB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230</w:t>
            </w:r>
          </w:p>
        </w:tc>
        <w:tc>
          <w:tcPr>
            <w:tcW w:w="1241" w:type="dxa"/>
            <w:gridSpan w:val="2"/>
            <w:shd w:val="clear" w:color="auto" w:fill="FFFFFF"/>
          </w:tcPr>
          <w:p w14:paraId="7EEEB53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85.8</w:t>
            </w:r>
          </w:p>
        </w:tc>
        <w:tc>
          <w:tcPr>
            <w:tcW w:w="567" w:type="dxa"/>
            <w:shd w:val="clear" w:color="auto" w:fill="FFFFFF"/>
          </w:tcPr>
          <w:p w14:paraId="26AADD3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25</w:t>
            </w:r>
          </w:p>
        </w:tc>
        <w:tc>
          <w:tcPr>
            <w:tcW w:w="1134" w:type="dxa"/>
            <w:shd w:val="clear" w:color="auto" w:fill="FFFFFF"/>
          </w:tcPr>
          <w:p w14:paraId="03F65A7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80.6</w:t>
            </w:r>
          </w:p>
        </w:tc>
        <w:tc>
          <w:tcPr>
            <w:tcW w:w="991" w:type="dxa"/>
            <w:shd w:val="clear" w:color="auto" w:fill="FFFFFF"/>
          </w:tcPr>
          <w:p w14:paraId="1CF9FB0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3D20D77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0.426</w:t>
            </w:r>
          </w:p>
        </w:tc>
      </w:tr>
      <w:tr w:rsidR="00D01483" w14:paraId="3C14C123" w14:textId="77777777">
        <w:trPr>
          <w:cantSplit/>
        </w:trPr>
        <w:tc>
          <w:tcPr>
            <w:tcW w:w="1620" w:type="dxa"/>
            <w:vMerge/>
            <w:vAlign w:val="center"/>
          </w:tcPr>
          <w:p w14:paraId="0E5001A4" w14:textId="77777777" w:rsidR="00D01483" w:rsidRDefault="00D01483">
            <w:pPr>
              <w:spacing w:line="360" w:lineRule="auto"/>
              <w:jc w:val="both"/>
              <w:rPr>
                <w:rFonts w:ascii="Book Antiqua" w:hAnsi="Book Antiqua" w:cstheme="minorHAnsi"/>
                <w:color w:val="000000" w:themeColor="text1"/>
              </w:rPr>
            </w:pPr>
          </w:p>
        </w:tc>
        <w:tc>
          <w:tcPr>
            <w:tcW w:w="1785" w:type="dxa"/>
            <w:shd w:val="clear" w:color="auto" w:fill="FFFFFF"/>
          </w:tcPr>
          <w:p w14:paraId="2E5BA3A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RPV/CPV</w:t>
            </w:r>
          </w:p>
        </w:tc>
        <w:tc>
          <w:tcPr>
            <w:tcW w:w="709" w:type="dxa"/>
            <w:gridSpan w:val="2"/>
            <w:shd w:val="clear" w:color="auto" w:fill="FFFFFF"/>
          </w:tcPr>
          <w:p w14:paraId="0CA31F6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34</w:t>
            </w:r>
          </w:p>
        </w:tc>
        <w:tc>
          <w:tcPr>
            <w:tcW w:w="992" w:type="dxa"/>
            <w:gridSpan w:val="2"/>
            <w:shd w:val="clear" w:color="auto" w:fill="FFFFFF"/>
          </w:tcPr>
          <w:p w14:paraId="68F8A06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11.4</w:t>
            </w:r>
          </w:p>
        </w:tc>
        <w:tc>
          <w:tcPr>
            <w:tcW w:w="709" w:type="dxa"/>
            <w:gridSpan w:val="2"/>
            <w:shd w:val="clear" w:color="auto" w:fill="FFFFFF"/>
          </w:tcPr>
          <w:p w14:paraId="252ECED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29</w:t>
            </w:r>
          </w:p>
        </w:tc>
        <w:tc>
          <w:tcPr>
            <w:tcW w:w="1241" w:type="dxa"/>
            <w:gridSpan w:val="2"/>
            <w:shd w:val="clear" w:color="auto" w:fill="FFFFFF"/>
          </w:tcPr>
          <w:p w14:paraId="0FC2AB4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10.8</w:t>
            </w:r>
          </w:p>
        </w:tc>
        <w:tc>
          <w:tcPr>
            <w:tcW w:w="567" w:type="dxa"/>
            <w:shd w:val="clear" w:color="auto" w:fill="FFFFFF"/>
          </w:tcPr>
          <w:p w14:paraId="3A31CF6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5</w:t>
            </w:r>
          </w:p>
        </w:tc>
        <w:tc>
          <w:tcPr>
            <w:tcW w:w="1134" w:type="dxa"/>
            <w:shd w:val="clear" w:color="auto" w:fill="FFFFFF"/>
          </w:tcPr>
          <w:p w14:paraId="23EFACD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16.1</w:t>
            </w:r>
          </w:p>
        </w:tc>
        <w:tc>
          <w:tcPr>
            <w:tcW w:w="991" w:type="dxa"/>
            <w:shd w:val="clear" w:color="auto" w:fill="FFFFFF"/>
          </w:tcPr>
          <w:p w14:paraId="3CC693F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2926443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0.372</w:t>
            </w:r>
          </w:p>
        </w:tc>
      </w:tr>
      <w:tr w:rsidR="00D01483" w14:paraId="4395D9BD" w14:textId="77777777">
        <w:trPr>
          <w:cantSplit/>
        </w:trPr>
        <w:tc>
          <w:tcPr>
            <w:tcW w:w="1620" w:type="dxa"/>
            <w:vMerge/>
            <w:vAlign w:val="center"/>
          </w:tcPr>
          <w:p w14:paraId="0342218D" w14:textId="77777777" w:rsidR="00D01483" w:rsidRDefault="00D01483">
            <w:pPr>
              <w:spacing w:line="360" w:lineRule="auto"/>
              <w:jc w:val="both"/>
              <w:rPr>
                <w:rFonts w:ascii="Book Antiqua" w:hAnsi="Book Antiqua" w:cstheme="minorHAnsi"/>
                <w:color w:val="000000" w:themeColor="text1"/>
              </w:rPr>
            </w:pPr>
          </w:p>
        </w:tc>
        <w:tc>
          <w:tcPr>
            <w:tcW w:w="1785" w:type="dxa"/>
            <w:shd w:val="clear" w:color="auto" w:fill="FFFFFF"/>
          </w:tcPr>
          <w:p w14:paraId="1B0DDCC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RPV/RPV</w:t>
            </w:r>
          </w:p>
        </w:tc>
        <w:tc>
          <w:tcPr>
            <w:tcW w:w="709" w:type="dxa"/>
            <w:gridSpan w:val="2"/>
            <w:shd w:val="clear" w:color="auto" w:fill="FFFFFF"/>
          </w:tcPr>
          <w:p w14:paraId="7DDBFE8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4</w:t>
            </w:r>
          </w:p>
        </w:tc>
        <w:tc>
          <w:tcPr>
            <w:tcW w:w="992" w:type="dxa"/>
            <w:gridSpan w:val="2"/>
            <w:shd w:val="clear" w:color="auto" w:fill="FFFFFF"/>
          </w:tcPr>
          <w:p w14:paraId="7BC1A83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1.3</w:t>
            </w:r>
          </w:p>
        </w:tc>
        <w:tc>
          <w:tcPr>
            <w:tcW w:w="709" w:type="dxa"/>
            <w:gridSpan w:val="2"/>
            <w:shd w:val="clear" w:color="auto" w:fill="FFFFFF"/>
          </w:tcPr>
          <w:p w14:paraId="4F60026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4</w:t>
            </w:r>
          </w:p>
        </w:tc>
        <w:tc>
          <w:tcPr>
            <w:tcW w:w="1241" w:type="dxa"/>
            <w:gridSpan w:val="2"/>
            <w:shd w:val="clear" w:color="auto" w:fill="FFFFFF"/>
          </w:tcPr>
          <w:p w14:paraId="314905F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1.5</w:t>
            </w:r>
          </w:p>
        </w:tc>
        <w:tc>
          <w:tcPr>
            <w:tcW w:w="567" w:type="dxa"/>
            <w:shd w:val="clear" w:color="auto" w:fill="FFFFFF"/>
          </w:tcPr>
          <w:p w14:paraId="597647F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w:t>
            </w:r>
          </w:p>
        </w:tc>
        <w:tc>
          <w:tcPr>
            <w:tcW w:w="1134" w:type="dxa"/>
            <w:shd w:val="clear" w:color="auto" w:fill="FFFFFF"/>
          </w:tcPr>
          <w:p w14:paraId="29B4B9C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w:t>
            </w:r>
          </w:p>
        </w:tc>
        <w:tc>
          <w:tcPr>
            <w:tcW w:w="991" w:type="dxa"/>
            <w:shd w:val="clear" w:color="auto" w:fill="FFFFFF"/>
          </w:tcPr>
          <w:p w14:paraId="1547233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651DCED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1.000</w:t>
            </w:r>
          </w:p>
        </w:tc>
      </w:tr>
      <w:tr w:rsidR="00D01483" w14:paraId="0EDD6B50" w14:textId="77777777">
        <w:trPr>
          <w:cantSplit/>
        </w:trPr>
        <w:tc>
          <w:tcPr>
            <w:tcW w:w="1620" w:type="dxa"/>
            <w:vMerge/>
            <w:vAlign w:val="center"/>
          </w:tcPr>
          <w:p w14:paraId="66CEFF40" w14:textId="77777777" w:rsidR="00D01483" w:rsidRDefault="00D01483">
            <w:pPr>
              <w:spacing w:line="360" w:lineRule="auto"/>
              <w:jc w:val="both"/>
              <w:rPr>
                <w:rFonts w:ascii="Book Antiqua" w:hAnsi="Book Antiqua" w:cstheme="minorHAnsi"/>
                <w:color w:val="000000" w:themeColor="text1"/>
              </w:rPr>
            </w:pPr>
          </w:p>
        </w:tc>
        <w:tc>
          <w:tcPr>
            <w:tcW w:w="1785" w:type="dxa"/>
            <w:shd w:val="clear" w:color="auto" w:fill="FFFFFF"/>
          </w:tcPr>
          <w:p w14:paraId="2E23210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LPV/LPV</w:t>
            </w:r>
          </w:p>
        </w:tc>
        <w:tc>
          <w:tcPr>
            <w:tcW w:w="709" w:type="dxa"/>
            <w:gridSpan w:val="2"/>
            <w:shd w:val="clear" w:color="auto" w:fill="FFFFFF"/>
          </w:tcPr>
          <w:p w14:paraId="14B7D1A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w:t>
            </w:r>
          </w:p>
        </w:tc>
        <w:tc>
          <w:tcPr>
            <w:tcW w:w="992" w:type="dxa"/>
            <w:gridSpan w:val="2"/>
            <w:shd w:val="clear" w:color="auto" w:fill="FFFFFF"/>
          </w:tcPr>
          <w:p w14:paraId="6AF2DD0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0.3</w:t>
            </w:r>
          </w:p>
        </w:tc>
        <w:tc>
          <w:tcPr>
            <w:tcW w:w="709" w:type="dxa"/>
            <w:gridSpan w:val="2"/>
            <w:shd w:val="clear" w:color="auto" w:fill="FFFFFF"/>
          </w:tcPr>
          <w:p w14:paraId="0215CB2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w:t>
            </w:r>
          </w:p>
        </w:tc>
        <w:tc>
          <w:tcPr>
            <w:tcW w:w="1241" w:type="dxa"/>
            <w:gridSpan w:val="2"/>
            <w:shd w:val="clear" w:color="auto" w:fill="FFFFFF"/>
          </w:tcPr>
          <w:p w14:paraId="191E816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0.4</w:t>
            </w:r>
          </w:p>
        </w:tc>
        <w:tc>
          <w:tcPr>
            <w:tcW w:w="567" w:type="dxa"/>
            <w:shd w:val="clear" w:color="auto" w:fill="FFFFFF"/>
          </w:tcPr>
          <w:p w14:paraId="425688F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w:t>
            </w:r>
          </w:p>
        </w:tc>
        <w:tc>
          <w:tcPr>
            <w:tcW w:w="1134" w:type="dxa"/>
            <w:shd w:val="clear" w:color="auto" w:fill="FFFFFF"/>
          </w:tcPr>
          <w:p w14:paraId="0CD20A1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w:t>
            </w:r>
          </w:p>
        </w:tc>
        <w:tc>
          <w:tcPr>
            <w:tcW w:w="991" w:type="dxa"/>
            <w:shd w:val="clear" w:color="auto" w:fill="FFFFFF"/>
          </w:tcPr>
          <w:p w14:paraId="70DA907D"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0BE5EDB8"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r>
      <w:tr w:rsidR="00D01483" w14:paraId="3B1662F7" w14:textId="77777777">
        <w:trPr>
          <w:cantSplit/>
        </w:trPr>
        <w:tc>
          <w:tcPr>
            <w:tcW w:w="1620" w:type="dxa"/>
            <w:vMerge/>
            <w:vAlign w:val="center"/>
          </w:tcPr>
          <w:p w14:paraId="5F6A89C4" w14:textId="77777777" w:rsidR="00D01483" w:rsidRDefault="00D01483">
            <w:pPr>
              <w:spacing w:line="360" w:lineRule="auto"/>
              <w:jc w:val="both"/>
              <w:rPr>
                <w:rFonts w:ascii="Book Antiqua" w:hAnsi="Book Antiqua" w:cstheme="minorHAnsi"/>
                <w:color w:val="000000" w:themeColor="text1"/>
              </w:rPr>
            </w:pPr>
          </w:p>
        </w:tc>
        <w:tc>
          <w:tcPr>
            <w:tcW w:w="1785" w:type="dxa"/>
            <w:shd w:val="clear" w:color="auto" w:fill="FFFFFF"/>
          </w:tcPr>
          <w:p w14:paraId="15341CC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LPV/MPV</w:t>
            </w:r>
          </w:p>
        </w:tc>
        <w:tc>
          <w:tcPr>
            <w:tcW w:w="709" w:type="dxa"/>
            <w:gridSpan w:val="2"/>
            <w:shd w:val="clear" w:color="auto" w:fill="FFFFFF"/>
          </w:tcPr>
          <w:p w14:paraId="0B4048A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w:t>
            </w:r>
          </w:p>
        </w:tc>
        <w:tc>
          <w:tcPr>
            <w:tcW w:w="992" w:type="dxa"/>
            <w:gridSpan w:val="2"/>
            <w:shd w:val="clear" w:color="auto" w:fill="FFFFFF"/>
          </w:tcPr>
          <w:p w14:paraId="3C2FB9A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0.7</w:t>
            </w:r>
          </w:p>
        </w:tc>
        <w:tc>
          <w:tcPr>
            <w:tcW w:w="709" w:type="dxa"/>
            <w:gridSpan w:val="2"/>
            <w:shd w:val="clear" w:color="auto" w:fill="FFFFFF"/>
          </w:tcPr>
          <w:p w14:paraId="0DF33CF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w:t>
            </w:r>
          </w:p>
        </w:tc>
        <w:tc>
          <w:tcPr>
            <w:tcW w:w="1241" w:type="dxa"/>
            <w:gridSpan w:val="2"/>
            <w:shd w:val="clear" w:color="auto" w:fill="FFFFFF"/>
          </w:tcPr>
          <w:p w14:paraId="47760FF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0.7</w:t>
            </w:r>
          </w:p>
        </w:tc>
        <w:tc>
          <w:tcPr>
            <w:tcW w:w="567" w:type="dxa"/>
            <w:shd w:val="clear" w:color="auto" w:fill="FFFFFF"/>
          </w:tcPr>
          <w:p w14:paraId="174F60D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w:t>
            </w:r>
          </w:p>
        </w:tc>
        <w:tc>
          <w:tcPr>
            <w:tcW w:w="1134" w:type="dxa"/>
            <w:shd w:val="clear" w:color="auto" w:fill="FFFFFF"/>
          </w:tcPr>
          <w:p w14:paraId="5B4286A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w:t>
            </w:r>
          </w:p>
        </w:tc>
        <w:tc>
          <w:tcPr>
            <w:tcW w:w="991" w:type="dxa"/>
            <w:shd w:val="clear" w:color="auto" w:fill="FFFFFF"/>
          </w:tcPr>
          <w:p w14:paraId="22345BC8"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4DB1DA74"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r>
      <w:tr w:rsidR="00D01483" w14:paraId="45FEBC48" w14:textId="77777777">
        <w:trPr>
          <w:cantSplit/>
        </w:trPr>
        <w:tc>
          <w:tcPr>
            <w:tcW w:w="1620" w:type="dxa"/>
            <w:vMerge/>
            <w:vAlign w:val="center"/>
          </w:tcPr>
          <w:p w14:paraId="64DF7ADD" w14:textId="77777777" w:rsidR="00D01483" w:rsidRDefault="00D01483">
            <w:pPr>
              <w:spacing w:line="360" w:lineRule="auto"/>
              <w:jc w:val="both"/>
              <w:rPr>
                <w:rFonts w:ascii="Book Antiqua" w:hAnsi="Book Antiqua" w:cstheme="minorHAnsi"/>
                <w:color w:val="000000" w:themeColor="text1"/>
              </w:rPr>
            </w:pPr>
          </w:p>
        </w:tc>
        <w:tc>
          <w:tcPr>
            <w:tcW w:w="1785" w:type="dxa"/>
            <w:shd w:val="clear" w:color="auto" w:fill="FFFFFF"/>
          </w:tcPr>
          <w:p w14:paraId="6C79680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RPH/CHV</w:t>
            </w:r>
          </w:p>
        </w:tc>
        <w:tc>
          <w:tcPr>
            <w:tcW w:w="709" w:type="dxa"/>
            <w:gridSpan w:val="2"/>
            <w:shd w:val="clear" w:color="auto" w:fill="FFFFFF"/>
          </w:tcPr>
          <w:p w14:paraId="08986BB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w:t>
            </w:r>
          </w:p>
        </w:tc>
        <w:tc>
          <w:tcPr>
            <w:tcW w:w="992" w:type="dxa"/>
            <w:gridSpan w:val="2"/>
            <w:shd w:val="clear" w:color="auto" w:fill="FFFFFF"/>
          </w:tcPr>
          <w:p w14:paraId="5A686A7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0.7</w:t>
            </w:r>
          </w:p>
        </w:tc>
        <w:tc>
          <w:tcPr>
            <w:tcW w:w="709" w:type="dxa"/>
            <w:gridSpan w:val="2"/>
            <w:shd w:val="clear" w:color="auto" w:fill="FFFFFF"/>
          </w:tcPr>
          <w:p w14:paraId="72C88EF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w:t>
            </w:r>
          </w:p>
        </w:tc>
        <w:tc>
          <w:tcPr>
            <w:tcW w:w="1241" w:type="dxa"/>
            <w:gridSpan w:val="2"/>
            <w:shd w:val="clear" w:color="auto" w:fill="FFFFFF"/>
          </w:tcPr>
          <w:p w14:paraId="1322C8F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0.7</w:t>
            </w:r>
          </w:p>
        </w:tc>
        <w:tc>
          <w:tcPr>
            <w:tcW w:w="567" w:type="dxa"/>
            <w:shd w:val="clear" w:color="auto" w:fill="FFFFFF"/>
          </w:tcPr>
          <w:p w14:paraId="3883AC9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w:t>
            </w:r>
          </w:p>
        </w:tc>
        <w:tc>
          <w:tcPr>
            <w:tcW w:w="1134" w:type="dxa"/>
            <w:shd w:val="clear" w:color="auto" w:fill="FFFFFF"/>
          </w:tcPr>
          <w:p w14:paraId="2E807A3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w:t>
            </w:r>
          </w:p>
        </w:tc>
        <w:tc>
          <w:tcPr>
            <w:tcW w:w="991" w:type="dxa"/>
            <w:shd w:val="clear" w:color="auto" w:fill="FFFFFF"/>
          </w:tcPr>
          <w:p w14:paraId="11DE5326"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19289C3E"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r>
      <w:tr w:rsidR="00D01483" w14:paraId="4B8AA6EB" w14:textId="77777777">
        <w:trPr>
          <w:cantSplit/>
        </w:trPr>
        <w:tc>
          <w:tcPr>
            <w:tcW w:w="1620" w:type="dxa"/>
            <w:vMerge/>
            <w:vAlign w:val="center"/>
          </w:tcPr>
          <w:p w14:paraId="5889F41D" w14:textId="77777777" w:rsidR="00D01483" w:rsidRDefault="00D01483">
            <w:pPr>
              <w:spacing w:line="360" w:lineRule="auto"/>
              <w:jc w:val="both"/>
              <w:rPr>
                <w:rFonts w:ascii="Book Antiqua" w:hAnsi="Book Antiqua" w:cstheme="minorHAnsi"/>
                <w:color w:val="000000" w:themeColor="text1"/>
              </w:rPr>
            </w:pPr>
          </w:p>
        </w:tc>
        <w:tc>
          <w:tcPr>
            <w:tcW w:w="1785" w:type="dxa"/>
            <w:shd w:val="clear" w:color="auto" w:fill="FFFFFF"/>
          </w:tcPr>
          <w:p w14:paraId="3F66F43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RPV/CBV</w:t>
            </w:r>
          </w:p>
        </w:tc>
        <w:tc>
          <w:tcPr>
            <w:tcW w:w="709" w:type="dxa"/>
            <w:gridSpan w:val="2"/>
            <w:shd w:val="clear" w:color="auto" w:fill="FFFFFF"/>
          </w:tcPr>
          <w:p w14:paraId="6BB2FF1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w:t>
            </w:r>
          </w:p>
        </w:tc>
        <w:tc>
          <w:tcPr>
            <w:tcW w:w="992" w:type="dxa"/>
            <w:gridSpan w:val="2"/>
            <w:shd w:val="clear" w:color="auto" w:fill="FFFFFF"/>
          </w:tcPr>
          <w:p w14:paraId="4CF05EB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0.3</w:t>
            </w:r>
          </w:p>
        </w:tc>
        <w:tc>
          <w:tcPr>
            <w:tcW w:w="709" w:type="dxa"/>
            <w:gridSpan w:val="2"/>
            <w:shd w:val="clear" w:color="auto" w:fill="FFFFFF"/>
          </w:tcPr>
          <w:p w14:paraId="3C6F1C4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w:t>
            </w:r>
          </w:p>
        </w:tc>
        <w:tc>
          <w:tcPr>
            <w:tcW w:w="1241" w:type="dxa"/>
            <w:gridSpan w:val="2"/>
            <w:shd w:val="clear" w:color="auto" w:fill="FFFFFF"/>
          </w:tcPr>
          <w:p w14:paraId="0D9BA7C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w:t>
            </w:r>
          </w:p>
        </w:tc>
        <w:tc>
          <w:tcPr>
            <w:tcW w:w="567" w:type="dxa"/>
            <w:shd w:val="clear" w:color="auto" w:fill="FFFFFF"/>
          </w:tcPr>
          <w:p w14:paraId="27815A8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w:t>
            </w:r>
          </w:p>
        </w:tc>
        <w:tc>
          <w:tcPr>
            <w:tcW w:w="1134" w:type="dxa"/>
            <w:shd w:val="clear" w:color="auto" w:fill="FFFFFF"/>
          </w:tcPr>
          <w:p w14:paraId="287B054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3.2</w:t>
            </w:r>
          </w:p>
        </w:tc>
        <w:tc>
          <w:tcPr>
            <w:tcW w:w="991" w:type="dxa"/>
            <w:shd w:val="clear" w:color="auto" w:fill="FFFFFF"/>
          </w:tcPr>
          <w:p w14:paraId="1287120C"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62CC1D3D"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r>
      <w:tr w:rsidR="00D01483" w14:paraId="70C92781" w14:textId="77777777">
        <w:trPr>
          <w:cantSplit/>
        </w:trPr>
        <w:tc>
          <w:tcPr>
            <w:tcW w:w="1620" w:type="dxa"/>
            <w:vMerge/>
            <w:vAlign w:val="center"/>
          </w:tcPr>
          <w:p w14:paraId="21326595" w14:textId="77777777" w:rsidR="00D01483" w:rsidRDefault="00D01483">
            <w:pPr>
              <w:spacing w:line="360" w:lineRule="auto"/>
              <w:jc w:val="both"/>
              <w:rPr>
                <w:rFonts w:ascii="Book Antiqua" w:hAnsi="Book Antiqua" w:cstheme="minorHAnsi"/>
                <w:color w:val="000000" w:themeColor="text1"/>
              </w:rPr>
            </w:pPr>
          </w:p>
        </w:tc>
        <w:tc>
          <w:tcPr>
            <w:tcW w:w="1785" w:type="dxa"/>
            <w:shd w:val="clear" w:color="auto" w:fill="FFFFFF"/>
          </w:tcPr>
          <w:p w14:paraId="256FC14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RPV/CHV</w:t>
            </w:r>
          </w:p>
        </w:tc>
        <w:tc>
          <w:tcPr>
            <w:tcW w:w="709" w:type="dxa"/>
            <w:gridSpan w:val="2"/>
            <w:shd w:val="clear" w:color="auto" w:fill="FFFFFF"/>
          </w:tcPr>
          <w:p w14:paraId="4B5754F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w:t>
            </w:r>
          </w:p>
        </w:tc>
        <w:tc>
          <w:tcPr>
            <w:tcW w:w="992" w:type="dxa"/>
            <w:gridSpan w:val="2"/>
            <w:shd w:val="clear" w:color="auto" w:fill="FFFFFF"/>
          </w:tcPr>
          <w:p w14:paraId="7063E8E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0.3</w:t>
            </w:r>
          </w:p>
        </w:tc>
        <w:tc>
          <w:tcPr>
            <w:tcW w:w="709" w:type="dxa"/>
            <w:gridSpan w:val="2"/>
            <w:shd w:val="clear" w:color="auto" w:fill="FFFFFF"/>
          </w:tcPr>
          <w:p w14:paraId="43EA462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w:t>
            </w:r>
          </w:p>
        </w:tc>
        <w:tc>
          <w:tcPr>
            <w:tcW w:w="1241" w:type="dxa"/>
            <w:gridSpan w:val="2"/>
            <w:shd w:val="clear" w:color="auto" w:fill="FFFFFF"/>
          </w:tcPr>
          <w:p w14:paraId="0D91F90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0.4</w:t>
            </w:r>
          </w:p>
        </w:tc>
        <w:tc>
          <w:tcPr>
            <w:tcW w:w="567" w:type="dxa"/>
            <w:shd w:val="clear" w:color="auto" w:fill="FFFFFF"/>
          </w:tcPr>
          <w:p w14:paraId="340C01A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w:t>
            </w:r>
          </w:p>
        </w:tc>
        <w:tc>
          <w:tcPr>
            <w:tcW w:w="1134" w:type="dxa"/>
            <w:shd w:val="clear" w:color="auto" w:fill="FFFFFF"/>
          </w:tcPr>
          <w:p w14:paraId="4BA8114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w:t>
            </w:r>
          </w:p>
        </w:tc>
        <w:tc>
          <w:tcPr>
            <w:tcW w:w="991" w:type="dxa"/>
            <w:shd w:val="clear" w:color="auto" w:fill="FFFFFF"/>
          </w:tcPr>
          <w:p w14:paraId="09AC8234"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3A0BC674"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r>
      <w:tr w:rsidR="00D01483" w14:paraId="685A4B7C" w14:textId="77777777">
        <w:trPr>
          <w:cantSplit/>
        </w:trPr>
        <w:tc>
          <w:tcPr>
            <w:tcW w:w="1620" w:type="dxa"/>
            <w:vMerge w:val="restart"/>
            <w:shd w:val="clear" w:color="auto" w:fill="FFFFFF"/>
          </w:tcPr>
          <w:p w14:paraId="6FFD781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HA Anastomosis</w:t>
            </w:r>
          </w:p>
        </w:tc>
        <w:tc>
          <w:tcPr>
            <w:tcW w:w="1785" w:type="dxa"/>
            <w:shd w:val="clear" w:color="auto" w:fill="FFFFFF"/>
          </w:tcPr>
          <w:p w14:paraId="69F62BA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RHA/RHA</w:t>
            </w:r>
          </w:p>
        </w:tc>
        <w:tc>
          <w:tcPr>
            <w:tcW w:w="709" w:type="dxa"/>
            <w:gridSpan w:val="2"/>
            <w:shd w:val="clear" w:color="auto" w:fill="FFFFFF"/>
          </w:tcPr>
          <w:p w14:paraId="23F4AEC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280</w:t>
            </w:r>
          </w:p>
        </w:tc>
        <w:tc>
          <w:tcPr>
            <w:tcW w:w="992" w:type="dxa"/>
            <w:gridSpan w:val="2"/>
            <w:shd w:val="clear" w:color="auto" w:fill="FFFFFF"/>
          </w:tcPr>
          <w:p w14:paraId="7CE1183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93.6</w:t>
            </w:r>
          </w:p>
        </w:tc>
        <w:tc>
          <w:tcPr>
            <w:tcW w:w="709" w:type="dxa"/>
            <w:gridSpan w:val="2"/>
            <w:shd w:val="clear" w:color="auto" w:fill="FFFFFF"/>
          </w:tcPr>
          <w:p w14:paraId="626A408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252</w:t>
            </w:r>
          </w:p>
        </w:tc>
        <w:tc>
          <w:tcPr>
            <w:tcW w:w="1241" w:type="dxa"/>
            <w:gridSpan w:val="2"/>
            <w:shd w:val="clear" w:color="auto" w:fill="FFFFFF"/>
          </w:tcPr>
          <w:p w14:paraId="213B744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94.0</w:t>
            </w:r>
          </w:p>
        </w:tc>
        <w:tc>
          <w:tcPr>
            <w:tcW w:w="567" w:type="dxa"/>
            <w:shd w:val="clear" w:color="auto" w:fill="FFFFFF"/>
          </w:tcPr>
          <w:p w14:paraId="00E9C3A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28</w:t>
            </w:r>
          </w:p>
        </w:tc>
        <w:tc>
          <w:tcPr>
            <w:tcW w:w="1134" w:type="dxa"/>
            <w:shd w:val="clear" w:color="auto" w:fill="FFFFFF"/>
          </w:tcPr>
          <w:p w14:paraId="2304C0E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90.3</w:t>
            </w:r>
          </w:p>
        </w:tc>
        <w:tc>
          <w:tcPr>
            <w:tcW w:w="991" w:type="dxa"/>
            <w:shd w:val="clear" w:color="auto" w:fill="FFFFFF"/>
          </w:tcPr>
          <w:p w14:paraId="08693DD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4875C02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0.708</w:t>
            </w:r>
          </w:p>
        </w:tc>
      </w:tr>
      <w:tr w:rsidR="00D01483" w14:paraId="6A43530B" w14:textId="77777777">
        <w:trPr>
          <w:cantSplit/>
        </w:trPr>
        <w:tc>
          <w:tcPr>
            <w:tcW w:w="1620" w:type="dxa"/>
            <w:vMerge/>
            <w:vAlign w:val="center"/>
          </w:tcPr>
          <w:p w14:paraId="6B0EC0FE" w14:textId="77777777" w:rsidR="00D01483" w:rsidRDefault="00D01483">
            <w:pPr>
              <w:spacing w:line="360" w:lineRule="auto"/>
              <w:jc w:val="both"/>
              <w:rPr>
                <w:rFonts w:ascii="Book Antiqua" w:hAnsi="Book Antiqua" w:cstheme="minorHAnsi"/>
                <w:color w:val="000000" w:themeColor="text1"/>
              </w:rPr>
            </w:pPr>
          </w:p>
        </w:tc>
        <w:tc>
          <w:tcPr>
            <w:tcW w:w="1785" w:type="dxa"/>
            <w:shd w:val="clear" w:color="auto" w:fill="FFFFFF"/>
          </w:tcPr>
          <w:p w14:paraId="300EAE2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RHA/LHA</w:t>
            </w:r>
          </w:p>
        </w:tc>
        <w:tc>
          <w:tcPr>
            <w:tcW w:w="709" w:type="dxa"/>
            <w:gridSpan w:val="2"/>
            <w:shd w:val="clear" w:color="auto" w:fill="FFFFFF"/>
          </w:tcPr>
          <w:p w14:paraId="3E3C254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18</w:t>
            </w:r>
          </w:p>
        </w:tc>
        <w:tc>
          <w:tcPr>
            <w:tcW w:w="992" w:type="dxa"/>
            <w:gridSpan w:val="2"/>
            <w:shd w:val="clear" w:color="auto" w:fill="FFFFFF"/>
          </w:tcPr>
          <w:p w14:paraId="246FBC9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6.0</w:t>
            </w:r>
          </w:p>
        </w:tc>
        <w:tc>
          <w:tcPr>
            <w:tcW w:w="709" w:type="dxa"/>
            <w:gridSpan w:val="2"/>
            <w:shd w:val="clear" w:color="auto" w:fill="FFFFFF"/>
          </w:tcPr>
          <w:p w14:paraId="6DA38B0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15</w:t>
            </w:r>
          </w:p>
        </w:tc>
        <w:tc>
          <w:tcPr>
            <w:tcW w:w="1241" w:type="dxa"/>
            <w:gridSpan w:val="2"/>
            <w:shd w:val="clear" w:color="auto" w:fill="FFFFFF"/>
          </w:tcPr>
          <w:p w14:paraId="3618998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5.6</w:t>
            </w:r>
          </w:p>
        </w:tc>
        <w:tc>
          <w:tcPr>
            <w:tcW w:w="567" w:type="dxa"/>
            <w:shd w:val="clear" w:color="auto" w:fill="FFFFFF"/>
          </w:tcPr>
          <w:p w14:paraId="68C5B25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w:t>
            </w:r>
          </w:p>
        </w:tc>
        <w:tc>
          <w:tcPr>
            <w:tcW w:w="1134" w:type="dxa"/>
            <w:shd w:val="clear" w:color="auto" w:fill="FFFFFF"/>
          </w:tcPr>
          <w:p w14:paraId="0356C01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9.7</w:t>
            </w:r>
          </w:p>
        </w:tc>
        <w:tc>
          <w:tcPr>
            <w:tcW w:w="991" w:type="dxa"/>
            <w:shd w:val="clear" w:color="auto" w:fill="FFFFFF"/>
          </w:tcPr>
          <w:p w14:paraId="3213229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2321FF1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0.606</w:t>
            </w:r>
          </w:p>
        </w:tc>
      </w:tr>
      <w:tr w:rsidR="00D01483" w14:paraId="78F78833" w14:textId="77777777">
        <w:trPr>
          <w:cantSplit/>
        </w:trPr>
        <w:tc>
          <w:tcPr>
            <w:tcW w:w="1620" w:type="dxa"/>
            <w:vMerge/>
            <w:vAlign w:val="center"/>
          </w:tcPr>
          <w:p w14:paraId="33D5B05A" w14:textId="77777777" w:rsidR="00D01483" w:rsidRDefault="00D01483">
            <w:pPr>
              <w:spacing w:line="360" w:lineRule="auto"/>
              <w:jc w:val="both"/>
              <w:rPr>
                <w:rFonts w:ascii="Book Antiqua" w:hAnsi="Book Antiqua" w:cstheme="minorHAnsi"/>
                <w:color w:val="000000" w:themeColor="text1"/>
              </w:rPr>
            </w:pPr>
          </w:p>
        </w:tc>
        <w:tc>
          <w:tcPr>
            <w:tcW w:w="1785" w:type="dxa"/>
            <w:shd w:val="clear" w:color="auto" w:fill="FFFFFF"/>
          </w:tcPr>
          <w:p w14:paraId="27DB40F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RHA/SPA</w:t>
            </w:r>
          </w:p>
        </w:tc>
        <w:tc>
          <w:tcPr>
            <w:tcW w:w="709" w:type="dxa"/>
            <w:gridSpan w:val="2"/>
            <w:shd w:val="clear" w:color="auto" w:fill="FFFFFF"/>
          </w:tcPr>
          <w:p w14:paraId="2159110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w:t>
            </w:r>
          </w:p>
        </w:tc>
        <w:tc>
          <w:tcPr>
            <w:tcW w:w="992" w:type="dxa"/>
            <w:gridSpan w:val="2"/>
            <w:shd w:val="clear" w:color="auto" w:fill="FFFFFF"/>
          </w:tcPr>
          <w:p w14:paraId="70EE778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0.3</w:t>
            </w:r>
          </w:p>
        </w:tc>
        <w:tc>
          <w:tcPr>
            <w:tcW w:w="709" w:type="dxa"/>
            <w:gridSpan w:val="2"/>
            <w:shd w:val="clear" w:color="auto" w:fill="FFFFFF"/>
          </w:tcPr>
          <w:p w14:paraId="076C754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w:t>
            </w:r>
          </w:p>
        </w:tc>
        <w:tc>
          <w:tcPr>
            <w:tcW w:w="1241" w:type="dxa"/>
            <w:gridSpan w:val="2"/>
            <w:shd w:val="clear" w:color="auto" w:fill="FFFFFF"/>
          </w:tcPr>
          <w:p w14:paraId="66DBC26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0.4</w:t>
            </w:r>
          </w:p>
        </w:tc>
        <w:tc>
          <w:tcPr>
            <w:tcW w:w="567" w:type="dxa"/>
            <w:shd w:val="clear" w:color="auto" w:fill="FFFFFF"/>
          </w:tcPr>
          <w:p w14:paraId="17BD468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w:t>
            </w:r>
          </w:p>
        </w:tc>
        <w:tc>
          <w:tcPr>
            <w:tcW w:w="1134" w:type="dxa"/>
            <w:shd w:val="clear" w:color="auto" w:fill="FFFFFF"/>
          </w:tcPr>
          <w:p w14:paraId="534683F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w:t>
            </w:r>
          </w:p>
        </w:tc>
        <w:tc>
          <w:tcPr>
            <w:tcW w:w="991" w:type="dxa"/>
            <w:shd w:val="clear" w:color="auto" w:fill="FFFFFF"/>
          </w:tcPr>
          <w:p w14:paraId="5341E1BD"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217DFA49"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r>
      <w:tr w:rsidR="00D01483" w14:paraId="548E1313" w14:textId="77777777">
        <w:trPr>
          <w:cantSplit/>
        </w:trPr>
        <w:tc>
          <w:tcPr>
            <w:tcW w:w="1620" w:type="dxa"/>
            <w:vMerge w:val="restart"/>
            <w:shd w:val="clear" w:color="auto" w:fill="FFFFFF"/>
          </w:tcPr>
          <w:p w14:paraId="4B3109E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HVs Anastomosis</w:t>
            </w:r>
          </w:p>
        </w:tc>
        <w:tc>
          <w:tcPr>
            <w:tcW w:w="1785" w:type="dxa"/>
            <w:shd w:val="clear" w:color="auto" w:fill="FFFFFF"/>
          </w:tcPr>
          <w:p w14:paraId="3354F89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RHV/RHV</w:t>
            </w:r>
          </w:p>
        </w:tc>
        <w:tc>
          <w:tcPr>
            <w:tcW w:w="709" w:type="dxa"/>
            <w:gridSpan w:val="2"/>
            <w:shd w:val="clear" w:color="auto" w:fill="FFFFFF"/>
          </w:tcPr>
          <w:p w14:paraId="5DD1C2B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278</w:t>
            </w:r>
          </w:p>
        </w:tc>
        <w:tc>
          <w:tcPr>
            <w:tcW w:w="992" w:type="dxa"/>
            <w:gridSpan w:val="2"/>
            <w:shd w:val="clear" w:color="auto" w:fill="FFFFFF"/>
          </w:tcPr>
          <w:p w14:paraId="5328157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93.0</w:t>
            </w:r>
          </w:p>
        </w:tc>
        <w:tc>
          <w:tcPr>
            <w:tcW w:w="709" w:type="dxa"/>
            <w:gridSpan w:val="2"/>
            <w:shd w:val="clear" w:color="auto" w:fill="FFFFFF"/>
          </w:tcPr>
          <w:p w14:paraId="43CB488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248</w:t>
            </w:r>
          </w:p>
        </w:tc>
        <w:tc>
          <w:tcPr>
            <w:tcW w:w="1241" w:type="dxa"/>
            <w:gridSpan w:val="2"/>
            <w:shd w:val="clear" w:color="auto" w:fill="FFFFFF"/>
          </w:tcPr>
          <w:p w14:paraId="68AAFB0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92.5</w:t>
            </w:r>
          </w:p>
        </w:tc>
        <w:tc>
          <w:tcPr>
            <w:tcW w:w="567" w:type="dxa"/>
            <w:shd w:val="clear" w:color="auto" w:fill="FFFFFF"/>
          </w:tcPr>
          <w:p w14:paraId="026DF38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30</w:t>
            </w:r>
          </w:p>
        </w:tc>
        <w:tc>
          <w:tcPr>
            <w:tcW w:w="1134" w:type="dxa"/>
            <w:shd w:val="clear" w:color="auto" w:fill="FFFFFF"/>
          </w:tcPr>
          <w:p w14:paraId="4F2502D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96.8</w:t>
            </w:r>
          </w:p>
        </w:tc>
        <w:tc>
          <w:tcPr>
            <w:tcW w:w="991" w:type="dxa"/>
            <w:shd w:val="clear" w:color="auto" w:fill="FFFFFF"/>
          </w:tcPr>
          <w:p w14:paraId="59EA1EA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05A636B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0.708</w:t>
            </w:r>
          </w:p>
        </w:tc>
      </w:tr>
      <w:tr w:rsidR="00D01483" w14:paraId="2ABFFF41" w14:textId="77777777">
        <w:trPr>
          <w:cantSplit/>
        </w:trPr>
        <w:tc>
          <w:tcPr>
            <w:tcW w:w="1620" w:type="dxa"/>
            <w:vMerge/>
            <w:vAlign w:val="center"/>
          </w:tcPr>
          <w:p w14:paraId="697E9EC2" w14:textId="77777777" w:rsidR="00D01483" w:rsidRDefault="00D01483">
            <w:pPr>
              <w:spacing w:line="360" w:lineRule="auto"/>
              <w:jc w:val="both"/>
              <w:rPr>
                <w:rFonts w:ascii="Book Antiqua" w:hAnsi="Book Antiqua" w:cstheme="minorHAnsi"/>
                <w:color w:val="000000" w:themeColor="text1"/>
              </w:rPr>
            </w:pPr>
          </w:p>
        </w:tc>
        <w:tc>
          <w:tcPr>
            <w:tcW w:w="1785" w:type="dxa"/>
            <w:shd w:val="clear" w:color="auto" w:fill="FFFFFF"/>
          </w:tcPr>
          <w:p w14:paraId="399D770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RHV/IVC</w:t>
            </w:r>
          </w:p>
        </w:tc>
        <w:tc>
          <w:tcPr>
            <w:tcW w:w="709" w:type="dxa"/>
            <w:gridSpan w:val="2"/>
            <w:shd w:val="clear" w:color="auto" w:fill="FFFFFF"/>
          </w:tcPr>
          <w:p w14:paraId="68EC3FB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w:t>
            </w:r>
          </w:p>
        </w:tc>
        <w:tc>
          <w:tcPr>
            <w:tcW w:w="992" w:type="dxa"/>
            <w:gridSpan w:val="2"/>
            <w:shd w:val="clear" w:color="auto" w:fill="FFFFFF"/>
          </w:tcPr>
          <w:p w14:paraId="4A55A9E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3.3</w:t>
            </w:r>
          </w:p>
        </w:tc>
        <w:tc>
          <w:tcPr>
            <w:tcW w:w="709" w:type="dxa"/>
            <w:gridSpan w:val="2"/>
            <w:shd w:val="clear" w:color="auto" w:fill="FFFFFF"/>
          </w:tcPr>
          <w:p w14:paraId="5363A28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w:t>
            </w:r>
          </w:p>
        </w:tc>
        <w:tc>
          <w:tcPr>
            <w:tcW w:w="1241" w:type="dxa"/>
            <w:gridSpan w:val="2"/>
            <w:shd w:val="clear" w:color="auto" w:fill="FFFFFF"/>
          </w:tcPr>
          <w:p w14:paraId="305F54A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3.7</w:t>
            </w:r>
          </w:p>
        </w:tc>
        <w:tc>
          <w:tcPr>
            <w:tcW w:w="567" w:type="dxa"/>
            <w:shd w:val="clear" w:color="auto" w:fill="FFFFFF"/>
          </w:tcPr>
          <w:p w14:paraId="543EB62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w:t>
            </w:r>
          </w:p>
        </w:tc>
        <w:tc>
          <w:tcPr>
            <w:tcW w:w="1134" w:type="dxa"/>
            <w:shd w:val="clear" w:color="auto" w:fill="FFFFFF"/>
          </w:tcPr>
          <w:p w14:paraId="04DEADD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w:t>
            </w:r>
          </w:p>
        </w:tc>
        <w:tc>
          <w:tcPr>
            <w:tcW w:w="991" w:type="dxa"/>
            <w:shd w:val="clear" w:color="auto" w:fill="FFFFFF"/>
          </w:tcPr>
          <w:p w14:paraId="6DBFE95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7668BA4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0.606</w:t>
            </w:r>
          </w:p>
        </w:tc>
      </w:tr>
      <w:tr w:rsidR="00D01483" w14:paraId="13FBA967" w14:textId="77777777">
        <w:trPr>
          <w:cantSplit/>
        </w:trPr>
        <w:tc>
          <w:tcPr>
            <w:tcW w:w="1620" w:type="dxa"/>
            <w:vMerge/>
            <w:vAlign w:val="center"/>
          </w:tcPr>
          <w:p w14:paraId="22B02E04" w14:textId="77777777" w:rsidR="00D01483" w:rsidRDefault="00D01483">
            <w:pPr>
              <w:spacing w:line="360" w:lineRule="auto"/>
              <w:jc w:val="both"/>
              <w:rPr>
                <w:rFonts w:ascii="Book Antiqua" w:hAnsi="Book Antiqua" w:cstheme="minorHAnsi"/>
                <w:color w:val="000000" w:themeColor="text1"/>
              </w:rPr>
            </w:pPr>
          </w:p>
        </w:tc>
        <w:tc>
          <w:tcPr>
            <w:tcW w:w="1785" w:type="dxa"/>
            <w:shd w:val="clear" w:color="auto" w:fill="FFFFFF"/>
          </w:tcPr>
          <w:p w14:paraId="5BE21B4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LMHV/LMHV</w:t>
            </w:r>
          </w:p>
        </w:tc>
        <w:tc>
          <w:tcPr>
            <w:tcW w:w="709" w:type="dxa"/>
            <w:gridSpan w:val="2"/>
            <w:shd w:val="clear" w:color="auto" w:fill="FFFFFF"/>
          </w:tcPr>
          <w:p w14:paraId="0C3D6C1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9</w:t>
            </w:r>
          </w:p>
        </w:tc>
        <w:tc>
          <w:tcPr>
            <w:tcW w:w="992" w:type="dxa"/>
            <w:gridSpan w:val="2"/>
            <w:shd w:val="clear" w:color="auto" w:fill="FFFFFF"/>
          </w:tcPr>
          <w:p w14:paraId="2B68FE3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3.0</w:t>
            </w:r>
          </w:p>
        </w:tc>
        <w:tc>
          <w:tcPr>
            <w:tcW w:w="709" w:type="dxa"/>
            <w:gridSpan w:val="2"/>
            <w:shd w:val="clear" w:color="auto" w:fill="FFFFFF"/>
          </w:tcPr>
          <w:p w14:paraId="75ED0C2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8</w:t>
            </w:r>
          </w:p>
        </w:tc>
        <w:tc>
          <w:tcPr>
            <w:tcW w:w="1241" w:type="dxa"/>
            <w:gridSpan w:val="2"/>
            <w:shd w:val="clear" w:color="auto" w:fill="FFFFFF"/>
          </w:tcPr>
          <w:p w14:paraId="21F7DFE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3.0</w:t>
            </w:r>
          </w:p>
        </w:tc>
        <w:tc>
          <w:tcPr>
            <w:tcW w:w="567" w:type="dxa"/>
            <w:shd w:val="clear" w:color="auto" w:fill="FFFFFF"/>
          </w:tcPr>
          <w:p w14:paraId="3D5663E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w:t>
            </w:r>
          </w:p>
        </w:tc>
        <w:tc>
          <w:tcPr>
            <w:tcW w:w="1134" w:type="dxa"/>
            <w:shd w:val="clear" w:color="auto" w:fill="FFFFFF"/>
          </w:tcPr>
          <w:p w14:paraId="3644A3B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3.2</w:t>
            </w:r>
          </w:p>
        </w:tc>
        <w:tc>
          <w:tcPr>
            <w:tcW w:w="991" w:type="dxa"/>
            <w:shd w:val="clear" w:color="auto" w:fill="FFFFFF"/>
          </w:tcPr>
          <w:p w14:paraId="024864F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2E55286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1.000</w:t>
            </w:r>
          </w:p>
        </w:tc>
      </w:tr>
      <w:tr w:rsidR="00D01483" w14:paraId="1E83184D" w14:textId="77777777">
        <w:trPr>
          <w:cantSplit/>
        </w:trPr>
        <w:tc>
          <w:tcPr>
            <w:tcW w:w="1620" w:type="dxa"/>
            <w:vMerge/>
            <w:vAlign w:val="center"/>
          </w:tcPr>
          <w:p w14:paraId="389E7E74" w14:textId="77777777" w:rsidR="00D01483" w:rsidRDefault="00D01483">
            <w:pPr>
              <w:spacing w:line="360" w:lineRule="auto"/>
              <w:jc w:val="both"/>
              <w:rPr>
                <w:rFonts w:ascii="Book Antiqua" w:hAnsi="Book Antiqua" w:cstheme="minorHAnsi"/>
                <w:color w:val="000000" w:themeColor="text1"/>
              </w:rPr>
            </w:pPr>
          </w:p>
        </w:tc>
        <w:tc>
          <w:tcPr>
            <w:tcW w:w="1785" w:type="dxa"/>
            <w:shd w:val="clear" w:color="auto" w:fill="FFFFFF"/>
          </w:tcPr>
          <w:p w14:paraId="3365FE2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RHV/MHV</w:t>
            </w:r>
          </w:p>
        </w:tc>
        <w:tc>
          <w:tcPr>
            <w:tcW w:w="709" w:type="dxa"/>
            <w:gridSpan w:val="2"/>
            <w:shd w:val="clear" w:color="auto" w:fill="FFFFFF"/>
          </w:tcPr>
          <w:p w14:paraId="6AD4327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w:t>
            </w:r>
          </w:p>
        </w:tc>
        <w:tc>
          <w:tcPr>
            <w:tcW w:w="992" w:type="dxa"/>
            <w:gridSpan w:val="2"/>
            <w:shd w:val="clear" w:color="auto" w:fill="FFFFFF"/>
          </w:tcPr>
          <w:p w14:paraId="69A0518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0.7</w:t>
            </w:r>
          </w:p>
        </w:tc>
        <w:tc>
          <w:tcPr>
            <w:tcW w:w="709" w:type="dxa"/>
            <w:gridSpan w:val="2"/>
            <w:shd w:val="clear" w:color="auto" w:fill="FFFFFF"/>
          </w:tcPr>
          <w:p w14:paraId="4664635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w:t>
            </w:r>
          </w:p>
        </w:tc>
        <w:tc>
          <w:tcPr>
            <w:tcW w:w="1241" w:type="dxa"/>
            <w:gridSpan w:val="2"/>
            <w:shd w:val="clear" w:color="auto" w:fill="FFFFFF"/>
          </w:tcPr>
          <w:p w14:paraId="1442C18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0.7</w:t>
            </w:r>
          </w:p>
        </w:tc>
        <w:tc>
          <w:tcPr>
            <w:tcW w:w="567" w:type="dxa"/>
            <w:shd w:val="clear" w:color="auto" w:fill="FFFFFF"/>
          </w:tcPr>
          <w:p w14:paraId="60079DE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w:t>
            </w:r>
          </w:p>
        </w:tc>
        <w:tc>
          <w:tcPr>
            <w:tcW w:w="1134" w:type="dxa"/>
            <w:shd w:val="clear" w:color="auto" w:fill="FFFFFF"/>
          </w:tcPr>
          <w:p w14:paraId="1F42824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w:t>
            </w:r>
          </w:p>
        </w:tc>
        <w:tc>
          <w:tcPr>
            <w:tcW w:w="991" w:type="dxa"/>
            <w:shd w:val="clear" w:color="auto" w:fill="FFFFFF"/>
          </w:tcPr>
          <w:p w14:paraId="558D07A8"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1E6B8968"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r>
      <w:tr w:rsidR="00D01483" w14:paraId="4374B967" w14:textId="77777777">
        <w:trPr>
          <w:cantSplit/>
        </w:trPr>
        <w:tc>
          <w:tcPr>
            <w:tcW w:w="1615" w:type="dxa"/>
            <w:shd w:val="clear" w:color="auto" w:fill="FFFFFF"/>
          </w:tcPr>
          <w:p w14:paraId="2647FA5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Synthetic graft</w:t>
            </w:r>
          </w:p>
        </w:tc>
        <w:tc>
          <w:tcPr>
            <w:tcW w:w="1796" w:type="dxa"/>
            <w:gridSpan w:val="2"/>
            <w:shd w:val="clear" w:color="auto" w:fill="FFFFFF"/>
          </w:tcPr>
          <w:p w14:paraId="325AE60B" w14:textId="77777777" w:rsidR="00D01483" w:rsidRDefault="00D01483">
            <w:pPr>
              <w:autoSpaceDE w:val="0"/>
              <w:autoSpaceDN w:val="0"/>
              <w:adjustRightInd w:val="0"/>
              <w:spacing w:line="360" w:lineRule="auto"/>
              <w:ind w:right="60"/>
              <w:jc w:val="both"/>
              <w:rPr>
                <w:rFonts w:ascii="Book Antiqua" w:hAnsi="Book Antiqua" w:cstheme="minorHAnsi"/>
                <w:color w:val="000000" w:themeColor="text1"/>
              </w:rPr>
            </w:pPr>
          </w:p>
        </w:tc>
        <w:tc>
          <w:tcPr>
            <w:tcW w:w="709" w:type="dxa"/>
            <w:gridSpan w:val="2"/>
            <w:shd w:val="clear" w:color="auto" w:fill="FFFFFF"/>
          </w:tcPr>
          <w:p w14:paraId="64380E0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8</w:t>
            </w:r>
          </w:p>
        </w:tc>
        <w:tc>
          <w:tcPr>
            <w:tcW w:w="992" w:type="dxa"/>
            <w:gridSpan w:val="2"/>
            <w:shd w:val="clear" w:color="auto" w:fill="FFFFFF"/>
          </w:tcPr>
          <w:p w14:paraId="55803C0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2.7</w:t>
            </w:r>
          </w:p>
        </w:tc>
        <w:tc>
          <w:tcPr>
            <w:tcW w:w="709" w:type="dxa"/>
            <w:gridSpan w:val="2"/>
            <w:shd w:val="clear" w:color="auto" w:fill="FFFFFF"/>
          </w:tcPr>
          <w:p w14:paraId="338BA59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7</w:t>
            </w:r>
          </w:p>
        </w:tc>
        <w:tc>
          <w:tcPr>
            <w:tcW w:w="1235" w:type="dxa"/>
            <w:shd w:val="clear" w:color="auto" w:fill="FFFFFF"/>
          </w:tcPr>
          <w:p w14:paraId="0F5BA16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2.6</w:t>
            </w:r>
          </w:p>
        </w:tc>
        <w:tc>
          <w:tcPr>
            <w:tcW w:w="567" w:type="dxa"/>
            <w:shd w:val="clear" w:color="auto" w:fill="FFFFFF"/>
          </w:tcPr>
          <w:p w14:paraId="494B3A8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w:t>
            </w:r>
          </w:p>
        </w:tc>
        <w:tc>
          <w:tcPr>
            <w:tcW w:w="1134" w:type="dxa"/>
            <w:shd w:val="clear" w:color="auto" w:fill="FFFFFF"/>
          </w:tcPr>
          <w:p w14:paraId="6610B4D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3.2</w:t>
            </w:r>
          </w:p>
        </w:tc>
        <w:tc>
          <w:tcPr>
            <w:tcW w:w="991" w:type="dxa"/>
            <w:shd w:val="clear" w:color="auto" w:fill="FFFFFF"/>
          </w:tcPr>
          <w:p w14:paraId="29F6829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70FD60B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0.588</w:t>
            </w:r>
          </w:p>
        </w:tc>
      </w:tr>
      <w:tr w:rsidR="00D01483" w14:paraId="2FAB47B7" w14:textId="77777777">
        <w:trPr>
          <w:cantSplit/>
        </w:trPr>
        <w:tc>
          <w:tcPr>
            <w:tcW w:w="1625" w:type="dxa"/>
            <w:shd w:val="clear" w:color="auto" w:fill="FFFFFF"/>
          </w:tcPr>
          <w:p w14:paraId="6FF98BB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Surgical vascular complications</w:t>
            </w:r>
          </w:p>
        </w:tc>
        <w:tc>
          <w:tcPr>
            <w:tcW w:w="1786" w:type="dxa"/>
            <w:gridSpan w:val="2"/>
            <w:shd w:val="clear" w:color="auto" w:fill="FFFFFF"/>
          </w:tcPr>
          <w:p w14:paraId="5372E45E"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c>
          <w:tcPr>
            <w:tcW w:w="709" w:type="dxa"/>
            <w:gridSpan w:val="2"/>
            <w:shd w:val="clear" w:color="auto" w:fill="FFFFFF"/>
          </w:tcPr>
          <w:p w14:paraId="79AFDD2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47</w:t>
            </w:r>
          </w:p>
        </w:tc>
        <w:tc>
          <w:tcPr>
            <w:tcW w:w="992" w:type="dxa"/>
            <w:gridSpan w:val="2"/>
            <w:shd w:val="clear" w:color="auto" w:fill="FFFFFF"/>
          </w:tcPr>
          <w:p w14:paraId="6AC4672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15.7</w:t>
            </w:r>
          </w:p>
        </w:tc>
        <w:tc>
          <w:tcPr>
            <w:tcW w:w="709" w:type="dxa"/>
            <w:gridSpan w:val="2"/>
            <w:shd w:val="clear" w:color="auto" w:fill="FFFFFF"/>
          </w:tcPr>
          <w:p w14:paraId="0BB532E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39</w:t>
            </w:r>
          </w:p>
        </w:tc>
        <w:tc>
          <w:tcPr>
            <w:tcW w:w="1235" w:type="dxa"/>
            <w:shd w:val="clear" w:color="auto" w:fill="FFFFFF"/>
          </w:tcPr>
          <w:p w14:paraId="416FBB7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14.6</w:t>
            </w:r>
          </w:p>
        </w:tc>
        <w:tc>
          <w:tcPr>
            <w:tcW w:w="567" w:type="dxa"/>
            <w:shd w:val="clear" w:color="auto" w:fill="FFFFFF"/>
          </w:tcPr>
          <w:p w14:paraId="76787AE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8</w:t>
            </w:r>
          </w:p>
        </w:tc>
        <w:tc>
          <w:tcPr>
            <w:tcW w:w="1134" w:type="dxa"/>
            <w:shd w:val="clear" w:color="auto" w:fill="FFFFFF"/>
          </w:tcPr>
          <w:p w14:paraId="070F0D1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25.8</w:t>
            </w:r>
          </w:p>
        </w:tc>
        <w:tc>
          <w:tcPr>
            <w:tcW w:w="991" w:type="dxa"/>
            <w:shd w:val="clear" w:color="auto" w:fill="FFFFFF"/>
          </w:tcPr>
          <w:p w14:paraId="6775EED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FE</w:t>
            </w:r>
          </w:p>
        </w:tc>
        <w:tc>
          <w:tcPr>
            <w:tcW w:w="992" w:type="dxa"/>
            <w:shd w:val="clear" w:color="auto" w:fill="FFFFFF"/>
          </w:tcPr>
          <w:p w14:paraId="3259876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0.118</w:t>
            </w:r>
          </w:p>
        </w:tc>
      </w:tr>
      <w:tr w:rsidR="00D01483" w14:paraId="43BEB2FB" w14:textId="77777777">
        <w:trPr>
          <w:cantSplit/>
        </w:trPr>
        <w:tc>
          <w:tcPr>
            <w:tcW w:w="1620" w:type="dxa"/>
            <w:vMerge w:val="restart"/>
            <w:tcBorders>
              <w:top w:val="nil"/>
              <w:left w:val="nil"/>
              <w:bottom w:val="single" w:sz="4" w:space="0" w:color="auto"/>
              <w:right w:val="nil"/>
            </w:tcBorders>
            <w:shd w:val="clear" w:color="auto" w:fill="FFFFFF"/>
          </w:tcPr>
          <w:p w14:paraId="58EB0927"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c>
          <w:tcPr>
            <w:tcW w:w="1785" w:type="dxa"/>
            <w:shd w:val="clear" w:color="auto" w:fill="FFFFFF"/>
          </w:tcPr>
          <w:p w14:paraId="4BCAF68F" w14:textId="77777777" w:rsidR="00D01483" w:rsidRDefault="007E3D42">
            <w:pPr>
              <w:autoSpaceDE w:val="0"/>
              <w:autoSpaceDN w:val="0"/>
              <w:adjustRightIn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HA stenosis</w:t>
            </w:r>
          </w:p>
        </w:tc>
        <w:tc>
          <w:tcPr>
            <w:tcW w:w="709" w:type="dxa"/>
            <w:gridSpan w:val="2"/>
            <w:shd w:val="clear" w:color="auto" w:fill="FFFFFF"/>
          </w:tcPr>
          <w:p w14:paraId="44619A2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6</w:t>
            </w:r>
          </w:p>
        </w:tc>
        <w:tc>
          <w:tcPr>
            <w:tcW w:w="992" w:type="dxa"/>
            <w:gridSpan w:val="2"/>
            <w:shd w:val="clear" w:color="auto" w:fill="FFFFFF"/>
          </w:tcPr>
          <w:p w14:paraId="6F647C1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2.0</w:t>
            </w:r>
          </w:p>
        </w:tc>
        <w:tc>
          <w:tcPr>
            <w:tcW w:w="709" w:type="dxa"/>
            <w:gridSpan w:val="2"/>
            <w:shd w:val="clear" w:color="auto" w:fill="FFFFFF"/>
          </w:tcPr>
          <w:p w14:paraId="7CF9BD6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5</w:t>
            </w:r>
          </w:p>
        </w:tc>
        <w:tc>
          <w:tcPr>
            <w:tcW w:w="1241" w:type="dxa"/>
            <w:gridSpan w:val="2"/>
            <w:shd w:val="clear" w:color="auto" w:fill="FFFFFF"/>
          </w:tcPr>
          <w:p w14:paraId="13E4B94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1.9</w:t>
            </w:r>
          </w:p>
        </w:tc>
        <w:tc>
          <w:tcPr>
            <w:tcW w:w="567" w:type="dxa"/>
            <w:shd w:val="clear" w:color="auto" w:fill="FFFFFF"/>
          </w:tcPr>
          <w:p w14:paraId="48A4483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w:t>
            </w:r>
          </w:p>
        </w:tc>
        <w:tc>
          <w:tcPr>
            <w:tcW w:w="1134" w:type="dxa"/>
            <w:shd w:val="clear" w:color="auto" w:fill="FFFFFF"/>
          </w:tcPr>
          <w:p w14:paraId="6173FA2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3.2</w:t>
            </w:r>
          </w:p>
        </w:tc>
        <w:tc>
          <w:tcPr>
            <w:tcW w:w="991" w:type="dxa"/>
            <w:shd w:val="clear" w:color="auto" w:fill="FFFFFF"/>
          </w:tcPr>
          <w:p w14:paraId="39510B54"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752C68D5"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r>
      <w:tr w:rsidR="00D01483" w14:paraId="0209353B" w14:textId="77777777">
        <w:trPr>
          <w:cantSplit/>
        </w:trPr>
        <w:tc>
          <w:tcPr>
            <w:tcW w:w="1620" w:type="dxa"/>
            <w:vMerge/>
            <w:tcBorders>
              <w:top w:val="nil"/>
              <w:left w:val="nil"/>
              <w:bottom w:val="single" w:sz="4" w:space="0" w:color="auto"/>
              <w:right w:val="nil"/>
            </w:tcBorders>
            <w:vAlign w:val="center"/>
          </w:tcPr>
          <w:p w14:paraId="05E52DEA" w14:textId="77777777" w:rsidR="00D01483" w:rsidRDefault="00D01483">
            <w:pPr>
              <w:spacing w:line="360" w:lineRule="auto"/>
              <w:jc w:val="both"/>
              <w:rPr>
                <w:rFonts w:ascii="Book Antiqua" w:hAnsi="Book Antiqua" w:cstheme="minorHAnsi"/>
                <w:color w:val="000000" w:themeColor="text1"/>
              </w:rPr>
            </w:pPr>
          </w:p>
        </w:tc>
        <w:tc>
          <w:tcPr>
            <w:tcW w:w="1785" w:type="dxa"/>
            <w:shd w:val="clear" w:color="auto" w:fill="FFFFFF"/>
          </w:tcPr>
          <w:p w14:paraId="441F1E9C"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HA thrombosis</w:t>
            </w:r>
          </w:p>
        </w:tc>
        <w:tc>
          <w:tcPr>
            <w:tcW w:w="709" w:type="dxa"/>
            <w:gridSpan w:val="2"/>
            <w:shd w:val="clear" w:color="auto" w:fill="FFFFFF"/>
          </w:tcPr>
          <w:p w14:paraId="78E60DC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24</w:t>
            </w:r>
          </w:p>
        </w:tc>
        <w:tc>
          <w:tcPr>
            <w:tcW w:w="992" w:type="dxa"/>
            <w:gridSpan w:val="2"/>
            <w:shd w:val="clear" w:color="auto" w:fill="FFFFFF"/>
          </w:tcPr>
          <w:p w14:paraId="2CAB739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8.0</w:t>
            </w:r>
          </w:p>
        </w:tc>
        <w:tc>
          <w:tcPr>
            <w:tcW w:w="709" w:type="dxa"/>
            <w:gridSpan w:val="2"/>
            <w:shd w:val="clear" w:color="auto" w:fill="FFFFFF"/>
          </w:tcPr>
          <w:p w14:paraId="487E621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19</w:t>
            </w:r>
          </w:p>
        </w:tc>
        <w:tc>
          <w:tcPr>
            <w:tcW w:w="1241" w:type="dxa"/>
            <w:gridSpan w:val="2"/>
            <w:shd w:val="clear" w:color="auto" w:fill="FFFFFF"/>
          </w:tcPr>
          <w:p w14:paraId="3384E37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7.1</w:t>
            </w:r>
          </w:p>
        </w:tc>
        <w:tc>
          <w:tcPr>
            <w:tcW w:w="567" w:type="dxa"/>
            <w:shd w:val="clear" w:color="auto" w:fill="FFFFFF"/>
          </w:tcPr>
          <w:p w14:paraId="0C173C6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5</w:t>
            </w:r>
          </w:p>
        </w:tc>
        <w:tc>
          <w:tcPr>
            <w:tcW w:w="1134" w:type="dxa"/>
            <w:shd w:val="clear" w:color="auto" w:fill="FFFFFF"/>
          </w:tcPr>
          <w:p w14:paraId="7274EBA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16.1</w:t>
            </w:r>
          </w:p>
        </w:tc>
        <w:tc>
          <w:tcPr>
            <w:tcW w:w="991" w:type="dxa"/>
            <w:shd w:val="clear" w:color="auto" w:fill="FFFFFF"/>
          </w:tcPr>
          <w:p w14:paraId="0A81FE6E"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380A6674"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r>
      <w:tr w:rsidR="00D01483" w14:paraId="1B80A40D" w14:textId="77777777">
        <w:trPr>
          <w:cantSplit/>
        </w:trPr>
        <w:tc>
          <w:tcPr>
            <w:tcW w:w="1620" w:type="dxa"/>
            <w:vMerge/>
            <w:tcBorders>
              <w:top w:val="nil"/>
              <w:left w:val="nil"/>
              <w:bottom w:val="single" w:sz="4" w:space="0" w:color="auto"/>
              <w:right w:val="nil"/>
            </w:tcBorders>
            <w:vAlign w:val="center"/>
          </w:tcPr>
          <w:p w14:paraId="364BB7AE" w14:textId="77777777" w:rsidR="00D01483" w:rsidRDefault="00D01483">
            <w:pPr>
              <w:spacing w:line="360" w:lineRule="auto"/>
              <w:jc w:val="both"/>
              <w:rPr>
                <w:rFonts w:ascii="Book Antiqua" w:hAnsi="Book Antiqua" w:cstheme="minorHAnsi"/>
                <w:color w:val="000000" w:themeColor="text1"/>
              </w:rPr>
            </w:pPr>
          </w:p>
        </w:tc>
        <w:tc>
          <w:tcPr>
            <w:tcW w:w="1785" w:type="dxa"/>
            <w:shd w:val="clear" w:color="auto" w:fill="FFFFFF"/>
          </w:tcPr>
          <w:p w14:paraId="11D25E3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HV stenosis</w:t>
            </w:r>
          </w:p>
        </w:tc>
        <w:tc>
          <w:tcPr>
            <w:tcW w:w="709" w:type="dxa"/>
            <w:gridSpan w:val="2"/>
            <w:shd w:val="clear" w:color="auto" w:fill="FFFFFF"/>
          </w:tcPr>
          <w:p w14:paraId="4E76145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w:t>
            </w:r>
          </w:p>
        </w:tc>
        <w:tc>
          <w:tcPr>
            <w:tcW w:w="992" w:type="dxa"/>
            <w:gridSpan w:val="2"/>
            <w:shd w:val="clear" w:color="auto" w:fill="FFFFFF"/>
          </w:tcPr>
          <w:p w14:paraId="22F720B4"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1.0</w:t>
            </w:r>
          </w:p>
        </w:tc>
        <w:tc>
          <w:tcPr>
            <w:tcW w:w="709" w:type="dxa"/>
            <w:gridSpan w:val="2"/>
            <w:shd w:val="clear" w:color="auto" w:fill="FFFFFF"/>
          </w:tcPr>
          <w:p w14:paraId="7DAE5DB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w:t>
            </w:r>
          </w:p>
        </w:tc>
        <w:tc>
          <w:tcPr>
            <w:tcW w:w="1241" w:type="dxa"/>
            <w:gridSpan w:val="2"/>
            <w:shd w:val="clear" w:color="auto" w:fill="FFFFFF"/>
          </w:tcPr>
          <w:p w14:paraId="254E753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1.1</w:t>
            </w:r>
          </w:p>
        </w:tc>
        <w:tc>
          <w:tcPr>
            <w:tcW w:w="567" w:type="dxa"/>
            <w:shd w:val="clear" w:color="auto" w:fill="FFFFFF"/>
          </w:tcPr>
          <w:p w14:paraId="4DF3DEA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w:t>
            </w:r>
          </w:p>
        </w:tc>
        <w:tc>
          <w:tcPr>
            <w:tcW w:w="1134" w:type="dxa"/>
            <w:shd w:val="clear" w:color="auto" w:fill="FFFFFF"/>
          </w:tcPr>
          <w:p w14:paraId="1FB1896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w:t>
            </w:r>
          </w:p>
        </w:tc>
        <w:tc>
          <w:tcPr>
            <w:tcW w:w="991" w:type="dxa"/>
            <w:shd w:val="clear" w:color="auto" w:fill="FFFFFF"/>
          </w:tcPr>
          <w:p w14:paraId="78F215DA"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7A3D44AD"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r>
      <w:tr w:rsidR="00D01483" w14:paraId="4DD42ECC" w14:textId="77777777">
        <w:trPr>
          <w:cantSplit/>
        </w:trPr>
        <w:tc>
          <w:tcPr>
            <w:tcW w:w="1620" w:type="dxa"/>
            <w:vMerge/>
            <w:tcBorders>
              <w:top w:val="nil"/>
              <w:left w:val="nil"/>
              <w:bottom w:val="single" w:sz="4" w:space="0" w:color="auto"/>
              <w:right w:val="nil"/>
            </w:tcBorders>
            <w:vAlign w:val="center"/>
          </w:tcPr>
          <w:p w14:paraId="31223C4C" w14:textId="77777777" w:rsidR="00D01483" w:rsidRDefault="00D01483">
            <w:pPr>
              <w:spacing w:line="360" w:lineRule="auto"/>
              <w:jc w:val="both"/>
              <w:rPr>
                <w:rFonts w:ascii="Book Antiqua" w:hAnsi="Book Antiqua" w:cstheme="minorHAnsi"/>
                <w:color w:val="000000" w:themeColor="text1"/>
              </w:rPr>
            </w:pPr>
          </w:p>
        </w:tc>
        <w:tc>
          <w:tcPr>
            <w:tcW w:w="1785" w:type="dxa"/>
            <w:shd w:val="clear" w:color="auto" w:fill="FFFFFF"/>
          </w:tcPr>
          <w:p w14:paraId="0970049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HVT</w:t>
            </w:r>
          </w:p>
        </w:tc>
        <w:tc>
          <w:tcPr>
            <w:tcW w:w="709" w:type="dxa"/>
            <w:gridSpan w:val="2"/>
            <w:shd w:val="clear" w:color="auto" w:fill="FFFFFF"/>
          </w:tcPr>
          <w:p w14:paraId="296C7AD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w:t>
            </w:r>
          </w:p>
        </w:tc>
        <w:tc>
          <w:tcPr>
            <w:tcW w:w="992" w:type="dxa"/>
            <w:gridSpan w:val="2"/>
            <w:shd w:val="clear" w:color="auto" w:fill="FFFFFF"/>
          </w:tcPr>
          <w:p w14:paraId="41B1FC4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0.6</w:t>
            </w:r>
          </w:p>
        </w:tc>
        <w:tc>
          <w:tcPr>
            <w:tcW w:w="709" w:type="dxa"/>
            <w:gridSpan w:val="2"/>
            <w:shd w:val="clear" w:color="auto" w:fill="FFFFFF"/>
          </w:tcPr>
          <w:p w14:paraId="6427E5A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w:t>
            </w:r>
          </w:p>
        </w:tc>
        <w:tc>
          <w:tcPr>
            <w:tcW w:w="1241" w:type="dxa"/>
            <w:gridSpan w:val="2"/>
            <w:shd w:val="clear" w:color="auto" w:fill="FFFFFF"/>
          </w:tcPr>
          <w:p w14:paraId="69A29B9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0.8</w:t>
            </w:r>
          </w:p>
        </w:tc>
        <w:tc>
          <w:tcPr>
            <w:tcW w:w="567" w:type="dxa"/>
            <w:shd w:val="clear" w:color="auto" w:fill="FFFFFF"/>
          </w:tcPr>
          <w:p w14:paraId="1E382B8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w:t>
            </w:r>
          </w:p>
        </w:tc>
        <w:tc>
          <w:tcPr>
            <w:tcW w:w="1134" w:type="dxa"/>
            <w:shd w:val="clear" w:color="auto" w:fill="FFFFFF"/>
          </w:tcPr>
          <w:p w14:paraId="6BEB9A6F"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w:t>
            </w:r>
          </w:p>
        </w:tc>
        <w:tc>
          <w:tcPr>
            <w:tcW w:w="991" w:type="dxa"/>
            <w:shd w:val="clear" w:color="auto" w:fill="FFFFFF"/>
          </w:tcPr>
          <w:p w14:paraId="489088D6"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6BDE64F6"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r>
      <w:tr w:rsidR="00D01483" w14:paraId="16BD0A3A" w14:textId="77777777">
        <w:trPr>
          <w:cantSplit/>
        </w:trPr>
        <w:tc>
          <w:tcPr>
            <w:tcW w:w="1620" w:type="dxa"/>
            <w:vMerge/>
            <w:tcBorders>
              <w:top w:val="nil"/>
              <w:left w:val="nil"/>
              <w:bottom w:val="single" w:sz="4" w:space="0" w:color="auto"/>
              <w:right w:val="nil"/>
            </w:tcBorders>
            <w:vAlign w:val="center"/>
          </w:tcPr>
          <w:p w14:paraId="601424A5" w14:textId="77777777" w:rsidR="00D01483" w:rsidRDefault="00D01483">
            <w:pPr>
              <w:spacing w:line="360" w:lineRule="auto"/>
              <w:jc w:val="both"/>
              <w:rPr>
                <w:rFonts w:ascii="Book Antiqua" w:hAnsi="Book Antiqua" w:cstheme="minorHAnsi"/>
                <w:color w:val="000000" w:themeColor="text1"/>
              </w:rPr>
            </w:pPr>
          </w:p>
        </w:tc>
        <w:tc>
          <w:tcPr>
            <w:tcW w:w="1785" w:type="dxa"/>
            <w:shd w:val="clear" w:color="auto" w:fill="FFFFFF"/>
          </w:tcPr>
          <w:p w14:paraId="7FCEB44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PV stenosis</w:t>
            </w:r>
          </w:p>
        </w:tc>
        <w:tc>
          <w:tcPr>
            <w:tcW w:w="709" w:type="dxa"/>
            <w:gridSpan w:val="2"/>
            <w:shd w:val="clear" w:color="auto" w:fill="FFFFFF"/>
          </w:tcPr>
          <w:p w14:paraId="37E77FB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4</w:t>
            </w:r>
          </w:p>
        </w:tc>
        <w:tc>
          <w:tcPr>
            <w:tcW w:w="992" w:type="dxa"/>
            <w:gridSpan w:val="2"/>
            <w:shd w:val="clear" w:color="auto" w:fill="FFFFFF"/>
          </w:tcPr>
          <w:p w14:paraId="471C04B8"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1.3</w:t>
            </w:r>
          </w:p>
        </w:tc>
        <w:tc>
          <w:tcPr>
            <w:tcW w:w="709" w:type="dxa"/>
            <w:gridSpan w:val="2"/>
            <w:shd w:val="clear" w:color="auto" w:fill="FFFFFF"/>
          </w:tcPr>
          <w:p w14:paraId="18EDF43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w:t>
            </w:r>
          </w:p>
        </w:tc>
        <w:tc>
          <w:tcPr>
            <w:tcW w:w="1241" w:type="dxa"/>
            <w:gridSpan w:val="2"/>
            <w:shd w:val="clear" w:color="auto" w:fill="FFFFFF"/>
          </w:tcPr>
          <w:p w14:paraId="7BBFA97D"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1.1</w:t>
            </w:r>
          </w:p>
        </w:tc>
        <w:tc>
          <w:tcPr>
            <w:tcW w:w="567" w:type="dxa"/>
            <w:shd w:val="clear" w:color="auto" w:fill="FFFFFF"/>
          </w:tcPr>
          <w:p w14:paraId="02D61EBE"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w:t>
            </w:r>
          </w:p>
        </w:tc>
        <w:tc>
          <w:tcPr>
            <w:tcW w:w="1134" w:type="dxa"/>
            <w:shd w:val="clear" w:color="auto" w:fill="FFFFFF"/>
          </w:tcPr>
          <w:p w14:paraId="6B661C1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3.2</w:t>
            </w:r>
          </w:p>
        </w:tc>
        <w:tc>
          <w:tcPr>
            <w:tcW w:w="991" w:type="dxa"/>
            <w:shd w:val="clear" w:color="auto" w:fill="FFFFFF"/>
          </w:tcPr>
          <w:p w14:paraId="4750799F"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75569C74"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r>
      <w:tr w:rsidR="00D01483" w14:paraId="11582E24" w14:textId="77777777">
        <w:trPr>
          <w:cantSplit/>
        </w:trPr>
        <w:tc>
          <w:tcPr>
            <w:tcW w:w="1620" w:type="dxa"/>
            <w:vMerge/>
            <w:tcBorders>
              <w:top w:val="nil"/>
              <w:left w:val="nil"/>
              <w:bottom w:val="single" w:sz="4" w:space="0" w:color="auto"/>
              <w:right w:val="nil"/>
            </w:tcBorders>
            <w:vAlign w:val="center"/>
          </w:tcPr>
          <w:p w14:paraId="6D3DFEC0" w14:textId="77777777" w:rsidR="00D01483" w:rsidRDefault="00D01483">
            <w:pPr>
              <w:spacing w:line="360" w:lineRule="auto"/>
              <w:jc w:val="both"/>
              <w:rPr>
                <w:rFonts w:ascii="Book Antiqua" w:hAnsi="Book Antiqua" w:cstheme="minorHAnsi"/>
                <w:color w:val="000000" w:themeColor="text1"/>
              </w:rPr>
            </w:pPr>
          </w:p>
        </w:tc>
        <w:tc>
          <w:tcPr>
            <w:tcW w:w="1785" w:type="dxa"/>
            <w:shd w:val="clear" w:color="auto" w:fill="FFFFFF"/>
          </w:tcPr>
          <w:p w14:paraId="7E6307F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PV thrombosis</w:t>
            </w:r>
          </w:p>
        </w:tc>
        <w:tc>
          <w:tcPr>
            <w:tcW w:w="709" w:type="dxa"/>
            <w:gridSpan w:val="2"/>
            <w:shd w:val="clear" w:color="auto" w:fill="FFFFFF"/>
          </w:tcPr>
          <w:p w14:paraId="3836085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7</w:t>
            </w:r>
          </w:p>
        </w:tc>
        <w:tc>
          <w:tcPr>
            <w:tcW w:w="992" w:type="dxa"/>
            <w:gridSpan w:val="2"/>
            <w:shd w:val="clear" w:color="auto" w:fill="FFFFFF"/>
          </w:tcPr>
          <w:p w14:paraId="0BE9E711"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2.3</w:t>
            </w:r>
          </w:p>
        </w:tc>
        <w:tc>
          <w:tcPr>
            <w:tcW w:w="709" w:type="dxa"/>
            <w:gridSpan w:val="2"/>
            <w:shd w:val="clear" w:color="auto" w:fill="FFFFFF"/>
          </w:tcPr>
          <w:p w14:paraId="27523046"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6</w:t>
            </w:r>
          </w:p>
        </w:tc>
        <w:tc>
          <w:tcPr>
            <w:tcW w:w="1241" w:type="dxa"/>
            <w:gridSpan w:val="2"/>
            <w:shd w:val="clear" w:color="auto" w:fill="FFFFFF"/>
          </w:tcPr>
          <w:p w14:paraId="1712B0A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2.2</w:t>
            </w:r>
          </w:p>
        </w:tc>
        <w:tc>
          <w:tcPr>
            <w:tcW w:w="567" w:type="dxa"/>
            <w:shd w:val="clear" w:color="auto" w:fill="FFFFFF"/>
          </w:tcPr>
          <w:p w14:paraId="430F5AC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w:t>
            </w:r>
          </w:p>
        </w:tc>
        <w:tc>
          <w:tcPr>
            <w:tcW w:w="1134" w:type="dxa"/>
            <w:shd w:val="clear" w:color="auto" w:fill="FFFFFF"/>
          </w:tcPr>
          <w:p w14:paraId="3F1B0812"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3.2</w:t>
            </w:r>
          </w:p>
        </w:tc>
        <w:tc>
          <w:tcPr>
            <w:tcW w:w="991" w:type="dxa"/>
            <w:shd w:val="clear" w:color="auto" w:fill="FFFFFF"/>
          </w:tcPr>
          <w:p w14:paraId="0B116AB7"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3637AF98"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r>
      <w:tr w:rsidR="00D01483" w14:paraId="3E9E7A0D" w14:textId="77777777">
        <w:trPr>
          <w:cantSplit/>
        </w:trPr>
        <w:tc>
          <w:tcPr>
            <w:tcW w:w="1620" w:type="dxa"/>
            <w:vMerge/>
            <w:tcBorders>
              <w:top w:val="nil"/>
              <w:left w:val="nil"/>
              <w:bottom w:val="single" w:sz="4" w:space="0" w:color="auto"/>
              <w:right w:val="nil"/>
            </w:tcBorders>
            <w:vAlign w:val="center"/>
          </w:tcPr>
          <w:p w14:paraId="7EEEDF56" w14:textId="77777777" w:rsidR="00D01483" w:rsidRDefault="00D01483">
            <w:pPr>
              <w:spacing w:line="360" w:lineRule="auto"/>
              <w:jc w:val="both"/>
              <w:rPr>
                <w:rFonts w:ascii="Book Antiqua" w:hAnsi="Book Antiqua" w:cstheme="minorHAnsi"/>
                <w:color w:val="000000" w:themeColor="text1"/>
              </w:rPr>
            </w:pPr>
          </w:p>
        </w:tc>
        <w:tc>
          <w:tcPr>
            <w:tcW w:w="1785" w:type="dxa"/>
            <w:tcBorders>
              <w:top w:val="nil"/>
              <w:left w:val="nil"/>
              <w:bottom w:val="single" w:sz="4" w:space="0" w:color="auto"/>
              <w:right w:val="nil"/>
            </w:tcBorders>
            <w:shd w:val="clear" w:color="auto" w:fill="FFFFFF"/>
          </w:tcPr>
          <w:p w14:paraId="2CFAD24A"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Sub-diaphragmatic hematoma</w:t>
            </w:r>
          </w:p>
        </w:tc>
        <w:tc>
          <w:tcPr>
            <w:tcW w:w="709" w:type="dxa"/>
            <w:gridSpan w:val="2"/>
            <w:tcBorders>
              <w:top w:val="nil"/>
              <w:left w:val="nil"/>
              <w:bottom w:val="single" w:sz="4" w:space="0" w:color="auto"/>
              <w:right w:val="nil"/>
            </w:tcBorders>
            <w:shd w:val="clear" w:color="auto" w:fill="FFFFFF"/>
          </w:tcPr>
          <w:p w14:paraId="2D623807"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w:t>
            </w:r>
          </w:p>
        </w:tc>
        <w:tc>
          <w:tcPr>
            <w:tcW w:w="992" w:type="dxa"/>
            <w:gridSpan w:val="2"/>
            <w:tcBorders>
              <w:top w:val="nil"/>
              <w:left w:val="nil"/>
              <w:bottom w:val="single" w:sz="4" w:space="0" w:color="auto"/>
              <w:right w:val="nil"/>
            </w:tcBorders>
            <w:shd w:val="clear" w:color="auto" w:fill="FFFFFF"/>
          </w:tcPr>
          <w:p w14:paraId="2C0C2189"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0.3</w:t>
            </w:r>
          </w:p>
        </w:tc>
        <w:tc>
          <w:tcPr>
            <w:tcW w:w="709" w:type="dxa"/>
            <w:gridSpan w:val="2"/>
            <w:tcBorders>
              <w:top w:val="nil"/>
              <w:left w:val="nil"/>
              <w:bottom w:val="single" w:sz="4" w:space="0" w:color="auto"/>
              <w:right w:val="nil"/>
            </w:tcBorders>
            <w:shd w:val="clear" w:color="auto" w:fill="FFFFFF"/>
          </w:tcPr>
          <w:p w14:paraId="686F5910"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1</w:t>
            </w:r>
          </w:p>
        </w:tc>
        <w:tc>
          <w:tcPr>
            <w:tcW w:w="1241" w:type="dxa"/>
            <w:gridSpan w:val="2"/>
            <w:tcBorders>
              <w:top w:val="nil"/>
              <w:left w:val="nil"/>
              <w:bottom w:val="single" w:sz="4" w:space="0" w:color="auto"/>
              <w:right w:val="nil"/>
            </w:tcBorders>
            <w:shd w:val="clear" w:color="auto" w:fill="FFFFFF"/>
          </w:tcPr>
          <w:p w14:paraId="12B8A1EB"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0.4</w:t>
            </w:r>
          </w:p>
        </w:tc>
        <w:tc>
          <w:tcPr>
            <w:tcW w:w="567" w:type="dxa"/>
            <w:tcBorders>
              <w:top w:val="nil"/>
              <w:left w:val="nil"/>
              <w:bottom w:val="single" w:sz="4" w:space="0" w:color="auto"/>
              <w:right w:val="nil"/>
            </w:tcBorders>
            <w:shd w:val="clear" w:color="auto" w:fill="FFFFFF"/>
          </w:tcPr>
          <w:p w14:paraId="50286573"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w:t>
            </w:r>
          </w:p>
        </w:tc>
        <w:tc>
          <w:tcPr>
            <w:tcW w:w="1134" w:type="dxa"/>
            <w:tcBorders>
              <w:top w:val="nil"/>
              <w:left w:val="nil"/>
              <w:bottom w:val="single" w:sz="4" w:space="0" w:color="auto"/>
              <w:right w:val="nil"/>
            </w:tcBorders>
            <w:shd w:val="clear" w:color="auto" w:fill="FFFFFF"/>
          </w:tcPr>
          <w:p w14:paraId="38C8C5A5" w14:textId="77777777" w:rsidR="00D01483" w:rsidRDefault="007E3D42">
            <w:pPr>
              <w:autoSpaceDE w:val="0"/>
              <w:autoSpaceDN w:val="0"/>
              <w:adjustRightInd w:val="0"/>
              <w:spacing w:line="360" w:lineRule="auto"/>
              <w:ind w:left="60" w:right="60"/>
              <w:jc w:val="both"/>
              <w:rPr>
                <w:rFonts w:ascii="Book Antiqua" w:hAnsi="Book Antiqua" w:cstheme="minorHAnsi"/>
                <w:color w:val="000000" w:themeColor="text1"/>
              </w:rPr>
            </w:pPr>
            <w:r>
              <w:rPr>
                <w:rFonts w:ascii="Book Antiqua" w:hAnsi="Book Antiqua" w:cstheme="minorHAnsi"/>
                <w:color w:val="000000" w:themeColor="text1"/>
              </w:rPr>
              <w:t>0.0</w:t>
            </w:r>
          </w:p>
        </w:tc>
        <w:tc>
          <w:tcPr>
            <w:tcW w:w="991" w:type="dxa"/>
            <w:tcBorders>
              <w:top w:val="nil"/>
              <w:left w:val="nil"/>
              <w:bottom w:val="single" w:sz="4" w:space="0" w:color="auto"/>
              <w:right w:val="nil"/>
            </w:tcBorders>
            <w:shd w:val="clear" w:color="auto" w:fill="FFFFFF"/>
          </w:tcPr>
          <w:p w14:paraId="09530EC1"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tcBorders>
              <w:top w:val="nil"/>
              <w:left w:val="nil"/>
              <w:bottom w:val="single" w:sz="4" w:space="0" w:color="auto"/>
              <w:right w:val="nil"/>
            </w:tcBorders>
            <w:shd w:val="clear" w:color="auto" w:fill="FFFFFF"/>
          </w:tcPr>
          <w:p w14:paraId="5269C459" w14:textId="77777777" w:rsidR="00D01483" w:rsidRDefault="00D01483">
            <w:pPr>
              <w:autoSpaceDE w:val="0"/>
              <w:autoSpaceDN w:val="0"/>
              <w:adjustRightInd w:val="0"/>
              <w:spacing w:line="360" w:lineRule="auto"/>
              <w:ind w:left="60" w:right="60"/>
              <w:jc w:val="both"/>
              <w:rPr>
                <w:rFonts w:ascii="Book Antiqua" w:hAnsi="Book Antiqua" w:cstheme="minorHAnsi"/>
                <w:color w:val="000000" w:themeColor="text1"/>
              </w:rPr>
            </w:pPr>
          </w:p>
        </w:tc>
      </w:tr>
    </w:tbl>
    <w:p w14:paraId="60BD17E4"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vertAlign w:val="superscript"/>
        </w:rPr>
        <w:t>a</w:t>
      </w:r>
      <w:r>
        <w:rPr>
          <w:rFonts w:ascii="Book Antiqua" w:hAnsi="Book Antiqua" w:cstheme="minorHAnsi"/>
          <w:color w:val="000000" w:themeColor="text1"/>
        </w:rPr>
        <w:t xml:space="preserve">Mann-Whitney test; </w:t>
      </w:r>
      <w:r>
        <w:rPr>
          <w:rFonts w:ascii="Book Antiqua" w:hAnsi="Book Antiqua" w:cstheme="minorHAnsi"/>
          <w:color w:val="000000" w:themeColor="text1"/>
          <w:vertAlign w:val="superscript"/>
        </w:rPr>
        <w:t>b</w:t>
      </w:r>
      <w:r>
        <w:rPr>
          <w:rFonts w:ascii="Book Antiqua" w:hAnsi="Book Antiqua" w:cstheme="minorHAnsi"/>
          <w:color w:val="000000" w:themeColor="text1"/>
        </w:rPr>
        <w:t xml:space="preserve">Independent samples T-test; Significant at </w:t>
      </w:r>
      <w:r>
        <w:rPr>
          <w:rFonts w:ascii="Book Antiqua" w:hAnsi="Book Antiqua" w:cstheme="minorHAnsi"/>
          <w:i/>
          <w:color w:val="000000" w:themeColor="text1"/>
        </w:rPr>
        <w:t>P</w:t>
      </w:r>
      <w:r>
        <w:rPr>
          <w:rFonts w:ascii="Book Antiqua" w:hAnsi="Book Antiqua" w:cstheme="minorHAnsi"/>
          <w:color w:val="000000" w:themeColor="text1"/>
        </w:rPr>
        <w:t xml:space="preserve"> &lt; 0.05. FE: Fisher’s exact test; IQR: interquartile range; N: Number; SD: Standard deviation; GRWR: Graft to recipient weight ratio; HA: Hepatic artery; HV: Hepatic vein; PV: Portal vein; RPV: Right portal vein; MPV: Main portal vein; CPV: Common portal vein; LPV: Left portal vein; CHV: Central hepatic vein; RHA: Right hepatic artery; LHA: Left hepatic artery; SPA: Splenic artery; RHV: Right hepatic vein; IVC: Inferior vena cava; LMHV: Left and middle hepatic veins; MHV: Middle hepatic vein; HVT: Hepatic vein thrombosis; ICU: Intensive care unit.</w:t>
      </w:r>
    </w:p>
    <w:p w14:paraId="514A777E" w14:textId="77777777" w:rsidR="00D01483" w:rsidRDefault="00D01483">
      <w:pPr>
        <w:autoSpaceDE w:val="0"/>
        <w:autoSpaceDN w:val="0"/>
        <w:adjustRightInd w:val="0"/>
        <w:spacing w:line="360" w:lineRule="auto"/>
        <w:jc w:val="both"/>
        <w:rPr>
          <w:rFonts w:ascii="Book Antiqua" w:hAnsi="Book Antiqua" w:cstheme="minorHAnsi"/>
          <w:color w:val="000000" w:themeColor="text1"/>
        </w:rPr>
      </w:pPr>
    </w:p>
    <w:p w14:paraId="30D70BAB"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br w:type="page"/>
      </w:r>
      <w:r>
        <w:rPr>
          <w:rFonts w:ascii="Book Antiqua" w:hAnsi="Book Antiqua" w:cstheme="minorHAnsi"/>
          <w:b/>
          <w:bCs/>
          <w:color w:val="000000" w:themeColor="text1"/>
        </w:rPr>
        <w:lastRenderedPageBreak/>
        <w:t>Table 4 Outcome of the studied patients (total N = 299)</w:t>
      </w:r>
    </w:p>
    <w:tbl>
      <w:tblPr>
        <w:tblW w:w="10710" w:type="dxa"/>
        <w:tblInd w:w="-450" w:type="dxa"/>
        <w:tblLayout w:type="fixed"/>
        <w:tblCellMar>
          <w:left w:w="0" w:type="dxa"/>
          <w:right w:w="0" w:type="dxa"/>
        </w:tblCellMar>
        <w:tblLook w:val="04A0" w:firstRow="1" w:lastRow="0" w:firstColumn="1" w:lastColumn="0" w:noHBand="0" w:noVBand="1"/>
      </w:tblPr>
      <w:tblGrid>
        <w:gridCol w:w="3150"/>
        <w:gridCol w:w="540"/>
        <w:gridCol w:w="1080"/>
        <w:gridCol w:w="630"/>
        <w:gridCol w:w="1282"/>
        <w:gridCol w:w="381"/>
        <w:gridCol w:w="1577"/>
        <w:gridCol w:w="990"/>
        <w:gridCol w:w="1080"/>
      </w:tblGrid>
      <w:tr w:rsidR="00D01483" w14:paraId="584B835A" w14:textId="77777777">
        <w:trPr>
          <w:cantSplit/>
        </w:trPr>
        <w:tc>
          <w:tcPr>
            <w:tcW w:w="3150" w:type="dxa"/>
            <w:tcBorders>
              <w:top w:val="single" w:sz="4" w:space="0" w:color="auto"/>
              <w:left w:val="nil"/>
              <w:bottom w:val="single" w:sz="4" w:space="0" w:color="auto"/>
              <w:right w:val="nil"/>
            </w:tcBorders>
            <w:shd w:val="clear" w:color="auto" w:fill="FFFFFF"/>
            <w:vAlign w:val="bottom"/>
          </w:tcPr>
          <w:p w14:paraId="44E7725E" w14:textId="77777777" w:rsidR="00D01483" w:rsidRDefault="00D01483">
            <w:pPr>
              <w:spacing w:line="360" w:lineRule="auto"/>
              <w:jc w:val="both"/>
              <w:rPr>
                <w:rFonts w:ascii="Book Antiqua" w:hAnsi="Book Antiqua" w:cstheme="minorHAnsi"/>
                <w:color w:val="000000" w:themeColor="text1"/>
              </w:rPr>
            </w:pPr>
          </w:p>
        </w:tc>
        <w:tc>
          <w:tcPr>
            <w:tcW w:w="1620" w:type="dxa"/>
            <w:gridSpan w:val="2"/>
            <w:tcBorders>
              <w:top w:val="single" w:sz="4" w:space="0" w:color="auto"/>
              <w:left w:val="nil"/>
              <w:bottom w:val="single" w:sz="4" w:space="0" w:color="auto"/>
              <w:right w:val="nil"/>
            </w:tcBorders>
            <w:shd w:val="clear" w:color="auto" w:fill="FFFFFF"/>
          </w:tcPr>
          <w:p w14:paraId="7E1B526B" w14:textId="77777777" w:rsidR="00D01483" w:rsidRDefault="007E3D42">
            <w:pPr>
              <w:autoSpaceDE w:val="0"/>
              <w:autoSpaceDN w:val="0"/>
              <w:adjustRightInd w:val="0"/>
              <w:spacing w:line="360" w:lineRule="auto"/>
              <w:ind w:left="60" w:right="60"/>
              <w:jc w:val="both"/>
              <w:rPr>
                <w:rFonts w:ascii="Book Antiqua" w:hAnsi="Book Antiqua" w:cstheme="minorHAnsi"/>
                <w:b/>
                <w:bCs/>
                <w:color w:val="000000" w:themeColor="text1"/>
              </w:rPr>
            </w:pPr>
            <w:r>
              <w:rPr>
                <w:rFonts w:ascii="Book Antiqua" w:hAnsi="Book Antiqua" w:cstheme="minorHAnsi"/>
                <w:b/>
                <w:bCs/>
                <w:color w:val="000000" w:themeColor="text1"/>
              </w:rPr>
              <w:t>Total</w:t>
            </w:r>
            <w:r>
              <w:rPr>
                <w:rFonts w:ascii="Book Antiqua" w:hAnsi="Book Antiqua" w:cstheme="minorHAnsi"/>
                <w:b/>
                <w:bCs/>
                <w:color w:val="000000" w:themeColor="text1"/>
                <w:lang w:eastAsia="zh-CN"/>
              </w:rPr>
              <w:t xml:space="preserve"> </w:t>
            </w:r>
            <w:r>
              <w:rPr>
                <w:rFonts w:ascii="Book Antiqua" w:hAnsi="Book Antiqua" w:cstheme="minorHAnsi"/>
                <w:b/>
                <w:bCs/>
                <w:color w:val="000000" w:themeColor="text1"/>
              </w:rPr>
              <w:t>(N = 299)</w:t>
            </w:r>
          </w:p>
        </w:tc>
        <w:tc>
          <w:tcPr>
            <w:tcW w:w="1912" w:type="dxa"/>
            <w:gridSpan w:val="2"/>
            <w:tcBorders>
              <w:top w:val="single" w:sz="4" w:space="0" w:color="auto"/>
              <w:left w:val="nil"/>
              <w:bottom w:val="single" w:sz="4" w:space="0" w:color="auto"/>
              <w:right w:val="nil"/>
            </w:tcBorders>
            <w:shd w:val="clear" w:color="auto" w:fill="FFFFFF"/>
          </w:tcPr>
          <w:p w14:paraId="7935BDA4" w14:textId="77777777" w:rsidR="00D01483" w:rsidRDefault="007E3D42">
            <w:pPr>
              <w:autoSpaceDE w:val="0"/>
              <w:autoSpaceDN w:val="0"/>
              <w:adjustRightInd w:val="0"/>
              <w:spacing w:line="360" w:lineRule="auto"/>
              <w:ind w:left="60" w:right="60"/>
              <w:jc w:val="both"/>
              <w:rPr>
                <w:rFonts w:ascii="Book Antiqua" w:hAnsi="Book Antiqua" w:cstheme="minorHAnsi"/>
                <w:b/>
                <w:bCs/>
                <w:color w:val="000000" w:themeColor="text1"/>
              </w:rPr>
            </w:pPr>
            <w:r>
              <w:rPr>
                <w:rFonts w:ascii="Book Antiqua" w:hAnsi="Book Antiqua" w:cstheme="minorHAnsi"/>
                <w:b/>
                <w:bCs/>
                <w:color w:val="000000" w:themeColor="text1"/>
              </w:rPr>
              <w:t>No ICU readmission</w:t>
            </w:r>
          </w:p>
          <w:p w14:paraId="1DB936A4" w14:textId="77777777" w:rsidR="00D01483" w:rsidRDefault="007E3D42">
            <w:pPr>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(N = 268)</w:t>
            </w:r>
          </w:p>
        </w:tc>
        <w:tc>
          <w:tcPr>
            <w:tcW w:w="1958" w:type="dxa"/>
            <w:gridSpan w:val="2"/>
            <w:tcBorders>
              <w:top w:val="single" w:sz="4" w:space="0" w:color="auto"/>
              <w:left w:val="nil"/>
              <w:bottom w:val="single" w:sz="4" w:space="0" w:color="auto"/>
              <w:right w:val="nil"/>
            </w:tcBorders>
            <w:shd w:val="clear" w:color="auto" w:fill="FFFFFF"/>
          </w:tcPr>
          <w:p w14:paraId="6571E101" w14:textId="77777777" w:rsidR="00D01483" w:rsidRDefault="007E3D42">
            <w:pPr>
              <w:autoSpaceDE w:val="0"/>
              <w:autoSpaceDN w:val="0"/>
              <w:adjustRightInd w:val="0"/>
              <w:spacing w:line="360" w:lineRule="auto"/>
              <w:ind w:left="60" w:right="60"/>
              <w:jc w:val="both"/>
              <w:rPr>
                <w:rFonts w:ascii="Book Antiqua" w:hAnsi="Book Antiqua" w:cstheme="minorHAnsi"/>
                <w:b/>
                <w:bCs/>
                <w:color w:val="000000" w:themeColor="text1"/>
              </w:rPr>
            </w:pPr>
            <w:r>
              <w:rPr>
                <w:rFonts w:ascii="Book Antiqua" w:hAnsi="Book Antiqua" w:cstheme="minorHAnsi"/>
                <w:b/>
                <w:bCs/>
                <w:color w:val="000000" w:themeColor="text1"/>
              </w:rPr>
              <w:t>ICU readmission</w:t>
            </w:r>
          </w:p>
          <w:p w14:paraId="5CD1E2BD" w14:textId="77777777" w:rsidR="00D01483" w:rsidRDefault="007E3D42">
            <w:pPr>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(N = 31)</w:t>
            </w:r>
          </w:p>
        </w:tc>
        <w:tc>
          <w:tcPr>
            <w:tcW w:w="990" w:type="dxa"/>
            <w:tcBorders>
              <w:top w:val="single" w:sz="4" w:space="0" w:color="auto"/>
              <w:left w:val="nil"/>
              <w:bottom w:val="single" w:sz="4" w:space="0" w:color="auto"/>
              <w:right w:val="nil"/>
            </w:tcBorders>
            <w:shd w:val="clear" w:color="auto" w:fill="FFFFFF"/>
          </w:tcPr>
          <w:p w14:paraId="7AF464C4" w14:textId="77777777" w:rsidR="00D01483" w:rsidRDefault="007E3D42">
            <w:pPr>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Test statistic</w:t>
            </w:r>
          </w:p>
        </w:tc>
        <w:tc>
          <w:tcPr>
            <w:tcW w:w="1080" w:type="dxa"/>
            <w:tcBorders>
              <w:top w:val="single" w:sz="4" w:space="0" w:color="auto"/>
              <w:left w:val="nil"/>
              <w:bottom w:val="single" w:sz="4" w:space="0" w:color="auto"/>
              <w:right w:val="nil"/>
            </w:tcBorders>
            <w:shd w:val="clear" w:color="auto" w:fill="FFFFFF"/>
          </w:tcPr>
          <w:p w14:paraId="0CCAB9ED" w14:textId="77777777" w:rsidR="00D01483" w:rsidRDefault="007E3D42">
            <w:pPr>
              <w:spacing w:line="360" w:lineRule="auto"/>
              <w:jc w:val="both"/>
              <w:rPr>
                <w:rFonts w:ascii="Book Antiqua" w:hAnsi="Book Antiqua" w:cstheme="minorHAnsi"/>
                <w:b/>
                <w:bCs/>
                <w:color w:val="000000" w:themeColor="text1"/>
              </w:rPr>
            </w:pPr>
            <w:r>
              <w:rPr>
                <w:rFonts w:ascii="Book Antiqua" w:hAnsi="Book Antiqua" w:cstheme="minorHAnsi"/>
                <w:b/>
                <w:bCs/>
                <w:i/>
                <w:color w:val="000000" w:themeColor="text1"/>
              </w:rPr>
              <w:t>P</w:t>
            </w:r>
            <w:r>
              <w:rPr>
                <w:rFonts w:ascii="Book Antiqua" w:hAnsi="Book Antiqua" w:cstheme="minorHAnsi"/>
                <w:b/>
                <w:bCs/>
                <w:color w:val="000000" w:themeColor="text1"/>
              </w:rPr>
              <w:t xml:space="preserve"> value</w:t>
            </w:r>
          </w:p>
        </w:tc>
      </w:tr>
      <w:tr w:rsidR="00D01483" w14:paraId="55BECB16" w14:textId="77777777">
        <w:trPr>
          <w:cantSplit/>
        </w:trPr>
        <w:tc>
          <w:tcPr>
            <w:tcW w:w="3150" w:type="dxa"/>
            <w:tcBorders>
              <w:top w:val="single" w:sz="4" w:space="0" w:color="auto"/>
              <w:left w:val="nil"/>
              <w:bottom w:val="nil"/>
              <w:right w:val="nil"/>
            </w:tcBorders>
            <w:shd w:val="clear" w:color="auto" w:fill="FFFFFF"/>
          </w:tcPr>
          <w:p w14:paraId="63FAEDC2"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Initial Hospital length of stay (days);</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Median [IQR] (Range)</w:t>
            </w:r>
          </w:p>
        </w:tc>
        <w:tc>
          <w:tcPr>
            <w:tcW w:w="1620" w:type="dxa"/>
            <w:gridSpan w:val="2"/>
            <w:tcBorders>
              <w:top w:val="single" w:sz="4" w:space="0" w:color="auto"/>
              <w:left w:val="nil"/>
              <w:bottom w:val="nil"/>
              <w:right w:val="nil"/>
            </w:tcBorders>
            <w:shd w:val="clear" w:color="auto" w:fill="FFFFFF"/>
          </w:tcPr>
          <w:p w14:paraId="2C80120E"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21.0;[18.0 -  26.0](1.0 -  150.0)</w:t>
            </w:r>
          </w:p>
        </w:tc>
        <w:tc>
          <w:tcPr>
            <w:tcW w:w="1912" w:type="dxa"/>
            <w:gridSpan w:val="2"/>
            <w:tcBorders>
              <w:top w:val="single" w:sz="4" w:space="0" w:color="auto"/>
              <w:left w:val="nil"/>
              <w:bottom w:val="nil"/>
              <w:right w:val="nil"/>
            </w:tcBorders>
            <w:shd w:val="clear" w:color="auto" w:fill="FFFFFF"/>
          </w:tcPr>
          <w:p w14:paraId="4841701D"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22.0;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[19.0 - 26.0]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(5.0 - 120.0)</w:t>
            </w:r>
          </w:p>
        </w:tc>
        <w:tc>
          <w:tcPr>
            <w:tcW w:w="1958" w:type="dxa"/>
            <w:gridSpan w:val="2"/>
            <w:tcBorders>
              <w:top w:val="single" w:sz="4" w:space="0" w:color="auto"/>
              <w:left w:val="nil"/>
              <w:bottom w:val="nil"/>
              <w:right w:val="nil"/>
            </w:tcBorders>
            <w:shd w:val="clear" w:color="auto" w:fill="FFFFFF"/>
          </w:tcPr>
          <w:p w14:paraId="1176D7E3"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3.0; [2.0 - 9.0]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(1.0 - 150.0)</w:t>
            </w:r>
          </w:p>
        </w:tc>
        <w:tc>
          <w:tcPr>
            <w:tcW w:w="990" w:type="dxa"/>
            <w:tcBorders>
              <w:top w:val="single" w:sz="4" w:space="0" w:color="auto"/>
              <w:left w:val="nil"/>
              <w:bottom w:val="nil"/>
              <w:right w:val="nil"/>
            </w:tcBorders>
            <w:shd w:val="clear" w:color="auto" w:fill="FFFFFF"/>
          </w:tcPr>
          <w:p w14:paraId="1744E0A8"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8.003</w:t>
            </w:r>
            <w:r>
              <w:rPr>
                <w:rFonts w:ascii="Book Antiqua" w:hAnsi="Book Antiqua" w:cstheme="minorHAnsi"/>
                <w:color w:val="000000" w:themeColor="text1"/>
                <w:vertAlign w:val="superscript"/>
              </w:rPr>
              <w:t>a</w:t>
            </w:r>
          </w:p>
        </w:tc>
        <w:tc>
          <w:tcPr>
            <w:tcW w:w="1080" w:type="dxa"/>
            <w:tcBorders>
              <w:top w:val="single" w:sz="4" w:space="0" w:color="auto"/>
              <w:left w:val="nil"/>
              <w:bottom w:val="nil"/>
              <w:right w:val="nil"/>
            </w:tcBorders>
            <w:shd w:val="clear" w:color="auto" w:fill="FFFFFF"/>
          </w:tcPr>
          <w:p w14:paraId="486B418E"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&lt; 0.001</w:t>
            </w:r>
            <w:r>
              <w:rPr>
                <w:rFonts w:ascii="Book Antiqua" w:hAnsi="Book Antiqua" w:cstheme="minorHAnsi"/>
                <w:color w:val="000000" w:themeColor="text1"/>
                <w:vertAlign w:val="superscript"/>
              </w:rPr>
              <w:t>1</w:t>
            </w:r>
          </w:p>
        </w:tc>
      </w:tr>
      <w:tr w:rsidR="00D01483" w14:paraId="4E860A54" w14:textId="77777777">
        <w:trPr>
          <w:cantSplit/>
        </w:trPr>
        <w:tc>
          <w:tcPr>
            <w:tcW w:w="3150" w:type="dxa"/>
            <w:shd w:val="clear" w:color="auto" w:fill="FFFFFF"/>
          </w:tcPr>
          <w:p w14:paraId="1381F76B"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Length of stay in initial ICU (days);</w:t>
            </w:r>
          </w:p>
          <w:p w14:paraId="7BFD70F9"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Median [IQR] (Range)</w:t>
            </w:r>
          </w:p>
        </w:tc>
        <w:tc>
          <w:tcPr>
            <w:tcW w:w="1620" w:type="dxa"/>
            <w:gridSpan w:val="2"/>
            <w:shd w:val="clear" w:color="auto" w:fill="FFFFFF"/>
          </w:tcPr>
          <w:p w14:paraId="44E40DFF"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4.0;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[3.0 - 5.0]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(2.0 - 45.0)</w:t>
            </w:r>
          </w:p>
        </w:tc>
        <w:tc>
          <w:tcPr>
            <w:tcW w:w="1912" w:type="dxa"/>
            <w:gridSpan w:val="2"/>
            <w:shd w:val="clear" w:color="auto" w:fill="FFFFFF"/>
          </w:tcPr>
          <w:p w14:paraId="7BF9CE1E"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4.0;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[3.0 - 5.0]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(2.0 - 45.0)</w:t>
            </w:r>
          </w:p>
        </w:tc>
        <w:tc>
          <w:tcPr>
            <w:tcW w:w="1958" w:type="dxa"/>
            <w:gridSpan w:val="2"/>
            <w:shd w:val="clear" w:color="auto" w:fill="FFFFFF"/>
          </w:tcPr>
          <w:p w14:paraId="396556FA"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6.0;[5.0 - 7.0]</w:t>
            </w:r>
            <w:r>
              <w:rPr>
                <w:rFonts w:ascii="Book Antiqua" w:hAnsi="Book Antiqua" w:cstheme="minorHAnsi"/>
                <w:color w:val="000000" w:themeColor="text1"/>
                <w:lang w:eastAsia="zh-CN"/>
              </w:rPr>
              <w:t xml:space="preserve"> </w:t>
            </w:r>
            <w:r>
              <w:rPr>
                <w:rFonts w:ascii="Book Antiqua" w:hAnsi="Book Antiqua" w:cstheme="minorHAnsi"/>
                <w:color w:val="000000" w:themeColor="text1"/>
              </w:rPr>
              <w:t>(4.0 - 9.0)</w:t>
            </w:r>
          </w:p>
        </w:tc>
        <w:tc>
          <w:tcPr>
            <w:tcW w:w="990" w:type="dxa"/>
            <w:shd w:val="clear" w:color="auto" w:fill="FFFFFF"/>
          </w:tcPr>
          <w:p w14:paraId="7FC674E1"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6.676</w:t>
            </w:r>
            <w:r>
              <w:rPr>
                <w:rFonts w:ascii="Book Antiqua" w:hAnsi="Book Antiqua" w:cstheme="minorHAnsi"/>
                <w:color w:val="000000" w:themeColor="text1"/>
                <w:vertAlign w:val="superscript"/>
              </w:rPr>
              <w:t>a</w:t>
            </w:r>
          </w:p>
        </w:tc>
        <w:tc>
          <w:tcPr>
            <w:tcW w:w="1080" w:type="dxa"/>
            <w:shd w:val="clear" w:color="auto" w:fill="FFFFFF"/>
          </w:tcPr>
          <w:p w14:paraId="7B7EE78D"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&lt; 0.001</w:t>
            </w:r>
            <w:r>
              <w:rPr>
                <w:rFonts w:ascii="Book Antiqua" w:hAnsi="Book Antiqua" w:cstheme="minorHAnsi"/>
                <w:color w:val="000000" w:themeColor="text1"/>
                <w:vertAlign w:val="superscript"/>
              </w:rPr>
              <w:t>1</w:t>
            </w:r>
          </w:p>
        </w:tc>
      </w:tr>
      <w:tr w:rsidR="00D01483" w14:paraId="7C00C236" w14:textId="77777777">
        <w:trPr>
          <w:cantSplit/>
        </w:trPr>
        <w:tc>
          <w:tcPr>
            <w:tcW w:w="3150" w:type="dxa"/>
            <w:shd w:val="clear" w:color="auto" w:fill="FFFFFF"/>
          </w:tcPr>
          <w:p w14:paraId="074706F8"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Rejection (N, %)</w:t>
            </w:r>
          </w:p>
        </w:tc>
        <w:tc>
          <w:tcPr>
            <w:tcW w:w="540" w:type="dxa"/>
            <w:shd w:val="clear" w:color="auto" w:fill="FFFFFF"/>
          </w:tcPr>
          <w:p w14:paraId="4AE31263"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36</w:t>
            </w:r>
          </w:p>
        </w:tc>
        <w:tc>
          <w:tcPr>
            <w:tcW w:w="1080" w:type="dxa"/>
            <w:shd w:val="clear" w:color="auto" w:fill="FFFFFF"/>
          </w:tcPr>
          <w:p w14:paraId="044545F2"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12.0</w:t>
            </w:r>
          </w:p>
        </w:tc>
        <w:tc>
          <w:tcPr>
            <w:tcW w:w="630" w:type="dxa"/>
            <w:shd w:val="clear" w:color="auto" w:fill="FFFFFF"/>
          </w:tcPr>
          <w:p w14:paraId="7099108E"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34</w:t>
            </w:r>
          </w:p>
        </w:tc>
        <w:tc>
          <w:tcPr>
            <w:tcW w:w="1282" w:type="dxa"/>
            <w:shd w:val="clear" w:color="auto" w:fill="FFFFFF"/>
          </w:tcPr>
          <w:p w14:paraId="3B1D07E7"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12.7</w:t>
            </w:r>
          </w:p>
        </w:tc>
        <w:tc>
          <w:tcPr>
            <w:tcW w:w="381" w:type="dxa"/>
            <w:shd w:val="clear" w:color="auto" w:fill="FFFFFF"/>
          </w:tcPr>
          <w:p w14:paraId="63C50D8B"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w:t>
            </w:r>
          </w:p>
        </w:tc>
        <w:tc>
          <w:tcPr>
            <w:tcW w:w="1577" w:type="dxa"/>
            <w:shd w:val="clear" w:color="auto" w:fill="FFFFFF"/>
          </w:tcPr>
          <w:p w14:paraId="19A58B87"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6.5</w:t>
            </w:r>
          </w:p>
        </w:tc>
        <w:tc>
          <w:tcPr>
            <w:tcW w:w="990" w:type="dxa"/>
            <w:shd w:val="clear" w:color="auto" w:fill="FFFFFF"/>
          </w:tcPr>
          <w:p w14:paraId="7EE68172"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FE</w:t>
            </w:r>
          </w:p>
        </w:tc>
        <w:tc>
          <w:tcPr>
            <w:tcW w:w="1080" w:type="dxa"/>
            <w:shd w:val="clear" w:color="auto" w:fill="FFFFFF"/>
          </w:tcPr>
          <w:p w14:paraId="6C00F696"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0.557</w:t>
            </w:r>
          </w:p>
        </w:tc>
      </w:tr>
      <w:tr w:rsidR="00D01483" w14:paraId="6CFE724C" w14:textId="77777777">
        <w:trPr>
          <w:cantSplit/>
        </w:trPr>
        <w:tc>
          <w:tcPr>
            <w:tcW w:w="3150" w:type="dxa"/>
            <w:tcBorders>
              <w:top w:val="nil"/>
              <w:left w:val="nil"/>
              <w:bottom w:val="single" w:sz="4" w:space="0" w:color="auto"/>
              <w:right w:val="nil"/>
            </w:tcBorders>
            <w:shd w:val="clear" w:color="auto" w:fill="FFFFFF"/>
          </w:tcPr>
          <w:p w14:paraId="44279D35"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Mortality(N, %)</w:t>
            </w:r>
          </w:p>
        </w:tc>
        <w:tc>
          <w:tcPr>
            <w:tcW w:w="540" w:type="dxa"/>
            <w:tcBorders>
              <w:top w:val="nil"/>
              <w:left w:val="nil"/>
              <w:bottom w:val="single" w:sz="4" w:space="0" w:color="auto"/>
              <w:right w:val="nil"/>
            </w:tcBorders>
            <w:shd w:val="clear" w:color="auto" w:fill="FFFFFF"/>
          </w:tcPr>
          <w:p w14:paraId="3EC6E361"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89</w:t>
            </w:r>
          </w:p>
        </w:tc>
        <w:tc>
          <w:tcPr>
            <w:tcW w:w="1080" w:type="dxa"/>
            <w:tcBorders>
              <w:top w:val="nil"/>
              <w:left w:val="nil"/>
              <w:bottom w:val="single" w:sz="4" w:space="0" w:color="auto"/>
              <w:right w:val="nil"/>
            </w:tcBorders>
            <w:shd w:val="clear" w:color="auto" w:fill="FFFFFF"/>
          </w:tcPr>
          <w:p w14:paraId="6F0DD401"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29.8</w:t>
            </w:r>
          </w:p>
        </w:tc>
        <w:tc>
          <w:tcPr>
            <w:tcW w:w="630" w:type="dxa"/>
            <w:tcBorders>
              <w:top w:val="nil"/>
              <w:left w:val="nil"/>
              <w:bottom w:val="single" w:sz="4" w:space="0" w:color="auto"/>
              <w:right w:val="nil"/>
            </w:tcBorders>
            <w:shd w:val="clear" w:color="auto" w:fill="FFFFFF"/>
          </w:tcPr>
          <w:p w14:paraId="008B2D6B"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69</w:t>
            </w:r>
          </w:p>
        </w:tc>
        <w:tc>
          <w:tcPr>
            <w:tcW w:w="1282" w:type="dxa"/>
            <w:tcBorders>
              <w:top w:val="nil"/>
              <w:left w:val="nil"/>
              <w:bottom w:val="single" w:sz="4" w:space="0" w:color="auto"/>
              <w:right w:val="nil"/>
            </w:tcBorders>
            <w:shd w:val="clear" w:color="auto" w:fill="FFFFFF"/>
          </w:tcPr>
          <w:p w14:paraId="765A0981"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25.7</w:t>
            </w:r>
          </w:p>
        </w:tc>
        <w:tc>
          <w:tcPr>
            <w:tcW w:w="381" w:type="dxa"/>
            <w:tcBorders>
              <w:top w:val="nil"/>
              <w:left w:val="nil"/>
              <w:bottom w:val="single" w:sz="4" w:space="0" w:color="auto"/>
              <w:right w:val="nil"/>
            </w:tcBorders>
            <w:shd w:val="clear" w:color="auto" w:fill="FFFFFF"/>
          </w:tcPr>
          <w:p w14:paraId="772B9D6F"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20</w:t>
            </w:r>
          </w:p>
        </w:tc>
        <w:tc>
          <w:tcPr>
            <w:tcW w:w="1577" w:type="dxa"/>
            <w:tcBorders>
              <w:top w:val="nil"/>
              <w:left w:val="nil"/>
              <w:bottom w:val="single" w:sz="4" w:space="0" w:color="auto"/>
              <w:right w:val="nil"/>
            </w:tcBorders>
            <w:shd w:val="clear" w:color="auto" w:fill="FFFFFF"/>
          </w:tcPr>
          <w:p w14:paraId="5F43B591"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64.5</w:t>
            </w:r>
          </w:p>
        </w:tc>
        <w:tc>
          <w:tcPr>
            <w:tcW w:w="990" w:type="dxa"/>
            <w:tcBorders>
              <w:top w:val="nil"/>
              <w:left w:val="nil"/>
              <w:bottom w:val="single" w:sz="4" w:space="0" w:color="auto"/>
              <w:right w:val="nil"/>
            </w:tcBorders>
            <w:shd w:val="clear" w:color="auto" w:fill="FFFFFF"/>
          </w:tcPr>
          <w:p w14:paraId="43995A76"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19.978</w:t>
            </w:r>
            <w:r>
              <w:rPr>
                <w:rFonts w:ascii="Book Antiqua" w:hAnsi="Book Antiqua" w:cstheme="minorHAnsi"/>
                <w:color w:val="000000" w:themeColor="text1"/>
                <w:vertAlign w:val="superscript"/>
              </w:rPr>
              <w:t>b</w:t>
            </w:r>
          </w:p>
        </w:tc>
        <w:tc>
          <w:tcPr>
            <w:tcW w:w="1080" w:type="dxa"/>
            <w:tcBorders>
              <w:top w:val="nil"/>
              <w:left w:val="nil"/>
              <w:bottom w:val="single" w:sz="4" w:space="0" w:color="auto"/>
              <w:right w:val="nil"/>
            </w:tcBorders>
            <w:shd w:val="clear" w:color="auto" w:fill="FFFFFF"/>
          </w:tcPr>
          <w:p w14:paraId="6D303216"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&lt; 0.001</w:t>
            </w:r>
            <w:r>
              <w:rPr>
                <w:rFonts w:ascii="Book Antiqua" w:hAnsi="Book Antiqua" w:cstheme="minorHAnsi"/>
                <w:color w:val="000000" w:themeColor="text1"/>
                <w:vertAlign w:val="superscript"/>
              </w:rPr>
              <w:t>1</w:t>
            </w:r>
          </w:p>
        </w:tc>
      </w:tr>
    </w:tbl>
    <w:p w14:paraId="7873B4A2" w14:textId="77777777" w:rsidR="00D01483" w:rsidRDefault="007E3D42">
      <w:pPr>
        <w:autoSpaceDE w:val="0"/>
        <w:autoSpaceDN w:val="0"/>
        <w:adjustRightInd w:val="0"/>
        <w:spacing w:line="360" w:lineRule="auto"/>
        <w:jc w:val="both"/>
        <w:rPr>
          <w:rFonts w:ascii="Book Antiqua" w:hAnsi="Book Antiqua" w:cstheme="minorHAnsi"/>
          <w:color w:val="000000" w:themeColor="text1"/>
        </w:rPr>
      </w:pPr>
      <w:r>
        <w:rPr>
          <w:rFonts w:ascii="Book Antiqua" w:hAnsi="Book Antiqua" w:cstheme="minorHAnsi"/>
          <w:color w:val="000000" w:themeColor="text1"/>
          <w:vertAlign w:val="superscript"/>
        </w:rPr>
        <w:t>a</w:t>
      </w:r>
      <w:r>
        <w:rPr>
          <w:rFonts w:ascii="Book Antiqua" w:hAnsi="Book Antiqua" w:cstheme="minorHAnsi"/>
          <w:color w:val="000000" w:themeColor="text1"/>
        </w:rPr>
        <w:t xml:space="preserve">Mann-Whitney test. </w:t>
      </w:r>
    </w:p>
    <w:p w14:paraId="09E5A1C4" w14:textId="77777777" w:rsidR="00D01483" w:rsidRDefault="007E3D42">
      <w:pPr>
        <w:autoSpaceDE w:val="0"/>
        <w:autoSpaceDN w:val="0"/>
        <w:adjustRightInd w:val="0"/>
        <w:spacing w:line="360" w:lineRule="auto"/>
        <w:jc w:val="both"/>
        <w:rPr>
          <w:rFonts w:ascii="Book Antiqua" w:hAnsi="Book Antiqua" w:cstheme="minorHAnsi"/>
          <w:color w:val="000000" w:themeColor="text1"/>
        </w:rPr>
      </w:pPr>
      <w:r>
        <w:rPr>
          <w:rFonts w:ascii="Book Antiqua" w:hAnsi="Book Antiqua" w:cstheme="minorHAnsi"/>
          <w:color w:val="000000" w:themeColor="text1"/>
          <w:vertAlign w:val="superscript"/>
        </w:rPr>
        <w:t>b</w:t>
      </w:r>
      <w:r>
        <w:rPr>
          <w:rFonts w:ascii="Book Antiqua" w:hAnsi="Book Antiqua" w:cstheme="minorHAnsi"/>
          <w:color w:val="000000" w:themeColor="text1"/>
        </w:rPr>
        <w:t xml:space="preserve">Pearson’s Chi square test for independence. </w:t>
      </w:r>
    </w:p>
    <w:p w14:paraId="497B99DE" w14:textId="77777777" w:rsidR="00D01483" w:rsidRDefault="007E3D42">
      <w:pPr>
        <w:autoSpaceDE w:val="0"/>
        <w:autoSpaceDN w:val="0"/>
        <w:adjustRightInd w:val="0"/>
        <w:spacing w:line="360" w:lineRule="auto"/>
        <w:jc w:val="both"/>
        <w:rPr>
          <w:rFonts w:ascii="Book Antiqua" w:hAnsi="Book Antiqua" w:cstheme="minorHAnsi"/>
          <w:color w:val="000000" w:themeColor="text1"/>
        </w:rPr>
      </w:pPr>
      <w:r>
        <w:rPr>
          <w:rFonts w:ascii="Book Antiqua" w:hAnsi="Book Antiqua" w:cstheme="minorHAnsi"/>
          <w:color w:val="000000" w:themeColor="text1"/>
          <w:vertAlign w:val="superscript"/>
        </w:rPr>
        <w:t>1</w:t>
      </w:r>
      <w:r>
        <w:rPr>
          <w:rFonts w:ascii="Book Antiqua" w:hAnsi="Book Antiqua" w:cstheme="minorHAnsi"/>
          <w:color w:val="000000" w:themeColor="text1"/>
        </w:rPr>
        <w:t xml:space="preserve">Significant at </w:t>
      </w:r>
      <w:r>
        <w:rPr>
          <w:rFonts w:ascii="Book Antiqua" w:hAnsi="Book Antiqua" w:cstheme="minorHAnsi"/>
          <w:i/>
          <w:color w:val="000000" w:themeColor="text1"/>
        </w:rPr>
        <w:t>P</w:t>
      </w:r>
      <w:r>
        <w:rPr>
          <w:rFonts w:ascii="Book Antiqua" w:hAnsi="Book Antiqua" w:cstheme="minorHAnsi"/>
          <w:color w:val="000000" w:themeColor="text1"/>
        </w:rPr>
        <w:t xml:space="preserve"> &lt; 0.05. IQR: Interquartile range; N: Number; ICU: Intensive care unit.</w:t>
      </w:r>
    </w:p>
    <w:p w14:paraId="25CAC64C"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br w:type="page"/>
      </w:r>
      <w:r>
        <w:rPr>
          <w:rFonts w:ascii="Book Antiqua" w:hAnsi="Book Antiqua" w:cstheme="minorHAnsi"/>
          <w:b/>
          <w:bCs/>
          <w:color w:val="000000" w:themeColor="text1"/>
        </w:rPr>
        <w:lastRenderedPageBreak/>
        <w:t>Table 5 Logistic regression analysis for risk factors of intensive care unit readmission</w:t>
      </w:r>
    </w:p>
    <w:tbl>
      <w:tblPr>
        <w:tblW w:w="9360" w:type="dxa"/>
        <w:tblInd w:w="-540" w:type="dxa"/>
        <w:tblLayout w:type="fixed"/>
        <w:tblCellMar>
          <w:left w:w="0" w:type="dxa"/>
          <w:right w:w="0" w:type="dxa"/>
        </w:tblCellMar>
        <w:tblLook w:val="04A0" w:firstRow="1" w:lastRow="0" w:firstColumn="1" w:lastColumn="0" w:noHBand="0" w:noVBand="1"/>
      </w:tblPr>
      <w:tblGrid>
        <w:gridCol w:w="3935"/>
        <w:gridCol w:w="1085"/>
        <w:gridCol w:w="1085"/>
        <w:gridCol w:w="1085"/>
        <w:gridCol w:w="1085"/>
        <w:gridCol w:w="1085"/>
      </w:tblGrid>
      <w:tr w:rsidR="00D01483" w14:paraId="17C3460A" w14:textId="77777777">
        <w:trPr>
          <w:cantSplit/>
        </w:trPr>
        <w:tc>
          <w:tcPr>
            <w:tcW w:w="3935" w:type="dxa"/>
            <w:vMerge w:val="restart"/>
            <w:tcBorders>
              <w:top w:val="single" w:sz="4" w:space="0" w:color="auto"/>
              <w:left w:val="nil"/>
              <w:bottom w:val="single" w:sz="4" w:space="0" w:color="auto"/>
              <w:right w:val="nil"/>
            </w:tcBorders>
            <w:shd w:val="clear" w:color="auto" w:fill="FFFFFF"/>
            <w:vAlign w:val="bottom"/>
          </w:tcPr>
          <w:p w14:paraId="6F26139E" w14:textId="77777777" w:rsidR="00D01483" w:rsidRDefault="00D01483">
            <w:pPr>
              <w:spacing w:line="360" w:lineRule="auto"/>
              <w:jc w:val="both"/>
              <w:rPr>
                <w:rFonts w:ascii="Book Antiqua" w:hAnsi="Book Antiqua" w:cstheme="minorHAnsi"/>
                <w:color w:val="000000" w:themeColor="text1"/>
              </w:rPr>
            </w:pPr>
          </w:p>
        </w:tc>
        <w:tc>
          <w:tcPr>
            <w:tcW w:w="1085" w:type="dxa"/>
            <w:vMerge w:val="restart"/>
            <w:tcBorders>
              <w:top w:val="single" w:sz="4" w:space="0" w:color="auto"/>
              <w:left w:val="nil"/>
              <w:bottom w:val="single" w:sz="4" w:space="0" w:color="auto"/>
              <w:right w:val="nil"/>
            </w:tcBorders>
            <w:shd w:val="clear" w:color="auto" w:fill="FFFFFF"/>
            <w:vAlign w:val="bottom"/>
          </w:tcPr>
          <w:p w14:paraId="22CB9594" w14:textId="77777777" w:rsidR="00D01483" w:rsidRDefault="007E3D42">
            <w:pPr>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Wald</w:t>
            </w:r>
          </w:p>
        </w:tc>
        <w:tc>
          <w:tcPr>
            <w:tcW w:w="1085" w:type="dxa"/>
            <w:vMerge w:val="restart"/>
            <w:tcBorders>
              <w:top w:val="single" w:sz="4" w:space="0" w:color="auto"/>
              <w:left w:val="nil"/>
              <w:bottom w:val="single" w:sz="4" w:space="0" w:color="auto"/>
              <w:right w:val="nil"/>
            </w:tcBorders>
            <w:shd w:val="clear" w:color="auto" w:fill="FFFFFF"/>
            <w:vAlign w:val="bottom"/>
          </w:tcPr>
          <w:p w14:paraId="773607EF" w14:textId="77777777" w:rsidR="00D01483" w:rsidRDefault="007E3D42">
            <w:pPr>
              <w:spacing w:line="360" w:lineRule="auto"/>
              <w:jc w:val="both"/>
              <w:rPr>
                <w:rFonts w:ascii="Book Antiqua" w:hAnsi="Book Antiqua" w:cstheme="minorHAnsi"/>
                <w:b/>
                <w:bCs/>
                <w:i/>
                <w:color w:val="000000" w:themeColor="text1"/>
              </w:rPr>
            </w:pPr>
            <w:r>
              <w:rPr>
                <w:rFonts w:ascii="Book Antiqua" w:hAnsi="Book Antiqua" w:cstheme="minorHAnsi"/>
                <w:b/>
                <w:bCs/>
                <w:i/>
                <w:color w:val="000000" w:themeColor="text1"/>
              </w:rPr>
              <w:t xml:space="preserve">P </w:t>
            </w:r>
            <w:r>
              <w:rPr>
                <w:rFonts w:ascii="Book Antiqua" w:hAnsi="Book Antiqua" w:cstheme="minorHAnsi"/>
                <w:b/>
                <w:bCs/>
                <w:color w:val="000000" w:themeColor="text1"/>
              </w:rPr>
              <w:t>value</w:t>
            </w:r>
          </w:p>
        </w:tc>
        <w:tc>
          <w:tcPr>
            <w:tcW w:w="1085" w:type="dxa"/>
            <w:vMerge w:val="restart"/>
            <w:tcBorders>
              <w:top w:val="single" w:sz="4" w:space="0" w:color="auto"/>
              <w:left w:val="nil"/>
              <w:bottom w:val="single" w:sz="4" w:space="0" w:color="auto"/>
              <w:right w:val="nil"/>
            </w:tcBorders>
            <w:shd w:val="clear" w:color="auto" w:fill="FFFFFF"/>
            <w:vAlign w:val="bottom"/>
          </w:tcPr>
          <w:p w14:paraId="6EDB4C5D" w14:textId="77777777" w:rsidR="00D01483" w:rsidRDefault="007E3D42">
            <w:pPr>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OR</w:t>
            </w:r>
          </w:p>
        </w:tc>
        <w:tc>
          <w:tcPr>
            <w:tcW w:w="2170" w:type="dxa"/>
            <w:gridSpan w:val="2"/>
            <w:tcBorders>
              <w:top w:val="single" w:sz="4" w:space="0" w:color="auto"/>
              <w:left w:val="nil"/>
              <w:bottom w:val="nil"/>
              <w:right w:val="nil"/>
            </w:tcBorders>
            <w:shd w:val="clear" w:color="auto" w:fill="FFFFFF"/>
            <w:vAlign w:val="bottom"/>
          </w:tcPr>
          <w:p w14:paraId="6E0D8564" w14:textId="77777777" w:rsidR="00D01483" w:rsidRDefault="007E3D42">
            <w:pPr>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95% CI for OR</w:t>
            </w:r>
          </w:p>
        </w:tc>
      </w:tr>
      <w:tr w:rsidR="00D01483" w14:paraId="46D7B568" w14:textId="77777777">
        <w:trPr>
          <w:cantSplit/>
        </w:trPr>
        <w:tc>
          <w:tcPr>
            <w:tcW w:w="3935" w:type="dxa"/>
            <w:vMerge/>
            <w:tcBorders>
              <w:top w:val="single" w:sz="4" w:space="0" w:color="auto"/>
              <w:left w:val="nil"/>
              <w:bottom w:val="single" w:sz="4" w:space="0" w:color="auto"/>
              <w:right w:val="nil"/>
            </w:tcBorders>
            <w:vAlign w:val="center"/>
          </w:tcPr>
          <w:p w14:paraId="3962B916" w14:textId="77777777" w:rsidR="00D01483" w:rsidRDefault="00D01483">
            <w:pPr>
              <w:spacing w:line="360" w:lineRule="auto"/>
              <w:jc w:val="both"/>
              <w:rPr>
                <w:rFonts w:ascii="Book Antiqua" w:hAnsi="Book Antiqua" w:cstheme="minorHAnsi"/>
                <w:color w:val="000000" w:themeColor="text1"/>
              </w:rPr>
            </w:pPr>
          </w:p>
        </w:tc>
        <w:tc>
          <w:tcPr>
            <w:tcW w:w="1085" w:type="dxa"/>
            <w:vMerge/>
            <w:tcBorders>
              <w:top w:val="single" w:sz="4" w:space="0" w:color="auto"/>
              <w:left w:val="nil"/>
              <w:bottom w:val="single" w:sz="4" w:space="0" w:color="auto"/>
              <w:right w:val="nil"/>
            </w:tcBorders>
            <w:vAlign w:val="center"/>
          </w:tcPr>
          <w:p w14:paraId="1B635776" w14:textId="77777777" w:rsidR="00D01483" w:rsidRDefault="00D01483">
            <w:pPr>
              <w:spacing w:line="360" w:lineRule="auto"/>
              <w:jc w:val="both"/>
              <w:rPr>
                <w:rFonts w:ascii="Book Antiqua" w:hAnsi="Book Antiqua" w:cstheme="minorHAnsi"/>
                <w:b/>
                <w:bCs/>
                <w:color w:val="000000" w:themeColor="text1"/>
              </w:rPr>
            </w:pPr>
          </w:p>
        </w:tc>
        <w:tc>
          <w:tcPr>
            <w:tcW w:w="1085" w:type="dxa"/>
            <w:vMerge/>
            <w:tcBorders>
              <w:top w:val="single" w:sz="4" w:space="0" w:color="auto"/>
              <w:left w:val="nil"/>
              <w:bottom w:val="single" w:sz="4" w:space="0" w:color="auto"/>
              <w:right w:val="nil"/>
            </w:tcBorders>
            <w:vAlign w:val="center"/>
          </w:tcPr>
          <w:p w14:paraId="4D1F14DF" w14:textId="77777777" w:rsidR="00D01483" w:rsidRDefault="00D01483">
            <w:pPr>
              <w:spacing w:line="360" w:lineRule="auto"/>
              <w:jc w:val="both"/>
              <w:rPr>
                <w:rFonts w:ascii="Book Antiqua" w:hAnsi="Book Antiqua" w:cstheme="minorHAnsi"/>
                <w:b/>
                <w:bCs/>
                <w:color w:val="000000" w:themeColor="text1"/>
              </w:rPr>
            </w:pPr>
          </w:p>
        </w:tc>
        <w:tc>
          <w:tcPr>
            <w:tcW w:w="1085" w:type="dxa"/>
            <w:vMerge/>
            <w:tcBorders>
              <w:top w:val="single" w:sz="4" w:space="0" w:color="auto"/>
              <w:left w:val="nil"/>
              <w:bottom w:val="single" w:sz="4" w:space="0" w:color="auto"/>
              <w:right w:val="nil"/>
            </w:tcBorders>
            <w:vAlign w:val="center"/>
          </w:tcPr>
          <w:p w14:paraId="3C708208" w14:textId="77777777" w:rsidR="00D01483" w:rsidRDefault="00D01483">
            <w:pPr>
              <w:spacing w:line="360" w:lineRule="auto"/>
              <w:jc w:val="both"/>
              <w:rPr>
                <w:rFonts w:ascii="Book Antiqua" w:hAnsi="Book Antiqua" w:cstheme="minorHAnsi"/>
                <w:b/>
                <w:bCs/>
                <w:color w:val="000000" w:themeColor="text1"/>
              </w:rPr>
            </w:pPr>
          </w:p>
        </w:tc>
        <w:tc>
          <w:tcPr>
            <w:tcW w:w="1085" w:type="dxa"/>
            <w:tcBorders>
              <w:top w:val="nil"/>
              <w:left w:val="nil"/>
              <w:bottom w:val="single" w:sz="4" w:space="0" w:color="auto"/>
              <w:right w:val="nil"/>
            </w:tcBorders>
            <w:shd w:val="clear" w:color="auto" w:fill="FFFFFF"/>
            <w:vAlign w:val="bottom"/>
          </w:tcPr>
          <w:p w14:paraId="433950A3" w14:textId="77777777" w:rsidR="00D01483" w:rsidRDefault="007E3D42">
            <w:pPr>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Lower</w:t>
            </w:r>
          </w:p>
        </w:tc>
        <w:tc>
          <w:tcPr>
            <w:tcW w:w="1085" w:type="dxa"/>
            <w:tcBorders>
              <w:top w:val="nil"/>
              <w:left w:val="nil"/>
              <w:bottom w:val="single" w:sz="4" w:space="0" w:color="auto"/>
              <w:right w:val="nil"/>
            </w:tcBorders>
            <w:shd w:val="clear" w:color="auto" w:fill="FFFFFF"/>
            <w:vAlign w:val="bottom"/>
          </w:tcPr>
          <w:p w14:paraId="08D74DFE" w14:textId="77777777" w:rsidR="00D01483" w:rsidRDefault="007E3D42">
            <w:pPr>
              <w:spacing w:line="360" w:lineRule="auto"/>
              <w:jc w:val="both"/>
              <w:rPr>
                <w:rFonts w:ascii="Book Antiqua" w:hAnsi="Book Antiqua" w:cstheme="minorHAnsi"/>
                <w:b/>
                <w:bCs/>
                <w:color w:val="000000" w:themeColor="text1"/>
              </w:rPr>
            </w:pPr>
            <w:r>
              <w:rPr>
                <w:rFonts w:ascii="Book Antiqua" w:hAnsi="Book Antiqua" w:cstheme="minorHAnsi"/>
                <w:b/>
                <w:bCs/>
                <w:color w:val="000000" w:themeColor="text1"/>
              </w:rPr>
              <w:t>Upper</w:t>
            </w:r>
          </w:p>
        </w:tc>
      </w:tr>
      <w:tr w:rsidR="00D01483" w14:paraId="20E1B6B2" w14:textId="77777777">
        <w:trPr>
          <w:cantSplit/>
        </w:trPr>
        <w:tc>
          <w:tcPr>
            <w:tcW w:w="3935" w:type="dxa"/>
            <w:tcBorders>
              <w:top w:val="single" w:sz="4" w:space="0" w:color="auto"/>
              <w:left w:val="nil"/>
              <w:bottom w:val="nil"/>
              <w:right w:val="nil"/>
            </w:tcBorders>
            <w:shd w:val="clear" w:color="auto" w:fill="FFFFFF"/>
          </w:tcPr>
          <w:p w14:paraId="5C573018"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Patients’ age (years)</w:t>
            </w:r>
          </w:p>
        </w:tc>
        <w:tc>
          <w:tcPr>
            <w:tcW w:w="1085" w:type="dxa"/>
            <w:tcBorders>
              <w:top w:val="single" w:sz="4" w:space="0" w:color="auto"/>
              <w:left w:val="nil"/>
              <w:bottom w:val="nil"/>
              <w:right w:val="nil"/>
            </w:tcBorders>
            <w:shd w:val="clear" w:color="auto" w:fill="FFFFFF"/>
          </w:tcPr>
          <w:p w14:paraId="17DCF657"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4.707</w:t>
            </w:r>
          </w:p>
        </w:tc>
        <w:tc>
          <w:tcPr>
            <w:tcW w:w="1085" w:type="dxa"/>
            <w:tcBorders>
              <w:top w:val="single" w:sz="4" w:space="0" w:color="auto"/>
              <w:left w:val="nil"/>
              <w:bottom w:val="nil"/>
              <w:right w:val="nil"/>
            </w:tcBorders>
            <w:shd w:val="clear" w:color="auto" w:fill="FFFFFF"/>
          </w:tcPr>
          <w:p w14:paraId="12E3377B"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0.030</w:t>
            </w:r>
            <w:r>
              <w:rPr>
                <w:rFonts w:ascii="Book Antiqua" w:hAnsi="Book Antiqua" w:cstheme="minorHAnsi"/>
                <w:color w:val="000000" w:themeColor="text1"/>
                <w:vertAlign w:val="superscript"/>
              </w:rPr>
              <w:t>1</w:t>
            </w:r>
          </w:p>
        </w:tc>
        <w:tc>
          <w:tcPr>
            <w:tcW w:w="1085" w:type="dxa"/>
            <w:tcBorders>
              <w:top w:val="single" w:sz="4" w:space="0" w:color="auto"/>
              <w:left w:val="nil"/>
              <w:bottom w:val="nil"/>
              <w:right w:val="nil"/>
            </w:tcBorders>
            <w:shd w:val="clear" w:color="auto" w:fill="FFFFFF"/>
          </w:tcPr>
          <w:p w14:paraId="31D4354A"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1.048</w:t>
            </w:r>
          </w:p>
        </w:tc>
        <w:tc>
          <w:tcPr>
            <w:tcW w:w="1085" w:type="dxa"/>
            <w:tcBorders>
              <w:top w:val="single" w:sz="4" w:space="0" w:color="auto"/>
              <w:left w:val="nil"/>
              <w:bottom w:val="nil"/>
              <w:right w:val="nil"/>
            </w:tcBorders>
            <w:shd w:val="clear" w:color="auto" w:fill="FFFFFF"/>
          </w:tcPr>
          <w:p w14:paraId="350D15ED"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1.005</w:t>
            </w:r>
          </w:p>
        </w:tc>
        <w:tc>
          <w:tcPr>
            <w:tcW w:w="1085" w:type="dxa"/>
            <w:tcBorders>
              <w:top w:val="single" w:sz="4" w:space="0" w:color="auto"/>
              <w:left w:val="nil"/>
              <w:bottom w:val="nil"/>
              <w:right w:val="nil"/>
            </w:tcBorders>
            <w:shd w:val="clear" w:color="auto" w:fill="FFFFFF"/>
          </w:tcPr>
          <w:p w14:paraId="520EE7DC"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1.094</w:t>
            </w:r>
          </w:p>
        </w:tc>
      </w:tr>
      <w:tr w:rsidR="00D01483" w14:paraId="1241FF94" w14:textId="77777777">
        <w:trPr>
          <w:cantSplit/>
        </w:trPr>
        <w:tc>
          <w:tcPr>
            <w:tcW w:w="3935" w:type="dxa"/>
            <w:shd w:val="clear" w:color="auto" w:fill="FFFFFF"/>
          </w:tcPr>
          <w:p w14:paraId="0E2A80FE"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Gender (male compared to female)</w:t>
            </w:r>
          </w:p>
        </w:tc>
        <w:tc>
          <w:tcPr>
            <w:tcW w:w="1085" w:type="dxa"/>
            <w:shd w:val="clear" w:color="auto" w:fill="FFFFFF"/>
          </w:tcPr>
          <w:p w14:paraId="0FA337D7"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2.722</w:t>
            </w:r>
          </w:p>
        </w:tc>
        <w:tc>
          <w:tcPr>
            <w:tcW w:w="1085" w:type="dxa"/>
            <w:shd w:val="clear" w:color="auto" w:fill="FFFFFF"/>
          </w:tcPr>
          <w:p w14:paraId="03A1E2FD"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0.099</w:t>
            </w:r>
          </w:p>
        </w:tc>
        <w:tc>
          <w:tcPr>
            <w:tcW w:w="1085" w:type="dxa"/>
            <w:shd w:val="clear" w:color="auto" w:fill="FFFFFF"/>
          </w:tcPr>
          <w:p w14:paraId="748DBA01"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0.399</w:t>
            </w:r>
          </w:p>
        </w:tc>
        <w:tc>
          <w:tcPr>
            <w:tcW w:w="1085" w:type="dxa"/>
            <w:shd w:val="clear" w:color="auto" w:fill="FFFFFF"/>
          </w:tcPr>
          <w:p w14:paraId="7C25BE1B"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0.134</w:t>
            </w:r>
          </w:p>
        </w:tc>
        <w:tc>
          <w:tcPr>
            <w:tcW w:w="1085" w:type="dxa"/>
            <w:shd w:val="clear" w:color="auto" w:fill="FFFFFF"/>
          </w:tcPr>
          <w:p w14:paraId="4EFB1ADA"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1.188</w:t>
            </w:r>
          </w:p>
        </w:tc>
      </w:tr>
      <w:tr w:rsidR="00D01483" w14:paraId="1DA8D9C9" w14:textId="77777777">
        <w:trPr>
          <w:cantSplit/>
        </w:trPr>
        <w:tc>
          <w:tcPr>
            <w:tcW w:w="3935" w:type="dxa"/>
            <w:shd w:val="clear" w:color="auto" w:fill="FFFFFF"/>
          </w:tcPr>
          <w:p w14:paraId="08F69734"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DM</w:t>
            </w:r>
          </w:p>
        </w:tc>
        <w:tc>
          <w:tcPr>
            <w:tcW w:w="1085" w:type="dxa"/>
            <w:shd w:val="clear" w:color="auto" w:fill="FFFFFF"/>
          </w:tcPr>
          <w:p w14:paraId="77134F79"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1.257</w:t>
            </w:r>
          </w:p>
        </w:tc>
        <w:tc>
          <w:tcPr>
            <w:tcW w:w="1085" w:type="dxa"/>
            <w:shd w:val="clear" w:color="auto" w:fill="FFFFFF"/>
          </w:tcPr>
          <w:p w14:paraId="3ADCCDE4"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0.262</w:t>
            </w:r>
          </w:p>
        </w:tc>
        <w:tc>
          <w:tcPr>
            <w:tcW w:w="1085" w:type="dxa"/>
            <w:shd w:val="clear" w:color="auto" w:fill="FFFFFF"/>
          </w:tcPr>
          <w:p w14:paraId="43D38443"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1.828</w:t>
            </w:r>
          </w:p>
        </w:tc>
        <w:tc>
          <w:tcPr>
            <w:tcW w:w="1085" w:type="dxa"/>
            <w:shd w:val="clear" w:color="auto" w:fill="FFFFFF"/>
          </w:tcPr>
          <w:p w14:paraId="2485CF6A"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0.637</w:t>
            </w:r>
          </w:p>
        </w:tc>
        <w:tc>
          <w:tcPr>
            <w:tcW w:w="1085" w:type="dxa"/>
            <w:shd w:val="clear" w:color="auto" w:fill="FFFFFF"/>
          </w:tcPr>
          <w:p w14:paraId="3C72DD84"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5.244</w:t>
            </w:r>
          </w:p>
        </w:tc>
      </w:tr>
      <w:tr w:rsidR="00D01483" w14:paraId="2CA84209" w14:textId="77777777">
        <w:trPr>
          <w:cantSplit/>
        </w:trPr>
        <w:tc>
          <w:tcPr>
            <w:tcW w:w="3935" w:type="dxa"/>
            <w:shd w:val="clear" w:color="auto" w:fill="FFFFFF"/>
          </w:tcPr>
          <w:p w14:paraId="71B7BCC6"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Hypertension</w:t>
            </w:r>
          </w:p>
        </w:tc>
        <w:tc>
          <w:tcPr>
            <w:tcW w:w="1085" w:type="dxa"/>
            <w:shd w:val="clear" w:color="auto" w:fill="FFFFFF"/>
          </w:tcPr>
          <w:p w14:paraId="30D1E015"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0.462</w:t>
            </w:r>
          </w:p>
        </w:tc>
        <w:tc>
          <w:tcPr>
            <w:tcW w:w="1085" w:type="dxa"/>
            <w:shd w:val="clear" w:color="auto" w:fill="FFFFFF"/>
          </w:tcPr>
          <w:p w14:paraId="7E8E4BAF"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0.497</w:t>
            </w:r>
          </w:p>
        </w:tc>
        <w:tc>
          <w:tcPr>
            <w:tcW w:w="1085" w:type="dxa"/>
            <w:shd w:val="clear" w:color="auto" w:fill="FFFFFF"/>
          </w:tcPr>
          <w:p w14:paraId="33FA7269"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1.641</w:t>
            </w:r>
          </w:p>
        </w:tc>
        <w:tc>
          <w:tcPr>
            <w:tcW w:w="1085" w:type="dxa"/>
            <w:shd w:val="clear" w:color="auto" w:fill="FFFFFF"/>
          </w:tcPr>
          <w:p w14:paraId="2A03E71C"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0.394</w:t>
            </w:r>
          </w:p>
        </w:tc>
        <w:tc>
          <w:tcPr>
            <w:tcW w:w="1085" w:type="dxa"/>
            <w:shd w:val="clear" w:color="auto" w:fill="FFFFFF"/>
          </w:tcPr>
          <w:p w14:paraId="72C5E327"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6.842</w:t>
            </w:r>
          </w:p>
        </w:tc>
      </w:tr>
      <w:tr w:rsidR="00D01483" w14:paraId="24EB850B" w14:textId="77777777">
        <w:trPr>
          <w:cantSplit/>
        </w:trPr>
        <w:tc>
          <w:tcPr>
            <w:tcW w:w="3935" w:type="dxa"/>
            <w:shd w:val="clear" w:color="auto" w:fill="FFFFFF"/>
          </w:tcPr>
          <w:p w14:paraId="4DFA1847"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Donors’ age (years)</w:t>
            </w:r>
          </w:p>
        </w:tc>
        <w:tc>
          <w:tcPr>
            <w:tcW w:w="1085" w:type="dxa"/>
            <w:shd w:val="clear" w:color="auto" w:fill="FFFFFF"/>
          </w:tcPr>
          <w:p w14:paraId="0E8240CD"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1.700</w:t>
            </w:r>
          </w:p>
        </w:tc>
        <w:tc>
          <w:tcPr>
            <w:tcW w:w="1085" w:type="dxa"/>
            <w:shd w:val="clear" w:color="auto" w:fill="FFFFFF"/>
          </w:tcPr>
          <w:p w14:paraId="35FCA641"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0.192</w:t>
            </w:r>
          </w:p>
        </w:tc>
        <w:tc>
          <w:tcPr>
            <w:tcW w:w="1085" w:type="dxa"/>
            <w:shd w:val="clear" w:color="auto" w:fill="FFFFFF"/>
          </w:tcPr>
          <w:p w14:paraId="3882E4C7"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0.954</w:t>
            </w:r>
          </w:p>
        </w:tc>
        <w:tc>
          <w:tcPr>
            <w:tcW w:w="1085" w:type="dxa"/>
            <w:shd w:val="clear" w:color="auto" w:fill="FFFFFF"/>
          </w:tcPr>
          <w:p w14:paraId="108F85FB"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0.888</w:t>
            </w:r>
          </w:p>
        </w:tc>
        <w:tc>
          <w:tcPr>
            <w:tcW w:w="1085" w:type="dxa"/>
            <w:shd w:val="clear" w:color="auto" w:fill="FFFFFF"/>
          </w:tcPr>
          <w:p w14:paraId="6D139FEF"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1.024</w:t>
            </w:r>
          </w:p>
        </w:tc>
      </w:tr>
      <w:tr w:rsidR="00D01483" w14:paraId="1A88D141" w14:textId="77777777">
        <w:trPr>
          <w:cantSplit/>
        </w:trPr>
        <w:tc>
          <w:tcPr>
            <w:tcW w:w="3935" w:type="dxa"/>
            <w:shd w:val="clear" w:color="auto" w:fill="FFFFFF"/>
          </w:tcPr>
          <w:p w14:paraId="7A5BBC27"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Length of initial ICU stay (days)</w:t>
            </w:r>
          </w:p>
        </w:tc>
        <w:tc>
          <w:tcPr>
            <w:tcW w:w="1085" w:type="dxa"/>
            <w:shd w:val="clear" w:color="auto" w:fill="FFFFFF"/>
          </w:tcPr>
          <w:p w14:paraId="2C4E171C"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1.255</w:t>
            </w:r>
          </w:p>
        </w:tc>
        <w:tc>
          <w:tcPr>
            <w:tcW w:w="1085" w:type="dxa"/>
            <w:shd w:val="clear" w:color="auto" w:fill="FFFFFF"/>
          </w:tcPr>
          <w:p w14:paraId="4AD95939"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0.263</w:t>
            </w:r>
          </w:p>
        </w:tc>
        <w:tc>
          <w:tcPr>
            <w:tcW w:w="1085" w:type="dxa"/>
            <w:shd w:val="clear" w:color="auto" w:fill="FFFFFF"/>
          </w:tcPr>
          <w:p w14:paraId="0F40C790"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1.055</w:t>
            </w:r>
          </w:p>
        </w:tc>
        <w:tc>
          <w:tcPr>
            <w:tcW w:w="1085" w:type="dxa"/>
            <w:shd w:val="clear" w:color="auto" w:fill="FFFFFF"/>
          </w:tcPr>
          <w:p w14:paraId="43348959"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0.960</w:t>
            </w:r>
          </w:p>
        </w:tc>
        <w:tc>
          <w:tcPr>
            <w:tcW w:w="1085" w:type="dxa"/>
            <w:shd w:val="clear" w:color="auto" w:fill="FFFFFF"/>
          </w:tcPr>
          <w:p w14:paraId="5185F159"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1.159</w:t>
            </w:r>
          </w:p>
        </w:tc>
      </w:tr>
      <w:tr w:rsidR="00D01483" w14:paraId="6FF14D68" w14:textId="77777777">
        <w:trPr>
          <w:cantSplit/>
        </w:trPr>
        <w:tc>
          <w:tcPr>
            <w:tcW w:w="3935" w:type="dxa"/>
            <w:tcBorders>
              <w:top w:val="nil"/>
              <w:left w:val="nil"/>
              <w:bottom w:val="single" w:sz="4" w:space="0" w:color="auto"/>
              <w:right w:val="nil"/>
            </w:tcBorders>
            <w:shd w:val="clear" w:color="auto" w:fill="FFFFFF"/>
          </w:tcPr>
          <w:p w14:paraId="0DD07000"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Length of initial hospital stay (days)</w:t>
            </w:r>
          </w:p>
        </w:tc>
        <w:tc>
          <w:tcPr>
            <w:tcW w:w="1085" w:type="dxa"/>
            <w:tcBorders>
              <w:top w:val="nil"/>
              <w:left w:val="nil"/>
              <w:bottom w:val="single" w:sz="4" w:space="0" w:color="auto"/>
              <w:right w:val="nil"/>
            </w:tcBorders>
            <w:shd w:val="clear" w:color="auto" w:fill="FFFFFF"/>
          </w:tcPr>
          <w:p w14:paraId="10656B1F"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37.306</w:t>
            </w:r>
          </w:p>
        </w:tc>
        <w:tc>
          <w:tcPr>
            <w:tcW w:w="1085" w:type="dxa"/>
            <w:tcBorders>
              <w:top w:val="nil"/>
              <w:left w:val="nil"/>
              <w:bottom w:val="single" w:sz="4" w:space="0" w:color="auto"/>
              <w:right w:val="nil"/>
            </w:tcBorders>
            <w:shd w:val="clear" w:color="auto" w:fill="FFFFFF"/>
          </w:tcPr>
          <w:p w14:paraId="1DCB43CE"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&lt; 0.001</w:t>
            </w:r>
            <w:r>
              <w:rPr>
                <w:rFonts w:ascii="Book Antiqua" w:hAnsi="Book Antiqua" w:cstheme="minorHAnsi"/>
                <w:color w:val="000000" w:themeColor="text1"/>
                <w:vertAlign w:val="superscript"/>
              </w:rPr>
              <w:t>1</w:t>
            </w:r>
          </w:p>
        </w:tc>
        <w:tc>
          <w:tcPr>
            <w:tcW w:w="1085" w:type="dxa"/>
            <w:tcBorders>
              <w:top w:val="nil"/>
              <w:left w:val="nil"/>
              <w:bottom w:val="single" w:sz="4" w:space="0" w:color="auto"/>
              <w:right w:val="nil"/>
            </w:tcBorders>
            <w:shd w:val="clear" w:color="auto" w:fill="FFFFFF"/>
          </w:tcPr>
          <w:p w14:paraId="19F4EA83"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0.836</w:t>
            </w:r>
          </w:p>
        </w:tc>
        <w:tc>
          <w:tcPr>
            <w:tcW w:w="1085" w:type="dxa"/>
            <w:tcBorders>
              <w:top w:val="nil"/>
              <w:left w:val="nil"/>
              <w:bottom w:val="single" w:sz="4" w:space="0" w:color="auto"/>
              <w:right w:val="nil"/>
            </w:tcBorders>
            <w:shd w:val="clear" w:color="auto" w:fill="FFFFFF"/>
          </w:tcPr>
          <w:p w14:paraId="63D571AA"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0.789</w:t>
            </w:r>
          </w:p>
        </w:tc>
        <w:tc>
          <w:tcPr>
            <w:tcW w:w="1085" w:type="dxa"/>
            <w:tcBorders>
              <w:top w:val="nil"/>
              <w:left w:val="nil"/>
              <w:bottom w:val="single" w:sz="4" w:space="0" w:color="auto"/>
              <w:right w:val="nil"/>
            </w:tcBorders>
            <w:shd w:val="clear" w:color="auto" w:fill="FFFFFF"/>
          </w:tcPr>
          <w:p w14:paraId="0E766AF1" w14:textId="77777777" w:rsidR="00D01483" w:rsidRDefault="007E3D4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0.885</w:t>
            </w:r>
          </w:p>
        </w:tc>
      </w:tr>
    </w:tbl>
    <w:p w14:paraId="17336EEB" w14:textId="77777777" w:rsidR="00D01483" w:rsidRDefault="007E3D42">
      <w:pPr>
        <w:spacing w:line="360" w:lineRule="auto"/>
        <w:jc w:val="both"/>
        <w:rPr>
          <w:rFonts w:ascii="Book Antiqua" w:hAnsi="Book Antiqua"/>
        </w:rPr>
      </w:pPr>
      <w:r>
        <w:rPr>
          <w:rFonts w:ascii="Book Antiqua" w:hAnsi="Book Antiqua" w:cstheme="minorHAnsi"/>
          <w:color w:val="000000" w:themeColor="text1"/>
          <w:vertAlign w:val="superscript"/>
        </w:rPr>
        <w:t>1</w:t>
      </w:r>
      <w:r>
        <w:rPr>
          <w:rFonts w:ascii="Book Antiqua" w:hAnsi="Book Antiqua" w:cstheme="minorHAnsi"/>
          <w:color w:val="000000" w:themeColor="text1"/>
        </w:rPr>
        <w:t xml:space="preserve">Significant at </w:t>
      </w:r>
      <w:r>
        <w:rPr>
          <w:rFonts w:ascii="Book Antiqua" w:hAnsi="Book Antiqua" w:cstheme="minorHAnsi"/>
          <w:i/>
          <w:color w:val="000000" w:themeColor="text1"/>
        </w:rPr>
        <w:t>P</w:t>
      </w:r>
      <w:r>
        <w:rPr>
          <w:rFonts w:ascii="Book Antiqua" w:hAnsi="Book Antiqua" w:cstheme="minorHAnsi"/>
          <w:color w:val="000000" w:themeColor="text1"/>
        </w:rPr>
        <w:t xml:space="preserve"> &lt; 0.05. CI: Confidence interval; DM: Diabetes mellitus; OR: Odds ratio; ICU: Intensive care unit.</w:t>
      </w:r>
    </w:p>
    <w:p w14:paraId="2B32E2A6" w14:textId="562541CE" w:rsidR="006D6BC1" w:rsidRDefault="006D6BC1">
      <w:pPr>
        <w:spacing w:line="360" w:lineRule="auto"/>
        <w:jc w:val="both"/>
        <w:rPr>
          <w:rFonts w:ascii="Book Antiqua" w:hAnsi="Book Antiqua"/>
        </w:rPr>
      </w:pPr>
    </w:p>
    <w:p w14:paraId="5C095FB6" w14:textId="1C6D0A50" w:rsidR="00D01483" w:rsidRPr="006D6BC1" w:rsidRDefault="006D6BC1" w:rsidP="006D6BC1">
      <w:pPr>
        <w:rPr>
          <w:rFonts w:ascii="Book Antiqua" w:hAnsi="Book Antiqua"/>
        </w:rPr>
      </w:pPr>
      <w:r>
        <w:rPr>
          <w:rFonts w:ascii="Book Antiqua" w:hAnsi="Book Antiqua"/>
        </w:rPr>
        <w:br w:type="page"/>
      </w:r>
    </w:p>
    <w:p w14:paraId="1E3160ED" w14:textId="77777777" w:rsidR="006D6BC1" w:rsidRDefault="006D6BC1" w:rsidP="006D6BC1">
      <w:pPr>
        <w:snapToGrid w:val="0"/>
        <w:ind w:leftChars="100" w:left="240"/>
        <w:jc w:val="center"/>
        <w:rPr>
          <w:rFonts w:ascii="Book Antiqua" w:hAnsi="Book Antiqua"/>
        </w:rPr>
      </w:pPr>
    </w:p>
    <w:p w14:paraId="676030F9" w14:textId="77777777" w:rsidR="006D6BC1" w:rsidRDefault="006D6BC1" w:rsidP="006D6BC1">
      <w:pPr>
        <w:snapToGrid w:val="0"/>
        <w:ind w:leftChars="100" w:left="240"/>
        <w:jc w:val="center"/>
        <w:rPr>
          <w:rFonts w:ascii="Book Antiqua" w:hAnsi="Book Antiqua"/>
        </w:rPr>
      </w:pPr>
    </w:p>
    <w:p w14:paraId="7043A83B" w14:textId="77777777" w:rsidR="006D6BC1" w:rsidRDefault="006D6BC1" w:rsidP="006D6BC1">
      <w:pPr>
        <w:snapToGrid w:val="0"/>
        <w:ind w:leftChars="100" w:left="240"/>
        <w:jc w:val="center"/>
        <w:rPr>
          <w:rFonts w:ascii="Book Antiqua" w:hAnsi="Book Antiqua"/>
        </w:rPr>
      </w:pPr>
    </w:p>
    <w:p w14:paraId="6E99CF39" w14:textId="77777777" w:rsidR="006D6BC1" w:rsidRDefault="006D6BC1" w:rsidP="006D6BC1">
      <w:pPr>
        <w:snapToGrid w:val="0"/>
        <w:ind w:leftChars="100" w:left="240"/>
        <w:jc w:val="center"/>
        <w:rPr>
          <w:rFonts w:ascii="Book Antiqua" w:hAnsi="Book Antiqua"/>
        </w:rPr>
      </w:pPr>
    </w:p>
    <w:p w14:paraId="1DAFBE36" w14:textId="77777777" w:rsidR="006D6BC1" w:rsidRDefault="006D6BC1" w:rsidP="006D6BC1">
      <w:pPr>
        <w:snapToGrid w:val="0"/>
        <w:ind w:leftChars="100" w:left="240"/>
        <w:jc w:val="center"/>
        <w:rPr>
          <w:rFonts w:ascii="Book Antiqua" w:hAnsi="Book Antiqua"/>
        </w:rPr>
      </w:pPr>
      <w:r>
        <w:rPr>
          <w:rFonts w:ascii="Book Antiqua" w:hAnsi="Book Antiqua"/>
          <w:noProof/>
        </w:rPr>
        <w:drawing>
          <wp:inline distT="0" distB="0" distL="0" distR="0" wp14:anchorId="7031A889" wp14:editId="3C1B74E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A20E4DF" w14:textId="77777777" w:rsidR="006D6BC1" w:rsidRDefault="006D6BC1" w:rsidP="006D6BC1">
      <w:pPr>
        <w:snapToGrid w:val="0"/>
        <w:ind w:leftChars="100" w:left="240"/>
        <w:jc w:val="center"/>
        <w:rPr>
          <w:rFonts w:ascii="Book Antiqua" w:hAnsi="Book Antiqua"/>
        </w:rPr>
      </w:pPr>
    </w:p>
    <w:p w14:paraId="5AF9353F" w14:textId="77777777" w:rsidR="006D6BC1" w:rsidRDefault="006D6BC1" w:rsidP="006D6BC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57CA401" w14:textId="77777777" w:rsidR="006D6BC1" w:rsidRDefault="006D6BC1" w:rsidP="006D6BC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9AC8657" w14:textId="77777777" w:rsidR="006D6BC1" w:rsidRDefault="006D6BC1" w:rsidP="006D6BC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AAA987D" w14:textId="77777777" w:rsidR="006D6BC1" w:rsidRDefault="006D6BC1" w:rsidP="006D6BC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DA8C7ED" w14:textId="77777777" w:rsidR="006D6BC1" w:rsidRDefault="006D6BC1" w:rsidP="006D6BC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F0ACB1A" w14:textId="77777777" w:rsidR="006D6BC1" w:rsidRDefault="006D6BC1" w:rsidP="006D6BC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C1E95F6" w14:textId="77777777" w:rsidR="006D6BC1" w:rsidRDefault="006D6BC1" w:rsidP="006D6BC1">
      <w:pPr>
        <w:snapToGrid w:val="0"/>
        <w:ind w:leftChars="100" w:left="240"/>
        <w:jc w:val="center"/>
        <w:rPr>
          <w:rFonts w:ascii="Book Antiqua" w:hAnsi="Book Antiqua"/>
        </w:rPr>
      </w:pPr>
    </w:p>
    <w:p w14:paraId="1C6BDF67" w14:textId="77777777" w:rsidR="006D6BC1" w:rsidRDefault="006D6BC1" w:rsidP="006D6BC1">
      <w:pPr>
        <w:snapToGrid w:val="0"/>
        <w:ind w:leftChars="100" w:left="240"/>
        <w:jc w:val="center"/>
        <w:rPr>
          <w:rFonts w:ascii="Book Antiqua" w:hAnsi="Book Antiqua"/>
        </w:rPr>
      </w:pPr>
    </w:p>
    <w:p w14:paraId="71662E82" w14:textId="77777777" w:rsidR="006D6BC1" w:rsidRDefault="006D6BC1" w:rsidP="006D6BC1">
      <w:pPr>
        <w:snapToGrid w:val="0"/>
        <w:ind w:leftChars="100" w:left="240"/>
        <w:jc w:val="center"/>
        <w:rPr>
          <w:rFonts w:ascii="Book Antiqua" w:hAnsi="Book Antiqua"/>
        </w:rPr>
      </w:pPr>
    </w:p>
    <w:p w14:paraId="781324FD" w14:textId="77777777" w:rsidR="006D6BC1" w:rsidRDefault="006D6BC1" w:rsidP="006D6BC1">
      <w:pPr>
        <w:snapToGrid w:val="0"/>
        <w:ind w:leftChars="100" w:left="240"/>
        <w:jc w:val="center"/>
        <w:rPr>
          <w:rFonts w:ascii="Book Antiqua" w:hAnsi="Book Antiqua"/>
        </w:rPr>
      </w:pPr>
      <w:r>
        <w:rPr>
          <w:rFonts w:ascii="Book Antiqua" w:hAnsi="Book Antiqua"/>
          <w:noProof/>
        </w:rPr>
        <w:drawing>
          <wp:inline distT="0" distB="0" distL="0" distR="0" wp14:anchorId="046163F8" wp14:editId="2744D99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17EF02E" w14:textId="77777777" w:rsidR="006D6BC1" w:rsidRDefault="006D6BC1" w:rsidP="006D6BC1">
      <w:pPr>
        <w:snapToGrid w:val="0"/>
        <w:ind w:leftChars="100" w:left="240"/>
        <w:jc w:val="center"/>
        <w:rPr>
          <w:rFonts w:ascii="Book Antiqua" w:hAnsi="Book Antiqua"/>
        </w:rPr>
      </w:pPr>
    </w:p>
    <w:p w14:paraId="4DD0C856" w14:textId="77777777" w:rsidR="006D6BC1" w:rsidRDefault="006D6BC1" w:rsidP="006D6BC1">
      <w:pPr>
        <w:snapToGrid w:val="0"/>
        <w:ind w:leftChars="100" w:left="240"/>
        <w:jc w:val="center"/>
        <w:rPr>
          <w:rFonts w:ascii="Book Antiqua" w:hAnsi="Book Antiqua"/>
        </w:rPr>
      </w:pPr>
    </w:p>
    <w:p w14:paraId="5DA26AD9" w14:textId="77777777" w:rsidR="006D6BC1" w:rsidRDefault="006D6BC1" w:rsidP="006D6BC1">
      <w:pPr>
        <w:snapToGrid w:val="0"/>
        <w:ind w:leftChars="100" w:left="240"/>
        <w:jc w:val="center"/>
        <w:rPr>
          <w:rFonts w:ascii="Book Antiqua" w:hAnsi="Book Antiqua"/>
        </w:rPr>
      </w:pPr>
    </w:p>
    <w:p w14:paraId="3AE9FE58" w14:textId="77777777" w:rsidR="006D6BC1" w:rsidRDefault="006D6BC1" w:rsidP="006D6BC1">
      <w:pPr>
        <w:snapToGrid w:val="0"/>
        <w:ind w:leftChars="100" w:left="240"/>
        <w:jc w:val="center"/>
        <w:rPr>
          <w:rFonts w:ascii="Book Antiqua" w:hAnsi="Book Antiqua"/>
        </w:rPr>
      </w:pPr>
    </w:p>
    <w:p w14:paraId="3DCF44F2" w14:textId="77777777" w:rsidR="006D6BC1" w:rsidRDefault="006D6BC1" w:rsidP="006D6BC1">
      <w:pPr>
        <w:snapToGrid w:val="0"/>
        <w:ind w:leftChars="100" w:left="240"/>
        <w:jc w:val="center"/>
        <w:rPr>
          <w:rFonts w:ascii="Book Antiqua" w:hAnsi="Book Antiqua"/>
        </w:rPr>
      </w:pPr>
    </w:p>
    <w:p w14:paraId="5394BC9F" w14:textId="77777777" w:rsidR="006D6BC1" w:rsidRDefault="006D6BC1" w:rsidP="006D6BC1">
      <w:pPr>
        <w:snapToGrid w:val="0"/>
        <w:ind w:leftChars="100" w:left="240"/>
        <w:jc w:val="center"/>
        <w:rPr>
          <w:rFonts w:ascii="Book Antiqua" w:hAnsi="Book Antiqua"/>
        </w:rPr>
      </w:pPr>
    </w:p>
    <w:p w14:paraId="0C150F42" w14:textId="77777777" w:rsidR="006D6BC1" w:rsidRDefault="006D6BC1" w:rsidP="006D6BC1">
      <w:pPr>
        <w:snapToGrid w:val="0"/>
        <w:ind w:leftChars="100" w:left="240"/>
        <w:jc w:val="center"/>
        <w:rPr>
          <w:rFonts w:ascii="Book Antiqua" w:hAnsi="Book Antiqua"/>
        </w:rPr>
      </w:pPr>
    </w:p>
    <w:p w14:paraId="1EF7153F" w14:textId="77777777" w:rsidR="006D6BC1" w:rsidRDefault="006D6BC1" w:rsidP="006D6BC1">
      <w:pPr>
        <w:snapToGrid w:val="0"/>
        <w:ind w:leftChars="100" w:left="240"/>
        <w:jc w:val="center"/>
        <w:rPr>
          <w:rFonts w:ascii="Book Antiqua" w:hAnsi="Book Antiqua"/>
        </w:rPr>
      </w:pPr>
    </w:p>
    <w:p w14:paraId="07F6C331" w14:textId="77777777" w:rsidR="006D6BC1" w:rsidRDefault="006D6BC1" w:rsidP="006D6BC1">
      <w:pPr>
        <w:snapToGrid w:val="0"/>
        <w:ind w:leftChars="100" w:left="240"/>
        <w:jc w:val="center"/>
        <w:rPr>
          <w:rFonts w:ascii="Book Antiqua" w:hAnsi="Book Antiqua"/>
        </w:rPr>
      </w:pPr>
    </w:p>
    <w:p w14:paraId="20AAF636" w14:textId="77777777" w:rsidR="006D6BC1" w:rsidRDefault="006D6BC1" w:rsidP="006D6BC1">
      <w:pPr>
        <w:snapToGrid w:val="0"/>
        <w:ind w:leftChars="100" w:left="240"/>
        <w:jc w:val="right"/>
        <w:rPr>
          <w:rFonts w:ascii="Book Antiqua" w:hAnsi="Book Antiqua"/>
          <w:color w:val="000000" w:themeColor="text1"/>
        </w:rPr>
      </w:pPr>
    </w:p>
    <w:p w14:paraId="59B42D10" w14:textId="77777777" w:rsidR="006D6BC1" w:rsidRDefault="006D6BC1" w:rsidP="006D6BC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6EA9BFA7" w14:textId="77777777" w:rsidR="00D01483" w:rsidRDefault="00D01483">
      <w:pPr>
        <w:spacing w:line="360" w:lineRule="auto"/>
        <w:jc w:val="both"/>
        <w:rPr>
          <w:rFonts w:ascii="Book Antiqua" w:hAnsi="Book Antiqua"/>
        </w:rPr>
      </w:pPr>
    </w:p>
    <w:sectPr w:rsidR="00D014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5402" w14:textId="77777777" w:rsidR="003814D7" w:rsidRDefault="003814D7">
      <w:r>
        <w:separator/>
      </w:r>
    </w:p>
  </w:endnote>
  <w:endnote w:type="continuationSeparator" w:id="0">
    <w:p w14:paraId="26EF896F" w14:textId="77777777" w:rsidR="003814D7" w:rsidRDefault="0038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0"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20201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48BDB166" w14:textId="77777777" w:rsidR="00D01483" w:rsidRDefault="007E3D42">
            <w:pPr>
              <w:pStyle w:val="a7"/>
              <w:jc w:val="right"/>
              <w:rPr>
                <w:rFonts w:ascii="Book Antiqua" w:hAnsi="Book Antiqua"/>
                <w:sz w:val="24"/>
                <w:szCs w:val="24"/>
              </w:rPr>
            </w:pP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p>
        </w:sdtContent>
      </w:sdt>
    </w:sdtContent>
  </w:sdt>
  <w:p w14:paraId="304B7D3B" w14:textId="77777777" w:rsidR="00D01483" w:rsidRDefault="00D014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F4FC" w14:textId="77777777" w:rsidR="003814D7" w:rsidRDefault="003814D7">
      <w:r>
        <w:separator/>
      </w:r>
    </w:p>
  </w:footnote>
  <w:footnote w:type="continuationSeparator" w:id="0">
    <w:p w14:paraId="5E451D35" w14:textId="77777777" w:rsidR="003814D7" w:rsidRDefault="00381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00C80"/>
    <w:rsid w:val="000273D3"/>
    <w:rsid w:val="000309C2"/>
    <w:rsid w:val="00034D8E"/>
    <w:rsid w:val="00046856"/>
    <w:rsid w:val="00055FAC"/>
    <w:rsid w:val="000570F3"/>
    <w:rsid w:val="000573F8"/>
    <w:rsid w:val="0006736F"/>
    <w:rsid w:val="00071936"/>
    <w:rsid w:val="00073B64"/>
    <w:rsid w:val="00096EBD"/>
    <w:rsid w:val="000A6004"/>
    <w:rsid w:val="000B19D4"/>
    <w:rsid w:val="000B54C4"/>
    <w:rsid w:val="000B7B3E"/>
    <w:rsid w:val="000C12D1"/>
    <w:rsid w:val="000C65DF"/>
    <w:rsid w:val="000E047E"/>
    <w:rsid w:val="000E34E5"/>
    <w:rsid w:val="000F2C6E"/>
    <w:rsid w:val="000F421E"/>
    <w:rsid w:val="00104083"/>
    <w:rsid w:val="0011734E"/>
    <w:rsid w:val="0012763E"/>
    <w:rsid w:val="00130950"/>
    <w:rsid w:val="001348FD"/>
    <w:rsid w:val="00137AF7"/>
    <w:rsid w:val="00144B72"/>
    <w:rsid w:val="00145AC7"/>
    <w:rsid w:val="00145D56"/>
    <w:rsid w:val="00154C53"/>
    <w:rsid w:val="00160492"/>
    <w:rsid w:val="00164017"/>
    <w:rsid w:val="00180E8D"/>
    <w:rsid w:val="0018324E"/>
    <w:rsid w:val="001848FA"/>
    <w:rsid w:val="00185BAC"/>
    <w:rsid w:val="00186218"/>
    <w:rsid w:val="001905FD"/>
    <w:rsid w:val="00194AFF"/>
    <w:rsid w:val="00196B90"/>
    <w:rsid w:val="001A151C"/>
    <w:rsid w:val="001B3F9D"/>
    <w:rsid w:val="001E306E"/>
    <w:rsid w:val="002014E0"/>
    <w:rsid w:val="00201656"/>
    <w:rsid w:val="00203676"/>
    <w:rsid w:val="0020414A"/>
    <w:rsid w:val="00220D9B"/>
    <w:rsid w:val="00224D51"/>
    <w:rsid w:val="0022740C"/>
    <w:rsid w:val="00232F01"/>
    <w:rsid w:val="002433B6"/>
    <w:rsid w:val="00245AF0"/>
    <w:rsid w:val="002522CE"/>
    <w:rsid w:val="00256781"/>
    <w:rsid w:val="002711E2"/>
    <w:rsid w:val="002749E0"/>
    <w:rsid w:val="0027707B"/>
    <w:rsid w:val="0028038D"/>
    <w:rsid w:val="00286271"/>
    <w:rsid w:val="0028729C"/>
    <w:rsid w:val="002A2B9B"/>
    <w:rsid w:val="002A42D4"/>
    <w:rsid w:val="002A6EBA"/>
    <w:rsid w:val="002C0052"/>
    <w:rsid w:val="002C38C8"/>
    <w:rsid w:val="002C6F6D"/>
    <w:rsid w:val="002C784D"/>
    <w:rsid w:val="002C792A"/>
    <w:rsid w:val="002D1EB9"/>
    <w:rsid w:val="002D368E"/>
    <w:rsid w:val="002D5B8C"/>
    <w:rsid w:val="003110F4"/>
    <w:rsid w:val="003217B2"/>
    <w:rsid w:val="00326760"/>
    <w:rsid w:val="00340DBB"/>
    <w:rsid w:val="00372C57"/>
    <w:rsid w:val="003814D7"/>
    <w:rsid w:val="003A2203"/>
    <w:rsid w:val="003C6935"/>
    <w:rsid w:val="003C6DAE"/>
    <w:rsid w:val="003C78C7"/>
    <w:rsid w:val="003D03BB"/>
    <w:rsid w:val="003E16FD"/>
    <w:rsid w:val="003E40DE"/>
    <w:rsid w:val="003F2218"/>
    <w:rsid w:val="003F6F6B"/>
    <w:rsid w:val="00411198"/>
    <w:rsid w:val="00425BF7"/>
    <w:rsid w:val="004323C6"/>
    <w:rsid w:val="00441C6C"/>
    <w:rsid w:val="004504F7"/>
    <w:rsid w:val="00452AA8"/>
    <w:rsid w:val="0045528F"/>
    <w:rsid w:val="00460668"/>
    <w:rsid w:val="00463E1E"/>
    <w:rsid w:val="00466A39"/>
    <w:rsid w:val="004675D0"/>
    <w:rsid w:val="00475F07"/>
    <w:rsid w:val="004828C1"/>
    <w:rsid w:val="004846AF"/>
    <w:rsid w:val="004B7515"/>
    <w:rsid w:val="004C19DA"/>
    <w:rsid w:val="004C2942"/>
    <w:rsid w:val="004D07DD"/>
    <w:rsid w:val="004D5E80"/>
    <w:rsid w:val="004F50E1"/>
    <w:rsid w:val="005006CC"/>
    <w:rsid w:val="00502252"/>
    <w:rsid w:val="0051539A"/>
    <w:rsid w:val="00516F11"/>
    <w:rsid w:val="00521ABB"/>
    <w:rsid w:val="00522299"/>
    <w:rsid w:val="00542F5C"/>
    <w:rsid w:val="005448D6"/>
    <w:rsid w:val="00552685"/>
    <w:rsid w:val="00555547"/>
    <w:rsid w:val="00557E4C"/>
    <w:rsid w:val="0056081F"/>
    <w:rsid w:val="005764CD"/>
    <w:rsid w:val="00591FE6"/>
    <w:rsid w:val="005925E9"/>
    <w:rsid w:val="00593475"/>
    <w:rsid w:val="005A0F37"/>
    <w:rsid w:val="005A3780"/>
    <w:rsid w:val="005B73E4"/>
    <w:rsid w:val="005E7494"/>
    <w:rsid w:val="00600EA0"/>
    <w:rsid w:val="00602ACB"/>
    <w:rsid w:val="00614E62"/>
    <w:rsid w:val="00637C42"/>
    <w:rsid w:val="00646493"/>
    <w:rsid w:val="0064759B"/>
    <w:rsid w:val="00650D61"/>
    <w:rsid w:val="00655B7C"/>
    <w:rsid w:val="0066433D"/>
    <w:rsid w:val="006738F5"/>
    <w:rsid w:val="00674C14"/>
    <w:rsid w:val="00681A74"/>
    <w:rsid w:val="0069050A"/>
    <w:rsid w:val="006B36FF"/>
    <w:rsid w:val="006B54F2"/>
    <w:rsid w:val="006B55D6"/>
    <w:rsid w:val="006B564F"/>
    <w:rsid w:val="006B6AC4"/>
    <w:rsid w:val="006C6846"/>
    <w:rsid w:val="006D1664"/>
    <w:rsid w:val="006D6BC1"/>
    <w:rsid w:val="006D7E7F"/>
    <w:rsid w:val="006E4686"/>
    <w:rsid w:val="00700BD9"/>
    <w:rsid w:val="00704992"/>
    <w:rsid w:val="00716F8C"/>
    <w:rsid w:val="00735BC6"/>
    <w:rsid w:val="007373F8"/>
    <w:rsid w:val="007463D7"/>
    <w:rsid w:val="00752F35"/>
    <w:rsid w:val="0075380C"/>
    <w:rsid w:val="007608B9"/>
    <w:rsid w:val="007613F0"/>
    <w:rsid w:val="00770260"/>
    <w:rsid w:val="007730B2"/>
    <w:rsid w:val="00793C7B"/>
    <w:rsid w:val="007A0B09"/>
    <w:rsid w:val="007A64B7"/>
    <w:rsid w:val="007A6D2B"/>
    <w:rsid w:val="007B2ABB"/>
    <w:rsid w:val="007B3423"/>
    <w:rsid w:val="007B46E6"/>
    <w:rsid w:val="007B51D3"/>
    <w:rsid w:val="007C0AE9"/>
    <w:rsid w:val="007D5911"/>
    <w:rsid w:val="007D598E"/>
    <w:rsid w:val="007E3D42"/>
    <w:rsid w:val="007E5404"/>
    <w:rsid w:val="007E7904"/>
    <w:rsid w:val="007F0CE0"/>
    <w:rsid w:val="0080264A"/>
    <w:rsid w:val="00807023"/>
    <w:rsid w:val="00811189"/>
    <w:rsid w:val="00825EC7"/>
    <w:rsid w:val="00835647"/>
    <w:rsid w:val="008450AD"/>
    <w:rsid w:val="0085244C"/>
    <w:rsid w:val="00861DBF"/>
    <w:rsid w:val="00863CA2"/>
    <w:rsid w:val="008656B0"/>
    <w:rsid w:val="008706F4"/>
    <w:rsid w:val="00873EA3"/>
    <w:rsid w:val="008808B5"/>
    <w:rsid w:val="00882351"/>
    <w:rsid w:val="00882C5B"/>
    <w:rsid w:val="0088620B"/>
    <w:rsid w:val="008870BF"/>
    <w:rsid w:val="00887877"/>
    <w:rsid w:val="0089316F"/>
    <w:rsid w:val="008B229C"/>
    <w:rsid w:val="008D4EC4"/>
    <w:rsid w:val="008D6A86"/>
    <w:rsid w:val="008E1448"/>
    <w:rsid w:val="008E529F"/>
    <w:rsid w:val="008E61F3"/>
    <w:rsid w:val="008F6319"/>
    <w:rsid w:val="00900F0E"/>
    <w:rsid w:val="00905CF1"/>
    <w:rsid w:val="00907107"/>
    <w:rsid w:val="0090723D"/>
    <w:rsid w:val="00917696"/>
    <w:rsid w:val="00925E2D"/>
    <w:rsid w:val="00931B47"/>
    <w:rsid w:val="0093250E"/>
    <w:rsid w:val="00933C68"/>
    <w:rsid w:val="0093462C"/>
    <w:rsid w:val="00936C8C"/>
    <w:rsid w:val="009672F2"/>
    <w:rsid w:val="009675AE"/>
    <w:rsid w:val="00992289"/>
    <w:rsid w:val="009945AD"/>
    <w:rsid w:val="009A7D16"/>
    <w:rsid w:val="009D320E"/>
    <w:rsid w:val="009E0A97"/>
    <w:rsid w:val="009E2746"/>
    <w:rsid w:val="009F33AB"/>
    <w:rsid w:val="00A05FA7"/>
    <w:rsid w:val="00A12C56"/>
    <w:rsid w:val="00A13B51"/>
    <w:rsid w:val="00A236A6"/>
    <w:rsid w:val="00A277A6"/>
    <w:rsid w:val="00A27960"/>
    <w:rsid w:val="00A324E8"/>
    <w:rsid w:val="00A3268A"/>
    <w:rsid w:val="00A326F3"/>
    <w:rsid w:val="00A66464"/>
    <w:rsid w:val="00A75159"/>
    <w:rsid w:val="00A77B3E"/>
    <w:rsid w:val="00A805A6"/>
    <w:rsid w:val="00A81557"/>
    <w:rsid w:val="00A954FB"/>
    <w:rsid w:val="00A96306"/>
    <w:rsid w:val="00AA0483"/>
    <w:rsid w:val="00AA400E"/>
    <w:rsid w:val="00AA4727"/>
    <w:rsid w:val="00AC4ACB"/>
    <w:rsid w:val="00AC7291"/>
    <w:rsid w:val="00AE0E50"/>
    <w:rsid w:val="00AF5B16"/>
    <w:rsid w:val="00AF60B4"/>
    <w:rsid w:val="00B07691"/>
    <w:rsid w:val="00B102FB"/>
    <w:rsid w:val="00B14685"/>
    <w:rsid w:val="00B15E7C"/>
    <w:rsid w:val="00B24600"/>
    <w:rsid w:val="00B27123"/>
    <w:rsid w:val="00B32ADE"/>
    <w:rsid w:val="00B3338C"/>
    <w:rsid w:val="00B34270"/>
    <w:rsid w:val="00B4071F"/>
    <w:rsid w:val="00B46584"/>
    <w:rsid w:val="00B46CDE"/>
    <w:rsid w:val="00B554B6"/>
    <w:rsid w:val="00B61317"/>
    <w:rsid w:val="00B7088C"/>
    <w:rsid w:val="00B70B7C"/>
    <w:rsid w:val="00B70B7F"/>
    <w:rsid w:val="00B775F0"/>
    <w:rsid w:val="00B814A1"/>
    <w:rsid w:val="00B8287E"/>
    <w:rsid w:val="00B97A26"/>
    <w:rsid w:val="00BA3EEA"/>
    <w:rsid w:val="00BC376C"/>
    <w:rsid w:val="00BC6A66"/>
    <w:rsid w:val="00BD1902"/>
    <w:rsid w:val="00BE4E4F"/>
    <w:rsid w:val="00BF658A"/>
    <w:rsid w:val="00BF66CD"/>
    <w:rsid w:val="00C057E7"/>
    <w:rsid w:val="00C07FAA"/>
    <w:rsid w:val="00C110BA"/>
    <w:rsid w:val="00C27FE4"/>
    <w:rsid w:val="00C40A50"/>
    <w:rsid w:val="00C47291"/>
    <w:rsid w:val="00C55EFF"/>
    <w:rsid w:val="00C65845"/>
    <w:rsid w:val="00C65F0D"/>
    <w:rsid w:val="00C66292"/>
    <w:rsid w:val="00C84FA0"/>
    <w:rsid w:val="00C944BA"/>
    <w:rsid w:val="00C957DE"/>
    <w:rsid w:val="00CA2A55"/>
    <w:rsid w:val="00CB0CD7"/>
    <w:rsid w:val="00CB2811"/>
    <w:rsid w:val="00CB590E"/>
    <w:rsid w:val="00CB7495"/>
    <w:rsid w:val="00CB7DAB"/>
    <w:rsid w:val="00CC0B2B"/>
    <w:rsid w:val="00CC5132"/>
    <w:rsid w:val="00CC580A"/>
    <w:rsid w:val="00D01483"/>
    <w:rsid w:val="00D21CEE"/>
    <w:rsid w:val="00D22026"/>
    <w:rsid w:val="00D31D48"/>
    <w:rsid w:val="00D32FD1"/>
    <w:rsid w:val="00D41B5B"/>
    <w:rsid w:val="00D4673F"/>
    <w:rsid w:val="00D46B71"/>
    <w:rsid w:val="00D50A31"/>
    <w:rsid w:val="00D5411B"/>
    <w:rsid w:val="00D65548"/>
    <w:rsid w:val="00D72979"/>
    <w:rsid w:val="00D7436C"/>
    <w:rsid w:val="00D74967"/>
    <w:rsid w:val="00D80D1C"/>
    <w:rsid w:val="00D969AA"/>
    <w:rsid w:val="00DB0E59"/>
    <w:rsid w:val="00DC62FC"/>
    <w:rsid w:val="00DC7544"/>
    <w:rsid w:val="00DD077F"/>
    <w:rsid w:val="00DD1613"/>
    <w:rsid w:val="00DF3487"/>
    <w:rsid w:val="00E00F78"/>
    <w:rsid w:val="00E05FC2"/>
    <w:rsid w:val="00E06970"/>
    <w:rsid w:val="00E12A8E"/>
    <w:rsid w:val="00E270FA"/>
    <w:rsid w:val="00E44792"/>
    <w:rsid w:val="00E473A6"/>
    <w:rsid w:val="00E53EF1"/>
    <w:rsid w:val="00E54351"/>
    <w:rsid w:val="00E6288E"/>
    <w:rsid w:val="00E62E43"/>
    <w:rsid w:val="00E639E8"/>
    <w:rsid w:val="00E919FA"/>
    <w:rsid w:val="00E929E8"/>
    <w:rsid w:val="00E96F67"/>
    <w:rsid w:val="00EA0924"/>
    <w:rsid w:val="00EB4F2A"/>
    <w:rsid w:val="00EB5632"/>
    <w:rsid w:val="00EC76F1"/>
    <w:rsid w:val="00ED749E"/>
    <w:rsid w:val="00EE3FAE"/>
    <w:rsid w:val="00EE7C8F"/>
    <w:rsid w:val="00EF5666"/>
    <w:rsid w:val="00F007EC"/>
    <w:rsid w:val="00F02BF0"/>
    <w:rsid w:val="00F11C61"/>
    <w:rsid w:val="00F26B55"/>
    <w:rsid w:val="00F32643"/>
    <w:rsid w:val="00F44F73"/>
    <w:rsid w:val="00F47C16"/>
    <w:rsid w:val="00F50087"/>
    <w:rsid w:val="00F518F1"/>
    <w:rsid w:val="00F573AE"/>
    <w:rsid w:val="00F72E5A"/>
    <w:rsid w:val="00F73B40"/>
    <w:rsid w:val="00F73F00"/>
    <w:rsid w:val="00F750E7"/>
    <w:rsid w:val="00F759BB"/>
    <w:rsid w:val="00F902C3"/>
    <w:rsid w:val="00F90AEE"/>
    <w:rsid w:val="00FB0E57"/>
    <w:rsid w:val="00FB136E"/>
    <w:rsid w:val="00FB4A9D"/>
    <w:rsid w:val="00FB5A69"/>
    <w:rsid w:val="00FB5C5E"/>
    <w:rsid w:val="00FC0B25"/>
    <w:rsid w:val="00FD2659"/>
    <w:rsid w:val="00FD42F5"/>
    <w:rsid w:val="00FD6198"/>
    <w:rsid w:val="00FE0DAE"/>
    <w:rsid w:val="00FE6797"/>
    <w:rsid w:val="00FF1E82"/>
    <w:rsid w:val="00FF545B"/>
    <w:rsid w:val="288F4AB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58B55"/>
  <w15:docId w15:val="{48F759E8-8A68-4085-BE89-1E618C82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iPriority="99"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rPr>
      <w:rFonts w:eastAsia="Times New Roman"/>
    </w:rPr>
  </w:style>
  <w:style w:type="paragraph" w:styleId="ac">
    <w:name w:val="annotation subject"/>
    <w:basedOn w:val="a3"/>
    <w:next w:val="a3"/>
    <w:link w:val="ad"/>
    <w:uiPriority w:val="99"/>
    <w:semiHidden/>
    <w:unhideWhenUsed/>
    <w:rPr>
      <w:b/>
      <w:bCs/>
    </w:rPr>
  </w:style>
  <w:style w:type="character" w:styleId="ae">
    <w:name w:val="FollowedHyperlink"/>
    <w:basedOn w:val="a0"/>
    <w:uiPriority w:val="99"/>
    <w:semiHidden/>
    <w:unhideWhenUsed/>
    <w:qFormat/>
    <w:rPr>
      <w:color w:val="800080" w:themeColor="followedHyperlink"/>
      <w:u w:val="single"/>
    </w:rPr>
  </w:style>
  <w:style w:type="character" w:styleId="af">
    <w:name w:val="Emphasis"/>
    <w:basedOn w:val="a0"/>
    <w:uiPriority w:val="20"/>
    <w:qFormat/>
    <w:rPr>
      <w:i/>
      <w:iCs/>
    </w:r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qFormat/>
    <w:rPr>
      <w:sz w:val="24"/>
      <w:szCs w:val="24"/>
    </w:rPr>
  </w:style>
  <w:style w:type="character" w:customStyle="1" w:styleId="ad">
    <w:name w:val="批注主题 字符"/>
    <w:basedOn w:val="a4"/>
    <w:link w:val="ac"/>
    <w:uiPriority w:val="99"/>
    <w:semiHidden/>
    <w:rPr>
      <w:b/>
      <w:bCs/>
      <w:sz w:val="24"/>
      <w:szCs w:val="24"/>
    </w:rPr>
  </w:style>
  <w:style w:type="character" w:customStyle="1" w:styleId="a6">
    <w:name w:val="批注框文本 字符"/>
    <w:basedOn w:val="a0"/>
    <w:link w:val="a5"/>
    <w:uiPriority w:val="99"/>
    <w:semiHidden/>
    <w:rPr>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customStyle="1" w:styleId="EndNoteBibliographyTitle">
    <w:name w:val="EndNote Bibliography Title"/>
    <w:basedOn w:val="a"/>
    <w:link w:val="EndNoteBibliographyTitleChar"/>
    <w:qFormat/>
    <w:pPr>
      <w:spacing w:line="259" w:lineRule="auto"/>
      <w:jc w:val="center"/>
    </w:pPr>
    <w:rPr>
      <w:rFonts w:ascii="Calibri" w:hAnsi="Calibri" w:cs="Calibri"/>
      <w:sz w:val="22"/>
      <w:szCs w:val="22"/>
    </w:rPr>
  </w:style>
  <w:style w:type="character" w:customStyle="1" w:styleId="EndNoteBibliographyTitleChar">
    <w:name w:val="EndNote Bibliography Title Char"/>
    <w:basedOn w:val="a0"/>
    <w:link w:val="EndNoteBibliographyTitle"/>
    <w:qFormat/>
    <w:rPr>
      <w:rFonts w:ascii="Calibri" w:hAnsi="Calibri" w:cs="Calibri"/>
      <w:sz w:val="22"/>
      <w:szCs w:val="22"/>
    </w:rPr>
  </w:style>
  <w:style w:type="paragraph" w:customStyle="1" w:styleId="EndNoteBibliography">
    <w:name w:val="EndNote Bibliography"/>
    <w:basedOn w:val="a"/>
    <w:link w:val="EndNoteBibliographyChar"/>
    <w:qFormat/>
    <w:pPr>
      <w:spacing w:after="160"/>
    </w:pPr>
    <w:rPr>
      <w:rFonts w:ascii="Calibri" w:hAnsi="Calibri" w:cs="Calibri"/>
      <w:sz w:val="22"/>
      <w:szCs w:val="22"/>
    </w:rPr>
  </w:style>
  <w:style w:type="character" w:customStyle="1" w:styleId="EndNoteBibliographyChar">
    <w:name w:val="EndNote Bibliography Char"/>
    <w:basedOn w:val="a0"/>
    <w:link w:val="EndNoteBibliography"/>
    <w:qFormat/>
    <w:rPr>
      <w:rFonts w:ascii="Calibri" w:hAnsi="Calibri" w:cs="Calibri"/>
      <w:sz w:val="22"/>
      <w:szCs w:val="22"/>
    </w:rPr>
  </w:style>
  <w:style w:type="character" w:customStyle="1" w:styleId="fontstyle01">
    <w:name w:val="fontstyle01"/>
    <w:basedOn w:val="a0"/>
    <w:qFormat/>
    <w:rPr>
      <w:rFonts w:ascii="Book Antiqua" w:hAnsi="Book Antiqua" w:hint="default"/>
      <w:color w:val="000000"/>
      <w:sz w:val="24"/>
      <w:szCs w:val="24"/>
    </w:rPr>
  </w:style>
  <w:style w:type="character" w:customStyle="1" w:styleId="fontstyle21">
    <w:name w:val="fontstyle21"/>
    <w:basedOn w:val="a0"/>
    <w:qFormat/>
    <w:rPr>
      <w:rFonts w:ascii="Book Antiqua" w:hAnsi="Book Antiqua" w:hint="default"/>
      <w:color w:val="000000"/>
      <w:sz w:val="24"/>
      <w:szCs w:val="24"/>
    </w:rPr>
  </w:style>
  <w:style w:type="paragraph" w:customStyle="1" w:styleId="Default">
    <w:name w:val="Default"/>
    <w:qFormat/>
    <w:pPr>
      <w:autoSpaceDE w:val="0"/>
      <w:autoSpaceDN w:val="0"/>
      <w:adjustRightInd w:val="0"/>
    </w:pPr>
    <w:rPr>
      <w:rFonts w:ascii="Book Antiqua" w:eastAsiaTheme="minorEastAsia" w:hAnsi="Book Antiqua" w:cs="Book Antiqua"/>
      <w:color w:val="000000"/>
      <w:sz w:val="24"/>
      <w:szCs w:val="24"/>
      <w:lang w:eastAsia="en-US"/>
    </w:rPr>
  </w:style>
  <w:style w:type="paragraph" w:customStyle="1" w:styleId="10">
    <w:name w:val="修订1"/>
    <w:hidden/>
    <w:uiPriority w:val="99"/>
    <w:semiHidden/>
    <w:qFormat/>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048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6115</Words>
  <Characters>34859</Characters>
  <Application>Microsoft Office Word</Application>
  <DocSecurity>0</DocSecurity>
  <Lines>290</Lines>
  <Paragraphs>81</Paragraphs>
  <ScaleCrop>false</ScaleCrop>
  <Company/>
  <LinksUpToDate>false</LinksUpToDate>
  <CharactersWithSpaces>40893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6</cp:revision>
  <dcterms:created xsi:type="dcterms:W3CDTF">2022-06-03T07:31:00Z</dcterms:created>
  <dcterms:modified xsi:type="dcterms:W3CDTF">2022-06-23T10:57:00Z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9C3A28FD8D2547B9AA6AEE3B07240B85</vt:lpwstr>
  </property>
</Properties>
</file>