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75658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Two smoking-related lesions in the same pulmonary lobe of squamous cell carcinoma and pulmonary Langerhans cell histiocytosis: A case report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Gencer A</w:t>
      </w:r>
      <w:r>
        <w:rPr>
          <w:rFonts w:ascii="Book Antiqua" w:hAnsi="Book Antiqua" w:cs="Book Antiqua"/>
          <w:color w:val="000000"/>
          <w:lang w:eastAsia="zh-CN"/>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Langerhans cell histiocytosis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Aysegul Gencer, Gizem Ozcibik, Fatma Gulsum Karakas, Ismail Sarbay, Sebnem Batur, Sermin Borekci, Akif Turna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Aysegul Gencer, Fatma Gulsum Karakas, Sermin Borekci, </w:t>
      </w:r>
      <w:r>
        <w:rPr>
          <w:rFonts w:ascii="Book Antiqua" w:hAnsi="Book Antiqua" w:eastAsia="Book Antiqua" w:cs="Book Antiqua"/>
          <w:color w:val="000000"/>
        </w:rPr>
        <w:t>Department of Pulmonary Diseases, Istanbul University-Cerrahpasa, Cerrahpasa Medical Faculty</w:t>
      </w:r>
      <w:r>
        <w:rPr>
          <w:rFonts w:ascii="Book Antiqua" w:hAnsi="Book Antiqua"/>
          <w:color w:val="000000" w:themeColor="text1"/>
          <w:lang w:val="en"/>
          <w14:textFill>
            <w14:solidFill>
              <w14:schemeClr w14:val="tx1"/>
            </w14:solidFill>
          </w14:textFill>
        </w:rPr>
        <w:t xml:space="preserve"> Campus</w:t>
      </w:r>
      <w:r>
        <w:rPr>
          <w:rFonts w:ascii="Book Antiqua" w:hAnsi="Book Antiqua" w:eastAsia="Book Antiqua" w:cs="Book Antiqua"/>
          <w:color w:val="000000"/>
        </w:rPr>
        <w:t>, Istanbul 34098, Turkey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Gizem Ozcibik, Ismail Sarbay, Akif Turna, </w:t>
      </w:r>
      <w:r>
        <w:rPr>
          <w:rFonts w:ascii="Book Antiqua" w:hAnsi="Book Antiqua" w:eastAsia="Book Antiqua" w:cs="Book Antiqua"/>
          <w:color w:val="000000"/>
        </w:rPr>
        <w:t>Department of Thoracic Surgery, Istanbul University-Cerrahpasa, Cerrahpasa Medical Faculty, Istanbul 34098, Turkey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Sebnem Batur, </w:t>
      </w:r>
      <w:r>
        <w:rPr>
          <w:rFonts w:ascii="Book Antiqua" w:hAnsi="Book Antiqua" w:eastAsia="Book Antiqua" w:cs="Book Antiqua"/>
          <w:color w:val="000000"/>
        </w:rPr>
        <w:t>Department of Pathology, Istanbul University-Cerrahpasa, Cerrahpasa Medical Faculty, Istanbul 34098, Turkey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lang w:val="tr-TR"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Gencer A and Karakas FG collected the patient data and performed his follow-up; Ozcibik G, Sarbay I and Turna A performed the operation; Batur S performed immunohistochemical analyses; Gencer A, Borekci S and Turna A wrote the paper;</w:t>
      </w:r>
      <w:r>
        <w:rPr>
          <w:rFonts w:ascii="Book Antiqua" w:hAnsi="Book Antiqua"/>
          <w:color w:val="000000" w:themeColor="text1"/>
          <w14:textFill>
            <w14:solidFill>
              <w14:schemeClr w14:val="tx1"/>
            </w14:solidFill>
          </w14:textFill>
        </w:rPr>
        <w:t xml:space="preserve"> </w:t>
      </w:r>
      <w:r>
        <w:rPr>
          <w:rFonts w:ascii="Book Antiqua" w:hAnsi="Book Antiqua" w:eastAsia="Times New Roman"/>
          <w:color w:val="000000" w:themeColor="text1"/>
          <w:lang w:val="tr-TR" w:eastAsia="tr-TR"/>
          <w14:textFill>
            <w14:solidFill>
              <w14:schemeClr w14:val="tx1"/>
            </w14:solidFill>
          </w14:textFill>
        </w:rPr>
        <w:t>all authors have read and approved the manuscript.</w:t>
      </w:r>
    </w:p>
    <w:p>
      <w:pPr>
        <w:spacing w:line="360" w:lineRule="auto"/>
        <w:jc w:val="both"/>
        <w:rPr>
          <w:rFonts w:ascii="Book Antiqua" w:hAnsi="Book Antiqua"/>
          <w:color w:val="000000" w:themeColor="text1"/>
          <w14:textFill>
            <w14:solidFill>
              <w14:schemeClr w14:val="tx1"/>
            </w14:solidFill>
          </w14:textFill>
        </w:rPr>
      </w:pPr>
    </w:p>
    <w:p>
      <w:pPr>
        <w:pStyle w:val="6"/>
        <w:spacing w:line="360" w:lineRule="auto"/>
        <w:jc w:val="both"/>
        <w:rPr>
          <w:rFonts w:ascii="Book Antiqua" w:hAnsi="Book Antiqua"/>
          <w:color w:val="000000" w:themeColor="text1"/>
          <w:sz w:val="24"/>
          <w:szCs w:val="24"/>
          <w14:textFill>
            <w14:solidFill>
              <w14:schemeClr w14:val="tx1"/>
            </w14:solidFill>
          </w14:textFill>
        </w:rPr>
      </w:pPr>
      <w:r>
        <w:rPr>
          <w:rFonts w:ascii="Book Antiqua" w:hAnsi="Book Antiqua" w:eastAsia="Book Antiqua" w:cs="Book Antiqua"/>
          <w:b/>
          <w:bCs/>
          <w:color w:val="000000" w:themeColor="text1"/>
          <w:sz w:val="24"/>
          <w:szCs w:val="24"/>
          <w14:textFill>
            <w14:solidFill>
              <w14:schemeClr w14:val="tx1"/>
            </w14:solidFill>
          </w14:textFill>
        </w:rPr>
        <w:t xml:space="preserve">Corresponding author: Aysegul Gencer, MD, Academic Research, </w:t>
      </w:r>
      <w:r>
        <w:rPr>
          <w:rFonts w:ascii="Book Antiqua" w:hAnsi="Book Antiqua" w:eastAsia="Book Antiqua" w:cs="Book Antiqua"/>
          <w:color w:val="000000" w:themeColor="text1"/>
          <w:sz w:val="24"/>
          <w:szCs w:val="24"/>
          <w14:textFill>
            <w14:solidFill>
              <w14:schemeClr w14:val="tx1"/>
            </w14:solidFill>
          </w14:textFill>
        </w:rPr>
        <w:t>Department of Pulmonary Diseases</w:t>
      </w:r>
      <w:r>
        <w:rPr>
          <w:rFonts w:ascii="Book Antiqua" w:hAnsi="Book Antiqua"/>
          <w:color w:val="000000" w:themeColor="text1"/>
          <w:sz w:val="24"/>
          <w:szCs w:val="24"/>
          <w:lang w:val="en"/>
          <w14:textFill>
            <w14:solidFill>
              <w14:schemeClr w14:val="tx1"/>
            </w14:solidFill>
          </w14:textFill>
        </w:rPr>
        <w:t>,</w:t>
      </w:r>
      <w:r>
        <w:rPr>
          <w:rFonts w:ascii="Book Antiqua" w:hAnsi="Book Antiqua" w:eastAsia="Book Antiqua" w:cs="Book Antiqua"/>
          <w:b/>
          <w:bCs/>
          <w:color w:val="000000" w:themeColor="text1"/>
          <w:sz w:val="24"/>
          <w:szCs w:val="24"/>
          <w14:textFill>
            <w14:solidFill>
              <w14:schemeClr w14:val="tx1"/>
            </w14:solidFill>
          </w14:textFill>
        </w:rPr>
        <w:t xml:space="preserve"> </w:t>
      </w:r>
      <w:r>
        <w:rPr>
          <w:rFonts w:ascii="Book Antiqua" w:hAnsi="Book Antiqua"/>
          <w:color w:val="000000" w:themeColor="text1"/>
          <w:sz w:val="24"/>
          <w:szCs w:val="24"/>
          <w:lang w:val="en"/>
          <w14:textFill>
            <w14:solidFill>
              <w14:schemeClr w14:val="tx1"/>
            </w14:solidFill>
          </w14:textFill>
        </w:rPr>
        <w:t xml:space="preserve">Istanbul University-Cerrahpasa, Cerrahpasa Medical Faculty Campus, Kocamustafapasa Street, No. 53, Cerrahpasa 34098 Fatih, </w:t>
      </w:r>
      <w:r>
        <w:rPr>
          <w:rFonts w:ascii="Book Antiqua" w:hAnsi="Book Antiqua"/>
          <w:color w:val="000000" w:themeColor="text1"/>
          <w:sz w:val="24"/>
          <w:szCs w:val="24"/>
          <w:lang w:val="en-US"/>
          <w14:textFill>
            <w14:solidFill>
              <w14:schemeClr w14:val="tx1"/>
            </w14:solidFill>
          </w14:textFill>
        </w:rPr>
        <w:t>Istanbul 34098, Turkey</w:t>
      </w:r>
      <w:r>
        <w:rPr>
          <w:rFonts w:ascii="Book Antiqua" w:hAnsi="Book Antiqua" w:eastAsia="Book Antiqua" w:cs="Book Antiqua"/>
          <w:color w:val="000000" w:themeColor="text1"/>
          <w:sz w:val="24"/>
          <w:szCs w:val="24"/>
          <w14:textFill>
            <w14:solidFill>
              <w14:schemeClr w14:val="tx1"/>
            </w14:solidFill>
          </w14:textFill>
        </w:rPr>
        <w:t>. aysegulbozkurtgencer@gmail.com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hint="eastAsia" w:ascii="Book Antiqua" w:hAnsi="Book Antiqua" w:cs="Book Antiqua"/>
          <w:bCs/>
          <w:color w:val="000000"/>
          <w:lang w:eastAsia="zh-CN"/>
        </w:rPr>
        <w:t>April 14,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rPr>
          <w:rFonts w:ascii="Book Antiqua" w:hAnsi="Book Antiqua" w:eastAsia="Book Antiqua" w:cs="Book Antiqua"/>
          <w:b w:val="0"/>
          <w:bCs w:val="0"/>
          <w:color w:val="000000"/>
        </w:rPr>
        <w:t xml:space="preserve"> April 24,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Pulmonary Langerhans cell histiocytosis (PLCH) is a rare cystic lung disease usually affecting young adults. It is predicted that PLCH is a lung tumor precursor associated with dysfunction of the myeloid dendritic cells in the lung.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70-year-old male patient presented with chronic cough and sputum. He had symptoms for 5 years and described shortness of breath on exertion for the previous 3 years. He had a 60 packs/year smoking history. Computerized tomography</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of the thorax revealed an 11-mm nodule in the right lung lower lobe superior segment and a 7-mm nodule in the right lung lower lobe poster basal segment. Those two nodules were resected by means of right thoracoscopic surgery. Pathological evaluation revealed a squamous cell carcinoma and PLCH.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Coexistent squamous cell carcinoma and PLCH suggest possible association between PLCH and lung cancer.</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Pulmonary Langerhans cell histiocytosis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ung cancer</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S</w:t>
      </w:r>
      <w:r>
        <w:rPr>
          <w:rFonts w:ascii="Book Antiqua" w:hAnsi="Book Antiqua" w:eastAsia="Book Antiqua" w:cs="Book Antiqua"/>
          <w:color w:val="000000"/>
        </w:rPr>
        <w:t>quamous cell carcinoma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i/>
          <w:color w:val="000000"/>
        </w:rPr>
        <w:t>BRAF</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itogen-activated protein kinase</w:t>
      </w:r>
      <w:r>
        <w:rPr>
          <w:rFonts w:hint="eastAsia"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Gencer A, Ozcibik G, Karakas FG, Sarbay I, Batur S, Borekci S, Turna A. Two smoking-related lesions in the same pulmonary lobe of squamous cell carcinoma and pulmonary Langerhans cell histiocytosis: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0" w:name="OLE_LINK1"/>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6722-6727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6722</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bookmarkEnd w:id="0"/>
      <w:r>
        <w:rPr>
          <w:rFonts w:hint="default" w:ascii="Book Antiqua" w:hAnsi="Book Antiqua" w:eastAsia="Book Antiqua" w:cs="Book Antiqua"/>
          <w:i w:val="0"/>
          <w:iCs w:val="0"/>
          <w:color w:val="000000"/>
          <w:kern w:val="0"/>
          <w:sz w:val="24"/>
          <w:szCs w:val="24"/>
          <w:u w:val="none"/>
          <w:lang w:val="en-US" w:eastAsia="zh-CN" w:bidi="ar"/>
        </w:rPr>
        <w:t>6722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 is associated with a number of tumors, it is thought that Pulmonary Langerhans cell histiocytosis (PLCH) may be a precursor of malignancy. In this case, the diagnosis of PLCH concurrently with the diagnosis of lung squamous cell carcinoma and the detection of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 supported this hypothesis. </w:t>
      </w:r>
    </w:p>
    <w:p>
      <w:pPr>
        <w:spacing w:line="360" w:lineRule="auto"/>
        <w:jc w:val="both"/>
        <w:rPr>
          <w:rFonts w:ascii="Book Antiqua" w:hAnsi="Book Antiqua"/>
        </w:rPr>
      </w:pPr>
    </w:p>
    <w:p>
      <w:pPr>
        <w:spacing w:line="360" w:lineRule="auto"/>
        <w:jc w:val="both"/>
        <w:rPr>
          <w:rFonts w:ascii="Book Antiqua" w:hAnsi="Book Antiqua" w:cs="Book Antiqua"/>
          <w:b/>
          <w:caps/>
          <w:color w:val="000000"/>
          <w:u w:val="single"/>
          <w:lang w:eastAsia="zh-CN"/>
        </w:rPr>
      </w:pPr>
    </w:p>
    <w:p>
      <w:pPr>
        <w:spacing w:line="360" w:lineRule="auto"/>
        <w:jc w:val="both"/>
        <w:rPr>
          <w:rFonts w:ascii="Book Antiqua" w:hAnsi="Book Antiqua" w:cs="Book Antiqua"/>
          <w:b/>
          <w:caps/>
          <w:color w:val="000000"/>
          <w:u w:val="single"/>
          <w:lang w:eastAsia="zh-CN"/>
        </w:rPr>
      </w:pPr>
    </w:p>
    <w:p>
      <w:pPr>
        <w:spacing w:line="360" w:lineRule="auto"/>
        <w:jc w:val="both"/>
        <w:rPr>
          <w:rFonts w:ascii="Book Antiqua" w:hAnsi="Book Antiqua" w:cs="Book Antiqua"/>
          <w:b/>
          <w:caps/>
          <w:color w:val="000000"/>
          <w:u w:val="single"/>
          <w:lang w:eastAsia="zh-CN"/>
        </w:rPr>
      </w:pPr>
    </w:p>
    <w:p>
      <w:pPr>
        <w:spacing w:line="360" w:lineRule="auto"/>
        <w:jc w:val="both"/>
        <w:rPr>
          <w:rFonts w:ascii="Book Antiqua" w:hAnsi="Book Antiqua" w:cs="Book Antiqua"/>
          <w:b/>
          <w:caps/>
          <w:color w:val="000000"/>
          <w:u w:val="single"/>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Pulmonary Langerhans cell histiocytosis (PLCH) is a rare cystic interstitial lung disease usually affecting young adults and is a type of Langerhans cell histiocytosis (LCH) disease group</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w:t>
      </w:r>
      <w:r>
        <w:rPr>
          <w:rFonts w:ascii="Book Antiqua" w:hAnsi="Book Antiqua" w:eastAsia="Book Antiqua" w:cs="Book Antiqua"/>
          <w:color w:val="000000"/>
        </w:rPr>
        <w:t>. It is the type which remains isolated in the lung, and rarely shows a progressive course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rPr>
        <w:t>. Although its incidence and prevalence are not exactly known, it constitutes 3%-5% of cases of diffuse lung diseases, and smoking is considered a predisposing factor</w:t>
      </w:r>
      <w:r>
        <w:rPr>
          <w:rFonts w:ascii="Book Antiqua" w:hAnsi="Book Antiqua" w:cs="Book Antiqua"/>
          <w:color w:val="000000"/>
          <w:vertAlign w:val="superscript"/>
          <w:lang w:eastAsia="zh-CN"/>
        </w:rPr>
        <w:t>[</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PLCH is considered an inflammatory myeloid neoplasm based on the presence of somatic oncogenic mutations in pulmonary CD1a dendritic cells</w:t>
      </w:r>
      <w:r>
        <w:rPr>
          <w:rFonts w:ascii="Book Antiqua" w:hAnsi="Book Antiqua" w:cs="Book Antiqua"/>
          <w:color w:val="000000"/>
          <w:vertAlign w:val="superscript"/>
          <w:lang w:eastAsia="zh-CN"/>
        </w:rPr>
        <w:t>[5]</w:t>
      </w:r>
      <w:r>
        <w:rPr>
          <w:rFonts w:ascii="Book Antiqua" w:hAnsi="Book Antiqua" w:eastAsia="Book Antiqua" w:cs="Book Antiqua"/>
          <w:color w:val="000000"/>
        </w:rPr>
        <w:t xml:space="preserve">. Three known factors play a role in its pathophysiology: </w:t>
      </w:r>
      <w:r>
        <w:rPr>
          <w:rFonts w:hint="eastAsia" w:ascii="Book Antiqua" w:hAnsi="Book Antiqua" w:cs="Book Antiqua"/>
          <w:color w:val="000000"/>
          <w:lang w:eastAsia="zh-CN"/>
        </w:rPr>
        <w:t>(</w:t>
      </w:r>
      <w:r>
        <w:rPr>
          <w:rFonts w:ascii="Book Antiqua" w:hAnsi="Book Antiqua" w:eastAsia="Book Antiqua" w:cs="Book Antiqua"/>
          <w:color w:val="000000"/>
        </w:rPr>
        <w:t xml:space="preserve">1) </w:t>
      </w:r>
      <w:r>
        <w:rPr>
          <w:rFonts w:ascii="Book Antiqua" w:hAnsi="Book Antiqua" w:eastAsia="Book Antiqua" w:cs="Book Antiqua"/>
          <w:i/>
          <w:color w:val="000000"/>
        </w:rPr>
        <w:t>BRAF</w:t>
      </w:r>
      <w:r>
        <w:rPr>
          <w:rFonts w:ascii="Book Antiqua" w:hAnsi="Book Antiqua" w:eastAsia="Book Antiqua" w:cs="Book Antiqua"/>
          <w:color w:val="000000"/>
        </w:rPr>
        <w:t xml:space="preserve"> V600E and the mitogen-activated protein kinase (MAPK)</w:t>
      </w:r>
      <w:r>
        <w:rPr>
          <w:rFonts w:hint="eastAsia" w:ascii="Book Antiqua" w:hAnsi="Book Antiqua" w:cs="Book Antiqua"/>
          <w:color w:val="000000"/>
          <w:lang w:eastAsia="zh-CN"/>
        </w:rPr>
        <w:t xml:space="preserve"> </w:t>
      </w:r>
      <w:r>
        <w:rPr>
          <w:rFonts w:ascii="Book Antiqua" w:hAnsi="Book Antiqua" w:eastAsia="Book Antiqua" w:cs="Book Antiqua"/>
          <w:color w:val="000000"/>
        </w:rPr>
        <w:t>2K1 somatic mutations in MAPK pathway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 xml:space="preserve">2) </w:t>
      </w:r>
      <w:r>
        <w:rPr>
          <w:rFonts w:hint="eastAsia" w:ascii="Book Antiqua" w:hAnsi="Book Antiqua" w:cs="Book Antiqua"/>
          <w:color w:val="000000"/>
          <w:lang w:eastAsia="zh-CN"/>
        </w:rPr>
        <w:t>S</w:t>
      </w:r>
      <w:r>
        <w:rPr>
          <w:rFonts w:ascii="Book Antiqua" w:hAnsi="Book Antiqua" w:eastAsia="Book Antiqua" w:cs="Book Antiqua"/>
          <w:color w:val="000000"/>
        </w:rPr>
        <w:t>moking</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w:t>
      </w:r>
      <w:r>
        <w:rPr>
          <w:rFonts w:ascii="Book Antiqua" w:hAnsi="Book Antiqua" w:eastAsia="Book Antiqua" w:cs="Book Antiqua"/>
          <w:color w:val="000000"/>
        </w:rPr>
        <w:t xml:space="preserve">3) </w:t>
      </w:r>
      <w:r>
        <w:rPr>
          <w:rFonts w:hint="eastAsia" w:ascii="Book Antiqua" w:hAnsi="Book Antiqua" w:cs="Book Antiqua"/>
          <w:color w:val="000000"/>
          <w:lang w:eastAsia="zh-CN"/>
        </w:rPr>
        <w:t>D</w:t>
      </w:r>
      <w:r>
        <w:rPr>
          <w:rFonts w:ascii="Book Antiqua" w:hAnsi="Book Antiqua" w:eastAsia="Book Antiqua" w:cs="Book Antiqua"/>
          <w:color w:val="000000"/>
        </w:rPr>
        <w:t>ysfunction of the myeloid dendritic cells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6,7</w:t>
      </w:r>
      <w:r>
        <w:rPr>
          <w:rFonts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this report, a patient with a concurrent diagnosis of PLCH and squamous cell carcinoma was presented.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seventy-year-old male patient presented with a history of intermittent cough, white sputum, and shortness of breath triggered by exercise (modified Medical Research Council 3), and was admitted to the outpatient clinic.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Intermittent cough and white sputum for a period of 5 years, and shortness of for 3 years. He had taken sulbactam ampicillin 2 × 440/294 mg for 14 d and gemifloxacin for 7 d and had consulted a physician twice during the previous 2 mo because of recurrent complaints.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medical history of hypertension and diabetes mellitus for 15 years and coronary artery disease for 4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He was a current smoker who smoked 60 packs of cigarettes/year. His father had a diagnosis of lung cancer.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Lung examination findings included a prolonged bilateral expiratory phase, while physical examinations of his other systems were found to be within normal limits. His body temperature was 36.9 °C, pulse rate 86 bpm at rest, blood pressure 130/85 mmHg, respiratory rate 18/min, and oxygen saturation 98% while the patient was breathing room air.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examination revealed that his hemoglobin level stood at 12 g/dL and his hematocrit level was 35.4%, indicating mild anemia. The pulmonary function test revealed that the forced expiratory volume in the first second (FEV</w:t>
      </w:r>
      <w:r>
        <w:rPr>
          <w:rFonts w:ascii="Book Antiqua" w:hAnsi="Book Antiqua" w:eastAsia="Book Antiqua" w:cs="Book Antiqua"/>
          <w:color w:val="000000"/>
          <w:vertAlign w:val="subscript"/>
        </w:rPr>
        <w:t>1</w:t>
      </w:r>
      <w:r>
        <w:rPr>
          <w:rFonts w:ascii="Book Antiqua" w:hAnsi="Book Antiqua" w:eastAsia="Book Antiqua" w:cs="Book Antiqua"/>
          <w:color w:val="000000"/>
        </w:rPr>
        <w:t>) was 3060 mL (103%), forced vital capacity (FVC) was 4130 mL (107%), and the FEV1/FVC ratio was 74%. The patient’s shortness of breath triggered by exercise was interpreted as secondary to his chronic diseases. Gram staining of the sputum sample showed many epithelial cells and a small amount of leukocytes. The Genexpert tuberculosis-</w:t>
      </w:r>
      <w:r>
        <w:rPr>
          <w:rFonts w:hint="eastAsia" w:ascii="Book Antiqua" w:hAnsi="Book Antiqua" w:cs="Book Antiqua"/>
          <w:color w:val="000000"/>
          <w:lang w:eastAsia="zh-CN"/>
        </w:rPr>
        <w:t>p</w:t>
      </w:r>
      <w:r>
        <w:rPr>
          <w:rFonts w:ascii="Book Antiqua" w:hAnsi="Book Antiqua" w:eastAsia="Book Antiqua" w:cs="Book Antiqua"/>
          <w:color w:val="000000"/>
        </w:rPr>
        <w:t xml:space="preserve">olymerase chain reaction (PCR) test could not be performed due to technical reasons. Acid-fast staining of the sputum yielded negative results three separate times. There was no growth in the culture of bacteria including of tuberculosis, bacillus, or fungi.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There were signs of bilaterally increased aeration on plain chest radiography. Computed tomography (CT) of the thorax revealed densities of bilateral apical pleuroparenchymal fibrotic lesions, and paraseptal and centrilobular emphysema in the upper lobes of both lungs, an 11-mm nodule with cavitation in the superior segment of the right lung lower lobe, and a 7-mm nodule the lower lobe posterior basal segment of the lung (Figure 1). Positron emission tomography-CT (PET-CT) revealed a 10-mm nodular lesion in the superior part of the right lung lower lobe with a maximum standard uptake value (SUV max) of 6.43, and minimal focal fluorodeoxyglucose uptake in the 7-mm nodular lesion in the posterior basal part of the right lung lower lobe (Figure 2).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color w:val="000000"/>
        </w:rPr>
        <w:t>Histological examinations</w:t>
      </w:r>
    </w:p>
    <w:p>
      <w:pPr>
        <w:spacing w:line="360" w:lineRule="auto"/>
        <w:jc w:val="both"/>
        <w:rPr>
          <w:rFonts w:ascii="Book Antiqua" w:hAnsi="Book Antiqua"/>
        </w:rPr>
      </w:pPr>
      <w:r>
        <w:rPr>
          <w:rFonts w:ascii="Book Antiqua" w:hAnsi="Book Antiqua" w:eastAsia="Book Antiqua" w:cs="Book Antiqua"/>
          <w:color w:val="000000"/>
        </w:rPr>
        <w:t>The wedge resection of the right lower lobe superior and posterior basal segments were performed.</w:t>
      </w:r>
      <w:r>
        <w:rPr>
          <w:rFonts w:ascii="Book Antiqua" w:hAnsi="Book Antiqua" w:eastAsia="Book Antiqua" w:cs="Book Antiqua"/>
          <w:b/>
          <w:bCs/>
          <w:color w:val="000000"/>
        </w:rPr>
        <w:t xml:space="preserve"> </w:t>
      </w:r>
      <w:r>
        <w:rPr>
          <w:rFonts w:ascii="Book Antiqua" w:hAnsi="Book Antiqua" w:eastAsia="Book Antiqua" w:cs="Book Antiqua"/>
          <w:color w:val="000000"/>
        </w:rPr>
        <w:t>Pathologic examination revealed a squamous cell carcinoma with dimensions of 1.5 cm</w:t>
      </w:r>
      <w:r>
        <w:rPr>
          <w:rFonts w:hint="eastAsia" w:ascii="Book Antiqua" w:hAnsi="Book Antiqua" w:cs="Book Antiqua"/>
          <w:color w:val="000000"/>
          <w:lang w:eastAsia="zh-CN"/>
        </w:rPr>
        <w:t xml:space="preserve"> </w:t>
      </w:r>
      <w:r>
        <w:rPr>
          <w:rFonts w:ascii="Book Antiqua" w:hAnsi="Book Antiqua" w:eastAsia="Book Antiqua" w:cs="Book Antiqua"/>
          <w:color w:val="000000"/>
        </w:rPr>
        <w:t>× 1 cm</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 0.7 cm (T1b), in the wedge resection material of the right lung lower lobe superior segment, and a Langerhans cell histiocytosis at 0.7 cm in diameter in the wedge resection material of the right lung lower lobe posterior basal segment (Figure 3). Immunohistochemical analyses revealed positive staining with S100 protein, CD1a, and Langerin, while real-time PCR identified a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 Gene detection was not performed for squamous cell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Squamous cell carcinoma and pulmonary Langerhans cell histiocytosis was diagnosed.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 single-incision video thoracoscopic wedge resection of the right lower lobe superior was performed while posterior basal segments were performed under general anesthesia.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was informed of his disease, the importance of quitting smoking was emphasized, he was given support to quit. He was called for follow-up in terms of clinical and respiratory functions 6 mo later.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 case was presented herein which was found to feature both squamous cell carcinoma and LCH in the right lower lobe, simultaneously. LCH is an idiopathic neoplasm of myeloid dendritic cells</w:t>
      </w:r>
      <w:r>
        <w:rPr>
          <w:rFonts w:ascii="Book Antiqua" w:hAnsi="Book Antiqua" w:cs="Book Antiqua"/>
          <w:color w:val="000000"/>
          <w:vertAlign w:val="superscript"/>
          <w:lang w:eastAsia="zh-CN"/>
        </w:rPr>
        <w:t>[8]</w:t>
      </w:r>
      <w:r>
        <w:rPr>
          <w:rFonts w:ascii="Book Antiqua" w:hAnsi="Book Antiqua" w:eastAsia="Book Antiqua" w:cs="Book Antiqua"/>
          <w:color w:val="000000"/>
        </w:rPr>
        <w:t>. It comes in two clinical forms: the first type is seen in children and has a localized or systemic course and has been described in many terms over the years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7</w:t>
      </w:r>
      <w:r>
        <w:rPr>
          <w:rFonts w:ascii="Book Antiqua" w:hAnsi="Book Antiqua" w:cs="Book Antiqua"/>
          <w:color w:val="000000"/>
          <w:vertAlign w:val="superscript"/>
          <w:lang w:eastAsia="zh-CN"/>
        </w:rPr>
        <w:t>]</w:t>
      </w:r>
      <w:r>
        <w:rPr>
          <w:rFonts w:ascii="Book Antiqua" w:hAnsi="Book Antiqua" w:eastAsia="Book Antiqua" w:cs="Book Antiqua"/>
          <w:color w:val="000000"/>
        </w:rPr>
        <w:t>. In 1953, Lichtenstein first described it as Histiocytosis X, and then according to the organs involved, it was named as the eosinophilic granuloma or Hand-Schüller-Christian disease or Letterer-Siwe disease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7</w:t>
      </w:r>
      <w:r>
        <w:rPr>
          <w:rFonts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Another clinical form of LCH is PLCH, seen in young adults with a history of smoking. It is an interstitial lung disease of unknown etiology, characterized by focal infiltration of Langerhans cells and exhibiting unpredictable biologic behavior</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9</w:t>
      </w:r>
      <w:r>
        <w:rPr>
          <w:rFonts w:ascii="Book Antiqua" w:hAnsi="Book Antiqua" w:cs="Book Antiqua"/>
          <w:color w:val="000000"/>
          <w:vertAlign w:val="superscript"/>
          <w:lang w:eastAsia="zh-CN"/>
        </w:rPr>
        <w:t>]</w:t>
      </w:r>
      <w:r>
        <w:rPr>
          <w:rFonts w:ascii="Book Antiqua" w:hAnsi="Book Antiqua" w:eastAsia="Book Antiqua" w:cs="Book Antiqua"/>
          <w:color w:val="000000"/>
        </w:rPr>
        <w:t>. It constitutes 3%-5% of diffuse parenchymal lung diseases, but its exact prevalence is not known since most of the patients are asymptomatic</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9</w:t>
      </w:r>
      <w:r>
        <w:rPr>
          <w:rFonts w:ascii="Book Antiqua" w:hAnsi="Book Antiqua" w:cs="Book Antiqua"/>
          <w:color w:val="000000"/>
          <w:vertAlign w:val="superscript"/>
          <w:lang w:eastAsia="zh-CN"/>
        </w:rPr>
        <w:t>]</w:t>
      </w:r>
      <w:r>
        <w:rPr>
          <w:rFonts w:ascii="Book Antiqua" w:hAnsi="Book Antiqua" w:eastAsia="Book Antiqua" w:cs="Book Antiqua"/>
          <w:color w:val="000000"/>
        </w:rPr>
        <w:t>. Probably attributable to the fact that the disease remains localized in the lungs and rarely has a progressive course ensuring that it has the best prognosis in the LCH group</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10</w:t>
      </w:r>
      <w:r>
        <w:rPr>
          <w:rFonts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Dysfunction of the myeloid dendritic cells is well defined in PLCH</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8</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Somatic mutations in CD1a dendritic cells and MAPK pathway, especially </w:t>
      </w:r>
      <w:r>
        <w:rPr>
          <w:rFonts w:ascii="Book Antiqua" w:hAnsi="Book Antiqua" w:eastAsia="Book Antiqua" w:cs="Book Antiqua"/>
          <w:i/>
          <w:color w:val="000000"/>
        </w:rPr>
        <w:t>BRAF</w:t>
      </w:r>
      <w:r>
        <w:rPr>
          <w:rFonts w:ascii="Book Antiqua" w:hAnsi="Book Antiqua" w:eastAsia="Book Antiqua" w:cs="Book Antiqua"/>
          <w:color w:val="000000"/>
        </w:rPr>
        <w:t xml:space="preserve"> and MAP2K1, have been identified as having a key role in the pathogenetic mechanism of this disease by activation of this pathway</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The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 was first described in LCH cases in 2010</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11</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Since the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 is associated with a number of tumors, it is thought that PLCH may be a precursor of malignancy</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In the current case, the diagnosis of PLCH concurrently with the diagnosis of lung squamous cell carcinoma and the detection of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 supported this hypothesis.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 was detected in 2 of 5 patients diagnosed with PLCH with bilateral pulmonary nodules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It has been emphasized that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 acts as a driver mutation for neoplastic transformation in malignant melanoma, lung, thyroid, and colonic adenocarcinomas. As in other histiocytic dendritic disorders, targeted therapies can be used through progressive cases of PLCH featuring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 In the study of Roden </w:t>
      </w:r>
      <w:r>
        <w:rPr>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6</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w:t>
      </w:r>
      <w:r>
        <w:rPr>
          <w:rFonts w:ascii="Book Antiqua" w:hAnsi="Book Antiqua" w:eastAsia="Book Antiqua" w:cs="Book Antiqua"/>
          <w:i/>
          <w:color w:val="000000"/>
        </w:rPr>
        <w:t>BRAF</w:t>
      </w:r>
      <w:r>
        <w:rPr>
          <w:rFonts w:ascii="Book Antiqua" w:hAnsi="Book Antiqua" w:eastAsia="Book Antiqua" w:cs="Book Antiqua"/>
          <w:color w:val="000000"/>
        </w:rPr>
        <w:t xml:space="preserve"> V600E expression was analyzed in 79 patients, including those diagnosed with PLCH (n: 25) and extrapulmonary LCH (n: 54). In their study, the </w:t>
      </w:r>
      <w:r>
        <w:rPr>
          <w:rFonts w:ascii="Book Antiqua" w:hAnsi="Book Antiqua" w:eastAsia="Book Antiqua" w:cs="Book Antiqua"/>
          <w:i/>
          <w:color w:val="000000"/>
        </w:rPr>
        <w:t>BRAF</w:t>
      </w:r>
      <w:r>
        <w:rPr>
          <w:rFonts w:ascii="Book Antiqua" w:hAnsi="Book Antiqua" w:eastAsia="Book Antiqua" w:cs="Book Antiqua"/>
          <w:color w:val="000000"/>
        </w:rPr>
        <w:t xml:space="preserve"> expression was found to be significantly more prevalent in the participant smokers. The </w:t>
      </w:r>
      <w:r>
        <w:rPr>
          <w:rFonts w:ascii="Book Antiqua" w:hAnsi="Book Antiqua" w:eastAsia="Book Antiqua" w:cs="Book Antiqua"/>
          <w:i/>
          <w:color w:val="000000"/>
        </w:rPr>
        <w:t>BRAF</w:t>
      </w:r>
      <w:r>
        <w:rPr>
          <w:rFonts w:ascii="Book Antiqua" w:hAnsi="Book Antiqua" w:eastAsia="Book Antiqua" w:cs="Book Antiqua"/>
          <w:color w:val="000000"/>
        </w:rPr>
        <w:t xml:space="preserve"> V600E expression was found in 28% of the patients with PLCH and in 35% of patients with extrapulmonary LCH. In a similar analysis, the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 was demonstrated in 50% of 26 pulmonary LCH patients and 38% of 37 extrapulmonary LCH patients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13</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Based on the occurrence of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mutations in non-small cell lung cancers and the definition of targeted therapies, in the study conducted by Paik </w:t>
      </w:r>
      <w:r>
        <w:rPr>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14</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on 697 patients with lung adenocarcinoma,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mutations were detected in 50%, G469A in 39%, and D594G mutations in 11% of the patients. It was emphasized that the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 was found in 3% of the patients with lung adenocarcinoma and was generally detected in smokers. In the case herein, the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 was found in the patient, who also received a concurrent diagnosis of squamous cell carcinoma and PLCH.</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Alden </w:t>
      </w:r>
      <w:r>
        <w:rPr>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15</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describe a patient suffering from early-stage lung adenocarcinoma who developed bilateral pulmonary nodules in the case report. Histopathologic examination revealed Langerhans cell histiocytosis, positive for CD1a, Langerin, and S100 and genomic sequencing identified a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w:t>
      </w:r>
      <w:r>
        <w:rPr>
          <w:rFonts w:ascii="Book Antiqua" w:hAnsi="Book Antiqua" w:eastAsia="Book Antiqua" w:cs="Book Antiqua"/>
          <w:color w:val="000000"/>
          <w:shd w:val="clear" w:color="auto" w:fill="FFFFFF"/>
        </w:rPr>
        <w:t xml:space="preserve"> Although pulmonary Langerhans cell histiocytosis is rarely diagnosed in the setting of lung cancer, reports in association with primary lung cancers do exist</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16</w:t>
      </w:r>
      <w:r>
        <w:rPr>
          <w:rFonts w:ascii="Book Antiqua" w:hAnsi="Book Antiqua" w:cs="Book Antiqua"/>
          <w:color w:val="000000"/>
          <w:vertAlign w:val="superscript"/>
          <w:lang w:eastAsia="zh-CN"/>
        </w:rPr>
        <w:t>]</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presence of somatic oncogenic mutations such as </w:t>
      </w:r>
      <w:r>
        <w:rPr>
          <w:rFonts w:ascii="Book Antiqua" w:hAnsi="Book Antiqua" w:eastAsia="Book Antiqua" w:cs="Book Antiqua"/>
          <w:i/>
          <w:color w:val="000000"/>
        </w:rPr>
        <w:t>BRAF</w:t>
      </w:r>
      <w:r>
        <w:rPr>
          <w:rFonts w:ascii="Book Antiqua" w:hAnsi="Book Antiqua" w:eastAsia="Book Antiqua" w:cs="Book Antiqua"/>
          <w:color w:val="000000"/>
        </w:rPr>
        <w:t xml:space="preserve"> in patients diagnosed with PLCH suggests that PLCH may be a precursor to malignancy. Periodic follow-up, preferably with low-dose chest CT and encouragement of smoking cessation, is recommended in patients with PLCH.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Jouenne F</w:t>
      </w:r>
      <w:r>
        <w:rPr>
          <w:rFonts w:ascii="Book Antiqua" w:hAnsi="Book Antiqua" w:eastAsia="Book Antiqua" w:cs="Book Antiqua"/>
          <w:color w:val="000000"/>
        </w:rPr>
        <w:t xml:space="preserve">, Chevret S, Bugnet E, Clappier E, Lorillon G, Meignin V, Sadoux A, Cohen S, Haziot A, How-Kit A, Kannengiesser C, Lebbé C, Gossot D, Mourah S, Tazi A. Genetic landscape of adult Langerhans cell histiocytosis with lung involvement. </w:t>
      </w:r>
      <w:r>
        <w:rPr>
          <w:rFonts w:ascii="Book Antiqua" w:hAnsi="Book Antiqua" w:eastAsia="Book Antiqua" w:cs="Book Antiqua"/>
          <w:i/>
          <w:iCs/>
          <w:color w:val="000000"/>
        </w:rPr>
        <w:t>Eur Respir J</w:t>
      </w:r>
      <w:r>
        <w:rPr>
          <w:rFonts w:ascii="Book Antiqua" w:hAnsi="Book Antiqua" w:eastAsia="Book Antiqua" w:cs="Book Antiqua"/>
          <w:color w:val="000000"/>
        </w:rPr>
        <w:t xml:space="preserve"> 2020; </w:t>
      </w:r>
      <w:r>
        <w:rPr>
          <w:rFonts w:ascii="Book Antiqua" w:hAnsi="Book Antiqua" w:eastAsia="Book Antiqua" w:cs="Book Antiqua"/>
          <w:b/>
          <w:bCs/>
          <w:color w:val="000000"/>
        </w:rPr>
        <w:t>55</w:t>
      </w:r>
      <w:r>
        <w:rPr>
          <w:rFonts w:ascii="Book Antiqua" w:hAnsi="Book Antiqua" w:eastAsia="Book Antiqua" w:cs="Book Antiqua"/>
          <w:color w:val="000000"/>
        </w:rPr>
        <w:t xml:space="preserve"> [PMID: 31806714 DOI: 10.1183/13993003.01190-2019]</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Yousem SA</w:t>
      </w:r>
      <w:r>
        <w:rPr>
          <w:rFonts w:ascii="Book Antiqua" w:hAnsi="Book Antiqua" w:eastAsia="Book Antiqua" w:cs="Book Antiqua"/>
          <w:color w:val="000000"/>
        </w:rPr>
        <w:t xml:space="preserve">, Dacic S, Nikiforov YE, Nikiforova M. Pulmonary Langerhans cell histiocytosis: profiling of multifocal tumors using next-generation sequencing identifies concordant occurrence of </w:t>
      </w:r>
      <w:r>
        <w:rPr>
          <w:rFonts w:ascii="Book Antiqua" w:hAnsi="Book Antiqua" w:eastAsia="Book Antiqua" w:cs="Book Antiqua"/>
          <w:i/>
          <w:color w:val="000000"/>
        </w:rPr>
        <w:t>BRAF</w:t>
      </w:r>
      <w:r>
        <w:rPr>
          <w:rFonts w:ascii="Book Antiqua" w:hAnsi="Book Antiqua" w:eastAsia="Book Antiqua" w:cs="Book Antiqua"/>
          <w:color w:val="000000"/>
        </w:rPr>
        <w:t xml:space="preserve"> V600E mutations.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2013; </w:t>
      </w:r>
      <w:r>
        <w:rPr>
          <w:rFonts w:ascii="Book Antiqua" w:hAnsi="Book Antiqua" w:eastAsia="Book Antiqua" w:cs="Book Antiqua"/>
          <w:b/>
          <w:bCs/>
          <w:color w:val="000000"/>
        </w:rPr>
        <w:t>143</w:t>
      </w:r>
      <w:r>
        <w:rPr>
          <w:rFonts w:ascii="Book Antiqua" w:hAnsi="Book Antiqua" w:eastAsia="Book Antiqua" w:cs="Book Antiqua"/>
          <w:color w:val="000000"/>
        </w:rPr>
        <w:t>: 1679-1684 [PMID: 23287985 DOI: 10.1378/chest.12-1917]</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Gaensler EA</w:t>
      </w:r>
      <w:r>
        <w:rPr>
          <w:rFonts w:ascii="Book Antiqua" w:hAnsi="Book Antiqua" w:eastAsia="Book Antiqua" w:cs="Book Antiqua"/>
          <w:color w:val="000000"/>
        </w:rPr>
        <w:t xml:space="preserve">, Carrington CB. Open biopsy for chronic diffuse infiltrative lung disease: clinical, roentgenographic, and physiological correlations in 502 patients. </w:t>
      </w:r>
      <w:r>
        <w:rPr>
          <w:rFonts w:ascii="Book Antiqua" w:hAnsi="Book Antiqua" w:eastAsia="Book Antiqua" w:cs="Book Antiqua"/>
          <w:i/>
          <w:iCs/>
          <w:color w:val="000000"/>
        </w:rPr>
        <w:t>Ann Thorac Surg</w:t>
      </w:r>
      <w:r>
        <w:rPr>
          <w:rFonts w:ascii="Book Antiqua" w:hAnsi="Book Antiqua" w:eastAsia="Book Antiqua" w:cs="Book Antiqua"/>
          <w:color w:val="000000"/>
        </w:rPr>
        <w:t xml:space="preserve"> 1980; </w:t>
      </w:r>
      <w:r>
        <w:rPr>
          <w:rFonts w:ascii="Book Antiqua" w:hAnsi="Book Antiqua" w:eastAsia="Book Antiqua" w:cs="Book Antiqua"/>
          <w:b/>
          <w:bCs/>
          <w:color w:val="000000"/>
        </w:rPr>
        <w:t>30</w:t>
      </w:r>
      <w:r>
        <w:rPr>
          <w:rFonts w:ascii="Book Antiqua" w:hAnsi="Book Antiqua" w:eastAsia="Book Antiqua" w:cs="Book Antiqua"/>
          <w:color w:val="000000"/>
        </w:rPr>
        <w:t>: 411-426 [PMID: 7436611 DOI: 10.1016/s0003-4975(10)61291-x]</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Vassallo R</w:t>
      </w:r>
      <w:r>
        <w:rPr>
          <w:rFonts w:ascii="Book Antiqua" w:hAnsi="Book Antiqua" w:eastAsia="Book Antiqua" w:cs="Book Antiqua"/>
          <w:color w:val="000000"/>
        </w:rPr>
        <w:t xml:space="preserve">, Harari S, Tazi A. Current understanding and management of pulmonary Langerhans cell histiocytosis. </w:t>
      </w:r>
      <w:r>
        <w:rPr>
          <w:rFonts w:ascii="Book Antiqua" w:hAnsi="Book Antiqua" w:eastAsia="Book Antiqua" w:cs="Book Antiqua"/>
          <w:i/>
          <w:iCs/>
          <w:color w:val="000000"/>
        </w:rPr>
        <w:t>Thorax</w:t>
      </w:r>
      <w:r>
        <w:rPr>
          <w:rFonts w:ascii="Book Antiqua" w:hAnsi="Book Antiqua" w:eastAsia="Book Antiqua" w:cs="Book Antiqua"/>
          <w:color w:val="000000"/>
        </w:rPr>
        <w:t xml:space="preserve"> 2017; </w:t>
      </w:r>
      <w:r>
        <w:rPr>
          <w:rFonts w:ascii="Book Antiqua" w:hAnsi="Book Antiqua" w:eastAsia="Book Antiqua" w:cs="Book Antiqua"/>
          <w:b/>
          <w:bCs/>
          <w:color w:val="000000"/>
        </w:rPr>
        <w:t>72</w:t>
      </w:r>
      <w:r>
        <w:rPr>
          <w:rFonts w:ascii="Book Antiqua" w:hAnsi="Book Antiqua" w:eastAsia="Book Antiqua" w:cs="Book Antiqua"/>
          <w:color w:val="000000"/>
        </w:rPr>
        <w:t>: 937-945 [PMID: 28689173 DOI: 10.1136/thoraxjnl-2017-210125]</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Brown NA</w:t>
      </w:r>
      <w:r>
        <w:rPr>
          <w:rFonts w:ascii="Book Antiqua" w:hAnsi="Book Antiqua" w:eastAsia="Book Antiqua" w:cs="Book Antiqua"/>
          <w:color w:val="000000"/>
        </w:rPr>
        <w:t xml:space="preserve">, Elenitoba-Johnson KSJ. Clinical implications of oncogenic mutations in pulmonary Langerhans cell histiocytosis. </w:t>
      </w:r>
      <w:r>
        <w:rPr>
          <w:rFonts w:ascii="Book Antiqua" w:hAnsi="Book Antiqua" w:eastAsia="Book Antiqua" w:cs="Book Antiqua"/>
          <w:i/>
          <w:iCs/>
          <w:color w:val="000000"/>
        </w:rPr>
        <w:t>Curr Opin Pulm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24</w:t>
      </w:r>
      <w:r>
        <w:rPr>
          <w:rFonts w:ascii="Book Antiqua" w:hAnsi="Book Antiqua" w:eastAsia="Book Antiqua" w:cs="Book Antiqua"/>
          <w:color w:val="000000"/>
        </w:rPr>
        <w:t>: 281-286 [PMID: 29470255 DOI: 10.1097/MCP.0000000000000470]</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Roden AC</w:t>
      </w:r>
      <w:r>
        <w:rPr>
          <w:rFonts w:ascii="Book Antiqua" w:hAnsi="Book Antiqua" w:eastAsia="Book Antiqua" w:cs="Book Antiqua"/>
          <w:color w:val="000000"/>
        </w:rPr>
        <w:t xml:space="preserve">, Hu X, Kip S, Parrilla Castellar ER, Rumilla KM, Vrana JA, Vassallo R, Ryu JH, Yi ES. </w:t>
      </w:r>
      <w:r>
        <w:rPr>
          <w:rFonts w:ascii="Book Antiqua" w:hAnsi="Book Antiqua" w:eastAsia="Book Antiqua" w:cs="Book Antiqua"/>
          <w:i/>
          <w:color w:val="000000"/>
        </w:rPr>
        <w:t>BRAF</w:t>
      </w:r>
      <w:r>
        <w:rPr>
          <w:rFonts w:ascii="Book Antiqua" w:hAnsi="Book Antiqua" w:eastAsia="Book Antiqua" w:cs="Book Antiqua"/>
          <w:color w:val="000000"/>
        </w:rPr>
        <w:t xml:space="preserve"> V600E expression in Langerhans cell histiocytosis: clinical and immunohistochemical study on 25 pulmonary and 54 extrapulmonary cases.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2014; </w:t>
      </w:r>
      <w:r>
        <w:rPr>
          <w:rFonts w:ascii="Book Antiqua" w:hAnsi="Book Antiqua" w:eastAsia="Book Antiqua" w:cs="Book Antiqua"/>
          <w:b/>
          <w:bCs/>
          <w:color w:val="000000"/>
        </w:rPr>
        <w:t>38</w:t>
      </w:r>
      <w:r>
        <w:rPr>
          <w:rFonts w:ascii="Book Antiqua" w:hAnsi="Book Antiqua" w:eastAsia="Book Antiqua" w:cs="Book Antiqua"/>
          <w:color w:val="000000"/>
        </w:rPr>
        <w:t>: 548-551 [PMID: 24625419 DOI: 10.1097/PAS.0000000000000129]</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Harmon CM</w:t>
      </w:r>
      <w:r>
        <w:rPr>
          <w:rFonts w:ascii="Book Antiqua" w:hAnsi="Book Antiqua" w:eastAsia="Book Antiqua" w:cs="Book Antiqua"/>
          <w:color w:val="000000"/>
        </w:rPr>
        <w:t xml:space="preserve">, Brown N. Langerhans Cell Histiocytosis: A Clinicopathologic Review and Molecular Pathogenetic Update. </w:t>
      </w:r>
      <w:r>
        <w:rPr>
          <w:rFonts w:ascii="Book Antiqua" w:hAnsi="Book Antiqua" w:eastAsia="Book Antiqua" w:cs="Book Antiqua"/>
          <w:i/>
          <w:iCs/>
          <w:color w:val="000000"/>
        </w:rPr>
        <w:t>Arch Pathol Lab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139</w:t>
      </w:r>
      <w:r>
        <w:rPr>
          <w:rFonts w:ascii="Book Antiqua" w:hAnsi="Book Antiqua" w:eastAsia="Book Antiqua" w:cs="Book Antiqua"/>
          <w:color w:val="000000"/>
        </w:rPr>
        <w:t>: 1211-1214 [PMID: 26414464 DOI: 10.5858/arpa.2015-0199-RA]</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Allen CE</w:t>
      </w:r>
      <w:r>
        <w:rPr>
          <w:rFonts w:ascii="Book Antiqua" w:hAnsi="Book Antiqua" w:eastAsia="Book Antiqua" w:cs="Book Antiqua"/>
          <w:color w:val="000000"/>
        </w:rPr>
        <w:t xml:space="preserve">, Merad M, McClain KL. Langerhans-Cell Histiocytosis.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379</w:t>
      </w:r>
      <w:r>
        <w:rPr>
          <w:rFonts w:ascii="Book Antiqua" w:hAnsi="Book Antiqua" w:eastAsia="Book Antiqua" w:cs="Book Antiqua"/>
          <w:color w:val="000000"/>
        </w:rPr>
        <w:t>: 856-868 [PMID: 30157397 DOI: 10.1056/NEJMra1607548]</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Vassallo R</w:t>
      </w:r>
      <w:r>
        <w:rPr>
          <w:rFonts w:ascii="Book Antiqua" w:hAnsi="Book Antiqua" w:eastAsia="Book Antiqua" w:cs="Book Antiqua"/>
          <w:color w:val="000000"/>
        </w:rPr>
        <w:t xml:space="preserve">, Ryu JH, Schroeder DR, Decker PA, Limper AH. Clinical outcomes of pulmonary Langerhans'-cell histiocytosis in adults.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2002; </w:t>
      </w:r>
      <w:r>
        <w:rPr>
          <w:rFonts w:ascii="Book Antiqua" w:hAnsi="Book Antiqua" w:eastAsia="Book Antiqua" w:cs="Book Antiqua"/>
          <w:b/>
          <w:bCs/>
          <w:color w:val="000000"/>
        </w:rPr>
        <w:t>346</w:t>
      </w:r>
      <w:r>
        <w:rPr>
          <w:rFonts w:ascii="Book Antiqua" w:hAnsi="Book Antiqua" w:eastAsia="Book Antiqua" w:cs="Book Antiqua"/>
          <w:color w:val="000000"/>
        </w:rPr>
        <w:t>: 484-490 [PMID: 11844849 DOI: 10.1056/NEJMoa012087]</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McClain KL</w:t>
      </w:r>
      <w:r>
        <w:rPr>
          <w:rFonts w:ascii="Book Antiqua" w:hAnsi="Book Antiqua" w:eastAsia="Book Antiqua" w:cs="Book Antiqua"/>
          <w:color w:val="000000"/>
        </w:rPr>
        <w:t xml:space="preserve">, Gonzalez JM, Jonkers R, De Juli E, Egeler M. Need for a cooperative study: Pulmonary Langerhans cell histiocytosis and its management in adults. </w:t>
      </w:r>
      <w:r>
        <w:rPr>
          <w:rFonts w:ascii="Book Antiqua" w:hAnsi="Book Antiqua" w:eastAsia="Book Antiqua" w:cs="Book Antiqua"/>
          <w:i/>
          <w:iCs/>
          <w:color w:val="000000"/>
        </w:rPr>
        <w:t>Med Pediatr Oncol</w:t>
      </w:r>
      <w:r>
        <w:rPr>
          <w:rFonts w:ascii="Book Antiqua" w:hAnsi="Book Antiqua" w:eastAsia="Book Antiqua" w:cs="Book Antiqua"/>
          <w:color w:val="000000"/>
        </w:rPr>
        <w:t xml:space="preserve"> 2002; </w:t>
      </w:r>
      <w:r>
        <w:rPr>
          <w:rFonts w:ascii="Book Antiqua" w:hAnsi="Book Antiqua" w:eastAsia="Book Antiqua" w:cs="Book Antiqua"/>
          <w:b/>
          <w:bCs/>
          <w:color w:val="000000"/>
        </w:rPr>
        <w:t>39</w:t>
      </w:r>
      <w:r>
        <w:rPr>
          <w:rFonts w:ascii="Book Antiqua" w:hAnsi="Book Antiqua" w:eastAsia="Book Antiqua" w:cs="Book Antiqua"/>
          <w:color w:val="000000"/>
        </w:rPr>
        <w:t>: 35-39 [PMID: 12116077 DOI: 10.1002/mpo.10064]</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Badalian-Very G</w:t>
      </w:r>
      <w:r>
        <w:rPr>
          <w:rFonts w:ascii="Book Antiqua" w:hAnsi="Book Antiqua" w:eastAsia="Book Antiqua" w:cs="Book Antiqua"/>
          <w:color w:val="000000"/>
        </w:rPr>
        <w:t xml:space="preserve">, Vergilio JA, Degar BA, MacConaill LE, Brandner B, Calicchio ML, Kuo FC, Ligon AH, Stevenson KE, Kehoe SM, Garraway LA, Hahn WC, Meyerson M, Fleming MD, Rollins BJ. Recurrent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mutations in Langerhans cell histiocytosis.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2010; </w:t>
      </w:r>
      <w:r>
        <w:rPr>
          <w:rFonts w:ascii="Book Antiqua" w:hAnsi="Book Antiqua" w:eastAsia="Book Antiqua" w:cs="Book Antiqua"/>
          <w:b/>
          <w:bCs/>
          <w:color w:val="000000"/>
        </w:rPr>
        <w:t>116</w:t>
      </w:r>
      <w:r>
        <w:rPr>
          <w:rFonts w:ascii="Book Antiqua" w:hAnsi="Book Antiqua" w:eastAsia="Book Antiqua" w:cs="Book Antiqua"/>
          <w:color w:val="000000"/>
        </w:rPr>
        <w:t>: 1919-1923 [PMID: 20519626 DOI: 10.1182/blood-2010-04-279083]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Davies H</w:t>
      </w:r>
      <w:r>
        <w:rPr>
          <w:rFonts w:ascii="Book Antiqua" w:hAnsi="Book Antiqua" w:eastAsia="Book Antiqua" w:cs="Book Antiqua"/>
          <w:color w:val="000000"/>
        </w:rPr>
        <w:t xml:space="preserve">, Bignell GR, Cox C, Stephens P, Edkins S, Clegg S, Teague J, Woffendin H, Garnett MJ, Bottomley W, Davis N, Dicks E, Ewing R, Floyd Y, Gray K, Hall S, Hawes R, Hughes J, Kosmidou V, Menzies A, Mould C, Parker A, Stevens C, Watt S, Hooper S, Wilson R, Jayatilake H, Gusterson BA, Cooper C, Shipley J, Hargrave D, Pritchard-Jones K, Maitland N, Chenevix-Trench G, Riggins GJ, Bigner DD, Palmieri G, Cossu A, Flanagan A, Nicholson A, Ho JW, Leung SY, Yuen ST, Weber BL, Seigler HF, Darrow TL, Paterson H, Marais R, Marshall CJ, Wooster R, Stratton MR, Futreal PA. Mutations of the </w:t>
      </w:r>
      <w:r>
        <w:rPr>
          <w:rFonts w:ascii="Book Antiqua" w:hAnsi="Book Antiqua" w:eastAsia="Book Antiqua" w:cs="Book Antiqua"/>
          <w:i/>
          <w:color w:val="000000"/>
        </w:rPr>
        <w:t>BRAF</w:t>
      </w:r>
      <w:r>
        <w:rPr>
          <w:rFonts w:ascii="Book Antiqua" w:hAnsi="Book Antiqua" w:eastAsia="Book Antiqua" w:cs="Book Antiqua"/>
          <w:color w:val="000000"/>
        </w:rPr>
        <w:t xml:space="preserve"> gene in human cancer.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2002; </w:t>
      </w:r>
      <w:r>
        <w:rPr>
          <w:rFonts w:ascii="Book Antiqua" w:hAnsi="Book Antiqua" w:eastAsia="Book Antiqua" w:cs="Book Antiqua"/>
          <w:b/>
          <w:bCs/>
          <w:color w:val="000000"/>
        </w:rPr>
        <w:t>417</w:t>
      </w:r>
      <w:r>
        <w:rPr>
          <w:rFonts w:ascii="Book Antiqua" w:hAnsi="Book Antiqua" w:eastAsia="Book Antiqua" w:cs="Book Antiqua"/>
          <w:color w:val="000000"/>
        </w:rPr>
        <w:t>: 949-954 [PMID: 12068308 DOI: 10.1038/nature00766]</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Mourah S</w:t>
      </w:r>
      <w:r>
        <w:rPr>
          <w:rFonts w:ascii="Book Antiqua" w:hAnsi="Book Antiqua" w:eastAsia="Book Antiqua" w:cs="Book Antiqua"/>
          <w:color w:val="000000"/>
        </w:rPr>
        <w:t xml:space="preserve">, How-Kit A, Meignin V, Gossot D, Lorillon G, Bugnet E, Mauger F, Lebbe C, Chevret S, Tost J, Tazi A. Recurrent NRAS mutations in pulmonary Langerhans cell histiocytosis. </w:t>
      </w:r>
      <w:r>
        <w:rPr>
          <w:rFonts w:ascii="Book Antiqua" w:hAnsi="Book Antiqua" w:eastAsia="Book Antiqua" w:cs="Book Antiqua"/>
          <w:i/>
          <w:iCs/>
          <w:color w:val="000000"/>
        </w:rPr>
        <w:t>Eur Respir J</w:t>
      </w:r>
      <w:r>
        <w:rPr>
          <w:rFonts w:ascii="Book Antiqua" w:hAnsi="Book Antiqua" w:eastAsia="Book Antiqua" w:cs="Book Antiqua"/>
          <w:color w:val="000000"/>
        </w:rPr>
        <w:t xml:space="preserve"> 2016; </w:t>
      </w:r>
      <w:r>
        <w:rPr>
          <w:rFonts w:ascii="Book Antiqua" w:hAnsi="Book Antiqua" w:eastAsia="Book Antiqua" w:cs="Book Antiqua"/>
          <w:b/>
          <w:bCs/>
          <w:color w:val="000000"/>
        </w:rPr>
        <w:t>47</w:t>
      </w:r>
      <w:r>
        <w:rPr>
          <w:rFonts w:ascii="Book Antiqua" w:hAnsi="Book Antiqua" w:eastAsia="Book Antiqua" w:cs="Book Antiqua"/>
          <w:color w:val="000000"/>
        </w:rPr>
        <w:t>: 1785-1796 [PMID: 27076591 DOI: 10.1183/13993003.01677-2015]</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Paik PK</w:t>
      </w:r>
      <w:r>
        <w:rPr>
          <w:rFonts w:ascii="Book Antiqua" w:hAnsi="Book Antiqua" w:eastAsia="Book Antiqua" w:cs="Book Antiqua"/>
          <w:color w:val="000000"/>
        </w:rPr>
        <w:t xml:space="preserve">, Arcila ME, Fara M, Sima CS, Miller VA, Kris MG, Ladanyi M, Riely GJ. Clinical characteristics of patients with lung adenocarcinomas harboring </w:t>
      </w:r>
      <w:r>
        <w:rPr>
          <w:rFonts w:ascii="Book Antiqua" w:hAnsi="Book Antiqua" w:eastAsia="Book Antiqua" w:cs="Book Antiqua"/>
          <w:i/>
          <w:color w:val="000000"/>
        </w:rPr>
        <w:t>BRAF</w:t>
      </w:r>
      <w:r>
        <w:rPr>
          <w:rFonts w:ascii="Book Antiqua" w:hAnsi="Book Antiqua" w:eastAsia="Book Antiqua" w:cs="Book Antiqua"/>
          <w:color w:val="000000"/>
        </w:rPr>
        <w:t xml:space="preserve"> mutations.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29</w:t>
      </w:r>
      <w:r>
        <w:rPr>
          <w:rFonts w:ascii="Book Antiqua" w:hAnsi="Book Antiqua" w:eastAsia="Book Antiqua" w:cs="Book Antiqua"/>
          <w:color w:val="000000"/>
        </w:rPr>
        <w:t>: 2046-2051 [PMID: 21483012 DOI: 10.1200/JCO.2010.33.1280]</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Alden SL</w:t>
      </w:r>
      <w:r>
        <w:rPr>
          <w:rFonts w:ascii="Book Antiqua" w:hAnsi="Book Antiqua" w:eastAsia="Book Antiqua" w:cs="Book Antiqua"/>
          <w:color w:val="000000"/>
        </w:rPr>
        <w:t xml:space="preserve">, Swanson SJ, Nishino M, Sholl LM, Awad MM. </w:t>
      </w:r>
      <w:r>
        <w:rPr>
          <w:rFonts w:ascii="Book Antiqua" w:hAnsi="Book Antiqua" w:eastAsia="Book Antiqua" w:cs="Book Antiqua"/>
          <w:i/>
          <w:iCs/>
          <w:color w:val="000000"/>
        </w:rPr>
        <w:t>BRAF</w:t>
      </w:r>
      <w:r>
        <w:rPr>
          <w:rFonts w:ascii="Book Antiqua" w:hAnsi="Book Antiqua" w:eastAsia="Book Antiqua" w:cs="Book Antiqua"/>
          <w:color w:val="000000"/>
        </w:rPr>
        <w:t xml:space="preserve">-Mutant Pulmonary Langerhans Cell Histiocytosis Mimicking Recurrence of Early-Stage </w:t>
      </w:r>
      <w:r>
        <w:rPr>
          <w:rFonts w:ascii="Book Antiqua" w:hAnsi="Book Antiqua" w:eastAsia="Book Antiqua" w:cs="Book Antiqua"/>
          <w:i/>
          <w:iCs/>
          <w:color w:val="000000"/>
        </w:rPr>
        <w:t>KRAS</w:t>
      </w:r>
      <w:r>
        <w:rPr>
          <w:rFonts w:ascii="Book Antiqua" w:hAnsi="Book Antiqua" w:eastAsia="Book Antiqua" w:cs="Book Antiqua"/>
          <w:color w:val="000000"/>
        </w:rPr>
        <w:t xml:space="preserve">-Mutant Lung Adenocarcinoma. </w:t>
      </w:r>
      <w:r>
        <w:rPr>
          <w:rFonts w:ascii="Book Antiqua" w:hAnsi="Book Antiqua" w:eastAsia="Book Antiqua" w:cs="Book Antiqua"/>
          <w:i/>
          <w:iCs/>
          <w:color w:val="000000"/>
        </w:rPr>
        <w:t>JTO Clin Res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2</w:t>
      </w:r>
      <w:r>
        <w:rPr>
          <w:rFonts w:ascii="Book Antiqua" w:hAnsi="Book Antiqua" w:eastAsia="Book Antiqua" w:cs="Book Antiqua"/>
          <w:color w:val="000000"/>
        </w:rPr>
        <w:t>: 100127 [PMID: 34589987 DOI: 10.1016/j.jtocrr.2020.100127]</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Kalchiem-Dekel O</w:t>
      </w:r>
      <w:r>
        <w:rPr>
          <w:rFonts w:ascii="Book Antiqua" w:hAnsi="Book Antiqua" w:eastAsia="Book Antiqua" w:cs="Book Antiqua"/>
          <w:color w:val="000000"/>
        </w:rPr>
        <w:t xml:space="preserve">, Paulk A, Kligerman SJ, Burke AP, Shah NG, Dixon RK. Development of pulmonary Langerhans cell histiocytosis in a patient with established adenocarcinoma of the lung. </w:t>
      </w:r>
      <w:r>
        <w:rPr>
          <w:rFonts w:ascii="Book Antiqua" w:hAnsi="Book Antiqua" w:eastAsia="Book Antiqua" w:cs="Book Antiqua"/>
          <w:i/>
          <w:iCs/>
          <w:color w:val="000000"/>
        </w:rPr>
        <w:t>J Thorac Dis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E1079-E1083 [PMID: 29312770 DOI: 10.21037/jtd.2017.11.12]</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conflicts of interest.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Turkey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Liu W, China; </w:t>
      </w:r>
      <w:r>
        <w:rPr>
          <w:rFonts w:ascii="Book Antiqua" w:hAnsi="Book Antiqua" w:eastAsia="宋体" w:cs="宋体"/>
          <w:color w:val="000000"/>
          <w:lang w:eastAsia="zh-CN"/>
        </w:rPr>
        <w:t>Li HX, China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Wang LL</w:t>
      </w:r>
      <w:r>
        <w:rPr>
          <w:rFonts w:ascii="Book Antiqua" w:hAnsi="Book Antiqua" w:eastAsia="Book Antiqua" w:cs="Book Antiqua"/>
          <w:b/>
          <w:color w:val="000000"/>
        </w:rPr>
        <w:t xml:space="preserve"> L-Editor:</w:t>
      </w:r>
      <w:r>
        <w:rPr>
          <w:rFonts w:hint="eastAsia" w:ascii="Book Antiqua" w:hAnsi="Book Antiqua" w:cs="Book Antiqua"/>
          <w:color w:val="000000"/>
          <w:lang w:eastAsia="zh-CN"/>
        </w:rPr>
        <w:t xml:space="preserve"> A</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Wang LL</w:t>
      </w:r>
    </w:p>
    <w:p>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hint="eastAsia" w:ascii="Book Antiqua" w:hAnsi="Book Antiqua" w:cs="Book Antiqua"/>
          <w:b/>
          <w:color w:val="000000"/>
          <w:lang w:eastAsia="zh-CN"/>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979035" cy="3250565"/>
            <wp:effectExtent l="0" t="0" r="4445" b="10795"/>
            <wp:docPr id="4" name="图片 4" descr="WJCC-10-67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722-g001"/>
                    <pic:cNvPicPr>
                      <a:picLocks noChangeAspect="1"/>
                    </pic:cNvPicPr>
                  </pic:nvPicPr>
                  <pic:blipFill>
                    <a:blip r:embed="rId5"/>
                    <a:stretch>
                      <a:fillRect/>
                    </a:stretch>
                  </pic:blipFill>
                  <pic:spPr>
                    <a:xfrm>
                      <a:off x="0" y="0"/>
                      <a:ext cx="4979035" cy="3250565"/>
                    </a:xfrm>
                    <a:prstGeom prst="rect">
                      <a:avLst/>
                    </a:prstGeom>
                  </pic:spPr>
                </pic:pic>
              </a:graphicData>
            </a:graphic>
          </wp:inline>
        </w:drawing>
      </w:r>
    </w:p>
    <w:p>
      <w:pPr>
        <w:spacing w:line="360" w:lineRule="auto"/>
        <w:jc w:val="both"/>
        <w:rPr>
          <w:rFonts w:ascii="Book Antiqua" w:hAnsi="Book Antiqua"/>
          <w:b/>
          <w:lang w:eastAsia="zh-CN"/>
        </w:rPr>
      </w:pPr>
      <w:r>
        <w:rPr>
          <w:rFonts w:hint="eastAsia" w:ascii="Book Antiqua" w:hAnsi="Book Antiqua"/>
          <w:b/>
          <w:lang w:eastAsia="zh-CN"/>
        </w:rPr>
        <w:t>Figure 1</w:t>
      </w:r>
      <w:r>
        <w:rPr>
          <w:b/>
        </w:rPr>
        <w:t xml:space="preserve"> </w:t>
      </w:r>
      <w:r>
        <w:rPr>
          <w:rFonts w:ascii="Book Antiqua" w:hAnsi="Book Antiqua"/>
          <w:b/>
          <w:lang w:eastAsia="zh-CN"/>
        </w:rPr>
        <w:t xml:space="preserve">Location of nodules on </w:t>
      </w:r>
      <w:r>
        <w:rPr>
          <w:rFonts w:hint="eastAsia" w:ascii="Book Antiqua" w:hAnsi="Book Antiqua"/>
          <w:b/>
          <w:lang w:eastAsia="zh-CN"/>
        </w:rPr>
        <w:t>c</w:t>
      </w:r>
      <w:r>
        <w:rPr>
          <w:rFonts w:ascii="Book Antiqua" w:hAnsi="Book Antiqua"/>
          <w:b/>
          <w:lang w:eastAsia="zh-CN"/>
        </w:rPr>
        <w:t>omputed tomography images</w:t>
      </w:r>
      <w:r>
        <w:rPr>
          <w:rFonts w:hint="eastAsia" w:ascii="Book Antiqua" w:hAnsi="Book Antiqua"/>
          <w:b/>
          <w:lang w:eastAsia="zh-CN"/>
        </w:rPr>
        <w:t>.</w:t>
      </w:r>
    </w:p>
    <w:p>
      <w:pPr>
        <w:spacing w:line="360" w:lineRule="auto"/>
        <w:jc w:val="both"/>
        <w:rPr>
          <w:rFonts w:ascii="Book Antiqua" w:hAnsi="Book Antiqua"/>
          <w:b/>
          <w:lang w:eastAsia="zh-CN"/>
        </w:rPr>
      </w:pPr>
    </w:p>
    <w:p>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lang w:eastAsia="zh-CN"/>
        </w:rPr>
        <w:drawing>
          <wp:inline distT="0" distB="0" distL="114300" distR="114300">
            <wp:extent cx="4821555" cy="2657475"/>
            <wp:effectExtent l="0" t="0" r="9525" b="9525"/>
            <wp:docPr id="7" name="图片 7" descr="WJCC-10-67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722-g002"/>
                    <pic:cNvPicPr>
                      <a:picLocks noChangeAspect="1"/>
                    </pic:cNvPicPr>
                  </pic:nvPicPr>
                  <pic:blipFill>
                    <a:blip r:embed="rId6"/>
                    <a:stretch>
                      <a:fillRect/>
                    </a:stretch>
                  </pic:blipFill>
                  <pic:spPr>
                    <a:xfrm>
                      <a:off x="0" y="0"/>
                      <a:ext cx="4821555" cy="2657475"/>
                    </a:xfrm>
                    <a:prstGeom prst="rect">
                      <a:avLst/>
                    </a:prstGeom>
                  </pic:spPr>
                </pic:pic>
              </a:graphicData>
            </a:graphic>
          </wp:inline>
        </w:drawing>
      </w:r>
    </w:p>
    <w:p>
      <w:pPr>
        <w:spacing w:line="360" w:lineRule="auto"/>
        <w:jc w:val="both"/>
        <w:rPr>
          <w:rFonts w:ascii="Book Antiqua" w:hAnsi="Book Antiqua"/>
          <w:b/>
          <w:lang w:eastAsia="zh-CN"/>
        </w:rPr>
      </w:pPr>
      <w:r>
        <w:rPr>
          <w:rFonts w:hint="eastAsia" w:ascii="Book Antiqua" w:hAnsi="Book Antiqua"/>
          <w:b/>
          <w:lang w:eastAsia="zh-CN"/>
        </w:rPr>
        <w:t xml:space="preserve">Figure 2 </w:t>
      </w:r>
      <w:r>
        <w:rPr>
          <w:rFonts w:ascii="Book Antiqua" w:hAnsi="Book Antiqua"/>
          <w:b/>
          <w:lang w:eastAsia="zh-CN"/>
        </w:rPr>
        <w:t>Fludeoxyglucose uptake in nodules in Positron emission tomography</w:t>
      </w:r>
      <w:r>
        <w:rPr>
          <w:rFonts w:hint="eastAsia" w:ascii="Book Antiqua" w:hAnsi="Book Antiqua"/>
          <w:b/>
          <w:lang w:eastAsia="zh-CN"/>
        </w:rPr>
        <w:t xml:space="preserve"> </w:t>
      </w:r>
      <w:r>
        <w:rPr>
          <w:rFonts w:ascii="Book Antiqua" w:hAnsi="Book Antiqua"/>
          <w:b/>
          <w:lang w:eastAsia="zh-CN"/>
        </w:rPr>
        <w:t>-</w:t>
      </w:r>
      <w:r>
        <w:rPr>
          <w:rFonts w:hint="eastAsia" w:ascii="Book Antiqua" w:hAnsi="Book Antiqua"/>
          <w:b/>
          <w:lang w:eastAsia="zh-CN"/>
        </w:rPr>
        <w:t xml:space="preserve"> c</w:t>
      </w:r>
      <w:r>
        <w:rPr>
          <w:rFonts w:ascii="Book Antiqua" w:hAnsi="Book Antiqua"/>
          <w:b/>
          <w:lang w:eastAsia="zh-CN"/>
        </w:rPr>
        <w:t>omputed tomography</w:t>
      </w:r>
      <w:r>
        <w:rPr>
          <w:rFonts w:hint="eastAsia" w:ascii="Book Antiqua" w:hAnsi="Book Antiqua"/>
          <w:b/>
          <w:lang w:eastAsia="zh-CN"/>
        </w:rPr>
        <w:t>.</w:t>
      </w:r>
    </w:p>
    <w:p>
      <w:pPr>
        <w:spacing w:line="360" w:lineRule="auto"/>
        <w:jc w:val="both"/>
        <w:rPr>
          <w:rFonts w:ascii="Book Antiqua" w:hAnsi="Book Antiqua"/>
          <w:b/>
          <w:lang w:eastAsia="zh-CN"/>
        </w:rPr>
      </w:pPr>
    </w:p>
    <w:p>
      <w:pPr>
        <w:spacing w:line="360" w:lineRule="auto"/>
        <w:jc w:val="both"/>
        <w:rPr>
          <w:rFonts w:ascii="Book Antiqua" w:hAnsi="Book Antiqua"/>
          <w:b/>
          <w:lang w:eastAsia="zh-CN"/>
        </w:rPr>
      </w:pPr>
      <w:r>
        <w:rPr>
          <w:rFonts w:ascii="Book Antiqua" w:hAnsi="Book Antiqua"/>
          <w:b/>
          <w:lang w:eastAsia="zh-CN"/>
        </w:rPr>
        <w:br w:type="page"/>
      </w:r>
      <w:bookmarkStart w:id="1" w:name="_GoBack"/>
      <w:r>
        <w:rPr>
          <w:rFonts w:ascii="Book Antiqua" w:hAnsi="Book Antiqua"/>
          <w:b/>
          <w:lang w:eastAsia="zh-CN"/>
        </w:rPr>
        <w:drawing>
          <wp:inline distT="0" distB="0" distL="114300" distR="114300">
            <wp:extent cx="5302250" cy="2725420"/>
            <wp:effectExtent l="0" t="0" r="1270" b="2540"/>
            <wp:docPr id="8" name="图片 8" descr="WJCC-10-67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722-g003"/>
                    <pic:cNvPicPr>
                      <a:picLocks noChangeAspect="1"/>
                    </pic:cNvPicPr>
                  </pic:nvPicPr>
                  <pic:blipFill>
                    <a:blip r:embed="rId7"/>
                    <a:stretch>
                      <a:fillRect/>
                    </a:stretch>
                  </pic:blipFill>
                  <pic:spPr>
                    <a:xfrm>
                      <a:off x="0" y="0"/>
                      <a:ext cx="5302250" cy="2725420"/>
                    </a:xfrm>
                    <a:prstGeom prst="rect">
                      <a:avLst/>
                    </a:prstGeom>
                  </pic:spPr>
                </pic:pic>
              </a:graphicData>
            </a:graphic>
          </wp:inline>
        </w:drawing>
      </w:r>
      <w:bookmarkEnd w:id="1"/>
    </w:p>
    <w:p>
      <w:pPr>
        <w:spacing w:line="360" w:lineRule="auto"/>
        <w:jc w:val="both"/>
        <w:rPr>
          <w:rFonts w:ascii="Book Antiqua" w:hAnsi="Book Antiqua"/>
          <w:lang w:eastAsia="zh-CN"/>
        </w:rPr>
      </w:pPr>
      <w:r>
        <w:rPr>
          <w:rFonts w:hint="eastAsia" w:ascii="Book Antiqua" w:hAnsi="Book Antiqua"/>
          <w:b/>
          <w:lang w:eastAsia="zh-CN"/>
        </w:rPr>
        <w:t xml:space="preserve">Figure 3 </w:t>
      </w:r>
      <w:r>
        <w:rPr>
          <w:rFonts w:ascii="Book Antiqua" w:hAnsi="Book Antiqua"/>
          <w:b/>
          <w:lang w:eastAsia="zh-CN"/>
        </w:rPr>
        <w:t>Immunohistochemical analyses in Langerhans cell histiocytosis</w:t>
      </w:r>
      <w:r>
        <w:rPr>
          <w:rFonts w:hint="eastAsia" w:ascii="Book Antiqua" w:hAnsi="Book Antiqua"/>
          <w:b/>
          <w:lang w:eastAsia="zh-CN"/>
        </w:rPr>
        <w:t xml:space="preserve">. </w:t>
      </w:r>
      <w:r>
        <w:rPr>
          <w:rFonts w:ascii="Book Antiqua" w:hAnsi="Book Antiqua"/>
          <w:lang w:eastAsia="zh-CN"/>
        </w:rPr>
        <w:t>A: Characteristic Langerhans cells in a nodule with pulmonary Langerhans cell histiocytosis (hematoxylin-eosin, ×</w:t>
      </w:r>
      <w:r>
        <w:rPr>
          <w:rFonts w:hint="eastAsia" w:ascii="Book Antiqua" w:hAnsi="Book Antiqua"/>
          <w:lang w:eastAsia="zh-CN"/>
        </w:rPr>
        <w:t xml:space="preserve"> </w:t>
      </w:r>
      <w:r>
        <w:rPr>
          <w:rFonts w:ascii="Book Antiqua" w:hAnsi="Book Antiqua"/>
          <w:lang w:eastAsia="zh-CN"/>
        </w:rPr>
        <w:t>100)</w:t>
      </w:r>
      <w:r>
        <w:rPr>
          <w:rFonts w:hint="eastAsia" w:ascii="Book Antiqua" w:hAnsi="Book Antiqua"/>
          <w:lang w:eastAsia="zh-CN"/>
        </w:rPr>
        <w:t xml:space="preserve">; </w:t>
      </w:r>
      <w:r>
        <w:rPr>
          <w:rFonts w:ascii="Book Antiqua" w:hAnsi="Book Antiqua"/>
          <w:lang w:eastAsia="zh-CN"/>
        </w:rPr>
        <w:t xml:space="preserve">B: Histopathologic diagnosis of Pulmonary Langerhans cell histiocytosis from tissue blocks was supported by </w:t>
      </w:r>
      <w:r>
        <w:rPr>
          <w:rFonts w:hint="eastAsia" w:ascii="Book Antiqua" w:hAnsi="Book Antiqua"/>
          <w:lang w:eastAsia="zh-CN"/>
        </w:rPr>
        <w:t>i</w:t>
      </w:r>
      <w:r>
        <w:rPr>
          <w:rFonts w:ascii="Book Antiqua" w:hAnsi="Book Antiqua"/>
          <w:lang w:eastAsia="zh-CN"/>
        </w:rPr>
        <w:t>mmunohistochemistry staining analyses for Langerin</w:t>
      </w:r>
      <w:r>
        <w:rPr>
          <w:rFonts w:hint="eastAsia" w:ascii="Book Antiqua" w:hAnsi="Book Antiqua"/>
          <w:lang w:eastAsia="zh-CN"/>
        </w:rPr>
        <w:t>.</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13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100D"/>
    <w:rsid w:val="00075346"/>
    <w:rsid w:val="000B5406"/>
    <w:rsid w:val="000E58F2"/>
    <w:rsid w:val="000E702B"/>
    <w:rsid w:val="000F4D39"/>
    <w:rsid w:val="00172F10"/>
    <w:rsid w:val="001E4B81"/>
    <w:rsid w:val="0022273A"/>
    <w:rsid w:val="00236814"/>
    <w:rsid w:val="00241032"/>
    <w:rsid w:val="0026641E"/>
    <w:rsid w:val="002A12F8"/>
    <w:rsid w:val="002B53D4"/>
    <w:rsid w:val="00360993"/>
    <w:rsid w:val="003B315C"/>
    <w:rsid w:val="004348AA"/>
    <w:rsid w:val="004F0809"/>
    <w:rsid w:val="00501D13"/>
    <w:rsid w:val="00502A78"/>
    <w:rsid w:val="00531031"/>
    <w:rsid w:val="00551254"/>
    <w:rsid w:val="00671DE7"/>
    <w:rsid w:val="006F2EF0"/>
    <w:rsid w:val="006F51C7"/>
    <w:rsid w:val="007068ED"/>
    <w:rsid w:val="007B5E86"/>
    <w:rsid w:val="007E4B27"/>
    <w:rsid w:val="008601C3"/>
    <w:rsid w:val="0089460B"/>
    <w:rsid w:val="00895489"/>
    <w:rsid w:val="008C1272"/>
    <w:rsid w:val="008E6DD0"/>
    <w:rsid w:val="00904EA4"/>
    <w:rsid w:val="009566C8"/>
    <w:rsid w:val="009C229E"/>
    <w:rsid w:val="00A01377"/>
    <w:rsid w:val="00A153A5"/>
    <w:rsid w:val="00A22C50"/>
    <w:rsid w:val="00A347D3"/>
    <w:rsid w:val="00A4214F"/>
    <w:rsid w:val="00A51FEB"/>
    <w:rsid w:val="00A60D01"/>
    <w:rsid w:val="00A77B3E"/>
    <w:rsid w:val="00A834B0"/>
    <w:rsid w:val="00AD2A7F"/>
    <w:rsid w:val="00B61CA7"/>
    <w:rsid w:val="00BA1161"/>
    <w:rsid w:val="00BD5BB1"/>
    <w:rsid w:val="00BE6116"/>
    <w:rsid w:val="00BF5444"/>
    <w:rsid w:val="00C76271"/>
    <w:rsid w:val="00C81C09"/>
    <w:rsid w:val="00CA2A55"/>
    <w:rsid w:val="00CB5062"/>
    <w:rsid w:val="00CC5EA0"/>
    <w:rsid w:val="00CD7DA7"/>
    <w:rsid w:val="00DA2F13"/>
    <w:rsid w:val="00DD2E2B"/>
    <w:rsid w:val="00E10B51"/>
    <w:rsid w:val="00E75E3C"/>
    <w:rsid w:val="00E77D4C"/>
    <w:rsid w:val="00EC435F"/>
    <w:rsid w:val="00ED17EA"/>
    <w:rsid w:val="00EE2420"/>
    <w:rsid w:val="00F37141"/>
    <w:rsid w:val="00F74BD8"/>
    <w:rsid w:val="00F8448C"/>
    <w:rsid w:val="00F85415"/>
    <w:rsid w:val="00F90BD6"/>
    <w:rsid w:val="00FA10F3"/>
    <w:rsid w:val="39932F68"/>
    <w:rsid w:val="67332FE9"/>
    <w:rsid w:val="7C702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3"/>
    <w:uiPriority w:val="0"/>
    <w:rPr>
      <w:sz w:val="18"/>
      <w:szCs w:val="18"/>
    </w:rPr>
  </w:style>
  <w:style w:type="paragraph" w:styleId="4">
    <w:name w:val="footer"/>
    <w:basedOn w:val="1"/>
    <w:link w:val="19"/>
    <w:unhideWhenUsed/>
    <w:qFormat/>
    <w:uiPriority w:val="0"/>
    <w:pPr>
      <w:tabs>
        <w:tab w:val="center" w:pos="4153"/>
        <w:tab w:val="right" w:pos="8306"/>
      </w:tabs>
      <w:snapToGrid w:val="0"/>
    </w:pPr>
    <w:rPr>
      <w:sz w:val="18"/>
      <w:szCs w:val="18"/>
    </w:rPr>
  </w:style>
  <w:style w:type="paragraph" w:styleId="5">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2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val="tr-TR" w:eastAsia="tr-TR"/>
    </w:rPr>
  </w:style>
  <w:style w:type="paragraph" w:styleId="7">
    <w:name w:val="annotation subject"/>
    <w:basedOn w:val="2"/>
    <w:next w:val="2"/>
    <w:link w:val="15"/>
    <w:qFormat/>
    <w:uiPriority w:val="0"/>
    <w:rPr>
      <w:b/>
      <w:bCs/>
    </w:rPr>
  </w:style>
  <w:style w:type="character" w:styleId="10">
    <w:name w:val="Emphasis"/>
    <w:basedOn w:val="9"/>
    <w:qFormat/>
    <w:uiPriority w:val="20"/>
    <w:rPr>
      <w:i/>
      <w:iCs/>
    </w:rPr>
  </w:style>
  <w:style w:type="character" w:styleId="11">
    <w:name w:val="Hyperlink"/>
    <w:basedOn w:val="9"/>
    <w:semiHidden/>
    <w:unhideWhenUsed/>
    <w:qFormat/>
    <w:uiPriority w:val="99"/>
    <w:rPr>
      <w:color w:val="0000FF"/>
      <w:u w:val="single"/>
    </w:rPr>
  </w:style>
  <w:style w:type="character" w:styleId="12">
    <w:name w:val="annotation reference"/>
    <w:basedOn w:val="9"/>
    <w:qFormat/>
    <w:uiPriority w:val="0"/>
    <w:rPr>
      <w:sz w:val="21"/>
      <w:szCs w:val="21"/>
    </w:rPr>
  </w:style>
  <w:style w:type="character" w:customStyle="1" w:styleId="13">
    <w:name w:val="批注框文本 字符"/>
    <w:basedOn w:val="9"/>
    <w:link w:val="3"/>
    <w:uiPriority w:val="0"/>
    <w:rPr>
      <w:sz w:val="18"/>
      <w:szCs w:val="18"/>
    </w:rPr>
  </w:style>
  <w:style w:type="character" w:customStyle="1" w:styleId="14">
    <w:name w:val="批注文字 字符"/>
    <w:basedOn w:val="9"/>
    <w:link w:val="2"/>
    <w:uiPriority w:val="0"/>
    <w:rPr>
      <w:sz w:val="24"/>
      <w:szCs w:val="24"/>
    </w:rPr>
  </w:style>
  <w:style w:type="character" w:customStyle="1" w:styleId="15">
    <w:name w:val="批注主题 字符"/>
    <w:basedOn w:val="14"/>
    <w:link w:val="7"/>
    <w:uiPriority w:val="0"/>
    <w:rPr>
      <w:b/>
      <w:bCs/>
      <w:sz w:val="24"/>
      <w:szCs w:val="24"/>
    </w:rPr>
  </w:style>
  <w:style w:type="paragraph" w:customStyle="1" w:styleId="16">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7">
    <w:name w:val="q4iawc"/>
    <w:basedOn w:val="9"/>
    <w:qFormat/>
    <w:uiPriority w:val="0"/>
  </w:style>
  <w:style w:type="character" w:customStyle="1" w:styleId="18">
    <w:name w:val="页眉 字符"/>
    <w:basedOn w:val="9"/>
    <w:link w:val="5"/>
    <w:qFormat/>
    <w:uiPriority w:val="0"/>
    <w:rPr>
      <w:sz w:val="18"/>
      <w:szCs w:val="18"/>
    </w:rPr>
  </w:style>
  <w:style w:type="character" w:customStyle="1" w:styleId="19">
    <w:name w:val="页脚 字符"/>
    <w:basedOn w:val="9"/>
    <w:link w:val="4"/>
    <w:qFormat/>
    <w:uiPriority w:val="0"/>
    <w:rPr>
      <w:sz w:val="18"/>
      <w:szCs w:val="18"/>
    </w:rPr>
  </w:style>
  <w:style w:type="character" w:customStyle="1" w:styleId="20">
    <w:name w:val="apple-converted-space"/>
    <w:basedOn w:val="9"/>
    <w:qFormat/>
    <w:uiPriority w:val="0"/>
  </w:style>
  <w:style w:type="character" w:customStyle="1" w:styleId="21">
    <w:name w:val="HTML 预设格式 字符"/>
    <w:basedOn w:val="9"/>
    <w:link w:val="6"/>
    <w:qFormat/>
    <w:uiPriority w:val="99"/>
    <w:rPr>
      <w:rFonts w:ascii="Courier New" w:hAnsi="Courier New" w:eastAsia="Times New Roman" w:cs="Courier New"/>
      <w:lang w:val="tr-TR" w:eastAsia="tr-TR"/>
    </w:rPr>
  </w:style>
  <w:style w:type="character" w:customStyle="1" w:styleId="22">
    <w:name w:val="y2iqfc"/>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2814</Words>
  <Characters>16338</Characters>
  <Lines>132</Lines>
  <Paragraphs>37</Paragraphs>
  <TotalTime>0</TotalTime>
  <ScaleCrop>false</ScaleCrop>
  <LinksUpToDate>false</LinksUpToDate>
  <CharactersWithSpaces>19052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2022-04-24T06:26:00Z</dcterms:created>
  <dc:creator>Lian-Sheng Ma</dc:creator>
  <cp:lastModifiedBy>晓晨</cp:lastModifiedBy>
  <dcterms:modified xsi:type="dcterms:W3CDTF">2022-06-24T02:09:48Z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1CF96C0BAA08477FA81EDFD6A8573767</vt:lpwstr>
  </property>
</Properties>
</file>