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75690</w:t>
      </w:r>
    </w:p>
    <w:p>
      <w:pPr>
        <w:spacing w:line="360" w:lineRule="auto"/>
        <w:jc w:val="both"/>
      </w:pPr>
      <w:r>
        <w:rPr>
          <w:rFonts w:ascii="Book Antiqua" w:hAnsi="Book Antiqua" w:eastAsia="Book Antiqua" w:cs="Book Antiqua"/>
          <w:b/>
          <w:color w:val="000000"/>
        </w:rPr>
        <w:t xml:space="preserve">Manuscript Type: </w:t>
      </w:r>
      <w:bookmarkStart w:id="0" w:name="OLE_LINK28"/>
      <w:bookmarkStart w:id="1" w:name="OLE_LINK27"/>
      <w:r>
        <w:rPr>
          <w:rFonts w:ascii="Book Antiqua" w:hAnsi="Book Antiqua" w:eastAsia="Book Antiqua" w:cs="Book Antiqua"/>
          <w:color w:val="000000"/>
        </w:rPr>
        <w:t>CASE REPORT</w:t>
      </w:r>
      <w:bookmarkEnd w:id="0"/>
      <w:bookmarkEnd w:id="1"/>
    </w:p>
    <w:p>
      <w:pPr>
        <w:spacing w:line="360" w:lineRule="auto"/>
        <w:jc w:val="both"/>
      </w:pPr>
    </w:p>
    <w:p>
      <w:pPr>
        <w:spacing w:line="360" w:lineRule="auto"/>
        <w:jc w:val="both"/>
      </w:pPr>
      <w:bookmarkStart w:id="2" w:name="OLE_LINK21"/>
      <w:bookmarkStart w:id="3" w:name="OLE_LINK31"/>
      <w:bookmarkStart w:id="4" w:name="OLE_LINK20"/>
      <w:r>
        <w:rPr>
          <w:rFonts w:hint="eastAsia" w:ascii="Book Antiqua" w:hAnsi="Book Antiqua" w:cs="Book Antiqua"/>
          <w:b/>
          <w:color w:val="000000"/>
          <w:lang w:eastAsia="zh-CN"/>
        </w:rPr>
        <w:t>R</w:t>
      </w:r>
      <w:r>
        <w:rPr>
          <w:rFonts w:ascii="Book Antiqua" w:hAnsi="Book Antiqua" w:eastAsia="Book Antiqua" w:cs="Book Antiqua"/>
          <w:b/>
          <w:color w:val="000000"/>
        </w:rPr>
        <w:t>are case of compartment syndrome provoked by inhalation of polyurethane agent: A case report</w:t>
      </w:r>
    </w:p>
    <w:bookmarkEnd w:id="2"/>
    <w:bookmarkEnd w:id="3"/>
    <w:bookmarkEnd w:id="4"/>
    <w:p>
      <w:pPr>
        <w:spacing w:line="360" w:lineRule="auto"/>
        <w:jc w:val="both"/>
      </w:pPr>
    </w:p>
    <w:p>
      <w:pPr>
        <w:spacing w:line="360" w:lineRule="auto"/>
        <w:jc w:val="both"/>
      </w:pPr>
      <w:r>
        <w:rPr>
          <w:rFonts w:ascii="Book Antiqua" w:hAnsi="Book Antiqua" w:eastAsia="Book Antiqua" w:cs="Book Antiqua"/>
          <w:color w:val="000000"/>
        </w:rPr>
        <w:t>Choi</w:t>
      </w:r>
      <w:r>
        <w:rPr>
          <w:rFonts w:hint="eastAsia" w:ascii="Book Antiqua" w:hAnsi="Book Antiqua" w:cs="Book Antiqua"/>
          <w:color w:val="000000"/>
          <w:lang w:eastAsia="zh-CN"/>
        </w:rPr>
        <w:t xml:space="preserve"> JH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bookmarkStart w:id="5" w:name="OLE_LINK9"/>
      <w:bookmarkStart w:id="6" w:name="OLE_LINK32"/>
      <w:bookmarkStart w:id="7" w:name="OLE_LINK8"/>
      <w:r>
        <w:rPr>
          <w:rFonts w:hint="eastAsia" w:ascii="Book Antiqua" w:hAnsi="Book Antiqua" w:cs="Book Antiqua"/>
          <w:color w:val="000000"/>
          <w:lang w:eastAsia="zh-CN"/>
        </w:rPr>
        <w:t>R</w:t>
      </w:r>
      <w:r>
        <w:rPr>
          <w:rFonts w:ascii="Book Antiqua" w:hAnsi="Book Antiqua" w:eastAsia="Book Antiqua" w:cs="Book Antiqua"/>
          <w:color w:val="000000"/>
        </w:rPr>
        <w:t>are case of compartment syndrome</w:t>
      </w:r>
      <w:bookmarkEnd w:id="5"/>
      <w:bookmarkEnd w:id="6"/>
      <w:bookmarkEnd w:id="7"/>
    </w:p>
    <w:p>
      <w:pPr>
        <w:spacing w:line="360" w:lineRule="auto"/>
        <w:jc w:val="both"/>
      </w:pPr>
    </w:p>
    <w:p>
      <w:pPr>
        <w:spacing w:line="360" w:lineRule="auto"/>
        <w:jc w:val="both"/>
      </w:pPr>
      <w:r>
        <w:rPr>
          <w:rFonts w:ascii="Book Antiqua" w:hAnsi="Book Antiqua" w:eastAsia="Book Antiqua" w:cs="Book Antiqua"/>
          <w:color w:val="000000"/>
        </w:rPr>
        <w:t xml:space="preserve">Jun Ho </w:t>
      </w:r>
      <w:bookmarkStart w:id="8" w:name="OLE_LINK1"/>
      <w:bookmarkStart w:id="9" w:name="OLE_LINK2"/>
      <w:r>
        <w:rPr>
          <w:rFonts w:ascii="Book Antiqua" w:hAnsi="Book Antiqua" w:eastAsia="Book Antiqua" w:cs="Book Antiqua"/>
          <w:color w:val="000000"/>
        </w:rPr>
        <w:t>Choi</w:t>
      </w:r>
      <w:bookmarkEnd w:id="8"/>
      <w:bookmarkEnd w:id="9"/>
      <w:r>
        <w:rPr>
          <w:rFonts w:ascii="Book Antiqua" w:hAnsi="Book Antiqua" w:eastAsia="Book Antiqua" w:cs="Book Antiqua"/>
          <w:color w:val="000000"/>
        </w:rPr>
        <w:t>, Hyun Myung Oh, Jae Ha Hwang, Kwang Seog Kim, Sam Yong Lee</w:t>
      </w:r>
    </w:p>
    <w:p>
      <w:pPr>
        <w:spacing w:line="360" w:lineRule="auto"/>
        <w:jc w:val="both"/>
      </w:pPr>
    </w:p>
    <w:p>
      <w:pPr>
        <w:spacing w:line="360" w:lineRule="auto"/>
        <w:jc w:val="both"/>
      </w:pPr>
      <w:r>
        <w:rPr>
          <w:rFonts w:ascii="Book Antiqua" w:hAnsi="Book Antiqua" w:eastAsia="Book Antiqua" w:cs="Book Antiqua"/>
          <w:b/>
          <w:bCs/>
          <w:color w:val="000000"/>
        </w:rPr>
        <w:t xml:space="preserve">Jun Ho Choi, Hyun Myung Oh </w:t>
      </w:r>
      <w:bookmarkStart w:id="10" w:name="OLE_LINK30"/>
      <w:bookmarkStart w:id="11" w:name="OLE_LINK29"/>
      <w:bookmarkStart w:id="12" w:name="OLE_LINK5"/>
      <w:bookmarkStart w:id="13" w:name="OLE_LINK6"/>
      <w:r>
        <w:rPr>
          <w:rFonts w:ascii="Book Antiqua" w:hAnsi="Book Antiqua" w:eastAsia="Book Antiqua" w:cs="Book Antiqua"/>
          <w:color w:val="000000"/>
        </w:rPr>
        <w:t xml:space="preserve">Department of Plastic and </w:t>
      </w:r>
      <w:r>
        <w:rPr>
          <w:rFonts w:hint="eastAsia" w:ascii="Book Antiqua" w:hAnsi="Book Antiqua" w:cs="Book Antiqua"/>
          <w:color w:val="000000"/>
          <w:lang w:eastAsia="zh-CN"/>
        </w:rPr>
        <w:t>R</w:t>
      </w:r>
      <w:r>
        <w:rPr>
          <w:rFonts w:ascii="Book Antiqua" w:hAnsi="Book Antiqua" w:eastAsia="Book Antiqua" w:cs="Book Antiqua"/>
          <w:color w:val="000000"/>
        </w:rPr>
        <w:t xml:space="preserve">econstructive </w:t>
      </w:r>
      <w:r>
        <w:rPr>
          <w:rFonts w:hint="eastAsia" w:ascii="Book Antiqua" w:hAnsi="Book Antiqua" w:cs="Book Antiqua"/>
          <w:color w:val="000000"/>
          <w:lang w:eastAsia="zh-CN"/>
        </w:rPr>
        <w:t>S</w:t>
      </w:r>
      <w:r>
        <w:rPr>
          <w:rFonts w:ascii="Book Antiqua" w:hAnsi="Book Antiqua" w:eastAsia="Book Antiqua" w:cs="Book Antiqua"/>
          <w:color w:val="000000"/>
        </w:rPr>
        <w:t>urgery</w:t>
      </w:r>
      <w:bookmarkEnd w:id="10"/>
      <w:bookmarkEnd w:id="11"/>
      <w:r>
        <w:rPr>
          <w:rFonts w:ascii="Book Antiqua" w:hAnsi="Book Antiqua" w:eastAsia="Book Antiqua" w:cs="Book Antiqua"/>
          <w:color w:val="000000"/>
        </w:rPr>
        <w:t>,</w:t>
      </w:r>
      <w:bookmarkEnd w:id="12"/>
      <w:bookmarkEnd w:id="13"/>
      <w:r>
        <w:rPr>
          <w:rFonts w:ascii="Book Antiqua" w:hAnsi="Book Antiqua" w:eastAsia="Book Antiqua" w:cs="Book Antiqua"/>
          <w:color w:val="000000"/>
        </w:rPr>
        <w:t xml:space="preserve"> </w:t>
      </w:r>
      <w:bookmarkStart w:id="14" w:name="OLE_LINK7"/>
      <w:r>
        <w:rPr>
          <w:rFonts w:ascii="Book Antiqua" w:hAnsi="Book Antiqua" w:eastAsia="Book Antiqua" w:cs="Book Antiqua"/>
          <w:color w:val="000000"/>
        </w:rPr>
        <w:t>Chonnam National University Hospital</w:t>
      </w:r>
      <w:bookmarkEnd w:id="14"/>
      <w:r>
        <w:rPr>
          <w:rFonts w:ascii="Book Antiqua" w:hAnsi="Book Antiqua" w:eastAsia="Book Antiqua" w:cs="Book Antiqua"/>
          <w:color w:val="000000"/>
        </w:rPr>
        <w:t xml:space="preserve">, Gwangju 61469, </w:t>
      </w:r>
      <w:bookmarkStart w:id="15" w:name="OLE_LINK10"/>
      <w:bookmarkStart w:id="16" w:name="OLE_LINK22"/>
      <w:r>
        <w:rPr>
          <w:rFonts w:ascii="Book Antiqua" w:hAnsi="Book Antiqua" w:eastAsia="Book Antiqua" w:cs="Book Antiqua"/>
          <w:color w:val="000000"/>
        </w:rPr>
        <w:t>South Korea</w:t>
      </w:r>
      <w:bookmarkEnd w:id="15"/>
      <w:bookmarkEnd w:id="16"/>
    </w:p>
    <w:p>
      <w:pPr>
        <w:spacing w:line="360" w:lineRule="auto"/>
        <w:jc w:val="both"/>
      </w:pPr>
    </w:p>
    <w:p>
      <w:pPr>
        <w:spacing w:line="360" w:lineRule="auto"/>
        <w:jc w:val="both"/>
      </w:pPr>
      <w:r>
        <w:rPr>
          <w:rFonts w:ascii="Book Antiqua" w:hAnsi="Book Antiqua" w:eastAsia="Book Antiqua" w:cs="Book Antiqua"/>
          <w:b/>
          <w:bCs/>
          <w:color w:val="000000"/>
        </w:rPr>
        <w:t xml:space="preserve">Jae Ha Hwang, Kwang Seog Kim, Sam Yong Lee, </w:t>
      </w:r>
      <w:bookmarkStart w:id="17" w:name="OLE_LINK4"/>
      <w:bookmarkStart w:id="18" w:name="OLE_LINK3"/>
      <w:r>
        <w:rPr>
          <w:rFonts w:ascii="Book Antiqua" w:hAnsi="Book Antiqua" w:eastAsia="Book Antiqua" w:cs="Book Antiqua"/>
          <w:color w:val="000000"/>
        </w:rPr>
        <w:t xml:space="preserve">Department of </w:t>
      </w:r>
      <w:bookmarkEnd w:id="17"/>
      <w:bookmarkEnd w:id="18"/>
      <w:r>
        <w:rPr>
          <w:rFonts w:ascii="Book Antiqua" w:hAnsi="Book Antiqua" w:eastAsia="Book Antiqua" w:cs="Book Antiqua"/>
          <w:color w:val="000000"/>
        </w:rPr>
        <w:t>Plastic and Reconstructive Surgery, Chonnam National University Medical School, Gwang</w:t>
      </w:r>
      <w:r>
        <w:rPr>
          <w:rFonts w:hint="eastAsia" w:ascii="Book Antiqua" w:hAnsi="Book Antiqua" w:cs="Book Antiqua"/>
          <w:color w:val="000000"/>
          <w:lang w:eastAsia="zh-CN"/>
        </w:rPr>
        <w:t>j</w:t>
      </w:r>
      <w:r>
        <w:rPr>
          <w:rFonts w:ascii="Book Antiqua" w:hAnsi="Book Antiqua" w:eastAsia="Book Antiqua" w:cs="Book Antiqua"/>
          <w:color w:val="000000"/>
        </w:rPr>
        <w:t>u 61469, South Korea</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Author contributions: </w:t>
      </w:r>
      <w:bookmarkStart w:id="19" w:name="OLE_LINK34"/>
      <w:bookmarkStart w:id="20" w:name="OLE_LINK33"/>
      <w:bookmarkStart w:id="21" w:name="OLE_LINK35"/>
      <w:r>
        <w:rPr>
          <w:rFonts w:ascii="Book Antiqua" w:hAnsi="Book Antiqua" w:eastAsia="Book Antiqua" w:cs="Book Antiqua"/>
          <w:color w:val="000000"/>
        </w:rPr>
        <w:t>Choi JH and Oh HM contributed to manuscript writi</w:t>
      </w:r>
      <w:r>
        <w:rPr>
          <w:rFonts w:hint="eastAsia" w:ascii="Book Antiqua" w:hAnsi="Book Antiqua" w:cs="Book Antiqua"/>
          <w:color w:val="000000"/>
          <w:lang w:eastAsia="zh-CN"/>
        </w:rPr>
        <w:t>ng</w:t>
      </w:r>
      <w:r>
        <w:rPr>
          <w:rFonts w:ascii="Book Antiqua" w:hAnsi="Book Antiqua" w:eastAsia="Book Antiqua" w:cs="Book Antiqua"/>
          <w:color w:val="000000"/>
        </w:rPr>
        <w:t xml:space="preserve"> and data collection; Hwang JH and Kim KS contributed to editing and conceptualization; Lee SY contributed to supervision; all authors have read and approved the final manuscript</w:t>
      </w:r>
      <w:bookmarkEnd w:id="19"/>
      <w:bookmarkEnd w:id="20"/>
      <w:bookmarkEnd w:id="21"/>
      <w:r>
        <w:rPr>
          <w:rFonts w:hint="eastAsia" w:ascii="Book Antiqua" w:hAnsi="Book Antiqua" w:cs="Book Antiqua"/>
          <w:color w:val="000000"/>
          <w:lang w:eastAsia="zh-CN"/>
        </w:rPr>
        <w:t>.</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Corresponding author: Jae Ha Hwang, MD, PhD, Professor, Surgeon, </w:t>
      </w:r>
      <w:r>
        <w:rPr>
          <w:rFonts w:ascii="Book Antiqua" w:hAnsi="Book Antiqua" w:eastAsia="Book Antiqua" w:cs="Book Antiqua"/>
          <w:color w:val="000000"/>
        </w:rPr>
        <w:t xml:space="preserve">Department of Plastic and </w:t>
      </w:r>
      <w:r>
        <w:rPr>
          <w:rFonts w:ascii="Book Antiqua" w:hAnsi="Book Antiqua" w:cs="Book Antiqua"/>
          <w:color w:val="000000"/>
          <w:lang w:eastAsia="zh-CN"/>
        </w:rPr>
        <w:t>R</w:t>
      </w:r>
      <w:r>
        <w:rPr>
          <w:rFonts w:ascii="Book Antiqua" w:hAnsi="Book Antiqua" w:eastAsia="Book Antiqua" w:cs="Book Antiqua"/>
          <w:color w:val="000000"/>
        </w:rPr>
        <w:t xml:space="preserve">econstructive </w:t>
      </w:r>
      <w:r>
        <w:rPr>
          <w:rFonts w:ascii="Book Antiqua" w:hAnsi="Book Antiqua" w:cs="Book Antiqua"/>
          <w:color w:val="000000"/>
          <w:lang w:eastAsia="zh-CN"/>
        </w:rPr>
        <w:t>S</w:t>
      </w:r>
      <w:r>
        <w:rPr>
          <w:rFonts w:ascii="Book Antiqua" w:hAnsi="Book Antiqua" w:eastAsia="Book Antiqua" w:cs="Book Antiqua"/>
          <w:color w:val="000000"/>
        </w:rPr>
        <w:t>urgery, Chonnam National University Hospital, 42 Jebong-ro, Dong-gu, Gwangju 61469, South Korea. psjhhwang@daum.net</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10,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18,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6, 2022</w:t>
      </w:r>
    </w:p>
    <w:p>
      <w:pPr>
        <w:spacing w:line="360" w:lineRule="auto"/>
        <w:jc w:val="both"/>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rPr>
        <w:t>August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bookmarkStart w:id="22" w:name="OLE_LINK40"/>
      <w:bookmarkStart w:id="23" w:name="OLE_LINK39"/>
      <w:r>
        <w:rPr>
          <w:rFonts w:ascii="Book Antiqua" w:hAnsi="Book Antiqua" w:eastAsia="Book Antiqua" w:cs="Book Antiqua"/>
          <w:color w:val="000000"/>
        </w:rPr>
        <w:t xml:space="preserve">The most common causes of compartment syndrome in the lower extremities include lower limb fractures, trauma-induced crushing injuries, severe burns, and non-traumatic factors. However, there have been no reports of compartment syndrome secondary to toxic inhalation. </w:t>
      </w:r>
    </w:p>
    <w:bookmarkEnd w:id="22"/>
    <w:bookmarkEnd w:id="23"/>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bookmarkStart w:id="24" w:name="OLE_LINK41"/>
      <w:bookmarkStart w:id="25" w:name="OLE_LINK42"/>
      <w:r>
        <w:rPr>
          <w:rFonts w:ascii="Book Antiqua" w:hAnsi="Book Antiqua" w:eastAsia="Book Antiqua" w:cs="Book Antiqua"/>
          <w:color w:val="000000"/>
        </w:rPr>
        <w:t>A</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59-year-old man, who lost consciousness after applying polyurethane-based paint on a water tank, was brought to the emergency room. The initial blood test showed apparent rhabdomyolysis. One day later, pain and swelling in both legs were observed, and the physical examination confirmed the presence of compartment syndrome. Double-incision fasciotomy was performed on both legs. Frequent dressings and negative pressure wound treatment were done on both legs, and skin grafting was performed after healthy granulation tissue had been identified. No other complications were observed after treatment. However, symptoms of peroneal neuropathy, particularly limited ankle dorsiflexion and reduced sensation on the lower extremities, were observed. </w:t>
      </w:r>
      <w:bookmarkEnd w:id="24"/>
      <w:bookmarkEnd w:id="25"/>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rPr>
          <w:lang w:eastAsia="zh-CN"/>
        </w:rPr>
      </w:pPr>
      <w:bookmarkStart w:id="26" w:name="OLE_LINK43"/>
      <w:bookmarkStart w:id="27" w:name="OLE_LINK44"/>
      <w:r>
        <w:rPr>
          <w:rFonts w:ascii="Book Antiqua" w:hAnsi="Book Antiqua" w:eastAsia="Book Antiqua" w:cs="Book Antiqua"/>
          <w:color w:val="000000"/>
        </w:rPr>
        <w:t>Workers using polyurethane agents should wear gas masks and be evaluated for compartment syndrome and rhabdomyolysis secondary to toxic inhalation.</w:t>
      </w:r>
    </w:p>
    <w:bookmarkEnd w:id="26"/>
    <w:bookmarkEnd w:id="27"/>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bookmarkStart w:id="28" w:name="OLE_LINK24"/>
      <w:bookmarkStart w:id="29" w:name="OLE_LINK36"/>
      <w:bookmarkStart w:id="30" w:name="OLE_LINK23"/>
      <w:r>
        <w:rPr>
          <w:rFonts w:ascii="Book Antiqua" w:hAnsi="Book Antiqua" w:eastAsia="Book Antiqua" w:cs="Book Antiqua"/>
          <w:color w:val="000000"/>
        </w:rPr>
        <w:t>Compartment syndrome; Polyurethanes; Rhabdomyolysis; Hypoxia; Peroneal neuropathies</w:t>
      </w:r>
      <w:r>
        <w:rPr>
          <w:rFonts w:hint="eastAsia" w:ascii="Book Antiqua" w:hAnsi="Book Antiqua" w:cs="Book Antiqua"/>
          <w:color w:val="000000"/>
          <w:lang w:eastAsia="zh-CN"/>
        </w:rPr>
        <w:t xml:space="preserve">; </w:t>
      </w:r>
      <w:r>
        <w:rPr>
          <w:rFonts w:ascii="Book Antiqua" w:hAnsi="Book Antiqua" w:eastAsia="Book Antiqua" w:cs="Book Antiqua"/>
          <w:color w:val="000000"/>
        </w:rPr>
        <w:t>Case report</w:t>
      </w:r>
      <w:bookmarkEnd w:id="28"/>
      <w:bookmarkEnd w:id="29"/>
      <w:bookmarkEnd w:id="30"/>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bookmarkStart w:id="31" w:name="OLE_LINK25"/>
      <w:bookmarkStart w:id="32" w:name="OLE_LINK26"/>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Choi JH, Oh HM, Hwang JH, Kim KS, Lee SY. </w:t>
      </w:r>
      <w:r>
        <w:rPr>
          <w:rFonts w:hint="eastAsia" w:ascii="Book Antiqua" w:hAnsi="Book Antiqua" w:cs="Book Antiqua"/>
          <w:color w:val="000000"/>
          <w:lang w:eastAsia="zh-CN"/>
        </w:rPr>
        <w:t>R</w:t>
      </w:r>
      <w:r>
        <w:rPr>
          <w:rFonts w:ascii="Book Antiqua" w:hAnsi="Book Antiqua" w:eastAsia="Book Antiqua" w:cs="Book Antiqua"/>
          <w:color w:val="000000"/>
        </w:rPr>
        <w:t xml:space="preserve">are case of compartment syndrome provoked by inhalation of polyurethane agent: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8003-8008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8003</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8003</w:t>
      </w:r>
    </w:p>
    <w:p>
      <w:pPr>
        <w:spacing w:line="360" w:lineRule="auto"/>
        <w:jc w:val="both"/>
      </w:pPr>
    </w:p>
    <w:bookmarkEnd w:id="31"/>
    <w:bookmarkEnd w:id="32"/>
    <w:p>
      <w:pPr>
        <w:spacing w:line="360" w:lineRule="auto"/>
        <w:jc w:val="both"/>
      </w:pPr>
    </w:p>
    <w:p>
      <w:pPr>
        <w:spacing w:line="360" w:lineRule="auto"/>
        <w:jc w:val="both"/>
      </w:pPr>
      <w:r>
        <w:rPr>
          <w:rFonts w:ascii="Book Antiqua" w:hAnsi="Book Antiqua" w:eastAsia="Book Antiqua" w:cs="Book Antiqua"/>
          <w:b/>
          <w:bCs/>
          <w:color w:val="000000"/>
          <w:szCs w:val="20"/>
        </w:rPr>
        <w:t xml:space="preserve">Core Tip: </w:t>
      </w:r>
      <w:bookmarkStart w:id="33" w:name="OLE_LINK38"/>
      <w:bookmarkStart w:id="34" w:name="OLE_LINK37"/>
      <w:r>
        <w:rPr>
          <w:rFonts w:ascii="Book Antiqua" w:hAnsi="Book Antiqua" w:eastAsia="Book Antiqua" w:cs="Book Antiqua"/>
          <w:color w:val="000000"/>
        </w:rPr>
        <w:t>Compartment syndrome secondary to non-traumatic etiology is often diagnostically challenging based solely on history taking and may be misdiagnosed in the absence of comprehensive physical evaluation. Moreover, to date, no study has reported compartment syndrome caused by inhalation toxicity. We report a rare case of compartment syndrome secondary to polyurethane inhalation.</w:t>
      </w:r>
      <w:bookmarkEnd w:id="33"/>
      <w:bookmarkEnd w:id="34"/>
    </w:p>
    <w:p>
      <w:pPr>
        <w:spacing w:line="360" w:lineRule="auto"/>
        <w:jc w:val="both"/>
      </w:pP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bookmarkStart w:id="35" w:name="OLE_LINK45"/>
      <w:bookmarkStart w:id="36" w:name="OLE_LINK46"/>
      <w:r>
        <w:rPr>
          <w:rFonts w:ascii="Book Antiqua" w:hAnsi="Book Antiqua" w:eastAsia="Book Antiqua" w:cs="Book Antiqua"/>
          <w:bCs/>
          <w:color w:val="000000"/>
        </w:rPr>
        <w:t>Acco</w:t>
      </w:r>
      <w:r>
        <w:rPr>
          <w:rFonts w:ascii="Book Antiqua" w:hAnsi="Book Antiqua" w:eastAsia="Book Antiqua" w:cs="Book Antiqua"/>
          <w:color w:val="000000"/>
        </w:rPr>
        <w:t>rding to Matsen, compartment syndrome occurs when increased pressure within a limited space compromises the circulation and function of tissues within that space</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It is a medical emergency, that necessitates immediate intervention, to avoid complications, such as muscle ischemia, neuropathy, and necrosis, which may result in limb amputation</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Compartment syndrome is a common complication of lower extremity fractures, trauma-induced crush injuries, severe burns, and some non-traumatic conditions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Compartment syndrome secondary to a non-traumatic etiology is difficult to diagnose based on history taking only, and it may be misdiagnosed, based on an incomplete physical evaluation. Moreover, there have been no studies documenting the development of compartment syndrome secondary to inhalation toxicity. This study reports a rare case of compartment syndrome secondary to polyurethane inhalation.</w:t>
      </w:r>
    </w:p>
    <w:bookmarkEnd w:id="35"/>
    <w:bookmarkEnd w:id="36"/>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59-year-old man, who lost consciousness after applying polyutherane-based paint to a water tank, was brought to the emergency department.</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 xml:space="preserve">The patient was found lying prone in the tank one hour after he had entered. He did not wear a mask to protect against the inhalation of harmful chemicals while painting the water tank (a closed space of 32000 L). </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denied a history of diseases that could have triggered such a medical condition such as intense physical activities.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no previous disease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There were no noted signs of trauma in the lower extremities and other regions of the body.</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The initial blood test results suggested rhabdomyolysis with an increased serum creatine kinase of 15250 IU/L and myoglobin greater than 20000 IU/L. The blood urea nitrogen and creatinine values remained within the normal range, but the alanine transaminase and aspartate transaminase reached up to 917 and 3765 IU/L, respectively. The electrocardiogram showed sinus tachycardia with nonspecific T wave abnormalities, which indicated an electrolyte imbalance without significant cardiac injuries.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No imaging studies were performed.</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 xml:space="preserve">One day after admission, the patient developed pain and edema of the lower extremities, and the physical examination confirmed the presence of compartment syndrome. It is characterized by pain, pallor, paresthesia, pulselessness, and paralysis, which are typically referred to as the 5Ps of compartment syndrome (Figure 1). The intracompartmental pressure in the lower extremities ranged from 100 to 130 mmHg in all fascial compartments. </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bookmarkStart w:id="37" w:name="OLE_LINK47"/>
      <w:bookmarkStart w:id="38" w:name="OLE_LINK48"/>
      <w:r>
        <w:rPr>
          <w:rFonts w:ascii="Book Antiqua" w:hAnsi="Book Antiqua" w:eastAsia="Book Antiqua" w:cs="Book Antiqua"/>
          <w:color w:val="000000"/>
        </w:rPr>
        <w:t xml:space="preserve">The patient was admitted to the intensive care unit (ICU), and extensive hydration and hyperbaric oxygen therapy were initiated to manage the acute drug intoxication syndrome, accompanied by rhabdomyolysis. No glucocorticoid or dehydration diuretics were administered during the patient’s course in ICU. </w:t>
      </w:r>
    </w:p>
    <w:p>
      <w:pPr>
        <w:spacing w:line="360" w:lineRule="auto"/>
        <w:ind w:firstLine="240" w:firstLineChars="100"/>
        <w:jc w:val="both"/>
      </w:pPr>
      <w:r>
        <w:rPr>
          <w:rFonts w:ascii="Book Antiqua" w:hAnsi="Book Antiqua" w:eastAsia="Book Antiqua" w:cs="Book Antiqua"/>
          <w:color w:val="000000"/>
        </w:rPr>
        <w:t xml:space="preserve">Bilateral lower extremity fasciotomy was performed on the lateral and medial aspects of the extremities to relieve the pressure in the anterior, lateral, superficial posterior, and deep posterior compartments (Figure 2). The pain, pallor, and paresthesia improved in both lower extremities postoperatively. Frequent dressing changes using betadine-soaked gauze and weekly serial debridement were performed for wound management. </w:t>
      </w:r>
    </w:p>
    <w:p>
      <w:pPr>
        <w:spacing w:line="360" w:lineRule="auto"/>
        <w:ind w:firstLine="240" w:firstLineChars="100"/>
        <w:jc w:val="both"/>
        <w:rPr>
          <w:lang w:eastAsia="zh-CN"/>
        </w:rPr>
      </w:pPr>
      <w:r>
        <w:rPr>
          <w:rFonts w:ascii="Book Antiqua" w:hAnsi="Book Antiqua" w:eastAsia="Book Antiqua" w:cs="Book Antiqua"/>
          <w:color w:val="000000"/>
        </w:rPr>
        <w:t>One month later, the dressing method was shifted to negative-pressure wound therapy. Growth of healthy granulation tissue within the wound was observed three months later, and meshed split-thickness skin grafting was performed</w:t>
      </w:r>
      <w:r>
        <w:rPr>
          <w:rFonts w:hint="eastAsia" w:ascii="Book Antiqua" w:hAnsi="Book Antiqua" w:cs="Book Antiqua"/>
          <w:color w:val="000000"/>
          <w:lang w:eastAsia="zh-CN"/>
        </w:rPr>
        <w:t xml:space="preserve"> (Figure 3)</w:t>
      </w:r>
      <w:r>
        <w:rPr>
          <w:rFonts w:ascii="Book Antiqua" w:hAnsi="Book Antiqua" w:eastAsia="Book Antiqua" w:cs="Book Antiqua"/>
          <w:color w:val="000000"/>
        </w:rPr>
        <w:t>.</w:t>
      </w:r>
    </w:p>
    <w:bookmarkEnd w:id="37"/>
    <w:bookmarkEnd w:id="38"/>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The patient showed no other signs of compartment syndrome. However, he developed symptoms of peroneal neuropathy, particularly limited ankle dorsiflexion and sensory loss in areas of the lower extremities innervated by the peroneal nerve. Nerve conduction studies were performed to evaluate the motor and sensory functions of the left and right lower extremities (Table 1). The patient’s symptoms gradually improved, but complete recovery of the nerve functions has not been achieved. Therefore, further physical treatment is required.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bookmarkStart w:id="39" w:name="OLE_LINK50"/>
      <w:bookmarkStart w:id="40" w:name="OLE_LINK49"/>
      <w:r>
        <w:rPr>
          <w:rFonts w:ascii="Book Antiqua" w:hAnsi="Book Antiqua" w:eastAsia="Book Antiqua" w:cs="Book Antiqua"/>
          <w:color w:val="000000"/>
        </w:rPr>
        <w:t>Polyurethane polymers are highly stable materials that are primarily used in fabrics and paints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Due to its high risk of respiratory toxicity, routine room ventilation or working outside is advised when using polyurethane polymers</w:t>
      </w:r>
      <w:r>
        <w:rPr>
          <w:rFonts w:ascii="Book Antiqua" w:hAnsi="Book Antiqua" w:eastAsia="Book Antiqua" w:cs="Book Antiqua"/>
          <w:color w:val="000000"/>
          <w:szCs w:val="30"/>
          <w:vertAlign w:val="superscript"/>
        </w:rPr>
        <w:t>[5]</w:t>
      </w:r>
      <w:r>
        <w:rPr>
          <w:rFonts w:ascii="Book Antiqua" w:hAnsi="Book Antiqua" w:eastAsia="Book Antiqua" w:cs="Book Antiqua"/>
          <w:color w:val="000000"/>
        </w:rPr>
        <w:t xml:space="preserve">. Polyurethane inhalation within a closed space without a protective mask possibly resulted in the loss of consciousness and rhabdomyolysis in this patient. </w:t>
      </w:r>
    </w:p>
    <w:p>
      <w:pPr>
        <w:spacing w:line="360" w:lineRule="auto"/>
        <w:ind w:firstLine="240" w:firstLineChars="100"/>
        <w:jc w:val="both"/>
      </w:pPr>
      <w:r>
        <w:rPr>
          <w:rFonts w:ascii="Book Antiqua" w:hAnsi="Book Antiqua" w:eastAsia="Book Antiqua" w:cs="Book Antiqua"/>
          <w:color w:val="000000"/>
        </w:rPr>
        <w:t>Rhabdomyolysis is associated with traumatic and non-traumatic etiologies, including infections, drugs, and toxin inhalation</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Carbon monoxide (CO), one of the most common environmental toxins, has reportedly caused various medical conditions, including muscle injury and consequent rhabdomyolysis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In this case, the rhabdomyolysis was attributed to polyurethane inhalation-induced injury, which was similar to that associated with CO intoxication. However, a similar clinical presentation has not been reported in previous studies. The underlying mechanism behind polyurethane-induced muscle injury remains unknown. Melandri </w:t>
      </w:r>
      <w:r>
        <w:rPr>
          <w:rFonts w:ascii="Book Antiqua" w:hAnsi="Book Antiqua" w:eastAsia="Book Antiqua" w:cs="Book Antiqua"/>
          <w:i/>
          <w:iCs/>
          <w:color w:val="000000"/>
        </w:rPr>
        <w:t>et al</w:t>
      </w:r>
      <w:r>
        <w:rPr>
          <w:rFonts w:ascii="Book Antiqua" w:hAnsi="Book Antiqua" w:eastAsia="Book Antiqua" w:cs="Book Antiqua"/>
          <w:iCs/>
          <w:color w:val="000000"/>
          <w:szCs w:val="30"/>
          <w:vertAlign w:val="superscript"/>
        </w:rPr>
        <w:t>[</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xml:space="preserve"> presented a case of prolonged hypoxia due to opiate overdose, resulting in rhabdomyolysis and myocardial damage. This was similar to the present case in that toxic inhalation induced hypoxia, rhabdomyolysis, and compartment syndrome. Acute compartment syndrome of the extremities most commonly results from traumatic injuries, such as long bone fractures, severe burns, and crush injuries</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Additional risk factors include age, sex, and bleeding tendency</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It is difficult to diagnose, particularly in patients with a vague history and no identifiable cause. In the present case, the causal relationship between polyurethane inhalation and compartment syndrome was not established. However, other attributable causes were not identified for the patient’s disease. Therefore, toxic inhalation was likely involved in the development of rhabdomyolysis and compartment syndrome</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Polyurethane-induced asphyxiation likely induced prolonged hypoxia and consequent muscle injury</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The accurate diagnosis and prompt management of acute compartment syndrome are important to avoid permanent neurological and functional injuries of the extremities, fatal necrosis, and even amputation. Eliminating the probable cause by performing an emergency reduction of the long bone fractures, followed by immediate fasciotomy (the only available treatment for compartment syndrome), is indicated in patients suspected of acute compartment syndrome</w:t>
      </w:r>
      <w:r>
        <w:rPr>
          <w:rFonts w:ascii="Book Antiqua" w:hAnsi="Book Antiqua" w:eastAsia="Book Antiqua" w:cs="Book Antiqua"/>
          <w:color w:val="000000"/>
          <w:szCs w:val="30"/>
          <w:vertAlign w:val="superscript"/>
        </w:rPr>
        <w:t>[13,14]</w:t>
      </w:r>
      <w:r>
        <w:rPr>
          <w:rFonts w:ascii="Book Antiqua" w:hAnsi="Book Antiqua" w:eastAsia="Book Antiqua" w:cs="Book Antiqua"/>
          <w:color w:val="000000"/>
        </w:rPr>
        <w:t>. Double-incision fasciotomy is the most frequently used technique because it allows access to all four compartments of the lower extremities</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xml:space="preserve">. In the present case, an immediate fasciotomy was performed at the time of consultation for surgical intervention. Although nerve injury was not observed intraoperatively, the patient developed peroneal neuropathy later in the course of treatment. </w:t>
      </w:r>
    </w:p>
    <w:bookmarkEnd w:id="39"/>
    <w:bookmarkEnd w:id="40"/>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Workers, using polyurethane agents in confined spaces, must wear protective gear, including a gas mask. A thorough physical evaluation is essential to avoid a missed diagnosis and to exclude toxic inhalation-induced rhabdomyolysis in patients, presenting with compartment syndrome. Considering other diagnoses and radiological evaluation findings is an appealing option, but the subsequent delay results in unwanted complications. Therefore, rhabdomyolysis and compartment syndrome should be considered in the differential diagnosis, and fasciotomy should be the preferred treatment option in patients with the aforementioned clinical presentation.</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Matsen FA 3rd</w:t>
      </w:r>
      <w:r>
        <w:rPr>
          <w:rFonts w:ascii="Book Antiqua" w:hAnsi="Book Antiqua"/>
        </w:rPr>
        <w:t xml:space="preserve">, Winquist RA, Krugmire RB Jr. Diagnosis and management of compartmental syndromes. </w:t>
      </w:r>
      <w:r>
        <w:rPr>
          <w:rFonts w:ascii="Book Antiqua" w:hAnsi="Book Antiqua"/>
          <w:i/>
          <w:iCs/>
        </w:rPr>
        <w:t>J Bone Joint Surg Am</w:t>
      </w:r>
      <w:r>
        <w:rPr>
          <w:rFonts w:ascii="Book Antiqua" w:hAnsi="Book Antiqua"/>
        </w:rPr>
        <w:t xml:space="preserve"> 1980; </w:t>
      </w:r>
      <w:r>
        <w:rPr>
          <w:rFonts w:ascii="Book Antiqua" w:hAnsi="Book Antiqua"/>
          <w:b/>
          <w:bCs/>
        </w:rPr>
        <w:t>62</w:t>
      </w:r>
      <w:r>
        <w:rPr>
          <w:rFonts w:ascii="Book Antiqua" w:hAnsi="Book Antiqua"/>
        </w:rPr>
        <w:t>: 286-291 [</w:t>
      </w:r>
      <w:bookmarkStart w:id="41" w:name="OLE_LINK11"/>
      <w:bookmarkStart w:id="42" w:name="OLE_LINK12"/>
      <w:r>
        <w:rPr>
          <w:rFonts w:ascii="Book Antiqua" w:hAnsi="Book Antiqua"/>
        </w:rPr>
        <w:t>PMID: 7358759</w:t>
      </w:r>
      <w:bookmarkEnd w:id="41"/>
      <w:bookmarkEnd w:id="42"/>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Rush DS</w:t>
      </w:r>
      <w:r>
        <w:rPr>
          <w:rFonts w:ascii="Book Antiqua" w:hAnsi="Book Antiqua"/>
        </w:rPr>
        <w:t xml:space="preserve">, Frame SB, Bell RM, Berg EE, Kerstein MD, Haynes JL. Does open fasciotomy contribute to morbidity and mortality after acute lower extremity ischemia and revascularization? </w:t>
      </w:r>
      <w:r>
        <w:rPr>
          <w:rFonts w:ascii="Book Antiqua" w:hAnsi="Book Antiqua"/>
          <w:i/>
          <w:iCs/>
        </w:rPr>
        <w:t>J Vasc Surg</w:t>
      </w:r>
      <w:r>
        <w:rPr>
          <w:rFonts w:ascii="Book Antiqua" w:hAnsi="Book Antiqua"/>
        </w:rPr>
        <w:t xml:space="preserve"> 1989; </w:t>
      </w:r>
      <w:r>
        <w:rPr>
          <w:rFonts w:ascii="Book Antiqua" w:hAnsi="Book Antiqua"/>
          <w:b/>
          <w:bCs/>
        </w:rPr>
        <w:t>10</w:t>
      </w:r>
      <w:r>
        <w:rPr>
          <w:rFonts w:ascii="Book Antiqua" w:hAnsi="Book Antiqua"/>
        </w:rPr>
        <w:t>: 343-350 [PMID: 2778898 DOI: 10.1067/mva.1989.14338]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McQueen MM</w:t>
      </w:r>
      <w:r>
        <w:rPr>
          <w:rFonts w:ascii="Book Antiqua" w:hAnsi="Book Antiqua"/>
        </w:rPr>
        <w:t xml:space="preserve">, Gaston P, Court-Brown CM. Acute compartment syndrome. Who is at risk? </w:t>
      </w:r>
      <w:r>
        <w:rPr>
          <w:rFonts w:ascii="Book Antiqua" w:hAnsi="Book Antiqua"/>
          <w:i/>
          <w:iCs/>
        </w:rPr>
        <w:t>J Bone Joint Surg Br</w:t>
      </w:r>
      <w:r>
        <w:rPr>
          <w:rFonts w:ascii="Book Antiqua" w:hAnsi="Book Antiqua"/>
        </w:rPr>
        <w:t xml:space="preserve"> 2000; </w:t>
      </w:r>
      <w:r>
        <w:rPr>
          <w:rFonts w:ascii="Book Antiqua" w:hAnsi="Book Antiqua"/>
          <w:b/>
          <w:bCs/>
        </w:rPr>
        <w:t>82</w:t>
      </w:r>
      <w:r>
        <w:rPr>
          <w:rFonts w:ascii="Book Antiqua" w:hAnsi="Book Antiqua"/>
        </w:rPr>
        <w:t>: 200-203 [</w:t>
      </w:r>
      <w:bookmarkStart w:id="43" w:name="OLE_LINK14"/>
      <w:bookmarkStart w:id="44" w:name="OLE_LINK13"/>
      <w:r>
        <w:rPr>
          <w:rFonts w:ascii="Book Antiqua" w:hAnsi="Book Antiqua"/>
        </w:rPr>
        <w:t>PMID: 10755426</w:t>
      </w:r>
      <w:bookmarkEnd w:id="43"/>
      <w:bookmarkEnd w:id="44"/>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Singh H,</w:t>
      </w:r>
      <w:r>
        <w:rPr>
          <w:rFonts w:ascii="Book Antiqua" w:hAnsi="Book Antiqua"/>
        </w:rPr>
        <w:t xml:space="preserve"> Jain AK. </w:t>
      </w:r>
      <w:bookmarkStart w:id="45" w:name="OLE_LINK16"/>
      <w:bookmarkStart w:id="46" w:name="OLE_LINK15"/>
      <w:r>
        <w:rPr>
          <w:rFonts w:ascii="Book Antiqua" w:hAnsi="Book Antiqua"/>
        </w:rPr>
        <w:t>Ignition, combustion, toxicity, and fire retardancy of polyurethane foams: a comprehensive review.</w:t>
      </w:r>
      <w:bookmarkEnd w:id="45"/>
      <w:bookmarkEnd w:id="46"/>
      <w:r>
        <w:rPr>
          <w:rFonts w:ascii="Book Antiqua" w:hAnsi="Book Antiqua"/>
        </w:rPr>
        <w:t xml:space="preserve"> </w:t>
      </w:r>
      <w:r>
        <w:rPr>
          <w:rFonts w:ascii="Book Antiqua" w:hAnsi="Book Antiqua"/>
          <w:i/>
        </w:rPr>
        <w:t>J Appl Polym Sci</w:t>
      </w:r>
      <w:r>
        <w:rPr>
          <w:rFonts w:ascii="Book Antiqua" w:hAnsi="Book Antiqua"/>
        </w:rPr>
        <w:t xml:space="preserve"> 2009; </w:t>
      </w:r>
      <w:r>
        <w:rPr>
          <w:rFonts w:ascii="Book Antiqua" w:hAnsi="Book Antiqua"/>
          <w:b/>
        </w:rPr>
        <w:t>111</w:t>
      </w:r>
      <w:r>
        <w:rPr>
          <w:rFonts w:ascii="Book Antiqua" w:hAnsi="Book Antiqua"/>
        </w:rPr>
        <w:t>: 1115-1143 [DOI:</w:t>
      </w:r>
      <w:r>
        <w:rPr>
          <w:rFonts w:hint="eastAsia" w:ascii="Book Antiqua" w:hAnsi="Book Antiqua"/>
        </w:rPr>
        <w:t xml:space="preserve"> </w:t>
      </w:r>
      <w:r>
        <w:rPr>
          <w:rFonts w:ascii="Book Antiqua" w:hAnsi="Book Antiqua"/>
        </w:rPr>
        <w:t>10.1002/app.29131]</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Mckenna ST,</w:t>
      </w:r>
      <w:r>
        <w:rPr>
          <w:rFonts w:ascii="Book Antiqua" w:hAnsi="Book Antiqua"/>
        </w:rPr>
        <w:t xml:space="preserve"> Hull TR. </w:t>
      </w:r>
      <w:bookmarkStart w:id="47" w:name="OLE_LINK17"/>
      <w:r>
        <w:rPr>
          <w:rFonts w:ascii="Book Antiqua" w:hAnsi="Book Antiqua"/>
        </w:rPr>
        <w:t>The fire toxicity of polyurethane foams</w:t>
      </w:r>
      <w:bookmarkEnd w:id="47"/>
      <w:r>
        <w:rPr>
          <w:rFonts w:ascii="Book Antiqua" w:hAnsi="Book Antiqua"/>
        </w:rPr>
        <w:t xml:space="preserve">. </w:t>
      </w:r>
      <w:r>
        <w:rPr>
          <w:rFonts w:ascii="Book Antiqua" w:hAnsi="Book Antiqua"/>
          <w:i/>
        </w:rPr>
        <w:t>Fire Sci Rev</w:t>
      </w:r>
      <w:r>
        <w:rPr>
          <w:rFonts w:ascii="Book Antiqua" w:hAnsi="Book Antiqua"/>
        </w:rPr>
        <w:t xml:space="preserve"> 2016; </w:t>
      </w:r>
      <w:r>
        <w:rPr>
          <w:rFonts w:ascii="Book Antiqua" w:hAnsi="Book Antiqua"/>
          <w:b/>
        </w:rPr>
        <w:t>5</w:t>
      </w:r>
      <w:r>
        <w:rPr>
          <w:rFonts w:ascii="Book Antiqua" w:hAnsi="Book Antiqua"/>
        </w:rPr>
        <w:t>: 1-27 [DOI:</w:t>
      </w:r>
      <w:r>
        <w:rPr>
          <w:rFonts w:hint="eastAsia" w:ascii="Book Antiqua" w:hAnsi="Book Antiqua"/>
        </w:rPr>
        <w:t xml:space="preserve"> </w:t>
      </w:r>
      <w:r>
        <w:rPr>
          <w:rFonts w:ascii="Book Antiqua" w:hAnsi="Book Antiqua"/>
        </w:rPr>
        <w:t>10.1186/s40038-016-0012-3]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Huerta-Alardín AL</w:t>
      </w:r>
      <w:r>
        <w:rPr>
          <w:rFonts w:ascii="Book Antiqua" w:hAnsi="Book Antiqua"/>
        </w:rPr>
        <w:t xml:space="preserve">, Varon J, Marik PE. Bench-to-bedside review: Rhabdomyolysis -- an overview for clinicians. </w:t>
      </w:r>
      <w:r>
        <w:rPr>
          <w:rFonts w:ascii="Book Antiqua" w:hAnsi="Book Antiqua"/>
          <w:i/>
          <w:iCs/>
        </w:rPr>
        <w:t>Crit Care</w:t>
      </w:r>
      <w:r>
        <w:rPr>
          <w:rFonts w:ascii="Book Antiqua" w:hAnsi="Book Antiqua"/>
        </w:rPr>
        <w:t xml:space="preserve"> 2005; </w:t>
      </w:r>
      <w:r>
        <w:rPr>
          <w:rFonts w:ascii="Book Antiqua" w:hAnsi="Book Antiqua"/>
          <w:b/>
          <w:bCs/>
        </w:rPr>
        <w:t>9</w:t>
      </w:r>
      <w:r>
        <w:rPr>
          <w:rFonts w:ascii="Book Antiqua" w:hAnsi="Book Antiqua"/>
        </w:rPr>
        <w:t>: 158-169 [PMID: 15774072 DOI: 10.1186/cc2978]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Harper A</w:t>
      </w:r>
      <w:r>
        <w:rPr>
          <w:rFonts w:ascii="Book Antiqua" w:hAnsi="Book Antiqua"/>
        </w:rPr>
        <w:t xml:space="preserve">, Croft-Baker J. Carbon monoxide poisoning: undetected by both patients and their doctors. </w:t>
      </w:r>
      <w:r>
        <w:rPr>
          <w:rFonts w:ascii="Book Antiqua" w:hAnsi="Book Antiqua"/>
          <w:i/>
          <w:iCs/>
        </w:rPr>
        <w:t>Age Ageing</w:t>
      </w:r>
      <w:r>
        <w:rPr>
          <w:rFonts w:ascii="Book Antiqua" w:hAnsi="Book Antiqua"/>
        </w:rPr>
        <w:t xml:space="preserve"> 2004; </w:t>
      </w:r>
      <w:r>
        <w:rPr>
          <w:rFonts w:ascii="Book Antiqua" w:hAnsi="Book Antiqua"/>
          <w:b/>
          <w:bCs/>
        </w:rPr>
        <w:t>33</w:t>
      </w:r>
      <w:r>
        <w:rPr>
          <w:rFonts w:ascii="Book Antiqua" w:hAnsi="Book Antiqua"/>
        </w:rPr>
        <w:t>: 105-109 [PMID: 14960423 DOI: 10.1093/ageing/afh038]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Melandri R</w:t>
      </w:r>
      <w:r>
        <w:rPr>
          <w:rFonts w:ascii="Book Antiqua" w:hAnsi="Book Antiqua"/>
        </w:rPr>
        <w:t xml:space="preserve">, Re G, Lanzarini C, Rapezzi C, Leone O, Zele I, Rocchi G. Myocardial damage and rhabdomyolysis associated with prolonged hypoxic coma following opiate overdose. </w:t>
      </w:r>
      <w:r>
        <w:rPr>
          <w:rFonts w:ascii="Book Antiqua" w:hAnsi="Book Antiqua"/>
          <w:i/>
          <w:iCs/>
        </w:rPr>
        <w:t>J Toxicol Clin Toxicol</w:t>
      </w:r>
      <w:r>
        <w:rPr>
          <w:rFonts w:ascii="Book Antiqua" w:hAnsi="Book Antiqua"/>
        </w:rPr>
        <w:t xml:space="preserve"> 1996; </w:t>
      </w:r>
      <w:r>
        <w:rPr>
          <w:rFonts w:ascii="Book Antiqua" w:hAnsi="Book Antiqua"/>
          <w:b/>
          <w:bCs/>
        </w:rPr>
        <w:t>34</w:t>
      </w:r>
      <w:r>
        <w:rPr>
          <w:rFonts w:ascii="Book Antiqua" w:hAnsi="Book Antiqua"/>
        </w:rPr>
        <w:t>: 199-203 [PMID: 8618254 DOI: 10.3109/15563659609013770]</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Grottkau BE</w:t>
      </w:r>
      <w:r>
        <w:rPr>
          <w:rFonts w:ascii="Book Antiqua" w:hAnsi="Book Antiqua"/>
        </w:rPr>
        <w:t xml:space="preserve">, Epps HR, Di Scala C. Compartment syndrome in children and adolescents. </w:t>
      </w:r>
      <w:r>
        <w:rPr>
          <w:rFonts w:ascii="Book Antiqua" w:hAnsi="Book Antiqua"/>
          <w:i/>
          <w:iCs/>
        </w:rPr>
        <w:t>J Pediatr Surg</w:t>
      </w:r>
      <w:r>
        <w:rPr>
          <w:rFonts w:ascii="Book Antiqua" w:hAnsi="Book Antiqua"/>
        </w:rPr>
        <w:t xml:space="preserve"> 2005; </w:t>
      </w:r>
      <w:r>
        <w:rPr>
          <w:rFonts w:ascii="Book Antiqua" w:hAnsi="Book Antiqua"/>
          <w:b/>
          <w:bCs/>
        </w:rPr>
        <w:t>40</w:t>
      </w:r>
      <w:r>
        <w:rPr>
          <w:rFonts w:ascii="Book Antiqua" w:hAnsi="Book Antiqua"/>
        </w:rPr>
        <w:t>: 678-682 [PMID: 15852278 DOI: 10.1016/j.jpedsurg.2004.12.007]</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Mubarak SJ</w:t>
      </w:r>
      <w:r>
        <w:rPr>
          <w:rFonts w:ascii="Book Antiqua" w:hAnsi="Book Antiqua"/>
        </w:rPr>
        <w:t xml:space="preserve">, Hargens AR. Acute compartment syndromes. </w:t>
      </w:r>
      <w:r>
        <w:rPr>
          <w:rFonts w:ascii="Book Antiqua" w:hAnsi="Book Antiqua"/>
          <w:i/>
          <w:iCs/>
        </w:rPr>
        <w:t>Surg Clin North Am</w:t>
      </w:r>
      <w:r>
        <w:rPr>
          <w:rFonts w:ascii="Book Antiqua" w:hAnsi="Book Antiqua"/>
        </w:rPr>
        <w:t xml:space="preserve"> 1983; </w:t>
      </w:r>
      <w:r>
        <w:rPr>
          <w:rFonts w:ascii="Book Antiqua" w:hAnsi="Book Antiqua"/>
          <w:b/>
          <w:bCs/>
        </w:rPr>
        <w:t>63</w:t>
      </w:r>
      <w:r>
        <w:rPr>
          <w:rFonts w:ascii="Book Antiqua" w:hAnsi="Book Antiqua"/>
        </w:rPr>
        <w:t>: 539-565 [PMID: 6346542 DOI: 10.1016/s0039-6109(16)43030-6]</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Allison RC</w:t>
      </w:r>
      <w:r>
        <w:rPr>
          <w:rFonts w:ascii="Book Antiqua" w:hAnsi="Book Antiqua"/>
        </w:rPr>
        <w:t xml:space="preserve">, Bedsole DL. The other medical causes of rhabdomyolysis. </w:t>
      </w:r>
      <w:r>
        <w:rPr>
          <w:rFonts w:ascii="Book Antiqua" w:hAnsi="Book Antiqua"/>
          <w:i/>
          <w:iCs/>
        </w:rPr>
        <w:t>Am J Med Sci</w:t>
      </w:r>
      <w:r>
        <w:rPr>
          <w:rFonts w:ascii="Book Antiqua" w:hAnsi="Book Antiqua"/>
        </w:rPr>
        <w:t xml:space="preserve"> 2003; </w:t>
      </w:r>
      <w:r>
        <w:rPr>
          <w:rFonts w:ascii="Book Antiqua" w:hAnsi="Book Antiqua"/>
          <w:b/>
          <w:bCs/>
        </w:rPr>
        <w:t>326</w:t>
      </w:r>
      <w:r>
        <w:rPr>
          <w:rFonts w:ascii="Book Antiqua" w:hAnsi="Book Antiqua"/>
        </w:rPr>
        <w:t>: 79-88 [PMID: 12920439 DOI: 10.1097/00000441-200308000-00005]</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Paletta CE</w:t>
      </w:r>
      <w:r>
        <w:rPr>
          <w:rFonts w:ascii="Book Antiqua" w:hAnsi="Book Antiqua"/>
        </w:rPr>
        <w:t xml:space="preserve">, Lynch R, Knutsen AP. Rhabdomyolysis and lower extremity compartment syndrome due to influenza B virus. </w:t>
      </w:r>
      <w:r>
        <w:rPr>
          <w:rFonts w:ascii="Book Antiqua" w:hAnsi="Book Antiqua"/>
          <w:i/>
          <w:iCs/>
        </w:rPr>
        <w:t>Ann Plast Surg</w:t>
      </w:r>
      <w:r>
        <w:rPr>
          <w:rFonts w:ascii="Book Antiqua" w:hAnsi="Book Antiqua"/>
        </w:rPr>
        <w:t xml:space="preserve"> 1993; </w:t>
      </w:r>
      <w:r>
        <w:rPr>
          <w:rFonts w:ascii="Book Antiqua" w:hAnsi="Book Antiqua"/>
          <w:b/>
          <w:bCs/>
        </w:rPr>
        <w:t>30</w:t>
      </w:r>
      <w:r>
        <w:rPr>
          <w:rFonts w:ascii="Book Antiqua" w:hAnsi="Book Antiqua"/>
        </w:rPr>
        <w:t>: 272-273 [PMID: 8494311 DOI: 10.1097/00000637-199303000-00013]</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Styf J</w:t>
      </w:r>
      <w:r>
        <w:rPr>
          <w:rFonts w:ascii="Book Antiqua" w:hAnsi="Book Antiqua"/>
        </w:rPr>
        <w:t xml:space="preserve">, Wiger P. Abnormally increased intramuscular pressure in human legs: comparison of two experimental models. </w:t>
      </w:r>
      <w:r>
        <w:rPr>
          <w:rFonts w:ascii="Book Antiqua" w:hAnsi="Book Antiqua"/>
          <w:i/>
          <w:iCs/>
        </w:rPr>
        <w:t>J Trauma</w:t>
      </w:r>
      <w:r>
        <w:rPr>
          <w:rFonts w:ascii="Book Antiqua" w:hAnsi="Book Antiqua"/>
        </w:rPr>
        <w:t xml:space="preserve"> 1998; </w:t>
      </w:r>
      <w:r>
        <w:rPr>
          <w:rFonts w:ascii="Book Antiqua" w:hAnsi="Book Antiqua"/>
          <w:b/>
          <w:bCs/>
        </w:rPr>
        <w:t>45</w:t>
      </w:r>
      <w:r>
        <w:rPr>
          <w:rFonts w:ascii="Book Antiqua" w:hAnsi="Book Antiqua"/>
        </w:rPr>
        <w:t>: 133-139 [PMID: 9680026 DOI: 10.1097/00005373-199807000-00028]</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Sheridan GW</w:t>
      </w:r>
      <w:r>
        <w:rPr>
          <w:rFonts w:ascii="Book Antiqua" w:hAnsi="Book Antiqua"/>
        </w:rPr>
        <w:t xml:space="preserve">, Matsen FA 3rd. Fasciotomy in the treatment of the acute compartment syndrome. </w:t>
      </w:r>
      <w:r>
        <w:rPr>
          <w:rFonts w:ascii="Book Antiqua" w:hAnsi="Book Antiqua"/>
          <w:i/>
          <w:iCs/>
        </w:rPr>
        <w:t>J Bone Joint Surg Am</w:t>
      </w:r>
      <w:r>
        <w:rPr>
          <w:rFonts w:ascii="Book Antiqua" w:hAnsi="Book Antiqua"/>
        </w:rPr>
        <w:t xml:space="preserve"> 1976; </w:t>
      </w:r>
      <w:r>
        <w:rPr>
          <w:rFonts w:ascii="Book Antiqua" w:hAnsi="Book Antiqua"/>
          <w:b/>
          <w:bCs/>
        </w:rPr>
        <w:t>58</w:t>
      </w:r>
      <w:r>
        <w:rPr>
          <w:rFonts w:ascii="Book Antiqua" w:hAnsi="Book Antiqua"/>
        </w:rPr>
        <w:t>: 112-115 [</w:t>
      </w:r>
      <w:bookmarkStart w:id="48" w:name="OLE_LINK19"/>
      <w:bookmarkStart w:id="49" w:name="OLE_LINK18"/>
      <w:r>
        <w:rPr>
          <w:rFonts w:ascii="Book Antiqua" w:hAnsi="Book Antiqua"/>
        </w:rPr>
        <w:t>PMID: 1249096</w:t>
      </w:r>
      <w:bookmarkEnd w:id="48"/>
      <w:bookmarkEnd w:id="49"/>
      <w:r>
        <w:rPr>
          <w:rFonts w:ascii="Book Antiqua" w:hAnsi="Book Antiqua"/>
        </w:rPr>
        <w:t>]</w:t>
      </w:r>
    </w:p>
    <w:p>
      <w:pPr>
        <w:pStyle w:val="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Singh K</w:t>
      </w:r>
      <w:r>
        <w:rPr>
          <w:rFonts w:ascii="Book Antiqua" w:hAnsi="Book Antiqua"/>
        </w:rPr>
        <w:t xml:space="preserve">, Bible JE, Mir HR. Single and Dual-Incision Fasciotomy of the Lower Leg. </w:t>
      </w:r>
      <w:r>
        <w:rPr>
          <w:rFonts w:ascii="Book Antiqua" w:hAnsi="Book Antiqua"/>
          <w:i/>
          <w:iCs/>
        </w:rPr>
        <w:t>JBJS Essent Surg Tech</w:t>
      </w:r>
      <w:r>
        <w:rPr>
          <w:rFonts w:ascii="Book Antiqua" w:hAnsi="Book Antiqua"/>
        </w:rPr>
        <w:t xml:space="preserve"> 2015; </w:t>
      </w:r>
      <w:r>
        <w:rPr>
          <w:rFonts w:ascii="Book Antiqua" w:hAnsi="Book Antiqua"/>
          <w:b/>
          <w:bCs/>
        </w:rPr>
        <w:t>5</w:t>
      </w:r>
      <w:r>
        <w:rPr>
          <w:rFonts w:ascii="Book Antiqua" w:hAnsi="Book Antiqua"/>
        </w:rPr>
        <w:t>: e25 [PMID: 30405959 DOI: 10.2106/JBJS.ST.O.00007]</w:t>
      </w:r>
    </w:p>
    <w:p>
      <w:pPr>
        <w:spacing w:line="360" w:lineRule="auto"/>
        <w:jc w:val="both"/>
        <w:rPr>
          <w:lang w:eastAsia="zh-CN"/>
        </w:rPr>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bookmarkStart w:id="50" w:name="OLE_LINK52"/>
      <w:bookmarkStart w:id="51" w:name="OLE_LINK51"/>
      <w:r>
        <w:rPr>
          <w:rFonts w:ascii="Book Antiqua" w:hAnsi="Book Antiqua" w:eastAsia="Book Antiqua" w:cs="Book Antiqua"/>
          <w:color w:val="000000"/>
        </w:rPr>
        <w:t>Informed written consent was obtained from the</w:t>
      </w:r>
      <w:r>
        <w:rPr>
          <w:rFonts w:hint="eastAsia" w:ascii="Book Antiqua" w:hAnsi="Book Antiqua" w:cs="Book Antiqua"/>
          <w:color w:val="000000"/>
          <w:lang w:eastAsia="zh-CN"/>
        </w:rPr>
        <w:t xml:space="preserve"> </w:t>
      </w:r>
      <w:r>
        <w:rPr>
          <w:rFonts w:ascii="Book Antiqua" w:hAnsi="Book Antiqua" w:eastAsia="Book Antiqua" w:cs="Book Antiqua"/>
          <w:color w:val="000000"/>
        </w:rPr>
        <w:t>patient for publication of this report and any accompanying images.</w:t>
      </w:r>
      <w:bookmarkEnd w:id="50"/>
      <w:bookmarkEnd w:id="51"/>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w:t>
      </w:r>
      <w:r>
        <w:rPr>
          <w:rFonts w:hint="eastAsia" w:ascii="Book Antiqua" w:hAnsi="Book Antiqua" w:cs="Book Antiqua"/>
          <w:color w:val="000000"/>
          <w:lang w:eastAsia="zh-CN"/>
        </w:rPr>
        <w:t xml:space="preserve"> </w:t>
      </w:r>
      <w:r>
        <w:rPr>
          <w:rFonts w:ascii="Book Antiqua" w:hAnsi="Book Antiqua" w:eastAsia="Book Antiqua" w:cs="Book Antiqua"/>
          <w:color w:val="000000"/>
        </w:rPr>
        <w:t>of interest to disclose.</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w:t>
      </w:r>
      <w:r>
        <w:rPr>
          <w:rFonts w:hint="eastAsia" w:ascii="Book Antiqua" w:hAnsi="Book Antiqua" w:cs="Book Antiqua"/>
          <w:color w:val="000000"/>
          <w:lang w:eastAsia="zh-CN"/>
        </w:rPr>
        <w:t xml:space="preserve"> </w:t>
      </w:r>
      <w:r>
        <w:rPr>
          <w:rFonts w:ascii="Book Antiqua" w:hAnsi="Book Antiqua" w:eastAsia="Book Antiqua" w:cs="Book Antiqua"/>
          <w:color w:val="000000"/>
        </w:rPr>
        <w:t>(2016), and the manuscript was prepared and revised according to the CARE</w:t>
      </w:r>
      <w:r>
        <w:rPr>
          <w:rFonts w:hint="eastAsia" w:ascii="Book Antiqua" w:hAnsi="Book Antiqua" w:cs="Book Antiqua"/>
          <w:color w:val="000000"/>
          <w:lang w:eastAsia="zh-CN"/>
        </w:rPr>
        <w:t xml:space="preserve"> </w:t>
      </w:r>
      <w:r>
        <w:rPr>
          <w:rFonts w:ascii="Book Antiqua" w:hAnsi="Book Antiqua" w:eastAsia="Book Antiqua" w:cs="Book Antiqua"/>
          <w:color w:val="000000"/>
        </w:rPr>
        <w:t>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10,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15,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July 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rPr>
          <w:lang w:eastAsia="zh-CN"/>
        </w:rPr>
      </w:pPr>
      <w:r>
        <w:rPr>
          <w:rFonts w:ascii="Book Antiqua" w:hAnsi="Book Antiqua" w:eastAsia="Book Antiqua" w:cs="Book Antiqua"/>
          <w:color w:val="000000"/>
        </w:rPr>
        <w:t>Grade B (Very good): B, B</w:t>
      </w:r>
      <w:r>
        <w:rPr>
          <w:rFonts w:hint="eastAsia" w:ascii="Book Antiqua" w:hAnsi="Book Antiqua" w:cs="Book Antiqua"/>
          <w:color w:val="000000"/>
          <w:lang w:eastAsia="zh-CN"/>
        </w:rPr>
        <w:t>, B,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Apiratwarakul K, Thailand; Aydin S, Turkey; Jian X, China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Zhang H</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color w:val="000000"/>
          <w:lang w:eastAsia="zh-CN"/>
        </w:rPr>
        <w:t xml:space="preserve"> Zhang H</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drawing>
          <wp:inline distT="0" distB="0" distL="114300" distR="114300">
            <wp:extent cx="2816225" cy="3026410"/>
            <wp:effectExtent l="0" t="0" r="3175" b="6350"/>
            <wp:docPr id="4" name="图片 4" descr="WJCC-10-800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8003-g001"/>
                    <pic:cNvPicPr>
                      <a:picLocks noChangeAspect="1"/>
                    </pic:cNvPicPr>
                  </pic:nvPicPr>
                  <pic:blipFill>
                    <a:blip r:embed="rId5"/>
                    <a:stretch>
                      <a:fillRect/>
                    </a:stretch>
                  </pic:blipFill>
                  <pic:spPr>
                    <a:xfrm>
                      <a:off x="0" y="0"/>
                      <a:ext cx="2816225" cy="302641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1 Clinical photograph showing bilateral lower leg compartment syndrome characterized by tense and painful swelling.</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2880360" cy="2691130"/>
            <wp:effectExtent l="0" t="0" r="0" b="6350"/>
            <wp:docPr id="7" name="图片 7" descr="WJCC-10-800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8003-g002"/>
                    <pic:cNvPicPr>
                      <a:picLocks noChangeAspect="1"/>
                    </pic:cNvPicPr>
                  </pic:nvPicPr>
                  <pic:blipFill>
                    <a:blip r:embed="rId6"/>
                    <a:stretch>
                      <a:fillRect/>
                    </a:stretch>
                  </pic:blipFill>
                  <pic:spPr>
                    <a:xfrm>
                      <a:off x="0" y="0"/>
                      <a:ext cx="2880360" cy="2691130"/>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2 Intraoperative photograph of the medial and lateral aspects of both lower limbs after fasciotomy.</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bookmarkStart w:id="52" w:name="_GoBack"/>
      <w:r>
        <w:rPr>
          <w:rFonts w:hint="eastAsia" w:ascii="Book Antiqua" w:hAnsi="Book Antiqua" w:eastAsia="宋体" w:cs="Book Antiqua"/>
          <w:b/>
          <w:bCs/>
          <w:color w:val="000000"/>
          <w:lang w:eastAsia="zh-CN"/>
        </w:rPr>
        <w:drawing>
          <wp:inline distT="0" distB="0" distL="114300" distR="114300">
            <wp:extent cx="2880360" cy="2810510"/>
            <wp:effectExtent l="0" t="0" r="0" b="8890"/>
            <wp:docPr id="8" name="图片 8" descr="WJCC-10-800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003-g003"/>
                    <pic:cNvPicPr>
                      <a:picLocks noChangeAspect="1"/>
                    </pic:cNvPicPr>
                  </pic:nvPicPr>
                  <pic:blipFill>
                    <a:blip r:embed="rId7"/>
                    <a:stretch>
                      <a:fillRect/>
                    </a:stretch>
                  </pic:blipFill>
                  <pic:spPr>
                    <a:xfrm>
                      <a:off x="0" y="0"/>
                      <a:ext cx="2880360" cy="2810510"/>
                    </a:xfrm>
                    <a:prstGeom prst="rect">
                      <a:avLst/>
                    </a:prstGeom>
                  </pic:spPr>
                </pic:pic>
              </a:graphicData>
            </a:graphic>
          </wp:inline>
        </w:drawing>
      </w:r>
      <w:bookmarkEnd w:id="52"/>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3 Meshed split-thickness skin graft was used to cover the defect area.</w:t>
      </w:r>
    </w:p>
    <w:p>
      <w:pPr>
        <w:adjustRightInd w:val="0"/>
        <w:snapToGrid w:val="0"/>
        <w:spacing w:line="360" w:lineRule="auto"/>
        <w:jc w:val="both"/>
        <w:rPr>
          <w:rFonts w:ascii="Book Antiqua" w:hAnsi="Book Antiqua" w:eastAsia="等线"/>
          <w:lang w:eastAsia="zh-CN"/>
        </w:rPr>
      </w:pPr>
      <w:r>
        <w:rPr>
          <w:rFonts w:ascii="Book Antiqua" w:hAnsi="Book Antiqua" w:eastAsia="Book Antiqua" w:cs="Book Antiqua"/>
          <w:b/>
          <w:bCs/>
          <w:color w:val="000000"/>
        </w:rPr>
        <w:br w:type="page"/>
      </w:r>
      <w:r>
        <w:rPr>
          <w:rFonts w:ascii="Book Antiqua" w:hAnsi="Book Antiqua" w:eastAsia="Times New Roman"/>
          <w:b/>
        </w:rPr>
        <w:t xml:space="preserve">Table 1 </w:t>
      </w:r>
      <w:r>
        <w:rPr>
          <w:rFonts w:ascii="Book Antiqua" w:hAnsi="Book Antiqua"/>
          <w:b/>
          <w:bCs/>
          <w:lang w:eastAsia="zh-CN"/>
        </w:rPr>
        <w:t>E</w:t>
      </w:r>
      <w:r>
        <w:rPr>
          <w:rFonts w:ascii="Book Antiqua" w:hAnsi="Book Antiqua" w:eastAsia="Times New Roman"/>
          <w:b/>
          <w:bCs/>
        </w:rPr>
        <w:t>lectrodiagnostic testing results. Initial test results done right after the fasciotomy suggested that the patient developed both peroneal and tibial neuropathy</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6"/>
        <w:gridCol w:w="2513"/>
        <w:gridCol w:w="1975"/>
        <w:gridCol w:w="1690"/>
        <w:gridCol w:w="203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gridSpan w:val="3"/>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b/>
                <w:bCs/>
              </w:rPr>
            </w:pPr>
            <w:r>
              <w:rPr>
                <w:rFonts w:ascii="Book Antiqua" w:hAnsi="Book Antiqua" w:eastAsia="Times New Roman"/>
                <w:b/>
              </w:rPr>
              <w:t>Needle electromyography</w:t>
            </w:r>
          </w:p>
        </w:tc>
        <w:tc>
          <w:tcPr>
            <w:tcW w:w="0" w:type="auto"/>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b/>
                <w:bCs/>
              </w:rPr>
            </w:pPr>
            <w:r>
              <w:rPr>
                <w:rFonts w:ascii="Book Antiqua" w:hAnsi="Book Antiqua" w:eastAsia="Times New Roman"/>
                <w:b/>
              </w:rPr>
              <w:t>Initial</w:t>
            </w:r>
          </w:p>
        </w:tc>
        <w:tc>
          <w:tcPr>
            <w:tcW w:w="0" w:type="auto"/>
            <w:tcBorders>
              <w:top w:val="single" w:color="auto" w:sz="4" w:space="0"/>
              <w:bottom w:val="single" w:color="auto" w:sz="4" w:space="0"/>
            </w:tcBorders>
          </w:tcPr>
          <w:p>
            <w:pPr>
              <w:adjustRightInd w:val="0"/>
              <w:snapToGrid w:val="0"/>
              <w:spacing w:line="360" w:lineRule="auto"/>
              <w:jc w:val="both"/>
              <w:rPr>
                <w:rFonts w:ascii="Book Antiqua" w:hAnsi="Book Antiqua" w:eastAsia="Times New Roman"/>
                <w:b/>
                <w:bCs/>
              </w:rPr>
            </w:pPr>
            <w:r>
              <w:rPr>
                <w:rFonts w:ascii="Book Antiqua" w:hAnsi="Book Antiqua" w:eastAsia="Times New Roman"/>
                <w:b/>
              </w:rPr>
              <w:t>After eight months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restart"/>
            <w:tcBorders>
              <w:top w:val="single" w:color="auto" w:sz="4" w:space="0"/>
            </w:tcBorders>
          </w:tcPr>
          <w:p>
            <w:pPr>
              <w:adjustRightInd w:val="0"/>
              <w:snapToGrid w:val="0"/>
              <w:spacing w:line="360" w:lineRule="auto"/>
              <w:jc w:val="both"/>
              <w:rPr>
                <w:rFonts w:ascii="Book Antiqua" w:hAnsi="Book Antiqua" w:eastAsia="Times New Roman"/>
              </w:rPr>
            </w:pPr>
            <w:r>
              <w:rPr>
                <w:rFonts w:ascii="Book Antiqua" w:hAnsi="Book Antiqua" w:eastAsia="Times New Roman"/>
              </w:rPr>
              <w:t>Right lower limb</w:t>
            </w:r>
          </w:p>
        </w:tc>
        <w:tc>
          <w:tcPr>
            <w:tcW w:w="0" w:type="auto"/>
            <w:vMerge w:val="restart"/>
            <w:tcBorders>
              <w:top w:val="single" w:color="auto" w:sz="4" w:space="0"/>
            </w:tcBorders>
          </w:tcPr>
          <w:p>
            <w:pPr>
              <w:adjustRightInd w:val="0"/>
              <w:snapToGrid w:val="0"/>
              <w:spacing w:line="360" w:lineRule="auto"/>
              <w:jc w:val="both"/>
              <w:rPr>
                <w:rFonts w:ascii="Book Antiqua" w:hAnsi="Book Antiqua" w:eastAsia="Times New Roman"/>
              </w:rPr>
            </w:pPr>
            <w:r>
              <w:rPr>
                <w:rFonts w:ascii="Book Antiqua" w:hAnsi="Book Antiqua" w:eastAsia="Times New Roman"/>
              </w:rPr>
              <w:t>Extensor digitorum</w:t>
            </w:r>
          </w:p>
          <w:p>
            <w:pPr>
              <w:adjustRightInd w:val="0"/>
              <w:snapToGrid w:val="0"/>
              <w:spacing w:line="360" w:lineRule="auto"/>
              <w:jc w:val="both"/>
              <w:rPr>
                <w:rFonts w:ascii="Book Antiqua" w:hAnsi="Book Antiqua" w:eastAsia="Times New Roman"/>
              </w:rPr>
            </w:pPr>
            <w:r>
              <w:rPr>
                <w:rFonts w:ascii="Book Antiqua" w:hAnsi="Book Antiqua" w:eastAsia="Times New Roman"/>
              </w:rPr>
              <w:t>Brevis</w:t>
            </w:r>
          </w:p>
        </w:tc>
        <w:tc>
          <w:tcPr>
            <w:tcW w:w="0" w:type="auto"/>
            <w:tcBorders>
              <w:top w:val="single" w:color="auto" w:sz="4" w:space="0"/>
            </w:tcBorders>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Borders>
              <w:top w:val="single" w:color="auto" w:sz="4" w:space="0"/>
            </w:tcBorders>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c>
          <w:tcPr>
            <w:tcW w:w="0" w:type="auto"/>
            <w:tcBorders>
              <w:top w:val="single" w:color="auto" w:sz="4" w:space="0"/>
            </w:tcBorders>
          </w:tcPr>
          <w:p>
            <w:pPr>
              <w:adjustRightInd w:val="0"/>
              <w:snapToGrid w:val="0"/>
              <w:spacing w:line="360" w:lineRule="auto"/>
              <w:jc w:val="both"/>
              <w:rPr>
                <w:rFonts w:ascii="Book Antiqua" w:hAnsi="Book Antiqua" w:eastAsia="Times New Roman"/>
              </w:rPr>
            </w:pPr>
            <w:r>
              <w:rPr>
                <w:rFonts w:ascii="Book Antiqua" w:hAnsi="Book Antiqua" w:eastAsia="Times New Roman"/>
              </w:rPr>
              <w:t>Silent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Abductor hallucis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 xml:space="preserve">Tibialis anterior </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Silent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DIP,</w:t>
            </w:r>
            <w:r>
              <w:rPr>
                <w:rFonts w:hint="eastAsia" w:ascii="Book Antiqua" w:hAnsi="Book Antiqua"/>
                <w:lang w:eastAsia="zh-CN"/>
              </w:rPr>
              <w:t xml:space="preserve"> </w:t>
            </w:r>
            <w:r>
              <w:rPr>
                <w:rFonts w:ascii="Book Antiqua" w:hAnsi="Book Antiqua" w:eastAsia="Times New Roman"/>
              </w:rPr>
              <w:t>normal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Peroneus longus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PIP</w:t>
            </w:r>
            <w:r>
              <w:rPr>
                <w:rFonts w:hint="eastAsia" w:ascii="Book Antiqua" w:hAnsi="Book Antiqua"/>
                <w:lang w:eastAsia="zh-CN"/>
              </w:rPr>
              <w:t>,</w:t>
            </w:r>
            <w:r>
              <w:rPr>
                <w:rFonts w:ascii="Book Antiqua" w:hAnsi="Book Antiqua" w:eastAsia="Times New Roman"/>
              </w:rPr>
              <w:t xml:space="preserve"> normal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Gastrocnemius (medial head)</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Silent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DIP, normal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Left lower limb</w:t>
            </w: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Extensor digitorum</w:t>
            </w:r>
          </w:p>
          <w:p>
            <w:pPr>
              <w:adjustRightInd w:val="0"/>
              <w:snapToGrid w:val="0"/>
              <w:spacing w:line="360" w:lineRule="auto"/>
              <w:jc w:val="both"/>
              <w:rPr>
                <w:rFonts w:ascii="Book Antiqua" w:hAnsi="Book Antiqua" w:eastAsia="Times New Roman"/>
              </w:rPr>
            </w:pPr>
            <w:r>
              <w:rPr>
                <w:rFonts w:ascii="Book Antiqua" w:hAnsi="Book Antiqua" w:eastAsia="Times New Roman"/>
              </w:rPr>
              <w:t>brevis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Silent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Abductor hallucis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No 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DIP, normal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Tibialis anterior</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DIP, normal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 xml:space="preserve">Peroneus </w:t>
            </w:r>
          </w:p>
          <w:p>
            <w:pPr>
              <w:adjustRightInd w:val="0"/>
              <w:snapToGrid w:val="0"/>
              <w:spacing w:line="360" w:lineRule="auto"/>
              <w:jc w:val="both"/>
              <w:rPr>
                <w:rFonts w:ascii="Book Antiqua" w:hAnsi="Book Antiqua" w:eastAsia="Times New Roman"/>
              </w:rPr>
            </w:pPr>
            <w:r>
              <w:rPr>
                <w:rFonts w:ascii="Book Antiqua" w:hAnsi="Book Antiqua" w:eastAsia="Times New Roman"/>
              </w:rPr>
              <w:t>longus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Silent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PIP, normal MUAPs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restart"/>
          </w:tcPr>
          <w:p>
            <w:pPr>
              <w:adjustRightInd w:val="0"/>
              <w:snapToGrid w:val="0"/>
              <w:spacing w:line="360" w:lineRule="auto"/>
              <w:jc w:val="both"/>
              <w:rPr>
                <w:rFonts w:ascii="Book Antiqua" w:hAnsi="Book Antiqua" w:eastAsia="Times New Roman"/>
              </w:rPr>
            </w:pPr>
            <w:r>
              <w:rPr>
                <w:rFonts w:ascii="Book Antiqua" w:hAnsi="Book Antiqua" w:eastAsia="Times New Roman"/>
              </w:rPr>
              <w:t>Gastrocnemius (medial head)</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Spontaneous activity</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Abnormal activity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vMerge w:val="continue"/>
          </w:tcPr>
          <w:p>
            <w:pPr>
              <w:adjustRightInd w:val="0"/>
              <w:snapToGrid w:val="0"/>
              <w:spacing w:line="360" w:lineRule="auto"/>
              <w:jc w:val="both"/>
              <w:rPr>
                <w:rFonts w:ascii="Book Antiqua" w:hAnsi="Book Antiqua"/>
              </w:rPr>
            </w:pPr>
          </w:p>
        </w:tc>
        <w:tc>
          <w:tcPr>
            <w:tcW w:w="0" w:type="auto"/>
            <w:vMerge w:val="continue"/>
          </w:tcPr>
          <w:p>
            <w:pPr>
              <w:adjustRightInd w:val="0"/>
              <w:snapToGrid w:val="0"/>
              <w:spacing w:line="360" w:lineRule="auto"/>
              <w:jc w:val="both"/>
              <w:rPr>
                <w:rFonts w:ascii="Book Antiqua" w:hAnsi="Book Antiqua"/>
              </w:rPr>
            </w:pP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MUAPs</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w:t>
            </w:r>
          </w:p>
        </w:tc>
        <w:tc>
          <w:tcPr>
            <w:tcW w:w="0" w:type="auto"/>
          </w:tcPr>
          <w:p>
            <w:pPr>
              <w:adjustRightInd w:val="0"/>
              <w:snapToGrid w:val="0"/>
              <w:spacing w:line="360" w:lineRule="auto"/>
              <w:jc w:val="both"/>
              <w:rPr>
                <w:rFonts w:ascii="Book Antiqua" w:hAnsi="Book Antiqua" w:eastAsia="Times New Roman"/>
              </w:rPr>
            </w:pPr>
            <w:r>
              <w:rPr>
                <w:rFonts w:ascii="Book Antiqua" w:hAnsi="Book Antiqua" w:eastAsia="Times New Roman"/>
              </w:rPr>
              <w:t>DIP, polyphasic MUAPs</w:t>
            </w:r>
          </w:p>
        </w:tc>
      </w:tr>
    </w:tbl>
    <w:p>
      <w:pPr>
        <w:adjustRightInd w:val="0"/>
        <w:snapToGrid w:val="0"/>
        <w:spacing w:line="360" w:lineRule="auto"/>
        <w:jc w:val="both"/>
        <w:rPr>
          <w:rFonts w:ascii="Book Antiqua" w:hAnsi="Book Antiqua" w:eastAsia="Times New Roman"/>
        </w:rPr>
        <w:sectPr>
          <w:pgSz w:w="12240" w:h="15840"/>
          <w:pgMar w:top="1440" w:right="1440" w:bottom="1440" w:left="1440" w:header="720" w:footer="720" w:gutter="0"/>
          <w:cols w:space="720" w:num="1"/>
          <w:docGrid w:linePitch="360" w:charSpace="0"/>
        </w:sectPr>
      </w:pPr>
      <w:r>
        <w:rPr>
          <w:rFonts w:ascii="Book Antiqua" w:hAnsi="Book Antiqua" w:eastAsia="Times New Roman"/>
        </w:rPr>
        <w:t xml:space="preserve">MUAP: </w:t>
      </w:r>
      <w:r>
        <w:rPr>
          <w:rFonts w:hint="eastAsia" w:ascii="Book Antiqua" w:hAnsi="Book Antiqua"/>
          <w:lang w:eastAsia="zh-CN"/>
        </w:rPr>
        <w:t>M</w:t>
      </w:r>
      <w:r>
        <w:rPr>
          <w:rFonts w:ascii="Book Antiqua" w:hAnsi="Book Antiqua" w:eastAsia="Times New Roman"/>
        </w:rPr>
        <w:t>otor unit action potential</w:t>
      </w:r>
      <w:r>
        <w:rPr>
          <w:rFonts w:hint="eastAsia" w:ascii="Book Antiqua" w:hAnsi="Book Antiqua"/>
          <w:lang w:eastAsia="zh-CN"/>
        </w:rPr>
        <w:t>;</w:t>
      </w:r>
      <w:r>
        <w:rPr>
          <w:rFonts w:ascii="Book Antiqua" w:hAnsi="Book Antiqua" w:eastAsia="Times New Roman"/>
        </w:rPr>
        <w:t xml:space="preserve"> DIP: </w:t>
      </w:r>
      <w:r>
        <w:rPr>
          <w:rFonts w:hint="eastAsia" w:ascii="Book Antiqua" w:hAnsi="Book Antiqua"/>
          <w:lang w:eastAsia="zh-CN"/>
        </w:rPr>
        <w:t>D</w:t>
      </w:r>
      <w:r>
        <w:rPr>
          <w:rFonts w:ascii="Book Antiqua" w:hAnsi="Book Antiqua" w:eastAsia="Times New Roman"/>
        </w:rPr>
        <w:t>iscrete interference pattern</w:t>
      </w:r>
      <w:r>
        <w:rPr>
          <w:rFonts w:hint="eastAsia" w:ascii="Book Antiqua" w:hAnsi="Book Antiqua"/>
          <w:lang w:eastAsia="zh-CN"/>
        </w:rPr>
        <w:t>;</w:t>
      </w:r>
      <w:r>
        <w:rPr>
          <w:rFonts w:ascii="Book Antiqua" w:hAnsi="Book Antiqua" w:eastAsia="Times New Roman"/>
        </w:rPr>
        <w:t xml:space="preserve"> PIP: </w:t>
      </w:r>
      <w:r>
        <w:rPr>
          <w:rFonts w:hint="eastAsia" w:ascii="Book Antiqua" w:hAnsi="Book Antiqua"/>
          <w:lang w:eastAsia="zh-CN"/>
        </w:rPr>
        <w:t>P</w:t>
      </w:r>
      <w:r>
        <w:rPr>
          <w:rFonts w:ascii="Book Antiqua" w:hAnsi="Book Antiqua" w:eastAsia="Times New Roman"/>
        </w:rPr>
        <w:t>artial interference pattern</w:t>
      </w:r>
      <w:r>
        <w:rPr>
          <w:rFonts w:hint="eastAsia" w:ascii="Book Antiqua" w:hAnsi="Book Antiqua"/>
          <w:lang w:eastAsia="zh-CN"/>
        </w:rPr>
        <w:t xml:space="preserve">. </w:t>
      </w:r>
      <w:r>
        <w:rPr>
          <w:rFonts w:ascii="Book Antiqua" w:hAnsi="Book Antiqua" w:eastAsia="Times New Roman"/>
        </w:rPr>
        <w:t>The full test was not completed due to the wound status. Electromyography done eight months after suggested that the patient developed both incomplete peroneal and tibial neuropathy. Motor unit action potential and conduction study indicated that the left lower limb had some regeneration evidence, but no significant changes were observed compared to the previous test.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adjustRightInd w:val="0"/>
        <w:snapToGrid w:val="0"/>
        <w:spacing w:line="360" w:lineRule="auto"/>
        <w:jc w:val="both"/>
        <w:rPr>
          <w:rFonts w:ascii="Book Antiqua" w:hAnsi="Book Antiqua" w:eastAsia="Times New Roman"/>
          <w:lang w:eastAsia="zh-CN"/>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045792"/>
      <w:docPartObj>
        <w:docPartGallery w:val="autotext"/>
      </w:docPartObj>
    </w:sdtPr>
    <w:sdtContent>
      <w:sdt>
        <w:sdtPr>
          <w:id w:val="860082579"/>
          <w:docPartObj>
            <w:docPartGallery w:val="autotext"/>
          </w:docPartObj>
        </w:sdtPr>
        <w:sdtContent>
          <w:p>
            <w:pPr>
              <w:pStyle w:val="4"/>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2072EB"/>
    <w:rsid w:val="002216BD"/>
    <w:rsid w:val="0023217B"/>
    <w:rsid w:val="00246C5F"/>
    <w:rsid w:val="0025443A"/>
    <w:rsid w:val="002E605B"/>
    <w:rsid w:val="00335038"/>
    <w:rsid w:val="003D18CD"/>
    <w:rsid w:val="00402A79"/>
    <w:rsid w:val="004F04CD"/>
    <w:rsid w:val="005110E1"/>
    <w:rsid w:val="0052246E"/>
    <w:rsid w:val="005528D1"/>
    <w:rsid w:val="0055733F"/>
    <w:rsid w:val="00670618"/>
    <w:rsid w:val="00764B2D"/>
    <w:rsid w:val="007975D6"/>
    <w:rsid w:val="007A3848"/>
    <w:rsid w:val="007F22BC"/>
    <w:rsid w:val="007F6B0C"/>
    <w:rsid w:val="00811178"/>
    <w:rsid w:val="00877863"/>
    <w:rsid w:val="00904A72"/>
    <w:rsid w:val="009817F9"/>
    <w:rsid w:val="00A77B3E"/>
    <w:rsid w:val="00AA7616"/>
    <w:rsid w:val="00AF1B33"/>
    <w:rsid w:val="00BD3C69"/>
    <w:rsid w:val="00CA2A55"/>
    <w:rsid w:val="00D10E65"/>
    <w:rsid w:val="00E00121"/>
    <w:rsid w:val="00E844C5"/>
    <w:rsid w:val="00E84BB8"/>
    <w:rsid w:val="00E96265"/>
    <w:rsid w:val="00F34535"/>
    <w:rsid w:val="00FE69BB"/>
    <w:rsid w:val="1ED73FBC"/>
    <w:rsid w:val="1F4B18CE"/>
    <w:rsid w:val="31CA1A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style>
  <w:style w:type="paragraph" w:styleId="3">
    <w:name w:val="Balloon Text"/>
    <w:basedOn w:val="1"/>
    <w:link w:val="11"/>
    <w:qFormat/>
    <w:uiPriority w:val="0"/>
    <w:rPr>
      <w:sz w:val="18"/>
      <w:szCs w:val="18"/>
    </w:rPr>
  </w:style>
  <w:style w:type="paragraph" w:styleId="4">
    <w:name w:val="footer"/>
    <w:basedOn w:val="1"/>
    <w:link w:val="14"/>
    <w:qFormat/>
    <w:uiPriority w:val="99"/>
    <w:pPr>
      <w:tabs>
        <w:tab w:val="center" w:pos="4153"/>
        <w:tab w:val="right" w:pos="8306"/>
      </w:tabs>
      <w:snapToGrid w:val="0"/>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6"/>
    <w:semiHidden/>
    <w:unhideWhenUsed/>
    <w:qFormat/>
    <w:uiPriority w:val="0"/>
    <w:rPr>
      <w:b/>
      <w:bCs/>
    </w:rPr>
  </w:style>
  <w:style w:type="character" w:styleId="10">
    <w:name w:val="annotation reference"/>
    <w:basedOn w:val="9"/>
    <w:semiHidden/>
    <w:unhideWhenUsed/>
    <w:qFormat/>
    <w:uiPriority w:val="0"/>
    <w:rPr>
      <w:sz w:val="18"/>
      <w:szCs w:val="18"/>
    </w:rPr>
  </w:style>
  <w:style w:type="character" w:customStyle="1" w:styleId="11">
    <w:name w:val="批注框文本 字符"/>
    <w:basedOn w:val="9"/>
    <w:link w:val="3"/>
    <w:qFormat/>
    <w:uiPriority w:val="0"/>
    <w:rPr>
      <w:sz w:val="18"/>
      <w:szCs w:val="18"/>
    </w:rPr>
  </w:style>
  <w:style w:type="table" w:customStyle="1" w:styleId="12">
    <w:name w:val="일반 표 21"/>
    <w:basedOn w:val="8"/>
    <w:qFormat/>
    <w:uiPriority w:val="99"/>
    <w:pPr>
      <w:jc w:val="both"/>
    </w:pPr>
    <w:rPr>
      <w:rFonts w:asciiTheme="minorHAnsi" w:hAnsiTheme="minorHAnsi" w:cstheme="minorBidi"/>
      <w:kern w:val="2"/>
      <w:szCs w:val="22"/>
      <w:lang w:eastAsia="ko-KR"/>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13">
    <w:name w:val="页眉 字符"/>
    <w:basedOn w:val="9"/>
    <w:link w:val="5"/>
    <w:qFormat/>
    <w:uiPriority w:val="0"/>
    <w:rPr>
      <w:sz w:val="18"/>
      <w:szCs w:val="18"/>
    </w:rPr>
  </w:style>
  <w:style w:type="character" w:customStyle="1" w:styleId="14">
    <w:name w:val="页脚 字符"/>
    <w:basedOn w:val="9"/>
    <w:link w:val="4"/>
    <w:qFormat/>
    <w:uiPriority w:val="99"/>
    <w:rPr>
      <w:sz w:val="18"/>
      <w:szCs w:val="18"/>
    </w:rPr>
  </w:style>
  <w:style w:type="character" w:customStyle="1" w:styleId="15">
    <w:name w:val="批注文字 字符"/>
    <w:basedOn w:val="9"/>
    <w:link w:val="2"/>
    <w:semiHidden/>
    <w:qFormat/>
    <w:uiPriority w:val="0"/>
    <w:rPr>
      <w:sz w:val="24"/>
      <w:szCs w:val="24"/>
    </w:rPr>
  </w:style>
  <w:style w:type="character" w:customStyle="1" w:styleId="16">
    <w:name w:val="批注主题 字符"/>
    <w:basedOn w:val="15"/>
    <w:link w:val="7"/>
    <w:semiHidden/>
    <w:qFormat/>
    <w:uiPriority w:val="0"/>
    <w:rPr>
      <w:b/>
      <w:bCs/>
      <w:sz w:val="24"/>
      <w:szCs w:val="24"/>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2437</Words>
  <Characters>15062</Characters>
  <Lines>121</Lines>
  <Paragraphs>34</Paragraphs>
  <TotalTime>0</TotalTime>
  <ScaleCrop>false</ScaleCrop>
  <LinksUpToDate>false</LinksUpToDate>
  <CharactersWithSpaces>17327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2022-07-05T21:40:00Z</dcterms:created>
  <dc:creator>Lian-Sheng Ma</dc:creator>
  <cp:lastModifiedBy>晓晨</cp:lastModifiedBy>
  <dcterms:modified xsi:type="dcterms:W3CDTF">2022-07-21T09:50:45Z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F50137AF9E1049FA8C8F1E838BAD4A4D</vt:lpwstr>
  </property>
</Properties>
</file>