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75721</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ORIGINAL ARTICLE</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Prospective Study</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Orthodontic treatment combined with 3D printing guide plate implant restoration for edentulism</w:t>
      </w:r>
      <w:r>
        <w:rPr>
          <w:rFonts w:hint="eastAsia" w:ascii="Book Antiqua" w:hAnsi="Book Antiqua" w:eastAsia="宋体" w:cs="Book Antiqua"/>
          <w:b/>
          <w:bCs/>
          <w:color w:val="000000" w:themeColor="text1"/>
          <w:lang w:eastAsia="zh-CN"/>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and its influence</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on mastication and phonic</w:t>
      </w:r>
      <w:r>
        <w:rPr>
          <w:rFonts w:hint="eastAsia" w:ascii="Book Antiqua" w:hAnsi="Book Antiqua" w:eastAsia="宋体" w:cs="Book Antiqua"/>
          <w:b/>
          <w:bCs/>
          <w:color w:val="000000" w:themeColor="text1"/>
          <w:lang w:eastAsia="zh-CN"/>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function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Y</w:t>
      </w:r>
      <w:r>
        <w:rPr>
          <w:rFonts w:ascii="Book Antiqua" w:hAnsi="Book Antiqua" w:cs="Book Antiqua"/>
          <w:color w:val="000000" w:themeColor="text1"/>
          <w:lang w:eastAsia="zh-CN"/>
          <w14:textFill>
            <w14:solidFill>
              <w14:schemeClr w14:val="tx1"/>
            </w14:solidFill>
          </w14:textFill>
        </w:rPr>
        <w:t>an</w:t>
      </w:r>
      <w:r>
        <w:rPr>
          <w:rFonts w:ascii="Book Antiqua" w:hAnsi="Book Antiqua" w:eastAsia="Book Antiqua" w:cs="Book Antiqua"/>
          <w:color w:val="000000" w:themeColor="text1"/>
          <w14:textFill>
            <w14:solidFill>
              <w14:schemeClr w14:val="tx1"/>
            </w14:solidFill>
          </w14:textFill>
        </w:rPr>
        <w:t xml:space="preserve"> LB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Orthodontic treatment combined with 3D printing guide plate implant restoration for dentition defect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Li-Bo Yan, Yu-Chao Zhou, Yang Wang, Li-Xin Li</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Li-Bo Yan, Yu-Chao Zhou, Yang Wang, </w:t>
      </w:r>
      <w:r>
        <w:rPr>
          <w:rFonts w:ascii="Book Antiqua" w:hAnsi="Book Antiqua" w:eastAsia="Book Antiqua" w:cs="Book Antiqua"/>
          <w:color w:val="000000" w:themeColor="text1"/>
          <w14:textFill>
            <w14:solidFill>
              <w14:schemeClr w14:val="tx1"/>
            </w14:solidFill>
          </w14:textFill>
        </w:rPr>
        <w:t>The Outpatient Department, Lintong Rehabilitation and Convalescent Center, Xi’an 710000, Shaanxi Province, China</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Li-Xin Li, </w:t>
      </w:r>
      <w:r>
        <w:rPr>
          <w:rFonts w:ascii="Book Antiqua" w:hAnsi="Book Antiqua" w:eastAsia="Book Antiqua" w:cs="Book Antiqua"/>
          <w:color w:val="000000" w:themeColor="text1"/>
          <w14:textFill>
            <w14:solidFill>
              <w14:schemeClr w14:val="tx1"/>
            </w14:solidFill>
          </w14:textFill>
        </w:rPr>
        <w:t>Department of Administration, Lintong Rehabilitation and Convalescent Center, Xi’an 710000, Shaanxi Province, China</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Yan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LB contributed to methodology and writing - original draft preparation; Zhou</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YC contributed to software and validation; Wang</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Y contributed to data curation and investigation;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Yan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LB and Li</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LX contributed to data curation and investigation; Li</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LX contributed to supervision; and all authors have read and agreed to the published version of the manuscript.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Corresponding author: Li-Xin Li, BM</w:t>
      </w:r>
      <w:r>
        <w:rPr>
          <w:rFonts w:ascii="Book Antiqua" w:hAnsi="Book Antiqua" w:eastAsia="宋体" w:cs="宋体"/>
          <w:b/>
          <w:bCs/>
          <w:color w:val="000000" w:themeColor="text1"/>
          <w:lang w:eastAsia="zh-CN"/>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 xml:space="preserve">Chief Physician, </w:t>
      </w:r>
      <w:r>
        <w:rPr>
          <w:rFonts w:ascii="Book Antiqua" w:hAnsi="Book Antiqua" w:eastAsia="Book Antiqua" w:cs="Book Antiqua"/>
          <w:color w:val="000000" w:themeColor="text1"/>
          <w14:textFill>
            <w14:solidFill>
              <w14:schemeClr w14:val="tx1"/>
            </w14:solidFill>
          </w14:textFill>
        </w:rPr>
        <w:t>Department of Administration, Lintong Rehabilitation and Convalescent Center, No. 32 Huaqing Road, Lintong District, Xi’an 710000, Shaanxi Province, China. lilixinllx58@163.com</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February 21, 2022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April 20, 2022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b w:val="0"/>
          <w:bCs w:val="0"/>
          <w:color w:val="000000" w:themeColor="text1"/>
          <w14:textFill>
            <w14:solidFill>
              <w14:schemeClr w14:val="tx1"/>
            </w14:solidFill>
          </w14:textFill>
        </w:rPr>
        <w:t>May 13, 2022</w:t>
      </w:r>
    </w:p>
    <w:p>
      <w:pPr>
        <w:adjustRightInd w:val="0"/>
        <w:snapToGrid w:val="0"/>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eastAsia="Book Antiqua" w:cs="Book Antiqua"/>
          <w:b w:val="0"/>
          <w:bCs w:val="0"/>
          <w:color w:val="000000"/>
          <w:highlight w:val="none"/>
        </w:rPr>
        <w:t>June 6, 2022</w:t>
      </w:r>
    </w:p>
    <w:p>
      <w:pPr>
        <w:adjustRightInd w:val="0"/>
        <w:snapToGrid w:val="0"/>
        <w:spacing w:line="360" w:lineRule="auto"/>
        <w:jc w:val="both"/>
        <w:rPr>
          <w:rFonts w:ascii="Book Antiqua" w:hAnsi="Book Antiqua" w:eastAsia="Book Antiqua" w:cs="Book Antiqua"/>
          <w:b/>
          <w:bCs/>
          <w:color w:val="000000" w:themeColor="text1"/>
          <w14:textFill>
            <w14:solidFill>
              <w14:schemeClr w14:val="tx1"/>
            </w14:solidFill>
          </w14:textFill>
        </w:rPr>
      </w:pPr>
    </w:p>
    <w:p>
      <w:pPr>
        <w:adjustRightInd w:val="0"/>
        <w:snapToGrid w:val="0"/>
        <w:spacing w:line="360" w:lineRule="auto"/>
        <w:jc w:val="both"/>
        <w:rPr>
          <w:rFonts w:ascii="Book Antiqua" w:hAnsi="Book Antiqua" w:eastAsia="Book Antiqua" w:cs="Book Antiqua"/>
          <w:b/>
          <w:bCs/>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Dentition defect, a common clinical oral disease developed in humans, not only causes masticatory dysfunction and articulation difficulties but also affects facial appearance and increases the burden on the intestinal tract. Restorative treatment is the primary option for this disease. However, traditional restorations have many drawbacks, such as mismatch with the body, low reliability, and incomplete occlusal function recovery.</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AIM</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to analyze the efficacy of orthodontics combined with 3D printing guide plate implant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restoration in treating patients with dentition defects and its influence on masticatory and phonic functions.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METHODS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prospective study was carried out in 86 patients with dentition defects who received implant prosthesis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after orthodontic treatment in our hospital between January 2018 and January 2019. Those patients were divided into a control group and an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with 43 patients in each group using a random number table. The control group received traditional implant restoration, whereas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received 3D printing guide plate implant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restoration. Treatment outcomes, cosmetic appearance, dental function, implant deviation, and quality of life were compared between the two groups.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RESULTS</w:t>
      </w:r>
    </w:p>
    <w:p>
      <w:pPr>
        <w:adjustRightInd w:val="0"/>
        <w:snapToGrid w:val="0"/>
        <w:spacing w:line="360" w:lineRule="auto"/>
        <w:jc w:val="both"/>
        <w:rPr>
          <w:rFonts w:hint="eastAsia"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overall response rate in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significantly higher than that in the control group (95.35%</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81.40%,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4.071,</w:t>
      </w:r>
      <w:r>
        <w:rPr>
          <w:rFonts w:hint="eastAsia" w:ascii="Book Antiqua" w:hAnsi="Book Antiqua" w:eastAsia="宋体" w:cs="Book Antiqua"/>
          <w:i/>
          <w:iCs/>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0.044). The number of cases with neatly trimmed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cosmetic appearance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4.497,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0.034), complete coverage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4.170,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 0.041), and normal occlusion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5.512,</w:t>
      </w:r>
      <w:r>
        <w:rPr>
          <w:rFonts w:hint="eastAsia" w:ascii="Book Antiqua" w:hAnsi="Book Antiqua" w:eastAsia="宋体" w:cs="Book Antiqua"/>
          <w:i/>
          <w:iCs/>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0.019) in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higher than that in the control group. After treatment, mastication, swallowing, and articulation were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significantly improved in both groups. Masticatory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2.980,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0.004), swallowing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2.199,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0.031), and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functions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3.950,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0.004) were better in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than those in the control group. The deviation value and the deviation angle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5.440,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0.000)</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top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6.320,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0.000) and middle parts of the implants (</w:t>
      </w:r>
      <w:r>
        <w:rPr>
          <w:rFonts w:ascii="Book Antiqua" w:hAnsi="Book Antiqua" w:eastAsia="Book Antiqua" w:cs="Book Antiqua"/>
          <w:i/>
          <w:iCs/>
          <w:color w:val="000000" w:themeColor="text1"/>
          <w14:textFill>
            <w14:solidFill>
              <w14:schemeClr w14:val="tx1"/>
            </w14:solidFill>
          </w14:textFill>
        </w:rPr>
        <w:t xml:space="preserve">t </w:t>
      </w:r>
      <w:r>
        <w:rPr>
          <w:rFonts w:ascii="Book Antiqua" w:hAnsi="Book Antiqua" w:eastAsia="Book Antiqua" w:cs="Book Antiqua"/>
          <w:color w:val="000000" w:themeColor="text1"/>
          <w14:textFill>
            <w14:solidFill>
              <w14:schemeClr w14:val="tx1"/>
            </w14:solidFill>
          </w14:textFill>
        </w:rPr>
        <w:t xml:space="preserve">= 22.295,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0.000) in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were lower than those in the control group after treatment. Functional limitations, psychosocial and physical pain and discomfort, and total scores decreased in both groups. The functional limitation (</w:t>
      </w:r>
      <w:r>
        <w:rPr>
          <w:rFonts w:ascii="Book Antiqua" w:hAnsi="Book Antiqua" w:eastAsia="Book Antiqua" w:cs="Book Antiqua"/>
          <w:i/>
          <w:iCs/>
          <w:color w:val="000000" w:themeColor="text1"/>
          <w14:textFill>
            <w14:solidFill>
              <w14:schemeClr w14:val="tx1"/>
            </w14:solidFill>
          </w14:textFill>
        </w:rPr>
        <w:t xml:space="preserve">t </w:t>
      </w:r>
      <w:r>
        <w:rPr>
          <w:rFonts w:ascii="Book Antiqua" w:hAnsi="Book Antiqua" w:eastAsia="Book Antiqua" w:cs="Book Antiqua"/>
          <w:color w:val="000000" w:themeColor="text1"/>
          <w14:textFill>
            <w14:solidFill>
              <w14:schemeClr w14:val="tx1"/>
            </w14:solidFill>
          </w14:textFill>
        </w:rPr>
        <w:t xml:space="preserve">= 2.379,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0.020), psychosocial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2.420,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0.000), physical pain and discomfort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6.581,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0.000), and total scores (t = 2.140,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0.035) were lower in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than those in the control group.</w:t>
      </w:r>
      <w:r>
        <w:rPr>
          <w:rFonts w:hint="eastAsia" w:ascii="Book Antiqua" w:hAnsi="Book Antiqua" w:eastAsia="宋体" w:cs="Book Antiqua"/>
          <w:b/>
          <w:bCs/>
          <w:color w:val="000000" w:themeColor="text1"/>
          <w:lang w:eastAsia="zh-CN"/>
          <w14:textFill>
            <w14:solidFill>
              <w14:schemeClr w14:val="tx1"/>
            </w14:solidFill>
          </w14:textFill>
        </w:rPr>
        <w:t xml:space="preserve"> </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Orthodontic treatment combined with 3D printing guide plate implant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restoration can significantly improve the masticatory and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phonic functions, quality of life, and psychological health of patients with dentition defects. Therefore,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it is highly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recommended in clinic application.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Dentition defect; Orthodontics; 3D printing guide plate implant restoration; Masticatory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 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hint="eastAsia" w:ascii="Book Antiqua" w:hAnsi="Book Antiqua" w:eastAsia="Book Antiqua" w:cs="Book Antiqua"/>
          <w:color w:val="000000"/>
          <w:highlight w:val="none"/>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themeColor="text1"/>
          <w14:textFill>
            <w14:solidFill>
              <w14:schemeClr w14:val="tx1"/>
            </w14:solidFill>
          </w14:textFill>
        </w:rPr>
        <w:t xml:space="preserve">Yan LB, Zhou YC, Wang Y, Li LX. Orthodontic treatment combined with 3D printing guide plate implant restoration for edentulism and its influence on mastication and phonic function.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 </w:t>
      </w:r>
      <w:r>
        <w:rPr>
          <w:rFonts w:hint="eastAsia" w:ascii="Book Antiqua" w:hAnsi="Book Antiqua" w:eastAsia="Book Antiqua" w:cs="Book Antiqua"/>
          <w:color w:val="000000"/>
          <w:highlight w:val="none"/>
        </w:rPr>
        <w:t>10(1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 xml:space="preserve">): </w:t>
      </w:r>
      <w:r>
        <w:rPr>
          <w:rFonts w:hint="default" w:ascii="Book Antiqua" w:hAnsi="Book Antiqua" w:eastAsia="Book Antiqua" w:cs="Book Antiqua"/>
          <w:i w:val="0"/>
          <w:iCs w:val="0"/>
          <w:color w:val="000000"/>
          <w:kern w:val="0"/>
          <w:sz w:val="24"/>
          <w:szCs w:val="24"/>
          <w:u w:val="none"/>
          <w:lang w:val="en-US" w:eastAsia="zh-CN" w:bidi="ar"/>
        </w:rPr>
        <w:t>5297-5305</w:t>
      </w:r>
    </w:p>
    <w:p>
      <w:pPr>
        <w:adjustRightInd w:val="0"/>
        <w:snapToGrid w:val="0"/>
        <w:spacing w:line="360" w:lineRule="auto"/>
        <w:jc w:val="both"/>
        <w:rPr>
          <w:rFonts w:hint="eastAsia" w:ascii="Book Antiqua" w:hAnsi="Book Antiqua" w:eastAsia="Book Antiqua" w:cs="Book Antiqua"/>
          <w:color w:val="000000"/>
          <w:highlight w:val="none"/>
        </w:rPr>
      </w:pPr>
      <w:r>
        <w:rPr>
          <w:rFonts w:hint="eastAsia" w:ascii="Book Antiqua" w:hAnsi="Book Antiqua" w:eastAsia="Book Antiqua" w:cs="Book Antiqua"/>
          <w:b/>
          <w:bCs/>
          <w:color w:val="000000"/>
          <w:highlight w:val="none"/>
        </w:rPr>
        <w:t>URL</w:t>
      </w:r>
      <w:r>
        <w:rPr>
          <w:rFonts w:hint="eastAsia" w:ascii="Book Antiqua" w:hAnsi="Book Antiqua" w:eastAsia="Book Antiqua" w:cs="Book Antiqua"/>
          <w:color w:val="000000"/>
          <w:highlight w:val="none"/>
        </w:rPr>
        <w:t>: https://www.wjgnet.com/2307-8960/full/v10/i1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5297</w:t>
      </w:r>
      <w:r>
        <w:rPr>
          <w:rFonts w:hint="eastAsia" w:ascii="Book Antiqua" w:hAnsi="Book Antiqua" w:eastAsia="Book Antiqua" w:cs="Book Antiqua"/>
          <w:color w:val="000000"/>
          <w:highlight w:val="none"/>
        </w:rPr>
        <w:t xml:space="preserve">.htm  </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hint="eastAsia" w:ascii="Book Antiqua" w:hAnsi="Book Antiqua" w:eastAsia="Book Antiqua" w:cs="Book Antiqua"/>
          <w:b/>
          <w:bCs/>
          <w:color w:val="000000"/>
          <w:highlight w:val="none"/>
        </w:rPr>
        <w:t>DOI</w:t>
      </w:r>
      <w:r>
        <w:rPr>
          <w:rFonts w:hint="eastAsia" w:ascii="Book Antiqua" w:hAnsi="Book Antiqua" w:eastAsia="Book Antiqua" w:cs="Book Antiqua"/>
          <w:color w:val="000000"/>
          <w:highlight w:val="none"/>
        </w:rPr>
        <w:t>: https://dx.doi.org/10.12998/wjcc.v10.i1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5297</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In the present prospective study, we included 86 patients with dentition defects who underwent implant restoration after orthodontic treatment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at our hospital between January 2018 and 2019. The patients were divided into two groups using a random number table: the patients in the control group were treated with implant prosthesis, and those in the intervention group were treated with 3D printing guide plate implantation. In terms of oral function after treatment, the patients in the intervention group had significantly better chewing, swallowing, and phonic functions than those in the control group. The above results demonstrate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that the consistency of the implant with the body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significantly improved after 3D printing guide plate implantation, which had a positive effect on muscle strength recovery at the local lesions. The results of the present study support 3D printing guide plate implantation in routine clinical use.</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Dentition defects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one of</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most common oral diseases in clinical practice. Progression of this disease causes not only masticatory dysfunction and articulation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difficulties but also aesthetic damage, seriously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disturbing people’s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quality of life</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Furthermore, the ability to chew foods at the lesions is markedly reduced, which increases the intestinal burden among patients</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Long-term dentition defects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also leads to compensatory ptosis of the corner of the mouth, deepening of wrinkles, and other marked changes in appearance.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Currently, restorative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treatment is the primary method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used to fix</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dentition defects. Through such treatment, oral function and aesthetics of patients can be effectively improved. However, there is a gap between the conventional implant prosthesis and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receptor, resulting in lower reliability of the prosthesis</w:t>
      </w:r>
      <w:r>
        <w:rPr>
          <w:rFonts w:ascii="Book Antiqua" w:hAnsi="Book Antiqua" w:eastAsia="Book Antiqua" w:cs="Book Antiqua"/>
          <w:color w:val="000000" w:themeColor="text1"/>
          <w:vertAlign w:val="superscript"/>
          <w14:textFill>
            <w14:solidFill>
              <w14:schemeClr w14:val="tx1"/>
            </w14:solidFill>
          </w14:textFill>
        </w:rPr>
        <w:t>[3]</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impeding</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occlusal recovery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 the body</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Moreover, in patients with long-term edentulism, the adjacent teeth on both sides tilt to a certain extent, thereby presenting challenges to the denture repair. A study found that implantation aided by 3D printing guide plate can improve the reliability of prosthesis</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This study analyzed the effect of orthodontic treatment combined with 3D printing guide plate implantation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dentition defects in an effort to provide scientific verification for its clinical application.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MATERIALS AND METHODS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Clinical data</w:t>
      </w:r>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prospective study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enrolled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86 patients with dentition defects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who underwent implant restoration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after orthodontic treatment at our hospital between January 2018 and 2019.</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inclusion criteria were as follows: (1) receiving treatment with orthodontics and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desire for a fixed denture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restoration; (2) no retention value among all residual teeth in the dentition defects; and (3) signing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informed consent. The exclusion criteria were as follows: (1) severe cardiovascular and cerebrovascular diseases; (2) cognitive dysfunction; (3) inability to perform</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this study; and (4) intolerance to the implants or restorations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used in this study. This study was approved by the Ethics Committee of our institution.</w:t>
      </w:r>
    </w:p>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Methods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All patients were given an oral health examination. According to the imaging data, orthodontic treatment was adopted, and straight-wire technique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or edgewise archwire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fixation technique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opted for treatment. By observing the dislocation and inclination of teeth, the tooth space was adjusted in time to correct the lesion occlusion relationship. The patients in the control group received implant restoration: it was carried out in time based on the severity of dentition defects. Before operation, their oral cavity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and surrounding skin were disinfected, sterile swabs were laid, and lidocaine (2% concentration) was administered for local anesthesia. Under the action of the guide plate, L-shaped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or H-shaped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incision was made on the periosteum and bone surface at the implantation point. After fully exposing the alveolar bone, drilling on the top of the alveolar ridge was performed, and the implant restoration was carried out by the imaging characteristics. After the operation, normal saline was used to clean the lesion and bleeding is stopped. After placing appropriate screws, soft tissues were sutured. Patients were given antibiotics routinely after operation, and the sutures were removed 7-10 d after operation.</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Patients in the intervention group were treated with 3D printing guide plate implant restoration</w:t>
      </w:r>
      <w:r>
        <w:rPr>
          <w:rStyle w:val="7"/>
          <w:rFonts w:ascii="Book Antiqua" w:hAnsi="Book Antiqua" w:eastAsia="Book Antiqua" w:cs="Book Antiqua"/>
          <w:color w:val="000000" w:themeColor="text1"/>
          <w14:textFill>
            <w14:solidFill>
              <w14:schemeClr w14:val="tx1"/>
            </w14:solidFill>
          </w14:textFill>
        </w:rPr>
        <w:t>. Their lesions were</w:t>
      </w:r>
      <w:r>
        <w:rPr>
          <w:rStyle w:val="7"/>
          <w:rFonts w:hint="eastAsia" w:ascii="Book Antiqua" w:hAnsi="Book Antiqua" w:eastAsia="宋体" w:cs="Book Antiqua"/>
          <w:color w:val="000000" w:themeColor="text1"/>
          <w:lang w:eastAsia="zh-CN"/>
          <w14:textFill>
            <w14:solidFill>
              <w14:schemeClr w14:val="tx1"/>
            </w14:solidFill>
          </w14:textFill>
        </w:rPr>
        <w:t xml:space="preserve"> </w:t>
      </w:r>
      <w:r>
        <w:rPr>
          <w:rStyle w:val="7"/>
          <w:rFonts w:ascii="Book Antiqua" w:hAnsi="Book Antiqua" w:eastAsia="Book Antiqua" w:cs="Book Antiqua"/>
          <w:color w:val="000000" w:themeColor="text1"/>
          <w14:textFill>
            <w14:solidFill>
              <w14:schemeClr w14:val="tx1"/>
            </w14:solidFill>
          </w14:textFill>
        </w:rPr>
        <w:t xml:space="preserve">scanned with </w:t>
      </w:r>
      <w:r>
        <w:rPr>
          <w:rFonts w:ascii="Book Antiqua" w:hAnsi="Book Antiqua" w:eastAsia="Book Antiqua" w:cs="Book Antiqua"/>
          <w:color w:val="000000" w:themeColor="text1"/>
          <w14:textFill>
            <w14:solidFill>
              <w14:schemeClr w14:val="tx1"/>
            </w14:solidFill>
          </w14:textFill>
        </w:rPr>
        <w:t>computed tomography (CT)</w:t>
      </w:r>
      <w:r>
        <w:rPr>
          <w:rStyle w:val="7"/>
          <w:rFonts w:hint="eastAsia" w:ascii="Book Antiqua" w:hAnsi="Book Antiqua" w:eastAsia="宋体" w:cs="Book Antiqua"/>
          <w:color w:val="000000" w:themeColor="text1"/>
          <w:lang w:eastAsia="zh-CN"/>
          <w14:textFill>
            <w14:solidFill>
              <w14:schemeClr w14:val="tx1"/>
            </w14:solidFill>
          </w14:textFill>
        </w:rPr>
        <w:t xml:space="preserve"> </w:t>
      </w:r>
      <w:r>
        <w:rPr>
          <w:rStyle w:val="7"/>
          <w:rFonts w:ascii="Book Antiqua" w:hAnsi="Book Antiqua" w:eastAsia="Book Antiqua" w:cs="Book Antiqua"/>
          <w:color w:val="000000" w:themeColor="text1"/>
          <w14:textFill>
            <w14:solidFill>
              <w14:schemeClr w14:val="tx1"/>
            </w14:solidFill>
          </w14:textFill>
        </w:rPr>
        <w:t>before operation.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model data of the patients were obtained using a 3Shape D700</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series scanners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from the United States. The occlusal relationship was simultaneously recorded using cone-beam CT and rubber molding. Occlusal rim</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adopted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for patients without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malocclusion.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After the relationship between the length, direction, and position of the implant was clear,</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aforementioned data were imported into the 3D tool again for 3D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reconstruction, and the preoperative plaster cast was confirmed using a laser scanner. The implant guide plate was prepared simultaneously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based on real-time data registration during data reconstruction. Thereafter, the implant restoration was completed. Routine antibiotic treatment was administered postoperatively.</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Outcome measures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Efficacy:</w:t>
      </w:r>
      <w:r>
        <w:rPr>
          <w:rFonts w:hint="eastAsia" w:ascii="Book Antiqua" w:hAnsi="Book Antiqua" w:eastAsia="宋体" w:cs="Book Antiqua"/>
          <w:b/>
          <w:bCs/>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efficacy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compared in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two groups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after surgery. When the dentition defect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repaired and there was no difference in the physiological function and color between the local lesions and normal tooth condition, the treatment was considered significantly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effective. When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dentition defect was roughly repaired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and there was a slight difference in the physiological function and color between the local lesions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and normal tooth condition, the treatment was considered effective. When the dentition defect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not effectively repaired and there was a significant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difference in the physiological function and color between the local lesions and normal tooth condition, the treatment was considered ineffective. The overall response rate was calculated as follows: (effective + significantly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effective)/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(total number of cases)</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Cosmetic appearance: </w:t>
      </w:r>
      <w:r>
        <w:rPr>
          <w:rFonts w:ascii="Book Antiqua" w:hAnsi="Book Antiqua" w:eastAsia="Book Antiqua" w:cs="Book Antiqua"/>
          <w:color w:val="000000" w:themeColor="text1"/>
          <w14:textFill>
            <w14:solidFill>
              <w14:schemeClr w14:val="tx1"/>
            </w14:solidFill>
          </w14:textFill>
        </w:rPr>
        <w:t>Alignment, complete coverage,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and occlusal normality after treatment were compared between the two groups.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Dental function: </w:t>
      </w:r>
      <w:r>
        <w:rPr>
          <w:rFonts w:ascii="Book Antiqua" w:hAnsi="Book Antiqua" w:eastAsia="Book Antiqua" w:cs="Book Antiqua"/>
          <w:color w:val="000000" w:themeColor="text1"/>
          <w14:textFill>
            <w14:solidFill>
              <w14:schemeClr w14:val="tx1"/>
            </w14:solidFill>
          </w14:textFill>
        </w:rPr>
        <w:t>The masticatory, swallowing, and 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were compared between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two groups before and six months after treatment. These variables were rated using a 5-level Likert scale, with higher scores indicating better outcomes</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Implant deviations in the 3D plane: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Six months after treatment, CT was performed in both groups, and the data were inputted into the 3D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tool for 3D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reconstruction. The deviation values and the deviation angles at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top and middle parts of the implants were compared between the two groups.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Quality of life: </w:t>
      </w:r>
      <w:r>
        <w:rPr>
          <w:rFonts w:ascii="Book Antiqua" w:hAnsi="Book Antiqua" w:eastAsia="Book Antiqua" w:cs="Book Antiqua"/>
          <w:color w:val="000000" w:themeColor="text1"/>
          <w14:textFill>
            <w14:solidFill>
              <w14:schemeClr w14:val="tx1"/>
            </w14:solidFill>
          </w14:textFill>
        </w:rPr>
        <w:t>The quality of life of patients was evaluated before and 6 mo after treatment using the Oral Health Impact Profile for Supported Partial Prostheses</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It was rated through the evaluation of</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functional limitation, social interaction,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and physical pain and discomfort of the patients. Higher scores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it obtained, worse quality of life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among patients.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Statistical analysis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Data was analyzed using the SPSS 19.0 in this study, in which measurement data were measured as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宋体" w:cs="宋体"/>
          <w:color w:val="000000" w:themeColor="text1"/>
          <w14:textFill>
            <w14:solidFill>
              <w14:schemeClr w14:val="tx1"/>
            </w14:solidFill>
          </w14:textFill>
        </w:rPr>
        <w:t xml:space="preserve">mean </w:t>
      </w:r>
      <w:r>
        <w:rPr>
          <w:rFonts w:ascii="Book Antiqua" w:hAnsi="Book Antiqua" w:eastAsia="宋体" w:cs="宋体"/>
          <w:color w:val="000000" w:themeColor="text1"/>
          <w:lang w:eastAsia="zh-CN"/>
          <w14:textFill>
            <w14:solidFill>
              <w14:schemeClr w14:val="tx1"/>
            </w14:solidFill>
          </w14:textFill>
        </w:rPr>
        <w:t>±</w:t>
      </w:r>
      <w:r>
        <w:rPr>
          <w:rFonts w:ascii="Book Antiqua" w:hAnsi="Book Antiqua" w:eastAsia="宋体" w:cs="宋体"/>
          <w:color w:val="000000" w:themeColor="text1"/>
          <w14:textFill>
            <w14:solidFill>
              <w14:schemeClr w14:val="tx1"/>
            </w14:solidFill>
          </w14:textFill>
        </w:rPr>
        <w:t xml:space="preserve"> SD</w:t>
      </w:r>
      <w:r>
        <w:rPr>
          <w:rFonts w:ascii="Book Antiqua" w:hAnsi="Book Antiqua" w:eastAsia="Book Antiqua" w:cs="Book Antiqua"/>
          <w:color w:val="000000" w:themeColor="text1"/>
          <w14:textFill>
            <w14:solidFill>
              <w14:schemeClr w14:val="tx1"/>
            </w14:solidFill>
          </w14:textFill>
        </w:rPr>
        <w:t xml:space="preserve">. An independent sample </w:t>
      </w:r>
      <w:r>
        <w:rPr>
          <w:rFonts w:ascii="Book Antiqua" w:hAnsi="Book Antiqua" w:eastAsia="Book Antiqua" w:cs="Book Antiqua"/>
          <w:i/>
          <w:iCs/>
          <w:color w:val="000000" w:themeColor="text1"/>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-test was also conducted. Enumeration data were expressed as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and comparison between groups were made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by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test.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indicated statistical significance.</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RESULTS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General data</w:t>
      </w:r>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There were 44 women and 42 men aged 36</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61 years (average age: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45.67</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3.83</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years). The average body mass index (BMI) was 24.90 ± 2.22 kg/m</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Seventeen patients had complete perioral dentition defect, 30 had lower tooth losses, and 39 had upper tooth losses. The patients were divided into two groups using a random number table; each group included 43 patients, and there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no significant difference in the types of dentition defect, sex, age, or BMI between the groups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&gt; 0.05) (Table 1).</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Treatment effects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overall response rate of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was significantly higher than that of the control group (95.35% </w:t>
      </w:r>
      <w:r>
        <w:rPr>
          <w:rFonts w:ascii="Book Antiqua" w:hAnsi="Book Antiqua" w:eastAsia="Book Antiqua" w:cs="Book Antiqua"/>
          <w:i/>
          <w:iCs/>
          <w:color w:val="000000" w:themeColor="text1"/>
          <w14:textFill>
            <w14:solidFill>
              <w14:schemeClr w14:val="tx1"/>
            </w14:solidFill>
          </w14:textFill>
        </w:rPr>
        <w:t>vs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81.40%,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4.071,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0.044). Further details are provided in Table 2. Pictures of</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typical cases are shown in Figure 1.</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Cosmetic appearance</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number of cases with neatly arranged cosmetic appearance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4.497,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0.034), complete coverage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4.170, </w:t>
      </w:r>
      <w:r>
        <w:rPr>
          <w:rFonts w:ascii="Book Antiqua" w:hAnsi="Book Antiqua" w:eastAsia="Book Antiqua" w:cs="Book Antiqua"/>
          <w:i/>
          <w:iCs/>
          <w:color w:val="000000" w:themeColor="text1"/>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 0.041), and normal occlusion (</w:t>
      </w:r>
      <w:r>
        <w:rPr>
          <w:rFonts w:ascii="Book Antiqua" w:hAnsi="Book Antiqua" w:eastAsia="Book Antiqua" w:cs="Book Antiqua"/>
          <w:i/>
          <w:iCs/>
          <w:color w:val="000000" w:themeColor="text1"/>
          <w14:textFill>
            <w14:solidFill>
              <w14:schemeClr w14:val="tx1"/>
            </w14:solidFill>
          </w14:textFill>
        </w:rPr>
        <w:t>χ</w:t>
      </w:r>
      <w:r>
        <w:rPr>
          <w:rFonts w:ascii="Book Antiqua" w:hAnsi="Book Antiqua" w:eastAsia="Book Antiqua" w:cs="Book Antiqua"/>
          <w:color w:val="000000" w:themeColor="text1"/>
          <w:vertAlign w:val="superscript"/>
          <w14:textFill>
            <w14:solidFill>
              <w14:schemeClr w14:val="tx1"/>
            </w14:solidFill>
          </w14:textFill>
        </w:rPr>
        <w:t>2</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5.512,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0.019) was significantly higher in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than that in the control group. Further details are provided in Table 3.</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Dental function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Before treatment, swallowing, masticatory, and 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functions did not significantly differ between the groups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&gt; 0.05). After treatment, masticatory, swallowing, and 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functions significantly improved in both groups. The masticatory (</w:t>
      </w:r>
      <w:r>
        <w:rPr>
          <w:rFonts w:ascii="Book Antiqua" w:hAnsi="Book Antiqua" w:eastAsia="Book Antiqua" w:cs="Book Antiqua"/>
          <w:i/>
          <w:iCs/>
          <w:color w:val="000000" w:themeColor="text1"/>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 = 2.980,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0.004), swallowing (</w:t>
      </w:r>
      <w:r>
        <w:rPr>
          <w:rFonts w:ascii="Book Antiqua" w:hAnsi="Book Antiqua" w:eastAsia="Book Antiqua" w:cs="Book Antiqua"/>
          <w:i/>
          <w:iCs/>
          <w:color w:val="000000" w:themeColor="text1"/>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 = 2.199,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0.031), and 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i/>
          <w:iCs/>
          <w:color w:val="000000" w:themeColor="text1"/>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 = 3.950,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0.004) were significantly better in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than those in the control group. Further details are provided in Table 4.</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Implant deviations in the 3D plane</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deviation values and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deviation angle (</w:t>
      </w:r>
      <w:r>
        <w:rPr>
          <w:rFonts w:ascii="Book Antiqua" w:hAnsi="Book Antiqua" w:eastAsia="Book Antiqua" w:cs="Book Antiqua"/>
          <w:i/>
          <w:iCs/>
          <w:color w:val="000000" w:themeColor="text1"/>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 = 5.440,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0.000) at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top (</w:t>
      </w:r>
      <w:r>
        <w:rPr>
          <w:rFonts w:ascii="Book Antiqua" w:hAnsi="Book Antiqua" w:eastAsia="Book Antiqua" w:cs="Book Antiqua"/>
          <w:i/>
          <w:iCs/>
          <w:color w:val="000000" w:themeColor="text1"/>
          <w14:textFill>
            <w14:solidFill>
              <w14:schemeClr w14:val="tx1"/>
            </w14:solidFill>
          </w14:textFill>
        </w:rPr>
        <w:t xml:space="preserve">t </w:t>
      </w:r>
      <w:r>
        <w:rPr>
          <w:rFonts w:ascii="Book Antiqua" w:hAnsi="Book Antiqua" w:eastAsia="Book Antiqua" w:cs="Book Antiqua"/>
          <w:color w:val="000000" w:themeColor="text1"/>
          <w14:textFill>
            <w14:solidFill>
              <w14:schemeClr w14:val="tx1"/>
            </w14:solidFill>
          </w14:textFill>
        </w:rPr>
        <w:t>= 6.320,</w:t>
      </w:r>
      <w:r>
        <w:rPr>
          <w:rFonts w:hint="eastAsia" w:ascii="Book Antiqua" w:hAnsi="Book Antiqua" w:eastAsia="宋体" w:cs="Book Antiqua"/>
          <w:i/>
          <w:iCs/>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0.000) and middle parts of the implants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i/>
          <w:iCs/>
          <w:color w:val="000000" w:themeColor="text1"/>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 = 22.295,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i/>
          <w:iCs/>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0.000)</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were significantly lower than those in the control group (Table 5).</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Quality of life</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Before treatment, functional limitation, psychosocial and physical pain and discomfort, and total scores did not significantly differ between the groups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&gt; 0.05). After treatment, functional limitation, psychosocial and physical pain and discomfort, and total scores decreased in both groups. Functional limitations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2.379,</w:t>
      </w:r>
      <w:r>
        <w:rPr>
          <w:rFonts w:hint="eastAsia" w:ascii="Book Antiqua" w:hAnsi="Book Antiqua" w:eastAsia="宋体" w:cs="Book Antiqua"/>
          <w:i/>
          <w:iCs/>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0.020), psychosocial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2.420,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0.000), physical pain and discomfort (</w:t>
      </w:r>
      <w:r>
        <w:rPr>
          <w:rFonts w:ascii="Book Antiqua" w:hAnsi="Book Antiqua" w:eastAsia="Book Antiqua" w:cs="Book Antiqua"/>
          <w:i/>
          <w:iCs/>
          <w:color w:val="000000" w:themeColor="text1"/>
          <w14:textFill>
            <w14:solidFill>
              <w14:schemeClr w14:val="tx1"/>
            </w14:solidFill>
          </w14:textFill>
        </w:rPr>
        <w:t xml:space="preserve">t </w:t>
      </w:r>
      <w:r>
        <w:rPr>
          <w:rFonts w:ascii="Book Antiqua" w:hAnsi="Book Antiqua" w:eastAsia="Book Antiqua" w:cs="Book Antiqua"/>
          <w:color w:val="000000" w:themeColor="text1"/>
          <w14:textFill>
            <w14:solidFill>
              <w14:schemeClr w14:val="tx1"/>
            </w14:solidFill>
          </w14:textFill>
        </w:rPr>
        <w:t xml:space="preserve">= 6.581,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0.000), and total scores (</w:t>
      </w:r>
      <w:r>
        <w:rPr>
          <w:rFonts w:ascii="Book Antiqua" w:hAnsi="Book Antiqua" w:eastAsia="Book Antiqua" w:cs="Book Antiqua"/>
          <w:i/>
          <w:iCs/>
          <w:color w:val="000000" w:themeColor="text1"/>
          <w14:textFill>
            <w14:solidFill>
              <w14:schemeClr w14:val="tx1"/>
            </w14:solidFill>
          </w14:textFill>
        </w:rPr>
        <w:t>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 2.140, </w:t>
      </w:r>
      <w:r>
        <w:rPr>
          <w:rFonts w:ascii="Book Antiqua" w:hAnsi="Book Antiqua" w:eastAsia="Book Antiqua" w:cs="Book Antiqua"/>
          <w:i/>
          <w:iCs/>
          <w:color w:val="000000" w:themeColor="text1"/>
          <w14:textFill>
            <w14:solidFill>
              <w14:schemeClr w14:val="tx1"/>
            </w14:solidFill>
          </w14:textFill>
        </w:rPr>
        <w:t>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0.035) were significantly lower in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than in the control group. Further details are provided in Table 6.</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Dentition defect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a prevalent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oral disease, and related research has found that nearly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60% of the patients with such disease will develop dental malformation, aggravating the case, which can cause a vicious spiral</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Orthodontic treatment before implantation can alleviate malocclusion and jaw malformation, make the mouth</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more desirable, and maintain the normal physiological alignment between the implant and the normal teeth in the mouth</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for a longer time. However, implants can only repair dentures, which makes it difficult to improve the beauty and function of teeth in the mouth. If implant restoration is directly implemented, it may expose the patients to the unfavorable implants and aesthetics, and reduce the repair effect because of abnormalities such as the loss of anterior teeth. Therefore, orthodontic treatment before implantation can potentially improve the outcomes of subsequent implant repair</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the treatment of patients with dentition defects,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an implant guide plate constitutes a pivotal part in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treatment of multiple missing teeth and poor alveolar bone</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Implant guide plates play a considerable guiding role, particularly for doctors with little experience.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Therefore, in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course of</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implant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application, the selection of an appropriate implant guide plate plays a decisive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role</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The fabrication of implant guide plates has many advantages, and plaster casts are routinely used for their preparation. Although the fabrication process is simple, there have been few analyses of the internal bone tissue structure of the edentulous sites. After implantation, the risk of implant deviation increases markedly</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Simultaneously, it is necessary to rely on clinical experience during implantation</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During</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this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process, the matching accuracy of the model and tooth may be insufficient owing to the use of the vacuum-formed pressure film technology. During model preparation, it was necessary to rotate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model repeatedly. This process may increase the unreliability of the implant guide plate and further enlarge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offset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after treatment. With the continuous clinical application of 3D technology, the anatomical position of the dentition defect site is fully considered in the preparation of the model and its accuracy is greatly improved.</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this study, we found that the efficacy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was better than that in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control group, and the aesthetics also significantly improved. In the treatment of</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dentition defects, a substantial inflammatory response inevitably occurs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the alveolar bone of the lesion site, which is markedly destructive to both the bone surface and the periosteal structure.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 meta-analysis of studies comparing the clinical outcomes of denture restorations and implants for the treatment of edentulism showed that implant restorations are more effective in the treatment of edentulism than dentures</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However,</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challenges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still exists.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During implant restoration, the mismatch between the implant and anatomical position of the body</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xml:space="preserve"> causes tooth wear in the gingival and oral tissues</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and the continuous inflammatory response in gingival tissues</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xml:space="preserve"> further damages</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local aesthetics</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Involuntary muscle spasms can also be caused by mismatched implant restorations</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and abnormal changes in appearance can occur as the disease progresses</w:t>
      </w:r>
      <w:r>
        <w:rPr>
          <w:rFonts w:ascii="Book Antiqua" w:hAnsi="Book Antiqua" w:eastAsia="Book Antiqua" w:cs="Book Antiqua"/>
          <w:color w:val="000000" w:themeColor="text1"/>
          <w:vertAlign w:val="superscript"/>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Complications, due to</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unpredictability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such as pulpal necrosis, root resorption, loosening, and loss of teeth are often observed after dental implantation that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therefore not often promoted clinically</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this study, the deviation values at the top and middle parts of the implants in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were lower than those in the control group, which also confirmed the significant advantage of</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3D printing guide plate implantation</w:t>
      </w:r>
      <w:r>
        <w:rPr>
          <w:rFonts w:ascii="Book Antiqua" w:hAnsi="Book Antiqua" w:eastAsia="Book Antiqua" w:cs="Book Antiqua"/>
          <w:color w:val="000000" w:themeColor="text1"/>
          <w:vertAlign w:val="superscript"/>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xml:space="preserve">. In a comparative study of traditional and 3D-printed implant plates, Suo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xml:space="preserve"> showed that 3D-printed implant plates had a significant accuracy advantage in the treatment of patients with dentition defects.</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terms of dental function after treatment, the masticatory, swallowing, and 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functions of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were significantly better than those of the control group in our study, suggesting that with the use of 3D printing guide plate implantation, the matching</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 implants to the body is markedly improved, which has a positive role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recovery of muscle strength at the local lesions. In addition, the quality of life of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intervention group was significantly higher than that of the control group, showing</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that through the improvement of the tooth function and aesthetics of the patients, the use of 3D printing guide plate implantation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has a positive role in improving the quality of life of patients after surgery.</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summary, following the orthodontic treatment combined with 3D printing guide plate implant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restoration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patients with dentition defects, the masticatory and 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functions of the patients significantly improved, so did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quality of life and psychological health. On the basis of these findings, 3D printing guide plate implantation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recommended for clinical application.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To sum up, we have confirmed</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significant advantages of 3D printing guide plate implantation, including significant recovery of muscle strength, significant improvement in oral function and quality of life, and a more aesthetic facial appearance in patients at the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local lesion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site</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3D printing guided implant reconstruction</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conducive to improving masticatory and phonic</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functions, and is recommended for clinical application.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ARTICLE HIGHLIGHTS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background</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Style w:val="7"/>
          <w:rFonts w:ascii="Book Antiqua" w:hAnsi="Book Antiqua" w:eastAsia="Book Antiqua" w:cs="Book Antiqua"/>
          <w:color w:val="000000" w:themeColor="text1"/>
          <w14:textFill>
            <w14:solidFill>
              <w14:schemeClr w14:val="tx1"/>
            </w14:solidFill>
          </w14:textFill>
        </w:rPr>
        <w:t>Dentition defects are among the most common oral diseases in clinical practice. Progression of this disease causes not only masticatory dysfunction and articulation difficulties but also aesthetic damage among patients, seriously affecting their quality of life.</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motivation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There exists a gap between the conventional prosthesis and the body, resulting in a decrease in the reliability of the prosthesis, consequently impacting the recovery of the occlusal relationship of the body.</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objectives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study aimed to investigate the influence of orthodontic treatment combined with 3D printing guide plate implantation on masticatory and language functions in patients with dentition defects.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methods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study included 86 patients with dentition defects who were divided into two groups using a random number table, with each group including 43 patients. The control group received traditional implant prosthesis, whereas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received 3D printing guide plate implantation.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results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terms of dental function after treatment, the masticatory, swallowing, and phonic functions of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were significantly better than those of the control group.</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conclusions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Orthodontics combined with 3D printing guide plate implant</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restoration can significantly improve the masticatory and language functions of patients with dentition defects.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perspectives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results of this study on orthodontics combined with 3D printing guide plate implant restoration will lay the foundation for further clinical utility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 this method.</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Jie B</w:t>
      </w:r>
      <w:r>
        <w:rPr>
          <w:rFonts w:ascii="Book Antiqua" w:hAnsi="Book Antiqua" w:eastAsia="Book Antiqua" w:cs="Book Antiqua"/>
          <w:color w:val="000000" w:themeColor="text1"/>
          <w14:textFill>
            <w14:solidFill>
              <w14:schemeClr w14:val="tx1"/>
            </w14:solidFill>
          </w14:textFill>
        </w:rPr>
        <w:t xml:space="preserve">, Yao B, Li R, An J, Zhang Y, He Y. Post-traumatic maxillofacial reconstruction with vascularized flaps and digital techniques: 10-year experience. </w:t>
      </w:r>
      <w:r>
        <w:rPr>
          <w:rFonts w:ascii="Book Antiqua" w:hAnsi="Book Antiqua" w:eastAsia="Book Antiqua" w:cs="Book Antiqua"/>
          <w:i/>
          <w:iCs/>
          <w:color w:val="000000" w:themeColor="text1"/>
          <w14:textFill>
            <w14:solidFill>
              <w14:schemeClr w14:val="tx1"/>
            </w14:solidFill>
          </w14:textFill>
        </w:rPr>
        <w:t>Int J Oral Maxillofac Surg</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49</w:t>
      </w:r>
      <w:r>
        <w:rPr>
          <w:rFonts w:ascii="Book Antiqua" w:hAnsi="Book Antiqua" w:eastAsia="Book Antiqua" w:cs="Book Antiqua"/>
          <w:color w:val="000000" w:themeColor="text1"/>
          <w14:textFill>
            <w14:solidFill>
              <w14:schemeClr w14:val="tx1"/>
            </w14:solidFill>
          </w14:textFill>
        </w:rPr>
        <w:t>: 1408-1415 [PMID: 32404244 DOI: 10.1016/j.ijom.2020.04.012]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Bensi C</w:t>
      </w:r>
      <w:r>
        <w:rPr>
          <w:rFonts w:ascii="Book Antiqua" w:hAnsi="Book Antiqua" w:eastAsia="Book Antiqua" w:cs="Book Antiqua"/>
          <w:color w:val="000000" w:themeColor="text1"/>
          <w14:textFill>
            <w14:solidFill>
              <w14:schemeClr w14:val="tx1"/>
            </w14:solidFill>
          </w14:textFill>
        </w:rPr>
        <w:t xml:space="preserve">, Costacurta M, Belli S, Paradiso D, Docimo R. Relationship between preterm birth and developmental defects of enamel: A systematic review and meta-analysis. </w:t>
      </w:r>
      <w:r>
        <w:rPr>
          <w:rFonts w:ascii="Book Antiqua" w:hAnsi="Book Antiqua" w:eastAsia="Book Antiqua" w:cs="Book Antiqua"/>
          <w:i/>
          <w:iCs/>
          <w:color w:val="000000" w:themeColor="text1"/>
          <w14:textFill>
            <w14:solidFill>
              <w14:schemeClr w14:val="tx1"/>
            </w14:solidFill>
          </w14:textFill>
        </w:rPr>
        <w:t>Int J Paediatr Dent</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30</w:t>
      </w:r>
      <w:r>
        <w:rPr>
          <w:rFonts w:ascii="Book Antiqua" w:hAnsi="Book Antiqua" w:eastAsia="Book Antiqua" w:cs="Book Antiqua"/>
          <w:color w:val="000000" w:themeColor="text1"/>
          <w14:textFill>
            <w14:solidFill>
              <w14:schemeClr w14:val="tx1"/>
            </w14:solidFill>
          </w14:textFill>
        </w:rPr>
        <w:t>: 676-686 [PMID: 32243004 DOI: 10.1111/ipd.12646]</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Schüttfort G</w:t>
      </w:r>
      <w:r>
        <w:rPr>
          <w:rFonts w:ascii="Book Antiqua" w:hAnsi="Book Antiqua" w:eastAsia="Book Antiqua" w:cs="Book Antiqua"/>
          <w:color w:val="000000" w:themeColor="text1"/>
          <w14:textFill>
            <w14:solidFill>
              <w14:schemeClr w14:val="tx1"/>
            </w14:solidFill>
          </w14:textFill>
        </w:rPr>
        <w:t xml:space="preserve">, Höfler S, Kann G, Königs C, de Leuw P, Herrmann E, Stephan C, Haberl A. Influence of tenofovir exposure in utero on primary dentition. </w:t>
      </w:r>
      <w:r>
        <w:rPr>
          <w:rFonts w:ascii="Book Antiqua" w:hAnsi="Book Antiqua" w:eastAsia="Book Antiqua" w:cs="Book Antiqua"/>
          <w:i/>
          <w:iCs/>
          <w:color w:val="000000" w:themeColor="text1"/>
          <w14:textFill>
            <w14:solidFill>
              <w14:schemeClr w14:val="tx1"/>
            </w14:solidFill>
          </w14:textFill>
        </w:rPr>
        <w:t>Eur J Pediatr</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179</w:t>
      </w:r>
      <w:r>
        <w:rPr>
          <w:rFonts w:ascii="Book Antiqua" w:hAnsi="Book Antiqua" w:eastAsia="Book Antiqua" w:cs="Book Antiqua"/>
          <w:color w:val="000000" w:themeColor="text1"/>
          <w14:textFill>
            <w14:solidFill>
              <w14:schemeClr w14:val="tx1"/>
            </w14:solidFill>
          </w14:textFill>
        </w:rPr>
        <w:t>: 1761-1768 [PMID: 32424746 DOI: 10.1007/s00431-020-03660-1]</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Brignardello-Petersen R</w:t>
      </w:r>
      <w:r>
        <w:rPr>
          <w:rFonts w:ascii="Book Antiqua" w:hAnsi="Book Antiqua" w:eastAsia="Book Antiqua" w:cs="Book Antiqua"/>
          <w:color w:val="000000" w:themeColor="text1"/>
          <w14:textFill>
            <w14:solidFill>
              <w14:schemeClr w14:val="tx1"/>
            </w14:solidFill>
          </w14:textFill>
        </w:rPr>
        <w:t xml:space="preserve">. Preterm birth seems to be associated with diagnosis of developmental enamel defects in primary dentition. </w:t>
      </w:r>
      <w:r>
        <w:rPr>
          <w:rFonts w:ascii="Book Antiqua" w:hAnsi="Book Antiqua" w:eastAsia="Book Antiqua" w:cs="Book Antiqua"/>
          <w:i/>
          <w:iCs/>
          <w:color w:val="000000" w:themeColor="text1"/>
          <w14:textFill>
            <w14:solidFill>
              <w14:schemeClr w14:val="tx1"/>
            </w14:solidFill>
          </w14:textFill>
        </w:rPr>
        <w:t>J Am Dent Assoc</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151</w:t>
      </w:r>
      <w:r>
        <w:rPr>
          <w:rFonts w:ascii="Book Antiqua" w:hAnsi="Book Antiqua" w:eastAsia="Book Antiqua" w:cs="Book Antiqua"/>
          <w:color w:val="000000" w:themeColor="text1"/>
          <w14:textFill>
            <w14:solidFill>
              <w14:schemeClr w14:val="tx1"/>
            </w14:solidFill>
          </w14:textFill>
        </w:rPr>
        <w:t>: e91 [PMID: 32768143 DOI: 10.1016/j.adaj.2020.06.027]</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Ye J</w:t>
      </w:r>
      <w:r>
        <w:rPr>
          <w:rFonts w:ascii="Book Antiqua" w:hAnsi="Book Antiqua" w:eastAsia="Book Antiqua" w:cs="Book Antiqua"/>
          <w:color w:val="000000" w:themeColor="text1"/>
          <w14:textFill>
            <w14:solidFill>
              <w14:schemeClr w14:val="tx1"/>
            </w14:solidFill>
          </w14:textFill>
        </w:rPr>
        <w:t xml:space="preserve">, Gong P. NGF-CS/HA-coating composite titanium facilitates the differentiation of bone marrow mesenchymal stem cells into osteoblast and neural cells. </w:t>
      </w:r>
      <w:r>
        <w:rPr>
          <w:rFonts w:ascii="Book Antiqua" w:hAnsi="Book Antiqua" w:eastAsia="Book Antiqua" w:cs="Book Antiqua"/>
          <w:i/>
          <w:iCs/>
          <w:color w:val="000000" w:themeColor="text1"/>
          <w14:textFill>
            <w14:solidFill>
              <w14:schemeClr w14:val="tx1"/>
            </w14:solidFill>
          </w14:textFill>
        </w:rPr>
        <w:t>Biochem Biophys Res Commun</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531</w:t>
      </w:r>
      <w:r>
        <w:rPr>
          <w:rFonts w:ascii="Book Antiqua" w:hAnsi="Book Antiqua" w:eastAsia="Book Antiqua" w:cs="Book Antiqua"/>
          <w:color w:val="000000" w:themeColor="text1"/>
          <w14:textFill>
            <w14:solidFill>
              <w14:schemeClr w14:val="tx1"/>
            </w14:solidFill>
          </w14:textFill>
        </w:rPr>
        <w:t>: 290-296 [PMID: 32800542 DOI: 10.1016/j.bbrc.2020.06.158]</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Alkhalaf R</w:t>
      </w:r>
      <w:r>
        <w:rPr>
          <w:rFonts w:ascii="Book Antiqua" w:hAnsi="Book Antiqua" w:eastAsia="Book Antiqua" w:cs="Book Antiqua"/>
          <w:color w:val="000000" w:themeColor="text1"/>
          <w14:textFill>
            <w14:solidFill>
              <w14:schemeClr w14:val="tx1"/>
            </w14:solidFill>
          </w14:textFill>
        </w:rPr>
        <w:t xml:space="preserve">, Neves AA, Banerjee A, Hosey MT. Minimally invasive judgement calls: managing compromised first permanent molars in children. </w:t>
      </w:r>
      <w:r>
        <w:rPr>
          <w:rFonts w:ascii="Book Antiqua" w:hAnsi="Book Antiqua" w:eastAsia="Book Antiqua" w:cs="Book Antiqua"/>
          <w:i/>
          <w:iCs/>
          <w:color w:val="000000" w:themeColor="text1"/>
          <w14:textFill>
            <w14:solidFill>
              <w14:schemeClr w14:val="tx1"/>
            </w14:solidFill>
          </w14:textFill>
        </w:rPr>
        <w:t>Br Dent J</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229</w:t>
      </w:r>
      <w:r>
        <w:rPr>
          <w:rFonts w:ascii="Book Antiqua" w:hAnsi="Book Antiqua" w:eastAsia="Book Antiqua" w:cs="Book Antiqua"/>
          <w:color w:val="000000" w:themeColor="text1"/>
          <w14:textFill>
            <w14:solidFill>
              <w14:schemeClr w14:val="tx1"/>
            </w14:solidFill>
          </w14:textFill>
        </w:rPr>
        <w:t>: 459-465 [PMID: 33037366 DOI: 10.1038/s41415-020-2154-x]</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Iturriaga MP</w:t>
      </w:r>
      <w:r>
        <w:rPr>
          <w:rFonts w:ascii="Book Antiqua" w:hAnsi="Book Antiqua" w:eastAsia="Book Antiqua" w:cs="Book Antiqua"/>
          <w:color w:val="000000" w:themeColor="text1"/>
          <w14:textFill>
            <w14:solidFill>
              <w14:schemeClr w14:val="tx1"/>
            </w14:solidFill>
          </w14:textFill>
        </w:rPr>
        <w:t xml:space="preserve">, Cocio JA, Barrs VR. Cluster of cases of congenital feline goitrous hypothyroidism in a single hospital. </w:t>
      </w:r>
      <w:r>
        <w:rPr>
          <w:rFonts w:ascii="Book Antiqua" w:hAnsi="Book Antiqua" w:eastAsia="Book Antiqua" w:cs="Book Antiqua"/>
          <w:i/>
          <w:iCs/>
          <w:color w:val="000000" w:themeColor="text1"/>
          <w14:textFill>
            <w14:solidFill>
              <w14:schemeClr w14:val="tx1"/>
            </w14:solidFill>
          </w14:textFill>
        </w:rPr>
        <w:t>J Small Anim Pract</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61</w:t>
      </w:r>
      <w:r>
        <w:rPr>
          <w:rFonts w:ascii="Book Antiqua" w:hAnsi="Book Antiqua" w:eastAsia="Book Antiqua" w:cs="Book Antiqua"/>
          <w:color w:val="000000" w:themeColor="text1"/>
          <w14:textFill>
            <w14:solidFill>
              <w14:schemeClr w14:val="tx1"/>
            </w14:solidFill>
          </w14:textFill>
        </w:rPr>
        <w:t>: 696-703 [PMID: 32974927 DOI: 10.1111/jsap.13231]</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Malament KA</w:t>
      </w:r>
      <w:r>
        <w:rPr>
          <w:rFonts w:ascii="Book Antiqua" w:hAnsi="Book Antiqua" w:eastAsia="Book Antiqua" w:cs="Book Antiqua"/>
          <w:color w:val="000000" w:themeColor="text1"/>
          <w14:textFill>
            <w14:solidFill>
              <w14:schemeClr w14:val="tx1"/>
            </w14:solidFill>
          </w14:textFill>
        </w:rPr>
        <w:t xml:space="preserve">, Margvelashvili-Malament M, Natto ZS, Thompson V, Rekow D, Att W. Comparison of 16.9-year survival of pressed acid etched e.max lithium disilicate glass-ceramic complete and partial coverage restorations in posterior teeth: Performance and outcomes as a function of tooth position, age, sex, and thickness of ceramic material. </w:t>
      </w:r>
      <w:r>
        <w:rPr>
          <w:rFonts w:ascii="Book Antiqua" w:hAnsi="Book Antiqua" w:eastAsia="Book Antiqua" w:cs="Book Antiqua"/>
          <w:i/>
          <w:iCs/>
          <w:color w:val="000000" w:themeColor="text1"/>
          <w14:textFill>
            <w14:solidFill>
              <w14:schemeClr w14:val="tx1"/>
            </w14:solidFill>
          </w14:textFill>
        </w:rPr>
        <w:t>J Prosthet Dent</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126</w:t>
      </w:r>
      <w:r>
        <w:rPr>
          <w:rFonts w:ascii="Book Antiqua" w:hAnsi="Book Antiqua" w:eastAsia="Book Antiqua" w:cs="Book Antiqua"/>
          <w:color w:val="000000" w:themeColor="text1"/>
          <w14:textFill>
            <w14:solidFill>
              <w14:schemeClr w14:val="tx1"/>
            </w14:solidFill>
          </w14:textFill>
        </w:rPr>
        <w:t>: 533-545 [PMID: 33010922 DOI: 10.1016/j.prosdent.2020.08.013]</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Yin R</w:t>
      </w:r>
      <w:r>
        <w:rPr>
          <w:rFonts w:ascii="Book Antiqua" w:hAnsi="Book Antiqua" w:eastAsia="Book Antiqua" w:cs="Book Antiqua"/>
          <w:color w:val="000000" w:themeColor="text1"/>
          <w14:textFill>
            <w14:solidFill>
              <w14:schemeClr w14:val="tx1"/>
            </w14:solidFill>
          </w14:textFill>
        </w:rPr>
        <w:t xml:space="preserve">, Zhao HJ, Li YC, Pan YP. [Evaluation of alveolar bone defects in patients with periodontitis with Angle Class II malocclusion and orthodontic history by cone beam CT]. </w:t>
      </w:r>
      <w:r>
        <w:rPr>
          <w:rFonts w:ascii="Book Antiqua" w:hAnsi="Book Antiqua" w:eastAsia="Book Antiqua" w:cs="Book Antiqua"/>
          <w:i/>
          <w:iCs/>
          <w:color w:val="000000" w:themeColor="text1"/>
          <w14:textFill>
            <w14:solidFill>
              <w14:schemeClr w14:val="tx1"/>
            </w14:solidFill>
          </w14:textFill>
        </w:rPr>
        <w:t>Zhonghua Kouqiang Yixue Zazhi</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56</w:t>
      </w:r>
      <w:r>
        <w:rPr>
          <w:rFonts w:ascii="Book Antiqua" w:hAnsi="Book Antiqua" w:eastAsia="Book Antiqua" w:cs="Book Antiqua"/>
          <w:color w:val="000000" w:themeColor="text1"/>
          <w14:textFill>
            <w14:solidFill>
              <w14:schemeClr w14:val="tx1"/>
            </w14:solidFill>
          </w14:textFill>
        </w:rPr>
        <w:t>: 769-776 [DOI: 10.3760/cma.j.cn112144-20210310-00107]</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Meixner I</w:t>
      </w:r>
      <w:r>
        <w:rPr>
          <w:rFonts w:ascii="Book Antiqua" w:hAnsi="Book Antiqua" w:eastAsia="Book Antiqua" w:cs="Book Antiqua"/>
          <w:color w:val="000000" w:themeColor="text1"/>
          <w14:textFill>
            <w14:solidFill>
              <w14:schemeClr w14:val="tx1"/>
            </w14:solidFill>
          </w14:textFill>
        </w:rPr>
        <w:t xml:space="preserve">, Hagl B, Kröner CI, Spielberger BD, Paschos E, Dückers G, Niehues T, Hesse R, Renner ED. Retained primary teeth in STAT3 hyper-IgE syndrome: early intervention in childhood is essential. </w:t>
      </w:r>
      <w:r>
        <w:rPr>
          <w:rFonts w:ascii="Book Antiqua" w:hAnsi="Book Antiqua" w:eastAsia="Book Antiqua" w:cs="Book Antiqua"/>
          <w:i/>
          <w:iCs/>
          <w:color w:val="000000" w:themeColor="text1"/>
          <w14:textFill>
            <w14:solidFill>
              <w14:schemeClr w14:val="tx1"/>
            </w14:solidFill>
          </w14:textFill>
        </w:rPr>
        <w:t>Orphanet J Rare Dis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244 [PMID: 32912316 DOI: 10.1186/s13023-020-01516-3]</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Wu J</w:t>
      </w:r>
      <w:r>
        <w:rPr>
          <w:rFonts w:ascii="Book Antiqua" w:hAnsi="Book Antiqua" w:eastAsia="Book Antiqua" w:cs="Book Antiqua"/>
          <w:color w:val="000000" w:themeColor="text1"/>
          <w14:textFill>
            <w14:solidFill>
              <w14:schemeClr w14:val="tx1"/>
            </w14:solidFill>
          </w14:textFill>
        </w:rPr>
        <w:t xml:space="preserve">, Wang WN, Yu H, Gao B. [Application of digital technology to rehabilitate a patient with tooth and dentition defects: a case report]. </w:t>
      </w:r>
      <w:r>
        <w:rPr>
          <w:rFonts w:ascii="Book Antiqua" w:hAnsi="Book Antiqua" w:eastAsia="Book Antiqua" w:cs="Book Antiqua"/>
          <w:i/>
          <w:iCs/>
          <w:color w:val="000000" w:themeColor="text1"/>
          <w14:textFill>
            <w14:solidFill>
              <w14:schemeClr w14:val="tx1"/>
            </w14:solidFill>
          </w14:textFill>
        </w:rPr>
        <w:t>Zhonghua Kou Qiang Yi Xue Za Zhi</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55</w:t>
      </w:r>
      <w:r>
        <w:rPr>
          <w:rFonts w:ascii="Book Antiqua" w:hAnsi="Book Antiqua" w:eastAsia="Book Antiqua" w:cs="Book Antiqua"/>
          <w:color w:val="000000" w:themeColor="text1"/>
          <w14:textFill>
            <w14:solidFill>
              <w14:schemeClr w14:val="tx1"/>
            </w14:solidFill>
          </w14:textFill>
        </w:rPr>
        <w:t>: 754-756 [PMID: 33045787 DOI: 10.3760/cma.j.cn112144-20200528-00304]</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Wang CL</w:t>
      </w:r>
      <w:r>
        <w:rPr>
          <w:rFonts w:ascii="Book Antiqua" w:hAnsi="Book Antiqua" w:eastAsia="Book Antiqua" w:cs="Book Antiqua"/>
          <w:color w:val="000000" w:themeColor="text1"/>
          <w14:textFill>
            <w14:solidFill>
              <w14:schemeClr w14:val="tx1"/>
            </w14:solidFill>
          </w14:textFill>
        </w:rPr>
        <w:t xml:space="preserve">, Lan ZD, Mao Q, Lin DF, Xu QJ, Liu CH. [Efficacy of Personalized Microanchorage Nail-assisted Rapid Expander in Expansion of Midpalatal Suture in Adults]. </w:t>
      </w:r>
      <w:r>
        <w:rPr>
          <w:rFonts w:ascii="Book Antiqua" w:hAnsi="Book Antiqua" w:eastAsia="Book Antiqua" w:cs="Book Antiqua"/>
          <w:i/>
          <w:iCs/>
          <w:color w:val="000000" w:themeColor="text1"/>
          <w14:textFill>
            <w14:solidFill>
              <w14:schemeClr w14:val="tx1"/>
            </w14:solidFill>
          </w14:textFill>
        </w:rPr>
        <w:t>Kouqiang Jibing Yufang</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657-663 [DOI: 10.12016/j.issn.2096-1456.2020.10.008]</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Peng K</w:t>
      </w:r>
      <w:r>
        <w:rPr>
          <w:rFonts w:ascii="Book Antiqua" w:hAnsi="Book Antiqua" w:eastAsia="Book Antiqua" w:cs="Book Antiqua"/>
          <w:color w:val="000000" w:themeColor="text1"/>
          <w14:textFill>
            <w14:solidFill>
              <w14:schemeClr w14:val="tx1"/>
            </w14:solidFill>
          </w14:textFill>
        </w:rPr>
        <w:t xml:space="preserve">, Zhou Y, Dai Y, Wang Q, Hu Y, Dai Q. The effect of denture restoration and dental implant restoration in the treatment of dentition defect: a systematic review and meta-analysis. </w:t>
      </w:r>
      <w:r>
        <w:rPr>
          <w:rFonts w:ascii="Book Antiqua" w:hAnsi="Book Antiqua" w:eastAsia="Book Antiqua" w:cs="Book Antiqua"/>
          <w:i/>
          <w:iCs/>
          <w:color w:val="000000" w:themeColor="text1"/>
          <w14:textFill>
            <w14:solidFill>
              <w14:schemeClr w14:val="tx1"/>
            </w14:solidFill>
          </w14:textFill>
        </w:rPr>
        <w:t>Ann Palliat Med</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3267-3276 [PMID: 33849111 DOI: 10.21037/apm-21-421]</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Tian MT</w:t>
      </w:r>
      <w:r>
        <w:rPr>
          <w:rFonts w:ascii="Book Antiqua" w:hAnsi="Book Antiqua" w:eastAsia="Book Antiqua" w:cs="Book Antiqua"/>
          <w:color w:val="000000" w:themeColor="text1"/>
          <w14:textFill>
            <w14:solidFill>
              <w14:schemeClr w14:val="tx1"/>
            </w14:solidFill>
          </w14:textFill>
        </w:rPr>
        <w:t xml:space="preserve">, Zhang MZ. [Development and Application of 3D Surgical Guide Combined with Periodontal Cortical Osteotomy]. </w:t>
      </w:r>
      <w:r>
        <w:rPr>
          <w:rFonts w:ascii="Book Antiqua" w:hAnsi="Book Antiqua" w:eastAsia="Book Antiqua" w:cs="Book Antiqua"/>
          <w:i/>
          <w:iCs/>
          <w:color w:val="000000" w:themeColor="text1"/>
          <w14:textFill>
            <w14:solidFill>
              <w14:schemeClr w14:val="tx1"/>
            </w14:solidFill>
          </w14:textFill>
        </w:rPr>
        <w:t>Yixue Yanjiu Zazhi</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 738-742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bCs/>
          <w:color w:val="000000" w:themeColor="text1"/>
          <w14:textFill>
            <w14:solidFill>
              <w14:schemeClr w14:val="tx1"/>
            </w14:solidFill>
          </w14:textFill>
        </w:rPr>
        <w:t>Kramer K</w:t>
      </w:r>
      <w:r>
        <w:rPr>
          <w:rFonts w:ascii="Book Antiqua" w:hAnsi="Book Antiqua" w:eastAsia="Book Antiqua" w:cs="Book Antiqua"/>
          <w:color w:val="000000" w:themeColor="text1"/>
          <w14:textFill>
            <w14:solidFill>
              <w14:schemeClr w14:val="tx1"/>
            </w14:solidFill>
          </w14:textFill>
        </w:rPr>
        <w:t xml:space="preserve">, Chavez MB, Tran AT, Farah F, Tan MH, Kolli TN, Dos Santos EJL, Wimer HF, Millán JL, Suva LJ, Gaddy D, Foster BL. Dental defects in the primary dentition associated with hypophosphatasia from biallelic ALPL mutations. </w:t>
      </w:r>
      <w:r>
        <w:rPr>
          <w:rFonts w:ascii="Book Antiqua" w:hAnsi="Book Antiqua" w:eastAsia="Book Antiqua" w:cs="Book Antiqua"/>
          <w:i/>
          <w:iCs/>
          <w:color w:val="000000" w:themeColor="text1"/>
          <w14:textFill>
            <w14:solidFill>
              <w14:schemeClr w14:val="tx1"/>
            </w14:solidFill>
          </w14:textFill>
        </w:rPr>
        <w:t>Bone</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143</w:t>
      </w:r>
      <w:r>
        <w:rPr>
          <w:rFonts w:ascii="Book Antiqua" w:hAnsi="Book Antiqua" w:eastAsia="Book Antiqua" w:cs="Book Antiqua"/>
          <w:color w:val="000000" w:themeColor="text1"/>
          <w14:textFill>
            <w14:solidFill>
              <w14:schemeClr w14:val="tx1"/>
            </w14:solidFill>
          </w14:textFill>
        </w:rPr>
        <w:t>: 115732 [PMID: 33160095 DOI: 10.1016/j.bone.2020.115732]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16 </w:t>
      </w:r>
      <w:r>
        <w:rPr>
          <w:rFonts w:ascii="Book Antiqua" w:hAnsi="Book Antiqua"/>
          <w:b/>
          <w:bCs/>
          <w:color w:val="000000" w:themeColor="text1"/>
          <w14:textFill>
            <w14:solidFill>
              <w14:schemeClr w14:val="tx1"/>
            </w14:solidFill>
          </w14:textFill>
        </w:rPr>
        <w:t>Janssen NG</w:t>
      </w:r>
      <w:r>
        <w:rPr>
          <w:rFonts w:ascii="Book Antiqua" w:hAnsi="Book Antiqua"/>
          <w:color w:val="000000" w:themeColor="text1"/>
          <w14:textFill>
            <w14:solidFill>
              <w14:schemeClr w14:val="tx1"/>
            </w14:solidFill>
          </w14:textFill>
        </w:rPr>
        <w:t xml:space="preserve">, Schreurs R, de Ruiter AP, Sylvester-Jensen HC, Blindheim G, Meijer GJ, Koole R, Vindenes H. Microstructured beta-tricalcium phosphate for alveolar cleft repair: a two-centre study. </w:t>
      </w:r>
      <w:r>
        <w:rPr>
          <w:rFonts w:ascii="Book Antiqua" w:hAnsi="Book Antiqua"/>
          <w:i/>
          <w:iCs/>
          <w:color w:val="000000" w:themeColor="text1"/>
          <w14:textFill>
            <w14:solidFill>
              <w14:schemeClr w14:val="tx1"/>
            </w14:solidFill>
          </w14:textFill>
        </w:rPr>
        <w:t>Int J Oral Maxillofac Surg</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48</w:t>
      </w:r>
      <w:r>
        <w:rPr>
          <w:rFonts w:ascii="Book Antiqua" w:hAnsi="Book Antiqua"/>
          <w:color w:val="000000" w:themeColor="text1"/>
          <w14:textFill>
            <w14:solidFill>
              <w14:schemeClr w14:val="tx1"/>
            </w14:solidFill>
          </w14:textFill>
        </w:rPr>
        <w:t>: 708-711 [PMID: 30594478 DOI: 10.1016/j.ijom.2018.11.009]</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Batstone MD</w:t>
      </w:r>
      <w:r>
        <w:rPr>
          <w:rFonts w:ascii="Book Antiqua" w:hAnsi="Book Antiqua" w:eastAsia="Book Antiqua" w:cs="Book Antiqua"/>
          <w:color w:val="000000" w:themeColor="text1"/>
          <w14:textFill>
            <w14:solidFill>
              <w14:schemeClr w14:val="tx1"/>
            </w14:solidFill>
          </w14:textFill>
        </w:rPr>
        <w:t xml:space="preserve">. Reconstruction of major defects of the jaws. </w:t>
      </w:r>
      <w:r>
        <w:rPr>
          <w:rFonts w:ascii="Book Antiqua" w:hAnsi="Book Antiqua" w:eastAsia="Book Antiqua" w:cs="Book Antiqua"/>
          <w:i/>
          <w:iCs/>
          <w:color w:val="000000" w:themeColor="text1"/>
          <w14:textFill>
            <w14:solidFill>
              <w14:schemeClr w14:val="tx1"/>
            </w14:solidFill>
          </w14:textFill>
        </w:rPr>
        <w:t>Aust Dent J</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63 Suppl 1</w:t>
      </w:r>
      <w:r>
        <w:rPr>
          <w:rFonts w:ascii="Book Antiqua" w:hAnsi="Book Antiqua" w:eastAsia="Book Antiqua" w:cs="Book Antiqua"/>
          <w:color w:val="000000" w:themeColor="text1"/>
          <w14:textFill>
            <w14:solidFill>
              <w14:schemeClr w14:val="tx1"/>
            </w14:solidFill>
          </w14:textFill>
        </w:rPr>
        <w:t>: S108-S113 [PMID: 29574815 DOI: 10.1111/adj.12596]</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Ye H</w:t>
      </w:r>
      <w:r>
        <w:rPr>
          <w:rFonts w:ascii="Book Antiqua" w:hAnsi="Book Antiqua" w:eastAsia="Book Antiqua" w:cs="Book Antiqua"/>
          <w:color w:val="000000" w:themeColor="text1"/>
          <w14:textFill>
            <w14:solidFill>
              <w14:schemeClr w14:val="tx1"/>
            </w14:solidFill>
          </w14:textFill>
        </w:rPr>
        <w:t xml:space="preserve">, Ma Q, Hou Y, Li M, Zhou Y. Generation and evaluation of 3D digital casts of maxillary defects based on multisource data registration: A pilot clinical study. </w:t>
      </w:r>
      <w:r>
        <w:rPr>
          <w:rFonts w:ascii="Book Antiqua" w:hAnsi="Book Antiqua" w:eastAsia="Book Antiqua" w:cs="Book Antiqua"/>
          <w:i/>
          <w:iCs/>
          <w:color w:val="000000" w:themeColor="text1"/>
          <w14:textFill>
            <w14:solidFill>
              <w14:schemeClr w14:val="tx1"/>
            </w14:solidFill>
          </w14:textFill>
        </w:rPr>
        <w:t>J Prosthet Dent</w:t>
      </w:r>
      <w:r>
        <w:rPr>
          <w:rFonts w:ascii="Book Antiqua" w:hAnsi="Book Antiqua" w:eastAsia="Book Antiqua" w:cs="Book Antiqua"/>
          <w:color w:val="000000" w:themeColor="text1"/>
          <w14:textFill>
            <w14:solidFill>
              <w14:schemeClr w14:val="tx1"/>
            </w14:solidFill>
          </w14:textFill>
        </w:rPr>
        <w:t xml:space="preserve"> 2017; </w:t>
      </w:r>
      <w:r>
        <w:rPr>
          <w:rFonts w:ascii="Book Antiqua" w:hAnsi="Book Antiqua" w:eastAsia="Book Antiqua" w:cs="Book Antiqua"/>
          <w:b/>
          <w:bCs/>
          <w:color w:val="000000" w:themeColor="text1"/>
          <w14:textFill>
            <w14:solidFill>
              <w14:schemeClr w14:val="tx1"/>
            </w14:solidFill>
          </w14:textFill>
        </w:rPr>
        <w:t>118</w:t>
      </w:r>
      <w:r>
        <w:rPr>
          <w:rFonts w:ascii="Book Antiqua" w:hAnsi="Book Antiqua" w:eastAsia="Book Antiqua" w:cs="Book Antiqua"/>
          <w:color w:val="000000" w:themeColor="text1"/>
          <w14:textFill>
            <w14:solidFill>
              <w14:schemeClr w14:val="tx1"/>
            </w14:solidFill>
          </w14:textFill>
        </w:rPr>
        <w:t>: 790-795 [PMID: 28449864 DOI: 10.1016/j.prosdent.2017.01.014]</w:t>
      </w:r>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b/>
          <w:bCs/>
          <w:color w:val="000000" w:themeColor="text1"/>
          <w14:textFill>
            <w14:solidFill>
              <w14:schemeClr w14:val="tx1"/>
            </w14:solidFill>
          </w14:textFill>
        </w:rPr>
        <w:t>Zhifang C</w:t>
      </w:r>
      <w:r>
        <w:rPr>
          <w:rFonts w:ascii="Book Antiqua" w:hAnsi="Book Antiqua"/>
          <w:color w:val="000000" w:themeColor="text1"/>
          <w14:textFill>
            <w14:solidFill>
              <w14:schemeClr w14:val="tx1"/>
            </w14:solidFill>
          </w14:textFill>
        </w:rPr>
        <w:t xml:space="preserve">, Wei Z. [Clinical application on restoration of dentition defects using tooth-alveolar bone grafts]. </w:t>
      </w:r>
      <w:r>
        <w:rPr>
          <w:rFonts w:ascii="Book Antiqua" w:hAnsi="Book Antiqua"/>
          <w:i/>
          <w:iCs/>
          <w:color w:val="000000" w:themeColor="text1"/>
          <w14:textFill>
            <w14:solidFill>
              <w14:schemeClr w14:val="tx1"/>
            </w14:solidFill>
          </w14:textFill>
        </w:rPr>
        <w:t>Hua Xi Kou Qiang Yi Xue Za Zhi</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34</w:t>
      </w:r>
      <w:r>
        <w:rPr>
          <w:rFonts w:ascii="Book Antiqua" w:hAnsi="Book Antiqua"/>
          <w:color w:val="000000" w:themeColor="text1"/>
          <w14:textFill>
            <w14:solidFill>
              <w14:schemeClr w14:val="tx1"/>
            </w14:solidFill>
          </w14:textFill>
        </w:rPr>
        <w:t>: 364-368 [PMID: 28317353 DOI: 10.7518/hxkq.2016.04.009]</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Liu CH</w:t>
      </w:r>
      <w:r>
        <w:rPr>
          <w:rFonts w:ascii="Book Antiqua" w:hAnsi="Book Antiqua" w:eastAsia="Book Antiqua" w:cs="Book Antiqua"/>
          <w:color w:val="000000" w:themeColor="text1"/>
          <w14:textFill>
            <w14:solidFill>
              <w14:schemeClr w14:val="tx1"/>
            </w14:solidFill>
          </w14:textFill>
        </w:rPr>
        <w:t xml:space="preserve">, Mao Q, Wang CL. [Application and research progress of maxillary transverse expansion technique]. </w:t>
      </w:r>
      <w:r>
        <w:rPr>
          <w:rFonts w:ascii="Book Antiqua" w:hAnsi="Book Antiqua" w:eastAsia="Book Antiqua" w:cs="Book Antiqua"/>
          <w:i/>
          <w:iCs/>
          <w:color w:val="000000" w:themeColor="text1"/>
          <w14:textFill>
            <w14:solidFill>
              <w14:schemeClr w14:val="tx1"/>
            </w14:solidFill>
          </w14:textFill>
        </w:rPr>
        <w:t>Kou</w:t>
      </w:r>
      <w:r>
        <w:rPr>
          <w:rFonts w:ascii="Book Antiqua" w:hAnsi="Book Antiqua" w:cs="Book Antiqua"/>
          <w:i/>
          <w:iCs/>
          <w:color w:val="000000" w:themeColor="text1"/>
          <w:lang w:eastAsia="zh-CN"/>
          <w14:textFill>
            <w14:solidFill>
              <w14:schemeClr w14:val="tx1"/>
            </w14:solidFill>
          </w14:textFill>
        </w:rPr>
        <w:t>qiang</w:t>
      </w:r>
      <w:r>
        <w:rPr>
          <w:rFonts w:ascii="Book Antiqua" w:hAnsi="Book Antiqua" w:eastAsia="Book Antiqua" w:cs="Book Antiqua"/>
          <w:i/>
          <w:iCs/>
          <w:color w:val="000000" w:themeColor="text1"/>
          <w14:textFill>
            <w14:solidFill>
              <w14:schemeClr w14:val="tx1"/>
            </w14:solidFill>
          </w14:textFill>
        </w:rPr>
        <w:t xml:space="preserve"> Jibing Yufang</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689-697 [DOI: 10.12016/j.issn.2096-1456.2020.11.002]</w:t>
      </w:r>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Suo WC</w:t>
      </w:r>
      <w:r>
        <w:rPr>
          <w:rFonts w:ascii="Book Antiqua" w:hAnsi="Book Antiqua" w:eastAsia="Book Antiqua" w:cs="Book Antiqua"/>
          <w:color w:val="000000" w:themeColor="text1"/>
          <w14:textFill>
            <w14:solidFill>
              <w14:schemeClr w14:val="tx1"/>
            </w14:solidFill>
          </w14:textFill>
        </w:rPr>
        <w:t xml:space="preserve">, Zhou C, Wang HT. [Comparison of clinical application of traditional implant guide plate and 3D printed implant guide plate in dental implant restoration]. </w:t>
      </w:r>
      <w:r>
        <w:rPr>
          <w:rFonts w:ascii="Book Antiqua" w:hAnsi="Book Antiqua" w:eastAsia="Book Antiqua" w:cs="Book Antiqua"/>
          <w:i/>
          <w:iCs/>
          <w:color w:val="000000" w:themeColor="text1"/>
          <w14:textFill>
            <w14:solidFill>
              <w14:schemeClr w14:val="tx1"/>
            </w14:solidFill>
          </w14:textFill>
        </w:rPr>
        <w:t>Shandong Yiyao</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58</w:t>
      </w:r>
      <w:r>
        <w:rPr>
          <w:rFonts w:ascii="Book Antiqua" w:hAnsi="Book Antiqua" w:eastAsia="Book Antiqua" w:cs="Book Antiqua"/>
          <w:color w:val="000000" w:themeColor="text1"/>
          <w14:textFill>
            <w14:solidFill>
              <w14:schemeClr w14:val="tx1"/>
            </w14:solidFill>
          </w14:textFill>
        </w:rPr>
        <w:t>: 75-77 [DOI: 10.3969/j.issn.1002-266X.2018.42.023]</w:t>
      </w:r>
    </w:p>
    <w:p>
      <w:pPr>
        <w:adjustRightInd w:val="0"/>
        <w:snapToGrid w:val="0"/>
        <w:spacing w:line="360" w:lineRule="auto"/>
        <w:jc w:val="both"/>
        <w:rPr>
          <w:rFonts w:ascii="Book Antiqua" w:hAnsi="Book Antiqua" w:eastAsia="Book Antiqua" w:cs="Book Antiqua"/>
          <w:b/>
          <w:color w:val="000000" w:themeColor="text1"/>
          <w14:textFill>
            <w14:solidFill>
              <w14:schemeClr w14:val="tx1"/>
            </w14:solidFill>
          </w14:textFill>
        </w:rPr>
      </w:pPr>
    </w:p>
    <w:p>
      <w:pPr>
        <w:adjustRightInd w:val="0"/>
        <w:snapToGrid w:val="0"/>
        <w:spacing w:line="360" w:lineRule="auto"/>
        <w:jc w:val="both"/>
        <w:rPr>
          <w:rFonts w:ascii="Book Antiqua" w:hAnsi="Book Antiqua" w:eastAsia="Book Antiqua" w:cs="Book Antiqua"/>
          <w:b/>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Institutional review board statement: </w:t>
      </w:r>
      <w:r>
        <w:rPr>
          <w:rFonts w:ascii="Book Antiqua" w:hAnsi="Book Antiqua" w:eastAsia="Book Antiqua" w:cs="Book Antiqua"/>
          <w:color w:val="000000" w:themeColor="text1"/>
          <w14:textFill>
            <w14:solidFill>
              <w14:schemeClr w14:val="tx1"/>
            </w14:solidFill>
          </w14:textFill>
        </w:rPr>
        <w:t>This study was approved by the Lintong Rehabilitation and Convalescent center.</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eastAsia="Book Antiqua" w:cs="Book Antiqua"/>
          <w:b/>
          <w:bCs/>
          <w:color w:val="000000" w:themeColor="text1"/>
          <w14:textFill>
            <w14:solidFill>
              <w14:schemeClr w14:val="tx1"/>
            </w14:solidFill>
          </w14:textFill>
        </w:rPr>
      </w:pPr>
      <w:r>
        <w:rPr>
          <w:rStyle w:val="10"/>
          <w:rFonts w:ascii="Book Antiqua" w:hAnsi="Book Antiqua"/>
          <w:b/>
          <w:bCs/>
          <w:color w:val="000000" w:themeColor="text1"/>
          <w14:textFill>
            <w14:solidFill>
              <w14:schemeClr w14:val="tx1"/>
            </w14:solidFill>
          </w14:textFill>
        </w:rPr>
        <w:t>Clinical trial registration statement:</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This study has not yet been registered.</w:t>
      </w:r>
    </w:p>
    <w:p>
      <w:pPr>
        <w:adjustRightInd w:val="0"/>
        <w:snapToGrid w:val="0"/>
        <w:spacing w:line="360" w:lineRule="auto"/>
        <w:jc w:val="both"/>
        <w:rPr>
          <w:rFonts w:ascii="Book Antiqua" w:hAnsi="Book Antiqua" w:eastAsia="Book Antiqua" w:cs="Book Antiqua"/>
          <w:b/>
          <w:bCs/>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All patients signed an informed consent form.</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The authors have no competing interests to declare.</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Data sharing statement: </w:t>
      </w:r>
      <w:r>
        <w:rPr>
          <w:rFonts w:ascii="Book Antiqua" w:hAnsi="Book Antiqua" w:eastAsia="Book Antiqua" w:cs="Book Antiqua"/>
          <w:color w:val="000000" w:themeColor="text1"/>
          <w14:textFill>
            <w14:solidFill>
              <w14:schemeClr w14:val="tx1"/>
            </w14:solidFill>
          </w14:textFill>
        </w:rPr>
        <w:t>There is no additional data available.</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CONSORT 2010 statement:</w:t>
      </w:r>
      <w:r>
        <w:rPr>
          <w:rFonts w:ascii="Book Antiqua" w:hAnsi="Book Antiqua"/>
          <w:color w:val="000000" w:themeColor="text1"/>
          <w14:textFill>
            <w14:solidFill>
              <w14:schemeClr w14:val="tx1"/>
            </w14:solidFill>
          </w14:textFill>
        </w:rPr>
        <w:t xml:space="preserve"> The authors have read the CONSORT 2010 statement, and the manuscript was prepared and revised according to the CONSORT 2010 statement.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February 21, 2022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March 23, 2022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b w:val="0"/>
          <w:bCs w:val="0"/>
          <w:color w:val="000000" w:themeColor="text1"/>
          <w14:textFill>
            <w14:solidFill>
              <w14:schemeClr w14:val="tx1"/>
            </w14:solidFill>
          </w14:textFill>
        </w:rPr>
        <w:t>May 13, 2022</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Dentistry, Oral Surgery and Medicine</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Hung SI, Taiwan; Palacios S, Spain</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 xml:space="preserve">Wang JL </w:t>
      </w:r>
      <w:r>
        <w:rPr>
          <w:rFonts w:ascii="Book Antiqua" w:hAnsi="Book Antiqua" w:eastAsia="Book Antiqua" w:cs="Book Antiqua"/>
          <w:b/>
          <w:color w:val="000000" w:themeColor="text1"/>
          <w14:textFill>
            <w14:solidFill>
              <w14:schemeClr w14:val="tx1"/>
            </w14:solidFill>
          </w14:textFill>
        </w:rPr>
        <w:t xml:space="preserve">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color w:val="000000" w:themeColor="text1"/>
          <w14:textFill>
            <w14:solidFill>
              <w14:schemeClr w14:val="tx1"/>
            </w14:solidFill>
          </w14:textFill>
        </w:rPr>
        <w:t>Wang JL</w:t>
      </w:r>
    </w:p>
    <w:p>
      <w:pPr>
        <w:adjustRightInd w:val="0"/>
        <w:snapToGrid w:val="0"/>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adjustRightInd w:val="0"/>
        <w:snapToGrid w:val="0"/>
        <w:spacing w:line="360" w:lineRule="auto"/>
        <w:jc w:val="both"/>
        <w:rPr>
          <w:rFonts w:hint="eastAsia" w:ascii="Book Antiqua" w:hAnsi="Book Antiqua" w:eastAsiaTheme="minorEastAsia"/>
          <w:color w:val="000000" w:themeColor="text1"/>
          <w:lang w:eastAsia="zh-CN"/>
          <w14:textFill>
            <w14:solidFill>
              <w14:schemeClr w14:val="tx1"/>
            </w14:solidFill>
          </w14:textFill>
        </w:rPr>
      </w:pPr>
      <w:r>
        <w:rPr>
          <w:rFonts w:hint="eastAsia" w:ascii="Book Antiqua" w:hAnsi="Book Antiqua" w:eastAsiaTheme="minorEastAsia"/>
          <w:color w:val="000000" w:themeColor="text1"/>
          <w:lang w:eastAsia="zh-CN"/>
          <w14:textFill>
            <w14:solidFill>
              <w14:schemeClr w14:val="tx1"/>
            </w14:solidFill>
          </w14:textFill>
        </w:rPr>
        <w:drawing>
          <wp:inline distT="0" distB="0" distL="114300" distR="114300">
            <wp:extent cx="4149090" cy="7205980"/>
            <wp:effectExtent l="0" t="0" r="11430" b="2540"/>
            <wp:docPr id="2" name="图片 2" descr="WJCC-10-529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297-g001"/>
                    <pic:cNvPicPr>
                      <a:picLocks noChangeAspect="1"/>
                    </pic:cNvPicPr>
                  </pic:nvPicPr>
                  <pic:blipFill>
                    <a:blip r:embed="rId5"/>
                    <a:stretch>
                      <a:fillRect/>
                    </a:stretch>
                  </pic:blipFill>
                  <pic:spPr>
                    <a:xfrm>
                      <a:off x="0" y="0"/>
                      <a:ext cx="4149090" cy="7205980"/>
                    </a:xfrm>
                    <a:prstGeom prst="rect">
                      <a:avLst/>
                    </a:prstGeom>
                  </pic:spPr>
                </pic:pic>
              </a:graphicData>
            </a:graphic>
          </wp:inline>
        </w:drawing>
      </w:r>
      <w:bookmarkStart w:id="1" w:name="_GoBack"/>
      <w:bookmarkEnd w:id="1"/>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1 Comparison of the treatment effect between the groups. </w:t>
      </w:r>
      <w:r>
        <w:rPr>
          <w:rFonts w:ascii="Book Antiqua" w:hAnsi="Book Antiqua" w:eastAsia="Book Antiqua" w:cs="Book Antiqua"/>
          <w:color w:val="000000" w:themeColor="text1"/>
          <w14:textFill>
            <w14:solidFill>
              <w14:schemeClr w14:val="tx1"/>
            </w14:solidFill>
          </w14:textFill>
        </w:rPr>
        <w:t>A: Preoperative frontal images of patients in the control group; B: Postoperative frontal images of patients in the control group; C: Preoperative occlusal images of patients in the control group; D: Postoperative occlusal images of patients in the control group; E: Preoperative panoramic radiography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 patients in the control group; F: Postoperative panoramic radiography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 patients in the control group; G: Preoperative frontal images of patients in the intervention group; H: Postoperative frontal images of patients in the intervention group; I: Preoperative occlusal images of patients in the intervention group; J: Postoperative occlusal images of patients in the intervention group; K: Preoperative panoramic radiography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 patients in the intervention group;</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 Postoperative panoramic radiography</w:t>
      </w:r>
      <w:r>
        <w:rPr>
          <w:rFonts w:hint="eastAsia"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 patients in the intervention group.</w:t>
      </w:r>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p>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bookmarkStart w:id="0" w:name="_Hlk99032374"/>
      <w:r>
        <w:rPr>
          <w:rFonts w:ascii="Book Antiqua" w:hAnsi="Book Antiqua" w:eastAsia="Book Antiqua" w:cs="Book Antiqua"/>
          <w:color w:val="000000" w:themeColor="text1"/>
          <w:sz w:val="24"/>
          <w:szCs w:val="24"/>
          <w14:textFill>
            <w14:solidFill>
              <w14:schemeClr w14:val="tx1"/>
            </w14:solidFill>
          </w14:textFill>
        </w:rPr>
        <w:br w:type="page"/>
      </w:r>
      <w:r>
        <w:rPr>
          <w:rFonts w:ascii="Book Antiqua" w:hAnsi="Book Antiqua" w:cs="Times New Roman"/>
          <w:b/>
          <w:bCs/>
          <w:color w:val="000000" w:themeColor="text1"/>
          <w:sz w:val="24"/>
          <w:szCs w:val="24"/>
          <w14:textFill>
            <w14:solidFill>
              <w14:schemeClr w14:val="tx1"/>
            </w14:solidFill>
          </w14:textFill>
        </w:rPr>
        <w:t>Table 1 Comparison of the general data between the groups</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9"/>
        <w:gridCol w:w="1878"/>
        <w:gridCol w:w="2438"/>
        <w:gridCol w:w="1736"/>
        <w:gridCol w:w="168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Group</w:t>
            </w:r>
          </w:p>
        </w:tc>
        <w:tc>
          <w:tcPr>
            <w:tcW w:w="1915"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Sex (male/female)</w:t>
            </w:r>
          </w:p>
        </w:tc>
        <w:tc>
          <w:tcPr>
            <w:tcW w:w="1915"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Dentition defects (full mouth/upper/lower)</w:t>
            </w:r>
          </w:p>
        </w:tc>
        <w:tc>
          <w:tcPr>
            <w:tcW w:w="1915"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Body mass index (kg/m</w:t>
            </w:r>
            <w:r>
              <w:rPr>
                <w:rFonts w:ascii="Book Antiqua" w:hAnsi="Book Antiqua"/>
                <w:b/>
                <w:bCs/>
                <w:sz w:val="24"/>
                <w:szCs w:val="24"/>
                <w:vertAlign w:val="superscript"/>
              </w:rPr>
              <w:t>2</w:t>
            </w:r>
            <w:r>
              <w:rPr>
                <w:rFonts w:ascii="Book Antiqua" w:hAnsi="Book Antiqua"/>
                <w:b/>
                <w:bCs/>
                <w:sz w:val="24"/>
                <w:szCs w:val="24"/>
              </w:rPr>
              <w:t>)</w:t>
            </w:r>
          </w:p>
        </w:tc>
        <w:tc>
          <w:tcPr>
            <w:tcW w:w="1916"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Age (yr)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Control group (</w:t>
            </w:r>
            <w:r>
              <w:rPr>
                <w:rFonts w:ascii="Book Antiqua" w:hAnsi="Book Antiqua" w:cs="Times New Roman"/>
                <w:bCs/>
                <w:i/>
                <w:iCs/>
                <w:sz w:val="24"/>
                <w:szCs w:val="24"/>
              </w:rPr>
              <w:t>n</w:t>
            </w:r>
            <w:r>
              <w:rPr>
                <w:rFonts w:ascii="Book Antiqua" w:hAnsi="Book Antiqua" w:cs="Times New Roman"/>
                <w:bCs/>
                <w:sz w:val="24"/>
                <w:szCs w:val="24"/>
              </w:rPr>
              <w:t xml:space="preserve"> = 43)</w:t>
            </w:r>
          </w:p>
        </w:tc>
        <w:tc>
          <w:tcPr>
            <w:tcW w:w="191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20/23</w:t>
            </w:r>
          </w:p>
        </w:tc>
        <w:tc>
          <w:tcPr>
            <w:tcW w:w="191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8/12/23</w:t>
            </w:r>
          </w:p>
        </w:tc>
        <w:tc>
          <w:tcPr>
            <w:tcW w:w="191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24.83 ± 2.24</w:t>
            </w:r>
          </w:p>
        </w:tc>
        <w:tc>
          <w:tcPr>
            <w:tcW w:w="1916"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45.60 ± 3.26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Intervention group (</w:t>
            </w:r>
            <w:r>
              <w:rPr>
                <w:rFonts w:ascii="Book Antiqua" w:hAnsi="Book Antiqua" w:cs="Times New Roman"/>
                <w:bCs/>
                <w:i/>
                <w:iCs/>
                <w:sz w:val="24"/>
                <w:szCs w:val="24"/>
              </w:rPr>
              <w:t>n</w:t>
            </w:r>
            <w:r>
              <w:rPr>
                <w:rFonts w:ascii="Book Antiqua" w:hAnsi="Book Antiqua" w:cs="Times New Roman"/>
                <w:bCs/>
                <w:sz w:val="24"/>
                <w:szCs w:val="24"/>
              </w:rPr>
              <w:t xml:space="preserve"> = 43)</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22/21</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9/18/16</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24.97 ± 2.22</w:t>
            </w:r>
          </w:p>
        </w:tc>
        <w:tc>
          <w:tcPr>
            <w:tcW w:w="1916"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45.74 ± 4.37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i/>
                <w:iCs/>
                <w:sz w:val="24"/>
                <w:szCs w:val="24"/>
              </w:rPr>
              <w:t>χ</w:t>
            </w:r>
            <w:r>
              <w:rPr>
                <w:rFonts w:ascii="Book Antiqua" w:hAnsi="Book Antiqua" w:cs="Times New Roman"/>
                <w:bCs/>
                <w:sz w:val="24"/>
                <w:szCs w:val="24"/>
                <w:vertAlign w:val="superscript"/>
              </w:rPr>
              <w:t>2</w:t>
            </w:r>
            <w:r>
              <w:rPr>
                <w:rFonts w:ascii="Book Antiqua" w:hAnsi="Book Antiqua" w:cs="Times New Roman"/>
                <w:bCs/>
                <w:sz w:val="24"/>
                <w:szCs w:val="24"/>
              </w:rPr>
              <w:t>/</w:t>
            </w:r>
            <w:r>
              <w:rPr>
                <w:rFonts w:ascii="Book Antiqua" w:hAnsi="Book Antiqua" w:cs="Times New Roman"/>
                <w:bCs/>
                <w:i/>
                <w:iCs/>
                <w:sz w:val="24"/>
                <w:szCs w:val="24"/>
              </w:rPr>
              <w:t>t</w:t>
            </w:r>
            <w:r>
              <w:rPr>
                <w:rFonts w:ascii="Book Antiqua" w:hAnsi="Book Antiqua" w:cs="Times New Roman"/>
                <w:bCs/>
                <w:sz w:val="24"/>
                <w:szCs w:val="24"/>
              </w:rPr>
              <w:t xml:space="preserve"> value</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0.186</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2.515</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0.291</w:t>
            </w:r>
          </w:p>
        </w:tc>
        <w:tc>
          <w:tcPr>
            <w:tcW w:w="1916"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0.168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i/>
                <w:sz w:val="24"/>
                <w:szCs w:val="24"/>
              </w:rPr>
              <w:t xml:space="preserve">P </w:t>
            </w:r>
            <w:r>
              <w:rPr>
                <w:rFonts w:ascii="Book Antiqua" w:hAnsi="Book Antiqua" w:cs="Times New Roman"/>
                <w:bCs/>
                <w:iCs/>
                <w:sz w:val="24"/>
                <w:szCs w:val="24"/>
              </w:rPr>
              <w:t>value</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0.667</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0.284</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0.772</w:t>
            </w:r>
          </w:p>
        </w:tc>
        <w:tc>
          <w:tcPr>
            <w:tcW w:w="1916"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0.867</w:t>
            </w:r>
          </w:p>
        </w:tc>
      </w:tr>
    </w:tbl>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p>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p>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bCs/>
          <w:color w:val="000000" w:themeColor="text1"/>
          <w:sz w:val="24"/>
          <w:szCs w:val="24"/>
          <w14:textFill>
            <w14:solidFill>
              <w14:schemeClr w14:val="tx1"/>
            </w14:solidFill>
          </w14:textFill>
        </w:rPr>
        <w:t>Table 2 Comparison of the treatment effect between the groups,</w:t>
      </w:r>
      <w:r>
        <w:rPr>
          <w:rFonts w:ascii="Book Antiqua" w:hAnsi="Book Antiqua" w:cs="Times New Roman"/>
          <w:b/>
          <w:bCs/>
          <w:i/>
          <w:iCs/>
          <w:color w:val="000000" w:themeColor="text1"/>
          <w:sz w:val="24"/>
          <w:szCs w:val="24"/>
          <w14:textFill>
            <w14:solidFill>
              <w14:schemeClr w14:val="tx1"/>
            </w14:solidFill>
          </w14:textFill>
        </w:rPr>
        <w:t xml:space="preserve"> n</w:t>
      </w:r>
      <w:r>
        <w:rPr>
          <w:rFonts w:ascii="Book Antiqua" w:hAnsi="Book Antiqua" w:cs="Times New Roman"/>
          <w:b/>
          <w:bCs/>
          <w:color w:val="000000" w:themeColor="text1"/>
          <w:sz w:val="24"/>
          <w:szCs w:val="24"/>
          <w14:textFill>
            <w14:solidFill>
              <w14:schemeClr w14:val="tx1"/>
            </w14:solidFill>
          </w14:textFill>
        </w:rPr>
        <w:t xml:space="preserve"> (%)</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15"/>
        <w:gridCol w:w="1915"/>
        <w:gridCol w:w="1915"/>
        <w:gridCol w:w="1915"/>
        <w:gridCol w:w="19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Group</w:t>
            </w:r>
          </w:p>
        </w:tc>
        <w:tc>
          <w:tcPr>
            <w:tcW w:w="1915"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Significantly effective</w:t>
            </w:r>
          </w:p>
        </w:tc>
        <w:tc>
          <w:tcPr>
            <w:tcW w:w="1915"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Effective</w:t>
            </w:r>
          </w:p>
        </w:tc>
        <w:tc>
          <w:tcPr>
            <w:tcW w:w="1915"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Ineffective</w:t>
            </w:r>
          </w:p>
        </w:tc>
        <w:tc>
          <w:tcPr>
            <w:tcW w:w="1916"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Overall response 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Control group (</w:t>
            </w:r>
            <w:r>
              <w:rPr>
                <w:rFonts w:ascii="Book Antiqua" w:hAnsi="Book Antiqua" w:cs="Times New Roman"/>
                <w:bCs/>
                <w:i/>
                <w:iCs/>
                <w:sz w:val="24"/>
                <w:szCs w:val="24"/>
              </w:rPr>
              <w:t>n</w:t>
            </w:r>
            <w:r>
              <w:rPr>
                <w:rFonts w:ascii="Book Antiqua" w:hAnsi="Book Antiqua" w:cs="Times New Roman"/>
                <w:bCs/>
                <w:sz w:val="24"/>
                <w:szCs w:val="24"/>
              </w:rPr>
              <w:t xml:space="preserve"> = 43)</w:t>
            </w:r>
          </w:p>
        </w:tc>
        <w:tc>
          <w:tcPr>
            <w:tcW w:w="191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15 (34.88)</w:t>
            </w:r>
          </w:p>
        </w:tc>
        <w:tc>
          <w:tcPr>
            <w:tcW w:w="191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20 (46.51)</w:t>
            </w:r>
          </w:p>
        </w:tc>
        <w:tc>
          <w:tcPr>
            <w:tcW w:w="191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8 (18.60)</w:t>
            </w:r>
          </w:p>
        </w:tc>
        <w:tc>
          <w:tcPr>
            <w:tcW w:w="1916"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35 (81.40)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Intervention group (</w:t>
            </w:r>
            <w:r>
              <w:rPr>
                <w:rFonts w:ascii="Book Antiqua" w:hAnsi="Book Antiqua" w:cs="Times New Roman"/>
                <w:bCs/>
                <w:i/>
                <w:iCs/>
                <w:sz w:val="24"/>
                <w:szCs w:val="24"/>
              </w:rPr>
              <w:t>n</w:t>
            </w:r>
            <w:r>
              <w:rPr>
                <w:rFonts w:ascii="Book Antiqua" w:hAnsi="Book Antiqua" w:cs="Times New Roman"/>
                <w:bCs/>
                <w:sz w:val="24"/>
                <w:szCs w:val="24"/>
              </w:rPr>
              <w:t xml:space="preserve"> = 43) </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25 (58.14)</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16 (37.21)</w:t>
            </w:r>
          </w:p>
        </w:tc>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 (4.65)</w:t>
            </w:r>
          </w:p>
        </w:tc>
        <w:tc>
          <w:tcPr>
            <w:tcW w:w="1916"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41 (95.35)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eastAsia="Times New Roman" w:cs="Times New Roman"/>
                <w:bCs/>
                <w:i/>
                <w:iCs/>
                <w:sz w:val="24"/>
                <w:szCs w:val="24"/>
              </w:rPr>
              <w:t>χ</w:t>
            </w:r>
            <w:r>
              <w:rPr>
                <w:rFonts w:ascii="Book Antiqua" w:hAnsi="Book Antiqua" w:cs="Times New Roman"/>
                <w:bCs/>
                <w:sz w:val="24"/>
                <w:szCs w:val="24"/>
                <w:vertAlign w:val="superscript"/>
              </w:rPr>
              <w:t>2</w:t>
            </w:r>
            <w:r>
              <w:rPr>
                <w:rFonts w:ascii="Book Antiqua" w:hAnsi="Book Antiqua" w:cs="Times New Roman"/>
                <w:bCs/>
                <w:i/>
                <w:iCs/>
                <w:sz w:val="24"/>
                <w:szCs w:val="24"/>
              </w:rPr>
              <w:t>/U</w:t>
            </w:r>
            <w:r>
              <w:rPr>
                <w:rFonts w:ascii="Book Antiqua" w:hAnsi="Book Antiqua" w:cs="Times New Roman"/>
                <w:sz w:val="24"/>
                <w:szCs w:val="24"/>
              </w:rPr>
              <w:t xml:space="preserve"> value</w:t>
            </w:r>
          </w:p>
        </w:tc>
        <w:tc>
          <w:tcPr>
            <w:tcW w:w="5745" w:type="dxa"/>
            <w:gridSpan w:val="3"/>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2.391</w:t>
            </w:r>
          </w:p>
        </w:tc>
        <w:tc>
          <w:tcPr>
            <w:tcW w:w="1916"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4.071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1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i/>
                <w:sz w:val="24"/>
                <w:szCs w:val="24"/>
              </w:rPr>
              <w:t>P</w:t>
            </w:r>
            <w:r>
              <w:rPr>
                <w:rFonts w:ascii="Book Antiqua" w:hAnsi="Book Antiqua" w:cs="Times New Roman"/>
                <w:bCs/>
                <w:iCs/>
                <w:sz w:val="24"/>
                <w:szCs w:val="24"/>
              </w:rPr>
              <w:t xml:space="preserve"> value</w:t>
            </w:r>
          </w:p>
        </w:tc>
        <w:tc>
          <w:tcPr>
            <w:tcW w:w="5745" w:type="dxa"/>
            <w:gridSpan w:val="3"/>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0.014</w:t>
            </w:r>
          </w:p>
        </w:tc>
        <w:tc>
          <w:tcPr>
            <w:tcW w:w="1916"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0.044</w:t>
            </w:r>
          </w:p>
        </w:tc>
      </w:tr>
    </w:tbl>
    <w:p>
      <w:pPr>
        <w:pStyle w:val="1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p>
    <w:p>
      <w:pPr>
        <w:pStyle w:val="12"/>
        <w:adjustRightInd w:val="0"/>
        <w:snapToGrid w:val="0"/>
        <w:spacing w:line="360" w:lineRule="auto"/>
        <w:jc w:val="both"/>
        <w:rPr>
          <w:rFonts w:hint="default" w:ascii="Book Antiqua" w:hAnsi="Book Antiqua" w:eastAsia="PMingLiU" w:cs="Times New Roman"/>
          <w:b/>
          <w:bCs/>
          <w:color w:val="000000" w:themeColor="text1"/>
          <w:sz w:val="24"/>
          <w:szCs w:val="24"/>
          <w:lang w:val="en-US" w:eastAsia="zh-TW"/>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br w:type="page"/>
      </w:r>
      <w:r>
        <w:rPr>
          <w:rFonts w:hint="default" w:ascii="Book Antiqua" w:hAnsi="Book Antiqua" w:cs="Times New Roman"/>
          <w:b/>
          <w:bCs/>
          <w:color w:val="000000" w:themeColor="text1"/>
          <w:sz w:val="24"/>
          <w:szCs w:val="24"/>
          <w14:textFill>
            <w14:solidFill>
              <w14:schemeClr w14:val="tx1"/>
            </w14:solidFill>
          </w14:textFill>
        </w:rPr>
        <w:t xml:space="preserve">Table 3 </w:t>
      </w:r>
      <w:r>
        <w:rPr>
          <w:rFonts w:hint="default" w:ascii="Book Antiqua" w:hAnsi="Book Antiqua" w:cs="Times New Roman"/>
          <w:b/>
          <w:bCs/>
          <w:color w:val="000000" w:themeColor="text1"/>
          <w:sz w:val="24"/>
          <w:szCs w:val="24"/>
          <w:lang w:val="en-US" w:eastAsia="zh-TW"/>
          <w14:textFill>
            <w14:solidFill>
              <w14:schemeClr w14:val="tx1"/>
            </w14:solidFill>
          </w14:textFill>
        </w:rPr>
        <w:t xml:space="preserve">Comparison of </w:t>
      </w:r>
      <w:r>
        <w:rPr>
          <w:rFonts w:hint="default" w:ascii="Book Antiqua" w:hAnsi="Book Antiqua" w:cs="Times New Roman"/>
          <w:b/>
          <w:bCs/>
          <w:color w:val="000000" w:themeColor="text1"/>
          <w:sz w:val="24"/>
          <w:szCs w:val="24"/>
          <w:lang w:val="en-PH" w:eastAsia="zh-TW"/>
          <w14:textFill>
            <w14:solidFill>
              <w14:schemeClr w14:val="tx1"/>
            </w14:solidFill>
          </w14:textFill>
        </w:rPr>
        <w:t xml:space="preserve">the cosmetic </w:t>
      </w:r>
      <w:r>
        <w:rPr>
          <w:rFonts w:hint="default" w:ascii="Book Antiqua" w:hAnsi="Book Antiqua" w:cs="Times New Roman"/>
          <w:b/>
          <w:bCs/>
          <w:color w:val="000000" w:themeColor="text1"/>
          <w:sz w:val="24"/>
          <w:szCs w:val="24"/>
          <w:lang w:val="en-US" w:eastAsia="zh-TW"/>
          <w14:textFill>
            <w14:solidFill>
              <w14:schemeClr w14:val="tx1"/>
            </w14:solidFill>
          </w14:textFill>
        </w:rPr>
        <w:t>appearance between</w:t>
      </w:r>
      <w:r>
        <w:rPr>
          <w:rFonts w:hint="default" w:ascii="Book Antiqua" w:hAnsi="Book Antiqua" w:cs="Times New Roman"/>
          <w:b/>
          <w:bCs/>
          <w:color w:val="000000" w:themeColor="text1"/>
          <w:sz w:val="24"/>
          <w:szCs w:val="24"/>
          <w14:textFill>
            <w14:solidFill>
              <w14:schemeClr w14:val="tx1"/>
            </w14:solidFill>
          </w14:textFill>
        </w:rPr>
        <w:t xml:space="preserve"> the</w:t>
      </w:r>
      <w:r>
        <w:rPr>
          <w:rFonts w:hint="default" w:ascii="Book Antiqua" w:hAnsi="Book Antiqua" w:cs="Times New Roman"/>
          <w:b/>
          <w:bCs/>
          <w:color w:val="000000" w:themeColor="text1"/>
          <w:sz w:val="24"/>
          <w:szCs w:val="24"/>
          <w:lang w:val="en-US" w:eastAsia="zh-TW"/>
          <w14:textFill>
            <w14:solidFill>
              <w14:schemeClr w14:val="tx1"/>
            </w14:solidFill>
          </w14:textFill>
        </w:rPr>
        <w:t xml:space="preserve"> groups</w:t>
      </w:r>
      <w:r>
        <w:rPr>
          <w:rFonts w:hint="default" w:ascii="Book Antiqua" w:hAnsi="Book Antiqua" w:eastAsia="PMingLiU" w:cs="Times New Roman"/>
          <w:b/>
          <w:bCs/>
          <w:color w:val="000000" w:themeColor="text1"/>
          <w:sz w:val="24"/>
          <w:szCs w:val="24"/>
          <w:lang w:val="en-US" w:eastAsia="zh-TW"/>
          <w14:textFill>
            <w14:solidFill>
              <w14:schemeClr w14:val="tx1"/>
            </w14:solidFill>
          </w14:textFill>
        </w:rPr>
        <w:t xml:space="preserve">, </w:t>
      </w:r>
      <w:r>
        <w:rPr>
          <w:rFonts w:hint="default" w:ascii="Book Antiqua" w:hAnsi="Book Antiqua" w:eastAsia="PMingLiU" w:cs="Times New Roman"/>
          <w:b/>
          <w:bCs/>
          <w:i/>
          <w:iCs/>
          <w:color w:val="000000" w:themeColor="text1"/>
          <w:sz w:val="24"/>
          <w:szCs w:val="24"/>
          <w:lang w:val="en-US" w:eastAsia="zh-TW"/>
          <w14:textFill>
            <w14:solidFill>
              <w14:schemeClr w14:val="tx1"/>
            </w14:solidFill>
          </w14:textFill>
        </w:rPr>
        <w:t>n</w:t>
      </w:r>
      <w:r>
        <w:rPr>
          <w:rFonts w:hint="default" w:ascii="Book Antiqua" w:hAnsi="Book Antiqua" w:eastAsia="PMingLiU" w:cs="Times New Roman"/>
          <w:b/>
          <w:bCs/>
          <w:color w:val="000000" w:themeColor="text1"/>
          <w:sz w:val="24"/>
          <w:szCs w:val="24"/>
          <w:lang w:val="en-US" w:eastAsia="zh-TW"/>
          <w14:textFill>
            <w14:solidFill>
              <w14:schemeClr w14:val="tx1"/>
            </w14:solidFill>
          </w14:textFill>
        </w:rPr>
        <w:t xml:space="preserve"> (%)</w:t>
      </w:r>
    </w:p>
    <w:tbl>
      <w:tblPr>
        <w:tblStyle w:val="11"/>
        <w:tblW w:w="5000"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2394"/>
        <w:gridCol w:w="2394"/>
        <w:gridCol w:w="2394"/>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250" w:type="pct"/>
            <w:tcBorders>
              <w:top w:val="single" w:color="000000" w:themeColor="text1" w:sz="4" w:space="0"/>
              <w:bottom w:val="single" w:color="000000" w:themeColor="text1" w:sz="4" w:space="0"/>
            </w:tcBorders>
            <w:shd w:val="clear" w:color="auto" w:fill="auto"/>
            <w:vAlign w:val="center"/>
          </w:tcPr>
          <w:p>
            <w:pPr>
              <w:pStyle w:val="13"/>
              <w:adjustRightInd w:val="0"/>
              <w:snapToGrid w:val="0"/>
              <w:spacing w:line="360" w:lineRule="auto"/>
              <w:jc w:val="both"/>
              <w:rPr>
                <w:rFonts w:ascii="Book Antiqua" w:hAnsi="Book Antiqua" w:cs="Times New Roman"/>
                <w:b/>
                <w:color w:val="000000" w:themeColor="text1"/>
                <w:sz w:val="24"/>
                <w:szCs w:val="24"/>
                <w14:textFill>
                  <w14:solidFill>
                    <w14:schemeClr w14:val="tx1"/>
                  </w14:solidFill>
                </w14:textFill>
              </w:rPr>
            </w:pPr>
            <w:r>
              <w:rPr>
                <w:rFonts w:ascii="Book Antiqua" w:hAnsi="Book Antiqua" w:cs="Times New Roman"/>
                <w:b/>
                <w:bCs/>
                <w:color w:val="000000" w:themeColor="text1"/>
                <w:sz w:val="24"/>
                <w:szCs w:val="24"/>
                <w14:textFill>
                  <w14:solidFill>
                    <w14:schemeClr w14:val="tx1"/>
                  </w14:solidFill>
                </w14:textFill>
              </w:rPr>
              <w:t>Group</w:t>
            </w:r>
          </w:p>
        </w:tc>
        <w:tc>
          <w:tcPr>
            <w:tcW w:w="1250" w:type="pct"/>
            <w:tcBorders>
              <w:top w:val="single" w:color="000000" w:themeColor="text1" w:sz="4" w:space="0"/>
              <w:bottom w:val="single" w:color="000000" w:themeColor="text1" w:sz="4" w:space="0"/>
            </w:tcBorders>
            <w:shd w:val="clear" w:color="auto" w:fill="auto"/>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bCs/>
                <w:color w:val="000000" w:themeColor="text1"/>
                <w:sz w:val="24"/>
                <w:szCs w:val="24"/>
                <w14:textFill>
                  <w14:solidFill>
                    <w14:schemeClr w14:val="tx1"/>
                  </w14:solidFill>
                </w14:textFill>
              </w:rPr>
              <w:t>Neatly trimmed</w:t>
            </w:r>
            <w:r>
              <w:rPr>
                <w:rFonts w:ascii="Book Antiqua" w:hAnsi="Book Antiqua" w:cs="Times New Roman"/>
                <w:b/>
                <w:bCs/>
                <w:color w:val="000000" w:themeColor="text1"/>
                <w:sz w:val="24"/>
                <w:szCs w:val="24"/>
                <w:lang w:val="en-PH" w:eastAsia="zh-TW"/>
                <w14:textFill>
                  <w14:solidFill>
                    <w14:schemeClr w14:val="tx1"/>
                  </w14:solidFill>
                </w14:textFill>
              </w:rPr>
              <w:t xml:space="preserve"> cosmetic </w:t>
            </w:r>
            <w:r>
              <w:rPr>
                <w:rFonts w:ascii="Book Antiqua" w:hAnsi="Book Antiqua" w:cs="Times New Roman"/>
                <w:b/>
                <w:bCs/>
                <w:color w:val="000000" w:themeColor="text1"/>
                <w:sz w:val="24"/>
                <w:szCs w:val="24"/>
                <w:lang w:val="zh-TW" w:eastAsia="zh-TW"/>
                <w14:textFill>
                  <w14:solidFill>
                    <w14:schemeClr w14:val="tx1"/>
                  </w14:solidFill>
                </w14:textFill>
              </w:rPr>
              <w:t>appearance</w:t>
            </w:r>
          </w:p>
        </w:tc>
        <w:tc>
          <w:tcPr>
            <w:tcW w:w="1250" w:type="pct"/>
            <w:tcBorders>
              <w:top w:val="single" w:color="000000" w:themeColor="text1" w:sz="4" w:space="0"/>
              <w:bottom w:val="single" w:color="000000" w:themeColor="text1" w:sz="4" w:space="0"/>
            </w:tcBorders>
            <w:shd w:val="clear" w:color="auto" w:fill="auto"/>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bCs/>
                <w:color w:val="000000" w:themeColor="text1"/>
                <w:sz w:val="24"/>
                <w:szCs w:val="24"/>
                <w14:textFill>
                  <w14:solidFill>
                    <w14:schemeClr w14:val="tx1"/>
                  </w14:solidFill>
                </w14:textFill>
              </w:rPr>
              <w:t>Complete coverage</w:t>
            </w:r>
          </w:p>
        </w:tc>
        <w:tc>
          <w:tcPr>
            <w:tcW w:w="1250" w:type="pct"/>
            <w:tcBorders>
              <w:top w:val="single" w:color="000000" w:themeColor="text1" w:sz="4" w:space="0"/>
              <w:bottom w:val="single" w:color="000000" w:themeColor="text1" w:sz="4" w:space="0"/>
            </w:tcBorders>
            <w:shd w:val="clear" w:color="auto" w:fill="auto"/>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bCs/>
                <w:color w:val="000000" w:themeColor="text1"/>
                <w:sz w:val="24"/>
                <w:szCs w:val="24"/>
                <w14:textFill>
                  <w14:solidFill>
                    <w14:schemeClr w14:val="tx1"/>
                  </w14:solidFill>
                </w14:textFill>
              </w:rPr>
              <w:t>Normal occlusion</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PrEx>
        <w:trPr>
          <w:trHeight w:val="234" w:hRule="atLeast"/>
        </w:trPr>
        <w:tc>
          <w:tcPr>
            <w:tcW w:w="1250" w:type="pct"/>
            <w:tcBorders>
              <w:top w:val="single" w:color="000000" w:themeColor="text1" w:sz="4" w:space="0"/>
            </w:tcBorders>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Control group</w:t>
            </w:r>
            <w:r>
              <w:rPr>
                <w:rFonts w:hint="default" w:ascii="Book Antiqua" w:hAnsi="Book Antiqua" w:cs="Times New Roman"/>
                <w:bCs/>
                <w:color w:val="000000" w:themeColor="text1"/>
                <w:sz w:val="24"/>
                <w:szCs w:val="24"/>
                <w14:textFill>
                  <w14:solidFill>
                    <w14:schemeClr w14:val="tx1"/>
                  </w14:solidFill>
                </w14:textFill>
              </w:rPr>
              <w:t xml:space="preserve"> </w:t>
            </w:r>
            <w:r>
              <w:rPr>
                <w:rFonts w:hint="default" w:ascii="Book Antiqua" w:hAnsi="Book Antiqua" w:cs="Times New Roman"/>
                <w:b w:val="0"/>
                <w:bCs/>
                <w:color w:val="000000" w:themeColor="text1"/>
                <w:sz w:val="24"/>
                <w:szCs w:val="24"/>
                <w14:textFill>
                  <w14:solidFill>
                    <w14:schemeClr w14:val="tx1"/>
                  </w14:solidFill>
                </w14:textFill>
              </w:rPr>
              <w:t>(</w:t>
            </w:r>
            <w:r>
              <w:rPr>
                <w:rFonts w:hint="default" w:ascii="Book Antiqua" w:hAnsi="Book Antiqua" w:cs="Times New Roman"/>
                <w:b w:val="0"/>
                <w:bCs/>
                <w:i/>
                <w:iCs/>
                <w:color w:val="000000" w:themeColor="text1"/>
                <w:sz w:val="24"/>
                <w:szCs w:val="24"/>
                <w14:textFill>
                  <w14:solidFill>
                    <w14:schemeClr w14:val="tx1"/>
                  </w14:solidFill>
                </w14:textFill>
              </w:rPr>
              <w:t>n</w:t>
            </w:r>
            <w:r>
              <w:rPr>
                <w:rFonts w:hint="default" w:ascii="Book Antiqua" w:hAnsi="Book Antiqua" w:cs="Times New Roman"/>
                <w:b w:val="0"/>
                <w:bCs/>
                <w:color w:val="000000" w:themeColor="text1"/>
                <w:sz w:val="24"/>
                <w:szCs w:val="24"/>
                <w14:textFill>
                  <w14:solidFill>
                    <w14:schemeClr w14:val="tx1"/>
                  </w14:solidFill>
                </w14:textFill>
              </w:rPr>
              <w:t xml:space="preserve"> = 43) </w:t>
            </w:r>
          </w:p>
        </w:tc>
        <w:tc>
          <w:tcPr>
            <w:tcW w:w="1250" w:type="pct"/>
            <w:tcBorders>
              <w:top w:val="single" w:color="000000" w:themeColor="text1" w:sz="4" w:space="0"/>
            </w:tcBorders>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30 (69.77)</w:t>
            </w:r>
          </w:p>
        </w:tc>
        <w:tc>
          <w:tcPr>
            <w:tcW w:w="1250" w:type="pct"/>
            <w:tcBorders>
              <w:top w:val="single" w:color="000000" w:themeColor="text1" w:sz="4" w:space="0"/>
            </w:tcBorders>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29 (67.44)</w:t>
            </w:r>
          </w:p>
        </w:tc>
        <w:tc>
          <w:tcPr>
            <w:tcW w:w="1250" w:type="pct"/>
            <w:tcBorders>
              <w:top w:val="single" w:color="000000" w:themeColor="text1" w:sz="4" w:space="0"/>
            </w:tcBorders>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25 (58.14)</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Intervention group (</w:t>
            </w:r>
            <w:r>
              <w:rPr>
                <w:rFonts w:hint="default" w:ascii="Book Antiqua" w:hAnsi="Book Antiqua" w:cs="Times New Roman"/>
                <w:b w:val="0"/>
                <w:bCs/>
                <w:i/>
                <w:iCs/>
                <w:color w:val="000000" w:themeColor="text1"/>
                <w:sz w:val="24"/>
                <w:szCs w:val="24"/>
                <w14:textFill>
                  <w14:solidFill>
                    <w14:schemeClr w14:val="tx1"/>
                  </w14:solidFill>
                </w14:textFill>
              </w:rPr>
              <w:t>n</w:t>
            </w:r>
            <w:r>
              <w:rPr>
                <w:rFonts w:hint="default" w:ascii="Book Antiqua" w:hAnsi="Book Antiqua" w:cs="Times New Roman"/>
                <w:color w:val="000000" w:themeColor="text1"/>
                <w:sz w:val="24"/>
                <w:szCs w:val="24"/>
                <w14:textFill>
                  <w14:solidFill>
                    <w14:schemeClr w14:val="tx1"/>
                  </w14:solidFill>
                </w14:textFill>
              </w:rPr>
              <w:t xml:space="preserve"> </w:t>
            </w:r>
            <w:r>
              <w:rPr>
                <w:rFonts w:hint="default" w:ascii="Book Antiqua" w:hAnsi="Book Antiqua" w:cs="Times New Roman"/>
                <w:b w:val="0"/>
                <w:bCs/>
                <w:color w:val="000000" w:themeColor="text1"/>
                <w:sz w:val="24"/>
                <w:szCs w:val="24"/>
                <w14:textFill>
                  <w14:solidFill>
                    <w14:schemeClr w14:val="tx1"/>
                  </w14:solidFill>
                </w14:textFill>
              </w:rPr>
              <w:t xml:space="preserve">= 43) </w:t>
            </w:r>
          </w:p>
        </w:tc>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38 (88.37)</w:t>
            </w:r>
          </w:p>
        </w:tc>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37 (86.05)</w:t>
            </w:r>
          </w:p>
        </w:tc>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35 (81.40)</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eastAsia="Times New Roman" w:cs="Times New Roman"/>
                <w:b w:val="0"/>
                <w:bCs/>
                <w:i/>
                <w:iCs/>
                <w:color w:val="000000" w:themeColor="text1"/>
                <w:sz w:val="24"/>
                <w:szCs w:val="24"/>
                <w14:textFill>
                  <w14:solidFill>
                    <w14:schemeClr w14:val="tx1"/>
                  </w14:solidFill>
                </w14:textFill>
              </w:rPr>
              <w:t>χ</w:t>
            </w:r>
            <w:r>
              <w:rPr>
                <w:rFonts w:hint="default" w:ascii="Book Antiqua" w:hAnsi="Book Antiqua" w:cs="Times New Roman"/>
                <w:b w:val="0"/>
                <w:bCs/>
                <w:color w:val="000000" w:themeColor="text1"/>
                <w:sz w:val="24"/>
                <w:szCs w:val="24"/>
                <w:vertAlign w:val="superscript"/>
                <w14:textFill>
                  <w14:solidFill>
                    <w14:schemeClr w14:val="tx1"/>
                  </w14:solidFill>
                </w14:textFill>
              </w:rPr>
              <w:t>2</w:t>
            </w:r>
            <w:r>
              <w:rPr>
                <w:rFonts w:hint="default" w:ascii="Book Antiqua" w:hAnsi="Book Antiqua" w:cs="Times New Roman"/>
                <w:b w:val="0"/>
                <w:bCs/>
                <w:color w:val="000000" w:themeColor="text1"/>
                <w:sz w:val="24"/>
                <w:szCs w:val="24"/>
                <w14:textFill>
                  <w14:solidFill>
                    <w14:schemeClr w14:val="tx1"/>
                  </w14:solidFill>
                </w14:textFill>
              </w:rPr>
              <w:t xml:space="preserve"> </w:t>
            </w:r>
            <w:r>
              <w:rPr>
                <w:rFonts w:hint="default" w:ascii="Book Antiqua" w:hAnsi="Book Antiqua" w:eastAsia="Times New Roman" w:cs="Times New Roman"/>
                <w:b w:val="0"/>
                <w:bCs/>
                <w:color w:val="000000" w:themeColor="text1"/>
                <w:sz w:val="24"/>
                <w:szCs w:val="24"/>
                <w14:textFill>
                  <w14:solidFill>
                    <w14:schemeClr w14:val="tx1"/>
                  </w14:solidFill>
                </w14:textFill>
              </w:rPr>
              <w:t>value</w:t>
            </w:r>
          </w:p>
        </w:tc>
        <w:tc>
          <w:tcPr>
            <w:tcW w:w="1250" w:type="pct"/>
            <w:shd w:val="clear" w:color="auto" w:fill="auto"/>
            <w:vAlign w:val="center"/>
          </w:tcPr>
          <w:p>
            <w:pPr>
              <w:pStyle w:val="17"/>
              <w:adjustRightInd w:val="0"/>
              <w:snapToGrid w:val="0"/>
              <w:spacing w:line="360" w:lineRule="auto"/>
              <w:jc w:val="both"/>
              <w:rPr>
                <w:rFonts w:ascii="Book Antiqua" w:hAnsi="Book Antiqua" w:cs="Times New Roman"/>
                <w:b w:val="0"/>
                <w:bCs/>
                <w:color w:val="000000" w:themeColor="text1"/>
                <w:sz w:val="24"/>
                <w:szCs w:val="24"/>
                <w14:textFill>
                  <w14:solidFill>
                    <w14:schemeClr w14:val="tx1"/>
                  </w14:solidFill>
                </w14:textFill>
              </w:rPr>
            </w:pPr>
            <w:r>
              <w:rPr>
                <w:rFonts w:ascii="Book Antiqua" w:hAnsi="Book Antiqua" w:cs="Times New Roman"/>
                <w:b w:val="0"/>
                <w:bCs/>
                <w:color w:val="000000" w:themeColor="text1"/>
                <w:sz w:val="24"/>
                <w:szCs w:val="24"/>
                <w14:textFill>
                  <w14:solidFill>
                    <w14:schemeClr w14:val="tx1"/>
                  </w14:solidFill>
                </w14:textFill>
              </w:rPr>
              <w:t>4.497</w:t>
            </w:r>
          </w:p>
        </w:tc>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4.170</w:t>
            </w:r>
          </w:p>
        </w:tc>
        <w:tc>
          <w:tcPr>
            <w:tcW w:w="1250" w:type="pct"/>
            <w:shd w:val="clear" w:color="auto" w:fill="auto"/>
            <w:vAlign w:val="center"/>
          </w:tcPr>
          <w:p>
            <w:pPr>
              <w:pStyle w:val="17"/>
              <w:adjustRightInd w:val="0"/>
              <w:snapToGrid w:val="0"/>
              <w:spacing w:line="360" w:lineRule="auto"/>
              <w:jc w:val="both"/>
              <w:rPr>
                <w:rFonts w:ascii="Book Antiqua" w:hAnsi="Book Antiqua" w:cs="Times New Roman"/>
                <w:b w:val="0"/>
                <w:bCs/>
                <w:color w:val="000000" w:themeColor="text1"/>
                <w:sz w:val="24"/>
                <w:szCs w:val="24"/>
                <w14:textFill>
                  <w14:solidFill>
                    <w14:schemeClr w14:val="tx1"/>
                  </w14:solidFill>
                </w14:textFill>
              </w:rPr>
            </w:pPr>
            <w:r>
              <w:rPr>
                <w:rFonts w:ascii="Book Antiqua" w:hAnsi="Book Antiqua" w:cs="Times New Roman"/>
                <w:b w:val="0"/>
                <w:bCs/>
                <w:color w:val="000000" w:themeColor="text1"/>
                <w:sz w:val="24"/>
                <w:szCs w:val="24"/>
                <w14:textFill>
                  <w14:solidFill>
                    <w14:schemeClr w14:val="tx1"/>
                  </w14:solidFill>
                </w14:textFill>
              </w:rPr>
              <w:t>5.512</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b w:val="0"/>
                <w:iCs/>
                <w:color w:val="000000" w:themeColor="text1"/>
                <w:sz w:val="24"/>
                <w:szCs w:val="24"/>
                <w14:textFill>
                  <w14:solidFill>
                    <w14:schemeClr w14:val="tx1"/>
                  </w14:solidFill>
                </w14:textFill>
              </w:rPr>
            </w:pPr>
            <w:r>
              <w:rPr>
                <w:rFonts w:hint="default" w:ascii="Book Antiqua" w:hAnsi="Book Antiqua" w:cs="Times New Roman"/>
                <w:b w:val="0"/>
                <w:bCs/>
                <w:i/>
                <w:color w:val="000000" w:themeColor="text1"/>
                <w:sz w:val="24"/>
                <w:szCs w:val="24"/>
                <w14:textFill>
                  <w14:solidFill>
                    <w14:schemeClr w14:val="tx1"/>
                  </w14:solidFill>
                </w14:textFill>
              </w:rPr>
              <w:t>P</w:t>
            </w:r>
            <w:r>
              <w:rPr>
                <w:rFonts w:hint="default" w:ascii="Book Antiqua" w:hAnsi="Book Antiqua" w:cs="Times New Roman"/>
                <w:b w:val="0"/>
                <w:bCs/>
                <w:iCs/>
                <w:color w:val="000000" w:themeColor="text1"/>
                <w:sz w:val="24"/>
                <w:szCs w:val="24"/>
                <w14:textFill>
                  <w14:solidFill>
                    <w14:schemeClr w14:val="tx1"/>
                  </w14:solidFill>
                </w14:textFill>
              </w:rPr>
              <w:t xml:space="preserve"> value</w:t>
            </w:r>
          </w:p>
        </w:tc>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0.034</w:t>
            </w:r>
          </w:p>
        </w:tc>
        <w:tc>
          <w:tcPr>
            <w:tcW w:w="1250" w:type="pct"/>
            <w:shd w:val="clear" w:color="auto" w:fill="auto"/>
            <w:vAlign w:val="center"/>
          </w:tcPr>
          <w:p>
            <w:pPr>
              <w:pStyle w:val="17"/>
              <w:adjustRightInd w:val="0"/>
              <w:snapToGrid w:val="0"/>
              <w:spacing w:line="360" w:lineRule="auto"/>
              <w:jc w:val="both"/>
              <w:rPr>
                <w:rFonts w:ascii="Book Antiqua" w:hAnsi="Book Antiqua" w:cs="Times New Roman"/>
                <w:b w:val="0"/>
                <w:bCs/>
                <w:color w:val="000000" w:themeColor="text1"/>
                <w:sz w:val="24"/>
                <w:szCs w:val="24"/>
                <w14:textFill>
                  <w14:solidFill>
                    <w14:schemeClr w14:val="tx1"/>
                  </w14:solidFill>
                </w14:textFill>
              </w:rPr>
            </w:pPr>
            <w:r>
              <w:rPr>
                <w:rFonts w:ascii="Book Antiqua" w:hAnsi="Book Antiqua" w:cs="Times New Roman"/>
                <w:b w:val="0"/>
                <w:bCs/>
                <w:color w:val="000000" w:themeColor="text1"/>
                <w:sz w:val="24"/>
                <w:szCs w:val="24"/>
                <w14:textFill>
                  <w14:solidFill>
                    <w14:schemeClr w14:val="tx1"/>
                  </w14:solidFill>
                </w14:textFill>
              </w:rPr>
              <w:t>0.041</w:t>
            </w:r>
          </w:p>
        </w:tc>
        <w:tc>
          <w:tcPr>
            <w:tcW w:w="1250" w:type="pct"/>
            <w:shd w:val="clear" w:color="auto" w:fill="auto"/>
            <w:vAlign w:val="center"/>
          </w:tcPr>
          <w:p>
            <w:pPr>
              <w:pStyle w:val="14"/>
              <w:adjustRightInd w:val="0"/>
              <w:snapToGrid w:val="0"/>
              <w:spacing w:line="360" w:lineRule="auto"/>
              <w:jc w:val="both"/>
              <w:rPr>
                <w:rFonts w:hint="default" w:ascii="Book Antiqua" w:hAnsi="Book Antiqua" w:cs="Times New Roman"/>
                <w:b w:val="0"/>
                <w:bCs/>
                <w:color w:val="000000" w:themeColor="text1"/>
                <w:sz w:val="24"/>
                <w:szCs w:val="24"/>
                <w14:textFill>
                  <w14:solidFill>
                    <w14:schemeClr w14:val="tx1"/>
                  </w14:solidFill>
                </w14:textFill>
              </w:rPr>
            </w:pPr>
            <w:r>
              <w:rPr>
                <w:rFonts w:hint="default" w:ascii="Book Antiqua" w:hAnsi="Book Antiqua" w:cs="Times New Roman"/>
                <w:b w:val="0"/>
                <w:bCs/>
                <w:color w:val="000000" w:themeColor="text1"/>
                <w:sz w:val="24"/>
                <w:szCs w:val="24"/>
                <w14:textFill>
                  <w14:solidFill>
                    <w14:schemeClr w14:val="tx1"/>
                  </w14:solidFill>
                </w14:textFill>
              </w:rPr>
              <w:t>0.019</w:t>
            </w:r>
          </w:p>
        </w:tc>
      </w:tr>
    </w:tbl>
    <w:p>
      <w:pPr>
        <w:pStyle w:val="1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p>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p>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bCs/>
          <w:color w:val="000000" w:themeColor="text1"/>
          <w:sz w:val="24"/>
          <w:szCs w:val="24"/>
          <w14:textFill>
            <w14:solidFill>
              <w14:schemeClr w14:val="tx1"/>
            </w14:solidFill>
          </w14:textFill>
        </w:rPr>
        <w:t>Table 4 Comparison of the dental function between the groups (mean ± SD)</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35"/>
        <w:gridCol w:w="1341"/>
        <w:gridCol w:w="1340"/>
        <w:gridCol w:w="1340"/>
        <w:gridCol w:w="1340"/>
        <w:gridCol w:w="1340"/>
        <w:gridCol w:w="134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dxa"/>
            <w:vMerge w:val="restart"/>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Group</w:t>
            </w:r>
          </w:p>
        </w:tc>
        <w:tc>
          <w:tcPr>
            <w:tcW w:w="2681" w:type="dxa"/>
            <w:gridSpan w:val="2"/>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Masticatory function</w:t>
            </w:r>
          </w:p>
        </w:tc>
        <w:tc>
          <w:tcPr>
            <w:tcW w:w="2680" w:type="dxa"/>
            <w:gridSpan w:val="2"/>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Swallowing function</w:t>
            </w:r>
          </w:p>
        </w:tc>
        <w:tc>
          <w:tcPr>
            <w:tcW w:w="2680" w:type="dxa"/>
            <w:gridSpan w:val="2"/>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Phonic function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dxa"/>
            <w:vMerge w:val="continue"/>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p>
        </w:tc>
        <w:tc>
          <w:tcPr>
            <w:tcW w:w="1341" w:type="dxa"/>
            <w:tcBorders>
              <w:top w:val="single" w:color="auto" w:sz="4" w:space="0"/>
              <w:bottom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sz w:val="24"/>
                <w:szCs w:val="24"/>
              </w:rPr>
              <w:t>Before</w:t>
            </w:r>
          </w:p>
        </w:tc>
        <w:tc>
          <w:tcPr>
            <w:tcW w:w="1340" w:type="dxa"/>
            <w:tcBorders>
              <w:top w:val="single" w:color="auto" w:sz="4" w:space="0"/>
              <w:bottom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sz w:val="24"/>
                <w:szCs w:val="24"/>
              </w:rPr>
              <w:t>After</w:t>
            </w:r>
          </w:p>
        </w:tc>
        <w:tc>
          <w:tcPr>
            <w:tcW w:w="1340" w:type="dxa"/>
            <w:tcBorders>
              <w:top w:val="single" w:color="auto" w:sz="4" w:space="0"/>
              <w:bottom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sz w:val="24"/>
                <w:szCs w:val="24"/>
              </w:rPr>
              <w:t>Before</w:t>
            </w:r>
          </w:p>
        </w:tc>
        <w:tc>
          <w:tcPr>
            <w:tcW w:w="1340" w:type="dxa"/>
            <w:tcBorders>
              <w:top w:val="single" w:color="auto" w:sz="4" w:space="0"/>
              <w:bottom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sz w:val="24"/>
                <w:szCs w:val="24"/>
              </w:rPr>
              <w:t xml:space="preserve">After </w:t>
            </w:r>
          </w:p>
        </w:tc>
        <w:tc>
          <w:tcPr>
            <w:tcW w:w="1340" w:type="dxa"/>
            <w:tcBorders>
              <w:top w:val="single" w:color="auto" w:sz="4" w:space="0"/>
              <w:bottom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sz w:val="24"/>
                <w:szCs w:val="24"/>
              </w:rPr>
              <w:t>Before</w:t>
            </w:r>
          </w:p>
        </w:tc>
        <w:tc>
          <w:tcPr>
            <w:tcW w:w="1340" w:type="dxa"/>
            <w:tcBorders>
              <w:top w:val="single" w:color="auto" w:sz="4" w:space="0"/>
              <w:bottom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sz w:val="24"/>
                <w:szCs w:val="24"/>
              </w:rPr>
              <w:t>After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iCs/>
                <w:color w:val="000000" w:themeColor="text1"/>
                <w:sz w:val="24"/>
                <w:szCs w:val="24"/>
                <w14:textFill>
                  <w14:solidFill>
                    <w14:schemeClr w14:val="tx1"/>
                  </w14:solidFill>
                </w14:textFill>
              </w:rPr>
              <w:t>Control group</w:t>
            </w:r>
            <w:r>
              <w:rPr>
                <w:rFonts w:ascii="Book Antiqua" w:hAnsi="Book Antiqua" w:cs="Times New Roman"/>
                <w:b/>
                <w:bCs/>
                <w:iCs/>
                <w:color w:val="000000" w:themeColor="text1"/>
                <w:sz w:val="24"/>
                <w:szCs w:val="24"/>
                <w14:textFill>
                  <w14:solidFill>
                    <w14:schemeClr w14:val="tx1"/>
                  </w14:solidFill>
                </w14:textFill>
              </w:rPr>
              <w:t xml:space="preserve"> </w:t>
            </w:r>
            <w:r>
              <w:rPr>
                <w:rFonts w:ascii="Book Antiqua" w:hAnsi="Book Antiqua" w:cs="Times New Roman"/>
                <w:color w:val="000000" w:themeColor="text1"/>
                <w:sz w:val="24"/>
                <w:szCs w:val="24"/>
                <w14:textFill>
                  <w14:solidFill>
                    <w14:schemeClr w14:val="tx1"/>
                  </w14:solidFill>
                </w14:textFill>
              </w:rPr>
              <w:t>(</w:t>
            </w:r>
            <w:r>
              <w:rPr>
                <w:rFonts w:ascii="Book Antiqua" w:hAnsi="Book Antiqua" w:cs="Times New Roman"/>
                <w:bCs/>
                <w:i/>
                <w:iCs/>
                <w:color w:val="000000" w:themeColor="text1"/>
                <w:sz w:val="24"/>
                <w:szCs w:val="24"/>
                <w14:textFill>
                  <w14:solidFill>
                    <w14:schemeClr w14:val="tx1"/>
                  </w14:solidFill>
                </w14:textFill>
              </w:rPr>
              <w:t>n</w:t>
            </w:r>
            <w:r>
              <w:rPr>
                <w:rFonts w:ascii="Book Antiqua" w:hAnsi="Book Antiqua" w:cs="Times New Roman"/>
                <w:b/>
                <w:bCs/>
                <w:color w:val="000000" w:themeColor="text1"/>
                <w:sz w:val="24"/>
                <w:szCs w:val="24"/>
                <w14:textFill>
                  <w14:solidFill>
                    <w14:schemeClr w14:val="tx1"/>
                  </w14:solidFill>
                </w14:textFill>
              </w:rPr>
              <w:t xml:space="preserve"> </w:t>
            </w:r>
            <w:r>
              <w:rPr>
                <w:rFonts w:ascii="Book Antiqua" w:hAnsi="Book Antiqua" w:cs="Times New Roman"/>
                <w:color w:val="000000" w:themeColor="text1"/>
                <w:sz w:val="24"/>
                <w:szCs w:val="24"/>
                <w14:textFill>
                  <w14:solidFill>
                    <w14:schemeClr w14:val="tx1"/>
                  </w14:solidFill>
                </w14:textFill>
              </w:rPr>
              <w:t xml:space="preserve">= 43) </w:t>
            </w:r>
          </w:p>
        </w:tc>
        <w:tc>
          <w:tcPr>
            <w:tcW w:w="1341"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1.91 ± 0.29 </w:t>
            </w:r>
          </w:p>
        </w:tc>
        <w:tc>
          <w:tcPr>
            <w:tcW w:w="1340"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3.09 ± 0.43 </w:t>
            </w:r>
          </w:p>
        </w:tc>
        <w:tc>
          <w:tcPr>
            <w:tcW w:w="1340"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2.65 ± 0.48 </w:t>
            </w:r>
          </w:p>
        </w:tc>
        <w:tc>
          <w:tcPr>
            <w:tcW w:w="1340"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3.63 ± 0.54 </w:t>
            </w:r>
          </w:p>
        </w:tc>
        <w:tc>
          <w:tcPr>
            <w:tcW w:w="1340"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2.56 ± 0.98</w:t>
            </w:r>
          </w:p>
        </w:tc>
        <w:tc>
          <w:tcPr>
            <w:tcW w:w="1340"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3.26 ± 0.98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Intervention group</w:t>
            </w:r>
            <w:r>
              <w:rPr>
                <w:rFonts w:ascii="Book Antiqua" w:hAnsi="Book Antiqua" w:cs="Times New Roman"/>
                <w:bCs/>
                <w:sz w:val="24"/>
                <w:szCs w:val="24"/>
              </w:rPr>
              <w:t xml:space="preserve"> </w:t>
            </w:r>
            <w:r>
              <w:rPr>
                <w:rFonts w:ascii="Book Antiqua" w:hAnsi="Book Antiqua" w:cs="Times New Roman"/>
                <w:sz w:val="24"/>
                <w:szCs w:val="24"/>
              </w:rPr>
              <w:t>(</w:t>
            </w:r>
            <w:r>
              <w:rPr>
                <w:rFonts w:ascii="Book Antiqua" w:hAnsi="Book Antiqua" w:cs="Times New Roman"/>
                <w:bCs/>
                <w:i/>
                <w:iCs/>
                <w:sz w:val="24"/>
                <w:szCs w:val="24"/>
              </w:rPr>
              <w:t>n</w:t>
            </w:r>
            <w:r>
              <w:rPr>
                <w:rFonts w:ascii="Book Antiqua" w:hAnsi="Book Antiqua" w:cs="Times New Roman"/>
                <w:bCs/>
                <w:sz w:val="24"/>
                <w:szCs w:val="24"/>
              </w:rPr>
              <w:t xml:space="preserve"> </w:t>
            </w:r>
            <w:r>
              <w:rPr>
                <w:rFonts w:ascii="Book Antiqua" w:hAnsi="Book Antiqua" w:cs="Times New Roman"/>
                <w:sz w:val="24"/>
                <w:szCs w:val="24"/>
              </w:rPr>
              <w:t xml:space="preserve">= 43) </w:t>
            </w:r>
          </w:p>
        </w:tc>
        <w:tc>
          <w:tcPr>
            <w:tcW w:w="1341"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1.98 ± 0.27</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3.37 ± 0.49 </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2.67 ± 0.47</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3.86 ± 0.41 </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2.58 ± 0.59</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3.97 ± 0.64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i/>
                <w:iCs/>
                <w:sz w:val="24"/>
                <w:szCs w:val="24"/>
              </w:rPr>
              <w:t>t</w:t>
            </w:r>
            <w:r>
              <w:rPr>
                <w:rFonts w:ascii="Book Antiqua" w:hAnsi="Book Antiqua" w:cs="Times New Roman"/>
                <w:sz w:val="24"/>
                <w:szCs w:val="24"/>
              </w:rPr>
              <w:t xml:space="preserve"> value</w:t>
            </w:r>
          </w:p>
        </w:tc>
        <w:tc>
          <w:tcPr>
            <w:tcW w:w="1341"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1.154</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2.821</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0.225</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2.255</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0.133 </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4.052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i/>
                <w:iCs/>
                <w:sz w:val="24"/>
                <w:szCs w:val="24"/>
              </w:rPr>
              <w:t>P</w:t>
            </w:r>
            <w:r>
              <w:rPr>
                <w:rFonts w:ascii="Book Antiqua" w:hAnsi="Book Antiqua" w:cs="Times New Roman"/>
                <w:sz w:val="24"/>
                <w:szCs w:val="24"/>
              </w:rPr>
              <w:t xml:space="preserve"> value</w:t>
            </w:r>
          </w:p>
        </w:tc>
        <w:tc>
          <w:tcPr>
            <w:tcW w:w="1341"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0.252</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0.006</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0.822</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0.027</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0.894</w:t>
            </w:r>
          </w:p>
        </w:tc>
        <w:tc>
          <w:tcPr>
            <w:tcW w:w="1340"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sz w:val="24"/>
                <w:szCs w:val="24"/>
              </w:rPr>
              <w:t xml:space="preserve">0.000 </w:t>
            </w:r>
          </w:p>
        </w:tc>
      </w:tr>
    </w:tbl>
    <w:p>
      <w:pPr>
        <w:pStyle w:val="1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p>
    <w:p>
      <w:pPr>
        <w:pStyle w:val="13"/>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br w:type="page"/>
      </w:r>
      <w:r>
        <w:rPr>
          <w:rFonts w:ascii="Book Antiqua" w:hAnsi="Book Antiqua" w:cs="Times New Roman"/>
          <w:b/>
          <w:bCs/>
          <w:color w:val="000000" w:themeColor="text1"/>
          <w:sz w:val="24"/>
          <w:szCs w:val="24"/>
          <w14:textFill>
            <w14:solidFill>
              <w14:schemeClr w14:val="tx1"/>
            </w14:solidFill>
          </w14:textFill>
        </w:rPr>
        <w:t>Table 5 Comparison of the implant deviations in the three-dimensional plane between the groups (mean ± SD)</w:t>
      </w:r>
      <w:r>
        <w:rPr>
          <w:rFonts w:ascii="Book Antiqua" w:hAnsi="Book Antiqua" w:cs="Times New Roman"/>
          <w:color w:val="000000" w:themeColor="text1"/>
          <w:sz w:val="24"/>
          <w:szCs w:val="24"/>
          <w14:textFill>
            <w14:solidFill>
              <w14:schemeClr w14:val="tx1"/>
            </w14:solidFill>
          </w14:textFill>
        </w:rPr>
        <w:t xml:space="preserve"> </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2394"/>
        <w:gridCol w:w="2394"/>
        <w:gridCol w:w="239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Group</w:t>
            </w:r>
          </w:p>
        </w:tc>
        <w:tc>
          <w:tcPr>
            <w:tcW w:w="2394"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Top (mm)</w:t>
            </w:r>
          </w:p>
        </w:tc>
        <w:tc>
          <w:tcPr>
            <w:tcW w:w="2394"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Middle (mm)</w:t>
            </w:r>
          </w:p>
        </w:tc>
        <w:tc>
          <w:tcPr>
            <w:tcW w:w="2394" w:type="dxa"/>
            <w:tcBorders>
              <w:top w:val="single" w:color="auto" w:sz="4" w:space="0"/>
              <w:bottom w:val="single" w:color="auto" w:sz="4" w:space="0"/>
            </w:tcBorders>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b/>
                <w:bCs/>
                <w:sz w:val="24"/>
                <w:szCs w:val="24"/>
              </w:rPr>
              <w:t>Angle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iCs/>
                <w:color w:val="000000" w:themeColor="text1"/>
                <w:sz w:val="24"/>
                <w:szCs w:val="24"/>
                <w14:textFill>
                  <w14:solidFill>
                    <w14:schemeClr w14:val="tx1"/>
                  </w14:solidFill>
                </w14:textFill>
              </w:rPr>
              <w:t>Control group (</w:t>
            </w:r>
            <w:r>
              <w:rPr>
                <w:rFonts w:ascii="Book Antiqua" w:hAnsi="Book Antiqua" w:cs="Times New Roman"/>
                <w:bCs/>
                <w:i/>
                <w:color w:val="000000" w:themeColor="text1"/>
                <w:sz w:val="24"/>
                <w:szCs w:val="24"/>
                <w14:textFill>
                  <w14:solidFill>
                    <w14:schemeClr w14:val="tx1"/>
                  </w14:solidFill>
                </w14:textFill>
              </w:rPr>
              <w:t>n</w:t>
            </w:r>
            <w:r>
              <w:rPr>
                <w:rFonts w:ascii="Book Antiqua" w:hAnsi="Book Antiqua" w:cs="Times New Roman"/>
                <w:bCs/>
                <w:iCs/>
                <w:color w:val="000000" w:themeColor="text1"/>
                <w:sz w:val="24"/>
                <w:szCs w:val="24"/>
                <w14:textFill>
                  <w14:solidFill>
                    <w14:schemeClr w14:val="tx1"/>
                  </w14:solidFill>
                </w14:textFill>
              </w:rPr>
              <w:t xml:space="preserve"> = 43)</w:t>
            </w:r>
          </w:p>
        </w:tc>
        <w:tc>
          <w:tcPr>
            <w:tcW w:w="2394"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1.66 ± 0.97</w:t>
            </w:r>
          </w:p>
        </w:tc>
        <w:tc>
          <w:tcPr>
            <w:tcW w:w="2394"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1.51 ± 0.28</w:t>
            </w:r>
          </w:p>
        </w:tc>
        <w:tc>
          <w:tcPr>
            <w:tcW w:w="2394" w:type="dxa"/>
            <w:tcBorders>
              <w:top w:val="single" w:color="auto" w:sz="4" w:space="0"/>
            </w:tcBorders>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2.95 ± 1.23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iCs/>
                <w:color w:val="000000" w:themeColor="text1"/>
                <w:sz w:val="24"/>
                <w:szCs w:val="24"/>
                <w14:textFill>
                  <w14:solidFill>
                    <w14:schemeClr w14:val="tx1"/>
                  </w14:solidFill>
                </w14:textFill>
              </w:rPr>
              <w:t>Intervention group (</w:t>
            </w:r>
            <w:r>
              <w:rPr>
                <w:rFonts w:ascii="Book Antiqua" w:hAnsi="Book Antiqua" w:cs="Times New Roman"/>
                <w:bCs/>
                <w:i/>
                <w:color w:val="000000" w:themeColor="text1"/>
                <w:sz w:val="24"/>
                <w:szCs w:val="24"/>
                <w14:textFill>
                  <w14:solidFill>
                    <w14:schemeClr w14:val="tx1"/>
                  </w14:solidFill>
                </w14:textFill>
              </w:rPr>
              <w:t>n</w:t>
            </w:r>
            <w:r>
              <w:rPr>
                <w:rFonts w:ascii="Book Antiqua" w:hAnsi="Book Antiqua" w:cs="Times New Roman"/>
                <w:bCs/>
                <w:iCs/>
                <w:color w:val="000000" w:themeColor="text1"/>
                <w:sz w:val="24"/>
                <w:szCs w:val="24"/>
                <w14:textFill>
                  <w14:solidFill>
                    <w14:schemeClr w14:val="tx1"/>
                  </w14:solidFill>
                </w14:textFill>
              </w:rPr>
              <w:t xml:space="preserve"> = 43)</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0.54 ± 0.34</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0.43 ± 0.15</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1.78 ± 0.69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i/>
                <w:sz w:val="24"/>
                <w:szCs w:val="24"/>
              </w:rPr>
              <w:t>t</w:t>
            </w:r>
            <w:r>
              <w:rPr>
                <w:rFonts w:ascii="Book Antiqua" w:hAnsi="Book Antiqua" w:cs="Times New Roman"/>
                <w:bCs/>
                <w:iCs/>
                <w:sz w:val="24"/>
                <w:szCs w:val="24"/>
              </w:rPr>
              <w:t xml:space="preserve"> value</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7.122</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22.295</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5.440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i/>
                <w:sz w:val="24"/>
                <w:szCs w:val="24"/>
              </w:rPr>
              <w:t>P</w:t>
            </w:r>
            <w:r>
              <w:rPr>
                <w:rFonts w:ascii="Book Antiqua" w:hAnsi="Book Antiqua" w:cs="Times New Roman"/>
                <w:bCs/>
                <w:iCs/>
                <w:sz w:val="24"/>
                <w:szCs w:val="24"/>
              </w:rPr>
              <w:t xml:space="preserve"> value</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0.000</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0.000</w:t>
            </w:r>
          </w:p>
        </w:tc>
        <w:tc>
          <w:tcPr>
            <w:tcW w:w="2394" w:type="dxa"/>
            <w:vAlign w:val="center"/>
          </w:tcPr>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Cs/>
                <w:sz w:val="24"/>
                <w:szCs w:val="24"/>
              </w:rPr>
              <w:t>0.000</w:t>
            </w:r>
          </w:p>
        </w:tc>
      </w:tr>
    </w:tbl>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p>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p>
    <w:p>
      <w:pPr>
        <w:pStyle w:val="13"/>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bCs/>
          <w:color w:val="000000" w:themeColor="text1"/>
          <w:sz w:val="24"/>
          <w:szCs w:val="24"/>
          <w14:textFill>
            <w14:solidFill>
              <w14:schemeClr w14:val="tx1"/>
            </w14:solidFill>
          </w14:textFill>
        </w:rPr>
        <w:t>Table 6 Comparison of the quality of life between the groups (mean ± SD)</w:t>
      </w:r>
    </w:p>
    <w:tbl>
      <w:tblPr>
        <w:tblStyle w:val="4"/>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597"/>
        <w:gridCol w:w="992"/>
        <w:gridCol w:w="1071"/>
        <w:gridCol w:w="992"/>
        <w:gridCol w:w="1067"/>
        <w:gridCol w:w="937"/>
        <w:gridCol w:w="883"/>
        <w:gridCol w:w="1247"/>
        <w:gridCol w:w="79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8" w:hRule="atLeast"/>
        </w:trPr>
        <w:tc>
          <w:tcPr>
            <w:tcW w:w="842" w:type="pct"/>
            <w:vMerge w:val="restart"/>
            <w:tcBorders>
              <w:top w:val="single" w:color="auto" w:sz="4" w:space="0"/>
              <w:bottom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b/>
                <w:bCs/>
                <w:color w:val="000000" w:themeColor="text1"/>
                <w:sz w:val="24"/>
                <w:szCs w:val="24"/>
                <w14:textFill>
                  <w14:solidFill>
                    <w14:schemeClr w14:val="tx1"/>
                  </w14:solidFill>
                </w14:textFill>
              </w:rPr>
            </w:pPr>
            <w:r>
              <w:rPr>
                <w:rFonts w:ascii="Book Antiqua" w:hAnsi="Book Antiqua" w:cs="Times New Roman"/>
                <w:b/>
                <w:bCs/>
                <w:color w:val="000000" w:themeColor="text1"/>
                <w:sz w:val="24"/>
                <w:szCs w:val="24"/>
                <w14:textFill>
                  <w14:solidFill>
                    <w14:schemeClr w14:val="tx1"/>
                  </w14:solidFill>
                </w14:textFill>
              </w:rPr>
              <w:t>Group</w:t>
            </w:r>
          </w:p>
        </w:tc>
        <w:tc>
          <w:tcPr>
            <w:tcW w:w="1093" w:type="pct"/>
            <w:gridSpan w:val="2"/>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Functional limitation</w:t>
            </w:r>
          </w:p>
        </w:tc>
        <w:tc>
          <w:tcPr>
            <w:tcW w:w="1091" w:type="pct"/>
            <w:gridSpan w:val="2"/>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Physiological pain and discomfort</w:t>
            </w:r>
          </w:p>
        </w:tc>
        <w:tc>
          <w:tcPr>
            <w:tcW w:w="958" w:type="pct"/>
            <w:gridSpan w:val="2"/>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Psychological and social</w:t>
            </w:r>
          </w:p>
        </w:tc>
        <w:tc>
          <w:tcPr>
            <w:tcW w:w="1015" w:type="pct"/>
            <w:gridSpan w:val="2"/>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Total score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8" w:hRule="atLeast"/>
        </w:trPr>
        <w:tc>
          <w:tcPr>
            <w:tcW w:w="842" w:type="pct"/>
            <w:vMerge w:val="continue"/>
            <w:tcBorders>
              <w:top w:val="single" w:color="auto" w:sz="4" w:space="0"/>
              <w:bottom w:val="single" w:color="auto" w:sz="4" w:space="0"/>
            </w:tcBorders>
            <w:vAlign w:val="center"/>
          </w:tcPr>
          <w:p>
            <w:pPr>
              <w:adjustRightInd w:val="0"/>
              <w:snapToGrid w:val="0"/>
              <w:spacing w:line="360" w:lineRule="auto"/>
              <w:jc w:val="both"/>
              <w:rPr>
                <w:rFonts w:ascii="Book Antiqua" w:hAnsi="Book Antiqua"/>
                <w:b/>
                <w:bCs/>
                <w:color w:val="000000" w:themeColor="text1"/>
                <w14:textFill>
                  <w14:solidFill>
                    <w14:schemeClr w14:val="tx1"/>
                  </w14:solidFill>
                </w14:textFill>
              </w:rPr>
            </w:pPr>
          </w:p>
        </w:tc>
        <w:tc>
          <w:tcPr>
            <w:tcW w:w="526" w:type="pct"/>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Before</w:t>
            </w:r>
          </w:p>
        </w:tc>
        <w:tc>
          <w:tcPr>
            <w:tcW w:w="567" w:type="pct"/>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After</w:t>
            </w:r>
          </w:p>
        </w:tc>
        <w:tc>
          <w:tcPr>
            <w:tcW w:w="526" w:type="pct"/>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Before</w:t>
            </w:r>
          </w:p>
        </w:tc>
        <w:tc>
          <w:tcPr>
            <w:tcW w:w="565" w:type="pct"/>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After</w:t>
            </w:r>
          </w:p>
        </w:tc>
        <w:tc>
          <w:tcPr>
            <w:tcW w:w="489" w:type="pct"/>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Before</w:t>
            </w:r>
          </w:p>
        </w:tc>
        <w:tc>
          <w:tcPr>
            <w:tcW w:w="469" w:type="pct"/>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After</w:t>
            </w:r>
          </w:p>
        </w:tc>
        <w:tc>
          <w:tcPr>
            <w:tcW w:w="659" w:type="pct"/>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Before</w:t>
            </w:r>
          </w:p>
        </w:tc>
        <w:tc>
          <w:tcPr>
            <w:tcW w:w="357" w:type="pct"/>
            <w:tcBorders>
              <w:top w:val="single" w:color="auto" w:sz="4" w:space="0"/>
              <w:bottom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b/>
                <w:bCs/>
                <w:color w:val="000000" w:themeColor="text1"/>
                <w:sz w:val="24"/>
                <w:szCs w:val="24"/>
                <w14:textFill>
                  <w14:solidFill>
                    <w14:schemeClr w14:val="tx1"/>
                  </w14:solidFill>
                </w14:textFill>
              </w:rPr>
            </w:pPr>
            <w:r>
              <w:rPr>
                <w:rFonts w:hint="default" w:ascii="Book Antiqua" w:hAnsi="Book Antiqua" w:cs="Times New Roman"/>
                <w:b/>
                <w:bCs/>
                <w:color w:val="000000" w:themeColor="text1"/>
                <w:sz w:val="24"/>
                <w:szCs w:val="24"/>
                <w14:textFill>
                  <w14:solidFill>
                    <w14:schemeClr w14:val="tx1"/>
                  </w14:solidFill>
                </w14:textFill>
              </w:rPr>
              <w:t>After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8" w:hRule="atLeast"/>
        </w:trPr>
        <w:tc>
          <w:tcPr>
            <w:tcW w:w="842" w:type="pct"/>
            <w:tcBorders>
              <w:top w:val="single" w:color="auto" w:sz="4" w:space="0"/>
            </w:tcBorders>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Control group (</w:t>
            </w:r>
            <w:r>
              <w:rPr>
                <w:rFonts w:hint="default" w:ascii="Book Antiqua" w:hAnsi="Book Antiqua" w:cs="Times New Roman"/>
                <w:i/>
                <w:iCs/>
                <w:color w:val="000000" w:themeColor="text1"/>
                <w:sz w:val="24"/>
                <w:szCs w:val="24"/>
                <w14:textFill>
                  <w14:solidFill>
                    <w14:schemeClr w14:val="tx1"/>
                  </w14:solidFill>
                </w14:textFill>
              </w:rPr>
              <w:t>n</w:t>
            </w:r>
            <w:r>
              <w:rPr>
                <w:rFonts w:hint="default" w:ascii="Book Antiqua" w:hAnsi="Book Antiqua" w:cs="Times New Roman"/>
                <w:color w:val="000000" w:themeColor="text1"/>
                <w:sz w:val="24"/>
                <w:szCs w:val="24"/>
                <w14:textFill>
                  <w14:solidFill>
                    <w14:schemeClr w14:val="tx1"/>
                  </w14:solidFill>
                </w14:textFill>
              </w:rPr>
              <w:t xml:space="preserve"> = 43) </w:t>
            </w:r>
          </w:p>
        </w:tc>
        <w:tc>
          <w:tcPr>
            <w:tcW w:w="526" w:type="pct"/>
            <w:tcBorders>
              <w:top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3.70 ± 1.52</w:t>
            </w:r>
          </w:p>
        </w:tc>
        <w:tc>
          <w:tcPr>
            <w:tcW w:w="567" w:type="pct"/>
            <w:tcBorders>
              <w:top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1.70 ± 0.96</w:t>
            </w:r>
          </w:p>
        </w:tc>
        <w:tc>
          <w:tcPr>
            <w:tcW w:w="526" w:type="pct"/>
            <w:tcBorders>
              <w:top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2.37 ± 1.57</w:t>
            </w:r>
          </w:p>
        </w:tc>
        <w:tc>
          <w:tcPr>
            <w:tcW w:w="565" w:type="pct"/>
            <w:tcBorders>
              <w:top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1.21 ± 0.41</w:t>
            </w:r>
          </w:p>
        </w:tc>
        <w:tc>
          <w:tcPr>
            <w:tcW w:w="489" w:type="pct"/>
            <w:tcBorders>
              <w:top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3.26 ± 1.54</w:t>
            </w:r>
          </w:p>
        </w:tc>
        <w:tc>
          <w:tcPr>
            <w:tcW w:w="469" w:type="pct"/>
            <w:tcBorders>
              <w:top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1.56 ± 0.98</w:t>
            </w:r>
          </w:p>
        </w:tc>
        <w:tc>
          <w:tcPr>
            <w:tcW w:w="659" w:type="pct"/>
            <w:tcBorders>
              <w:top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9.33 ± 2.54</w:t>
            </w:r>
          </w:p>
        </w:tc>
        <w:tc>
          <w:tcPr>
            <w:tcW w:w="357" w:type="pct"/>
            <w:tcBorders>
              <w:top w:val="single" w:color="auto" w:sz="4" w:space="0"/>
            </w:tcBorders>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4.47 ± 1.32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8" w:hRule="atLeast"/>
        </w:trPr>
        <w:tc>
          <w:tcPr>
            <w:tcW w:w="842" w:type="pct"/>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Intervention group (</w:t>
            </w:r>
            <w:r>
              <w:rPr>
                <w:rFonts w:hint="default" w:ascii="Book Antiqua" w:hAnsi="Book Antiqua" w:cs="Times New Roman"/>
                <w:i/>
                <w:iCs/>
                <w:color w:val="000000" w:themeColor="text1"/>
                <w:sz w:val="24"/>
                <w:szCs w:val="24"/>
                <w14:textFill>
                  <w14:solidFill>
                    <w14:schemeClr w14:val="tx1"/>
                  </w14:solidFill>
                </w14:textFill>
              </w:rPr>
              <w:t>n</w:t>
            </w:r>
            <w:r>
              <w:rPr>
                <w:rFonts w:hint="default" w:ascii="Book Antiqua" w:hAnsi="Book Antiqua" w:cs="Times New Roman"/>
                <w:color w:val="000000" w:themeColor="text1"/>
                <w:sz w:val="24"/>
                <w:szCs w:val="24"/>
                <w14:textFill>
                  <w14:solidFill>
                    <w14:schemeClr w14:val="tx1"/>
                  </w14:solidFill>
                </w14:textFill>
              </w:rPr>
              <w:t xml:space="preserve"> = 43) </w:t>
            </w:r>
          </w:p>
        </w:tc>
        <w:tc>
          <w:tcPr>
            <w:tcW w:w="526"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3.74 ± 1.38</w:t>
            </w:r>
          </w:p>
        </w:tc>
        <w:tc>
          <w:tcPr>
            <w:tcW w:w="567"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1.21 ± 0.68</w:t>
            </w:r>
          </w:p>
        </w:tc>
        <w:tc>
          <w:tcPr>
            <w:tcW w:w="526"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2.33 ± 1.32</w:t>
            </w:r>
          </w:p>
        </w:tc>
        <w:tc>
          <w:tcPr>
            <w:tcW w:w="565"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0.65 ± 0.48</w:t>
            </w:r>
          </w:p>
        </w:tc>
        <w:tc>
          <w:tcPr>
            <w:tcW w:w="489"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3.21 ± 1.77</w:t>
            </w:r>
          </w:p>
        </w:tc>
        <w:tc>
          <w:tcPr>
            <w:tcW w:w="469"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1.09 ± 0.75</w:t>
            </w:r>
          </w:p>
        </w:tc>
        <w:tc>
          <w:tcPr>
            <w:tcW w:w="659"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9.28 ± 2.48</w:t>
            </w:r>
          </w:p>
        </w:tc>
        <w:tc>
          <w:tcPr>
            <w:tcW w:w="357"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2.95 ± 1.11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8" w:hRule="atLeast"/>
        </w:trPr>
        <w:tc>
          <w:tcPr>
            <w:tcW w:w="842"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i/>
                <w:iCs/>
                <w:color w:val="000000" w:themeColor="text1"/>
                <w:sz w:val="24"/>
                <w:szCs w:val="24"/>
                <w14:textFill>
                  <w14:solidFill>
                    <w14:schemeClr w14:val="tx1"/>
                  </w14:solidFill>
                </w14:textFill>
              </w:rPr>
              <w:t xml:space="preserve">t </w:t>
            </w:r>
            <w:r>
              <w:rPr>
                <w:rFonts w:ascii="Book Antiqua" w:hAnsi="Book Antiqua" w:cs="Times New Roman"/>
                <w:color w:val="000000" w:themeColor="text1"/>
                <w:sz w:val="24"/>
                <w:szCs w:val="24"/>
                <w14:textFill>
                  <w14:solidFill>
                    <w14:schemeClr w14:val="tx1"/>
                  </w14:solidFill>
                </w14:textFill>
              </w:rPr>
              <w:t>value</w:t>
            </w:r>
          </w:p>
        </w:tc>
        <w:tc>
          <w:tcPr>
            <w:tcW w:w="526"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0.148</w:t>
            </w:r>
          </w:p>
        </w:tc>
        <w:tc>
          <w:tcPr>
            <w:tcW w:w="567"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2.721</w:t>
            </w:r>
          </w:p>
        </w:tc>
        <w:tc>
          <w:tcPr>
            <w:tcW w:w="526" w:type="pct"/>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0.148</w:t>
            </w:r>
          </w:p>
        </w:tc>
        <w:tc>
          <w:tcPr>
            <w:tcW w:w="565"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5.773</w:t>
            </w:r>
          </w:p>
        </w:tc>
        <w:tc>
          <w:tcPr>
            <w:tcW w:w="489"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0.130</w:t>
            </w:r>
          </w:p>
        </w:tc>
        <w:tc>
          <w:tcPr>
            <w:tcW w:w="469"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2.466</w:t>
            </w:r>
          </w:p>
        </w:tc>
        <w:tc>
          <w:tcPr>
            <w:tcW w:w="659" w:type="pct"/>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0.086</w:t>
            </w:r>
          </w:p>
        </w:tc>
        <w:tc>
          <w:tcPr>
            <w:tcW w:w="357"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5.755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8" w:hRule="atLeast"/>
        </w:trPr>
        <w:tc>
          <w:tcPr>
            <w:tcW w:w="842"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i/>
                <w:iCs/>
                <w:color w:val="000000" w:themeColor="text1"/>
                <w:sz w:val="24"/>
                <w:szCs w:val="24"/>
                <w14:textFill>
                  <w14:solidFill>
                    <w14:schemeClr w14:val="tx1"/>
                  </w14:solidFill>
                </w14:textFill>
              </w:rPr>
              <w:t>P</w:t>
            </w:r>
            <w:r>
              <w:rPr>
                <w:rFonts w:ascii="Book Antiqua" w:hAnsi="Book Antiqua" w:cs="Times New Roman"/>
                <w:color w:val="000000" w:themeColor="text1"/>
                <w:sz w:val="24"/>
                <w:szCs w:val="24"/>
                <w14:textFill>
                  <w14:solidFill>
                    <w14:schemeClr w14:val="tx1"/>
                  </w14:solidFill>
                </w14:textFill>
              </w:rPr>
              <w:t xml:space="preserve"> value</w:t>
            </w:r>
          </w:p>
        </w:tc>
        <w:tc>
          <w:tcPr>
            <w:tcW w:w="526" w:type="pct"/>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0.882</w:t>
            </w:r>
          </w:p>
        </w:tc>
        <w:tc>
          <w:tcPr>
            <w:tcW w:w="567" w:type="pct"/>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0.008</w:t>
            </w:r>
          </w:p>
        </w:tc>
        <w:tc>
          <w:tcPr>
            <w:tcW w:w="526" w:type="pct"/>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0.882</w:t>
            </w:r>
          </w:p>
        </w:tc>
        <w:tc>
          <w:tcPr>
            <w:tcW w:w="565" w:type="pct"/>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0.000</w:t>
            </w:r>
          </w:p>
        </w:tc>
        <w:tc>
          <w:tcPr>
            <w:tcW w:w="489"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0.897</w:t>
            </w:r>
          </w:p>
        </w:tc>
        <w:tc>
          <w:tcPr>
            <w:tcW w:w="469" w:type="pct"/>
            <w:tcMar>
              <w:top w:w="0" w:type="dxa"/>
              <w:left w:w="108" w:type="dxa"/>
              <w:bottom w:w="0" w:type="dxa"/>
              <w:right w:w="108" w:type="dxa"/>
            </w:tcMar>
            <w:vAlign w:val="center"/>
          </w:tcPr>
          <w:p>
            <w:pPr>
              <w:pStyle w:val="22"/>
              <w:adjustRightInd w:val="0"/>
              <w:snapToGrid w:val="0"/>
              <w:spacing w:line="360" w:lineRule="auto"/>
              <w:jc w:val="both"/>
              <w:rPr>
                <w:rFonts w:hint="default" w:ascii="Book Antiqua" w:hAnsi="Book Antiqua" w:cs="Times New Roman"/>
                <w:color w:val="000000" w:themeColor="text1"/>
                <w:sz w:val="24"/>
                <w:szCs w:val="24"/>
                <w14:textFill>
                  <w14:solidFill>
                    <w14:schemeClr w14:val="tx1"/>
                  </w14:solidFill>
                </w14:textFill>
              </w:rPr>
            </w:pPr>
            <w:r>
              <w:rPr>
                <w:rFonts w:hint="default" w:ascii="Book Antiqua" w:hAnsi="Book Antiqua" w:cs="Times New Roman"/>
                <w:color w:val="000000" w:themeColor="text1"/>
                <w:sz w:val="24"/>
                <w:szCs w:val="24"/>
                <w14:textFill>
                  <w14:solidFill>
                    <w14:schemeClr w14:val="tx1"/>
                  </w14:solidFill>
                </w14:textFill>
              </w:rPr>
              <w:t>0.016</w:t>
            </w:r>
          </w:p>
        </w:tc>
        <w:tc>
          <w:tcPr>
            <w:tcW w:w="659"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0.932</w:t>
            </w:r>
          </w:p>
        </w:tc>
        <w:tc>
          <w:tcPr>
            <w:tcW w:w="357" w:type="pct"/>
            <w:tcMar>
              <w:top w:w="0" w:type="dxa"/>
              <w:left w:w="108" w:type="dxa"/>
              <w:bottom w:w="0" w:type="dxa"/>
              <w:right w:w="108" w:type="dxa"/>
            </w:tcMar>
            <w:vAlign w:val="center"/>
          </w:tcPr>
          <w:p>
            <w:pPr>
              <w:pStyle w:val="21"/>
              <w:adjustRightInd w:val="0"/>
              <w:snapToGrid w:val="0"/>
              <w:spacing w:line="360" w:lineRule="auto"/>
              <w:jc w:val="both"/>
              <w:rPr>
                <w:rFonts w:ascii="Book Antiqua" w:hAnsi="Book Antiqua" w:cs="Times New Roman"/>
                <w:color w:val="000000" w:themeColor="text1"/>
                <w:sz w:val="24"/>
                <w:szCs w:val="24"/>
                <w14:textFill>
                  <w14:solidFill>
                    <w14:schemeClr w14:val="tx1"/>
                  </w14:solidFill>
                </w14:textFill>
              </w:rPr>
            </w:pPr>
            <w:r>
              <w:rPr>
                <w:rFonts w:ascii="Book Antiqua" w:hAnsi="Book Antiqua" w:cs="Times New Roman"/>
                <w:color w:val="000000" w:themeColor="text1"/>
                <w:sz w:val="24"/>
                <w:szCs w:val="24"/>
                <w14:textFill>
                  <w14:solidFill>
                    <w14:schemeClr w14:val="tx1"/>
                  </w14:solidFill>
                </w14:textFill>
              </w:rPr>
              <w:t>0.000</w:t>
            </w:r>
          </w:p>
        </w:tc>
      </w:tr>
      <w:bookmarkEnd w:id="0"/>
    </w:tbl>
    <w:p>
      <w:pPr>
        <w:adjustRightInd w:val="0"/>
        <w:snapToGrid w:val="0"/>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8368709"/>
      <w:docPartObj>
        <w:docPartGallery w:val="autotext"/>
      </w:docPartObj>
    </w:sdtPr>
    <w:sdtContent>
      <w:sdt>
        <w:sdtPr>
          <w:id w:val="-1769616900"/>
          <w:docPartObj>
            <w:docPartGallery w:val="autotext"/>
          </w:docPartObj>
        </w:sdtPr>
        <w:sdtContent>
          <w:p>
            <w:pPr>
              <w:pStyle w:val="2"/>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68D"/>
    <w:rsid w:val="00027AA2"/>
    <w:rsid w:val="000374C3"/>
    <w:rsid w:val="00062429"/>
    <w:rsid w:val="000722F5"/>
    <w:rsid w:val="00073DA6"/>
    <w:rsid w:val="00081E81"/>
    <w:rsid w:val="00095785"/>
    <w:rsid w:val="000A637C"/>
    <w:rsid w:val="000B3994"/>
    <w:rsid w:val="000B6E11"/>
    <w:rsid w:val="000D2316"/>
    <w:rsid w:val="000D24BC"/>
    <w:rsid w:val="000D2B7C"/>
    <w:rsid w:val="000E4E7D"/>
    <w:rsid w:val="000E60FF"/>
    <w:rsid w:val="00115B44"/>
    <w:rsid w:val="001678D9"/>
    <w:rsid w:val="00182E7E"/>
    <w:rsid w:val="001B24D1"/>
    <w:rsid w:val="001C5DA3"/>
    <w:rsid w:val="001E30FC"/>
    <w:rsid w:val="001E3E71"/>
    <w:rsid w:val="001F65EB"/>
    <w:rsid w:val="00237607"/>
    <w:rsid w:val="00254569"/>
    <w:rsid w:val="002576CB"/>
    <w:rsid w:val="002D1628"/>
    <w:rsid w:val="002E20A6"/>
    <w:rsid w:val="002E34E2"/>
    <w:rsid w:val="00344B20"/>
    <w:rsid w:val="00357120"/>
    <w:rsid w:val="0038408B"/>
    <w:rsid w:val="003878E9"/>
    <w:rsid w:val="003A2925"/>
    <w:rsid w:val="004015F0"/>
    <w:rsid w:val="00497EDC"/>
    <w:rsid w:val="00544D0D"/>
    <w:rsid w:val="00545210"/>
    <w:rsid w:val="00546DAF"/>
    <w:rsid w:val="00554A27"/>
    <w:rsid w:val="005827C4"/>
    <w:rsid w:val="005856FD"/>
    <w:rsid w:val="0058634D"/>
    <w:rsid w:val="0059774C"/>
    <w:rsid w:val="005A6D7E"/>
    <w:rsid w:val="005D47C2"/>
    <w:rsid w:val="005E2E76"/>
    <w:rsid w:val="00625410"/>
    <w:rsid w:val="00645BBF"/>
    <w:rsid w:val="006624BF"/>
    <w:rsid w:val="00667FC2"/>
    <w:rsid w:val="00683845"/>
    <w:rsid w:val="00693EB9"/>
    <w:rsid w:val="0069521F"/>
    <w:rsid w:val="00697FA0"/>
    <w:rsid w:val="006E444B"/>
    <w:rsid w:val="00772640"/>
    <w:rsid w:val="0078269D"/>
    <w:rsid w:val="00796A35"/>
    <w:rsid w:val="00820651"/>
    <w:rsid w:val="00856822"/>
    <w:rsid w:val="008A58F4"/>
    <w:rsid w:val="008E73A0"/>
    <w:rsid w:val="00966483"/>
    <w:rsid w:val="00992BBA"/>
    <w:rsid w:val="009A288E"/>
    <w:rsid w:val="009F1913"/>
    <w:rsid w:val="009F4823"/>
    <w:rsid w:val="00A033EC"/>
    <w:rsid w:val="00A224D8"/>
    <w:rsid w:val="00A3707A"/>
    <w:rsid w:val="00A37D7E"/>
    <w:rsid w:val="00A47823"/>
    <w:rsid w:val="00A74532"/>
    <w:rsid w:val="00A77B3E"/>
    <w:rsid w:val="00AA6C6A"/>
    <w:rsid w:val="00AC5D65"/>
    <w:rsid w:val="00AD0705"/>
    <w:rsid w:val="00AF0CF7"/>
    <w:rsid w:val="00AF1A2A"/>
    <w:rsid w:val="00AF4569"/>
    <w:rsid w:val="00B326D9"/>
    <w:rsid w:val="00B507B8"/>
    <w:rsid w:val="00B8437B"/>
    <w:rsid w:val="00BD45A2"/>
    <w:rsid w:val="00C65DFE"/>
    <w:rsid w:val="00C6603B"/>
    <w:rsid w:val="00C74A17"/>
    <w:rsid w:val="00C92BA9"/>
    <w:rsid w:val="00CA2A55"/>
    <w:rsid w:val="00CB2C04"/>
    <w:rsid w:val="00CE454A"/>
    <w:rsid w:val="00D33B3B"/>
    <w:rsid w:val="00D65517"/>
    <w:rsid w:val="00D71239"/>
    <w:rsid w:val="00D72090"/>
    <w:rsid w:val="00DC5F22"/>
    <w:rsid w:val="00DC701B"/>
    <w:rsid w:val="00DE520B"/>
    <w:rsid w:val="00E07DBF"/>
    <w:rsid w:val="00E36D79"/>
    <w:rsid w:val="00E45A79"/>
    <w:rsid w:val="00E46E3A"/>
    <w:rsid w:val="00EA01A8"/>
    <w:rsid w:val="00EA7E86"/>
    <w:rsid w:val="00ED2FF7"/>
    <w:rsid w:val="00F46E4C"/>
    <w:rsid w:val="00F473D7"/>
    <w:rsid w:val="00F53B38"/>
    <w:rsid w:val="00F97896"/>
    <w:rsid w:val="00FD1243"/>
    <w:rsid w:val="15AC147A"/>
    <w:rsid w:val="29322128"/>
    <w:rsid w:val="47603BEE"/>
    <w:rsid w:val="49763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pPr>
    <w:rPr>
      <w:sz w:val="18"/>
      <w:szCs w:val="18"/>
    </w:rPr>
  </w:style>
  <w:style w:type="paragraph" w:styleId="3">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15"/>
    <w:basedOn w:val="6"/>
    <w:uiPriority w:val="0"/>
  </w:style>
  <w:style w:type="character" w:customStyle="1" w:styleId="8">
    <w:name w:val="页眉 字符"/>
    <w:basedOn w:val="6"/>
    <w:link w:val="3"/>
    <w:qFormat/>
    <w:uiPriority w:val="0"/>
    <w:rPr>
      <w:sz w:val="18"/>
      <w:szCs w:val="18"/>
    </w:rPr>
  </w:style>
  <w:style w:type="character" w:customStyle="1" w:styleId="9">
    <w:name w:val="页脚 字符"/>
    <w:basedOn w:val="6"/>
    <w:link w:val="2"/>
    <w:uiPriority w:val="99"/>
    <w:rPr>
      <w:sz w:val="18"/>
      <w:szCs w:val="18"/>
    </w:rPr>
  </w:style>
  <w:style w:type="character" w:customStyle="1" w:styleId="10">
    <w:name w:val="dxdefaultcursor"/>
    <w:basedOn w:val="6"/>
    <w:qFormat/>
    <w:uiPriority w:val="0"/>
  </w:style>
  <w:style w:type="table" w:customStyle="1" w:styleId="11">
    <w:name w:val="清单表 6 彩色1"/>
    <w:basedOn w:val="4"/>
    <w:qFormat/>
    <w:uiPriority w:val="51"/>
    <w:rPr>
      <w:rFonts w:eastAsia="宋体"/>
      <w:color w:val="000000" w:themeColor="text1"/>
      <w:lang w:eastAsia="zh-CN"/>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12">
    <w:name w:val="P68B1DB1-13"/>
    <w:basedOn w:val="1"/>
    <w:qFormat/>
    <w:uiPriority w:val="0"/>
    <w:rPr>
      <w:rFonts w:hint="eastAsia" w:eastAsia="宋体" w:cs="宋体"/>
      <w:sz w:val="21"/>
      <w:szCs w:val="20"/>
      <w:lang w:eastAsia="zh-CN"/>
    </w:rPr>
  </w:style>
  <w:style w:type="paragraph" w:customStyle="1" w:styleId="13">
    <w:name w:val="P68B1DB1-14"/>
    <w:basedOn w:val="1"/>
    <w:qFormat/>
    <w:uiPriority w:val="0"/>
    <w:rPr>
      <w:rFonts w:eastAsia="宋体" w:cs="宋体"/>
      <w:sz w:val="21"/>
      <w:szCs w:val="20"/>
      <w:lang w:eastAsia="zh-CN"/>
    </w:rPr>
  </w:style>
  <w:style w:type="paragraph" w:customStyle="1" w:styleId="14">
    <w:name w:val="P68B1DB1-15"/>
    <w:basedOn w:val="1"/>
    <w:qFormat/>
    <w:uiPriority w:val="0"/>
    <w:rPr>
      <w:rFonts w:hint="eastAsia" w:eastAsia="宋体" w:cs="宋体"/>
      <w:b/>
      <w:sz w:val="21"/>
      <w:szCs w:val="20"/>
      <w:lang w:eastAsia="zh-CN"/>
    </w:rPr>
  </w:style>
  <w:style w:type="paragraph" w:customStyle="1" w:styleId="15">
    <w:name w:val="P68B1DB1-16"/>
    <w:basedOn w:val="1"/>
    <w:qFormat/>
    <w:uiPriority w:val="0"/>
    <w:rPr>
      <w:rFonts w:hint="eastAsia" w:eastAsia="宋体" w:cs="宋体"/>
      <w:sz w:val="21"/>
      <w:szCs w:val="20"/>
      <w:lang w:eastAsia="zh-CN"/>
    </w:rPr>
  </w:style>
  <w:style w:type="paragraph" w:customStyle="1" w:styleId="16">
    <w:name w:val="P68B1DB1-17"/>
    <w:basedOn w:val="1"/>
    <w:qFormat/>
    <w:uiPriority w:val="0"/>
    <w:rPr>
      <w:rFonts w:hint="eastAsia" w:eastAsia="宋体" w:cs="宋体"/>
      <w:i/>
      <w:sz w:val="21"/>
      <w:szCs w:val="20"/>
      <w:lang w:eastAsia="zh-CN"/>
    </w:rPr>
  </w:style>
  <w:style w:type="paragraph" w:customStyle="1" w:styleId="17">
    <w:name w:val="P68B1DB1-18"/>
    <w:basedOn w:val="1"/>
    <w:qFormat/>
    <w:uiPriority w:val="0"/>
    <w:rPr>
      <w:rFonts w:eastAsia="宋体" w:cs="宋体"/>
      <w:b/>
      <w:sz w:val="21"/>
      <w:szCs w:val="20"/>
      <w:lang w:eastAsia="zh-CN"/>
    </w:rPr>
  </w:style>
  <w:style w:type="paragraph" w:customStyle="1" w:styleId="18">
    <w:name w:val="P68B1DB1-110"/>
    <w:basedOn w:val="1"/>
    <w:qFormat/>
    <w:uiPriority w:val="0"/>
    <w:rPr>
      <w:rFonts w:hint="eastAsia" w:eastAsia="宋体" w:cs="宋体"/>
      <w:b/>
      <w:color w:val="000000" w:themeColor="text1"/>
      <w:sz w:val="21"/>
      <w:szCs w:val="20"/>
      <w:lang w:eastAsia="zh-CN"/>
      <w14:textFill>
        <w14:solidFill>
          <w14:schemeClr w14:val="tx1"/>
        </w14:solidFill>
      </w14:textFill>
    </w:rPr>
  </w:style>
  <w:style w:type="paragraph" w:customStyle="1" w:styleId="19">
    <w:name w:val="P68B1DB1-111"/>
    <w:basedOn w:val="1"/>
    <w:qFormat/>
    <w:uiPriority w:val="0"/>
    <w:rPr>
      <w:rFonts w:eastAsia="宋体" w:cs="宋体"/>
      <w:color w:val="000000" w:themeColor="text1"/>
      <w:sz w:val="21"/>
      <w:szCs w:val="20"/>
      <w:lang w:eastAsia="zh-CN"/>
      <w14:textFill>
        <w14:solidFill>
          <w14:schemeClr w14:val="tx1"/>
        </w14:solidFill>
      </w14:textFill>
    </w:rPr>
  </w:style>
  <w:style w:type="paragraph" w:customStyle="1" w:styleId="20">
    <w:name w:val="P68B1DB1-112"/>
    <w:basedOn w:val="1"/>
    <w:qFormat/>
    <w:uiPriority w:val="0"/>
    <w:rPr>
      <w:rFonts w:hint="eastAsia" w:eastAsia="宋体" w:cs="宋体"/>
      <w:color w:val="000000" w:themeColor="text1"/>
      <w:sz w:val="21"/>
      <w:szCs w:val="20"/>
      <w:lang w:eastAsia="zh-CN"/>
      <w14:textFill>
        <w14:solidFill>
          <w14:schemeClr w14:val="tx1"/>
        </w14:solidFill>
      </w14:textFill>
    </w:rPr>
  </w:style>
  <w:style w:type="paragraph" w:customStyle="1" w:styleId="21">
    <w:name w:val="P68B1DB1-113"/>
    <w:basedOn w:val="1"/>
    <w:qFormat/>
    <w:uiPriority w:val="0"/>
    <w:rPr>
      <w:rFonts w:eastAsia="宋体" w:cs="宋体"/>
      <w:color w:val="000000"/>
      <w:sz w:val="21"/>
      <w:szCs w:val="20"/>
      <w:lang w:eastAsia="zh-CN"/>
    </w:rPr>
  </w:style>
  <w:style w:type="paragraph" w:customStyle="1" w:styleId="22">
    <w:name w:val="P68B1DB1-114"/>
    <w:basedOn w:val="1"/>
    <w:qFormat/>
    <w:uiPriority w:val="0"/>
    <w:rPr>
      <w:rFonts w:hint="eastAsia" w:eastAsia="宋体" w:cs="宋体"/>
      <w:color w:val="000000"/>
      <w:sz w:val="21"/>
      <w:szCs w:val="20"/>
      <w:lang w:eastAsia="zh-CN"/>
    </w:rPr>
  </w:style>
  <w:style w:type="paragraph" w:customStyle="1" w:styleId="2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4852</Words>
  <Characters>27557</Characters>
  <Lines>226</Lines>
  <Paragraphs>63</Paragraphs>
  <TotalTime>0</TotalTime>
  <ScaleCrop>false</ScaleCrop>
  <LinksUpToDate>false</LinksUpToDate>
  <CharactersWithSpaces>32115</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2022-05-13T09:51:00Z</dcterms:created>
  <dc:creator>Lian-Sheng Ma</dc:creator>
  <cp:lastModifiedBy>晓晨</cp:lastModifiedBy>
  <dcterms:modified xsi:type="dcterms:W3CDTF">2022-06-02T14:36:15Z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9776A79B22DD4BE983C351449BD9B924</vt:lpwstr>
  </property>
</Properties>
</file>