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ECDD" w14:textId="77777777" w:rsidR="0052656F" w:rsidRPr="0066241B" w:rsidRDefault="000D2442" w:rsidP="00B34F1C">
      <w:pPr>
        <w:spacing w:line="360" w:lineRule="auto"/>
        <w:jc w:val="both"/>
        <w:rPr>
          <w:rFonts w:ascii="Book Antiqua" w:hAnsi="Book Antiqua"/>
          <w:color w:val="000000" w:themeColor="text1"/>
        </w:rPr>
      </w:pPr>
      <w:bookmarkStart w:id="0" w:name="OLE_LINK4715"/>
      <w:bookmarkStart w:id="1" w:name="OLE_LINK4716"/>
      <w:bookmarkStart w:id="2" w:name="OLE_LINK5053"/>
      <w:bookmarkStart w:id="3" w:name="OLE_LINK5054"/>
      <w:bookmarkStart w:id="4" w:name="OLE_LINK5164"/>
      <w:r w:rsidRPr="0066241B">
        <w:rPr>
          <w:rFonts w:ascii="Book Antiqua" w:eastAsia="Book Antiqua" w:hAnsi="Book Antiqua" w:cs="Book Antiqua"/>
          <w:b/>
          <w:color w:val="000000" w:themeColor="text1"/>
        </w:rPr>
        <w:t xml:space="preserve">Name of Journal: </w:t>
      </w:r>
      <w:r w:rsidRPr="0066241B">
        <w:rPr>
          <w:rFonts w:ascii="Book Antiqua" w:eastAsia="Book Antiqua" w:hAnsi="Book Antiqua" w:cs="Book Antiqua"/>
          <w:i/>
          <w:color w:val="000000" w:themeColor="text1"/>
        </w:rPr>
        <w:t>World Journal of Gastroenterology</w:t>
      </w:r>
    </w:p>
    <w:p w14:paraId="7FDCD89C"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Manuscript NO: </w:t>
      </w:r>
      <w:r w:rsidRPr="0066241B">
        <w:rPr>
          <w:rFonts w:ascii="Book Antiqua" w:eastAsia="Book Antiqua" w:hAnsi="Book Antiqua" w:cs="Book Antiqua"/>
          <w:color w:val="000000" w:themeColor="text1"/>
        </w:rPr>
        <w:t>76322</w:t>
      </w:r>
    </w:p>
    <w:p w14:paraId="566EE277"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Manuscript Type: </w:t>
      </w:r>
      <w:r w:rsidRPr="0066241B">
        <w:rPr>
          <w:rFonts w:ascii="Book Antiqua" w:eastAsia="Book Antiqua" w:hAnsi="Book Antiqua" w:cs="Book Antiqua"/>
          <w:color w:val="000000" w:themeColor="text1"/>
        </w:rPr>
        <w:t>ORIGINAL ARTICLE</w:t>
      </w:r>
    </w:p>
    <w:p w14:paraId="76F2CA91" w14:textId="77777777" w:rsidR="0052656F" w:rsidRPr="0066241B" w:rsidRDefault="0052656F" w:rsidP="00B34F1C">
      <w:pPr>
        <w:spacing w:line="360" w:lineRule="auto"/>
        <w:jc w:val="both"/>
        <w:rPr>
          <w:rFonts w:ascii="Book Antiqua" w:hAnsi="Book Antiqua"/>
          <w:color w:val="000000" w:themeColor="text1"/>
        </w:rPr>
      </w:pPr>
    </w:p>
    <w:p w14:paraId="5B5206A0"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i/>
          <w:color w:val="000000" w:themeColor="text1"/>
        </w:rPr>
        <w:t>Observational Study</w:t>
      </w:r>
    </w:p>
    <w:p w14:paraId="74D4FBF8" w14:textId="77777777" w:rsidR="0052656F" w:rsidRPr="0066241B" w:rsidRDefault="000D2442" w:rsidP="00B34F1C">
      <w:pPr>
        <w:spacing w:line="360" w:lineRule="auto"/>
        <w:jc w:val="both"/>
        <w:rPr>
          <w:rFonts w:ascii="Book Antiqua" w:hAnsi="Book Antiqua"/>
          <w:color w:val="000000" w:themeColor="text1"/>
        </w:rPr>
      </w:pPr>
      <w:bookmarkStart w:id="5" w:name="OLE_LINK67"/>
      <w:bookmarkStart w:id="6" w:name="OLE_LINK68"/>
      <w:r w:rsidRPr="0066241B">
        <w:rPr>
          <w:rFonts w:ascii="Book Antiqua" w:eastAsia="Book Antiqua" w:hAnsi="Book Antiqua" w:cs="Book Antiqua"/>
          <w:b/>
          <w:color w:val="000000" w:themeColor="text1"/>
        </w:rPr>
        <w:t>Hepatocellular carcinoma, decompensation, and mortality based on hepatitis C treatment: A prospective cohort study</w:t>
      </w:r>
    </w:p>
    <w:bookmarkEnd w:id="5"/>
    <w:bookmarkEnd w:id="6"/>
    <w:p w14:paraId="29D33CC0" w14:textId="77777777" w:rsidR="0052656F" w:rsidRPr="0066241B" w:rsidRDefault="0052656F" w:rsidP="00B34F1C">
      <w:pPr>
        <w:spacing w:line="360" w:lineRule="auto"/>
        <w:jc w:val="both"/>
        <w:rPr>
          <w:rFonts w:ascii="Book Antiqua" w:hAnsi="Book Antiqua"/>
          <w:color w:val="000000" w:themeColor="text1"/>
          <w:lang w:eastAsia="zh-CN"/>
        </w:rPr>
      </w:pPr>
    </w:p>
    <w:p w14:paraId="27CE5BB5"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C</w:t>
      </w:r>
      <w:r w:rsidRPr="0066241B">
        <w:rPr>
          <w:rFonts w:ascii="Book Antiqua" w:eastAsia="Book Antiqua" w:hAnsi="Book Antiqua" w:cs="Book Antiqua"/>
          <w:color w:val="000000" w:themeColor="text1"/>
          <w:lang w:eastAsia="zh-CN"/>
        </w:rPr>
        <w:t xml:space="preserve">hoi GH </w:t>
      </w:r>
      <w:r w:rsidRPr="0066241B">
        <w:rPr>
          <w:rFonts w:ascii="Book Antiqua" w:eastAsia="Book Antiqua" w:hAnsi="Book Antiqua" w:cs="Book Antiqua"/>
          <w:i/>
          <w:color w:val="000000" w:themeColor="text1"/>
          <w:lang w:eastAsia="zh-CN"/>
        </w:rPr>
        <w:t>et al</w:t>
      </w:r>
      <w:r w:rsidRPr="0066241B">
        <w:rPr>
          <w:rFonts w:ascii="Book Antiqua" w:eastAsia="Book Antiqua" w:hAnsi="Book Antiqua" w:cs="Book Antiqua"/>
          <w:color w:val="000000" w:themeColor="text1"/>
          <w:lang w:eastAsia="zh-CN"/>
        </w:rPr>
        <w:t xml:space="preserve">. </w:t>
      </w:r>
      <w:r w:rsidRPr="0066241B">
        <w:rPr>
          <w:rFonts w:ascii="Book Antiqua" w:eastAsia="Book Antiqua" w:hAnsi="Book Antiqua" w:cs="Book Antiqua"/>
          <w:color w:val="000000" w:themeColor="text1"/>
        </w:rPr>
        <w:t>Outcomes after chronic hepatitis C treatment</w:t>
      </w:r>
    </w:p>
    <w:p w14:paraId="32A0ECF2" w14:textId="77777777" w:rsidR="0052656F" w:rsidRPr="0066241B" w:rsidRDefault="0052656F" w:rsidP="00B34F1C">
      <w:pPr>
        <w:spacing w:line="360" w:lineRule="auto"/>
        <w:jc w:val="both"/>
        <w:rPr>
          <w:rFonts w:ascii="Book Antiqua" w:hAnsi="Book Antiqua"/>
          <w:color w:val="000000" w:themeColor="text1"/>
        </w:rPr>
      </w:pPr>
    </w:p>
    <w:p w14:paraId="62AED09C" w14:textId="464A700E"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Gwang Hyeon Choi, Eun Sun Jang, Young Seok Kim, Youn Jae Lee, In Hee Kim, Sung Bum Cho, Han Chu Lee, Jeong Won Jang, Mo</w:t>
      </w:r>
      <w:r w:rsidR="002669CA" w:rsidRPr="0066241B">
        <w:rPr>
          <w:rFonts w:ascii="Book Antiqua" w:eastAsia="Malgun Gothic" w:hAnsi="Book Antiqua" w:cs="Book Antiqua" w:hint="eastAsia"/>
          <w:color w:val="000000" w:themeColor="text1"/>
          <w:lang w:eastAsia="ko-KR"/>
        </w:rPr>
        <w:t>r</w:t>
      </w:r>
      <w:r w:rsidRPr="0066241B">
        <w:rPr>
          <w:rFonts w:ascii="Book Antiqua" w:eastAsia="Book Antiqua" w:hAnsi="Book Antiqua" w:cs="Book Antiqua"/>
          <w:color w:val="000000" w:themeColor="text1"/>
        </w:rPr>
        <w:t>an Ki, Hwa Young Choi, Da</w:t>
      </w:r>
      <w:r w:rsidR="002669CA" w:rsidRPr="0066241B">
        <w:rPr>
          <w:rFonts w:ascii="Book Antiqua" w:eastAsia="Book Antiqua" w:hAnsi="Book Antiqua" w:cs="Book Antiqua"/>
          <w:color w:val="000000" w:themeColor="text1"/>
        </w:rPr>
        <w:t>h</w:t>
      </w:r>
      <w:r w:rsidRPr="0066241B">
        <w:rPr>
          <w:rFonts w:ascii="Book Antiqua" w:eastAsia="Book Antiqua" w:hAnsi="Book Antiqua" w:cs="Book Antiqua"/>
          <w:color w:val="000000" w:themeColor="text1"/>
        </w:rPr>
        <w:t>ye Baik, Sook</w:t>
      </w:r>
      <w:r w:rsidR="009D18B8" w:rsidRPr="0066241B">
        <w:rPr>
          <w:rFonts w:ascii="Book Antiqua" w:eastAsia="Book Antiqua" w:hAnsi="Book Antiqua" w:cs="Book Antiqua"/>
          <w:color w:val="000000" w:themeColor="text1"/>
        </w:rPr>
        <w:t>-</w:t>
      </w:r>
      <w:r w:rsidRPr="0066241B">
        <w:rPr>
          <w:rFonts w:ascii="Book Antiqua" w:eastAsia="Book Antiqua" w:hAnsi="Book Antiqua" w:cs="Book Antiqua"/>
          <w:color w:val="000000" w:themeColor="text1"/>
        </w:rPr>
        <w:t>Hyang Jeong</w:t>
      </w:r>
    </w:p>
    <w:p w14:paraId="516B0BA2" w14:textId="77777777" w:rsidR="0052656F" w:rsidRPr="0066241B" w:rsidRDefault="0052656F" w:rsidP="00B34F1C">
      <w:pPr>
        <w:spacing w:line="360" w:lineRule="auto"/>
        <w:jc w:val="both"/>
        <w:rPr>
          <w:rFonts w:ascii="Book Antiqua" w:hAnsi="Book Antiqua"/>
          <w:color w:val="000000" w:themeColor="text1"/>
        </w:rPr>
      </w:pPr>
    </w:p>
    <w:p w14:paraId="12AA1940" w14:textId="5E5E3C3D"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Gwang Hyeon Choi, Eun Sun Jang, Sook</w:t>
      </w:r>
      <w:r w:rsidR="009D18B8" w:rsidRPr="0066241B">
        <w:rPr>
          <w:rFonts w:ascii="Book Antiqua" w:eastAsia="Book Antiqua" w:hAnsi="Book Antiqua" w:cs="Book Antiqua"/>
          <w:b/>
          <w:color w:val="000000" w:themeColor="text1"/>
        </w:rPr>
        <w:t>-</w:t>
      </w:r>
      <w:r w:rsidRPr="0066241B">
        <w:rPr>
          <w:rFonts w:ascii="Book Antiqua" w:eastAsia="Book Antiqua" w:hAnsi="Book Antiqua" w:cs="Book Antiqua"/>
          <w:b/>
          <w:color w:val="000000" w:themeColor="text1"/>
        </w:rPr>
        <w:t xml:space="preserve">Hyang Jeong, </w:t>
      </w:r>
      <w:r w:rsidRPr="0066241B">
        <w:rPr>
          <w:rFonts w:ascii="Book Antiqua" w:eastAsia="Book Antiqua" w:hAnsi="Book Antiqua" w:cs="Book Antiqua"/>
          <w:color w:val="000000" w:themeColor="text1"/>
        </w:rPr>
        <w:t>Department of Internal Medicine, Seoul National University Bundang Hospital, Seoul National University College of Medicine, Seongnam 13620, South Korea</w:t>
      </w:r>
    </w:p>
    <w:p w14:paraId="22976619" w14:textId="77777777" w:rsidR="0052656F" w:rsidRPr="0066241B" w:rsidRDefault="0052656F" w:rsidP="00B34F1C">
      <w:pPr>
        <w:spacing w:line="360" w:lineRule="auto"/>
        <w:jc w:val="both"/>
        <w:rPr>
          <w:rFonts w:ascii="Book Antiqua" w:hAnsi="Book Antiqua"/>
          <w:color w:val="000000" w:themeColor="text1"/>
        </w:rPr>
      </w:pPr>
    </w:p>
    <w:p w14:paraId="25348940"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Young Seok Kim, </w:t>
      </w:r>
      <w:r w:rsidRPr="0066241B">
        <w:rPr>
          <w:rFonts w:ascii="Book Antiqua" w:eastAsia="Book Antiqua" w:hAnsi="Book Antiqua" w:cs="Book Antiqua"/>
          <w:color w:val="000000" w:themeColor="text1"/>
        </w:rPr>
        <w:t>Department of Internal Medicine, Soonchunhyang University Bucheon Hospital, Bucheon 14584, South Korea</w:t>
      </w:r>
    </w:p>
    <w:p w14:paraId="6B82309E" w14:textId="77777777" w:rsidR="0052656F" w:rsidRPr="0066241B" w:rsidRDefault="0052656F" w:rsidP="00B34F1C">
      <w:pPr>
        <w:spacing w:line="360" w:lineRule="auto"/>
        <w:jc w:val="both"/>
        <w:rPr>
          <w:rFonts w:ascii="Book Antiqua" w:hAnsi="Book Antiqua"/>
          <w:color w:val="000000" w:themeColor="text1"/>
        </w:rPr>
      </w:pPr>
    </w:p>
    <w:p w14:paraId="7C900B77"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Youn Jae Lee, </w:t>
      </w:r>
      <w:r w:rsidRPr="0066241B">
        <w:rPr>
          <w:rFonts w:ascii="Book Antiqua" w:eastAsia="Book Antiqua" w:hAnsi="Book Antiqua" w:cs="Book Antiqua"/>
          <w:color w:val="000000" w:themeColor="text1"/>
        </w:rPr>
        <w:t>Department of Internal Medicine, Inje University Busan Paik Hospital, Busan 47392, South Korea</w:t>
      </w:r>
    </w:p>
    <w:p w14:paraId="3D14CDFD" w14:textId="77777777" w:rsidR="0052656F" w:rsidRPr="0066241B" w:rsidRDefault="0052656F" w:rsidP="00B34F1C">
      <w:pPr>
        <w:spacing w:line="360" w:lineRule="auto"/>
        <w:jc w:val="both"/>
        <w:rPr>
          <w:rFonts w:ascii="Book Antiqua" w:hAnsi="Book Antiqua"/>
          <w:color w:val="000000" w:themeColor="text1"/>
        </w:rPr>
      </w:pPr>
    </w:p>
    <w:p w14:paraId="622F4331"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In Hee Kim, </w:t>
      </w:r>
      <w:r w:rsidRPr="0066241B">
        <w:rPr>
          <w:rFonts w:ascii="Book Antiqua" w:eastAsia="Book Antiqua" w:hAnsi="Book Antiqua" w:cs="Book Antiqua"/>
          <w:color w:val="000000" w:themeColor="text1"/>
        </w:rPr>
        <w:t>Department of Internal Medicine, Chonbuk National University Hospital, Jeonju 54907, Jeonbuk, South Korea</w:t>
      </w:r>
    </w:p>
    <w:p w14:paraId="4A31984D" w14:textId="77777777" w:rsidR="0052656F" w:rsidRPr="0066241B" w:rsidRDefault="0052656F" w:rsidP="00B34F1C">
      <w:pPr>
        <w:spacing w:line="360" w:lineRule="auto"/>
        <w:jc w:val="both"/>
        <w:rPr>
          <w:rFonts w:ascii="Book Antiqua" w:hAnsi="Book Antiqua"/>
          <w:color w:val="000000" w:themeColor="text1"/>
        </w:rPr>
      </w:pPr>
    </w:p>
    <w:p w14:paraId="6BAC9238"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Sung Bum Cho, </w:t>
      </w:r>
      <w:r w:rsidRPr="0066241B">
        <w:rPr>
          <w:rFonts w:ascii="Book Antiqua" w:eastAsia="Book Antiqua" w:hAnsi="Book Antiqua" w:cs="Book Antiqua"/>
          <w:color w:val="000000" w:themeColor="text1"/>
        </w:rPr>
        <w:t>Department of Internal Medicine, Chonnam National University Hwasun Hospital, Hwasun 58128, South Korea</w:t>
      </w:r>
    </w:p>
    <w:p w14:paraId="56725CC9" w14:textId="77777777" w:rsidR="0052656F" w:rsidRPr="0066241B" w:rsidRDefault="0052656F" w:rsidP="00B34F1C">
      <w:pPr>
        <w:spacing w:line="360" w:lineRule="auto"/>
        <w:jc w:val="both"/>
        <w:rPr>
          <w:rFonts w:ascii="Book Antiqua" w:hAnsi="Book Antiqua"/>
          <w:color w:val="000000" w:themeColor="text1"/>
        </w:rPr>
      </w:pPr>
    </w:p>
    <w:p w14:paraId="7C5E8154"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Han Chu Lee, </w:t>
      </w:r>
      <w:r w:rsidRPr="0066241B">
        <w:rPr>
          <w:rFonts w:ascii="Book Antiqua" w:eastAsia="Book Antiqua" w:hAnsi="Book Antiqua" w:cs="Book Antiqua"/>
          <w:color w:val="000000" w:themeColor="text1"/>
        </w:rPr>
        <w:t>Department of Gastroenterology, Asan Medical Center, University of Ulsan College of Medicine, Seoul 05505, South Korea</w:t>
      </w:r>
    </w:p>
    <w:p w14:paraId="50946C73" w14:textId="77777777" w:rsidR="0052656F" w:rsidRPr="0066241B" w:rsidRDefault="0052656F" w:rsidP="00B34F1C">
      <w:pPr>
        <w:spacing w:line="360" w:lineRule="auto"/>
        <w:jc w:val="both"/>
        <w:rPr>
          <w:rFonts w:ascii="Book Antiqua" w:hAnsi="Book Antiqua"/>
          <w:color w:val="000000" w:themeColor="text1"/>
        </w:rPr>
      </w:pPr>
    </w:p>
    <w:p w14:paraId="69115835"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Jeong Won Jang, </w:t>
      </w:r>
      <w:r w:rsidRPr="0066241B">
        <w:rPr>
          <w:rFonts w:ascii="Book Antiqua" w:eastAsia="Book Antiqua" w:hAnsi="Book Antiqua" w:cs="Book Antiqua"/>
          <w:color w:val="000000" w:themeColor="text1"/>
        </w:rPr>
        <w:t>Department of Internal Medicine, The Catholic University of Korea, Seoul 06591, South Korea</w:t>
      </w:r>
    </w:p>
    <w:p w14:paraId="5971E0B0" w14:textId="77777777" w:rsidR="0052656F" w:rsidRPr="0066241B" w:rsidRDefault="0052656F" w:rsidP="00B34F1C">
      <w:pPr>
        <w:spacing w:line="360" w:lineRule="auto"/>
        <w:jc w:val="both"/>
        <w:rPr>
          <w:rFonts w:ascii="Book Antiqua" w:hAnsi="Book Antiqua"/>
          <w:color w:val="000000" w:themeColor="text1"/>
        </w:rPr>
      </w:pPr>
    </w:p>
    <w:p w14:paraId="00C5AE50"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Moran Ki, Hwa Young Choi, Dahye Baik, </w:t>
      </w:r>
      <w:r w:rsidRPr="0066241B">
        <w:rPr>
          <w:rFonts w:ascii="Book Antiqua" w:eastAsia="Book Antiqua" w:hAnsi="Book Antiqua" w:cs="Book Antiqua"/>
          <w:color w:val="000000" w:themeColor="text1"/>
        </w:rPr>
        <w:t>Cancer Control and Population Health, Graduate School of Cancer Science and Policy, National Cancer Center, Goyang 10408, South Korea</w:t>
      </w:r>
    </w:p>
    <w:p w14:paraId="3ABCD588" w14:textId="77777777" w:rsidR="0052656F" w:rsidRPr="0066241B" w:rsidRDefault="0052656F" w:rsidP="00B34F1C">
      <w:pPr>
        <w:spacing w:line="360" w:lineRule="auto"/>
        <w:jc w:val="both"/>
        <w:rPr>
          <w:rFonts w:ascii="Book Antiqua" w:hAnsi="Book Antiqua"/>
          <w:color w:val="000000" w:themeColor="text1"/>
        </w:rPr>
      </w:pPr>
    </w:p>
    <w:p w14:paraId="79588B29" w14:textId="4FE45ECE"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Author contributions: </w:t>
      </w:r>
      <w:r w:rsidR="00B34F1C" w:rsidRPr="0066241B">
        <w:rPr>
          <w:rFonts w:ascii="Book Antiqua" w:eastAsia="Book Antiqua" w:hAnsi="Book Antiqua" w:cs="Book Antiqua"/>
          <w:color w:val="000000" w:themeColor="text1"/>
        </w:rPr>
        <w:t>Choi GH and Jang ES</w:t>
      </w:r>
      <w:r w:rsidR="00B34F1C" w:rsidRPr="0066241B">
        <w:rPr>
          <w:rFonts w:ascii="Book Antiqua" w:eastAsia="Book Antiqua" w:hAnsi="Book Antiqua" w:cs="Book Antiqua"/>
          <w:bCs/>
          <w:color w:val="000000" w:themeColor="text1"/>
        </w:rPr>
        <w:t xml:space="preserve"> </w:t>
      </w:r>
      <w:r w:rsidR="00B34F1C" w:rsidRPr="0066241B">
        <w:rPr>
          <w:rFonts w:ascii="Book Antiqua" w:eastAsia="Book Antiqua" w:hAnsi="Book Antiqua" w:cs="Book Antiqua"/>
          <w:bCs/>
          <w:color w:val="000000" w:themeColor="text1"/>
          <w:lang w:eastAsia="ko-KR"/>
        </w:rPr>
        <w:t>con</w:t>
      </w:r>
      <w:r w:rsidR="00B34F1C" w:rsidRPr="0066241B">
        <w:rPr>
          <w:rFonts w:ascii="Book Antiqua" w:eastAsia="Malgun Gothic" w:hAnsi="Book Antiqua" w:cs="Malgun Gothic"/>
          <w:bCs/>
          <w:color w:val="000000" w:themeColor="text1"/>
          <w:lang w:eastAsia="ko-KR"/>
        </w:rPr>
        <w:t>t</w:t>
      </w:r>
      <w:r w:rsidR="00B34F1C" w:rsidRPr="0066241B">
        <w:rPr>
          <w:rFonts w:ascii="Book Antiqua" w:eastAsia="Book Antiqua" w:hAnsi="Book Antiqua" w:cs="Book Antiqua"/>
          <w:bCs/>
          <w:color w:val="000000" w:themeColor="text1"/>
          <w:lang w:eastAsia="ko-KR"/>
        </w:rPr>
        <w:t xml:space="preserve">ributed equally to this work; </w:t>
      </w:r>
      <w:r w:rsidRPr="0066241B">
        <w:rPr>
          <w:rFonts w:ascii="Book Antiqua" w:eastAsia="Book Antiqua" w:hAnsi="Book Antiqua" w:cs="Book Antiqua"/>
          <w:color w:val="000000" w:themeColor="text1"/>
        </w:rPr>
        <w:t>Choi GH, Jang ES, and Jeong SH were responsible for the study concept and design, data acquisition, analysis and interpretation, statistical analysis, and manuscript drafting; Kim YS, Lee YJ, Kim IH, Cho SB, Lee HC, and Jang JW assisted with data acquisition and analysis; Ki M, Choi HY, and Baik D assisted with the data analysis and interpretation.</w:t>
      </w:r>
    </w:p>
    <w:p w14:paraId="54DF9782" w14:textId="77777777" w:rsidR="0052656F" w:rsidRPr="0066241B" w:rsidRDefault="0052656F" w:rsidP="00B34F1C">
      <w:pPr>
        <w:spacing w:line="360" w:lineRule="auto"/>
        <w:jc w:val="both"/>
        <w:rPr>
          <w:rFonts w:ascii="Book Antiqua" w:hAnsi="Book Antiqua"/>
          <w:color w:val="000000" w:themeColor="text1"/>
        </w:rPr>
      </w:pPr>
    </w:p>
    <w:p w14:paraId="18D069A1" w14:textId="074A5B4C" w:rsidR="00F25BF2" w:rsidRPr="0066241B" w:rsidRDefault="000D2442" w:rsidP="00B34F1C">
      <w:pPr>
        <w:spacing w:line="360" w:lineRule="auto"/>
        <w:jc w:val="both"/>
        <w:rPr>
          <w:rFonts w:ascii="Book Antiqua" w:eastAsia="Book Antiqua" w:hAnsi="Book Antiqua" w:cs="Book Antiqua"/>
          <w:b/>
          <w:color w:val="000000" w:themeColor="text1"/>
        </w:rPr>
      </w:pPr>
      <w:r w:rsidRPr="0066241B">
        <w:rPr>
          <w:rFonts w:ascii="Book Antiqua" w:eastAsia="Book Antiqua" w:hAnsi="Book Antiqua" w:cs="Book Antiqua"/>
          <w:b/>
          <w:color w:val="000000" w:themeColor="text1"/>
        </w:rPr>
        <w:t xml:space="preserve">Supported by </w:t>
      </w:r>
      <w:r w:rsidR="00F25BF2" w:rsidRPr="0066241B">
        <w:rPr>
          <w:rFonts w:ascii="Book Antiqua" w:eastAsia="Book Antiqua" w:hAnsi="Book Antiqua" w:cs="Book Antiqua"/>
          <w:bCs/>
          <w:color w:val="000000" w:themeColor="text1"/>
        </w:rPr>
        <w:t xml:space="preserve">the Chronic Infectious Disease Cohort Study (Korea HCV Cohort Study) from the National Institute of Infectious Disease, National Institute of Health, Korea Disease Control and Prevention Agency, No. </w:t>
      </w:r>
      <w:bookmarkStart w:id="7" w:name="OLE_LINK3572"/>
      <w:bookmarkStart w:id="8" w:name="OLE_LINK3573"/>
      <w:r w:rsidR="00F25BF2" w:rsidRPr="0066241B">
        <w:rPr>
          <w:rFonts w:ascii="Book Antiqua" w:eastAsia="Book Antiqua" w:hAnsi="Book Antiqua" w:cs="Book Antiqua"/>
          <w:bCs/>
          <w:color w:val="000000" w:themeColor="text1"/>
        </w:rPr>
        <w:t>2020-E5104-02</w:t>
      </w:r>
      <w:bookmarkEnd w:id="7"/>
      <w:bookmarkEnd w:id="8"/>
      <w:r w:rsidR="00F25BF2" w:rsidRPr="0066241B">
        <w:rPr>
          <w:rFonts w:ascii="Book Antiqua" w:eastAsia="Book Antiqua" w:hAnsi="Book Antiqua" w:cs="Book Antiqua"/>
          <w:bCs/>
          <w:color w:val="000000" w:themeColor="text1"/>
        </w:rPr>
        <w:t>.</w:t>
      </w:r>
    </w:p>
    <w:p w14:paraId="23073BBE" w14:textId="77777777" w:rsidR="0052656F" w:rsidRPr="0066241B" w:rsidRDefault="0052656F" w:rsidP="00B34F1C">
      <w:pPr>
        <w:spacing w:line="360" w:lineRule="auto"/>
        <w:jc w:val="both"/>
        <w:rPr>
          <w:rFonts w:ascii="Book Antiqua" w:hAnsi="Book Antiqua"/>
          <w:color w:val="000000" w:themeColor="text1"/>
        </w:rPr>
      </w:pPr>
    </w:p>
    <w:p w14:paraId="774E5051" w14:textId="588D368D" w:rsidR="0052656F" w:rsidRPr="0066241B" w:rsidRDefault="000D2442" w:rsidP="00B34F1C">
      <w:pPr>
        <w:spacing w:line="360" w:lineRule="auto"/>
        <w:jc w:val="both"/>
        <w:rPr>
          <w:rFonts w:ascii="Book Antiqua" w:eastAsia="Book Antiqua" w:hAnsi="Book Antiqua" w:cs="Book Antiqua"/>
          <w:color w:val="000000" w:themeColor="text1"/>
        </w:rPr>
      </w:pPr>
      <w:r w:rsidRPr="0066241B">
        <w:rPr>
          <w:rFonts w:ascii="Book Antiqua" w:eastAsia="Book Antiqua" w:hAnsi="Book Antiqua" w:cs="Book Antiqua"/>
          <w:b/>
          <w:color w:val="000000" w:themeColor="text1"/>
        </w:rPr>
        <w:t>Corresponding author: Sook</w:t>
      </w:r>
      <w:r w:rsidRPr="0066241B">
        <w:rPr>
          <w:rFonts w:ascii="Cambria Math" w:eastAsia="Book Antiqua" w:hAnsi="Cambria Math" w:cs="Cambria Math"/>
          <w:b/>
          <w:color w:val="000000" w:themeColor="text1"/>
        </w:rPr>
        <w:t>‐</w:t>
      </w:r>
      <w:r w:rsidRPr="0066241B">
        <w:rPr>
          <w:rFonts w:ascii="Book Antiqua" w:eastAsia="Book Antiqua" w:hAnsi="Book Antiqua" w:cs="Book Antiqua"/>
          <w:b/>
          <w:color w:val="000000" w:themeColor="text1"/>
        </w:rPr>
        <w:t xml:space="preserve">Hyang Jeong, </w:t>
      </w:r>
      <w:r w:rsidR="006153FD" w:rsidRPr="0066241B">
        <w:rPr>
          <w:rFonts w:ascii="Book Antiqua" w:eastAsia="Book Antiqua" w:hAnsi="Book Antiqua" w:cs="Book Antiqua"/>
          <w:b/>
          <w:color w:val="000000" w:themeColor="text1"/>
        </w:rPr>
        <w:t xml:space="preserve">MD, </w:t>
      </w:r>
      <w:r w:rsidRPr="0066241B">
        <w:rPr>
          <w:rFonts w:ascii="Book Antiqua" w:eastAsia="Book Antiqua" w:hAnsi="Book Antiqua" w:cs="Book Antiqua"/>
          <w:b/>
          <w:color w:val="000000" w:themeColor="text1"/>
        </w:rPr>
        <w:t xml:space="preserve">PhD, Professor, </w:t>
      </w:r>
      <w:bookmarkStart w:id="9" w:name="OLE_LINK3565"/>
      <w:bookmarkStart w:id="10" w:name="OLE_LINK3566"/>
      <w:r w:rsidRPr="0066241B">
        <w:rPr>
          <w:rFonts w:ascii="Book Antiqua" w:eastAsia="Book Antiqua" w:hAnsi="Book Antiqua" w:cs="Book Antiqua"/>
          <w:color w:val="000000" w:themeColor="text1"/>
        </w:rPr>
        <w:t>Department of Internal Medicine</w:t>
      </w:r>
      <w:bookmarkEnd w:id="9"/>
      <w:bookmarkEnd w:id="10"/>
      <w:r w:rsidRPr="0066241B">
        <w:rPr>
          <w:rFonts w:ascii="Book Antiqua" w:eastAsia="Book Antiqua" w:hAnsi="Book Antiqua" w:cs="Book Antiqua"/>
          <w:color w:val="000000" w:themeColor="text1"/>
        </w:rPr>
        <w:t xml:space="preserve">, </w:t>
      </w:r>
      <w:bookmarkStart w:id="11" w:name="OLE_LINK3567"/>
      <w:bookmarkStart w:id="12" w:name="OLE_LINK3568"/>
      <w:r w:rsidRPr="0066241B">
        <w:rPr>
          <w:rFonts w:ascii="Book Antiqua" w:eastAsia="Book Antiqua" w:hAnsi="Book Antiqua" w:cs="Book Antiqua"/>
          <w:color w:val="000000" w:themeColor="text1"/>
        </w:rPr>
        <w:t>Seoul National University Bundang Hospital, Seoul National University College of Medicine</w:t>
      </w:r>
      <w:bookmarkEnd w:id="11"/>
      <w:bookmarkEnd w:id="12"/>
      <w:r w:rsidRPr="0066241B">
        <w:rPr>
          <w:rFonts w:ascii="Book Antiqua" w:eastAsia="Book Antiqua" w:hAnsi="Book Antiqua" w:cs="Book Antiqua"/>
          <w:color w:val="000000" w:themeColor="text1"/>
        </w:rPr>
        <w:t>, 82, Gumi-ro 173 Beon-gil, Bundang-gu, Seongnam 13620, South Korea.</w:t>
      </w:r>
      <w:r w:rsidRPr="0066241B">
        <w:rPr>
          <w:rFonts w:ascii="Book Antiqua" w:hAnsi="Book Antiqua"/>
          <w:color w:val="000000" w:themeColor="text1"/>
        </w:rPr>
        <w:t xml:space="preserve"> </w:t>
      </w:r>
      <w:r w:rsidRPr="0066241B">
        <w:rPr>
          <w:rFonts w:ascii="Book Antiqua" w:eastAsia="Book Antiqua" w:hAnsi="Book Antiqua" w:cs="Book Antiqua"/>
          <w:color w:val="000000" w:themeColor="text1"/>
        </w:rPr>
        <w:t>jsh@snubh.org</w:t>
      </w:r>
    </w:p>
    <w:p w14:paraId="3C72A37A" w14:textId="77777777" w:rsidR="00F21862" w:rsidRPr="0066241B" w:rsidRDefault="00F21862" w:rsidP="00B34F1C">
      <w:pPr>
        <w:spacing w:line="360" w:lineRule="auto"/>
        <w:jc w:val="both"/>
        <w:rPr>
          <w:rFonts w:ascii="Book Antiqua" w:hAnsi="Book Antiqua"/>
          <w:color w:val="000000" w:themeColor="text1"/>
        </w:rPr>
      </w:pPr>
    </w:p>
    <w:p w14:paraId="126C2B3D"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Received: </w:t>
      </w:r>
      <w:r w:rsidRPr="0066241B">
        <w:rPr>
          <w:rFonts w:ascii="Book Antiqua" w:eastAsia="Book Antiqua" w:hAnsi="Book Antiqua" w:cs="Book Antiqua"/>
          <w:color w:val="000000" w:themeColor="text1"/>
        </w:rPr>
        <w:t>March 12, 2022</w:t>
      </w:r>
    </w:p>
    <w:p w14:paraId="5AC387B8"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Revised: </w:t>
      </w:r>
      <w:r w:rsidRPr="0066241B">
        <w:rPr>
          <w:rFonts w:ascii="Book Antiqua" w:eastAsia="Book Antiqua" w:hAnsi="Book Antiqua" w:cs="Book Antiqua"/>
          <w:color w:val="000000" w:themeColor="text1"/>
        </w:rPr>
        <w:t>April 24, 2022</w:t>
      </w:r>
    </w:p>
    <w:p w14:paraId="1A3A7F67" w14:textId="04D30E52"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Accepted:</w:t>
      </w:r>
      <w:r w:rsidR="00D552D6" w:rsidRPr="0066241B">
        <w:t xml:space="preserve"> </w:t>
      </w:r>
      <w:r w:rsidR="00D552D6" w:rsidRPr="0066241B">
        <w:rPr>
          <w:rFonts w:ascii="Book Antiqua" w:eastAsia="Book Antiqua" w:hAnsi="Book Antiqua" w:cs="Book Antiqua"/>
          <w:bCs/>
          <w:color w:val="000000" w:themeColor="text1"/>
        </w:rPr>
        <w:t>July 16, 2022</w:t>
      </w:r>
    </w:p>
    <w:p w14:paraId="513658ED" w14:textId="7A1A4DBD"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lastRenderedPageBreak/>
        <w:t xml:space="preserve">Published online: </w:t>
      </w:r>
      <w:r w:rsidR="009113DC" w:rsidRPr="0066241B">
        <w:rPr>
          <w:rFonts w:ascii="Book Antiqua" w:hAnsi="Book Antiqua"/>
          <w:color w:val="000000"/>
          <w:shd w:val="clear" w:color="auto" w:fill="FFFFFF"/>
        </w:rPr>
        <w:t>August 14, 2022</w:t>
      </w:r>
    </w:p>
    <w:p w14:paraId="2CFE5304" w14:textId="77777777" w:rsidR="0052656F" w:rsidRPr="0066241B" w:rsidRDefault="0052656F" w:rsidP="00B34F1C">
      <w:pPr>
        <w:spacing w:line="360" w:lineRule="auto"/>
        <w:jc w:val="both"/>
        <w:rPr>
          <w:rFonts w:ascii="Book Antiqua" w:hAnsi="Book Antiqua"/>
          <w:color w:val="000000" w:themeColor="text1"/>
        </w:rPr>
        <w:sectPr w:rsidR="0052656F" w:rsidRPr="0066241B" w:rsidSect="0037300D">
          <w:headerReference w:type="default" r:id="rId7"/>
          <w:footerReference w:type="default" r:id="rId8"/>
          <w:pgSz w:w="12240" w:h="15840"/>
          <w:pgMar w:top="1440" w:right="1440" w:bottom="1440" w:left="1440" w:header="720" w:footer="720" w:gutter="0"/>
          <w:cols w:space="720"/>
          <w:docGrid w:linePitch="360"/>
        </w:sectPr>
      </w:pPr>
    </w:p>
    <w:p w14:paraId="33C38EE7"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lastRenderedPageBreak/>
        <w:t>Abstract</w:t>
      </w:r>
    </w:p>
    <w:p w14:paraId="704E1493"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BACKGROUND</w:t>
      </w:r>
    </w:p>
    <w:p w14:paraId="7E783160"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Prospective studies of the long-term outcomes of patients with </w:t>
      </w:r>
      <w:bookmarkStart w:id="15" w:name="OLE_LINK4617"/>
      <w:bookmarkStart w:id="16" w:name="OLE_LINK4618"/>
      <w:r w:rsidRPr="0066241B">
        <w:rPr>
          <w:rFonts w:ascii="Book Antiqua" w:eastAsia="Book Antiqua" w:hAnsi="Book Antiqua" w:cs="Book Antiqua"/>
          <w:color w:val="000000" w:themeColor="text1"/>
        </w:rPr>
        <w:t>hepatitis C virus</w:t>
      </w:r>
      <w:bookmarkEnd w:id="15"/>
      <w:bookmarkEnd w:id="16"/>
      <w:r w:rsidRPr="0066241B">
        <w:rPr>
          <w:rFonts w:ascii="Book Antiqua" w:eastAsia="Book Antiqua" w:hAnsi="Book Antiqua" w:cs="Book Antiqua"/>
          <w:color w:val="000000" w:themeColor="text1"/>
        </w:rPr>
        <w:t xml:space="preserve"> (HCV) infection after treatment with </w:t>
      </w:r>
      <w:bookmarkStart w:id="17" w:name="OLE_LINK4609"/>
      <w:bookmarkStart w:id="18" w:name="OLE_LINK4610"/>
      <w:r w:rsidRPr="0066241B">
        <w:rPr>
          <w:rFonts w:ascii="Book Antiqua" w:eastAsia="Book Antiqua" w:hAnsi="Book Antiqua" w:cs="Book Antiqua"/>
          <w:color w:val="000000" w:themeColor="text1"/>
        </w:rPr>
        <w:t>interferon-based therapy</w:t>
      </w:r>
      <w:bookmarkEnd w:id="17"/>
      <w:bookmarkEnd w:id="18"/>
      <w:r w:rsidRPr="0066241B">
        <w:rPr>
          <w:rFonts w:ascii="Book Antiqua" w:eastAsia="Book Antiqua" w:hAnsi="Book Antiqua" w:cs="Book Antiqua"/>
          <w:color w:val="000000" w:themeColor="text1"/>
        </w:rPr>
        <w:t xml:space="preserve"> (IBT) or </w:t>
      </w:r>
      <w:bookmarkStart w:id="19" w:name="OLE_LINK4611"/>
      <w:bookmarkStart w:id="20" w:name="OLE_LINK4612"/>
      <w:r w:rsidRPr="0066241B">
        <w:rPr>
          <w:rFonts w:ascii="Book Antiqua" w:eastAsia="Book Antiqua" w:hAnsi="Book Antiqua" w:cs="Book Antiqua"/>
          <w:color w:val="000000" w:themeColor="text1"/>
        </w:rPr>
        <w:t>direct-acting antivirals</w:t>
      </w:r>
      <w:bookmarkEnd w:id="19"/>
      <w:bookmarkEnd w:id="20"/>
      <w:r w:rsidRPr="0066241B">
        <w:rPr>
          <w:rFonts w:ascii="Book Antiqua" w:eastAsia="Book Antiqua" w:hAnsi="Book Antiqua" w:cs="Book Antiqua"/>
          <w:color w:val="000000" w:themeColor="text1"/>
        </w:rPr>
        <w:t xml:space="preserve"> (DAA) are limited in many Asian countries.</w:t>
      </w:r>
    </w:p>
    <w:p w14:paraId="640B3851" w14:textId="77777777" w:rsidR="0052656F" w:rsidRPr="0066241B" w:rsidRDefault="0052656F" w:rsidP="00B34F1C">
      <w:pPr>
        <w:spacing w:line="360" w:lineRule="auto"/>
        <w:jc w:val="both"/>
        <w:rPr>
          <w:rFonts w:ascii="Book Antiqua" w:hAnsi="Book Antiqua"/>
          <w:color w:val="000000" w:themeColor="text1"/>
        </w:rPr>
      </w:pPr>
    </w:p>
    <w:p w14:paraId="1D7C72CA"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AIM</w:t>
      </w:r>
    </w:p>
    <w:p w14:paraId="4A4C706C"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To elucidate the incidences of </w:t>
      </w:r>
      <w:bookmarkStart w:id="21" w:name="OLE_LINK4613"/>
      <w:bookmarkStart w:id="22" w:name="OLE_LINK4614"/>
      <w:bookmarkStart w:id="23" w:name="OLE_LINK4653"/>
      <w:r w:rsidRPr="0066241B">
        <w:rPr>
          <w:rFonts w:ascii="Book Antiqua" w:eastAsia="Book Antiqua" w:hAnsi="Book Antiqua" w:cs="Book Antiqua"/>
          <w:color w:val="000000" w:themeColor="text1"/>
        </w:rPr>
        <w:t>hepatocellular carcinoma</w:t>
      </w:r>
      <w:bookmarkEnd w:id="21"/>
      <w:bookmarkEnd w:id="22"/>
      <w:bookmarkEnd w:id="23"/>
      <w:r w:rsidRPr="0066241B">
        <w:rPr>
          <w:rFonts w:ascii="Book Antiqua" w:eastAsia="Book Antiqua" w:hAnsi="Book Antiqua" w:cs="Book Antiqua"/>
          <w:color w:val="000000" w:themeColor="text1"/>
        </w:rPr>
        <w:t xml:space="preserve"> (HCC) and death/transplantation based on treatment with IBT or DAA, to compare the outcomes of the </w:t>
      </w:r>
      <w:bookmarkStart w:id="24" w:name="OLE_LINK4615"/>
      <w:bookmarkStart w:id="25" w:name="OLE_LINK4616"/>
      <w:r w:rsidRPr="0066241B">
        <w:rPr>
          <w:rFonts w:ascii="Book Antiqua" w:eastAsia="Book Antiqua" w:hAnsi="Book Antiqua" w:cs="Book Antiqua"/>
          <w:color w:val="000000" w:themeColor="text1"/>
        </w:rPr>
        <w:t>sustained virologic response</w:t>
      </w:r>
      <w:bookmarkEnd w:id="24"/>
      <w:bookmarkEnd w:id="25"/>
      <w:r w:rsidRPr="0066241B">
        <w:rPr>
          <w:rFonts w:ascii="Book Antiqua" w:eastAsia="Book Antiqua" w:hAnsi="Book Antiqua" w:cs="Book Antiqua"/>
          <w:color w:val="000000" w:themeColor="text1"/>
        </w:rPr>
        <w:t xml:space="preserve"> (SVR) to IBT and DAA, and to investigate outcome-determining factors after SVR.</w:t>
      </w:r>
    </w:p>
    <w:p w14:paraId="7181AC2F" w14:textId="77777777" w:rsidR="0052656F" w:rsidRPr="0066241B" w:rsidRDefault="0052656F" w:rsidP="00B34F1C">
      <w:pPr>
        <w:spacing w:line="360" w:lineRule="auto"/>
        <w:jc w:val="both"/>
        <w:rPr>
          <w:rFonts w:ascii="Book Antiqua" w:hAnsi="Book Antiqua"/>
          <w:color w:val="000000" w:themeColor="text1"/>
        </w:rPr>
      </w:pPr>
    </w:p>
    <w:p w14:paraId="16B775D2"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METHODS</w:t>
      </w:r>
    </w:p>
    <w:p w14:paraId="172FBEC0"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This cohort included 2054 viremic patients (mean age, 57 years; 46.5% male; 27.4% with cirrhosis) prospectively enrolled at seven hospitals between 2007 and 2019. They were classified as the untreated group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619), IBT group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578), and DAA group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857). Outcomes included the incidences of HCC and death/transplantation. The incidences of the outcomes for each group according to treatment were calculated using an exact method based on the Poisson distribution. A multivariate Cox regression analysis was performed to determine the factors associated with HCC or death/transplantation, followed by propensity score matching to confirm the results.</w:t>
      </w:r>
    </w:p>
    <w:p w14:paraId="1DB58DD7" w14:textId="77777777" w:rsidR="0052656F" w:rsidRPr="0066241B" w:rsidRDefault="0052656F" w:rsidP="00B34F1C">
      <w:pPr>
        <w:spacing w:line="360" w:lineRule="auto"/>
        <w:jc w:val="both"/>
        <w:rPr>
          <w:rFonts w:ascii="Book Antiqua" w:hAnsi="Book Antiqua"/>
          <w:color w:val="000000" w:themeColor="text1"/>
        </w:rPr>
      </w:pPr>
    </w:p>
    <w:p w14:paraId="590F2C86"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RESULTS</w:t>
      </w:r>
    </w:p>
    <w:p w14:paraId="362BEC18"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During a median of 4.1 years of follow-up, HCC and death/transplantation occurred in 113 and 206 patients, respectively, in the entire cohort. Compared with the untreated group, the incidences of HCC and death/transplantation were significantly lower in the IBT group [adjusted hazard ratio (aHR) 0.47, 95%CI: 0.28-0.80 and aHR 0.28, 95%CI: 0.18-0.43, respectively] and the DAA group (aHR 0.58, 95%CI: 0.35-0.96, and aHR 0.19, 95%CI: 0.20-0.68, respectively).</w:t>
      </w:r>
      <w:r w:rsidRPr="0066241B">
        <w:rPr>
          <w:rFonts w:ascii="Book Antiqua" w:hAnsi="Book Antiqua"/>
          <w:color w:val="000000" w:themeColor="text1"/>
        </w:rPr>
        <w:t xml:space="preserve"> </w:t>
      </w:r>
      <w:r w:rsidRPr="0066241B">
        <w:rPr>
          <w:rFonts w:ascii="Book Antiqua" w:eastAsia="Book Antiqua" w:hAnsi="Book Antiqua" w:cs="Book Antiqua"/>
          <w:color w:val="000000" w:themeColor="text1"/>
        </w:rPr>
        <w:t>Among 1268 patients who attained SVR with IBT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451) or </w:t>
      </w:r>
      <w:r w:rsidRPr="0066241B">
        <w:rPr>
          <w:rFonts w:ascii="Book Antiqua" w:eastAsia="Book Antiqua" w:hAnsi="Book Antiqua" w:cs="Book Antiqua"/>
          <w:color w:val="000000" w:themeColor="text1"/>
        </w:rPr>
        <w:lastRenderedPageBreak/>
        <w:t>DAA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816), the multivariable-adjusted analysis showed no differences in the risks of HCC (HR 2.03; 95%CI: 0.76-5.43) and death/transplantation (HR 1.38; 95%CI: 0.55-3.49) between the two groups. This was confirmed by a propensity score-matching analysis. Independent factors for HCC after SVR were age, genotype 1, and the presence of cirrhosis.</w:t>
      </w:r>
    </w:p>
    <w:p w14:paraId="4E0D1F46" w14:textId="77777777" w:rsidR="0052656F" w:rsidRPr="0066241B" w:rsidRDefault="0052656F" w:rsidP="00B34F1C">
      <w:pPr>
        <w:spacing w:line="360" w:lineRule="auto"/>
        <w:jc w:val="both"/>
        <w:rPr>
          <w:rFonts w:ascii="Book Antiqua" w:hAnsi="Book Antiqua"/>
          <w:color w:val="000000" w:themeColor="text1"/>
        </w:rPr>
      </w:pPr>
    </w:p>
    <w:p w14:paraId="68759000"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CONCLUSION</w:t>
      </w:r>
    </w:p>
    <w:p w14:paraId="01224C76"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Treatment and achieving SVR with either IBT or DAA significantly reduced the incidences of HCC and mortality in the Asian patients with HCV infection. The risks of HCC and mortality were not significantly different regardless of whether SVR was induced by IBT or DAA.</w:t>
      </w:r>
    </w:p>
    <w:p w14:paraId="1BDBF308" w14:textId="77777777" w:rsidR="0052656F" w:rsidRPr="0066241B" w:rsidRDefault="0052656F" w:rsidP="00B34F1C">
      <w:pPr>
        <w:spacing w:line="360" w:lineRule="auto"/>
        <w:jc w:val="both"/>
        <w:rPr>
          <w:rFonts w:ascii="Book Antiqua" w:hAnsi="Book Antiqua"/>
          <w:color w:val="000000" w:themeColor="text1"/>
        </w:rPr>
      </w:pPr>
    </w:p>
    <w:p w14:paraId="60073B2B"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Key Words: </w:t>
      </w:r>
      <w:r w:rsidRPr="0066241B">
        <w:rPr>
          <w:rFonts w:ascii="Book Antiqua" w:eastAsia="Book Antiqua" w:hAnsi="Book Antiqua" w:cs="Book Antiqua"/>
          <w:color w:val="000000" w:themeColor="text1"/>
        </w:rPr>
        <w:t>Hepatitis C virus; Direct-acting antiviral; Sustained virologic response; Hepatocellular carcinoma; Mortality</w:t>
      </w:r>
    </w:p>
    <w:p w14:paraId="1075CDFB" w14:textId="77777777" w:rsidR="0052656F" w:rsidRPr="0066241B" w:rsidRDefault="0052656F" w:rsidP="00B34F1C">
      <w:pPr>
        <w:spacing w:line="360" w:lineRule="auto"/>
        <w:jc w:val="both"/>
        <w:rPr>
          <w:rFonts w:ascii="Book Antiqua" w:hAnsi="Book Antiqua"/>
          <w:color w:val="000000" w:themeColor="text1"/>
        </w:rPr>
      </w:pPr>
    </w:p>
    <w:p w14:paraId="52D83DAE" w14:textId="77777777" w:rsidR="0066241B" w:rsidRPr="0066241B" w:rsidRDefault="0066241B" w:rsidP="0066241B">
      <w:pPr>
        <w:spacing w:line="360" w:lineRule="auto"/>
        <w:jc w:val="both"/>
        <w:rPr>
          <w:rFonts w:ascii="Book Antiqua" w:eastAsia="Book Antiqua" w:hAnsi="Book Antiqua" w:cs="Book Antiqua"/>
          <w:color w:val="000000"/>
        </w:rPr>
      </w:pPr>
      <w:bookmarkStart w:id="26" w:name="_Hlk88512344"/>
      <w:bookmarkStart w:id="27" w:name="_Hlk88512883"/>
      <w:bookmarkStart w:id="28" w:name="_Hlk88513225"/>
      <w:bookmarkStart w:id="29" w:name="_Hlk88512545"/>
      <w:r w:rsidRPr="0066241B">
        <w:rPr>
          <w:rFonts w:ascii="Book Antiqua" w:eastAsia="Book Antiqua" w:hAnsi="Book Antiqua" w:cs="Book Antiqua" w:hint="eastAsia"/>
          <w:b/>
          <w:color w:val="000000"/>
        </w:rPr>
        <w:t>©</w:t>
      </w:r>
      <w:r w:rsidRPr="0066241B">
        <w:rPr>
          <w:rFonts w:ascii="Book Antiqua" w:eastAsia="Book Antiqua" w:hAnsi="Book Antiqua" w:cs="Book Antiqua"/>
          <w:b/>
          <w:color w:val="000000"/>
        </w:rPr>
        <w:t>The</w:t>
      </w:r>
      <w:r w:rsidRPr="0066241B">
        <w:rPr>
          <w:rFonts w:ascii="Book Antiqua" w:eastAsia="Book Antiqua" w:hAnsi="Book Antiqua" w:cs="Book Antiqua"/>
          <w:color w:val="000000"/>
        </w:rPr>
        <w:t xml:space="preserve"> </w:t>
      </w:r>
      <w:r w:rsidRPr="0066241B">
        <w:rPr>
          <w:rFonts w:ascii="Book Antiqua" w:eastAsia="Book Antiqua" w:hAnsi="Book Antiqua" w:cs="Book Antiqua"/>
          <w:b/>
          <w:color w:val="000000"/>
        </w:rPr>
        <w:t xml:space="preserve">Author(s) 2022. </w:t>
      </w:r>
      <w:r w:rsidRPr="0066241B">
        <w:rPr>
          <w:rFonts w:ascii="Book Antiqua" w:eastAsia="Book Antiqua" w:hAnsi="Book Antiqua" w:cs="Book Antiqua"/>
          <w:color w:val="000000"/>
        </w:rPr>
        <w:t>Published by Baishideng Publishing Group Inc. All rights reserved.</w:t>
      </w:r>
      <w:bookmarkEnd w:id="26"/>
      <w:r w:rsidRPr="0066241B">
        <w:rPr>
          <w:rFonts w:ascii="Book Antiqua" w:eastAsia="Book Antiqua" w:hAnsi="Book Antiqua" w:cs="Book Antiqua"/>
          <w:color w:val="000000"/>
        </w:rPr>
        <w:t xml:space="preserve"> </w:t>
      </w:r>
    </w:p>
    <w:bookmarkEnd w:id="27"/>
    <w:p w14:paraId="4CC3269C" w14:textId="77777777" w:rsidR="0066241B" w:rsidRPr="0066241B" w:rsidRDefault="0066241B" w:rsidP="0066241B">
      <w:pPr>
        <w:spacing w:line="360" w:lineRule="auto"/>
        <w:jc w:val="both"/>
        <w:rPr>
          <w:lang w:eastAsia="zh-CN"/>
        </w:rPr>
      </w:pPr>
    </w:p>
    <w:p w14:paraId="3FE4AC51" w14:textId="77777777" w:rsidR="0066241B" w:rsidRPr="0066241B" w:rsidRDefault="0066241B" w:rsidP="0066241B">
      <w:pPr>
        <w:spacing w:line="360" w:lineRule="auto"/>
        <w:jc w:val="both"/>
        <w:rPr>
          <w:rFonts w:ascii="Book Antiqua" w:eastAsia="Book Antiqua" w:hAnsi="Book Antiqua" w:cs="Book Antiqua"/>
          <w:color w:val="000000"/>
        </w:rPr>
      </w:pPr>
      <w:bookmarkStart w:id="30" w:name="_Hlk88512899"/>
      <w:bookmarkStart w:id="31" w:name="_Hlk88512352"/>
      <w:bookmarkEnd w:id="28"/>
      <w:r w:rsidRPr="0066241B">
        <w:rPr>
          <w:rFonts w:ascii="Book Antiqua" w:hAnsi="Book Antiqua" w:cs="Book Antiqua" w:hint="eastAsia"/>
          <w:b/>
          <w:color w:val="000000"/>
          <w:lang w:eastAsia="zh-CN"/>
        </w:rPr>
        <w:t>Citation:</w:t>
      </w:r>
      <w:bookmarkEnd w:id="29"/>
      <w:bookmarkEnd w:id="30"/>
      <w:r w:rsidRPr="0066241B">
        <w:rPr>
          <w:rFonts w:ascii="Book Antiqua" w:hAnsi="Book Antiqua" w:cs="Book Antiqua" w:hint="eastAsia"/>
          <w:color w:val="000000"/>
          <w:lang w:eastAsia="zh-CN"/>
        </w:rPr>
        <w:t xml:space="preserve"> </w:t>
      </w:r>
      <w:bookmarkEnd w:id="31"/>
      <w:r w:rsidR="000D2442" w:rsidRPr="0066241B">
        <w:rPr>
          <w:rFonts w:ascii="Book Antiqua" w:eastAsia="Book Antiqua" w:hAnsi="Book Antiqua" w:cs="Book Antiqua"/>
          <w:color w:val="000000" w:themeColor="text1"/>
        </w:rPr>
        <w:t xml:space="preserve">Choi GH, Jang ES, Kim YS, Lee YJ, Kim IH, Cho SB, Lee HC, Jang JW, Ki M, Choi HY, Baik D, Jeong SH. Hepatocellular carcinoma, decompensation, and mortality based on hepatitis C treatment: A prospective cohort study. </w:t>
      </w:r>
      <w:r w:rsidR="000D2442" w:rsidRPr="0066241B">
        <w:rPr>
          <w:rFonts w:ascii="Book Antiqua" w:eastAsia="Book Antiqua" w:hAnsi="Book Antiqua" w:cs="Book Antiqua"/>
          <w:i/>
          <w:color w:val="000000" w:themeColor="text1"/>
        </w:rPr>
        <w:t>World J Gastroenterol</w:t>
      </w:r>
      <w:r w:rsidR="000D2442" w:rsidRPr="0066241B">
        <w:rPr>
          <w:rFonts w:ascii="Book Antiqua" w:eastAsia="Book Antiqua" w:hAnsi="Book Antiqua" w:cs="Book Antiqua"/>
          <w:color w:val="000000" w:themeColor="text1"/>
        </w:rPr>
        <w:t xml:space="preserve"> 2022; </w:t>
      </w:r>
      <w:r w:rsidR="009113DC" w:rsidRPr="0066241B">
        <w:rPr>
          <w:rFonts w:ascii="Book Antiqua" w:eastAsia="Book Antiqua" w:hAnsi="Book Antiqua" w:cs="Book Antiqua"/>
          <w:color w:val="000000"/>
        </w:rPr>
        <w:t xml:space="preserve">28(30): </w:t>
      </w:r>
      <w:r w:rsidRPr="0066241B">
        <w:rPr>
          <w:rFonts w:ascii="Book Antiqua" w:eastAsia="Book Antiqua" w:hAnsi="Book Antiqua" w:cs="Book Antiqua"/>
          <w:color w:val="000000"/>
        </w:rPr>
        <w:t>4182</w:t>
      </w:r>
      <w:r w:rsidR="009113DC" w:rsidRPr="0066241B">
        <w:rPr>
          <w:rFonts w:ascii="Book Antiqua" w:eastAsia="Book Antiqua" w:hAnsi="Book Antiqua" w:cs="Book Antiqua"/>
          <w:color w:val="000000"/>
        </w:rPr>
        <w:t>-</w:t>
      </w:r>
      <w:r w:rsidRPr="0066241B">
        <w:rPr>
          <w:rFonts w:ascii="Book Antiqua" w:eastAsia="Book Antiqua" w:hAnsi="Book Antiqua" w:cs="Book Antiqua"/>
          <w:color w:val="000000"/>
        </w:rPr>
        <w:t>42</w:t>
      </w:r>
      <w:r w:rsidR="009113DC" w:rsidRPr="0066241B">
        <w:rPr>
          <w:rFonts w:ascii="Book Antiqua" w:eastAsia="Book Antiqua" w:hAnsi="Book Antiqua" w:cs="Book Antiqua"/>
          <w:color w:val="000000"/>
        </w:rPr>
        <w:t>00</w:t>
      </w:r>
    </w:p>
    <w:p w14:paraId="0E8A6CC2" w14:textId="54D18490" w:rsidR="0066241B" w:rsidRPr="0066241B" w:rsidRDefault="009113DC" w:rsidP="0066241B">
      <w:pPr>
        <w:spacing w:line="360" w:lineRule="auto"/>
        <w:jc w:val="both"/>
        <w:rPr>
          <w:rFonts w:ascii="Book Antiqua" w:eastAsia="Book Antiqua" w:hAnsi="Book Antiqua" w:cs="Book Antiqua"/>
          <w:color w:val="000000"/>
        </w:rPr>
      </w:pPr>
      <w:r w:rsidRPr="0066241B">
        <w:rPr>
          <w:rFonts w:ascii="Book Antiqua" w:eastAsia="Book Antiqua" w:hAnsi="Book Antiqua" w:cs="Book Antiqua"/>
          <w:b/>
          <w:bCs/>
          <w:color w:val="000000"/>
        </w:rPr>
        <w:t>URL:</w:t>
      </w:r>
      <w:r w:rsidRPr="0066241B">
        <w:rPr>
          <w:rFonts w:ascii="Book Antiqua" w:eastAsia="Book Antiqua" w:hAnsi="Book Antiqua" w:cs="Book Antiqua"/>
          <w:color w:val="000000"/>
        </w:rPr>
        <w:t xml:space="preserve"> </w:t>
      </w:r>
      <w:hyperlink r:id="rId9" w:history="1">
        <w:r w:rsidR="0066241B" w:rsidRPr="0066241B">
          <w:rPr>
            <w:rStyle w:val="af7"/>
            <w:rFonts w:ascii="Book Antiqua" w:eastAsia="Book Antiqua" w:hAnsi="Book Antiqua" w:cs="Book Antiqua"/>
          </w:rPr>
          <w:t>https://www.wjgnet.com/1007-9327/full/v28/i30/4182.htm</w:t>
        </w:r>
      </w:hyperlink>
    </w:p>
    <w:p w14:paraId="126BE0D1" w14:textId="7BF203D8" w:rsidR="0052656F" w:rsidRPr="0066241B" w:rsidRDefault="009113DC" w:rsidP="0066241B">
      <w:pPr>
        <w:spacing w:line="360" w:lineRule="auto"/>
        <w:jc w:val="both"/>
        <w:rPr>
          <w:rFonts w:ascii="Book Antiqua" w:hAnsi="Book Antiqua"/>
          <w:color w:val="000000" w:themeColor="text1"/>
        </w:rPr>
      </w:pPr>
      <w:r w:rsidRPr="0066241B">
        <w:rPr>
          <w:rFonts w:ascii="Book Antiqua" w:eastAsia="Book Antiqua" w:hAnsi="Book Antiqua" w:cs="Book Antiqua"/>
          <w:b/>
          <w:bCs/>
          <w:color w:val="000000"/>
        </w:rPr>
        <w:t>DOI:</w:t>
      </w:r>
      <w:r w:rsidRPr="0066241B">
        <w:rPr>
          <w:rFonts w:ascii="Book Antiqua" w:eastAsia="Book Antiqua" w:hAnsi="Book Antiqua" w:cs="Book Antiqua"/>
          <w:color w:val="000000"/>
        </w:rPr>
        <w:t xml:space="preserve"> https://dx.doi.org/10.3748/wjg.v28.i30.</w:t>
      </w:r>
      <w:r w:rsidR="0066241B" w:rsidRPr="0066241B">
        <w:rPr>
          <w:rFonts w:ascii="Book Antiqua" w:eastAsia="Book Antiqua" w:hAnsi="Book Antiqua" w:cs="Book Antiqua"/>
          <w:color w:val="000000"/>
        </w:rPr>
        <w:t>4182</w:t>
      </w:r>
    </w:p>
    <w:p w14:paraId="4F9C621B" w14:textId="77777777" w:rsidR="0052656F" w:rsidRPr="0066241B" w:rsidRDefault="0052656F" w:rsidP="00B34F1C">
      <w:pPr>
        <w:spacing w:line="360" w:lineRule="auto"/>
        <w:jc w:val="both"/>
        <w:rPr>
          <w:rFonts w:ascii="Book Antiqua" w:hAnsi="Book Antiqua"/>
          <w:color w:val="000000" w:themeColor="text1"/>
        </w:rPr>
      </w:pPr>
    </w:p>
    <w:p w14:paraId="3D6C77C8" w14:textId="6D66C740"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Core Tip: </w:t>
      </w:r>
      <w:bookmarkStart w:id="32" w:name="OLE_LINK3569"/>
      <w:bookmarkStart w:id="33" w:name="OLE_LINK3570"/>
      <w:r w:rsidRPr="0066241B">
        <w:rPr>
          <w:rFonts w:ascii="Book Antiqua" w:eastAsia="Book Antiqua" w:hAnsi="Book Antiqua" w:cs="Book Antiqua"/>
          <w:color w:val="000000" w:themeColor="text1"/>
        </w:rPr>
        <w:t xml:space="preserve">Treatment and sustained virologic response (SVR) with either interferon-based treatment (IBT) or </w:t>
      </w:r>
      <w:r w:rsidR="000538CB" w:rsidRPr="0066241B">
        <w:rPr>
          <w:rFonts w:ascii="Book Antiqua" w:eastAsia="Book Antiqua" w:hAnsi="Book Antiqua" w:cs="Book Antiqua"/>
          <w:color w:val="000000" w:themeColor="text1"/>
        </w:rPr>
        <w:t>direct-acting</w:t>
      </w:r>
      <w:r w:rsidRPr="0066241B">
        <w:rPr>
          <w:rFonts w:ascii="Book Antiqua" w:eastAsia="Book Antiqua" w:hAnsi="Book Antiqua" w:cs="Book Antiqua"/>
          <w:color w:val="000000" w:themeColor="text1"/>
        </w:rPr>
        <w:t xml:space="preserve"> antiviral (DAA) significantly reduced the incidences of hepatocellular carcinoma and mortality in our Asian prospective cohort.</w:t>
      </w:r>
      <w:r w:rsidRPr="0066241B">
        <w:rPr>
          <w:rFonts w:ascii="Book Antiqua" w:hAnsi="Book Antiqua"/>
          <w:color w:val="000000" w:themeColor="text1"/>
        </w:rPr>
        <w:t xml:space="preserve"> </w:t>
      </w:r>
      <w:r w:rsidRPr="0066241B">
        <w:rPr>
          <w:rFonts w:ascii="Book Antiqua" w:eastAsia="Book Antiqua" w:hAnsi="Book Antiqua" w:cs="Book Antiqua"/>
          <w:color w:val="000000" w:themeColor="text1"/>
        </w:rPr>
        <w:t xml:space="preserve">The risks of HCC and all-cause of mortality were not significantly different regardless of whether </w:t>
      </w:r>
      <w:r w:rsidRPr="0066241B">
        <w:rPr>
          <w:rFonts w:ascii="Book Antiqua" w:eastAsia="Book Antiqua" w:hAnsi="Book Antiqua" w:cs="Book Antiqua"/>
          <w:color w:val="000000" w:themeColor="text1"/>
        </w:rPr>
        <w:lastRenderedPageBreak/>
        <w:t>SVR was induced by IBT or DAA.</w:t>
      </w:r>
      <w:r w:rsidRPr="0066241B">
        <w:rPr>
          <w:rFonts w:ascii="Book Antiqua" w:hAnsi="Book Antiqua"/>
          <w:color w:val="000000" w:themeColor="text1"/>
        </w:rPr>
        <w:t xml:space="preserve"> </w:t>
      </w:r>
      <w:r w:rsidRPr="0066241B">
        <w:rPr>
          <w:rFonts w:ascii="Book Antiqua" w:eastAsia="Book Antiqua" w:hAnsi="Book Antiqua" w:cs="Book Antiqua"/>
          <w:color w:val="000000" w:themeColor="text1"/>
        </w:rPr>
        <w:t>After achieving SVR, age, the presence of cirrhosis, and genotype 1 hepatitis C virus infection were indicators of worse clinical outcomes.</w:t>
      </w:r>
      <w:bookmarkEnd w:id="32"/>
      <w:bookmarkEnd w:id="33"/>
    </w:p>
    <w:p w14:paraId="053C028F" w14:textId="77777777" w:rsidR="0052656F" w:rsidRPr="0066241B" w:rsidRDefault="0052656F" w:rsidP="00B34F1C">
      <w:pPr>
        <w:spacing w:line="360" w:lineRule="auto"/>
        <w:jc w:val="both"/>
        <w:rPr>
          <w:rFonts w:ascii="Book Antiqua" w:hAnsi="Book Antiqua"/>
          <w:color w:val="000000" w:themeColor="text1"/>
        </w:rPr>
      </w:pPr>
    </w:p>
    <w:p w14:paraId="6A3AE5B0"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aps/>
          <w:color w:val="000000" w:themeColor="text1"/>
          <w:u w:val="single"/>
        </w:rPr>
        <w:t>INTRODUCTION</w:t>
      </w:r>
    </w:p>
    <w:p w14:paraId="708A848D"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Hepatitis C virus (HCV) is a major cause of liver cirrhosis, hepatocellular carcinoma (HCC), and liver-related and overall mortality. In 2019, the World Health Organization estimated that 58 million people worldwide had chronic HCV infection</w:t>
      </w:r>
      <w:r w:rsidRPr="0066241B">
        <w:rPr>
          <w:rFonts w:ascii="Book Antiqua" w:eastAsia="Book Antiqua" w:hAnsi="Book Antiqua" w:cs="Book Antiqua"/>
          <w:color w:val="000000" w:themeColor="text1"/>
          <w:vertAlign w:val="superscript"/>
        </w:rPr>
        <w:t>[</w:t>
      </w:r>
      <w:hyperlink r:id="rId10" w:anchor="_ENREF_1" w:history="1">
        <w:r w:rsidRPr="0066241B">
          <w:rPr>
            <w:rFonts w:ascii="Book Antiqua" w:eastAsia="Book Antiqua" w:hAnsi="Book Antiqua" w:cs="Book Antiqua"/>
            <w:color w:val="000000" w:themeColor="text1"/>
            <w:vertAlign w:val="superscript"/>
          </w:rPr>
          <w:t>1</w:t>
        </w:r>
      </w:hyperlink>
      <w:r w:rsidRPr="0066241B">
        <w:rPr>
          <w:rFonts w:ascii="Book Antiqua" w:eastAsia="Book Antiqua" w:hAnsi="Book Antiqua" w:cs="Book Antiqua"/>
          <w:color w:val="000000" w:themeColor="text1"/>
          <w:vertAlign w:val="superscript"/>
        </w:rPr>
        <w:t>]</w:t>
      </w:r>
      <w:r w:rsidRPr="0066241B">
        <w:rPr>
          <w:rFonts w:ascii="Book Antiqua" w:eastAsia="Book Antiqua" w:hAnsi="Book Antiqua" w:cs="Book Antiqua"/>
          <w:color w:val="000000" w:themeColor="text1"/>
        </w:rPr>
        <w:t>. Currently, this substantial public health burden can be reduced by active screening and treatment with highly tolerable direct-acting antivirals (DAA), which result in a cure rate of more than 95% in terms of the sustained virologic response (SVR)</w:t>
      </w:r>
      <w:r w:rsidRPr="0066241B">
        <w:rPr>
          <w:rFonts w:ascii="Book Antiqua" w:eastAsia="Book Antiqua" w:hAnsi="Book Antiqua" w:cs="Book Antiqua"/>
          <w:color w:val="000000" w:themeColor="text1"/>
          <w:vertAlign w:val="superscript"/>
        </w:rPr>
        <w:t>[</w:t>
      </w:r>
      <w:hyperlink r:id="rId11" w:anchor="_ENREF_2" w:history="1">
        <w:r w:rsidRPr="0066241B">
          <w:rPr>
            <w:rFonts w:ascii="Book Antiqua" w:eastAsia="Book Antiqua" w:hAnsi="Book Antiqua" w:cs="Book Antiqua"/>
            <w:color w:val="000000" w:themeColor="text1"/>
            <w:vertAlign w:val="superscript"/>
          </w:rPr>
          <w:t>2-4</w:t>
        </w:r>
      </w:hyperlink>
      <w:r w:rsidRPr="0066241B">
        <w:rPr>
          <w:rFonts w:ascii="Book Antiqua" w:eastAsia="Book Antiqua" w:hAnsi="Book Antiqua" w:cs="Book Antiqua"/>
          <w:color w:val="000000" w:themeColor="text1"/>
          <w:vertAlign w:val="superscript"/>
        </w:rPr>
        <w:t>]</w:t>
      </w:r>
      <w:r w:rsidRPr="0066241B">
        <w:rPr>
          <w:rFonts w:ascii="Book Antiqua" w:eastAsia="Book Antiqua" w:hAnsi="Book Antiqua" w:cs="Book Antiqua"/>
          <w:color w:val="000000" w:themeColor="text1"/>
        </w:rPr>
        <w:t>.</w:t>
      </w:r>
    </w:p>
    <w:p w14:paraId="0D0BF97B" w14:textId="77777777"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From the identification of HCV to the introduction of DAA therapy, interferon (IFN)-based therapy (IBT) was the only option for HCV treatment, with an approximate SVR rate of 50%</w:t>
      </w:r>
      <w:r w:rsidRPr="0066241B">
        <w:rPr>
          <w:rFonts w:ascii="Book Antiqua" w:eastAsia="Book Antiqua" w:hAnsi="Book Antiqua" w:cs="Book Antiqua"/>
          <w:color w:val="000000" w:themeColor="text1"/>
          <w:vertAlign w:val="superscript"/>
        </w:rPr>
        <w:t>[</w:t>
      </w:r>
      <w:hyperlink r:id="rId12" w:anchor="_ENREF_5" w:history="1">
        <w:r w:rsidRPr="0066241B">
          <w:rPr>
            <w:rFonts w:ascii="Book Antiqua" w:eastAsia="Book Antiqua" w:hAnsi="Book Antiqua" w:cs="Book Antiqua"/>
            <w:color w:val="000000" w:themeColor="text1"/>
            <w:vertAlign w:val="superscript"/>
          </w:rPr>
          <w:t>5</w:t>
        </w:r>
      </w:hyperlink>
      <w:r w:rsidRPr="0066241B">
        <w:rPr>
          <w:rFonts w:ascii="Book Antiqua" w:eastAsia="Book Antiqua" w:hAnsi="Book Antiqua" w:cs="Book Antiqua"/>
          <w:color w:val="000000" w:themeColor="text1"/>
          <w:vertAlign w:val="superscript"/>
        </w:rPr>
        <w:t>]</w:t>
      </w:r>
      <w:r w:rsidRPr="0066241B">
        <w:rPr>
          <w:rFonts w:ascii="Book Antiqua" w:eastAsia="Book Antiqua" w:hAnsi="Book Antiqua" w:cs="Book Antiqua"/>
          <w:color w:val="000000" w:themeColor="text1"/>
        </w:rPr>
        <w:t>. Although IBT-induced SVR includes a wide variety of adverse effects and narrow indications, it significantly reduces the incidence of HCC and long-term mortality</w:t>
      </w:r>
      <w:r w:rsidRPr="0066241B">
        <w:rPr>
          <w:rFonts w:ascii="Book Antiqua" w:eastAsia="Book Antiqua" w:hAnsi="Book Antiqua" w:cs="Book Antiqua"/>
          <w:color w:val="000000" w:themeColor="text1"/>
          <w:vertAlign w:val="superscript"/>
        </w:rPr>
        <w:t>[</w:t>
      </w:r>
      <w:hyperlink r:id="rId13" w:anchor="_ENREF_6" w:history="1">
        <w:r w:rsidRPr="0066241B">
          <w:rPr>
            <w:rFonts w:ascii="Book Antiqua" w:eastAsia="Book Antiqua" w:hAnsi="Book Antiqua" w:cs="Book Antiqua"/>
            <w:color w:val="000000" w:themeColor="text1"/>
            <w:vertAlign w:val="superscript"/>
          </w:rPr>
          <w:t>6</w:t>
        </w:r>
      </w:hyperlink>
      <w:r w:rsidRPr="0066241B">
        <w:rPr>
          <w:rFonts w:ascii="Book Antiqua" w:eastAsia="Book Antiqua" w:hAnsi="Book Antiqua" w:cs="Book Antiqua"/>
          <w:color w:val="000000" w:themeColor="text1"/>
          <w:vertAlign w:val="superscript"/>
        </w:rPr>
        <w:t>,7]</w:t>
      </w:r>
      <w:r w:rsidRPr="0066241B">
        <w:rPr>
          <w:rFonts w:ascii="Book Antiqua" w:eastAsia="Book Antiqua" w:hAnsi="Book Antiqua" w:cs="Book Antiqua"/>
          <w:color w:val="000000" w:themeColor="text1"/>
        </w:rPr>
        <w:t>. Furthermore, DAA-induced SVR has resulted in reductions in hepatic fibrosis</w:t>
      </w:r>
      <w:r w:rsidRPr="0066241B">
        <w:rPr>
          <w:rFonts w:ascii="Book Antiqua" w:eastAsia="Book Antiqua" w:hAnsi="Book Antiqua" w:cs="Book Antiqua"/>
          <w:color w:val="000000" w:themeColor="text1"/>
          <w:vertAlign w:val="superscript"/>
        </w:rPr>
        <w:t>[</w:t>
      </w:r>
      <w:hyperlink r:id="rId14" w:anchor="_ENREF_8" w:history="1">
        <w:r w:rsidRPr="0066241B">
          <w:rPr>
            <w:rFonts w:ascii="Book Antiqua" w:eastAsia="Book Antiqua" w:hAnsi="Book Antiqua" w:cs="Book Antiqua"/>
            <w:color w:val="000000" w:themeColor="text1"/>
            <w:vertAlign w:val="superscript"/>
          </w:rPr>
          <w:t>8</w:t>
        </w:r>
      </w:hyperlink>
      <w:r w:rsidRPr="0066241B">
        <w:rPr>
          <w:rFonts w:ascii="Book Antiqua" w:eastAsia="Book Antiqua" w:hAnsi="Book Antiqua" w:cs="Book Antiqua"/>
          <w:color w:val="000000" w:themeColor="text1"/>
          <w:vertAlign w:val="superscript"/>
        </w:rPr>
        <w:t>,</w:t>
      </w:r>
      <w:hyperlink r:id="rId15" w:anchor="_ENREF_9" w:history="1">
        <w:r w:rsidRPr="0066241B">
          <w:rPr>
            <w:rFonts w:ascii="Book Antiqua" w:eastAsia="Book Antiqua" w:hAnsi="Book Antiqua" w:cs="Book Antiqua"/>
            <w:color w:val="000000" w:themeColor="text1"/>
            <w:vertAlign w:val="superscript"/>
          </w:rPr>
          <w:t>9</w:t>
        </w:r>
      </w:hyperlink>
      <w:r w:rsidRPr="0066241B">
        <w:rPr>
          <w:rFonts w:ascii="Book Antiqua" w:eastAsia="Book Antiqua" w:hAnsi="Book Antiqua" w:cs="Book Antiqua"/>
          <w:color w:val="000000" w:themeColor="text1"/>
          <w:vertAlign w:val="superscript"/>
        </w:rPr>
        <w:t>]</w:t>
      </w:r>
      <w:r w:rsidRPr="0066241B">
        <w:rPr>
          <w:rFonts w:ascii="Book Antiqua" w:eastAsia="Book Antiqua" w:hAnsi="Book Antiqua" w:cs="Book Antiqua"/>
          <w:color w:val="000000" w:themeColor="text1"/>
        </w:rPr>
        <w:t>, portal hypertension</w:t>
      </w:r>
      <w:r w:rsidRPr="0066241B">
        <w:rPr>
          <w:rFonts w:ascii="Book Antiqua" w:eastAsia="Book Antiqua" w:hAnsi="Book Antiqua" w:cs="Book Antiqua"/>
          <w:color w:val="000000" w:themeColor="text1"/>
          <w:vertAlign w:val="superscript"/>
        </w:rPr>
        <w:t>[</w:t>
      </w:r>
      <w:hyperlink r:id="rId16" w:anchor="_ENREF_10" w:history="1">
        <w:r w:rsidRPr="0066241B">
          <w:rPr>
            <w:rFonts w:ascii="Book Antiqua" w:eastAsia="Book Antiqua" w:hAnsi="Book Antiqua" w:cs="Book Antiqua"/>
            <w:color w:val="000000" w:themeColor="text1"/>
            <w:vertAlign w:val="superscript"/>
          </w:rPr>
          <w:t>10</w:t>
        </w:r>
      </w:hyperlink>
      <w:r w:rsidRPr="0066241B">
        <w:rPr>
          <w:rFonts w:ascii="Book Antiqua" w:eastAsia="Book Antiqua" w:hAnsi="Book Antiqua" w:cs="Book Antiqua"/>
          <w:color w:val="000000" w:themeColor="text1"/>
          <w:vertAlign w:val="superscript"/>
        </w:rPr>
        <w:t>]</w:t>
      </w:r>
      <w:r w:rsidRPr="0066241B">
        <w:rPr>
          <w:rFonts w:ascii="Book Antiqua" w:eastAsia="Book Antiqua" w:hAnsi="Book Antiqua" w:cs="Book Antiqua"/>
          <w:color w:val="000000" w:themeColor="text1"/>
        </w:rPr>
        <w:t>, hepatic decompensation</w:t>
      </w:r>
      <w:r w:rsidRPr="0066241B">
        <w:rPr>
          <w:rFonts w:ascii="Book Antiqua" w:eastAsia="Book Antiqua" w:hAnsi="Book Antiqua" w:cs="Book Antiqua"/>
          <w:color w:val="000000" w:themeColor="text1"/>
          <w:vertAlign w:val="superscript"/>
        </w:rPr>
        <w:t>[</w:t>
      </w:r>
      <w:hyperlink r:id="rId17" w:anchor="_ENREF_11" w:history="1">
        <w:r w:rsidRPr="0066241B">
          <w:rPr>
            <w:rFonts w:ascii="Book Antiqua" w:eastAsia="Book Antiqua" w:hAnsi="Book Antiqua" w:cs="Book Antiqua"/>
            <w:color w:val="000000" w:themeColor="text1"/>
            <w:vertAlign w:val="superscript"/>
          </w:rPr>
          <w:t>11</w:t>
        </w:r>
      </w:hyperlink>
      <w:r w:rsidRPr="0066241B">
        <w:rPr>
          <w:rFonts w:ascii="Book Antiqua" w:eastAsia="Book Antiqua" w:hAnsi="Book Antiqua" w:cs="Book Antiqua"/>
          <w:color w:val="000000" w:themeColor="text1"/>
          <w:vertAlign w:val="superscript"/>
        </w:rPr>
        <w:t>]</w:t>
      </w:r>
      <w:r w:rsidRPr="0066241B">
        <w:rPr>
          <w:rFonts w:ascii="Book Antiqua" w:eastAsia="Book Antiqua" w:hAnsi="Book Antiqua" w:cs="Book Antiqua"/>
          <w:color w:val="000000" w:themeColor="text1"/>
        </w:rPr>
        <w:t>, HCC incidence</w:t>
      </w:r>
      <w:r w:rsidRPr="0066241B">
        <w:rPr>
          <w:rFonts w:ascii="Book Antiqua" w:eastAsia="Book Antiqua" w:hAnsi="Book Antiqua" w:cs="Book Antiqua"/>
          <w:color w:val="000000" w:themeColor="text1"/>
          <w:vertAlign w:val="superscript"/>
        </w:rPr>
        <w:t>[</w:t>
      </w:r>
      <w:hyperlink r:id="rId18" w:anchor="_ENREF_11" w:history="1">
        <w:r w:rsidRPr="0066241B">
          <w:rPr>
            <w:rFonts w:ascii="Book Antiqua" w:eastAsia="Book Antiqua" w:hAnsi="Book Antiqua" w:cs="Book Antiqua"/>
            <w:color w:val="000000" w:themeColor="text1"/>
            <w:vertAlign w:val="superscript"/>
          </w:rPr>
          <w:t>11</w:t>
        </w:r>
      </w:hyperlink>
      <w:r w:rsidRPr="0066241B">
        <w:rPr>
          <w:rFonts w:ascii="Book Antiqua" w:eastAsia="Book Antiqua" w:hAnsi="Book Antiqua" w:cs="Book Antiqua"/>
          <w:color w:val="000000" w:themeColor="text1"/>
          <w:vertAlign w:val="superscript"/>
        </w:rPr>
        <w:t>,12]</w:t>
      </w:r>
      <w:r w:rsidRPr="0066241B">
        <w:rPr>
          <w:rFonts w:ascii="Book Antiqua" w:eastAsia="Book Antiqua" w:hAnsi="Book Antiqua" w:cs="Book Antiqua"/>
          <w:color w:val="000000" w:themeColor="text1"/>
        </w:rPr>
        <w:t>, and liver-related and overall mortality</w:t>
      </w:r>
      <w:r w:rsidRPr="0066241B">
        <w:rPr>
          <w:rFonts w:ascii="Book Antiqua" w:eastAsia="Book Antiqua" w:hAnsi="Book Antiqua" w:cs="Book Antiqua"/>
          <w:color w:val="000000" w:themeColor="text1"/>
          <w:vertAlign w:val="superscript"/>
        </w:rPr>
        <w:t>[</w:t>
      </w:r>
      <w:hyperlink r:id="rId19" w:anchor="_ENREF_11" w:history="1">
        <w:r w:rsidRPr="0066241B">
          <w:rPr>
            <w:rFonts w:ascii="Book Antiqua" w:eastAsia="Book Antiqua" w:hAnsi="Book Antiqua" w:cs="Book Antiqua"/>
            <w:color w:val="000000" w:themeColor="text1"/>
            <w:vertAlign w:val="superscript"/>
          </w:rPr>
          <w:t>11</w:t>
        </w:r>
      </w:hyperlink>
      <w:r w:rsidRPr="0066241B">
        <w:rPr>
          <w:rFonts w:ascii="Book Antiqua" w:eastAsia="Book Antiqua" w:hAnsi="Book Antiqua" w:cs="Book Antiqua"/>
          <w:color w:val="000000" w:themeColor="text1"/>
          <w:vertAlign w:val="superscript"/>
        </w:rPr>
        <w:t>,13]</w:t>
      </w:r>
      <w:r w:rsidRPr="0066241B">
        <w:rPr>
          <w:rFonts w:ascii="Book Antiqua" w:eastAsia="Book Antiqua" w:hAnsi="Book Antiqua" w:cs="Book Antiqua"/>
          <w:color w:val="000000" w:themeColor="text1"/>
        </w:rPr>
        <w:t>; however, the follow-up durations were relatively short.</w:t>
      </w:r>
    </w:p>
    <w:p w14:paraId="1F6E98A9" w14:textId="77777777"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 xml:space="preserve">To reach the HCV elimination goal of 2030, it is imperative to understand the regional epidemiology and outcomes of HCV. However, prospective studies of the long-term outcomes after treatment with IBT or DAA are limited in many Asian countries, where hepatitis B virus (HBV) is the major cause of liver-related complications. Additionally, comparative studies of the outcomes of SVR induced by IBT and DAA are scarce. </w:t>
      </w:r>
    </w:p>
    <w:p w14:paraId="70E34EFA" w14:textId="77777777"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 xml:space="preserve">We established a prospective, nationwide, multicenter HCV cohort (the Korea HCV cohort study) funded by the Korean National Institute of Health in 2007. Using these data, we aimed to elucidate the clinical outcomes, including HCC, hepatic decompensation, and all-cause death, among Korean patients with chronic HCV infection. We compared the outcomes based on the antiviral treatments (untreated, IBT, and DAA) and analyzed </w:t>
      </w:r>
      <w:r w:rsidRPr="0066241B">
        <w:rPr>
          <w:rFonts w:ascii="Book Antiqua" w:eastAsia="Book Antiqua" w:hAnsi="Book Antiqua" w:cs="Book Antiqua"/>
          <w:color w:val="000000" w:themeColor="text1"/>
        </w:rPr>
        <w:lastRenderedPageBreak/>
        <w:t>patients after achieving SVR (IBT-SVR and DAA-SVR groups). Additionally, we investigated outcome-determining factors after SVR.</w:t>
      </w:r>
    </w:p>
    <w:p w14:paraId="5B59C6E1" w14:textId="77777777" w:rsidR="0052656F" w:rsidRPr="0066241B" w:rsidRDefault="0052656F" w:rsidP="00B34F1C">
      <w:pPr>
        <w:spacing w:line="360" w:lineRule="auto"/>
        <w:jc w:val="both"/>
        <w:rPr>
          <w:rFonts w:ascii="Book Antiqua" w:hAnsi="Book Antiqua"/>
          <w:color w:val="000000" w:themeColor="text1"/>
        </w:rPr>
      </w:pPr>
    </w:p>
    <w:p w14:paraId="1E2F7B89"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aps/>
          <w:color w:val="000000" w:themeColor="text1"/>
          <w:u w:val="single"/>
        </w:rPr>
        <w:t>MATERIALS AND METHODS</w:t>
      </w:r>
    </w:p>
    <w:p w14:paraId="1EA2E96C" w14:textId="77777777" w:rsidR="0052656F" w:rsidRPr="0066241B" w:rsidRDefault="000D2442" w:rsidP="00B34F1C">
      <w:pPr>
        <w:spacing w:line="360" w:lineRule="auto"/>
        <w:jc w:val="both"/>
        <w:rPr>
          <w:rFonts w:ascii="Book Antiqua" w:hAnsi="Book Antiqua"/>
          <w:i/>
          <w:color w:val="000000" w:themeColor="text1"/>
        </w:rPr>
      </w:pPr>
      <w:r w:rsidRPr="0066241B">
        <w:rPr>
          <w:rFonts w:ascii="Book Antiqua" w:eastAsia="Book Antiqua" w:hAnsi="Book Antiqua" w:cs="Book Antiqua"/>
          <w:b/>
          <w:i/>
          <w:color w:val="000000" w:themeColor="text1"/>
        </w:rPr>
        <w:t>Study subjects</w:t>
      </w:r>
    </w:p>
    <w:p w14:paraId="6AE1A5FB"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The Korea HCV cohort is a prospective cohort of 2485 adult patients with HCV RNA positivity at seven tertiary centers nationwide enrolled from January 2007 to June 2019 in South Korea. Patients who met any of the following criteria were excluded: Positive serology for HBV surface antigen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62) or HIV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2); decompensated cirrhosis at enrollment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79); previous antiviral treatment before cohort entry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260); and less than 6 mo of follow-up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28). Additionally, patients who had HCC before or at the time of cohort entry were excluded. </w:t>
      </w:r>
    </w:p>
    <w:p w14:paraId="6DA96E8A" w14:textId="77777777"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Therefore, 2054 viremic patients with or without compensated cirrhosis were analyzed as the entire cohort, which was further classified into three groups based on their treatment: untreated group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619; 30.2%); IBT group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578; 28.1%); and DAA group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857; 41.7%). Patients in the untreated group did not receive IBT or DAA treatment during the entire follow-up period. Subject selection, classification, and overall outcomes are summarized in Figure 1. </w:t>
      </w:r>
    </w:p>
    <w:p w14:paraId="180294C1" w14:textId="725910FA"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In the entire cohort, 1267 patients achieved SVR (61.7%) with IBT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451) or DAA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816); these patients comprised the SVR cohort. Diagnostic criteria for liver cirrhosis were based on histology or at least one clinical sign of portal hypertension, such as cirrhotic features on radiological images, platelet count less than 100</w:t>
      </w:r>
      <w:r w:rsidR="000C6506" w:rsidRPr="0066241B">
        <w:rPr>
          <w:rFonts w:ascii="Book Antiqua" w:eastAsia="Book Antiqua" w:hAnsi="Book Antiqua" w:cs="Book Antiqua"/>
          <w:color w:val="000000" w:themeColor="text1"/>
        </w:rPr>
        <w:t>,</w:t>
      </w:r>
      <w:r w:rsidRPr="0066241B">
        <w:rPr>
          <w:rFonts w:ascii="Book Antiqua" w:eastAsia="Book Antiqua" w:hAnsi="Book Antiqua" w:cs="Book Antiqua"/>
          <w:color w:val="000000" w:themeColor="text1"/>
        </w:rPr>
        <w:t>000/mm</w:t>
      </w:r>
      <w:r w:rsidRPr="0066241B">
        <w:rPr>
          <w:rFonts w:ascii="Book Antiqua" w:eastAsia="Book Antiqua" w:hAnsi="Book Antiqua" w:cs="Book Antiqua"/>
          <w:color w:val="000000" w:themeColor="text1"/>
          <w:vertAlign w:val="superscript"/>
        </w:rPr>
        <w:t>3</w:t>
      </w:r>
      <w:r w:rsidRPr="0066241B">
        <w:rPr>
          <w:rFonts w:ascii="Book Antiqua" w:eastAsia="Book Antiqua" w:hAnsi="Book Antiqua" w:cs="Book Antiqua"/>
          <w:color w:val="000000" w:themeColor="text1"/>
        </w:rPr>
        <w:t xml:space="preserve">, and documented gastroesophageal varices without hemorrhage. The study protocol was approved by the Institutional Review Board of seven hospitals, and each enrolled patient provided written informed consent. </w:t>
      </w:r>
    </w:p>
    <w:p w14:paraId="361163E4" w14:textId="77777777" w:rsidR="0052656F" w:rsidRPr="0066241B" w:rsidRDefault="0052656F" w:rsidP="00B34F1C">
      <w:pPr>
        <w:spacing w:line="360" w:lineRule="auto"/>
        <w:jc w:val="both"/>
        <w:rPr>
          <w:rFonts w:ascii="Book Antiqua" w:hAnsi="Book Antiqua"/>
          <w:color w:val="000000" w:themeColor="text1"/>
        </w:rPr>
      </w:pPr>
    </w:p>
    <w:p w14:paraId="5431E902" w14:textId="77777777" w:rsidR="0052656F" w:rsidRPr="0066241B" w:rsidRDefault="000D2442" w:rsidP="00B34F1C">
      <w:pPr>
        <w:spacing w:line="360" w:lineRule="auto"/>
        <w:jc w:val="both"/>
        <w:rPr>
          <w:rFonts w:ascii="Book Antiqua" w:hAnsi="Book Antiqua"/>
          <w:i/>
          <w:color w:val="000000" w:themeColor="text1"/>
        </w:rPr>
      </w:pPr>
      <w:r w:rsidRPr="0066241B">
        <w:rPr>
          <w:rFonts w:ascii="Book Antiqua" w:eastAsia="Book Antiqua" w:hAnsi="Book Antiqua" w:cs="Book Antiqua"/>
          <w:b/>
          <w:i/>
          <w:color w:val="000000" w:themeColor="text1"/>
        </w:rPr>
        <w:t>Data collection at baseline and follow-up visits</w:t>
      </w:r>
    </w:p>
    <w:p w14:paraId="19C4E0FF"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At the time of enrollment, trained research coordinators at the seven hospitals interviewed the patients using a standardized questionnaire that included demographic </w:t>
      </w:r>
      <w:r w:rsidRPr="0066241B">
        <w:rPr>
          <w:rFonts w:ascii="Book Antiqua" w:eastAsia="Book Antiqua" w:hAnsi="Book Antiqua" w:cs="Book Antiqua"/>
          <w:color w:val="000000" w:themeColor="text1"/>
        </w:rPr>
        <w:lastRenderedPageBreak/>
        <w:t xml:space="preserve">and socioeconomic factors (age, sex, body mass index, education level, and occupation), health behaviors (smoking and alcohol consumption), comorbidities (extrahepatic cancers, thyroid disease, psychiatric disease, diabetes, kidney disease, cerebrovascular disease, and cardiovascular disease), and lifetime exposure to risk factors for HCV infection. </w:t>
      </w:r>
    </w:p>
    <w:p w14:paraId="30F8665D" w14:textId="0BF5B258"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Laboratory data at baseline and follow-up visits were collected from the medical records, including the anti-HCV antibody, serum HCV RNA level, HCV genotype, HBV surface antigen, HBV core antibody immunoglobulin G (anti-HBc IgG), white blood cell count, hemoglobin, platelet count, aspartate aminotransferasel</w:t>
      </w:r>
      <w:r w:rsidRPr="0066241B">
        <w:rPr>
          <w:rFonts w:ascii="Book Antiqua" w:eastAsia="Book Antiqua" w:hAnsi="Book Antiqua" w:cs="Book Antiqua"/>
          <w:color w:val="000000" w:themeColor="text1"/>
          <w:lang w:eastAsia="ko-KR"/>
        </w:rPr>
        <w:t xml:space="preserve"> (AST)</w:t>
      </w:r>
      <w:r w:rsidRPr="0066241B">
        <w:rPr>
          <w:rFonts w:ascii="Book Antiqua" w:eastAsia="Book Antiqua" w:hAnsi="Book Antiqua" w:cs="Book Antiqua"/>
          <w:color w:val="000000" w:themeColor="text1"/>
        </w:rPr>
        <w:t xml:space="preserve">, alanine aminotransferase, alkaline phosphatase, total bilirubin, albumin, creatinine, </w:t>
      </w:r>
      <w:r w:rsidRPr="0066241B">
        <w:rPr>
          <w:rFonts w:ascii="Book Antiqua" w:eastAsia="Book Antiqua" w:hAnsi="Book Antiqua" w:cs="Book Antiqua"/>
          <w:color w:val="000000" w:themeColor="text1"/>
          <w:lang w:eastAsia="ko-KR"/>
        </w:rPr>
        <w:t xml:space="preserve">prothrombin time (PT)  </w:t>
      </w:r>
      <w:r w:rsidRPr="0066241B">
        <w:rPr>
          <w:rFonts w:ascii="Book Antiqua" w:eastAsia="Book Antiqua" w:hAnsi="Book Antiqua" w:cs="Book Antiqua"/>
          <w:color w:val="000000" w:themeColor="text1"/>
        </w:rPr>
        <w:t>and alpha-fetoprotein (AFP). The following three non-invasive serum fibrosis assessment scores were calculated at the index date: The fibrosis-4 (FIB-4) index</w:t>
      </w:r>
      <w:r w:rsidRPr="0066241B">
        <w:rPr>
          <w:rFonts w:ascii="Book Antiqua" w:eastAsia="Book Antiqua" w:hAnsi="Book Antiqua" w:cs="Book Antiqua"/>
          <w:color w:val="000000" w:themeColor="text1"/>
          <w:vertAlign w:val="superscript"/>
        </w:rPr>
        <w:t>[14]</w:t>
      </w:r>
      <w:r w:rsidRPr="0066241B">
        <w:rPr>
          <w:rFonts w:ascii="Book Antiqua" w:eastAsia="Book Antiqua" w:hAnsi="Book Antiqua" w:cs="Book Antiqua"/>
          <w:color w:val="000000" w:themeColor="text1"/>
        </w:rPr>
        <w:t xml:space="preserve">, the </w:t>
      </w:r>
      <w:r w:rsidRPr="0066241B">
        <w:rPr>
          <w:rFonts w:ascii="Book Antiqua" w:eastAsia="Book Antiqua" w:hAnsi="Book Antiqua" w:cs="Book Antiqua"/>
          <w:color w:val="000000" w:themeColor="text1"/>
          <w:lang w:eastAsia="ko-KR"/>
        </w:rPr>
        <w:t>AST</w:t>
      </w:r>
      <w:r w:rsidRPr="0066241B">
        <w:rPr>
          <w:rFonts w:ascii="Book Antiqua" w:eastAsia="Book Antiqua" w:hAnsi="Book Antiqua" w:cs="Book Antiqua"/>
          <w:color w:val="000000" w:themeColor="text1"/>
        </w:rPr>
        <w:t>-to-platelet ratio index (APRI) score</w:t>
      </w:r>
      <w:r w:rsidRPr="0066241B">
        <w:rPr>
          <w:rFonts w:ascii="Book Antiqua" w:eastAsia="Book Antiqua" w:hAnsi="Book Antiqua" w:cs="Book Antiqua"/>
          <w:color w:val="000000" w:themeColor="text1"/>
          <w:vertAlign w:val="superscript"/>
        </w:rPr>
        <w:t>[15]</w:t>
      </w:r>
      <w:r w:rsidRPr="0066241B">
        <w:rPr>
          <w:rFonts w:ascii="Book Antiqua" w:eastAsia="Book Antiqua" w:hAnsi="Book Antiqua" w:cs="Book Antiqua"/>
          <w:color w:val="000000" w:themeColor="text1"/>
        </w:rPr>
        <w:t>, and the albumin-bilirubin (ALBI) score</w:t>
      </w:r>
      <w:r w:rsidRPr="0066241B">
        <w:rPr>
          <w:rFonts w:ascii="Book Antiqua" w:eastAsia="Book Antiqua" w:hAnsi="Book Antiqua" w:cs="Book Antiqua"/>
          <w:color w:val="000000" w:themeColor="text1"/>
          <w:vertAlign w:val="superscript"/>
        </w:rPr>
        <w:t>[16]</w:t>
      </w:r>
      <w:r w:rsidRPr="0066241B">
        <w:rPr>
          <w:rFonts w:ascii="Book Antiqua" w:eastAsia="Book Antiqua" w:hAnsi="Book Antiqua" w:cs="Book Antiqua"/>
          <w:color w:val="000000" w:themeColor="text1"/>
        </w:rPr>
        <w:t>.</w:t>
      </w:r>
    </w:p>
    <w:p w14:paraId="447BBB74" w14:textId="7142F1CA"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The results of imaging studies, such as abdominal ultrasonography or computed tomography, liver pathology, and transient elastography (FibroScan</w:t>
      </w:r>
      <w:r w:rsidRPr="0066241B">
        <w:rPr>
          <w:rFonts w:ascii="Book Antiqua" w:eastAsia="Book Antiqua" w:hAnsi="Book Antiqua" w:cs="Book Antiqua"/>
          <w:color w:val="000000" w:themeColor="text1"/>
          <w:vertAlign w:val="superscript"/>
        </w:rPr>
        <w:t>®</w:t>
      </w:r>
      <w:r w:rsidRPr="0066241B">
        <w:rPr>
          <w:rFonts w:ascii="Book Antiqua" w:eastAsia="Book Antiqua" w:hAnsi="Book Antiqua" w:cs="Book Antiqua"/>
          <w:color w:val="000000" w:themeColor="text1"/>
        </w:rPr>
        <w:t xml:space="preserve">, Echosens, Paris, France), were collected when available. Detailed information about antiviral treatment, including therapeutic regimens, duration, and achievement of SVR, was collected from the patients’ medical records. These data were entered into the established electronic case report form on the authorized website of the Korean Centers for Disease Control Korea HCV cohort study (http://is.cdc.go.kr/) by the research coordinators. All input data were quality-controlled by independent statistical researchers (Baik D, Choi HY, and Ki M) at least four times per year. </w:t>
      </w:r>
    </w:p>
    <w:p w14:paraId="59D3176C" w14:textId="77777777" w:rsidR="0052656F" w:rsidRPr="0066241B" w:rsidRDefault="0052656F" w:rsidP="00B34F1C">
      <w:pPr>
        <w:spacing w:line="360" w:lineRule="auto"/>
        <w:jc w:val="both"/>
        <w:rPr>
          <w:rFonts w:ascii="Book Antiqua" w:hAnsi="Book Antiqua"/>
          <w:color w:val="000000" w:themeColor="text1"/>
        </w:rPr>
      </w:pPr>
    </w:p>
    <w:p w14:paraId="1236729D" w14:textId="77777777" w:rsidR="0052656F" w:rsidRPr="0066241B" w:rsidRDefault="000D2442" w:rsidP="00B34F1C">
      <w:pPr>
        <w:spacing w:line="360" w:lineRule="auto"/>
        <w:jc w:val="both"/>
        <w:rPr>
          <w:rFonts w:ascii="Book Antiqua" w:hAnsi="Book Antiqua"/>
          <w:i/>
          <w:color w:val="000000" w:themeColor="text1"/>
        </w:rPr>
      </w:pPr>
      <w:r w:rsidRPr="0066241B">
        <w:rPr>
          <w:rFonts w:ascii="Book Antiqua" w:eastAsia="Book Antiqua" w:hAnsi="Book Antiqua" w:cs="Book Antiqua"/>
          <w:b/>
          <w:i/>
          <w:color w:val="000000" w:themeColor="text1"/>
        </w:rPr>
        <w:t>Follow-up evaluations</w:t>
      </w:r>
    </w:p>
    <w:p w14:paraId="4DD7A57C"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All patients underwent regular clinical assessments every 3 to 12 mo, and HCV treatment was recommended by their attending physicians according to the treatment guidelines for HCV infection unless there were contraindications or patient's refusal. If the patients were treated, then SVR was evaluated, and regular follow-up visits every 6 to 12 mo after SVR were encouraged. HCC surveillance using abdominal ultrasonography and serum </w:t>
      </w:r>
      <w:r w:rsidRPr="0066241B">
        <w:rPr>
          <w:rFonts w:ascii="Book Antiqua" w:eastAsia="Book Antiqua" w:hAnsi="Book Antiqua" w:cs="Book Antiqua"/>
          <w:color w:val="000000" w:themeColor="text1"/>
        </w:rPr>
        <w:lastRenderedPageBreak/>
        <w:t>AFP tests every 6 to 12 mo were recommended according to the pretreatment fibrosis stage. If the patients did not adhere to the regular follow-up schedule, then research coordinators called the patients or their families to encourage them to attend the clinic and to check their survival status, disease progression to hepatic decompensation, or development of HCC. The end of follow-up was defined as the date of death/</w:t>
      </w:r>
      <w:bookmarkStart w:id="34" w:name="OLE_LINK4651"/>
      <w:bookmarkStart w:id="35" w:name="OLE_LINK4652"/>
      <w:r w:rsidRPr="0066241B">
        <w:rPr>
          <w:rFonts w:ascii="Book Antiqua" w:eastAsia="Book Antiqua" w:hAnsi="Book Antiqua" w:cs="Book Antiqua"/>
          <w:color w:val="000000" w:themeColor="text1"/>
          <w:lang w:eastAsia="zh-CN"/>
        </w:rPr>
        <w:t>l</w:t>
      </w:r>
      <w:r w:rsidRPr="0066241B">
        <w:rPr>
          <w:rFonts w:ascii="Book Antiqua" w:eastAsia="Book Antiqua" w:hAnsi="Book Antiqua" w:cs="Book Antiqua"/>
          <w:color w:val="000000" w:themeColor="text1"/>
        </w:rPr>
        <w:t>iver transplantation</w:t>
      </w:r>
      <w:bookmarkEnd w:id="34"/>
      <w:bookmarkEnd w:id="35"/>
      <w:r w:rsidRPr="0066241B">
        <w:rPr>
          <w:rFonts w:ascii="Book Antiqua" w:eastAsia="Book Antiqua" w:hAnsi="Book Antiqua" w:cs="Book Antiqua"/>
          <w:color w:val="000000" w:themeColor="text1"/>
        </w:rPr>
        <w:t xml:space="preserve"> (LT), or the last follow-up date (June 30, 2020). </w:t>
      </w:r>
    </w:p>
    <w:p w14:paraId="64F46594" w14:textId="77777777" w:rsidR="0052656F" w:rsidRPr="0066241B" w:rsidRDefault="0052656F" w:rsidP="00B34F1C">
      <w:pPr>
        <w:spacing w:line="360" w:lineRule="auto"/>
        <w:jc w:val="both"/>
        <w:rPr>
          <w:rFonts w:ascii="Book Antiqua" w:hAnsi="Book Antiqua"/>
          <w:color w:val="000000" w:themeColor="text1"/>
        </w:rPr>
      </w:pPr>
    </w:p>
    <w:p w14:paraId="0EE9CF50" w14:textId="77777777" w:rsidR="0052656F" w:rsidRPr="0066241B" w:rsidRDefault="000D2442" w:rsidP="00B34F1C">
      <w:pPr>
        <w:spacing w:line="360" w:lineRule="auto"/>
        <w:jc w:val="both"/>
        <w:rPr>
          <w:rFonts w:ascii="Book Antiqua" w:hAnsi="Book Antiqua"/>
          <w:i/>
          <w:color w:val="000000" w:themeColor="text1"/>
        </w:rPr>
      </w:pPr>
      <w:r w:rsidRPr="0066241B">
        <w:rPr>
          <w:rFonts w:ascii="Book Antiqua" w:eastAsia="Book Antiqua" w:hAnsi="Book Antiqua" w:cs="Book Antiqua"/>
          <w:b/>
          <w:i/>
          <w:color w:val="000000" w:themeColor="text1"/>
        </w:rPr>
        <w:t>Measurement of liver-related outcomes</w:t>
      </w:r>
    </w:p>
    <w:p w14:paraId="3AC2DCCC"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Outcomes included the incidences of HCC, hepatic decompensation, and death/LT. HCC was diagnosed according to pathology or typical imaging criteria observed on dynamic computed tomography and/or magnetic resonance imaging in accordance with the Korean Liver Cancer Study Group guidelines (</w:t>
      </w:r>
      <w:proofErr w:type="gramStart"/>
      <w:r w:rsidRPr="0066241B">
        <w:rPr>
          <w:rFonts w:ascii="Book Antiqua" w:eastAsia="Book Antiqua" w:hAnsi="Book Antiqua" w:cs="Book Antiqua"/>
          <w:color w:val="000000" w:themeColor="text1"/>
        </w:rPr>
        <w:t>similar to</w:t>
      </w:r>
      <w:proofErr w:type="gramEnd"/>
      <w:r w:rsidRPr="0066241B">
        <w:rPr>
          <w:rFonts w:ascii="Book Antiqua" w:eastAsia="Book Antiqua" w:hAnsi="Book Antiqua" w:cs="Book Antiqua"/>
          <w:color w:val="000000" w:themeColor="text1"/>
        </w:rPr>
        <w:t xml:space="preserve"> major international guidelines)</w:t>
      </w:r>
      <w:r w:rsidRPr="0066241B">
        <w:rPr>
          <w:rFonts w:ascii="Book Antiqua" w:eastAsia="Book Antiqua" w:hAnsi="Book Antiqua" w:cs="Book Antiqua"/>
          <w:color w:val="000000" w:themeColor="text1"/>
          <w:vertAlign w:val="superscript"/>
        </w:rPr>
        <w:t>[17]</w:t>
      </w:r>
      <w:r w:rsidRPr="0066241B">
        <w:rPr>
          <w:rFonts w:ascii="Book Antiqua" w:eastAsia="Book Antiqua" w:hAnsi="Book Antiqua" w:cs="Book Antiqua"/>
          <w:color w:val="000000" w:themeColor="text1"/>
        </w:rPr>
        <w:t>. Decompensated liver cirrhosis was defined as the presence of ascites, jaundice, variceal bleeding, encephalopathy, or a combination of these</w:t>
      </w:r>
      <w:r w:rsidRPr="0066241B">
        <w:rPr>
          <w:rFonts w:ascii="Book Antiqua" w:eastAsia="Book Antiqua" w:hAnsi="Book Antiqua" w:cs="Book Antiqua"/>
          <w:color w:val="000000" w:themeColor="text1"/>
          <w:vertAlign w:val="superscript"/>
        </w:rPr>
        <w:t>[18]</w:t>
      </w:r>
      <w:r w:rsidRPr="0066241B">
        <w:rPr>
          <w:rFonts w:ascii="Book Antiqua" w:eastAsia="Book Antiqua" w:hAnsi="Book Antiqua" w:cs="Book Antiqua"/>
          <w:color w:val="000000" w:themeColor="text1"/>
        </w:rPr>
        <w:t>. All-cause mortality or death/LT was directly documented or indirectly indicated as disqualification from the National Health Insurance status provided in the electronic medical records. In Korea, enrollment in the National Health Insurance is compulsory for all individuals; therefore, disqualification from the National Health Insurance indicates death or emigration in most cases</w:t>
      </w:r>
      <w:r w:rsidRPr="0066241B">
        <w:rPr>
          <w:rFonts w:ascii="Book Antiqua" w:eastAsia="Book Antiqua" w:hAnsi="Book Antiqua" w:cs="Book Antiqua"/>
          <w:color w:val="000000" w:themeColor="text1"/>
          <w:vertAlign w:val="superscript"/>
        </w:rPr>
        <w:t>[19]</w:t>
      </w:r>
      <w:r w:rsidRPr="0066241B">
        <w:rPr>
          <w:rFonts w:ascii="Book Antiqua" w:eastAsia="Book Antiqua" w:hAnsi="Book Antiqua" w:cs="Book Antiqua"/>
          <w:color w:val="000000" w:themeColor="text1"/>
        </w:rPr>
        <w:t xml:space="preserve">. To verify the survival status, physician-confirmed death certificate data, including the date and cause of death, were obtained from the Statistics Korea mortality database, which was established in 1981. </w:t>
      </w:r>
    </w:p>
    <w:p w14:paraId="609D4271" w14:textId="77777777"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 xml:space="preserve">To calculate the outcomes of the entire cohort, the index date of the entire cohort was defined as the date of cohort entry when HCV RNA positivity was confirmed by the referred clinics. To compare the outcomes of patients with SVR induced by IBT and patients with SVR induced by DAA, the index date for the SVR cohort was defined as the initiation day of the antiviral treatment. SVR was evaluated using an intention-to-treat analysis; therefore, patients who received at least one dose of IBT or DAA were included. </w:t>
      </w:r>
    </w:p>
    <w:p w14:paraId="0C0ADC12" w14:textId="77777777" w:rsidR="0052656F" w:rsidRPr="0066241B" w:rsidRDefault="0052656F" w:rsidP="00B34F1C">
      <w:pPr>
        <w:spacing w:line="360" w:lineRule="auto"/>
        <w:jc w:val="both"/>
        <w:rPr>
          <w:rFonts w:ascii="Book Antiqua" w:hAnsi="Book Antiqua"/>
          <w:color w:val="000000" w:themeColor="text1"/>
        </w:rPr>
      </w:pPr>
    </w:p>
    <w:p w14:paraId="17A94B0D" w14:textId="77777777" w:rsidR="0052656F" w:rsidRPr="0066241B" w:rsidRDefault="000D2442" w:rsidP="00B34F1C">
      <w:pPr>
        <w:spacing w:line="360" w:lineRule="auto"/>
        <w:jc w:val="both"/>
        <w:rPr>
          <w:rFonts w:ascii="Book Antiqua" w:hAnsi="Book Antiqua"/>
          <w:i/>
          <w:color w:val="000000" w:themeColor="text1"/>
        </w:rPr>
      </w:pPr>
      <w:r w:rsidRPr="0066241B">
        <w:rPr>
          <w:rFonts w:ascii="Book Antiqua" w:eastAsia="Book Antiqua" w:hAnsi="Book Antiqua" w:cs="Book Antiqua"/>
          <w:b/>
          <w:i/>
          <w:color w:val="000000" w:themeColor="text1"/>
        </w:rPr>
        <w:t>Statistical analysis</w:t>
      </w:r>
    </w:p>
    <w:p w14:paraId="54B0E127"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lastRenderedPageBreak/>
        <w:t xml:space="preserve">Baseline characteristics of the patients were compared using the chi-square test for categorical variables, and a one-way analysis of variance (ANOVA) or </w:t>
      </w:r>
      <w:r w:rsidRPr="0066241B">
        <w:rPr>
          <w:rFonts w:ascii="Book Antiqua" w:eastAsia="Book Antiqua" w:hAnsi="Book Antiqua" w:cs="Book Antiqua"/>
          <w:i/>
          <w:color w:val="000000" w:themeColor="text1"/>
        </w:rPr>
        <w:t>t</w:t>
      </w:r>
      <w:r w:rsidRPr="0066241B">
        <w:rPr>
          <w:rFonts w:ascii="Book Antiqua" w:eastAsia="Book Antiqua" w:hAnsi="Book Antiqua" w:cs="Book Antiqua"/>
          <w:color w:val="000000" w:themeColor="text1"/>
        </w:rPr>
        <w:t>-test was used for continuous variables. For multiple comparisons, a one-way ANOVA was used followed by a Bonferroni correction. The total follow-up (in person-years) of each group was calculated by multiplying the cohort population size by the average follow-up in years. Survival time was calculated as the time from cohort entry (the entire cohort) or the start of the first treatment (SVR cohort) until the date of death/LT or the last available follow-up date. A few patients who received a second course of DAA treatment because of failure of the first DAA treatment were censored at the time of retreatment.</w:t>
      </w:r>
    </w:p>
    <w:p w14:paraId="20BA6E2F" w14:textId="77777777"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The incidences and 95% confidence intervals (CI) of the outcomes for each group based on treatment were calculated using an exact method based on the Poisson distribution. Cumulative incidence curves for outcome development were estimated using the pseudo-Kaplan–Meier method with a clock reset procedure for patients treated with IBT or DAA during follow-up and compared using the log-rank test. Therefore, patients who had received IBT and subsequent DAA treatment were considered as the DAA group, but the period between IBT and DAA treatment was included in the IBT group with no event.</w:t>
      </w:r>
    </w:p>
    <w:p w14:paraId="2B21D2D3" w14:textId="77777777"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 xml:space="preserve">A time-varying Cox regression model was used to determine the factors associated with outcomes, and the adjusted hazard ratio was estimated for the entire cohort and the SVR cohort. In the models, baseline variables (sex, body mass index, alcohol, smoking, HCV genotype) were adjusted, and age, antiviral treatment, laboratory data, achievement of SVR, and presence of cirrhosis were considered time-dependent variables. A multivariate Cox regression analysis was performed to determine the factors associated with HCC or death/LT, and the adjusted hazard ratio was estimated for the SVR cohort at the time of IBT or DAA initiation. Covariates with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&lt; 0.05 in the univariate Cox regression model were used as covariates for the multivariate Cox regression analyses. To confirm the multivariate analysis results for the SVR cohort, significant differences in characteristics at the time of initiation of each treatment were adjusted by </w:t>
      </w:r>
      <w:bookmarkStart w:id="36" w:name="OLE_LINK4719"/>
      <w:bookmarkStart w:id="37" w:name="OLE_LINK4720"/>
      <w:r w:rsidRPr="0066241B">
        <w:rPr>
          <w:rFonts w:ascii="Book Antiqua" w:eastAsia="Book Antiqua" w:hAnsi="Book Antiqua" w:cs="Book Antiqua"/>
          <w:color w:val="000000" w:themeColor="text1"/>
        </w:rPr>
        <w:t>propensity score</w:t>
      </w:r>
      <w:bookmarkEnd w:id="36"/>
      <w:bookmarkEnd w:id="37"/>
      <w:r w:rsidRPr="0066241B">
        <w:rPr>
          <w:rFonts w:ascii="Book Antiqua" w:eastAsia="Book Antiqua" w:hAnsi="Book Antiqua" w:cs="Book Antiqua"/>
          <w:color w:val="000000" w:themeColor="text1"/>
        </w:rPr>
        <w:t xml:space="preserve"> (PS) matching for all possible variables, including the time from cohort entry to </w:t>
      </w:r>
      <w:r w:rsidRPr="0066241B">
        <w:rPr>
          <w:rFonts w:ascii="Book Antiqua" w:eastAsia="Book Antiqua" w:hAnsi="Book Antiqua" w:cs="Book Antiqua"/>
          <w:color w:val="000000" w:themeColor="text1"/>
        </w:rPr>
        <w:lastRenderedPageBreak/>
        <w:t xml:space="preserve">treatment. We used nearest-neighbor matching with a caliper size of 0.1 and matched the patients using a 1:1 ratio. The covariate balance </w:t>
      </w:r>
      <w:proofErr w:type="gramStart"/>
      <w:r w:rsidRPr="0066241B">
        <w:rPr>
          <w:rFonts w:ascii="Book Antiqua" w:eastAsia="Book Antiqua" w:hAnsi="Book Antiqua" w:cs="Book Antiqua"/>
          <w:color w:val="000000" w:themeColor="text1"/>
        </w:rPr>
        <w:t>was considered to be</w:t>
      </w:r>
      <w:proofErr w:type="gramEnd"/>
      <w:r w:rsidRPr="0066241B">
        <w:rPr>
          <w:rFonts w:ascii="Book Antiqua" w:eastAsia="Book Antiqua" w:hAnsi="Book Antiqua" w:cs="Book Antiqua"/>
          <w:color w:val="000000" w:themeColor="text1"/>
        </w:rPr>
        <w:t xml:space="preserve"> achieved if the absolute standardized difference between the two groups was ≤ 0.1.</w:t>
      </w:r>
    </w:p>
    <w:p w14:paraId="4BA1A2A5" w14:textId="77777777"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 xml:space="preserve">All </w:t>
      </w:r>
      <w:r w:rsidRPr="0066241B">
        <w:rPr>
          <w:rFonts w:ascii="Book Antiqua" w:eastAsia="Book Antiqua" w:hAnsi="Book Antiqua" w:cs="Book Antiqua"/>
          <w:i/>
          <w:color w:val="000000" w:themeColor="text1"/>
        </w:rPr>
        <w:t>P</w:t>
      </w:r>
      <w:r w:rsidRPr="0066241B">
        <w:rPr>
          <w:rFonts w:ascii="Book Antiqua" w:eastAsia="Book Antiqua" w:hAnsi="Book Antiqua" w:cs="Book Antiqua"/>
          <w:color w:val="000000" w:themeColor="text1"/>
        </w:rPr>
        <w:t xml:space="preserve">-values were two-sided, and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&lt; 0.05 was considered significant. SPSS (version 21; IBC Corp., Armonk, NY, United S</w:t>
      </w:r>
      <w:r w:rsidRPr="0066241B">
        <w:rPr>
          <w:rFonts w:ascii="Book Antiqua" w:eastAsia="Book Antiqua" w:hAnsi="Book Antiqua" w:cs="Book Antiqua"/>
          <w:color w:val="000000" w:themeColor="text1"/>
          <w:lang w:eastAsia="zh-CN"/>
        </w:rPr>
        <w:t>tates</w:t>
      </w:r>
      <w:r w:rsidRPr="0066241B">
        <w:rPr>
          <w:rFonts w:ascii="Book Antiqua" w:eastAsia="Book Antiqua" w:hAnsi="Book Antiqua" w:cs="Book Antiqua"/>
          <w:color w:val="000000" w:themeColor="text1"/>
        </w:rPr>
        <w:t xml:space="preserve">) and R (version 4.0.4; http://cran.r-project.org/) software were used for statistical analyses. The R package of </w:t>
      </w:r>
      <w:r w:rsidRPr="0066241B">
        <w:rPr>
          <w:rFonts w:ascii="Book Antiqua" w:eastAsia="Book Antiqua" w:hAnsi="Book Antiqua" w:cs="Book Antiqua"/>
          <w:i/>
          <w:color w:val="000000" w:themeColor="text1"/>
        </w:rPr>
        <w:t>MatchIt</w:t>
      </w:r>
      <w:r w:rsidRPr="0066241B">
        <w:rPr>
          <w:rFonts w:ascii="Book Antiqua" w:eastAsia="Book Antiqua" w:hAnsi="Book Antiqua" w:cs="Book Antiqua"/>
          <w:color w:val="000000" w:themeColor="text1"/>
        </w:rPr>
        <w:t xml:space="preserve"> was used for matching analyses. </w:t>
      </w:r>
    </w:p>
    <w:p w14:paraId="12E98469" w14:textId="77777777" w:rsidR="0052656F" w:rsidRPr="0066241B" w:rsidRDefault="0052656F" w:rsidP="00B34F1C">
      <w:pPr>
        <w:spacing w:line="360" w:lineRule="auto"/>
        <w:jc w:val="both"/>
        <w:rPr>
          <w:rFonts w:ascii="Book Antiqua" w:hAnsi="Book Antiqua"/>
          <w:color w:val="000000" w:themeColor="text1"/>
        </w:rPr>
      </w:pPr>
    </w:p>
    <w:p w14:paraId="23897C46"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aps/>
          <w:color w:val="000000" w:themeColor="text1"/>
          <w:u w:val="single"/>
        </w:rPr>
        <w:t>RESULTS</w:t>
      </w:r>
    </w:p>
    <w:p w14:paraId="6C7151E2" w14:textId="77777777" w:rsidR="0052656F" w:rsidRPr="0066241B" w:rsidRDefault="000D2442" w:rsidP="00B34F1C">
      <w:pPr>
        <w:spacing w:line="360" w:lineRule="auto"/>
        <w:jc w:val="both"/>
        <w:rPr>
          <w:rFonts w:ascii="Book Antiqua" w:hAnsi="Book Antiqua"/>
          <w:i/>
          <w:color w:val="000000" w:themeColor="text1"/>
        </w:rPr>
      </w:pPr>
      <w:r w:rsidRPr="0066241B">
        <w:rPr>
          <w:rFonts w:ascii="Book Antiqua" w:eastAsia="Book Antiqua" w:hAnsi="Book Antiqua" w:cs="Book Antiqua"/>
          <w:b/>
          <w:i/>
          <w:color w:val="000000" w:themeColor="text1"/>
        </w:rPr>
        <w:t>Baseline characteristics of the entire cohort</w:t>
      </w:r>
    </w:p>
    <w:p w14:paraId="525F3DBE"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The demographic, clinical, and laboratory characteristics of the entire cohort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2054), untreated group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619; 30.1%), IBT group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578; 28.1%), and DAA group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857; 41.7%) at the index date are provided in Table 1. The mean age of the patients was 57 years; 46.5% were men and 27.4% had compensated cirrhosis. </w:t>
      </w:r>
    </w:p>
    <w:p w14:paraId="2AD07891" w14:textId="77777777"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 xml:space="preserve">Compared with the untreated and DAA groups, the IBT group was significantly younger, had a higher proportion of genotype 2, lower rates of alcohol consumption, cirrhosis and high FIB-4 index values (≥ 3.25), and fewer comorbidities. </w:t>
      </w:r>
    </w:p>
    <w:p w14:paraId="1AAE24A6" w14:textId="77777777"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 xml:space="preserve">Among the DAA group, 14.0% had been treated with an IFN-based regimen after cohort enrollment, and 86.0% were treatment-naive. DAA treatments administered were sofosbuvir plus ribavirin (32.1%), daclatasvir plus asunaprevir (26.3%), elbasvir plus grazoprevir (13.7%), glecaprevir plus pibrentasvir (13.7%), ledipasvir plus sofosbuvir (9.1%), and ombitasvir plus paritaprevir plus ritonavir plus dasabuvir (3.9%). </w:t>
      </w:r>
    </w:p>
    <w:p w14:paraId="25C0C335" w14:textId="77777777" w:rsidR="0052656F" w:rsidRPr="0066241B" w:rsidRDefault="0052656F" w:rsidP="00B34F1C">
      <w:pPr>
        <w:spacing w:line="360" w:lineRule="auto"/>
        <w:jc w:val="both"/>
        <w:rPr>
          <w:rFonts w:ascii="Book Antiqua" w:hAnsi="Book Antiqua"/>
          <w:color w:val="000000" w:themeColor="text1"/>
        </w:rPr>
      </w:pPr>
    </w:p>
    <w:p w14:paraId="6F0D85FE" w14:textId="77777777" w:rsidR="0052656F" w:rsidRPr="0066241B" w:rsidRDefault="000D2442" w:rsidP="00B34F1C">
      <w:pPr>
        <w:spacing w:line="360" w:lineRule="auto"/>
        <w:jc w:val="both"/>
        <w:rPr>
          <w:rFonts w:ascii="Book Antiqua" w:hAnsi="Book Antiqua"/>
          <w:i/>
          <w:color w:val="000000" w:themeColor="text1"/>
        </w:rPr>
      </w:pPr>
      <w:r w:rsidRPr="0066241B">
        <w:rPr>
          <w:rFonts w:ascii="Book Antiqua" w:eastAsia="Book Antiqua" w:hAnsi="Book Antiqua" w:cs="Book Antiqua"/>
          <w:b/>
          <w:i/>
          <w:color w:val="000000" w:themeColor="text1"/>
        </w:rPr>
        <w:t>Incidences of HCC, decompensation, and death/LT in the entire cohort</w:t>
      </w:r>
      <w:r w:rsidRPr="0066241B">
        <w:rPr>
          <w:rFonts w:ascii="Book Antiqua" w:eastAsia="Book Antiqua" w:hAnsi="Book Antiqua" w:cs="Book Antiqua"/>
          <w:i/>
          <w:color w:val="000000" w:themeColor="text1"/>
        </w:rPr>
        <w:t xml:space="preserve"> </w:t>
      </w:r>
      <w:r w:rsidRPr="0066241B">
        <w:rPr>
          <w:rFonts w:ascii="Book Antiqua" w:eastAsia="Book Antiqua" w:hAnsi="Book Antiqua" w:cs="Book Antiqua"/>
          <w:b/>
          <w:i/>
          <w:color w:val="000000" w:themeColor="text1"/>
        </w:rPr>
        <w:t>according to treatment, SVR, or the presence of liver cirrhosis</w:t>
      </w:r>
    </w:p>
    <w:p w14:paraId="74DA54E3"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The median time periods between cohort entry (index date) and the end of follow-up were 5.6 years [interquartile range (IQR), 3.4-8.2] for the untreated group, 7.9 years (IQR, 6.1-9.7) for the IBT group, and 3.5 years (IQR, 2.0-5.5) for the DAA group (Table 1). During this period, 113 patients developed HCC, 69 patients experienced hepatic </w:t>
      </w:r>
      <w:r w:rsidRPr="0066241B">
        <w:rPr>
          <w:rFonts w:ascii="Book Antiqua" w:eastAsia="Book Antiqua" w:hAnsi="Book Antiqua" w:cs="Book Antiqua"/>
          <w:color w:val="000000" w:themeColor="text1"/>
        </w:rPr>
        <w:lastRenderedPageBreak/>
        <w:t>decompensation, 202 patients died (119 Liver related and 83 non-</w:t>
      </w:r>
      <w:proofErr w:type="gramStart"/>
      <w:r w:rsidRPr="0066241B">
        <w:rPr>
          <w:rFonts w:ascii="Book Antiqua" w:eastAsia="Book Antiqua" w:hAnsi="Book Antiqua" w:cs="Book Antiqua"/>
          <w:color w:val="000000" w:themeColor="text1"/>
        </w:rPr>
        <w:t>liver</w:t>
      </w:r>
      <w:proofErr w:type="gramEnd"/>
      <w:r w:rsidRPr="0066241B">
        <w:rPr>
          <w:rFonts w:ascii="Book Antiqua" w:eastAsia="Book Antiqua" w:hAnsi="Book Antiqua" w:cs="Book Antiqua"/>
          <w:color w:val="000000" w:themeColor="text1"/>
        </w:rPr>
        <w:t xml:space="preserve"> related), and four patients underwent LT.</w:t>
      </w:r>
    </w:p>
    <w:p w14:paraId="76F76CCA" w14:textId="0215A1AD"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 xml:space="preserve">As shown in Table 2, the estimated HCC incidence rates </w:t>
      </w:r>
      <w:bookmarkStart w:id="38" w:name="OLE_LINK3554"/>
      <w:bookmarkStart w:id="39" w:name="OLE_LINK3555"/>
      <w:r w:rsidRPr="0066241B">
        <w:rPr>
          <w:rFonts w:ascii="Book Antiqua" w:eastAsia="Book Antiqua" w:hAnsi="Book Antiqua" w:cs="Book Antiqua"/>
          <w:color w:val="000000" w:themeColor="text1"/>
        </w:rPr>
        <w:t>per 100 person-years</w:t>
      </w:r>
      <w:bookmarkEnd w:id="38"/>
      <w:bookmarkEnd w:id="39"/>
      <w:r w:rsidRPr="0066241B">
        <w:rPr>
          <w:rFonts w:ascii="Book Antiqua" w:eastAsia="Book Antiqua" w:hAnsi="Book Antiqua" w:cs="Book Antiqua"/>
          <w:color w:val="000000" w:themeColor="text1"/>
        </w:rPr>
        <w:t xml:space="preserve"> for the untreated group, IBT group, and DAA group were 1.98 (95%CI: 1.56-2.52), 0.59 (95%CI: 0.39-0.89), and 1.16 (95%CI: 0.78-1.71), respectively (Table 2). The incidence rates of hepatic decompensation </w:t>
      </w:r>
      <w:r w:rsidR="00F25BF2" w:rsidRPr="0066241B">
        <w:rPr>
          <w:rFonts w:ascii="Book Antiqua" w:eastAsia="Book Antiqua" w:hAnsi="Book Antiqua" w:cs="Book Antiqua"/>
          <w:color w:val="000000" w:themeColor="text1"/>
        </w:rPr>
        <w:t xml:space="preserve">per 100 person-years </w:t>
      </w:r>
      <w:r w:rsidRPr="0066241B">
        <w:rPr>
          <w:rFonts w:ascii="Book Antiqua" w:eastAsia="Book Antiqua" w:hAnsi="Book Antiqua" w:cs="Book Antiqua"/>
          <w:color w:val="000000" w:themeColor="text1"/>
        </w:rPr>
        <w:t>for the untreated group, IBT group, and DAA group were 1.62 (95%CI: 1.24-2.11), 0.25 (95%CI: 0.14-0.47), and 0.23 (95%CI: 0.10-0.55), respectively. The incidence rates of death/LT per 100 person-years for the untreated group, IBT group, and DAA group were 3.33 (95%CI: 2.85-3.91), 0.87 (95%CI: 0.64-1.18), and 0.65 (95%CI: 0.40-1.06), respectively. The incidence rates of all three outcomes were significantly lower in the IBT and DAA groups compared with the untreated group. However, the incidence of HCC in the non-cirrhotic group was not significantly different between the untreated and DAA groups, while the incidences of decompensation and death/LT were significantly lower in the DAA group compared with the untreated group. The cumulative outcome incidences for the untreated, IBT, and DAA groups are shown in Figure 2, and those for the non-cirrhotic and cirrhotic subgroups are shown in Supplementary Figures 1 and 2, respectively.</w:t>
      </w:r>
    </w:p>
    <w:p w14:paraId="0D1589FB" w14:textId="77777777" w:rsidR="0052656F" w:rsidRPr="0066241B" w:rsidRDefault="0052656F" w:rsidP="00B34F1C">
      <w:pPr>
        <w:spacing w:line="360" w:lineRule="auto"/>
        <w:jc w:val="both"/>
        <w:rPr>
          <w:rFonts w:ascii="Book Antiqua" w:hAnsi="Book Antiqua"/>
          <w:color w:val="000000" w:themeColor="text1"/>
        </w:rPr>
      </w:pPr>
    </w:p>
    <w:p w14:paraId="0E5B1AC2" w14:textId="77777777" w:rsidR="0052656F" w:rsidRPr="0066241B" w:rsidRDefault="000D2442" w:rsidP="00B34F1C">
      <w:pPr>
        <w:spacing w:line="360" w:lineRule="auto"/>
        <w:jc w:val="both"/>
        <w:rPr>
          <w:rFonts w:ascii="Book Antiqua" w:hAnsi="Book Antiqua"/>
          <w:i/>
          <w:color w:val="000000" w:themeColor="text1"/>
        </w:rPr>
      </w:pPr>
      <w:r w:rsidRPr="0066241B">
        <w:rPr>
          <w:rFonts w:ascii="Book Antiqua" w:eastAsia="Book Antiqua" w:hAnsi="Book Antiqua" w:cs="Book Antiqua"/>
          <w:b/>
          <w:i/>
          <w:color w:val="000000" w:themeColor="text1"/>
        </w:rPr>
        <w:t>Multivariable analyses of factors associated with HCC, decompensation, and death/LT in the entire cohort</w:t>
      </w:r>
    </w:p>
    <w:p w14:paraId="581E3D45" w14:textId="1F110D0F"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A multivariable time-varying Cox regression analysis with the untreated group as a reference showed that IBT [hazard ratio (HR), 0.47; 95%CI: 0.28-0.80;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 0.005] and DAA </w:t>
      </w:r>
      <w:r w:rsidR="00F25BF2" w:rsidRPr="0066241B">
        <w:rPr>
          <w:rFonts w:ascii="Book Antiqua" w:eastAsia="Book Antiqua" w:hAnsi="Book Antiqua" w:cs="Book Antiqua"/>
          <w:color w:val="000000" w:themeColor="text1"/>
        </w:rPr>
        <w:t xml:space="preserve">groups </w:t>
      </w:r>
      <w:r w:rsidRPr="0066241B">
        <w:rPr>
          <w:rFonts w:ascii="Book Antiqua" w:eastAsia="Book Antiqua" w:hAnsi="Book Antiqua" w:cs="Book Antiqua"/>
          <w:color w:val="000000" w:themeColor="text1"/>
        </w:rPr>
        <w:t xml:space="preserve">(HR, 0.58; 95%CI: 0.35-0.96;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 0.035) were independently associated with a significantly lower risk of HCC (Table 3, model 1). Other independent HCC risk factors were older age (HR, 1.06; 95%CI: 1.03-1.08;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&lt; 0.001), male sex (HR, 2.50; 95%CI: 1.37-4.55;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 0.003), genotype 1 (HR, 2.25; 95%CI: 1.45-3.48;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&lt; 0.001), the presence of cirrhosis (HR, 3.81; 95%CI: 2.38-6.10;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&lt; 0.001), significant alcohol consumption (HR, 2.20; 95%CI: 1.14-4.24;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 0.027), prolonged </w:t>
      </w:r>
      <w:r w:rsidRPr="0066241B">
        <w:rPr>
          <w:rFonts w:ascii="Book Antiqua" w:eastAsia="Book Antiqua" w:hAnsi="Book Antiqua" w:cs="Book Antiqua"/>
          <w:color w:val="000000" w:themeColor="text1"/>
          <w:lang w:eastAsia="ko-KR"/>
        </w:rPr>
        <w:t>PT</w:t>
      </w:r>
      <w:r w:rsidRPr="0066241B">
        <w:rPr>
          <w:rFonts w:ascii="Book Antiqua" w:eastAsia="Book Antiqua" w:hAnsi="Book Antiqua" w:cs="Book Antiqua"/>
          <w:color w:val="000000" w:themeColor="text1"/>
        </w:rPr>
        <w:t xml:space="preserve"> (HR, 2.66; 95%CI: 1.13-6.24;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 0.025), and higher AFP level (HR, 2.12; 95%CI: 1.48-3.05;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&lt; 0.001) (Table 3, model 1).</w:t>
      </w:r>
    </w:p>
    <w:p w14:paraId="1B217422" w14:textId="77777777"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lastRenderedPageBreak/>
        <w:t xml:space="preserve">The death/LT incidence decreased independently after antiviral treatment with IBT (HR, 0.28; 95%CI: 0.19-0.43;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&lt; 0.001) or DAA (HR, 0.19; 95%CI: 0.10-0.35;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&lt; 0.001) (Table 3, model 1). In contrast, older age (HR, 1.05; 95%CI: 1.03-1.06;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&lt; 0.001), male sex (HR, 1.70; 95%CI: 1.24-2.33;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&lt; 0.001), the presence of cirrhosis (HR, 1.88; 95%CI: 1.34-2.64;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&lt; 0.001), lower body mass index (HR, 0.94; 95%CI: 0.89-0.99;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 0.019), lower albumin level (HR, 0.35; 95%CI: 0.25-0.51;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&lt; 0.001), and prolonged PT (HR, 2.34; 95%CI: 1.06-5.16;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0.034) independently increased mortality/LT rates. Antiviral treatment, cirrhosis, albumin level, and PT were independently associated with the risk of decompensation (Table 3, model 1).</w:t>
      </w:r>
    </w:p>
    <w:p w14:paraId="6D70FDB0" w14:textId="77777777"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 xml:space="preserve">We established another multivariable model (model 2) by replacing the achievement of SVR instead of IBT or DAA treatment. A multivariate time-varying Cox regression analysis of the combined outcomes of the untreated and no SVR groups as a reference showed that SVR induced by either IBT or DAA significantly decreased the risk of HCC (HR, 0.41; 95%CI: 0.26-0.65;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&lt; 0.001), decompensation (HR, 0.10; 95%CI: 0.04-0.29;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&lt; 0.001), and death/LT (HR, 0.26; 95%CI: 0.17-0.39;</w:t>
      </w:r>
      <w:r w:rsidRPr="0066241B">
        <w:rPr>
          <w:rFonts w:ascii="Book Antiqua" w:eastAsia="Book Antiqua" w:hAnsi="Book Antiqua" w:cs="Book Antiqua"/>
          <w:i/>
          <w:color w:val="000000" w:themeColor="text1"/>
        </w:rPr>
        <w:t xml:space="preserve"> P </w:t>
      </w:r>
      <w:r w:rsidRPr="0066241B">
        <w:rPr>
          <w:rFonts w:ascii="Book Antiqua" w:eastAsia="Book Antiqua" w:hAnsi="Book Antiqua" w:cs="Book Antiqua"/>
          <w:color w:val="000000" w:themeColor="text1"/>
        </w:rPr>
        <w:t>&lt; 0.001) (Table 3, model 2).</w:t>
      </w:r>
    </w:p>
    <w:p w14:paraId="22C131C4" w14:textId="77777777" w:rsidR="0052656F" w:rsidRPr="0066241B" w:rsidRDefault="0052656F" w:rsidP="00B34F1C">
      <w:pPr>
        <w:spacing w:line="360" w:lineRule="auto"/>
        <w:jc w:val="both"/>
        <w:rPr>
          <w:rFonts w:ascii="Book Antiqua" w:hAnsi="Book Antiqua"/>
          <w:color w:val="000000" w:themeColor="text1"/>
        </w:rPr>
      </w:pPr>
    </w:p>
    <w:p w14:paraId="689EE42C" w14:textId="77777777" w:rsidR="0052656F" w:rsidRPr="0066241B" w:rsidRDefault="000D2442" w:rsidP="00B34F1C">
      <w:pPr>
        <w:spacing w:line="360" w:lineRule="auto"/>
        <w:jc w:val="both"/>
        <w:rPr>
          <w:rFonts w:ascii="Book Antiqua" w:hAnsi="Book Antiqua"/>
          <w:i/>
          <w:color w:val="000000" w:themeColor="text1"/>
        </w:rPr>
      </w:pPr>
      <w:r w:rsidRPr="0066241B">
        <w:rPr>
          <w:rFonts w:ascii="Book Antiqua" w:eastAsia="Book Antiqua" w:hAnsi="Book Antiqua" w:cs="Book Antiqua"/>
          <w:b/>
          <w:i/>
          <w:color w:val="000000" w:themeColor="text1"/>
        </w:rPr>
        <w:t>Comparison of the clinical outcomes of the IBT-SVR group and DAA-SVR group in the SVR cohort: Unadjusted and PS-matched results</w:t>
      </w:r>
    </w:p>
    <w:p w14:paraId="32A46020"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The SVR cohort comprised 1,268 chronic HCV patients who achieved SVR with IBT or DAA (IBT-SVR group,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451; DAA-SVR group,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817). The SVR rates of the IBT and DAA groups were 67.5% and 95.3%, respectively. The baseline characteristics at the time of initiation of treatment of the IBT and DAA groups according to SVR are shown in Supplementary Table 1. The incidence rates of HCC, decompensation, and death/LT were significantly lower in the IBT-SVR group than in the IBT-no SVR group (Supplementary Table 2). In contrast, the incidence rate of death/LT was significantly lower in the DAA-SVR group than in the DAA-no SVR group, whereas the incidence rates of HCC and decompensation did not reach statistical significance, probably because of the short follow-up or rare incidence of decompensation (Supplementary Table 2).</w:t>
      </w:r>
    </w:p>
    <w:p w14:paraId="670873EE" w14:textId="77777777"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lastRenderedPageBreak/>
        <w:t>In the SVR cohort (5880.4 patient-years), 30 patients developed HCC, 6 patients had decompensation, 35 patients died, and no patient underwent LT during follow-up. The cumulative incidence rates of HCC at 2 and 5 years were 0.6% and 1.6%, respectively for non-cirrhotic patients with SVR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985), and 4.8% and 10.1%, respectively, for cirrhotic SVR patients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283). The cumulative HCC risk according to the presence of cirrhosis, FIB-4 index, APRI score, and ALBI score were significantly different (Supplementary Figure 3). However, HBcIgG positivity (HR, 0.39; 95%CI: 0.05-2.89;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 0.358) and the presence of fatty liver disease (HR, 0.16; 95%CI: 0.02-1.18;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0.072) were not significant risk factors for the development HCC.</w:t>
      </w:r>
    </w:p>
    <w:p w14:paraId="4A54562A" w14:textId="77777777"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 xml:space="preserve">Comparisons of the clinical characteristics and outcomes of the IBT-SVR and DAA-SVR groups before and after PS matching (Table 4) yielded 213 matched pairs of patients from the IBT-SVR and DAA-SVR groups with no significant between-group differences in all baseline variables. Before PS matching, the DAA-SVR group had a significantly higher risk of HCC than the IBT-SVR group (HR, 3.53; 95%CI: 1.47-8.49;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 0.005) (Supplementary Figure 4A), whereas the risks of decompensation (HR, 2.45; 95%CI: 0.33-18.37;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 0.382) and death/LT (HR, 1.44; 95%CI: 0.62-3.34;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 0.400) did not reach statistical significance (Supplementary Figure 4B and C). However, after PS matching, the DAA-SVR group showed no significant differences in the risks of HCC (HR, 2.72; 95%CI: 0.63-11.81;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 0.179), decompensation (HR, 9.74; 95%CI: 0.42-224.81;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 0.155), and death/LT (HR, 2.18; 95%CI: 0.47-10.15;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 0.318) compared with the IBT-SVR group (Figure 3). </w:t>
      </w:r>
    </w:p>
    <w:p w14:paraId="207A67E5" w14:textId="77777777" w:rsidR="0052656F" w:rsidRPr="0066241B" w:rsidRDefault="0052656F" w:rsidP="00B34F1C">
      <w:pPr>
        <w:spacing w:line="360" w:lineRule="auto"/>
        <w:jc w:val="both"/>
        <w:rPr>
          <w:rFonts w:ascii="Book Antiqua" w:hAnsi="Book Antiqua"/>
          <w:color w:val="000000" w:themeColor="text1"/>
        </w:rPr>
      </w:pPr>
    </w:p>
    <w:p w14:paraId="12F07F7B" w14:textId="77777777" w:rsidR="0052656F" w:rsidRPr="0066241B" w:rsidRDefault="000D2442" w:rsidP="00B34F1C">
      <w:pPr>
        <w:spacing w:line="360" w:lineRule="auto"/>
        <w:jc w:val="both"/>
        <w:rPr>
          <w:rFonts w:ascii="Book Antiqua" w:hAnsi="Book Antiqua"/>
          <w:i/>
          <w:color w:val="000000" w:themeColor="text1"/>
        </w:rPr>
      </w:pPr>
      <w:r w:rsidRPr="0066241B">
        <w:rPr>
          <w:rFonts w:ascii="Book Antiqua" w:eastAsia="Book Antiqua" w:hAnsi="Book Antiqua" w:cs="Book Antiqua"/>
          <w:b/>
          <w:i/>
          <w:color w:val="000000" w:themeColor="text1"/>
        </w:rPr>
        <w:t>Multivariable-adjusted analyses of factors associated with outcomes of the SVR cohort</w:t>
      </w:r>
    </w:p>
    <w:p w14:paraId="2F574982"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According to the multivariable-adjusted analysis, the DAA-SVR group did not show any independent differences in the development of HCC (HR, 2.03; 95%CI: 0.76-5.43;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 0.160) or death/LT (HR, 1.38; 95%CI: 0.55-3.49;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 0.494) compared with the IBT-SVR group (Table 5). Covariates independently associated with a higher incidence of HCC were older age (HR, 1.05; 95%CI: 1.01-1.10;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 0.025), genotype 1 (HR, 3.02; 95%CI: 1.18-7.68;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 0.021), and the presence of cirrhosis (HR, 3.18; 95%CI: 1.33-7.68;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 0.009) after </w:t>
      </w:r>
      <w:r w:rsidRPr="0066241B">
        <w:rPr>
          <w:rFonts w:ascii="Book Antiqua" w:eastAsia="Book Antiqua" w:hAnsi="Book Antiqua" w:cs="Book Antiqua"/>
          <w:color w:val="000000" w:themeColor="text1"/>
        </w:rPr>
        <w:lastRenderedPageBreak/>
        <w:t xml:space="preserve">adjustment for the antiviral treatment regimen, sex, alcohol consumption, diabetes mellitus, albumin level, PT, and AFP level (Table 5). Additionally, covariates independently associated with death/LT risk were the presence of cirrhosis (HR, 2.97; 95%CI: 1.42-6.20;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xml:space="preserve">= 0.004) and PT (HR, 5.27; 95%CI: 1.01-27.53; </w:t>
      </w:r>
      <w:r w:rsidRPr="0066241B">
        <w:rPr>
          <w:rFonts w:ascii="Book Antiqua" w:eastAsia="Book Antiqua" w:hAnsi="Book Antiqua" w:cs="Book Antiqua"/>
          <w:i/>
          <w:color w:val="000000" w:themeColor="text1"/>
        </w:rPr>
        <w:t xml:space="preserve">P </w:t>
      </w:r>
      <w:r w:rsidRPr="0066241B">
        <w:rPr>
          <w:rFonts w:ascii="Book Antiqua" w:eastAsia="Book Antiqua" w:hAnsi="Book Antiqua" w:cs="Book Antiqua"/>
          <w:color w:val="000000" w:themeColor="text1"/>
        </w:rPr>
        <w:t>= 0.049).</w:t>
      </w:r>
    </w:p>
    <w:p w14:paraId="42ABC011" w14:textId="77777777" w:rsidR="0052656F" w:rsidRPr="0066241B" w:rsidRDefault="0052656F" w:rsidP="00B34F1C">
      <w:pPr>
        <w:spacing w:line="360" w:lineRule="auto"/>
        <w:jc w:val="both"/>
        <w:rPr>
          <w:rFonts w:ascii="Book Antiqua" w:hAnsi="Book Antiqua"/>
          <w:color w:val="000000" w:themeColor="text1"/>
        </w:rPr>
      </w:pPr>
    </w:p>
    <w:p w14:paraId="51F41CB9"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aps/>
          <w:color w:val="000000" w:themeColor="text1"/>
          <w:u w:val="single"/>
        </w:rPr>
        <w:t>DISCUSSION</w:t>
      </w:r>
    </w:p>
    <w:p w14:paraId="1CFEC92A"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We analyzed the incidence rates of HCC, decompensation, and all-cause death/LT in a large, prospective, Asian cohort including 2054 patients with chronic HCV infection. During a median follow-up period of 4.1 years, the risks of HCC, decompensation, and all-cause mortality were significantly lower after treatment with IBT or DAA compared with no treatment.</w:t>
      </w:r>
    </w:p>
    <w:p w14:paraId="75780F92" w14:textId="77777777"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 xml:space="preserve">After statistical adjustment, including a time-varying Cox analysis and PS-matched analysis, the risks of HCC, decompensation, and all-cause mortality were not significantly different regardless of whether SVR was achieved after IBT or DAA treatment; however, the follow-up duration of the DAA group was shorter than that of the IBT group. After achieving SVR, independent factors associated with HCC risk were no treatment, age, male sex, HCV genotype 1, cirrhosis, alcohol consumption, PT, and pretreatment AFP level, whereas independent factors associated with all-cause mortality were cirrhosis and PT. </w:t>
      </w:r>
    </w:p>
    <w:p w14:paraId="19FA408A" w14:textId="77777777"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There are limited studies of the association between antiviral treatment (IBT or DAA) and all-cause mortality, especially those involving Asian cohorts. Many studies focused on liver-related mortality rather than all-cause mortality as the primary outcome after SVR achievement. However, extrahepatic mortality should be considered for patients with HCV because HCV is associated with increased cardiovascular disease events</w:t>
      </w:r>
      <w:r w:rsidRPr="0066241B">
        <w:rPr>
          <w:rFonts w:ascii="Book Antiqua" w:eastAsia="Book Antiqua" w:hAnsi="Book Antiqua" w:cs="Book Antiqua"/>
          <w:color w:val="000000" w:themeColor="text1"/>
          <w:vertAlign w:val="superscript"/>
        </w:rPr>
        <w:t>[20]</w:t>
      </w:r>
      <w:r w:rsidRPr="0066241B">
        <w:rPr>
          <w:rFonts w:ascii="Book Antiqua" w:eastAsia="Book Antiqua" w:hAnsi="Book Antiqua" w:cs="Book Antiqua"/>
          <w:color w:val="000000" w:themeColor="text1"/>
        </w:rPr>
        <w:t xml:space="preserve"> and extrahepatic malignancies such as bile duct cancers and diffuse large B-cell lymphoma</w:t>
      </w:r>
      <w:r w:rsidRPr="0066241B">
        <w:rPr>
          <w:rFonts w:ascii="Book Antiqua" w:eastAsia="Book Antiqua" w:hAnsi="Book Antiqua" w:cs="Book Antiqua"/>
          <w:color w:val="000000" w:themeColor="text1"/>
          <w:vertAlign w:val="superscript"/>
        </w:rPr>
        <w:t>[</w:t>
      </w:r>
      <w:hyperlink r:id="rId20" w:anchor="_ENREF_21" w:history="1">
        <w:r w:rsidRPr="0066241B">
          <w:rPr>
            <w:rFonts w:ascii="Book Antiqua" w:eastAsia="Book Antiqua" w:hAnsi="Book Antiqua" w:cs="Book Antiqua"/>
            <w:color w:val="000000" w:themeColor="text1"/>
            <w:vertAlign w:val="superscript"/>
          </w:rPr>
          <w:t>21</w:t>
        </w:r>
      </w:hyperlink>
      <w:r w:rsidRPr="0066241B">
        <w:rPr>
          <w:rFonts w:ascii="Book Antiqua" w:eastAsia="Book Antiqua" w:hAnsi="Book Antiqua" w:cs="Book Antiqua"/>
          <w:color w:val="000000" w:themeColor="text1"/>
          <w:vertAlign w:val="superscript"/>
        </w:rPr>
        <w:t>,22]</w:t>
      </w:r>
      <w:r w:rsidRPr="0066241B">
        <w:rPr>
          <w:rFonts w:ascii="Book Antiqua" w:eastAsia="Book Antiqua" w:hAnsi="Book Antiqua" w:cs="Book Antiqua"/>
          <w:color w:val="000000" w:themeColor="text1"/>
        </w:rPr>
        <w:t xml:space="preserve">. Moreover, Tada </w:t>
      </w:r>
      <w:r w:rsidRPr="0066241B">
        <w:rPr>
          <w:rFonts w:ascii="Book Antiqua" w:eastAsia="Book Antiqua" w:hAnsi="Book Antiqua" w:cs="Book Antiqua"/>
          <w:i/>
          <w:color w:val="000000" w:themeColor="text1"/>
        </w:rPr>
        <w:t>et al</w:t>
      </w:r>
      <w:r w:rsidRPr="0066241B">
        <w:rPr>
          <w:rFonts w:ascii="Book Antiqua" w:eastAsia="Book Antiqua" w:hAnsi="Book Antiqua" w:cs="Book Antiqua"/>
          <w:color w:val="000000" w:themeColor="text1"/>
          <w:vertAlign w:val="superscript"/>
        </w:rPr>
        <w:t>[23]</w:t>
      </w:r>
      <w:r w:rsidRPr="0066241B">
        <w:rPr>
          <w:rFonts w:ascii="Book Antiqua" w:eastAsia="Book Antiqua" w:hAnsi="Book Antiqua" w:cs="Book Antiqua"/>
          <w:color w:val="000000" w:themeColor="text1"/>
        </w:rPr>
        <w:t xml:space="preserve"> reported that IBT could reduce all-cause mortality and HCC risk even in patients who did not achieve SVR. However, the effect of DAA treatment in the absence of SVR on clinical outcomes is unknown. Therefore, this study focused on the effect of treatment on the outcomes including all-cause mortality in </w:t>
      </w:r>
      <w:r w:rsidRPr="0066241B">
        <w:rPr>
          <w:rFonts w:ascii="Book Antiqua" w:eastAsia="Book Antiqua" w:hAnsi="Book Antiqua" w:cs="Book Antiqua"/>
          <w:color w:val="000000" w:themeColor="text1"/>
        </w:rPr>
        <w:lastRenderedPageBreak/>
        <w:t xml:space="preserve">the entire cohort, and the effect of SVR induced by IBT and DDA on the outcomes in the SVR cohort. </w:t>
      </w:r>
    </w:p>
    <w:p w14:paraId="308AA236" w14:textId="601750C4"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Recent 5-year follow-up studies after DAA treatment showed that SVR is associated with a gradual but significant reduction in liver fibrosis in terms of FIB-4, METAVIR, transient elastography, and Child-Pugh score</w:t>
      </w:r>
      <w:r w:rsidRPr="0066241B">
        <w:rPr>
          <w:rFonts w:ascii="Book Antiqua" w:eastAsia="Book Antiqua" w:hAnsi="Book Antiqua" w:cs="Book Antiqua"/>
          <w:color w:val="000000" w:themeColor="text1"/>
          <w:vertAlign w:val="superscript"/>
        </w:rPr>
        <w:t>[</w:t>
      </w:r>
      <w:hyperlink r:id="rId21" w:anchor="_ENREF_24" w:history="1">
        <w:r w:rsidRPr="0066241B">
          <w:rPr>
            <w:rFonts w:ascii="Book Antiqua" w:eastAsia="Book Antiqua" w:hAnsi="Book Antiqua" w:cs="Book Antiqua"/>
            <w:color w:val="000000" w:themeColor="text1"/>
            <w:vertAlign w:val="superscript"/>
          </w:rPr>
          <w:t>24</w:t>
        </w:r>
      </w:hyperlink>
      <w:r w:rsidRPr="0066241B">
        <w:rPr>
          <w:rFonts w:ascii="Book Antiqua" w:eastAsia="Book Antiqua" w:hAnsi="Book Antiqua" w:cs="Book Antiqua"/>
          <w:color w:val="000000" w:themeColor="text1"/>
          <w:vertAlign w:val="superscript"/>
        </w:rPr>
        <w:t>,25]</w:t>
      </w:r>
      <w:r w:rsidRPr="0066241B">
        <w:rPr>
          <w:rFonts w:ascii="Book Antiqua" w:eastAsia="Book Antiqua" w:hAnsi="Book Antiqua" w:cs="Book Antiqua"/>
          <w:color w:val="000000" w:themeColor="text1"/>
        </w:rPr>
        <w:t>, whereas another study showed that induced SVR was associated with a reduced risk of clinical disease progression in patients with Child-Pugh A cirrhosis but not in patients with Child-Pugh B/C cirrhosis</w:t>
      </w:r>
      <w:r w:rsidRPr="0066241B">
        <w:rPr>
          <w:rFonts w:ascii="Book Antiqua" w:eastAsia="Book Antiqua" w:hAnsi="Book Antiqua" w:cs="Book Antiqua"/>
          <w:color w:val="000000" w:themeColor="text1"/>
          <w:vertAlign w:val="superscript"/>
        </w:rPr>
        <w:t>[26]</w:t>
      </w:r>
      <w:r w:rsidRPr="0066241B">
        <w:rPr>
          <w:rFonts w:ascii="Book Antiqua" w:eastAsia="Book Antiqua" w:hAnsi="Book Antiqua" w:cs="Book Antiqua"/>
          <w:color w:val="000000" w:themeColor="text1"/>
        </w:rPr>
        <w:t>. In this context, our study showed an approximately 85% reduction in the risk of decompensation after IBT or DAA treatment in Child-Pugh A patients, with decompensated cirrhotic patients being excluded from enrollment.</w:t>
      </w:r>
    </w:p>
    <w:p w14:paraId="517DAE4F" w14:textId="77777777"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 xml:space="preserve">This study demonstrated that treatment with IBT and DAA resulted in risk reductions of 72% (median follow-up, 94.8 mo) and 81% (median follow-up, 42 mo) for all-cause mortality, respectively, compared with no treatment after multivariate adjustment. </w:t>
      </w:r>
      <w:proofErr w:type="gramStart"/>
      <w:r w:rsidRPr="0066241B">
        <w:rPr>
          <w:rFonts w:ascii="Book Antiqua" w:eastAsia="Book Antiqua" w:hAnsi="Book Antiqua" w:cs="Book Antiqua"/>
          <w:color w:val="000000" w:themeColor="text1"/>
        </w:rPr>
        <w:t>Similar to</w:t>
      </w:r>
      <w:proofErr w:type="gramEnd"/>
      <w:r w:rsidRPr="0066241B">
        <w:rPr>
          <w:rFonts w:ascii="Book Antiqua" w:eastAsia="Book Antiqua" w:hAnsi="Book Antiqua" w:cs="Book Antiqua"/>
          <w:color w:val="000000" w:themeColor="text1"/>
        </w:rPr>
        <w:t xml:space="preserve"> previous studies</w:t>
      </w:r>
      <w:r w:rsidRPr="0066241B">
        <w:rPr>
          <w:rFonts w:ascii="Book Antiqua" w:eastAsia="Book Antiqua" w:hAnsi="Book Antiqua" w:cs="Book Antiqua"/>
          <w:color w:val="000000" w:themeColor="text1"/>
          <w:vertAlign w:val="superscript"/>
        </w:rPr>
        <w:t>[27]</w:t>
      </w:r>
      <w:r w:rsidRPr="0066241B">
        <w:rPr>
          <w:rFonts w:ascii="Book Antiqua" w:eastAsia="Book Antiqua" w:hAnsi="Book Antiqua" w:cs="Book Antiqua"/>
          <w:color w:val="000000" w:themeColor="text1"/>
        </w:rPr>
        <w:t xml:space="preserve">, our results showed that even IBT, with its probable adverse events and lower SVR rates, had long-term beneficial effects on mortality. Regarding the benefit of DAA treatment, Butt </w:t>
      </w:r>
      <w:r w:rsidRPr="0066241B">
        <w:rPr>
          <w:rFonts w:ascii="Book Antiqua" w:eastAsia="Book Antiqua" w:hAnsi="Book Antiqua" w:cs="Book Antiqua"/>
          <w:i/>
          <w:color w:val="000000" w:themeColor="text1"/>
        </w:rPr>
        <w:t>et al</w:t>
      </w:r>
      <w:r w:rsidRPr="0066241B">
        <w:rPr>
          <w:rFonts w:ascii="Book Antiqua" w:eastAsia="Book Antiqua" w:hAnsi="Book Antiqua" w:cs="Book Antiqua"/>
          <w:color w:val="000000" w:themeColor="text1"/>
          <w:vertAlign w:val="superscript"/>
        </w:rPr>
        <w:t>[28]</w:t>
      </w:r>
      <w:r w:rsidRPr="0066241B">
        <w:rPr>
          <w:rFonts w:ascii="Book Antiqua" w:eastAsia="Book Antiqua" w:hAnsi="Book Antiqua" w:cs="Book Antiqua"/>
          <w:color w:val="000000" w:themeColor="text1"/>
        </w:rPr>
        <w:t xml:space="preserve">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6790), using the Electronically Retrieved Cohort of HCV Infected Veterans (ERCHIVES) data in the United States in 2017, reported that DAA treatment and the achievement of SVR reduced all-cause mortality by 57% and 43%, respectively, within the first 18 mo of treatment. A prospective cohort study performed in France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9895; follow-up, 33.4 mo) reported a 52% reduction in the risk of all-cause mortality in the DAA-treated group compared with the untreated group in 2019</w:t>
      </w:r>
      <w:r w:rsidRPr="0066241B">
        <w:rPr>
          <w:rFonts w:ascii="Book Antiqua" w:eastAsia="Book Antiqua" w:hAnsi="Book Antiqua" w:cs="Book Antiqua"/>
          <w:color w:val="000000" w:themeColor="text1"/>
          <w:vertAlign w:val="superscript"/>
        </w:rPr>
        <w:t>[11]</w:t>
      </w:r>
      <w:r w:rsidRPr="0066241B">
        <w:rPr>
          <w:rFonts w:ascii="Book Antiqua" w:eastAsia="Book Antiqua" w:hAnsi="Book Antiqua" w:cs="Book Antiqua"/>
          <w:color w:val="000000" w:themeColor="text1"/>
        </w:rPr>
        <w:t xml:space="preserve">. Compared with these studies, our results showed a higher reduction in the risk of all-cause mortality with DAA treatment. This may be related to the low proportion of patients with advanced fibrosis in the DAA group in our cohort. Additionally, the follow-up duration of this study was relatively longer than the durations used for those studies. </w:t>
      </w:r>
    </w:p>
    <w:p w14:paraId="5D94EB7B" w14:textId="77777777"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During this study, the achievement of SVR by IBT or by DAA resulted in a 59% reduction in the risk of HCC compared with no treatment or no SVR after multivariable adjustment, similar to previous studies</w:t>
      </w:r>
      <w:r w:rsidRPr="0066241B">
        <w:rPr>
          <w:rFonts w:ascii="Book Antiqua" w:eastAsia="Book Antiqua" w:hAnsi="Book Antiqua" w:cs="Book Antiqua"/>
          <w:color w:val="000000" w:themeColor="text1"/>
          <w:vertAlign w:val="superscript"/>
        </w:rPr>
        <w:t>[</w:t>
      </w:r>
      <w:hyperlink r:id="rId22" w:anchor="_ENREF_29" w:history="1">
        <w:r w:rsidRPr="0066241B">
          <w:rPr>
            <w:rFonts w:ascii="Book Antiqua" w:eastAsia="Book Antiqua" w:hAnsi="Book Antiqua" w:cs="Book Antiqua"/>
            <w:color w:val="000000" w:themeColor="text1"/>
            <w:vertAlign w:val="superscript"/>
          </w:rPr>
          <w:t>29</w:t>
        </w:r>
      </w:hyperlink>
      <w:r w:rsidRPr="0066241B">
        <w:rPr>
          <w:rFonts w:ascii="Book Antiqua" w:eastAsia="Book Antiqua" w:hAnsi="Book Antiqua" w:cs="Book Antiqua"/>
          <w:color w:val="000000" w:themeColor="text1"/>
          <w:vertAlign w:val="superscript"/>
        </w:rPr>
        <w:t>,30]</w:t>
      </w:r>
      <w:r w:rsidRPr="0066241B">
        <w:rPr>
          <w:rFonts w:ascii="Book Antiqua" w:eastAsia="Book Antiqua" w:hAnsi="Book Antiqua" w:cs="Book Antiqua"/>
          <w:color w:val="000000" w:themeColor="text1"/>
        </w:rPr>
        <w:t xml:space="preserve">. Nonetheless, our results also showed that the HCC risk remained after SVR achievement. Despite the achievement of SVR, the </w:t>
      </w:r>
      <w:r w:rsidRPr="0066241B">
        <w:rPr>
          <w:rFonts w:ascii="Book Antiqua" w:eastAsia="Book Antiqua" w:hAnsi="Book Antiqua" w:cs="Book Antiqua"/>
          <w:color w:val="000000" w:themeColor="text1"/>
        </w:rPr>
        <w:lastRenderedPageBreak/>
        <w:t>absolute risk of HCC remains high for patients with cirrhosis; therefore, according to international guidelines, they should be enrolled in an HCC surveillance program</w:t>
      </w:r>
      <w:r w:rsidRPr="0066241B">
        <w:rPr>
          <w:rFonts w:ascii="Book Antiqua" w:eastAsia="Book Antiqua" w:hAnsi="Book Antiqua" w:cs="Book Antiqua"/>
          <w:color w:val="000000" w:themeColor="text1"/>
          <w:vertAlign w:val="superscript"/>
        </w:rPr>
        <w:t>[2-4]</w:t>
      </w:r>
      <w:r w:rsidRPr="0066241B">
        <w:rPr>
          <w:rFonts w:ascii="Book Antiqua" w:eastAsia="Book Antiqua" w:hAnsi="Book Antiqua" w:cs="Book Antiqua"/>
          <w:color w:val="000000" w:themeColor="text1"/>
        </w:rPr>
        <w:t xml:space="preserve">. However, there is little evidence of the benefits of HCC surveillance for non-cirrhotic chronic HCV patients with SVR, because of the low residual HCC risk. During this study, the non-cirrhotic group had an HCC risk of 0.26 per 100 person-years (5-year cumulative incidence of 1.6%). In particular, the low FIB-4 (5-year cumulative incidence of 0.3%) group had a very low risk of HCC during this study. These results are </w:t>
      </w:r>
      <w:proofErr w:type="gramStart"/>
      <w:r w:rsidRPr="0066241B">
        <w:rPr>
          <w:rFonts w:ascii="Book Antiqua" w:eastAsia="Book Antiqua" w:hAnsi="Book Antiqua" w:cs="Book Antiqua"/>
          <w:color w:val="000000" w:themeColor="text1"/>
        </w:rPr>
        <w:t>similar to</w:t>
      </w:r>
      <w:proofErr w:type="gramEnd"/>
      <w:r w:rsidRPr="0066241B">
        <w:rPr>
          <w:rFonts w:ascii="Book Antiqua" w:eastAsia="Book Antiqua" w:hAnsi="Book Antiqua" w:cs="Book Antiqua"/>
          <w:color w:val="000000" w:themeColor="text1"/>
        </w:rPr>
        <w:t xml:space="preserve"> those of the retrospective REAL-C cohort study that targeted Eastern Asians (5-year cumulative incidence: 1.35 for the non-cirrhotic group and 0.13 for the low FIB-4 group)</w:t>
      </w:r>
      <w:r w:rsidRPr="0066241B">
        <w:rPr>
          <w:rFonts w:ascii="Book Antiqua" w:eastAsia="Book Antiqua" w:hAnsi="Book Antiqua" w:cs="Book Antiqua"/>
          <w:color w:val="000000" w:themeColor="text1"/>
          <w:vertAlign w:val="superscript"/>
        </w:rPr>
        <w:t>[30]</w:t>
      </w:r>
      <w:r w:rsidRPr="0066241B">
        <w:rPr>
          <w:rFonts w:ascii="Book Antiqua" w:eastAsia="Book Antiqua" w:hAnsi="Book Antiqua" w:cs="Book Antiqua"/>
          <w:color w:val="000000" w:themeColor="text1"/>
        </w:rPr>
        <w:t>. These results support the European guidelines, which do not recommend HCC surveillance for fibrosis 0 to 2</w:t>
      </w:r>
      <w:r w:rsidRPr="0066241B">
        <w:rPr>
          <w:rFonts w:ascii="Book Antiqua" w:eastAsia="Book Antiqua" w:hAnsi="Book Antiqua" w:cs="Book Antiqua"/>
          <w:color w:val="000000" w:themeColor="text1"/>
          <w:vertAlign w:val="superscript"/>
        </w:rPr>
        <w:t>[4]</w:t>
      </w:r>
      <w:r w:rsidRPr="0066241B">
        <w:rPr>
          <w:rFonts w:ascii="Book Antiqua" w:eastAsia="Book Antiqua" w:hAnsi="Book Antiqua" w:cs="Book Antiqua"/>
          <w:color w:val="000000" w:themeColor="text1"/>
        </w:rPr>
        <w:t>. However, more long-term follow-up data after achieving SVR are needed.</w:t>
      </w:r>
    </w:p>
    <w:p w14:paraId="351AC545" w14:textId="77777777"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Identifying the risk factors associated with HCC after SVR is important to the development of a reasonable surveillance strategy. An East Asian retrospective study suggested that among the cirrhotic DAA-SVR group, age older than 60 years, ALBI scores of 2 or 3, and pretreatment AFP &gt; 10 ng/mL were associated with HCC risk; however, among the non-cirrhotic group, only AFP &gt; 10 ng/mL was significant</w:t>
      </w:r>
      <w:r w:rsidRPr="0066241B">
        <w:rPr>
          <w:rFonts w:ascii="Book Antiqua" w:eastAsia="Book Antiqua" w:hAnsi="Book Antiqua" w:cs="Book Antiqua"/>
          <w:color w:val="000000" w:themeColor="text1"/>
          <w:vertAlign w:val="superscript"/>
        </w:rPr>
        <w:t>[30]</w:t>
      </w:r>
      <w:r w:rsidRPr="0066241B">
        <w:rPr>
          <w:rFonts w:ascii="Book Antiqua" w:eastAsia="Book Antiqua" w:hAnsi="Book Antiqua" w:cs="Book Antiqua"/>
          <w:color w:val="000000" w:themeColor="text1"/>
        </w:rPr>
        <w:t>. Additionally, there are many factors associated with HCC risk after SVR, such as clinical factors (age, sex, presence of diabetes, HCV genotype 3, history of IBT), laboratory parameters (platelet count, AFP), and fibrosis stage (determined by histology or estimation by Fibroscan</w:t>
      </w:r>
      <w:r w:rsidRPr="0066241B">
        <w:rPr>
          <w:rFonts w:ascii="Book Antiqua" w:eastAsia="Book Antiqua" w:hAnsi="Book Antiqua" w:cs="Book Antiqua"/>
          <w:color w:val="000000" w:themeColor="text1"/>
          <w:vertAlign w:val="superscript"/>
        </w:rPr>
        <w:t>®</w:t>
      </w:r>
      <w:r w:rsidRPr="0066241B">
        <w:rPr>
          <w:rFonts w:ascii="Book Antiqua" w:eastAsia="Book Antiqua" w:hAnsi="Book Antiqua" w:cs="Book Antiqua"/>
          <w:color w:val="000000" w:themeColor="text1"/>
        </w:rPr>
        <w:t>, FIB-4, APRI, or the presence of esophageal varices) before DAA treatment and at follow-up (determined by Fibroscan</w:t>
      </w:r>
      <w:r w:rsidRPr="0066241B">
        <w:rPr>
          <w:rFonts w:ascii="Book Antiqua" w:eastAsia="Book Antiqua" w:hAnsi="Book Antiqua" w:cs="Book Antiqua"/>
          <w:color w:val="000000" w:themeColor="text1"/>
          <w:vertAlign w:val="superscript"/>
        </w:rPr>
        <w:t>®</w:t>
      </w:r>
      <w:r w:rsidRPr="0066241B">
        <w:rPr>
          <w:rFonts w:ascii="Book Antiqua" w:eastAsia="Book Antiqua" w:hAnsi="Book Antiqua" w:cs="Book Antiqua"/>
          <w:color w:val="000000" w:themeColor="text1"/>
        </w:rPr>
        <w:t>, FIB-4, APRI, alanine aminotransferase, AFP, albuminemia, or VITRO score)</w:t>
      </w:r>
      <w:r w:rsidRPr="0066241B">
        <w:rPr>
          <w:rFonts w:ascii="Book Antiqua" w:eastAsia="Book Antiqua" w:hAnsi="Book Antiqua" w:cs="Book Antiqua"/>
          <w:color w:val="000000" w:themeColor="text1"/>
          <w:vertAlign w:val="superscript"/>
        </w:rPr>
        <w:t>[31]</w:t>
      </w:r>
      <w:r w:rsidRPr="0066241B">
        <w:rPr>
          <w:rFonts w:ascii="Book Antiqua" w:eastAsia="Book Antiqua" w:hAnsi="Book Antiqua" w:cs="Book Antiqua"/>
          <w:color w:val="000000" w:themeColor="text1"/>
        </w:rPr>
        <w:t xml:space="preserve">. In our study, age, cirrhosis, and HCV genotype 1 (compared with genotype 2) were independent risk factors for HCC after SVR. Therefore, it is necessary to test the HCV genotype even in the therapeutic era of pangenotypic regimens to develop a follow-up strategy after SVR according to the regional distribution of HCV genotypes. These factors should be considered when establishing an optimal HCC prediction model. </w:t>
      </w:r>
    </w:p>
    <w:p w14:paraId="5F0EBE02" w14:textId="77777777"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Previous studies have suggested a similar risk of HCC development with IBT and DAA treatment</w:t>
      </w:r>
      <w:r w:rsidRPr="0066241B">
        <w:rPr>
          <w:rFonts w:ascii="Book Antiqua" w:eastAsia="Book Antiqua" w:hAnsi="Book Antiqua" w:cs="Book Antiqua"/>
          <w:color w:val="000000" w:themeColor="text1"/>
          <w:vertAlign w:val="superscript"/>
        </w:rPr>
        <w:t>[32]</w:t>
      </w:r>
      <w:r w:rsidRPr="0066241B">
        <w:rPr>
          <w:rFonts w:ascii="Book Antiqua" w:eastAsia="Book Antiqua" w:hAnsi="Book Antiqua" w:cs="Book Antiqua"/>
          <w:color w:val="000000" w:themeColor="text1"/>
        </w:rPr>
        <w:t xml:space="preserve">. Interestingly, a recent meta-analysis suggested that IBT is better than DAA </w:t>
      </w:r>
      <w:r w:rsidRPr="0066241B">
        <w:rPr>
          <w:rFonts w:ascii="Book Antiqua" w:eastAsia="Book Antiqua" w:hAnsi="Book Antiqua" w:cs="Book Antiqua"/>
          <w:color w:val="000000" w:themeColor="text1"/>
        </w:rPr>
        <w:lastRenderedPageBreak/>
        <w:t>for preventing the occurrence of HCC in chronic hepatitis C patients after achieving SVR</w:t>
      </w:r>
      <w:r w:rsidRPr="0066241B">
        <w:rPr>
          <w:rFonts w:ascii="Book Antiqua" w:eastAsia="Book Antiqua" w:hAnsi="Book Antiqua" w:cs="Book Antiqua"/>
          <w:color w:val="000000" w:themeColor="text1"/>
          <w:vertAlign w:val="superscript"/>
        </w:rPr>
        <w:t>[33]</w:t>
      </w:r>
      <w:r w:rsidRPr="0066241B">
        <w:rPr>
          <w:rFonts w:ascii="Book Antiqua" w:eastAsia="Book Antiqua" w:hAnsi="Book Antiqua" w:cs="Book Antiqua"/>
          <w:color w:val="000000" w:themeColor="text1"/>
        </w:rPr>
        <w:t>. Biologically, IFN family members, especially class I IFN (IFN-α, IFN-β), have important anti-HCC effects</w:t>
      </w:r>
      <w:r w:rsidRPr="0066241B">
        <w:rPr>
          <w:rFonts w:ascii="Book Antiqua" w:eastAsia="Book Antiqua" w:hAnsi="Book Antiqua" w:cs="Book Antiqua"/>
          <w:color w:val="000000" w:themeColor="text1"/>
          <w:vertAlign w:val="superscript"/>
        </w:rPr>
        <w:t>[32]</w:t>
      </w:r>
      <w:r w:rsidRPr="0066241B">
        <w:rPr>
          <w:rFonts w:ascii="Book Antiqua" w:eastAsia="Book Antiqua" w:hAnsi="Book Antiqua" w:cs="Book Antiqua"/>
          <w:color w:val="000000" w:themeColor="text1"/>
        </w:rPr>
        <w:t>. However, some investigators have suggested that the sudden decrease in viral load caused by DAA treatment causes immune distortion, thus deregulating the antitumor response and releasing precancerous foci from immune surveillance</w:t>
      </w:r>
      <w:r w:rsidRPr="0066241B">
        <w:rPr>
          <w:rFonts w:ascii="Book Antiqua" w:eastAsia="Book Antiqua" w:hAnsi="Book Antiqua" w:cs="Book Antiqua"/>
          <w:color w:val="000000" w:themeColor="text1"/>
          <w:vertAlign w:val="superscript"/>
        </w:rPr>
        <w:t>[</w:t>
      </w:r>
      <w:hyperlink r:id="rId23" w:anchor="_ENREF_34" w:history="1">
        <w:r w:rsidRPr="0066241B">
          <w:rPr>
            <w:rFonts w:ascii="Book Antiqua" w:eastAsia="Book Antiqua" w:hAnsi="Book Antiqua" w:cs="Book Antiqua"/>
            <w:color w:val="000000" w:themeColor="text1"/>
            <w:vertAlign w:val="superscript"/>
          </w:rPr>
          <w:t>34</w:t>
        </w:r>
      </w:hyperlink>
      <w:r w:rsidRPr="0066241B">
        <w:rPr>
          <w:rFonts w:ascii="Book Antiqua" w:eastAsia="Book Antiqua" w:hAnsi="Book Antiqua" w:cs="Book Antiqua"/>
          <w:color w:val="000000" w:themeColor="text1"/>
          <w:vertAlign w:val="superscript"/>
        </w:rPr>
        <w:t>,35]</w:t>
      </w:r>
      <w:r w:rsidRPr="0066241B">
        <w:rPr>
          <w:rFonts w:ascii="Book Antiqua" w:eastAsia="Book Antiqua" w:hAnsi="Book Antiqua" w:cs="Book Antiqua"/>
          <w:color w:val="000000" w:themeColor="text1"/>
        </w:rPr>
        <w:t>. Although it can be explained theoretically, there is little clinical evidence regarding the difference in the HCC risk for patients with DAA-SVR and IBT-SVR. Our results showed significant clinical differences between the IBT-SVR and DAA-SVR groups. Both the multivariable analysis and PS matching analysis showed that the effect of IBT-SVR was not different from that of DAA-SVR on the HCC incidence and all-cause mortality. Recently, some studies reported different effects of IBT-SVR and DAA-SVR on the incidence of diabetes</w:t>
      </w:r>
      <w:r w:rsidRPr="0066241B">
        <w:rPr>
          <w:rFonts w:ascii="Book Antiqua" w:eastAsia="Book Antiqua" w:hAnsi="Book Antiqua" w:cs="Book Antiqua"/>
          <w:color w:val="000000" w:themeColor="text1"/>
          <w:vertAlign w:val="superscript"/>
        </w:rPr>
        <w:t>[36]</w:t>
      </w:r>
      <w:r w:rsidRPr="0066241B">
        <w:rPr>
          <w:rFonts w:ascii="Book Antiqua" w:eastAsia="Book Antiqua" w:hAnsi="Book Antiqua" w:cs="Book Antiqua"/>
          <w:color w:val="000000" w:themeColor="text1"/>
        </w:rPr>
        <w:t xml:space="preserve"> and hematologic malignancies</w:t>
      </w:r>
      <w:r w:rsidRPr="0066241B">
        <w:rPr>
          <w:rFonts w:ascii="Book Antiqua" w:eastAsia="Book Antiqua" w:hAnsi="Book Antiqua" w:cs="Book Antiqua"/>
          <w:color w:val="000000" w:themeColor="text1"/>
          <w:vertAlign w:val="superscript"/>
        </w:rPr>
        <w:t>[37]</w:t>
      </w:r>
      <w:r w:rsidRPr="0066241B">
        <w:rPr>
          <w:rFonts w:ascii="Book Antiqua" w:eastAsia="Book Antiqua" w:hAnsi="Book Antiqua" w:cs="Book Antiqua"/>
          <w:color w:val="000000" w:themeColor="text1"/>
        </w:rPr>
        <w:t>. Therefore, long-term studies of the effects of DAA-SVR are warranted.</w:t>
      </w:r>
    </w:p>
    <w:p w14:paraId="539C39AD" w14:textId="7982698F"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To meet the 2030 HCV elimination target of the WHO</w:t>
      </w:r>
      <w:r w:rsidRPr="0066241B">
        <w:rPr>
          <w:rFonts w:ascii="Book Antiqua" w:eastAsia="Book Antiqua" w:hAnsi="Book Antiqua" w:cs="Book Antiqua"/>
          <w:color w:val="000000" w:themeColor="text1"/>
          <w:vertAlign w:val="superscript"/>
        </w:rPr>
        <w:t>[1]</w:t>
      </w:r>
      <w:r w:rsidRPr="0066241B">
        <w:rPr>
          <w:rFonts w:ascii="Book Antiqua" w:eastAsia="Book Antiqua" w:hAnsi="Book Antiqua" w:cs="Book Antiqua"/>
          <w:color w:val="000000" w:themeColor="text1"/>
        </w:rPr>
        <w:t xml:space="preserve">, active testing and enhanced linkage to treatment are important. In this study, 30.1% of patients remained untreated, and this percentage should be reduced. Indeed, the untreated group showed a higher mortality rate of 23.7% (88 Liver related deaths and 59 non-liver related deaths) during the median follow-up of 5.6 years. In the untreated group, 3 patients received IBT after HCC diagnosis, and 19 patients received DAA treatment after HCC diagnosis or a decompensation event. </w:t>
      </w:r>
      <w:proofErr w:type="gramStart"/>
      <w:r w:rsidRPr="0066241B">
        <w:rPr>
          <w:rFonts w:ascii="Book Antiqua" w:eastAsia="Book Antiqua" w:hAnsi="Book Antiqua" w:cs="Book Antiqua"/>
          <w:color w:val="000000" w:themeColor="text1"/>
        </w:rPr>
        <w:t>The majority of</w:t>
      </w:r>
      <w:proofErr w:type="gramEnd"/>
      <w:r w:rsidRPr="0066241B">
        <w:rPr>
          <w:rFonts w:ascii="Book Antiqua" w:eastAsia="Book Antiqua" w:hAnsi="Book Antiqua" w:cs="Book Antiqua"/>
          <w:color w:val="000000" w:themeColor="text1"/>
        </w:rPr>
        <w:t xml:space="preserve"> the untreated patients (78.8%, 457/619) were enrolled in the Korean HCV cohort before June 2015, when the first DAA was introduced, and 46.7% (289/619) died or were lost to follow-up before June 2015. Although DAA therapy is covered by the National Health Insurance System, 30% of the drug price is an out-of-pocket expense of the patients, equaling to approximately 3000 United S</w:t>
      </w:r>
      <w:r w:rsidRPr="0066241B">
        <w:rPr>
          <w:rFonts w:ascii="Book Antiqua" w:eastAsia="Book Antiqua" w:hAnsi="Book Antiqua" w:cs="Book Antiqua"/>
          <w:color w:val="000000" w:themeColor="text1"/>
          <w:lang w:eastAsia="zh-CN"/>
        </w:rPr>
        <w:t>tates</w:t>
      </w:r>
      <w:r w:rsidRPr="0066241B">
        <w:rPr>
          <w:rFonts w:ascii="Book Antiqua" w:eastAsia="Book Antiqua" w:hAnsi="Book Antiqua" w:cs="Book Antiqua"/>
          <w:color w:val="000000" w:themeColor="text1"/>
        </w:rPr>
        <w:t xml:space="preserve"> dollars. Even in the DAA era, the main reasons for non-treatment are the relatively high price of DAA, old age, and extrahepatic or advanced hepatic malignancy. </w:t>
      </w:r>
    </w:p>
    <w:p w14:paraId="2B5D91B8" w14:textId="77777777"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 xml:space="preserve">One of the strengths of our study was that it was a long-term study involving a prospective, Asian cohort that included both IBT and DAA groups. This study used a well-established protocol, guidelines and database, and the data, including death </w:t>
      </w:r>
      <w:r w:rsidRPr="0066241B">
        <w:rPr>
          <w:rFonts w:ascii="Book Antiqua" w:eastAsia="Book Antiqua" w:hAnsi="Book Antiqua" w:cs="Book Antiqua"/>
          <w:color w:val="000000" w:themeColor="text1"/>
        </w:rPr>
        <w:lastRenderedPageBreak/>
        <w:t xml:space="preserve">outcomes, were verified under government guidance. To date, few reports have evaluated and compared clinical outcomes (HCC, death, and decompensation) after IBT and DAA treatment, especially in Asia, where HCV is less prevalent than HBV. </w:t>
      </w:r>
    </w:p>
    <w:p w14:paraId="3FABFA96" w14:textId="1B18848B" w:rsidR="0052656F" w:rsidRPr="0066241B" w:rsidRDefault="000D2442" w:rsidP="00B34F1C">
      <w:pPr>
        <w:spacing w:line="360" w:lineRule="auto"/>
        <w:ind w:firstLine="240"/>
        <w:jc w:val="both"/>
        <w:rPr>
          <w:rFonts w:ascii="Book Antiqua" w:hAnsi="Book Antiqua"/>
          <w:color w:val="000000" w:themeColor="text1"/>
        </w:rPr>
      </w:pPr>
      <w:r w:rsidRPr="0066241B">
        <w:rPr>
          <w:rFonts w:ascii="Book Antiqua" w:eastAsia="Book Antiqua" w:hAnsi="Book Antiqua" w:cs="Book Antiqua"/>
          <w:color w:val="000000" w:themeColor="text1"/>
        </w:rPr>
        <w:t>This study had several limitations. First, because it was an observational study, the findings may show selection and confounding biases. Despite this limitation, it would be useful for comparing the effectiveness of IBT and DAA because of the relatively low incidence of clinical events. Second, we used clinical and radiological criteria to diagnose cirrhosis; therefore, some patients with advanced fibrosis may have been included in the non-cirrhotic group. However, we attempted to correct this point using a non-invasive liver fibrosis biomarker. Third, there was a disparity in the follow-up periods of the IBT and DAA groups because of the later introduction of DAA (since 2015</w:t>
      </w:r>
      <w:r w:rsidR="004419B3" w:rsidRPr="0066241B">
        <w:rPr>
          <w:rFonts w:ascii="Book Antiqua" w:eastAsia="Book Antiqua" w:hAnsi="Book Antiqua" w:cs="Book Antiqua"/>
          <w:color w:val="000000" w:themeColor="text1"/>
        </w:rPr>
        <w:t xml:space="preserve"> in Korea</w:t>
      </w:r>
      <w:r w:rsidRPr="0066241B">
        <w:rPr>
          <w:rFonts w:ascii="Book Antiqua" w:eastAsia="Book Antiqua" w:hAnsi="Book Antiqua" w:cs="Book Antiqua"/>
          <w:color w:val="000000" w:themeColor="text1"/>
        </w:rPr>
        <w:t>). Additional long-term follow-up studies evaluating the outcomes of patients with SVR are warranted. Forth, the presence of anti-HBc IgG in HCV patients has been implicated in HCC development, and a non-negligible risk of HBV inactivation during DAA treatment (0.91%)</w:t>
      </w:r>
      <w:r w:rsidRPr="0066241B">
        <w:rPr>
          <w:rFonts w:ascii="Book Antiqua" w:eastAsia="Book Antiqua" w:hAnsi="Book Antiqua" w:cs="Book Antiqua"/>
          <w:color w:val="000000" w:themeColor="text1"/>
          <w:vertAlign w:val="superscript"/>
        </w:rPr>
        <w:t>[38]</w:t>
      </w:r>
      <w:r w:rsidRPr="0066241B">
        <w:rPr>
          <w:rFonts w:ascii="Book Antiqua" w:eastAsia="Book Antiqua" w:hAnsi="Book Antiqua" w:cs="Book Antiqua"/>
          <w:color w:val="000000" w:themeColor="text1"/>
        </w:rPr>
        <w:t xml:space="preserve">. However, approximately 30% of our patients were not tested for anti-HBc IgG, and none of the anti-HBc </w:t>
      </w:r>
      <w:r w:rsidR="004419B3" w:rsidRPr="0066241B">
        <w:rPr>
          <w:rFonts w:ascii="Book Antiqua" w:eastAsia="Book Antiqua" w:hAnsi="Book Antiqua" w:cs="Book Antiqua"/>
          <w:color w:val="000000" w:themeColor="text1"/>
        </w:rPr>
        <w:t>IgG-positive</w:t>
      </w:r>
      <w:r w:rsidRPr="0066241B">
        <w:rPr>
          <w:rFonts w:ascii="Book Antiqua" w:eastAsia="Book Antiqua" w:hAnsi="Book Antiqua" w:cs="Book Antiqua"/>
          <w:color w:val="000000" w:themeColor="text1"/>
        </w:rPr>
        <w:t xml:space="preserve"> patients were tested for HBV DNA during DAA treatment. Likewise, the role of fatty liver in the outcomes of HCV patients was not completely evaluated owing to missing data. Finally, compared with the IBT era, diagnostic imaging modalities and treatment options for HCC have improved in the DAA era. Therefore, these points could have affected the clinical outcomes of the IBT and DAA groups.</w:t>
      </w:r>
    </w:p>
    <w:p w14:paraId="43B935EB" w14:textId="77777777" w:rsidR="0052656F" w:rsidRPr="0066241B" w:rsidRDefault="0052656F" w:rsidP="00B34F1C">
      <w:pPr>
        <w:spacing w:line="360" w:lineRule="auto"/>
        <w:jc w:val="both"/>
        <w:rPr>
          <w:rFonts w:ascii="Book Antiqua" w:hAnsi="Book Antiqua"/>
          <w:color w:val="000000" w:themeColor="text1"/>
        </w:rPr>
      </w:pPr>
    </w:p>
    <w:p w14:paraId="335641A7"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aps/>
          <w:color w:val="000000" w:themeColor="text1"/>
          <w:u w:val="single"/>
        </w:rPr>
        <w:t>CONCLUSION</w:t>
      </w:r>
    </w:p>
    <w:p w14:paraId="0F216FE0"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This study showed that antiviral treatment significantly reduced the incidences of HCC, decompensation, and mortality in an Asian population, regardless of the use of IBT or DAA. After achieving SVR, age, the presence of cirrhosis, and HCV genotype 1 were indicators of worse clinical outcomes. Therefore, an adequate HCC surveillance strategy after SVR that considers age, the presence of cirrhosis, and genotype should be developed. </w:t>
      </w:r>
      <w:r w:rsidRPr="0066241B">
        <w:rPr>
          <w:rFonts w:ascii="Book Antiqua" w:eastAsia="Book Antiqua" w:hAnsi="Book Antiqua" w:cs="Book Antiqua"/>
          <w:color w:val="000000" w:themeColor="text1"/>
        </w:rPr>
        <w:lastRenderedPageBreak/>
        <w:t xml:space="preserve">Additional studies evaluating the long-term DAA outcomes of SVR patients are also warranted. </w:t>
      </w:r>
    </w:p>
    <w:p w14:paraId="10CD8D70" w14:textId="77777777" w:rsidR="0052656F" w:rsidRPr="0066241B" w:rsidRDefault="0052656F" w:rsidP="00B34F1C">
      <w:pPr>
        <w:spacing w:line="360" w:lineRule="auto"/>
        <w:jc w:val="both"/>
        <w:rPr>
          <w:rFonts w:ascii="Book Antiqua" w:hAnsi="Book Antiqua"/>
          <w:color w:val="000000" w:themeColor="text1"/>
        </w:rPr>
      </w:pPr>
    </w:p>
    <w:p w14:paraId="38B7C9D8"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aps/>
          <w:color w:val="000000" w:themeColor="text1"/>
          <w:u w:val="single"/>
        </w:rPr>
        <w:t>ARTICLE HIGHLIGHTS</w:t>
      </w:r>
    </w:p>
    <w:p w14:paraId="7DC73A3B"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i/>
          <w:color w:val="000000" w:themeColor="text1"/>
        </w:rPr>
        <w:t>Research background</w:t>
      </w:r>
    </w:p>
    <w:p w14:paraId="5F11F6AC"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Sustained virologic response (SVR) with either interferon-based therapy (IBT) or direct acting antivirals (DAA)-induced SVR significantly reduces the incidence of hepatocellular carcinoma (HCC) and long-term mortality in patients with hepatitis C virus (HCV) infection. </w:t>
      </w:r>
    </w:p>
    <w:p w14:paraId="4F310D75" w14:textId="77777777" w:rsidR="0052656F" w:rsidRPr="0066241B" w:rsidRDefault="0052656F" w:rsidP="00B34F1C">
      <w:pPr>
        <w:spacing w:line="360" w:lineRule="auto"/>
        <w:jc w:val="both"/>
        <w:rPr>
          <w:rFonts w:ascii="Book Antiqua" w:hAnsi="Book Antiqua"/>
          <w:color w:val="000000" w:themeColor="text1"/>
        </w:rPr>
      </w:pPr>
    </w:p>
    <w:p w14:paraId="27DE2DB4"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i/>
          <w:color w:val="000000" w:themeColor="text1"/>
        </w:rPr>
        <w:t>Research motivation</w:t>
      </w:r>
    </w:p>
    <w:p w14:paraId="118C10F5"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Prospective studies of the long-term outcomes for patients with HCV infection after treatment with IBT or DAA are limited in many Asian countries.</w:t>
      </w:r>
    </w:p>
    <w:p w14:paraId="4573542E" w14:textId="77777777" w:rsidR="0052656F" w:rsidRPr="0066241B" w:rsidRDefault="0052656F" w:rsidP="00B34F1C">
      <w:pPr>
        <w:spacing w:line="360" w:lineRule="auto"/>
        <w:jc w:val="both"/>
        <w:rPr>
          <w:rFonts w:ascii="Book Antiqua" w:hAnsi="Book Antiqua"/>
          <w:color w:val="000000" w:themeColor="text1"/>
        </w:rPr>
      </w:pPr>
    </w:p>
    <w:p w14:paraId="747145FE"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i/>
          <w:color w:val="000000" w:themeColor="text1"/>
        </w:rPr>
        <w:t>Research objectives</w:t>
      </w:r>
    </w:p>
    <w:p w14:paraId="389726F2"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We aimed to elucidate the incidences of HCC and death/transplantation based on treatment with IBT or DAA.</w:t>
      </w:r>
      <w:r w:rsidRPr="0066241B">
        <w:rPr>
          <w:rFonts w:ascii="Book Antiqua" w:hAnsi="Book Antiqua"/>
          <w:color w:val="000000" w:themeColor="text1"/>
        </w:rPr>
        <w:t xml:space="preserve"> </w:t>
      </w:r>
      <w:proofErr w:type="gramStart"/>
      <w:r w:rsidRPr="0066241B">
        <w:rPr>
          <w:rFonts w:ascii="Book Antiqua" w:eastAsia="Book Antiqua" w:hAnsi="Book Antiqua" w:cs="Book Antiqua"/>
          <w:color w:val="000000" w:themeColor="text1"/>
        </w:rPr>
        <w:t>And,</w:t>
      </w:r>
      <w:proofErr w:type="gramEnd"/>
      <w:r w:rsidRPr="0066241B">
        <w:rPr>
          <w:rFonts w:ascii="Book Antiqua" w:eastAsia="Book Antiqua" w:hAnsi="Book Antiqua" w:cs="Book Antiqua"/>
          <w:color w:val="000000" w:themeColor="text1"/>
        </w:rPr>
        <w:t xml:space="preserve"> we aimed to compare the outcomes of the SVR to IBT and DAA.</w:t>
      </w:r>
      <w:r w:rsidRPr="0066241B">
        <w:rPr>
          <w:rFonts w:ascii="Book Antiqua" w:hAnsi="Book Antiqua"/>
          <w:color w:val="000000" w:themeColor="text1"/>
        </w:rPr>
        <w:t xml:space="preserve"> </w:t>
      </w:r>
      <w:r w:rsidRPr="0066241B">
        <w:rPr>
          <w:rFonts w:ascii="Book Antiqua" w:eastAsia="Book Antiqua" w:hAnsi="Book Antiqua" w:cs="Book Antiqua"/>
          <w:color w:val="000000" w:themeColor="text1"/>
        </w:rPr>
        <w:t>Finally, we aimed to investigate outcome-determining factors after SVR.</w:t>
      </w:r>
    </w:p>
    <w:p w14:paraId="19BDED8E" w14:textId="77777777" w:rsidR="0052656F" w:rsidRPr="0066241B" w:rsidRDefault="0052656F" w:rsidP="00B34F1C">
      <w:pPr>
        <w:spacing w:line="360" w:lineRule="auto"/>
        <w:jc w:val="both"/>
        <w:rPr>
          <w:rFonts w:ascii="Book Antiqua" w:hAnsi="Book Antiqua"/>
          <w:color w:val="000000" w:themeColor="text1"/>
        </w:rPr>
      </w:pPr>
    </w:p>
    <w:p w14:paraId="264F19AF"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i/>
          <w:color w:val="000000" w:themeColor="text1"/>
        </w:rPr>
        <w:t>Research methods</w:t>
      </w:r>
    </w:p>
    <w:p w14:paraId="439911C9"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The cohort included 2054 viremic patients (mean age, 57 years; 46.5% male; 27.4% with cirrhosis) prospectively enrolled at seven hospitals between 2007 and 2019.</w:t>
      </w:r>
      <w:r w:rsidRPr="0066241B">
        <w:rPr>
          <w:rFonts w:ascii="Book Antiqua" w:hAnsi="Book Antiqua"/>
          <w:color w:val="000000" w:themeColor="text1"/>
        </w:rPr>
        <w:t xml:space="preserve"> </w:t>
      </w:r>
      <w:r w:rsidRPr="0066241B">
        <w:rPr>
          <w:rFonts w:ascii="Book Antiqua" w:eastAsia="Book Antiqua" w:hAnsi="Book Antiqua" w:cs="Book Antiqua"/>
          <w:color w:val="000000" w:themeColor="text1"/>
        </w:rPr>
        <w:t>They were classified as the untreated group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619), IBT group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578), and DAA group (</w:t>
      </w:r>
      <w:r w:rsidRPr="0066241B">
        <w:rPr>
          <w:rFonts w:ascii="Book Antiqua" w:eastAsia="Book Antiqua" w:hAnsi="Book Antiqua" w:cs="Book Antiqua"/>
          <w:i/>
          <w:color w:val="000000" w:themeColor="text1"/>
        </w:rPr>
        <w:t>n</w:t>
      </w:r>
      <w:r w:rsidRPr="0066241B">
        <w:rPr>
          <w:rFonts w:ascii="Book Antiqua" w:eastAsia="Book Antiqua" w:hAnsi="Book Antiqua" w:cs="Book Antiqua"/>
          <w:color w:val="000000" w:themeColor="text1"/>
        </w:rPr>
        <w:t xml:space="preserve"> = 857). </w:t>
      </w:r>
    </w:p>
    <w:p w14:paraId="624C233C" w14:textId="77777777" w:rsidR="0052656F" w:rsidRPr="0066241B" w:rsidRDefault="0052656F" w:rsidP="00B34F1C">
      <w:pPr>
        <w:spacing w:line="360" w:lineRule="auto"/>
        <w:jc w:val="both"/>
        <w:rPr>
          <w:rFonts w:ascii="Book Antiqua" w:hAnsi="Book Antiqua"/>
          <w:color w:val="000000" w:themeColor="text1"/>
        </w:rPr>
      </w:pPr>
    </w:p>
    <w:p w14:paraId="1DF09F1F"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i/>
          <w:color w:val="000000" w:themeColor="text1"/>
        </w:rPr>
        <w:t>Research results</w:t>
      </w:r>
    </w:p>
    <w:p w14:paraId="33153870"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Compared to the untreated group, the incidences of HCC and death/transplantation were significantly lower in the IBT group and the DAA group.</w:t>
      </w:r>
      <w:r w:rsidRPr="0066241B">
        <w:rPr>
          <w:rFonts w:ascii="Book Antiqua" w:hAnsi="Book Antiqua"/>
          <w:color w:val="000000" w:themeColor="text1"/>
        </w:rPr>
        <w:t xml:space="preserve"> </w:t>
      </w:r>
      <w:r w:rsidRPr="0066241B">
        <w:rPr>
          <w:rFonts w:ascii="Book Antiqua" w:eastAsia="Book Antiqua" w:hAnsi="Book Antiqua" w:cs="Book Antiqua"/>
          <w:color w:val="000000" w:themeColor="text1"/>
        </w:rPr>
        <w:t>SVR induced by IBT or DAA did not show significant differences in the risk of HCC and all-cause mortality.</w:t>
      </w:r>
      <w:r w:rsidRPr="0066241B">
        <w:rPr>
          <w:rFonts w:ascii="Book Antiqua" w:hAnsi="Book Antiqua"/>
          <w:color w:val="000000" w:themeColor="text1"/>
        </w:rPr>
        <w:t xml:space="preserve"> </w:t>
      </w:r>
      <w:r w:rsidRPr="0066241B">
        <w:rPr>
          <w:rFonts w:ascii="Book Antiqua" w:eastAsia="Book Antiqua" w:hAnsi="Book Antiqua" w:cs="Book Antiqua"/>
          <w:color w:val="000000" w:themeColor="text1"/>
        </w:rPr>
        <w:lastRenderedPageBreak/>
        <w:t>After achieving SVR, age, presence of cirrhosis, and genotype 1 HCV infection were indicators of worse clinical outcomes.</w:t>
      </w:r>
    </w:p>
    <w:p w14:paraId="5022E1CD" w14:textId="77777777" w:rsidR="0052656F" w:rsidRPr="0066241B" w:rsidRDefault="0052656F" w:rsidP="00B34F1C">
      <w:pPr>
        <w:spacing w:line="360" w:lineRule="auto"/>
        <w:jc w:val="both"/>
        <w:rPr>
          <w:rFonts w:ascii="Book Antiqua" w:hAnsi="Book Antiqua"/>
          <w:color w:val="000000" w:themeColor="text1"/>
        </w:rPr>
      </w:pPr>
    </w:p>
    <w:p w14:paraId="653D4964"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i/>
          <w:color w:val="000000" w:themeColor="text1"/>
        </w:rPr>
        <w:t>Research conclusions</w:t>
      </w:r>
    </w:p>
    <w:p w14:paraId="7B356BF3"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Treatment and SVR with either IBT or DAA significantly reduced the incidences of HCC and mortality in the Asian prospective cohort.</w:t>
      </w:r>
    </w:p>
    <w:p w14:paraId="4B7B3553" w14:textId="77777777" w:rsidR="0052656F" w:rsidRPr="0066241B" w:rsidRDefault="0052656F" w:rsidP="00B34F1C">
      <w:pPr>
        <w:spacing w:line="360" w:lineRule="auto"/>
        <w:jc w:val="both"/>
        <w:rPr>
          <w:rFonts w:ascii="Book Antiqua" w:hAnsi="Book Antiqua"/>
          <w:color w:val="000000" w:themeColor="text1"/>
        </w:rPr>
      </w:pPr>
    </w:p>
    <w:p w14:paraId="50B9884B"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i/>
          <w:color w:val="000000" w:themeColor="text1"/>
        </w:rPr>
        <w:t>Research perspectives</w:t>
      </w:r>
    </w:p>
    <w:p w14:paraId="78AE8899"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This study was a long-term study involving a prospective, Asian cohort that included both IBT and DAA groups. This study used a well-established protocol, guidelines and database, and the data, including death outcomes, were verified under government guidance.</w:t>
      </w:r>
    </w:p>
    <w:p w14:paraId="5ABB503D" w14:textId="77777777" w:rsidR="0052656F" w:rsidRPr="0066241B" w:rsidRDefault="0052656F" w:rsidP="00B34F1C">
      <w:pPr>
        <w:spacing w:line="360" w:lineRule="auto"/>
        <w:jc w:val="both"/>
        <w:rPr>
          <w:rFonts w:ascii="Book Antiqua" w:hAnsi="Book Antiqua"/>
          <w:color w:val="000000" w:themeColor="text1"/>
        </w:rPr>
      </w:pPr>
    </w:p>
    <w:p w14:paraId="5F021B56"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aps/>
          <w:color w:val="000000" w:themeColor="text1"/>
          <w:u w:val="single"/>
        </w:rPr>
        <w:t>ACKNOWLEDGEMENTS</w:t>
      </w:r>
    </w:p>
    <w:p w14:paraId="6EDF90A6"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We deeply appreciate the clinical research coordinators (Lee DE, Kim NH, Jeong DH, Na SM, Kang HY, Jo AR, Han SH, Chung ES, Jeong HY, and Lee HM) for their dedication to this study and the officials of the Korea Disease Control and Prevention Agency (Lee MS, Seong JH, Lee JK, Kee MK, Chung HM, Choi BS, Kim KS, Kang C, Kim SS, and Jee YM) for their strong support of this study</w:t>
      </w:r>
    </w:p>
    <w:p w14:paraId="11BD2B6A" w14:textId="77777777" w:rsidR="0052656F" w:rsidRPr="0066241B" w:rsidRDefault="0052656F" w:rsidP="00B34F1C">
      <w:pPr>
        <w:spacing w:line="360" w:lineRule="auto"/>
        <w:jc w:val="both"/>
        <w:rPr>
          <w:rFonts w:ascii="Book Antiqua" w:hAnsi="Book Antiqua"/>
          <w:color w:val="000000" w:themeColor="text1"/>
          <w:lang w:eastAsia="zh-CN"/>
        </w:rPr>
      </w:pPr>
    </w:p>
    <w:p w14:paraId="213745C5"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REFERENCES</w:t>
      </w:r>
    </w:p>
    <w:p w14:paraId="607C5C40" w14:textId="77777777" w:rsidR="0052656F" w:rsidRPr="0066241B" w:rsidRDefault="000D2442" w:rsidP="00B34F1C">
      <w:pPr>
        <w:spacing w:line="360" w:lineRule="auto"/>
        <w:jc w:val="both"/>
        <w:rPr>
          <w:rFonts w:ascii="Book Antiqua" w:eastAsia="宋体" w:hAnsi="Book Antiqua" w:cs="宋体"/>
          <w:color w:val="000000" w:themeColor="text1"/>
          <w:lang w:eastAsia="zh-CN"/>
        </w:rPr>
      </w:pPr>
      <w:r w:rsidRPr="0066241B">
        <w:rPr>
          <w:rFonts w:ascii="Book Antiqua" w:eastAsia="Book Antiqua" w:hAnsi="Book Antiqua" w:cs="Book Antiqua"/>
          <w:color w:val="000000" w:themeColor="text1"/>
        </w:rPr>
        <w:t xml:space="preserve">1 </w:t>
      </w:r>
      <w:r w:rsidRPr="0066241B">
        <w:rPr>
          <w:rFonts w:ascii="Book Antiqua" w:eastAsia="Book Antiqua" w:hAnsi="Book Antiqua" w:cs="Book Antiqua"/>
          <w:b/>
          <w:color w:val="000000" w:themeColor="text1"/>
        </w:rPr>
        <w:t>World Health Organization</w:t>
      </w:r>
      <w:r w:rsidRPr="0066241B">
        <w:rPr>
          <w:rFonts w:ascii="Book Antiqua" w:eastAsia="Book Antiqua" w:hAnsi="Book Antiqua" w:cs="Book Antiqua"/>
          <w:color w:val="000000" w:themeColor="text1"/>
        </w:rPr>
        <w:t>. Interim guidance for country validation of viral hepatitis elimination. World Health Organization, 2021. Available from: https://apps.who.int/iris/handle/10665/341652</w:t>
      </w:r>
    </w:p>
    <w:p w14:paraId="1DEBDA3F" w14:textId="77777777" w:rsidR="0052656F" w:rsidRPr="0066241B" w:rsidRDefault="000D2442" w:rsidP="00B34F1C">
      <w:pPr>
        <w:spacing w:line="360" w:lineRule="auto"/>
        <w:jc w:val="both"/>
        <w:rPr>
          <w:rFonts w:ascii="Book Antiqua" w:hAnsi="Book Antiqua"/>
          <w:color w:val="000000" w:themeColor="text1"/>
          <w:lang w:eastAsia="zh-CN"/>
        </w:rPr>
      </w:pPr>
      <w:r w:rsidRPr="0066241B">
        <w:rPr>
          <w:rFonts w:ascii="Book Antiqua" w:eastAsia="Book Antiqua" w:hAnsi="Book Antiqua" w:cs="Book Antiqua"/>
          <w:color w:val="000000" w:themeColor="text1"/>
        </w:rPr>
        <w:t xml:space="preserve">2 </w:t>
      </w:r>
      <w:r w:rsidRPr="0066241B">
        <w:rPr>
          <w:rFonts w:ascii="Book Antiqua" w:eastAsia="Book Antiqua" w:hAnsi="Book Antiqua" w:cs="Book Antiqua"/>
          <w:b/>
          <w:color w:val="000000" w:themeColor="text1"/>
        </w:rPr>
        <w:t>Korean Association for the Study of the Liver (KASL</w:t>
      </w:r>
      <w:proofErr w:type="gramStart"/>
      <w:r w:rsidRPr="0066241B">
        <w:rPr>
          <w:rFonts w:ascii="Book Antiqua" w:eastAsia="Book Antiqua" w:hAnsi="Book Antiqua" w:cs="Book Antiqua"/>
          <w:b/>
          <w:color w:val="000000" w:themeColor="text1"/>
        </w:rPr>
        <w:t>).</w:t>
      </w:r>
      <w:r w:rsidRPr="0066241B">
        <w:rPr>
          <w:rFonts w:ascii="Book Antiqua" w:eastAsia="Book Antiqua" w:hAnsi="Book Antiqua" w:cs="Book Antiqua"/>
          <w:color w:val="000000" w:themeColor="text1"/>
        </w:rPr>
        <w:t>.</w:t>
      </w:r>
      <w:proofErr w:type="gramEnd"/>
      <w:r w:rsidRPr="0066241B">
        <w:rPr>
          <w:rFonts w:ascii="Book Antiqua" w:eastAsia="Book Antiqua" w:hAnsi="Book Antiqua" w:cs="Book Antiqua"/>
          <w:color w:val="000000" w:themeColor="text1"/>
        </w:rPr>
        <w:t xml:space="preserve"> 2017 KASL clinical practice guidelines management of hepatitis C: Treatment of chronic hepatitis C. </w:t>
      </w:r>
      <w:r w:rsidRPr="0066241B">
        <w:rPr>
          <w:rFonts w:ascii="Book Antiqua" w:eastAsia="Book Antiqua" w:hAnsi="Book Antiqua" w:cs="Book Antiqua"/>
          <w:i/>
          <w:color w:val="000000" w:themeColor="text1"/>
        </w:rPr>
        <w:t>Clin Mol Hepatol</w:t>
      </w:r>
      <w:r w:rsidRPr="0066241B">
        <w:rPr>
          <w:rFonts w:ascii="Book Antiqua" w:eastAsia="Book Antiqua" w:hAnsi="Book Antiqua" w:cs="Book Antiqua"/>
          <w:color w:val="000000" w:themeColor="text1"/>
        </w:rPr>
        <w:t xml:space="preserve"> 2018; </w:t>
      </w:r>
      <w:r w:rsidRPr="0066241B">
        <w:rPr>
          <w:rFonts w:ascii="Book Antiqua" w:eastAsia="Book Antiqua" w:hAnsi="Book Antiqua" w:cs="Book Antiqua"/>
          <w:b/>
          <w:color w:val="000000" w:themeColor="text1"/>
        </w:rPr>
        <w:t>24</w:t>
      </w:r>
      <w:r w:rsidRPr="0066241B">
        <w:rPr>
          <w:rFonts w:ascii="Book Antiqua" w:eastAsia="Book Antiqua" w:hAnsi="Book Antiqua" w:cs="Book Antiqua"/>
          <w:color w:val="000000" w:themeColor="text1"/>
        </w:rPr>
        <w:t>: 169-229 [PMID: 30092624 DOI: 10.3350/cmh.2018.1004]</w:t>
      </w:r>
    </w:p>
    <w:p w14:paraId="7C2051F0"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3 </w:t>
      </w:r>
      <w:r w:rsidRPr="0066241B">
        <w:rPr>
          <w:rFonts w:ascii="Book Antiqua" w:eastAsia="Book Antiqua" w:hAnsi="Book Antiqua" w:cs="Book Antiqua"/>
          <w:b/>
          <w:color w:val="000000" w:themeColor="text1"/>
        </w:rPr>
        <w:t>Ghany MG</w:t>
      </w:r>
      <w:r w:rsidRPr="0066241B">
        <w:rPr>
          <w:rFonts w:ascii="Book Antiqua" w:eastAsia="Book Antiqua" w:hAnsi="Book Antiqua" w:cs="Book Antiqua"/>
          <w:color w:val="000000" w:themeColor="text1"/>
        </w:rPr>
        <w:t xml:space="preserve">, Morgan TR; AASLD-IDSA Hepatitis C Guidance Panel. Hepatitis C Guidance 2019 Update: American Association for the Study of Liver Diseases-Infectious </w:t>
      </w:r>
      <w:r w:rsidRPr="0066241B">
        <w:rPr>
          <w:rFonts w:ascii="Book Antiqua" w:eastAsia="Book Antiqua" w:hAnsi="Book Antiqua" w:cs="Book Antiqua"/>
          <w:color w:val="000000" w:themeColor="text1"/>
        </w:rPr>
        <w:lastRenderedPageBreak/>
        <w:t xml:space="preserve">Diseases Society of America Recommendations for Testing, Managing, and Treating Hepatitis C Virus Infection. </w:t>
      </w:r>
      <w:r w:rsidRPr="0066241B">
        <w:rPr>
          <w:rFonts w:ascii="Book Antiqua" w:eastAsia="Book Antiqua" w:hAnsi="Book Antiqua" w:cs="Book Antiqua"/>
          <w:i/>
          <w:color w:val="000000" w:themeColor="text1"/>
        </w:rPr>
        <w:t>Hepatology</w:t>
      </w:r>
      <w:r w:rsidRPr="0066241B">
        <w:rPr>
          <w:rFonts w:ascii="Book Antiqua" w:eastAsia="Book Antiqua" w:hAnsi="Book Antiqua" w:cs="Book Antiqua"/>
          <w:color w:val="000000" w:themeColor="text1"/>
        </w:rPr>
        <w:t xml:space="preserve"> 2020; </w:t>
      </w:r>
      <w:r w:rsidRPr="0066241B">
        <w:rPr>
          <w:rFonts w:ascii="Book Antiqua" w:eastAsia="Book Antiqua" w:hAnsi="Book Antiqua" w:cs="Book Antiqua"/>
          <w:b/>
          <w:color w:val="000000" w:themeColor="text1"/>
        </w:rPr>
        <w:t>71</w:t>
      </w:r>
      <w:r w:rsidRPr="0066241B">
        <w:rPr>
          <w:rFonts w:ascii="Book Antiqua" w:eastAsia="Book Antiqua" w:hAnsi="Book Antiqua" w:cs="Book Antiqua"/>
          <w:color w:val="000000" w:themeColor="text1"/>
        </w:rPr>
        <w:t>: 686-721 [PMID: 31816111 DOI: 10.1002/hep.31060]</w:t>
      </w:r>
    </w:p>
    <w:p w14:paraId="7EF46715"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4 </w:t>
      </w:r>
      <w:r w:rsidRPr="0066241B">
        <w:rPr>
          <w:rFonts w:ascii="Book Antiqua" w:eastAsia="Book Antiqua" w:hAnsi="Book Antiqua" w:cs="Book Antiqua"/>
          <w:b/>
          <w:color w:val="000000" w:themeColor="text1"/>
        </w:rPr>
        <w:t>European Association for the Study of the Liver.</w:t>
      </w:r>
      <w:r w:rsidRPr="0066241B">
        <w:rPr>
          <w:rFonts w:ascii="Book Antiqua" w:eastAsia="Book Antiqua" w:hAnsi="Book Antiqua" w:cs="Book Antiqua"/>
          <w:color w:val="000000" w:themeColor="text1"/>
        </w:rPr>
        <w:t xml:space="preserve">; Clinical Practice Guidelines Panel: </w:t>
      </w:r>
      <w:proofErr w:type="gramStart"/>
      <w:r w:rsidRPr="0066241B">
        <w:rPr>
          <w:rFonts w:ascii="Book Antiqua" w:eastAsia="Book Antiqua" w:hAnsi="Book Antiqua" w:cs="Book Antiqua"/>
          <w:color w:val="000000" w:themeColor="text1"/>
        </w:rPr>
        <w:t>Chair:;</w:t>
      </w:r>
      <w:proofErr w:type="gramEnd"/>
      <w:r w:rsidRPr="0066241B">
        <w:rPr>
          <w:rFonts w:ascii="Book Antiqua" w:eastAsia="Book Antiqua" w:hAnsi="Book Antiqua" w:cs="Book Antiqua"/>
          <w:color w:val="000000" w:themeColor="text1"/>
        </w:rPr>
        <w:t xml:space="preserve"> EASL Governing Board representative:; Panel members:. EASL recommendations on treatment of hepatitis C: Final update of the series</w:t>
      </w:r>
      <w:r w:rsidRPr="0066241B">
        <w:rPr>
          <w:rFonts w:ascii="Segoe UI Symbol" w:eastAsia="Book Antiqua" w:hAnsi="Segoe UI Symbol" w:cs="Segoe UI Symbol"/>
          <w:color w:val="000000" w:themeColor="text1"/>
          <w:vertAlign w:val="superscript"/>
        </w:rPr>
        <w:t>☆</w:t>
      </w:r>
      <w:r w:rsidRPr="0066241B">
        <w:rPr>
          <w:rFonts w:ascii="Book Antiqua" w:eastAsia="Book Antiqua" w:hAnsi="Book Antiqua" w:cs="Book Antiqua"/>
          <w:color w:val="000000" w:themeColor="text1"/>
        </w:rPr>
        <w:t xml:space="preserve">. </w:t>
      </w:r>
      <w:r w:rsidRPr="0066241B">
        <w:rPr>
          <w:rFonts w:ascii="Book Antiqua" w:eastAsia="Book Antiqua" w:hAnsi="Book Antiqua" w:cs="Book Antiqua"/>
          <w:i/>
          <w:color w:val="000000" w:themeColor="text1"/>
        </w:rPr>
        <w:t>J Hepatol</w:t>
      </w:r>
      <w:r w:rsidRPr="0066241B">
        <w:rPr>
          <w:rFonts w:ascii="Book Antiqua" w:eastAsia="Book Antiqua" w:hAnsi="Book Antiqua" w:cs="Book Antiqua"/>
          <w:color w:val="000000" w:themeColor="text1"/>
        </w:rPr>
        <w:t xml:space="preserve"> 2020; </w:t>
      </w:r>
      <w:r w:rsidRPr="0066241B">
        <w:rPr>
          <w:rFonts w:ascii="Book Antiqua" w:eastAsia="Book Antiqua" w:hAnsi="Book Antiqua" w:cs="Book Antiqua"/>
          <w:b/>
          <w:color w:val="000000" w:themeColor="text1"/>
        </w:rPr>
        <w:t>73</w:t>
      </w:r>
      <w:r w:rsidRPr="0066241B">
        <w:rPr>
          <w:rFonts w:ascii="Book Antiqua" w:eastAsia="Book Antiqua" w:hAnsi="Book Antiqua" w:cs="Book Antiqua"/>
          <w:color w:val="000000" w:themeColor="text1"/>
        </w:rPr>
        <w:t>: 1170-1218 [PMID: 32956768 DOI: 10.1016/j.jhep.2020.08.018]</w:t>
      </w:r>
    </w:p>
    <w:p w14:paraId="01239D6C"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5 </w:t>
      </w:r>
      <w:r w:rsidRPr="0066241B">
        <w:rPr>
          <w:rFonts w:ascii="Book Antiqua" w:eastAsia="Book Antiqua" w:hAnsi="Book Antiqua" w:cs="Book Antiqua"/>
          <w:b/>
          <w:color w:val="000000" w:themeColor="text1"/>
        </w:rPr>
        <w:t>Fried MW</w:t>
      </w:r>
      <w:r w:rsidRPr="0066241B">
        <w:rPr>
          <w:rFonts w:ascii="Book Antiqua" w:eastAsia="Book Antiqua" w:hAnsi="Book Antiqua" w:cs="Book Antiqua"/>
          <w:color w:val="000000" w:themeColor="text1"/>
        </w:rPr>
        <w:t xml:space="preserve">, Shiffman ML, Reddy KR, Smith C, Marinos G, Gonçales FL Jr, Häussinger D, Diago M, Carosi G, Dhumeaux D, Craxi A, Lin A, Hoffman J, Yu J. Peginterferon alfa-2a plus ribavirin for chronic hepatitis C virus infection. </w:t>
      </w:r>
      <w:r w:rsidRPr="0066241B">
        <w:rPr>
          <w:rFonts w:ascii="Book Antiqua" w:eastAsia="Book Antiqua" w:hAnsi="Book Antiqua" w:cs="Book Antiqua"/>
          <w:i/>
          <w:color w:val="000000" w:themeColor="text1"/>
        </w:rPr>
        <w:t>N Engl J Med</w:t>
      </w:r>
      <w:r w:rsidRPr="0066241B">
        <w:rPr>
          <w:rFonts w:ascii="Book Antiqua" w:eastAsia="Book Antiqua" w:hAnsi="Book Antiqua" w:cs="Book Antiqua"/>
          <w:color w:val="000000" w:themeColor="text1"/>
        </w:rPr>
        <w:t xml:space="preserve"> 2002; </w:t>
      </w:r>
      <w:r w:rsidRPr="0066241B">
        <w:rPr>
          <w:rFonts w:ascii="Book Antiqua" w:eastAsia="Book Antiqua" w:hAnsi="Book Antiqua" w:cs="Book Antiqua"/>
          <w:b/>
          <w:color w:val="000000" w:themeColor="text1"/>
        </w:rPr>
        <w:t>347</w:t>
      </w:r>
      <w:r w:rsidRPr="0066241B">
        <w:rPr>
          <w:rFonts w:ascii="Book Antiqua" w:eastAsia="Book Antiqua" w:hAnsi="Book Antiqua" w:cs="Book Antiqua"/>
          <w:color w:val="000000" w:themeColor="text1"/>
        </w:rPr>
        <w:t>: 975-982 [PMID: 12324553 DOI: 10.1056/NEJMoa020047]</w:t>
      </w:r>
    </w:p>
    <w:p w14:paraId="4E5AF766"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6 </w:t>
      </w:r>
      <w:r w:rsidRPr="0066241B">
        <w:rPr>
          <w:rFonts w:ascii="Book Antiqua" w:eastAsia="Book Antiqua" w:hAnsi="Book Antiqua" w:cs="Book Antiqua"/>
          <w:b/>
          <w:color w:val="000000" w:themeColor="text1"/>
        </w:rPr>
        <w:t>Bang CS</w:t>
      </w:r>
      <w:r w:rsidRPr="0066241B">
        <w:rPr>
          <w:rFonts w:ascii="Book Antiqua" w:eastAsia="Book Antiqua" w:hAnsi="Book Antiqua" w:cs="Book Antiqua"/>
          <w:color w:val="000000" w:themeColor="text1"/>
        </w:rPr>
        <w:t xml:space="preserve">, Song IH. Impact of antiviral therapy on hepatocellular carcinoma and mortality in patients with chronic hepatitis C: systematic review and meta-analysis. </w:t>
      </w:r>
      <w:r w:rsidRPr="0066241B">
        <w:rPr>
          <w:rFonts w:ascii="Book Antiqua" w:eastAsia="Book Antiqua" w:hAnsi="Book Antiqua" w:cs="Book Antiqua"/>
          <w:i/>
          <w:color w:val="000000" w:themeColor="text1"/>
        </w:rPr>
        <w:t>BMC Gastroenterol</w:t>
      </w:r>
      <w:r w:rsidRPr="0066241B">
        <w:rPr>
          <w:rFonts w:ascii="Book Antiqua" w:eastAsia="Book Antiqua" w:hAnsi="Book Antiqua" w:cs="Book Antiqua"/>
          <w:color w:val="000000" w:themeColor="text1"/>
        </w:rPr>
        <w:t xml:space="preserve"> 2017; </w:t>
      </w:r>
      <w:r w:rsidRPr="0066241B">
        <w:rPr>
          <w:rFonts w:ascii="Book Antiqua" w:eastAsia="Book Antiqua" w:hAnsi="Book Antiqua" w:cs="Book Antiqua"/>
          <w:b/>
          <w:color w:val="000000" w:themeColor="text1"/>
        </w:rPr>
        <w:t>17</w:t>
      </w:r>
      <w:r w:rsidRPr="0066241B">
        <w:rPr>
          <w:rFonts w:ascii="Book Antiqua" w:eastAsia="Book Antiqua" w:hAnsi="Book Antiqua" w:cs="Book Antiqua"/>
          <w:color w:val="000000" w:themeColor="text1"/>
        </w:rPr>
        <w:t>: 46 [PMID: 28376711 DOI: 10.1186/s12876-017-0606-9]</w:t>
      </w:r>
    </w:p>
    <w:p w14:paraId="12D1E29E"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7 </w:t>
      </w:r>
      <w:r w:rsidRPr="0066241B">
        <w:rPr>
          <w:rFonts w:ascii="Book Antiqua" w:eastAsia="Book Antiqua" w:hAnsi="Book Antiqua" w:cs="Book Antiqua"/>
          <w:b/>
          <w:color w:val="000000" w:themeColor="text1"/>
        </w:rPr>
        <w:t>Lee YB</w:t>
      </w:r>
      <w:r w:rsidRPr="0066241B">
        <w:rPr>
          <w:rFonts w:ascii="Book Antiqua" w:eastAsia="Book Antiqua" w:hAnsi="Book Antiqua" w:cs="Book Antiqua"/>
          <w:color w:val="000000" w:themeColor="text1"/>
        </w:rPr>
        <w:t xml:space="preserve">, Nam JY, Lee JH, Chang Y, Cho H, Cho YY, Cho EJ, Yu SJ, Kim HY, Lee DH, Lee JM, Hwang SG, Kim YJ, Yoon JH. Differential Effect of HCV Eradication and Fibrosis Grade on Hepatocellular Carcinoma and All-cause Mortality. </w:t>
      </w:r>
      <w:r w:rsidRPr="0066241B">
        <w:rPr>
          <w:rFonts w:ascii="Book Antiqua" w:eastAsia="Book Antiqua" w:hAnsi="Book Antiqua" w:cs="Book Antiqua"/>
          <w:i/>
          <w:color w:val="000000" w:themeColor="text1"/>
        </w:rPr>
        <w:t>Sci Rep</w:t>
      </w:r>
      <w:r w:rsidRPr="0066241B">
        <w:rPr>
          <w:rFonts w:ascii="Book Antiqua" w:eastAsia="Book Antiqua" w:hAnsi="Book Antiqua" w:cs="Book Antiqua"/>
          <w:color w:val="000000" w:themeColor="text1"/>
        </w:rPr>
        <w:t xml:space="preserve"> 2018; </w:t>
      </w:r>
      <w:r w:rsidRPr="0066241B">
        <w:rPr>
          <w:rFonts w:ascii="Book Antiqua" w:eastAsia="Book Antiqua" w:hAnsi="Book Antiqua" w:cs="Book Antiqua"/>
          <w:b/>
          <w:color w:val="000000" w:themeColor="text1"/>
        </w:rPr>
        <w:t>8</w:t>
      </w:r>
      <w:r w:rsidRPr="0066241B">
        <w:rPr>
          <w:rFonts w:ascii="Book Antiqua" w:eastAsia="Book Antiqua" w:hAnsi="Book Antiqua" w:cs="Book Antiqua"/>
          <w:color w:val="000000" w:themeColor="text1"/>
        </w:rPr>
        <w:t>: 13651 [PMID: 30209336 DOI: 10.1038/s41598-018-31839-y]</w:t>
      </w:r>
    </w:p>
    <w:p w14:paraId="18EF8F2F"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8 </w:t>
      </w:r>
      <w:r w:rsidRPr="0066241B">
        <w:rPr>
          <w:rFonts w:ascii="Book Antiqua" w:eastAsia="Book Antiqua" w:hAnsi="Book Antiqua" w:cs="Book Antiqua"/>
          <w:b/>
          <w:color w:val="000000" w:themeColor="text1"/>
        </w:rPr>
        <w:t>Dolmazashvili E</w:t>
      </w:r>
      <w:r w:rsidRPr="0066241B">
        <w:rPr>
          <w:rFonts w:ascii="Book Antiqua" w:eastAsia="Book Antiqua" w:hAnsi="Book Antiqua" w:cs="Book Antiqua"/>
          <w:color w:val="000000" w:themeColor="text1"/>
        </w:rPr>
        <w:t xml:space="preserve">, Abutidze A, Chkhartishvili N, Karchava M, Sharvadze L, Tsertsvadze T. Regression of liver fibrosis over a 24-week period after completing direct-acting antiviral therapy in patients with chronic hepatitis C receiving care within the national hepatitis C elimination program in Georgia: results of hepatology clinic HEPA experience. </w:t>
      </w:r>
      <w:r w:rsidRPr="0066241B">
        <w:rPr>
          <w:rFonts w:ascii="Book Antiqua" w:eastAsia="Book Antiqua" w:hAnsi="Book Antiqua" w:cs="Book Antiqua"/>
          <w:i/>
          <w:color w:val="000000" w:themeColor="text1"/>
        </w:rPr>
        <w:t>Eur J Gastroenterol Hepatol</w:t>
      </w:r>
      <w:r w:rsidRPr="0066241B">
        <w:rPr>
          <w:rFonts w:ascii="Book Antiqua" w:eastAsia="Book Antiqua" w:hAnsi="Book Antiqua" w:cs="Book Antiqua"/>
          <w:color w:val="000000" w:themeColor="text1"/>
        </w:rPr>
        <w:t xml:space="preserve"> 2017; </w:t>
      </w:r>
      <w:r w:rsidRPr="0066241B">
        <w:rPr>
          <w:rFonts w:ascii="Book Antiqua" w:eastAsia="Book Antiqua" w:hAnsi="Book Antiqua" w:cs="Book Antiqua"/>
          <w:b/>
          <w:color w:val="000000" w:themeColor="text1"/>
        </w:rPr>
        <w:t>29</w:t>
      </w:r>
      <w:r w:rsidRPr="0066241B">
        <w:rPr>
          <w:rFonts w:ascii="Book Antiqua" w:eastAsia="Book Antiqua" w:hAnsi="Book Antiqua" w:cs="Book Antiqua"/>
          <w:color w:val="000000" w:themeColor="text1"/>
        </w:rPr>
        <w:t>: 1223-1230 [PMID: 28857900 DOI: 10.1097/MEG.0000000000000964]</w:t>
      </w:r>
    </w:p>
    <w:p w14:paraId="3954B200"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9 </w:t>
      </w:r>
      <w:r w:rsidRPr="0066241B">
        <w:rPr>
          <w:rFonts w:ascii="Book Antiqua" w:eastAsia="Book Antiqua" w:hAnsi="Book Antiqua" w:cs="Book Antiqua"/>
          <w:b/>
          <w:color w:val="000000" w:themeColor="text1"/>
        </w:rPr>
        <w:t>Bachofner JA</w:t>
      </w:r>
      <w:r w:rsidRPr="0066241B">
        <w:rPr>
          <w:rFonts w:ascii="Book Antiqua" w:eastAsia="Book Antiqua" w:hAnsi="Book Antiqua" w:cs="Book Antiqua"/>
          <w:color w:val="000000" w:themeColor="text1"/>
        </w:rPr>
        <w:t xml:space="preserve">, Valli PV, Kröger A, Bergamin I, Künzler P, Baserga A, Braun D, Seifert B, Moncsek A, Fehr J, Semela D, Magenta L, Müllhaupt B, Terziroli Beretta-Piccoli B, Mertens JC. Direct antiviral agent treatment of chronic hepatitis C results in rapid regression of transient elastography and fibrosis markers fibrosis-4 score and aspartate </w:t>
      </w:r>
      <w:r w:rsidRPr="0066241B">
        <w:rPr>
          <w:rFonts w:ascii="Book Antiqua" w:eastAsia="Book Antiqua" w:hAnsi="Book Antiqua" w:cs="Book Antiqua"/>
          <w:color w:val="000000" w:themeColor="text1"/>
        </w:rPr>
        <w:lastRenderedPageBreak/>
        <w:t xml:space="preserve">aminotransferase-platelet ratio index. </w:t>
      </w:r>
      <w:r w:rsidRPr="0066241B">
        <w:rPr>
          <w:rFonts w:ascii="Book Antiqua" w:eastAsia="Book Antiqua" w:hAnsi="Book Antiqua" w:cs="Book Antiqua"/>
          <w:i/>
          <w:color w:val="000000" w:themeColor="text1"/>
        </w:rPr>
        <w:t>Liver Int</w:t>
      </w:r>
      <w:r w:rsidRPr="0066241B">
        <w:rPr>
          <w:rFonts w:ascii="Book Antiqua" w:eastAsia="Book Antiqua" w:hAnsi="Book Antiqua" w:cs="Book Antiqua"/>
          <w:color w:val="000000" w:themeColor="text1"/>
        </w:rPr>
        <w:t xml:space="preserve"> 2017; </w:t>
      </w:r>
      <w:r w:rsidRPr="0066241B">
        <w:rPr>
          <w:rFonts w:ascii="Book Antiqua" w:eastAsia="Book Antiqua" w:hAnsi="Book Antiqua" w:cs="Book Antiqua"/>
          <w:b/>
          <w:color w:val="000000" w:themeColor="text1"/>
        </w:rPr>
        <w:t>37</w:t>
      </w:r>
      <w:r w:rsidRPr="0066241B">
        <w:rPr>
          <w:rFonts w:ascii="Book Antiqua" w:eastAsia="Book Antiqua" w:hAnsi="Book Antiqua" w:cs="Book Antiqua"/>
          <w:color w:val="000000" w:themeColor="text1"/>
        </w:rPr>
        <w:t>: 369-376 [PMID: 27678216 DOI: 10.1111/liv.13256]</w:t>
      </w:r>
    </w:p>
    <w:p w14:paraId="013D7F1F"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10 </w:t>
      </w:r>
      <w:r w:rsidRPr="0066241B">
        <w:rPr>
          <w:rFonts w:ascii="Book Antiqua" w:eastAsia="Book Antiqua" w:hAnsi="Book Antiqua" w:cs="Book Antiqua"/>
          <w:b/>
          <w:color w:val="000000" w:themeColor="text1"/>
        </w:rPr>
        <w:t>Afdhal N</w:t>
      </w:r>
      <w:r w:rsidRPr="0066241B">
        <w:rPr>
          <w:rFonts w:ascii="Book Antiqua" w:eastAsia="Book Antiqua" w:hAnsi="Book Antiqua" w:cs="Book Antiqua"/>
          <w:color w:val="000000" w:themeColor="text1"/>
        </w:rPr>
        <w:t xml:space="preserve">, Everson GT, Calleja JL, McCaughan GW, Bosch J, Brainard DM, McHutchison JG, De-Oertel S, </w:t>
      </w:r>
      <w:proofErr w:type="gramStart"/>
      <w:r w:rsidRPr="0066241B">
        <w:rPr>
          <w:rFonts w:ascii="Book Antiqua" w:eastAsia="Book Antiqua" w:hAnsi="Book Antiqua" w:cs="Book Antiqua"/>
          <w:color w:val="000000" w:themeColor="text1"/>
        </w:rPr>
        <w:t>An</w:t>
      </w:r>
      <w:proofErr w:type="gramEnd"/>
      <w:r w:rsidRPr="0066241B">
        <w:rPr>
          <w:rFonts w:ascii="Book Antiqua" w:eastAsia="Book Antiqua" w:hAnsi="Book Antiqua" w:cs="Book Antiqua"/>
          <w:color w:val="000000" w:themeColor="text1"/>
        </w:rPr>
        <w:t xml:space="preserve"> D, Charlton M, Reddy KR, Asselah T, Gane E, Curry MP, Forns X. Effect of viral suppression on hepatic venous pressure gradient in hepatitis C with cirrhosis and portal hypertension. </w:t>
      </w:r>
      <w:r w:rsidRPr="0066241B">
        <w:rPr>
          <w:rFonts w:ascii="Book Antiqua" w:eastAsia="Book Antiqua" w:hAnsi="Book Antiqua" w:cs="Book Antiqua"/>
          <w:i/>
          <w:color w:val="000000" w:themeColor="text1"/>
        </w:rPr>
        <w:t>J Viral Hepat</w:t>
      </w:r>
      <w:r w:rsidRPr="0066241B">
        <w:rPr>
          <w:rFonts w:ascii="Book Antiqua" w:eastAsia="Book Antiqua" w:hAnsi="Book Antiqua" w:cs="Book Antiqua"/>
          <w:color w:val="000000" w:themeColor="text1"/>
        </w:rPr>
        <w:t xml:space="preserve"> 2017; </w:t>
      </w:r>
      <w:r w:rsidRPr="0066241B">
        <w:rPr>
          <w:rFonts w:ascii="Book Antiqua" w:eastAsia="Book Antiqua" w:hAnsi="Book Antiqua" w:cs="Book Antiqua"/>
          <w:b/>
          <w:color w:val="000000" w:themeColor="text1"/>
        </w:rPr>
        <w:t>24</w:t>
      </w:r>
      <w:r w:rsidRPr="0066241B">
        <w:rPr>
          <w:rFonts w:ascii="Book Antiqua" w:eastAsia="Book Antiqua" w:hAnsi="Book Antiqua" w:cs="Book Antiqua"/>
          <w:color w:val="000000" w:themeColor="text1"/>
        </w:rPr>
        <w:t>: 823-831 [PMID: 28295923 DOI: 10.1111/jvh.12706]</w:t>
      </w:r>
    </w:p>
    <w:p w14:paraId="2F4288ED"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11 </w:t>
      </w:r>
      <w:r w:rsidRPr="0066241B">
        <w:rPr>
          <w:rFonts w:ascii="Book Antiqua" w:eastAsia="Book Antiqua" w:hAnsi="Book Antiqua" w:cs="Book Antiqua"/>
          <w:b/>
          <w:color w:val="000000" w:themeColor="text1"/>
        </w:rPr>
        <w:t>Carrat F</w:t>
      </w:r>
      <w:r w:rsidRPr="0066241B">
        <w:rPr>
          <w:rFonts w:ascii="Book Antiqua" w:eastAsia="Book Antiqua" w:hAnsi="Book Antiqua" w:cs="Book Antiqua"/>
          <w:color w:val="000000" w:themeColor="text1"/>
        </w:rPr>
        <w:t xml:space="preserve">, Fontaine H, Dorival C, Simony M, Diallo A, Hezode C, De Ledinghen V, Larrey D, Haour G, Bronowicki JP, Zoulim F, Asselah T, Marcellin P, Thabut D, Leroy V, Tran A, Habersetzer F, Samuel D, Guyader D, Chazouilleres O, Mathurin P, Metivier S, Alric L, Riachi G, Gournay J, Abergel A, Cales P, Ganne N, Loustaud-Ratti V, D'Alteroche L, Causse X, Geist C, Minello A, Rosa I, Gelu-Simeon M, Portal I, Raffi F, Bourliere M, Pol S; French ANRS CO22 Hepather cohort. Clinical outcomes in patients with chronic hepatitis C after direct-acting antiviral treatment: a prospective cohort study. </w:t>
      </w:r>
      <w:r w:rsidRPr="0066241B">
        <w:rPr>
          <w:rFonts w:ascii="Book Antiqua" w:eastAsia="Book Antiqua" w:hAnsi="Book Antiqua" w:cs="Book Antiqua"/>
          <w:i/>
          <w:color w:val="000000" w:themeColor="text1"/>
        </w:rPr>
        <w:t>Lancet</w:t>
      </w:r>
      <w:r w:rsidRPr="0066241B">
        <w:rPr>
          <w:rFonts w:ascii="Book Antiqua" w:eastAsia="Book Antiqua" w:hAnsi="Book Antiqua" w:cs="Book Antiqua"/>
          <w:color w:val="000000" w:themeColor="text1"/>
        </w:rPr>
        <w:t xml:space="preserve"> 2019; </w:t>
      </w:r>
      <w:r w:rsidRPr="0066241B">
        <w:rPr>
          <w:rFonts w:ascii="Book Antiqua" w:eastAsia="Book Antiqua" w:hAnsi="Book Antiqua" w:cs="Book Antiqua"/>
          <w:b/>
          <w:color w:val="000000" w:themeColor="text1"/>
        </w:rPr>
        <w:t>393</w:t>
      </w:r>
      <w:r w:rsidRPr="0066241B">
        <w:rPr>
          <w:rFonts w:ascii="Book Antiqua" w:eastAsia="Book Antiqua" w:hAnsi="Book Antiqua" w:cs="Book Antiqua"/>
          <w:color w:val="000000" w:themeColor="text1"/>
        </w:rPr>
        <w:t>: 1453-1464 [PMID: 30765123 DOI: 10.1016/S0140-6736(18)32111-1]</w:t>
      </w:r>
    </w:p>
    <w:p w14:paraId="268BBC93"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12 </w:t>
      </w:r>
      <w:r w:rsidRPr="0066241B">
        <w:rPr>
          <w:rFonts w:ascii="Book Antiqua" w:eastAsia="Book Antiqua" w:hAnsi="Book Antiqua" w:cs="Book Antiqua"/>
          <w:b/>
          <w:color w:val="000000" w:themeColor="text1"/>
        </w:rPr>
        <w:t>Nahon P</w:t>
      </w:r>
      <w:r w:rsidRPr="0066241B">
        <w:rPr>
          <w:rFonts w:ascii="Book Antiqua" w:eastAsia="Book Antiqua" w:hAnsi="Book Antiqua" w:cs="Book Antiqua"/>
          <w:color w:val="000000" w:themeColor="text1"/>
        </w:rPr>
        <w:t xml:space="preserve">, Layese R, Bourcier V, Cagnot C, Marcellin P, Guyader D, Pol S, Larrey D, De Lédinghen V, Ouzan D, Zoulim F, Roulot D, Tran A, Bronowicki JP, Zarski JP, Riachi G, Calès P, Péron JM, Alric L, Bourlière M, Mathurin P, Blanc JF, Abergel A, Serfaty L, Mallat A, Grangé JD, Attali P, Bacq Y, Wartelle C, Dao T, Thabut D, Pilette C, Silvain C, Christidis C, Nguyen-Khac E, Bernard-Chabert B, Zucman D, Di Martino V, Sutton A, Roudot-Thoraval F, Audureau E; ANRS CO12 CirVir Group. Incidence of Hepatocellular Carcinoma After Direct Antiviral Therapy for HCV in Patients </w:t>
      </w:r>
      <w:proofErr w:type="gramStart"/>
      <w:r w:rsidRPr="0066241B">
        <w:rPr>
          <w:rFonts w:ascii="Book Antiqua" w:eastAsia="Book Antiqua" w:hAnsi="Book Antiqua" w:cs="Book Antiqua"/>
          <w:color w:val="000000" w:themeColor="text1"/>
        </w:rPr>
        <w:t>With</w:t>
      </w:r>
      <w:proofErr w:type="gramEnd"/>
      <w:r w:rsidRPr="0066241B">
        <w:rPr>
          <w:rFonts w:ascii="Book Antiqua" w:eastAsia="Book Antiqua" w:hAnsi="Book Antiqua" w:cs="Book Antiqua"/>
          <w:color w:val="000000" w:themeColor="text1"/>
        </w:rPr>
        <w:t xml:space="preserve"> Cirrhosis Included in Surveillance Programs. </w:t>
      </w:r>
      <w:r w:rsidRPr="0066241B">
        <w:rPr>
          <w:rFonts w:ascii="Book Antiqua" w:eastAsia="Book Antiqua" w:hAnsi="Book Antiqua" w:cs="Book Antiqua"/>
          <w:i/>
          <w:color w:val="000000" w:themeColor="text1"/>
        </w:rPr>
        <w:t>Gastroenterology</w:t>
      </w:r>
      <w:r w:rsidRPr="0066241B">
        <w:rPr>
          <w:rFonts w:ascii="Book Antiqua" w:eastAsia="Book Antiqua" w:hAnsi="Book Antiqua" w:cs="Book Antiqua"/>
          <w:color w:val="000000" w:themeColor="text1"/>
        </w:rPr>
        <w:t xml:space="preserve"> 2018; </w:t>
      </w:r>
      <w:r w:rsidRPr="0066241B">
        <w:rPr>
          <w:rFonts w:ascii="Book Antiqua" w:eastAsia="Book Antiqua" w:hAnsi="Book Antiqua" w:cs="Book Antiqua"/>
          <w:b/>
          <w:color w:val="000000" w:themeColor="text1"/>
        </w:rPr>
        <w:t>155</w:t>
      </w:r>
      <w:r w:rsidRPr="0066241B">
        <w:rPr>
          <w:rFonts w:ascii="Book Antiqua" w:eastAsia="Book Antiqua" w:hAnsi="Book Antiqua" w:cs="Book Antiqua"/>
          <w:color w:val="000000" w:themeColor="text1"/>
        </w:rPr>
        <w:t>: 1436-1450.e6 [PMID: 30031138 DOI: 10.1053/j.gastro.2018.07.015]</w:t>
      </w:r>
    </w:p>
    <w:p w14:paraId="59CE1586"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13 </w:t>
      </w:r>
      <w:r w:rsidRPr="0066241B">
        <w:rPr>
          <w:rFonts w:ascii="Book Antiqua" w:eastAsia="Book Antiqua" w:hAnsi="Book Antiqua" w:cs="Book Antiqua"/>
          <w:b/>
          <w:color w:val="000000" w:themeColor="text1"/>
        </w:rPr>
        <w:t>Sahakyan Y</w:t>
      </w:r>
      <w:r w:rsidRPr="0066241B">
        <w:rPr>
          <w:rFonts w:ascii="Book Antiqua" w:eastAsia="Book Antiqua" w:hAnsi="Book Antiqua" w:cs="Book Antiqua"/>
          <w:color w:val="000000" w:themeColor="text1"/>
        </w:rPr>
        <w:t xml:space="preserve">, Lee-Kim V, Bremner KE, Bielecki JM, Krahn MD. Impact of direct-acting antiviral regimens on mortality and morbidity outcomes in patients with chronic hepatitis c: Systematic review and meta-analysis. </w:t>
      </w:r>
      <w:r w:rsidRPr="0066241B">
        <w:rPr>
          <w:rFonts w:ascii="Book Antiqua" w:eastAsia="Book Antiqua" w:hAnsi="Book Antiqua" w:cs="Book Antiqua"/>
          <w:i/>
          <w:color w:val="000000" w:themeColor="text1"/>
        </w:rPr>
        <w:t>J Viral Hepat</w:t>
      </w:r>
      <w:r w:rsidRPr="0066241B">
        <w:rPr>
          <w:rFonts w:ascii="Book Antiqua" w:eastAsia="Book Antiqua" w:hAnsi="Book Antiqua" w:cs="Book Antiqua"/>
          <w:color w:val="000000" w:themeColor="text1"/>
        </w:rPr>
        <w:t xml:space="preserve"> 2021; </w:t>
      </w:r>
      <w:r w:rsidRPr="0066241B">
        <w:rPr>
          <w:rFonts w:ascii="Book Antiqua" w:eastAsia="Book Antiqua" w:hAnsi="Book Antiqua" w:cs="Book Antiqua"/>
          <w:b/>
          <w:color w:val="000000" w:themeColor="text1"/>
        </w:rPr>
        <w:t>28</w:t>
      </w:r>
      <w:r w:rsidRPr="0066241B">
        <w:rPr>
          <w:rFonts w:ascii="Book Antiqua" w:eastAsia="Book Antiqua" w:hAnsi="Book Antiqua" w:cs="Book Antiqua"/>
          <w:color w:val="000000" w:themeColor="text1"/>
        </w:rPr>
        <w:t>: 739-754 [PMID: 33556225 DOI: 10.1111/jvh.13482]</w:t>
      </w:r>
    </w:p>
    <w:p w14:paraId="521CAE20"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lastRenderedPageBreak/>
        <w:t xml:space="preserve">14 </w:t>
      </w:r>
      <w:r w:rsidRPr="0066241B">
        <w:rPr>
          <w:rFonts w:ascii="Book Antiqua" w:eastAsia="Book Antiqua" w:hAnsi="Book Antiqua" w:cs="Book Antiqua"/>
          <w:b/>
          <w:color w:val="000000" w:themeColor="text1"/>
        </w:rPr>
        <w:t>Vallet-Pichard A</w:t>
      </w:r>
      <w:r w:rsidRPr="0066241B">
        <w:rPr>
          <w:rFonts w:ascii="Book Antiqua" w:eastAsia="Book Antiqua" w:hAnsi="Book Antiqua" w:cs="Book Antiqua"/>
          <w:color w:val="000000" w:themeColor="text1"/>
        </w:rPr>
        <w:t xml:space="preserve">, Mallet V, Nalpas B, Verkarre V, Nalpas A, Dhalluin-Venier V, Fontaine H, Pol S. FIB-4: an inexpensive and accurate marker of fibrosis in HCV infection. comparison with liver biopsy and fibrotest. </w:t>
      </w:r>
      <w:r w:rsidRPr="0066241B">
        <w:rPr>
          <w:rFonts w:ascii="Book Antiqua" w:eastAsia="Book Antiqua" w:hAnsi="Book Antiqua" w:cs="Book Antiqua"/>
          <w:i/>
          <w:color w:val="000000" w:themeColor="text1"/>
        </w:rPr>
        <w:t>Hepatology</w:t>
      </w:r>
      <w:r w:rsidRPr="0066241B">
        <w:rPr>
          <w:rFonts w:ascii="Book Antiqua" w:eastAsia="Book Antiqua" w:hAnsi="Book Antiqua" w:cs="Book Antiqua"/>
          <w:color w:val="000000" w:themeColor="text1"/>
        </w:rPr>
        <w:t xml:space="preserve"> 2007; </w:t>
      </w:r>
      <w:r w:rsidRPr="0066241B">
        <w:rPr>
          <w:rFonts w:ascii="Book Antiqua" w:eastAsia="Book Antiqua" w:hAnsi="Book Antiqua" w:cs="Book Antiqua"/>
          <w:b/>
          <w:color w:val="000000" w:themeColor="text1"/>
        </w:rPr>
        <w:t>46</w:t>
      </w:r>
      <w:r w:rsidRPr="0066241B">
        <w:rPr>
          <w:rFonts w:ascii="Book Antiqua" w:eastAsia="Book Antiqua" w:hAnsi="Book Antiqua" w:cs="Book Antiqua"/>
          <w:color w:val="000000" w:themeColor="text1"/>
        </w:rPr>
        <w:t>: 32-36 [PMID: 17567829 DOI: 10.1002/hep.21669]</w:t>
      </w:r>
    </w:p>
    <w:p w14:paraId="3150EE1F"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15 </w:t>
      </w:r>
      <w:r w:rsidRPr="0066241B">
        <w:rPr>
          <w:rFonts w:ascii="Book Antiqua" w:eastAsia="Book Antiqua" w:hAnsi="Book Antiqua" w:cs="Book Antiqua"/>
          <w:b/>
          <w:color w:val="000000" w:themeColor="text1"/>
        </w:rPr>
        <w:t>Loaeza-del-Castillo A</w:t>
      </w:r>
      <w:r w:rsidRPr="0066241B">
        <w:rPr>
          <w:rFonts w:ascii="Book Antiqua" w:eastAsia="Book Antiqua" w:hAnsi="Book Antiqua" w:cs="Book Antiqua"/>
          <w:color w:val="000000" w:themeColor="text1"/>
        </w:rPr>
        <w:t xml:space="preserve">, Paz-Pineda F, Oviedo-Cárdenas E, Sánchez-Avila F, Vargas-Vorácková F. AST to platelet ratio index (APRI) for the noninvasive evaluation of liver fibrosis. </w:t>
      </w:r>
      <w:r w:rsidRPr="0066241B">
        <w:rPr>
          <w:rFonts w:ascii="Book Antiqua" w:eastAsia="Book Antiqua" w:hAnsi="Book Antiqua" w:cs="Book Antiqua"/>
          <w:i/>
          <w:color w:val="000000" w:themeColor="text1"/>
        </w:rPr>
        <w:t>Ann Hepatol</w:t>
      </w:r>
      <w:r w:rsidRPr="0066241B">
        <w:rPr>
          <w:rFonts w:ascii="Book Antiqua" w:eastAsia="Book Antiqua" w:hAnsi="Book Antiqua" w:cs="Book Antiqua"/>
          <w:color w:val="000000" w:themeColor="text1"/>
        </w:rPr>
        <w:t xml:space="preserve"> 2008; </w:t>
      </w:r>
      <w:r w:rsidRPr="0066241B">
        <w:rPr>
          <w:rFonts w:ascii="Book Antiqua" w:eastAsia="Book Antiqua" w:hAnsi="Book Antiqua" w:cs="Book Antiqua"/>
          <w:b/>
          <w:color w:val="000000" w:themeColor="text1"/>
        </w:rPr>
        <w:t>7</w:t>
      </w:r>
      <w:r w:rsidRPr="0066241B">
        <w:rPr>
          <w:rFonts w:ascii="Book Antiqua" w:eastAsia="Book Antiqua" w:hAnsi="Book Antiqua" w:cs="Book Antiqua"/>
          <w:color w:val="000000" w:themeColor="text1"/>
        </w:rPr>
        <w:t>: 350-357 [PMID: 19034235 DOI: 10.1152/ajpgi.90287.2008</w:t>
      </w:r>
      <w:r w:rsidRPr="0066241B">
        <w:rPr>
          <w:rFonts w:ascii="Book Antiqua" w:eastAsia="Book Antiqua" w:hAnsi="Book Antiqua" w:cs="Book Antiqua"/>
          <w:color w:val="000000" w:themeColor="text1"/>
          <w:lang w:eastAsia="zh-CN"/>
        </w:rPr>
        <w:t>]</w:t>
      </w:r>
    </w:p>
    <w:p w14:paraId="08CBF5B4"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16 </w:t>
      </w:r>
      <w:r w:rsidRPr="0066241B">
        <w:rPr>
          <w:rFonts w:ascii="Book Antiqua" w:eastAsia="Book Antiqua" w:hAnsi="Book Antiqua" w:cs="Book Antiqua"/>
          <w:b/>
          <w:color w:val="000000" w:themeColor="text1"/>
        </w:rPr>
        <w:t>Johnson PJ</w:t>
      </w:r>
      <w:r w:rsidRPr="0066241B">
        <w:rPr>
          <w:rFonts w:ascii="Book Antiqua" w:eastAsia="Book Antiqua" w:hAnsi="Book Antiqua" w:cs="Book Antiqua"/>
          <w:color w:val="000000" w:themeColor="text1"/>
        </w:rPr>
        <w:t xml:space="preserve">, Berhane S, Kagebayashi C, Satomura S, Teng M, Reeves HL, O'Beirne J, Fox R, Skowronska A, Palmer D, Yeo W, Mo F, Lai P, Iñarrairaegui M, Chan SL, Sangro B, Miksad R, Tada T, Kumada T, Toyoda H. Assessment of liver function in patients with hepatocellular carcinoma: a new evidence-based approach-the ALBI grade. </w:t>
      </w:r>
      <w:r w:rsidRPr="0066241B">
        <w:rPr>
          <w:rFonts w:ascii="Book Antiqua" w:eastAsia="Book Antiqua" w:hAnsi="Book Antiqua" w:cs="Book Antiqua"/>
          <w:i/>
          <w:color w:val="000000" w:themeColor="text1"/>
        </w:rPr>
        <w:t>J Clin Oncol</w:t>
      </w:r>
      <w:r w:rsidRPr="0066241B">
        <w:rPr>
          <w:rFonts w:ascii="Book Antiqua" w:eastAsia="Book Antiqua" w:hAnsi="Book Antiqua" w:cs="Book Antiqua"/>
          <w:color w:val="000000" w:themeColor="text1"/>
        </w:rPr>
        <w:t xml:space="preserve"> 2015; </w:t>
      </w:r>
      <w:r w:rsidRPr="0066241B">
        <w:rPr>
          <w:rFonts w:ascii="Book Antiqua" w:eastAsia="Book Antiqua" w:hAnsi="Book Antiqua" w:cs="Book Antiqua"/>
          <w:b/>
          <w:color w:val="000000" w:themeColor="text1"/>
        </w:rPr>
        <w:t>33</w:t>
      </w:r>
      <w:r w:rsidRPr="0066241B">
        <w:rPr>
          <w:rFonts w:ascii="Book Antiqua" w:eastAsia="Book Antiqua" w:hAnsi="Book Antiqua" w:cs="Book Antiqua"/>
          <w:color w:val="000000" w:themeColor="text1"/>
        </w:rPr>
        <w:t>: 550-558 [PMID: 25512453 DOI: 10.1200/JCO.2014.57.9151]</w:t>
      </w:r>
    </w:p>
    <w:p w14:paraId="139DB716"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17 </w:t>
      </w:r>
      <w:r w:rsidRPr="0066241B">
        <w:rPr>
          <w:rFonts w:ascii="Book Antiqua" w:eastAsia="Book Antiqua" w:hAnsi="Book Antiqua" w:cs="Book Antiqua"/>
          <w:b/>
          <w:color w:val="000000" w:themeColor="text1"/>
        </w:rPr>
        <w:t>Korean Liver Cancer Association.</w:t>
      </w:r>
      <w:r w:rsidRPr="0066241B">
        <w:rPr>
          <w:rFonts w:ascii="Book Antiqua" w:eastAsia="Book Antiqua" w:hAnsi="Book Antiqua" w:cs="Book Antiqua"/>
          <w:color w:val="000000" w:themeColor="text1"/>
        </w:rPr>
        <w:t xml:space="preserve">; National Cancer Center. 2018 Korean Liver Cancer Association-National Cancer Center Korea Practice Guidelines for the Management of Hepatocellular Carcinoma. </w:t>
      </w:r>
      <w:r w:rsidRPr="0066241B">
        <w:rPr>
          <w:rFonts w:ascii="Book Antiqua" w:eastAsia="Book Antiqua" w:hAnsi="Book Antiqua" w:cs="Book Antiqua"/>
          <w:i/>
          <w:color w:val="000000" w:themeColor="text1"/>
        </w:rPr>
        <w:t>Gut Liver</w:t>
      </w:r>
      <w:r w:rsidRPr="0066241B">
        <w:rPr>
          <w:rFonts w:ascii="Book Antiqua" w:eastAsia="Book Antiqua" w:hAnsi="Book Antiqua" w:cs="Book Antiqua"/>
          <w:color w:val="000000" w:themeColor="text1"/>
        </w:rPr>
        <w:t xml:space="preserve"> 2019; </w:t>
      </w:r>
      <w:r w:rsidRPr="0066241B">
        <w:rPr>
          <w:rFonts w:ascii="Book Antiqua" w:eastAsia="Book Antiqua" w:hAnsi="Book Antiqua" w:cs="Book Antiqua"/>
          <w:b/>
          <w:color w:val="000000" w:themeColor="text1"/>
        </w:rPr>
        <w:t>13</w:t>
      </w:r>
      <w:r w:rsidRPr="0066241B">
        <w:rPr>
          <w:rFonts w:ascii="Book Antiqua" w:eastAsia="Book Antiqua" w:hAnsi="Book Antiqua" w:cs="Book Antiqua"/>
          <w:color w:val="000000" w:themeColor="text1"/>
        </w:rPr>
        <w:t>: 227-299 [PMID: 31060120 DOI: 10.5009/gnl19024]</w:t>
      </w:r>
    </w:p>
    <w:p w14:paraId="24857F6A"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18 </w:t>
      </w:r>
      <w:r w:rsidRPr="0066241B">
        <w:rPr>
          <w:rFonts w:ascii="Book Antiqua" w:eastAsia="Book Antiqua" w:hAnsi="Book Antiqua" w:cs="Book Antiqua"/>
          <w:b/>
          <w:color w:val="000000" w:themeColor="text1"/>
        </w:rPr>
        <w:t>Garcia-Tsao G</w:t>
      </w:r>
      <w:r w:rsidRPr="0066241B">
        <w:rPr>
          <w:rFonts w:ascii="Book Antiqua" w:eastAsia="Book Antiqua" w:hAnsi="Book Antiqua" w:cs="Book Antiqua"/>
          <w:color w:val="000000" w:themeColor="text1"/>
        </w:rPr>
        <w:t xml:space="preserve">, Friedman S, Iredale J, Pinzani M. Now there are many (stages) where before there was one: In search of a pathophysiological classification of cirrhosis. </w:t>
      </w:r>
      <w:r w:rsidRPr="0066241B">
        <w:rPr>
          <w:rFonts w:ascii="Book Antiqua" w:eastAsia="Book Antiqua" w:hAnsi="Book Antiqua" w:cs="Book Antiqua"/>
          <w:i/>
          <w:color w:val="000000" w:themeColor="text1"/>
        </w:rPr>
        <w:t>Hepatology</w:t>
      </w:r>
      <w:r w:rsidRPr="0066241B">
        <w:rPr>
          <w:rFonts w:ascii="Book Antiqua" w:eastAsia="Book Antiqua" w:hAnsi="Book Antiqua" w:cs="Book Antiqua"/>
          <w:color w:val="000000" w:themeColor="text1"/>
        </w:rPr>
        <w:t xml:space="preserve"> 2010; </w:t>
      </w:r>
      <w:r w:rsidRPr="0066241B">
        <w:rPr>
          <w:rFonts w:ascii="Book Antiqua" w:eastAsia="Book Antiqua" w:hAnsi="Book Antiqua" w:cs="Book Antiqua"/>
          <w:b/>
          <w:color w:val="000000" w:themeColor="text1"/>
        </w:rPr>
        <w:t>51</w:t>
      </w:r>
      <w:r w:rsidRPr="0066241B">
        <w:rPr>
          <w:rFonts w:ascii="Book Antiqua" w:eastAsia="Book Antiqua" w:hAnsi="Book Antiqua" w:cs="Book Antiqua"/>
          <w:color w:val="000000" w:themeColor="text1"/>
        </w:rPr>
        <w:t>: 1445-1449 [PMID: 20077563 DOI: 10.1002/hep.23478]</w:t>
      </w:r>
    </w:p>
    <w:p w14:paraId="3075D6BB"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19 </w:t>
      </w:r>
      <w:r w:rsidRPr="0066241B">
        <w:rPr>
          <w:rFonts w:ascii="Book Antiqua" w:eastAsia="Book Antiqua" w:hAnsi="Book Antiqua" w:cs="Book Antiqua"/>
          <w:b/>
          <w:color w:val="000000" w:themeColor="text1"/>
        </w:rPr>
        <w:t>Lee J</w:t>
      </w:r>
      <w:r w:rsidRPr="0066241B">
        <w:rPr>
          <w:rFonts w:ascii="Book Antiqua" w:eastAsia="Book Antiqua" w:hAnsi="Book Antiqua" w:cs="Book Antiqua"/>
          <w:color w:val="000000" w:themeColor="text1"/>
        </w:rPr>
        <w:t xml:space="preserve">, Lee JS, Park SH, Shin SA, Kim K. Cohort Profile: The National Health Insurance Service-National Sample Cohort (NHIS-NSC), South Korea. </w:t>
      </w:r>
      <w:r w:rsidRPr="0066241B">
        <w:rPr>
          <w:rFonts w:ascii="Book Antiqua" w:eastAsia="Book Antiqua" w:hAnsi="Book Antiqua" w:cs="Book Antiqua"/>
          <w:i/>
          <w:color w:val="000000" w:themeColor="text1"/>
        </w:rPr>
        <w:t>Int J Epidemiol</w:t>
      </w:r>
      <w:r w:rsidRPr="0066241B">
        <w:rPr>
          <w:rFonts w:ascii="Book Antiqua" w:eastAsia="Book Antiqua" w:hAnsi="Book Antiqua" w:cs="Book Antiqua"/>
          <w:color w:val="000000" w:themeColor="text1"/>
        </w:rPr>
        <w:t xml:space="preserve"> 2017; </w:t>
      </w:r>
      <w:r w:rsidRPr="0066241B">
        <w:rPr>
          <w:rFonts w:ascii="Book Antiqua" w:eastAsia="Book Antiqua" w:hAnsi="Book Antiqua" w:cs="Book Antiqua"/>
          <w:b/>
          <w:color w:val="000000" w:themeColor="text1"/>
        </w:rPr>
        <w:t>46</w:t>
      </w:r>
      <w:r w:rsidRPr="0066241B">
        <w:rPr>
          <w:rFonts w:ascii="Book Antiqua" w:eastAsia="Book Antiqua" w:hAnsi="Book Antiqua" w:cs="Book Antiqua"/>
          <w:color w:val="000000" w:themeColor="text1"/>
        </w:rPr>
        <w:t>: e15 [PMID: 26822938 DOI: 10.1093/ije/dyv319]</w:t>
      </w:r>
    </w:p>
    <w:p w14:paraId="33BB99E1"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20 </w:t>
      </w:r>
      <w:r w:rsidRPr="0066241B">
        <w:rPr>
          <w:rFonts w:ascii="Book Antiqua" w:eastAsia="Book Antiqua" w:hAnsi="Book Antiqua" w:cs="Book Antiqua"/>
          <w:b/>
          <w:color w:val="000000" w:themeColor="text1"/>
        </w:rPr>
        <w:t>Chaudhari R</w:t>
      </w:r>
      <w:r w:rsidRPr="0066241B">
        <w:rPr>
          <w:rFonts w:ascii="Book Antiqua" w:eastAsia="Book Antiqua" w:hAnsi="Book Antiqua" w:cs="Book Antiqua"/>
          <w:color w:val="000000" w:themeColor="text1"/>
        </w:rPr>
        <w:t xml:space="preserve">, Fouda S, Sainu A, Pappachan JM. Metabolic complications of hepatitis C virus infection. </w:t>
      </w:r>
      <w:r w:rsidRPr="0066241B">
        <w:rPr>
          <w:rFonts w:ascii="Book Antiqua" w:eastAsia="Book Antiqua" w:hAnsi="Book Antiqua" w:cs="Book Antiqua"/>
          <w:i/>
          <w:color w:val="000000" w:themeColor="text1"/>
        </w:rPr>
        <w:t>World J Gastroenterol</w:t>
      </w:r>
      <w:r w:rsidRPr="0066241B">
        <w:rPr>
          <w:rFonts w:ascii="Book Antiqua" w:eastAsia="Book Antiqua" w:hAnsi="Book Antiqua" w:cs="Book Antiqua"/>
          <w:color w:val="000000" w:themeColor="text1"/>
        </w:rPr>
        <w:t xml:space="preserve"> 2021; </w:t>
      </w:r>
      <w:r w:rsidRPr="0066241B">
        <w:rPr>
          <w:rFonts w:ascii="Book Antiqua" w:eastAsia="Book Antiqua" w:hAnsi="Book Antiqua" w:cs="Book Antiqua"/>
          <w:b/>
          <w:color w:val="000000" w:themeColor="text1"/>
        </w:rPr>
        <w:t>27</w:t>
      </w:r>
      <w:r w:rsidRPr="0066241B">
        <w:rPr>
          <w:rFonts w:ascii="Book Antiqua" w:eastAsia="Book Antiqua" w:hAnsi="Book Antiqua" w:cs="Book Antiqua"/>
          <w:color w:val="000000" w:themeColor="text1"/>
        </w:rPr>
        <w:t>: 1267-1282 [PMID: 33833481 DOI: 10.3748/wjg.v27.i13.1267]</w:t>
      </w:r>
    </w:p>
    <w:p w14:paraId="3F0B0D54"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21 </w:t>
      </w:r>
      <w:r w:rsidRPr="0066241B">
        <w:rPr>
          <w:rFonts w:ascii="Book Antiqua" w:eastAsia="Book Antiqua" w:hAnsi="Book Antiqua" w:cs="Book Antiqua"/>
          <w:b/>
          <w:color w:val="000000" w:themeColor="text1"/>
        </w:rPr>
        <w:t>Mahale P</w:t>
      </w:r>
      <w:r w:rsidRPr="0066241B">
        <w:rPr>
          <w:rFonts w:ascii="Book Antiqua" w:eastAsia="Book Antiqua" w:hAnsi="Book Antiqua" w:cs="Book Antiqua"/>
          <w:color w:val="000000" w:themeColor="text1"/>
        </w:rPr>
        <w:t xml:space="preserve">, Torres HA, Kramer JR, Hwang LY, Li R, Brown EL, Engels EA. Hepatitis C virus infection and the risk of cancer among elderly US adults: A registry-based case-control study. </w:t>
      </w:r>
      <w:r w:rsidRPr="0066241B">
        <w:rPr>
          <w:rFonts w:ascii="Book Antiqua" w:eastAsia="Book Antiqua" w:hAnsi="Book Antiqua" w:cs="Book Antiqua"/>
          <w:i/>
          <w:color w:val="000000" w:themeColor="text1"/>
        </w:rPr>
        <w:t>Cancer</w:t>
      </w:r>
      <w:r w:rsidRPr="0066241B">
        <w:rPr>
          <w:rFonts w:ascii="Book Antiqua" w:eastAsia="Book Antiqua" w:hAnsi="Book Antiqua" w:cs="Book Antiqua"/>
          <w:color w:val="000000" w:themeColor="text1"/>
        </w:rPr>
        <w:t xml:space="preserve"> 2017; </w:t>
      </w:r>
      <w:r w:rsidRPr="0066241B">
        <w:rPr>
          <w:rFonts w:ascii="Book Antiqua" w:eastAsia="Book Antiqua" w:hAnsi="Book Antiqua" w:cs="Book Antiqua"/>
          <w:b/>
          <w:color w:val="000000" w:themeColor="text1"/>
        </w:rPr>
        <w:t>123</w:t>
      </w:r>
      <w:r w:rsidRPr="0066241B">
        <w:rPr>
          <w:rFonts w:ascii="Book Antiqua" w:eastAsia="Book Antiqua" w:hAnsi="Book Antiqua" w:cs="Book Antiqua"/>
          <w:color w:val="000000" w:themeColor="text1"/>
        </w:rPr>
        <w:t>: 1202-1211 [PMID: 28117886 DOI: 10.1002/cncr.30559]</w:t>
      </w:r>
    </w:p>
    <w:p w14:paraId="260B1906"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lastRenderedPageBreak/>
        <w:t xml:space="preserve">22 </w:t>
      </w:r>
      <w:r w:rsidRPr="0066241B">
        <w:rPr>
          <w:rFonts w:ascii="Book Antiqua" w:eastAsia="Book Antiqua" w:hAnsi="Book Antiqua" w:cs="Book Antiqua"/>
          <w:b/>
          <w:color w:val="000000" w:themeColor="text1"/>
        </w:rPr>
        <w:t>Masarone M</w:t>
      </w:r>
      <w:r w:rsidRPr="0066241B">
        <w:rPr>
          <w:rFonts w:ascii="Book Antiqua" w:eastAsia="Book Antiqua" w:hAnsi="Book Antiqua" w:cs="Book Antiqua"/>
          <w:color w:val="000000" w:themeColor="text1"/>
        </w:rPr>
        <w:t xml:space="preserve">, Persico M. Hepatitis C virus infection and non-hepatocellular malignancies in the DAA era: A systematic review and meta-analysis. </w:t>
      </w:r>
      <w:r w:rsidRPr="0066241B">
        <w:rPr>
          <w:rFonts w:ascii="Book Antiqua" w:eastAsia="Book Antiqua" w:hAnsi="Book Antiqua" w:cs="Book Antiqua"/>
          <w:i/>
          <w:color w:val="000000" w:themeColor="text1"/>
        </w:rPr>
        <w:t>Liver Int</w:t>
      </w:r>
      <w:r w:rsidRPr="0066241B">
        <w:rPr>
          <w:rFonts w:ascii="Book Antiqua" w:eastAsia="Book Antiqua" w:hAnsi="Book Antiqua" w:cs="Book Antiqua"/>
          <w:color w:val="000000" w:themeColor="text1"/>
        </w:rPr>
        <w:t xml:space="preserve"> 2019; </w:t>
      </w:r>
      <w:r w:rsidRPr="0066241B">
        <w:rPr>
          <w:rFonts w:ascii="Book Antiqua" w:eastAsia="Book Antiqua" w:hAnsi="Book Antiqua" w:cs="Book Antiqua"/>
          <w:b/>
          <w:color w:val="000000" w:themeColor="text1"/>
        </w:rPr>
        <w:t>39</w:t>
      </w:r>
      <w:r w:rsidRPr="0066241B">
        <w:rPr>
          <w:rFonts w:ascii="Book Antiqua" w:eastAsia="Book Antiqua" w:hAnsi="Book Antiqua" w:cs="Book Antiqua"/>
          <w:color w:val="000000" w:themeColor="text1"/>
        </w:rPr>
        <w:t>: 1292-1306 [PMID: 30983083 DOI: 10.1111/liv.14119]</w:t>
      </w:r>
    </w:p>
    <w:p w14:paraId="12CBB5ED"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23 </w:t>
      </w:r>
      <w:r w:rsidRPr="0066241B">
        <w:rPr>
          <w:rFonts w:ascii="Book Antiqua" w:eastAsia="Book Antiqua" w:hAnsi="Book Antiqua" w:cs="Book Antiqua"/>
          <w:b/>
          <w:color w:val="000000" w:themeColor="text1"/>
        </w:rPr>
        <w:t>Tada T</w:t>
      </w:r>
      <w:r w:rsidRPr="0066241B">
        <w:rPr>
          <w:rFonts w:ascii="Book Antiqua" w:eastAsia="Book Antiqua" w:hAnsi="Book Antiqua" w:cs="Book Antiqua"/>
          <w:color w:val="000000" w:themeColor="text1"/>
        </w:rPr>
        <w:t xml:space="preserve">, Kumada T, Toyoda H, Kiriyama S, Tanikawa M, Hisanaga Y, Kanamori A, Kitabatake S, Yama T, Tanaka J. Viral eradication reduces all-cause mortality in patients with chronic hepatitis C virus infection: a propensity score analysis. </w:t>
      </w:r>
      <w:r w:rsidRPr="0066241B">
        <w:rPr>
          <w:rFonts w:ascii="Book Antiqua" w:eastAsia="Book Antiqua" w:hAnsi="Book Antiqua" w:cs="Book Antiqua"/>
          <w:i/>
          <w:color w:val="000000" w:themeColor="text1"/>
        </w:rPr>
        <w:t>Liver Int</w:t>
      </w:r>
      <w:r w:rsidRPr="0066241B">
        <w:rPr>
          <w:rFonts w:ascii="Book Antiqua" w:eastAsia="Book Antiqua" w:hAnsi="Book Antiqua" w:cs="Book Antiqua"/>
          <w:color w:val="000000" w:themeColor="text1"/>
        </w:rPr>
        <w:t xml:space="preserve"> 2016; </w:t>
      </w:r>
      <w:r w:rsidRPr="0066241B">
        <w:rPr>
          <w:rFonts w:ascii="Book Antiqua" w:eastAsia="Book Antiqua" w:hAnsi="Book Antiqua" w:cs="Book Antiqua"/>
          <w:b/>
          <w:color w:val="000000" w:themeColor="text1"/>
        </w:rPr>
        <w:t>36</w:t>
      </w:r>
      <w:r w:rsidRPr="0066241B">
        <w:rPr>
          <w:rFonts w:ascii="Book Antiqua" w:eastAsia="Book Antiqua" w:hAnsi="Book Antiqua" w:cs="Book Antiqua"/>
          <w:color w:val="000000" w:themeColor="text1"/>
        </w:rPr>
        <w:t>: 817-826 [PMID: 26787002 DOI: 10.1111/liv.13071]</w:t>
      </w:r>
    </w:p>
    <w:p w14:paraId="2C0F0829"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24 </w:t>
      </w:r>
      <w:r w:rsidRPr="0066241B">
        <w:rPr>
          <w:rFonts w:ascii="Book Antiqua" w:eastAsia="Book Antiqua" w:hAnsi="Book Antiqua" w:cs="Book Antiqua"/>
          <w:b/>
          <w:color w:val="000000" w:themeColor="text1"/>
        </w:rPr>
        <w:t>Flisiak R</w:t>
      </w:r>
      <w:r w:rsidRPr="0066241B">
        <w:rPr>
          <w:rFonts w:ascii="Book Antiqua" w:eastAsia="Book Antiqua" w:hAnsi="Book Antiqua" w:cs="Book Antiqua"/>
          <w:color w:val="000000" w:themeColor="text1"/>
        </w:rPr>
        <w:t xml:space="preserve">, Zarębska-Michaluk D, Janczewska E, Łapiński T, Rogalska M, Karpińska E, Mikuła T, Bolewska B, Białkowska J, Flejscher-Stępniewska K, Tomasiewicz K, Karwowska K, Pazgan-Simon M, Piekarska A, Berak H, Tronina O, Garlicki A, Jaroszewicz J. Five-Year Follow-Up of Cured HCV Patients under Real-World Interferon-Free Therapy. </w:t>
      </w:r>
      <w:r w:rsidRPr="0066241B">
        <w:rPr>
          <w:rFonts w:ascii="Book Antiqua" w:eastAsia="Book Antiqua" w:hAnsi="Book Antiqua" w:cs="Book Antiqua"/>
          <w:i/>
          <w:color w:val="000000" w:themeColor="text1"/>
        </w:rPr>
        <w:t>Cancers (Basel)</w:t>
      </w:r>
      <w:r w:rsidRPr="0066241B">
        <w:rPr>
          <w:rFonts w:ascii="Book Antiqua" w:eastAsia="Book Antiqua" w:hAnsi="Book Antiqua" w:cs="Book Antiqua"/>
          <w:color w:val="000000" w:themeColor="text1"/>
        </w:rPr>
        <w:t xml:space="preserve"> 2021; </w:t>
      </w:r>
      <w:r w:rsidRPr="0066241B">
        <w:rPr>
          <w:rFonts w:ascii="Book Antiqua" w:eastAsia="Book Antiqua" w:hAnsi="Book Antiqua" w:cs="Book Antiqua"/>
          <w:b/>
          <w:color w:val="000000" w:themeColor="text1"/>
        </w:rPr>
        <w:t>13</w:t>
      </w:r>
      <w:r w:rsidRPr="0066241B">
        <w:rPr>
          <w:rFonts w:ascii="Book Antiqua" w:eastAsia="Book Antiqua" w:hAnsi="Book Antiqua" w:cs="Book Antiqua"/>
          <w:color w:val="000000" w:themeColor="text1"/>
        </w:rPr>
        <w:t xml:space="preserve"> [PMID: 34359594 DOI: 10.3390/cancers13153694]</w:t>
      </w:r>
    </w:p>
    <w:p w14:paraId="57B8D62C"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25 </w:t>
      </w:r>
      <w:r w:rsidRPr="0066241B">
        <w:rPr>
          <w:rFonts w:ascii="Book Antiqua" w:eastAsia="Book Antiqua" w:hAnsi="Book Antiqua" w:cs="Book Antiqua"/>
          <w:b/>
          <w:color w:val="000000" w:themeColor="text1"/>
        </w:rPr>
        <w:t>Poordad F</w:t>
      </w:r>
      <w:r w:rsidRPr="0066241B">
        <w:rPr>
          <w:rFonts w:ascii="Book Antiqua" w:eastAsia="Book Antiqua" w:hAnsi="Book Antiqua" w:cs="Book Antiqua"/>
          <w:color w:val="000000" w:themeColor="text1"/>
        </w:rPr>
        <w:t xml:space="preserve">, Castro RE, Asatryan A, Aguilar H, Cacoub P, Dieterich D, Marinho RT, Carvalho A, Siddique A, Hu YB, Charafeddine M, Bondin M, Khan N, Cohen DE, Felizarta F. Long-term </w:t>
      </w:r>
      <w:proofErr w:type="gramStart"/>
      <w:r w:rsidRPr="0066241B">
        <w:rPr>
          <w:rFonts w:ascii="Book Antiqua" w:eastAsia="Book Antiqua" w:hAnsi="Book Antiqua" w:cs="Book Antiqua"/>
          <w:color w:val="000000" w:themeColor="text1"/>
        </w:rPr>
        <w:t>safety</w:t>
      </w:r>
      <w:proofErr w:type="gramEnd"/>
      <w:r w:rsidRPr="0066241B">
        <w:rPr>
          <w:rFonts w:ascii="Book Antiqua" w:eastAsia="Book Antiqua" w:hAnsi="Book Antiqua" w:cs="Book Antiqua"/>
          <w:color w:val="000000" w:themeColor="text1"/>
        </w:rPr>
        <w:t xml:space="preserve"> and efficacy results in hepatitis C virus genotype 1-infected patients receiving ombitasvir/paritaprevir/ritonavir + dasabuvir ± ribavirin in the TOPAZ-I and TOPAZ-II trials. </w:t>
      </w:r>
      <w:r w:rsidRPr="0066241B">
        <w:rPr>
          <w:rFonts w:ascii="Book Antiqua" w:eastAsia="Book Antiqua" w:hAnsi="Book Antiqua" w:cs="Book Antiqua"/>
          <w:i/>
          <w:color w:val="000000" w:themeColor="text1"/>
        </w:rPr>
        <w:t>J Viral Hepat</w:t>
      </w:r>
      <w:r w:rsidRPr="0066241B">
        <w:rPr>
          <w:rFonts w:ascii="Book Antiqua" w:eastAsia="Book Antiqua" w:hAnsi="Book Antiqua" w:cs="Book Antiqua"/>
          <w:color w:val="000000" w:themeColor="text1"/>
        </w:rPr>
        <w:t xml:space="preserve"> 2020; </w:t>
      </w:r>
      <w:r w:rsidRPr="0066241B">
        <w:rPr>
          <w:rFonts w:ascii="Book Antiqua" w:eastAsia="Book Antiqua" w:hAnsi="Book Antiqua" w:cs="Book Antiqua"/>
          <w:b/>
          <w:color w:val="000000" w:themeColor="text1"/>
        </w:rPr>
        <w:t>27</w:t>
      </w:r>
      <w:r w:rsidRPr="0066241B">
        <w:rPr>
          <w:rFonts w:ascii="Book Antiqua" w:eastAsia="Book Antiqua" w:hAnsi="Book Antiqua" w:cs="Book Antiqua"/>
          <w:color w:val="000000" w:themeColor="text1"/>
        </w:rPr>
        <w:t>: 497-504 [PMID: 31954087 DOI: 10.1111/jvh.13261]</w:t>
      </w:r>
    </w:p>
    <w:p w14:paraId="68FD488C"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26 </w:t>
      </w:r>
      <w:r w:rsidRPr="0066241B">
        <w:rPr>
          <w:rFonts w:ascii="Book Antiqua" w:eastAsia="Book Antiqua" w:hAnsi="Book Antiqua" w:cs="Book Antiqua"/>
          <w:b/>
          <w:color w:val="000000" w:themeColor="text1"/>
        </w:rPr>
        <w:t>Krassenburg LAP</w:t>
      </w:r>
      <w:r w:rsidRPr="0066241B">
        <w:rPr>
          <w:rFonts w:ascii="Book Antiqua" w:eastAsia="Book Antiqua" w:hAnsi="Book Antiqua" w:cs="Book Antiqua"/>
          <w:color w:val="000000" w:themeColor="text1"/>
        </w:rPr>
        <w:t xml:space="preserve">, Maan R, Ramji A, Manns MP, Cornberg M, Wedemeyer H, de Knegt RJ, Hansen BE, Janssen HLA, de Man RA, Feld JJ, van der Meer AJ. Clinical outcomes following DAA therapy in patients with HCV-related cirrhosis depend on disease severity. </w:t>
      </w:r>
      <w:r w:rsidRPr="0066241B">
        <w:rPr>
          <w:rFonts w:ascii="Book Antiqua" w:eastAsia="Book Antiqua" w:hAnsi="Book Antiqua" w:cs="Book Antiqua"/>
          <w:i/>
          <w:color w:val="000000" w:themeColor="text1"/>
        </w:rPr>
        <w:t>J Hepatol</w:t>
      </w:r>
      <w:r w:rsidRPr="0066241B">
        <w:rPr>
          <w:rFonts w:ascii="Book Antiqua" w:eastAsia="Book Antiqua" w:hAnsi="Book Antiqua" w:cs="Book Antiqua"/>
          <w:color w:val="000000" w:themeColor="text1"/>
        </w:rPr>
        <w:t xml:space="preserve"> 2021; </w:t>
      </w:r>
      <w:r w:rsidRPr="0066241B">
        <w:rPr>
          <w:rFonts w:ascii="Book Antiqua" w:eastAsia="Book Antiqua" w:hAnsi="Book Antiqua" w:cs="Book Antiqua"/>
          <w:b/>
          <w:color w:val="000000" w:themeColor="text1"/>
        </w:rPr>
        <w:t>74</w:t>
      </w:r>
      <w:r w:rsidRPr="0066241B">
        <w:rPr>
          <w:rFonts w:ascii="Book Antiqua" w:eastAsia="Book Antiqua" w:hAnsi="Book Antiqua" w:cs="Book Antiqua"/>
          <w:color w:val="000000" w:themeColor="text1"/>
        </w:rPr>
        <w:t>: 1053-1063 [PMID: 33242501 DOI: 10.1016/j.jhep.2020.11.021]</w:t>
      </w:r>
    </w:p>
    <w:p w14:paraId="57D518A5"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27 </w:t>
      </w:r>
      <w:r w:rsidRPr="0066241B">
        <w:rPr>
          <w:rFonts w:ascii="Book Antiqua" w:eastAsia="Book Antiqua" w:hAnsi="Book Antiqua" w:cs="Book Antiqua"/>
          <w:b/>
          <w:color w:val="000000" w:themeColor="text1"/>
        </w:rPr>
        <w:t>Yoshida H</w:t>
      </w:r>
      <w:r w:rsidRPr="0066241B">
        <w:rPr>
          <w:rFonts w:ascii="Book Antiqua" w:eastAsia="Book Antiqua" w:hAnsi="Book Antiqua" w:cs="Book Antiqua"/>
          <w:color w:val="000000" w:themeColor="text1"/>
        </w:rPr>
        <w:t xml:space="preserve">, Arakawa Y, Sata M, Nishiguchi S, Yano M, Fujiyama S, Yamada G, Yokosuka O, Shiratori Y, Omata M. Interferon therapy prolonged life expectancy among chronic hepatitis C patients. </w:t>
      </w:r>
      <w:r w:rsidRPr="0066241B">
        <w:rPr>
          <w:rFonts w:ascii="Book Antiqua" w:eastAsia="Book Antiqua" w:hAnsi="Book Antiqua" w:cs="Book Antiqua"/>
          <w:i/>
          <w:color w:val="000000" w:themeColor="text1"/>
        </w:rPr>
        <w:t>Gastroenterology</w:t>
      </w:r>
      <w:r w:rsidRPr="0066241B">
        <w:rPr>
          <w:rFonts w:ascii="Book Antiqua" w:eastAsia="Book Antiqua" w:hAnsi="Book Antiqua" w:cs="Book Antiqua"/>
          <w:color w:val="000000" w:themeColor="text1"/>
        </w:rPr>
        <w:t xml:space="preserve"> 2002; </w:t>
      </w:r>
      <w:r w:rsidRPr="0066241B">
        <w:rPr>
          <w:rFonts w:ascii="Book Antiqua" w:eastAsia="Book Antiqua" w:hAnsi="Book Antiqua" w:cs="Book Antiqua"/>
          <w:b/>
          <w:color w:val="000000" w:themeColor="text1"/>
        </w:rPr>
        <w:t>123</w:t>
      </w:r>
      <w:r w:rsidRPr="0066241B">
        <w:rPr>
          <w:rFonts w:ascii="Book Antiqua" w:eastAsia="Book Antiqua" w:hAnsi="Book Antiqua" w:cs="Book Antiqua"/>
          <w:color w:val="000000" w:themeColor="text1"/>
        </w:rPr>
        <w:t>: 483-491 [PMID: 12145802 DOI: 10.1053/gast.2002.34785]</w:t>
      </w:r>
    </w:p>
    <w:p w14:paraId="251F6076"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28 </w:t>
      </w:r>
      <w:r w:rsidRPr="0066241B">
        <w:rPr>
          <w:rFonts w:ascii="Book Antiqua" w:eastAsia="Book Antiqua" w:hAnsi="Book Antiqua" w:cs="Book Antiqua"/>
          <w:b/>
          <w:color w:val="000000" w:themeColor="text1"/>
        </w:rPr>
        <w:t>Butt AA</w:t>
      </w:r>
      <w:r w:rsidRPr="0066241B">
        <w:rPr>
          <w:rFonts w:ascii="Book Antiqua" w:eastAsia="Book Antiqua" w:hAnsi="Book Antiqua" w:cs="Book Antiqua"/>
          <w:color w:val="000000" w:themeColor="text1"/>
        </w:rPr>
        <w:t xml:space="preserve">, Yan P, Simon TG, Abou-Samra AB. Effect of Paritaprevir/Ritonavir/Ombitasvir/Dasabuvir and Ledipasvir/Sofosbuvir Regimens </w:t>
      </w:r>
      <w:r w:rsidRPr="0066241B">
        <w:rPr>
          <w:rFonts w:ascii="Book Antiqua" w:eastAsia="Book Antiqua" w:hAnsi="Book Antiqua" w:cs="Book Antiqua"/>
          <w:color w:val="000000" w:themeColor="text1"/>
        </w:rPr>
        <w:lastRenderedPageBreak/>
        <w:t xml:space="preserve">on Survival Compared </w:t>
      </w:r>
      <w:proofErr w:type="gramStart"/>
      <w:r w:rsidRPr="0066241B">
        <w:rPr>
          <w:rFonts w:ascii="Book Antiqua" w:eastAsia="Book Antiqua" w:hAnsi="Book Antiqua" w:cs="Book Antiqua"/>
          <w:color w:val="000000" w:themeColor="text1"/>
        </w:rPr>
        <w:t>With</w:t>
      </w:r>
      <w:proofErr w:type="gramEnd"/>
      <w:r w:rsidRPr="0066241B">
        <w:rPr>
          <w:rFonts w:ascii="Book Antiqua" w:eastAsia="Book Antiqua" w:hAnsi="Book Antiqua" w:cs="Book Antiqua"/>
          <w:color w:val="000000" w:themeColor="text1"/>
        </w:rPr>
        <w:t xml:space="preserve"> Untreated Hepatitis C Virus-Infected Persons: Results From ERCHIVES. </w:t>
      </w:r>
      <w:r w:rsidRPr="0066241B">
        <w:rPr>
          <w:rFonts w:ascii="Book Antiqua" w:eastAsia="Book Antiqua" w:hAnsi="Book Antiqua" w:cs="Book Antiqua"/>
          <w:i/>
          <w:color w:val="000000" w:themeColor="text1"/>
        </w:rPr>
        <w:t>Clin Infect Dis</w:t>
      </w:r>
      <w:r w:rsidRPr="0066241B">
        <w:rPr>
          <w:rFonts w:ascii="Book Antiqua" w:eastAsia="Book Antiqua" w:hAnsi="Book Antiqua" w:cs="Book Antiqua"/>
          <w:color w:val="000000" w:themeColor="text1"/>
        </w:rPr>
        <w:t xml:space="preserve"> 2017; </w:t>
      </w:r>
      <w:r w:rsidRPr="0066241B">
        <w:rPr>
          <w:rFonts w:ascii="Book Antiqua" w:eastAsia="Book Antiqua" w:hAnsi="Book Antiqua" w:cs="Book Antiqua"/>
          <w:b/>
          <w:color w:val="000000" w:themeColor="text1"/>
        </w:rPr>
        <w:t>65</w:t>
      </w:r>
      <w:r w:rsidRPr="0066241B">
        <w:rPr>
          <w:rFonts w:ascii="Book Antiqua" w:eastAsia="Book Antiqua" w:hAnsi="Book Antiqua" w:cs="Book Antiqua"/>
          <w:color w:val="000000" w:themeColor="text1"/>
        </w:rPr>
        <w:t>: 1006-1011 [PMID: 28903508 DOI: 10.1093/cid/cix364]</w:t>
      </w:r>
    </w:p>
    <w:p w14:paraId="3FC465A2"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29 </w:t>
      </w:r>
      <w:r w:rsidRPr="0066241B">
        <w:rPr>
          <w:rFonts w:ascii="Book Antiqua" w:eastAsia="Book Antiqua" w:hAnsi="Book Antiqua" w:cs="Book Antiqua"/>
          <w:b/>
          <w:color w:val="000000" w:themeColor="text1"/>
        </w:rPr>
        <w:t>Kanwal F</w:t>
      </w:r>
      <w:r w:rsidRPr="0066241B">
        <w:rPr>
          <w:rFonts w:ascii="Book Antiqua" w:eastAsia="Book Antiqua" w:hAnsi="Book Antiqua" w:cs="Book Antiqua"/>
          <w:color w:val="000000" w:themeColor="text1"/>
        </w:rPr>
        <w:t xml:space="preserve">, Kramer J, Asch SM, Chayanupatkul M, Cao Y, El-Serag HB. Risk of Hepatocellular Cancer in HCV Patients Treated </w:t>
      </w:r>
      <w:proofErr w:type="gramStart"/>
      <w:r w:rsidRPr="0066241B">
        <w:rPr>
          <w:rFonts w:ascii="Book Antiqua" w:eastAsia="Book Antiqua" w:hAnsi="Book Antiqua" w:cs="Book Antiqua"/>
          <w:color w:val="000000" w:themeColor="text1"/>
        </w:rPr>
        <w:t>With</w:t>
      </w:r>
      <w:proofErr w:type="gramEnd"/>
      <w:r w:rsidRPr="0066241B">
        <w:rPr>
          <w:rFonts w:ascii="Book Antiqua" w:eastAsia="Book Antiqua" w:hAnsi="Book Antiqua" w:cs="Book Antiqua"/>
          <w:color w:val="000000" w:themeColor="text1"/>
        </w:rPr>
        <w:t xml:space="preserve"> Direct-Acting Antiviral Agents. </w:t>
      </w:r>
      <w:r w:rsidRPr="0066241B">
        <w:rPr>
          <w:rFonts w:ascii="Book Antiqua" w:eastAsia="Book Antiqua" w:hAnsi="Book Antiqua" w:cs="Book Antiqua"/>
          <w:i/>
          <w:color w:val="000000" w:themeColor="text1"/>
        </w:rPr>
        <w:t>Gastroenterology</w:t>
      </w:r>
      <w:r w:rsidRPr="0066241B">
        <w:rPr>
          <w:rFonts w:ascii="Book Antiqua" w:eastAsia="Book Antiqua" w:hAnsi="Book Antiqua" w:cs="Book Antiqua"/>
          <w:color w:val="000000" w:themeColor="text1"/>
        </w:rPr>
        <w:t xml:space="preserve"> 2017; </w:t>
      </w:r>
      <w:r w:rsidRPr="0066241B">
        <w:rPr>
          <w:rFonts w:ascii="Book Antiqua" w:eastAsia="Book Antiqua" w:hAnsi="Book Antiqua" w:cs="Book Antiqua"/>
          <w:b/>
          <w:color w:val="000000" w:themeColor="text1"/>
        </w:rPr>
        <w:t>153</w:t>
      </w:r>
      <w:r w:rsidRPr="0066241B">
        <w:rPr>
          <w:rFonts w:ascii="Book Antiqua" w:eastAsia="Book Antiqua" w:hAnsi="Book Antiqua" w:cs="Book Antiqua"/>
          <w:color w:val="000000" w:themeColor="text1"/>
        </w:rPr>
        <w:t>: 996-1005.e1 [PMID: 28642197 DOI: 10.1053/j.gastro.2017.06.012]</w:t>
      </w:r>
    </w:p>
    <w:p w14:paraId="6C7BDEBA"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30 </w:t>
      </w:r>
      <w:r w:rsidRPr="0066241B">
        <w:rPr>
          <w:rFonts w:ascii="Book Antiqua" w:eastAsia="Book Antiqua" w:hAnsi="Book Antiqua" w:cs="Book Antiqua"/>
          <w:b/>
          <w:color w:val="000000" w:themeColor="text1"/>
        </w:rPr>
        <w:t>Tanaka Y</w:t>
      </w:r>
      <w:r w:rsidRPr="0066241B">
        <w:rPr>
          <w:rFonts w:ascii="Book Antiqua" w:eastAsia="Book Antiqua" w:hAnsi="Book Antiqua" w:cs="Book Antiqua"/>
          <w:color w:val="000000" w:themeColor="text1"/>
        </w:rPr>
        <w:t xml:space="preserve">, Ogawa E, Huang CF, Toyoda H, Jun DW, Tseng CH, Hsu YC, Enomoto M, Takahashi H, Furusyo N, Yeh ML, Iio E, Yasuda S, Lam CP, Lee DH, Haga H, Yoon EL, Ahn SB, Wong G, Nakamuta M, Nomura H, Tsai PC, Jung JH, Song DS, Dang H, Maeda M, Henry L, Cheung R, Yuen MF, Ueno Y, Eguchi Y, Tamori A, Yu ML, Hayashi J, Nguyen MH; REAL-C Investigators. HCC risk post-SVR with DAAs in East Asians: findings from the REAL-C cohort. </w:t>
      </w:r>
      <w:r w:rsidRPr="0066241B">
        <w:rPr>
          <w:rFonts w:ascii="Book Antiqua" w:eastAsia="Book Antiqua" w:hAnsi="Book Antiqua" w:cs="Book Antiqua"/>
          <w:i/>
          <w:color w:val="000000" w:themeColor="text1"/>
        </w:rPr>
        <w:t>Hepatol Int</w:t>
      </w:r>
      <w:r w:rsidRPr="0066241B">
        <w:rPr>
          <w:rFonts w:ascii="Book Antiqua" w:eastAsia="Book Antiqua" w:hAnsi="Book Antiqua" w:cs="Book Antiqua"/>
          <w:color w:val="000000" w:themeColor="text1"/>
        </w:rPr>
        <w:t xml:space="preserve"> 2020; </w:t>
      </w:r>
      <w:r w:rsidRPr="0066241B">
        <w:rPr>
          <w:rFonts w:ascii="Book Antiqua" w:eastAsia="Book Antiqua" w:hAnsi="Book Antiqua" w:cs="Book Antiqua"/>
          <w:b/>
          <w:color w:val="000000" w:themeColor="text1"/>
        </w:rPr>
        <w:t>14</w:t>
      </w:r>
      <w:r w:rsidRPr="0066241B">
        <w:rPr>
          <w:rFonts w:ascii="Book Antiqua" w:eastAsia="Book Antiqua" w:hAnsi="Book Antiqua" w:cs="Book Antiqua"/>
          <w:color w:val="000000" w:themeColor="text1"/>
        </w:rPr>
        <w:t>: 1023-1033 [PMID: 33277685 DOI: 10.1007/s12072-020-10105-2]</w:t>
      </w:r>
    </w:p>
    <w:p w14:paraId="671C6E78"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31 </w:t>
      </w:r>
      <w:r w:rsidRPr="0066241B">
        <w:rPr>
          <w:rFonts w:ascii="Book Antiqua" w:eastAsia="Book Antiqua" w:hAnsi="Book Antiqua" w:cs="Book Antiqua"/>
          <w:b/>
          <w:color w:val="000000" w:themeColor="text1"/>
        </w:rPr>
        <w:t>Negro F</w:t>
      </w:r>
      <w:r w:rsidRPr="0066241B">
        <w:rPr>
          <w:rFonts w:ascii="Book Antiqua" w:eastAsia="Book Antiqua" w:hAnsi="Book Antiqua" w:cs="Book Antiqua"/>
          <w:color w:val="000000" w:themeColor="text1"/>
        </w:rPr>
        <w:t xml:space="preserve">. Residual risk of liver disease after hepatitis C virus eradication. </w:t>
      </w:r>
      <w:r w:rsidRPr="0066241B">
        <w:rPr>
          <w:rFonts w:ascii="Book Antiqua" w:eastAsia="Book Antiqua" w:hAnsi="Book Antiqua" w:cs="Book Antiqua"/>
          <w:i/>
          <w:color w:val="000000" w:themeColor="text1"/>
        </w:rPr>
        <w:t>J Hepatol</w:t>
      </w:r>
      <w:r w:rsidRPr="0066241B">
        <w:rPr>
          <w:rFonts w:ascii="Book Antiqua" w:eastAsia="Book Antiqua" w:hAnsi="Book Antiqua" w:cs="Book Antiqua"/>
          <w:color w:val="000000" w:themeColor="text1"/>
        </w:rPr>
        <w:t xml:space="preserve"> 2021; </w:t>
      </w:r>
      <w:r w:rsidRPr="0066241B">
        <w:rPr>
          <w:rFonts w:ascii="Book Antiqua" w:eastAsia="Book Antiqua" w:hAnsi="Book Antiqua" w:cs="Book Antiqua"/>
          <w:b/>
          <w:color w:val="000000" w:themeColor="text1"/>
        </w:rPr>
        <w:t>74</w:t>
      </w:r>
      <w:r w:rsidRPr="0066241B">
        <w:rPr>
          <w:rFonts w:ascii="Book Antiqua" w:eastAsia="Book Antiqua" w:hAnsi="Book Antiqua" w:cs="Book Antiqua"/>
          <w:color w:val="000000" w:themeColor="text1"/>
        </w:rPr>
        <w:t>: 952-963 [PMID: 33276027 DOI: 10.1016/j.jhep.2020.11.040]</w:t>
      </w:r>
    </w:p>
    <w:p w14:paraId="48C6D6D2"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32 </w:t>
      </w:r>
      <w:r w:rsidRPr="0066241B">
        <w:rPr>
          <w:rFonts w:ascii="Book Antiqua" w:eastAsia="Book Antiqua" w:hAnsi="Book Antiqua" w:cs="Book Antiqua"/>
          <w:b/>
          <w:color w:val="000000" w:themeColor="text1"/>
        </w:rPr>
        <w:t>Nagaoki Y</w:t>
      </w:r>
      <w:r w:rsidRPr="0066241B">
        <w:rPr>
          <w:rFonts w:ascii="Book Antiqua" w:eastAsia="Book Antiqua" w:hAnsi="Book Antiqua" w:cs="Book Antiqua"/>
          <w:color w:val="000000" w:themeColor="text1"/>
        </w:rPr>
        <w:t xml:space="preserve">, Imamura M, Aikata H, Daijo K, Teraoka Y, Honda F, Nakamura Y, Hatooka M, Morio R, Morio K, Kan H, Fujino H, Kobayashi T, Masaki K, Ono A, Nakahara T, Kawaoka T, Tsuge M, Hiramatsu A, Kawakami Y, Hayes CN, Miki D, Ochi H, Chayama K. The risks of hepatocellular carcinoma development after HCV eradication are similar between patients treated with peg-interferon plus ribavirin and direct-acting antiviral therapy. </w:t>
      </w:r>
      <w:r w:rsidRPr="0066241B">
        <w:rPr>
          <w:rFonts w:ascii="Book Antiqua" w:eastAsia="Book Antiqua" w:hAnsi="Book Antiqua" w:cs="Book Antiqua"/>
          <w:i/>
          <w:color w:val="000000" w:themeColor="text1"/>
        </w:rPr>
        <w:t>PLoS One</w:t>
      </w:r>
      <w:r w:rsidRPr="0066241B">
        <w:rPr>
          <w:rFonts w:ascii="Book Antiqua" w:eastAsia="Book Antiqua" w:hAnsi="Book Antiqua" w:cs="Book Antiqua"/>
          <w:color w:val="000000" w:themeColor="text1"/>
        </w:rPr>
        <w:t xml:space="preserve"> 2017; </w:t>
      </w:r>
      <w:r w:rsidRPr="0066241B">
        <w:rPr>
          <w:rFonts w:ascii="Book Antiqua" w:eastAsia="Book Antiqua" w:hAnsi="Book Antiqua" w:cs="Book Antiqua"/>
          <w:b/>
          <w:color w:val="000000" w:themeColor="text1"/>
        </w:rPr>
        <w:t>12</w:t>
      </w:r>
      <w:r w:rsidRPr="0066241B">
        <w:rPr>
          <w:rFonts w:ascii="Book Antiqua" w:eastAsia="Book Antiqua" w:hAnsi="Book Antiqua" w:cs="Book Antiqua"/>
          <w:color w:val="000000" w:themeColor="text1"/>
        </w:rPr>
        <w:t>: e0182710 [PMID: 28797106 DOI: 10.1371/journal.pone.0182710]</w:t>
      </w:r>
    </w:p>
    <w:p w14:paraId="0F2C1F58"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33 </w:t>
      </w:r>
      <w:r w:rsidRPr="0066241B">
        <w:rPr>
          <w:rFonts w:ascii="Book Antiqua" w:eastAsia="Book Antiqua" w:hAnsi="Book Antiqua" w:cs="Book Antiqua"/>
          <w:b/>
          <w:color w:val="000000" w:themeColor="text1"/>
        </w:rPr>
        <w:t>Ma L</w:t>
      </w:r>
      <w:r w:rsidRPr="0066241B">
        <w:rPr>
          <w:rFonts w:ascii="Book Antiqua" w:eastAsia="Book Antiqua" w:hAnsi="Book Antiqua" w:cs="Book Antiqua"/>
          <w:color w:val="000000" w:themeColor="text1"/>
        </w:rPr>
        <w:t xml:space="preserve">, Liu J, Wang W, Yang F, Li P, Cai S, Zhou X, Chen X, Zhuang X, Zhang H, Cao G. Direct-acting </w:t>
      </w:r>
      <w:proofErr w:type="gramStart"/>
      <w:r w:rsidRPr="0066241B">
        <w:rPr>
          <w:rFonts w:ascii="Book Antiqua" w:eastAsia="Book Antiqua" w:hAnsi="Book Antiqua" w:cs="Book Antiqua"/>
          <w:color w:val="000000" w:themeColor="text1"/>
        </w:rPr>
        <w:t>antivirals</w:t>
      </w:r>
      <w:proofErr w:type="gramEnd"/>
      <w:r w:rsidRPr="0066241B">
        <w:rPr>
          <w:rFonts w:ascii="Book Antiqua" w:eastAsia="Book Antiqua" w:hAnsi="Book Antiqua" w:cs="Book Antiqua"/>
          <w:color w:val="000000" w:themeColor="text1"/>
        </w:rPr>
        <w:t xml:space="preserve"> and interferon-based therapy on hepatocellular carcinoma risk in chronic hepatitis-C patients. </w:t>
      </w:r>
      <w:r w:rsidRPr="0066241B">
        <w:rPr>
          <w:rFonts w:ascii="Book Antiqua" w:eastAsia="Book Antiqua" w:hAnsi="Book Antiqua" w:cs="Book Antiqua"/>
          <w:i/>
          <w:color w:val="000000" w:themeColor="text1"/>
        </w:rPr>
        <w:t>Future Oncol</w:t>
      </w:r>
      <w:r w:rsidRPr="0066241B">
        <w:rPr>
          <w:rFonts w:ascii="Book Antiqua" w:eastAsia="Book Antiqua" w:hAnsi="Book Antiqua" w:cs="Book Antiqua"/>
          <w:color w:val="000000" w:themeColor="text1"/>
        </w:rPr>
        <w:t xml:space="preserve"> 2020; </w:t>
      </w:r>
      <w:r w:rsidRPr="0066241B">
        <w:rPr>
          <w:rFonts w:ascii="Book Antiqua" w:eastAsia="Book Antiqua" w:hAnsi="Book Antiqua" w:cs="Book Antiqua"/>
          <w:b/>
          <w:color w:val="000000" w:themeColor="text1"/>
        </w:rPr>
        <w:t>16</w:t>
      </w:r>
      <w:r w:rsidRPr="0066241B">
        <w:rPr>
          <w:rFonts w:ascii="Book Antiqua" w:eastAsia="Book Antiqua" w:hAnsi="Book Antiqua" w:cs="Book Antiqua"/>
          <w:color w:val="000000" w:themeColor="text1"/>
        </w:rPr>
        <w:t>: 675-686 [PMID: 32223423 DOI: 10.2217/fon-2019-0845]</w:t>
      </w:r>
    </w:p>
    <w:p w14:paraId="2ABB1969"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34 </w:t>
      </w:r>
      <w:r w:rsidRPr="0066241B">
        <w:rPr>
          <w:rFonts w:ascii="Book Antiqua" w:eastAsia="Book Antiqua" w:hAnsi="Book Antiqua" w:cs="Book Antiqua"/>
          <w:b/>
          <w:color w:val="000000" w:themeColor="text1"/>
        </w:rPr>
        <w:t>Llovet JM</w:t>
      </w:r>
      <w:r w:rsidRPr="0066241B">
        <w:rPr>
          <w:rFonts w:ascii="Book Antiqua" w:eastAsia="Book Antiqua" w:hAnsi="Book Antiqua" w:cs="Book Antiqua"/>
          <w:color w:val="000000" w:themeColor="text1"/>
        </w:rPr>
        <w:t xml:space="preserve">, Villanueva A. Liver cancer: Effect of HCV clearance with direct-acting antiviral agents on HCC. </w:t>
      </w:r>
      <w:r w:rsidRPr="0066241B">
        <w:rPr>
          <w:rFonts w:ascii="Book Antiqua" w:eastAsia="Book Antiqua" w:hAnsi="Book Antiqua" w:cs="Book Antiqua"/>
          <w:i/>
          <w:color w:val="000000" w:themeColor="text1"/>
        </w:rPr>
        <w:t>Nat Rev Gastroenterol Hepatol</w:t>
      </w:r>
      <w:r w:rsidRPr="0066241B">
        <w:rPr>
          <w:rFonts w:ascii="Book Antiqua" w:eastAsia="Book Antiqua" w:hAnsi="Book Antiqua" w:cs="Book Antiqua"/>
          <w:color w:val="000000" w:themeColor="text1"/>
        </w:rPr>
        <w:t xml:space="preserve"> 2016; </w:t>
      </w:r>
      <w:r w:rsidRPr="0066241B">
        <w:rPr>
          <w:rFonts w:ascii="Book Antiqua" w:eastAsia="Book Antiqua" w:hAnsi="Book Antiqua" w:cs="Book Antiqua"/>
          <w:b/>
          <w:color w:val="000000" w:themeColor="text1"/>
        </w:rPr>
        <w:t>13</w:t>
      </w:r>
      <w:r w:rsidRPr="0066241B">
        <w:rPr>
          <w:rFonts w:ascii="Book Antiqua" w:eastAsia="Book Antiqua" w:hAnsi="Book Antiqua" w:cs="Book Antiqua"/>
          <w:color w:val="000000" w:themeColor="text1"/>
        </w:rPr>
        <w:t>: 561-562 [PMID: 27580683 DOI: 10.1038/nrgastro.2016.140]</w:t>
      </w:r>
    </w:p>
    <w:p w14:paraId="66CA8B96"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lastRenderedPageBreak/>
        <w:t xml:space="preserve">35 </w:t>
      </w:r>
      <w:r w:rsidRPr="0066241B">
        <w:rPr>
          <w:rFonts w:ascii="Book Antiqua" w:eastAsia="Book Antiqua" w:hAnsi="Book Antiqua" w:cs="Book Antiqua"/>
          <w:b/>
          <w:color w:val="000000" w:themeColor="text1"/>
        </w:rPr>
        <w:t>Llorens-Revull M</w:t>
      </w:r>
      <w:r w:rsidRPr="0066241B">
        <w:rPr>
          <w:rFonts w:ascii="Book Antiqua" w:eastAsia="Book Antiqua" w:hAnsi="Book Antiqua" w:cs="Book Antiqua"/>
          <w:color w:val="000000" w:themeColor="text1"/>
        </w:rPr>
        <w:t xml:space="preserve">, Costafreda MI, Rico A, Guerrero-Murillo M, Soria ME, Píriz-Ruzo S, Vargas-Accarino E, Gabriel-Medina P, Rodríguez-Frías F, Riveiro-Barciela M, Perales C, Quer J, Sauleda S, Esteban JI, Bes M. Partial restoration of immune response in Hepatitis C patients after viral clearance by direct-acting antiviral therapy. </w:t>
      </w:r>
      <w:r w:rsidRPr="0066241B">
        <w:rPr>
          <w:rFonts w:ascii="Book Antiqua" w:eastAsia="Book Antiqua" w:hAnsi="Book Antiqua" w:cs="Book Antiqua"/>
          <w:i/>
          <w:color w:val="000000" w:themeColor="text1"/>
        </w:rPr>
        <w:t>PLoS One</w:t>
      </w:r>
      <w:r w:rsidRPr="0066241B">
        <w:rPr>
          <w:rFonts w:ascii="Book Antiqua" w:eastAsia="Book Antiqua" w:hAnsi="Book Antiqua" w:cs="Book Antiqua"/>
          <w:color w:val="000000" w:themeColor="text1"/>
        </w:rPr>
        <w:t xml:space="preserve"> 2021; </w:t>
      </w:r>
      <w:r w:rsidRPr="0066241B">
        <w:rPr>
          <w:rFonts w:ascii="Book Antiqua" w:eastAsia="Book Antiqua" w:hAnsi="Book Antiqua" w:cs="Book Antiqua"/>
          <w:b/>
          <w:color w:val="000000" w:themeColor="text1"/>
        </w:rPr>
        <w:t>16</w:t>
      </w:r>
      <w:r w:rsidRPr="0066241B">
        <w:rPr>
          <w:rFonts w:ascii="Book Antiqua" w:eastAsia="Book Antiqua" w:hAnsi="Book Antiqua" w:cs="Book Antiqua"/>
          <w:color w:val="000000" w:themeColor="text1"/>
        </w:rPr>
        <w:t>: e0254243 [PMID: 34242330 DOI: 10.1371/journal.pone.0254243]</w:t>
      </w:r>
    </w:p>
    <w:p w14:paraId="0359ED69"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36 </w:t>
      </w:r>
      <w:r w:rsidRPr="0066241B">
        <w:rPr>
          <w:rFonts w:ascii="Book Antiqua" w:eastAsia="Book Antiqua" w:hAnsi="Book Antiqua" w:cs="Book Antiqua"/>
          <w:b/>
          <w:color w:val="000000" w:themeColor="text1"/>
        </w:rPr>
        <w:t>Butt AA</w:t>
      </w:r>
      <w:r w:rsidRPr="0066241B">
        <w:rPr>
          <w:rFonts w:ascii="Book Antiqua" w:eastAsia="Book Antiqua" w:hAnsi="Book Antiqua" w:cs="Book Antiqua"/>
          <w:color w:val="000000" w:themeColor="text1"/>
        </w:rPr>
        <w:t xml:space="preserve">, Yan P, Aslam S, Shaikh OS, Abou-Samra AB. Hepatitis C Virus (HCV) Treatment </w:t>
      </w:r>
      <w:proofErr w:type="gramStart"/>
      <w:r w:rsidRPr="0066241B">
        <w:rPr>
          <w:rFonts w:ascii="Book Antiqua" w:eastAsia="Book Antiqua" w:hAnsi="Book Antiqua" w:cs="Book Antiqua"/>
          <w:color w:val="000000" w:themeColor="text1"/>
        </w:rPr>
        <w:t>With</w:t>
      </w:r>
      <w:proofErr w:type="gramEnd"/>
      <w:r w:rsidRPr="0066241B">
        <w:rPr>
          <w:rFonts w:ascii="Book Antiqua" w:eastAsia="Book Antiqua" w:hAnsi="Book Antiqua" w:cs="Book Antiqua"/>
          <w:color w:val="000000" w:themeColor="text1"/>
        </w:rPr>
        <w:t xml:space="preserve"> Directly Acting Agents Reduces the Risk of Incident Diabetes: Results From Electronically Retrieved Cohort of HCV Infected Veterans (ERCHIVES). </w:t>
      </w:r>
      <w:r w:rsidRPr="0066241B">
        <w:rPr>
          <w:rFonts w:ascii="Book Antiqua" w:eastAsia="Book Antiqua" w:hAnsi="Book Antiqua" w:cs="Book Antiqua"/>
          <w:i/>
          <w:color w:val="000000" w:themeColor="text1"/>
        </w:rPr>
        <w:t>Clin Infect Dis</w:t>
      </w:r>
      <w:r w:rsidRPr="0066241B">
        <w:rPr>
          <w:rFonts w:ascii="Book Antiqua" w:eastAsia="Book Antiqua" w:hAnsi="Book Antiqua" w:cs="Book Antiqua"/>
          <w:color w:val="000000" w:themeColor="text1"/>
        </w:rPr>
        <w:t xml:space="preserve"> 2020; </w:t>
      </w:r>
      <w:r w:rsidRPr="0066241B">
        <w:rPr>
          <w:rFonts w:ascii="Book Antiqua" w:eastAsia="Book Antiqua" w:hAnsi="Book Antiqua" w:cs="Book Antiqua"/>
          <w:b/>
          <w:color w:val="000000" w:themeColor="text1"/>
        </w:rPr>
        <w:t>70</w:t>
      </w:r>
      <w:r w:rsidRPr="0066241B">
        <w:rPr>
          <w:rFonts w:ascii="Book Antiqua" w:eastAsia="Book Antiqua" w:hAnsi="Book Antiqua" w:cs="Book Antiqua"/>
          <w:color w:val="000000" w:themeColor="text1"/>
        </w:rPr>
        <w:t>: 1153-1160 [PMID: 30977808 DOI: 10.1093/cid/ciz304]</w:t>
      </w:r>
    </w:p>
    <w:p w14:paraId="2BF5888C"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37 </w:t>
      </w:r>
      <w:r w:rsidRPr="0066241B">
        <w:rPr>
          <w:rFonts w:ascii="Book Antiqua" w:eastAsia="Book Antiqua" w:hAnsi="Book Antiqua" w:cs="Book Antiqua"/>
          <w:b/>
          <w:color w:val="000000" w:themeColor="text1"/>
        </w:rPr>
        <w:t>Ioannou GN</w:t>
      </w:r>
      <w:r w:rsidRPr="0066241B">
        <w:rPr>
          <w:rFonts w:ascii="Book Antiqua" w:eastAsia="Book Antiqua" w:hAnsi="Book Antiqua" w:cs="Book Antiqua"/>
          <w:color w:val="000000" w:themeColor="text1"/>
        </w:rPr>
        <w:t xml:space="preserve">, Green PK, Berry K, Graf SA. Eradication of Hepatitis C Virus Is Associated </w:t>
      </w:r>
      <w:proofErr w:type="gramStart"/>
      <w:r w:rsidRPr="0066241B">
        <w:rPr>
          <w:rFonts w:ascii="Book Antiqua" w:eastAsia="Book Antiqua" w:hAnsi="Book Antiqua" w:cs="Book Antiqua"/>
          <w:color w:val="000000" w:themeColor="text1"/>
        </w:rPr>
        <w:t>With</w:t>
      </w:r>
      <w:proofErr w:type="gramEnd"/>
      <w:r w:rsidRPr="0066241B">
        <w:rPr>
          <w:rFonts w:ascii="Book Antiqua" w:eastAsia="Book Antiqua" w:hAnsi="Book Antiqua" w:cs="Book Antiqua"/>
          <w:color w:val="000000" w:themeColor="text1"/>
        </w:rPr>
        <w:t xml:space="preserve"> Reduction in Hematologic Malignancies: Major Differences Between Interferon and Direct-Acting Antivirals. </w:t>
      </w:r>
      <w:r w:rsidRPr="0066241B">
        <w:rPr>
          <w:rFonts w:ascii="Book Antiqua" w:eastAsia="Book Antiqua" w:hAnsi="Book Antiqua" w:cs="Book Antiqua"/>
          <w:i/>
          <w:color w:val="000000" w:themeColor="text1"/>
        </w:rPr>
        <w:t>Hepatol Commun</w:t>
      </w:r>
      <w:r w:rsidRPr="0066241B">
        <w:rPr>
          <w:rFonts w:ascii="Book Antiqua" w:eastAsia="Book Antiqua" w:hAnsi="Book Antiqua" w:cs="Book Antiqua"/>
          <w:color w:val="000000" w:themeColor="text1"/>
        </w:rPr>
        <w:t xml:space="preserve"> 2019; </w:t>
      </w:r>
      <w:r w:rsidRPr="0066241B">
        <w:rPr>
          <w:rFonts w:ascii="Book Antiqua" w:eastAsia="Book Antiqua" w:hAnsi="Book Antiqua" w:cs="Book Antiqua"/>
          <w:b/>
          <w:color w:val="000000" w:themeColor="text1"/>
        </w:rPr>
        <w:t>3</w:t>
      </w:r>
      <w:r w:rsidRPr="0066241B">
        <w:rPr>
          <w:rFonts w:ascii="Book Antiqua" w:eastAsia="Book Antiqua" w:hAnsi="Book Antiqua" w:cs="Book Antiqua"/>
          <w:color w:val="000000" w:themeColor="text1"/>
        </w:rPr>
        <w:t>: 1124-1136 [PMID: 31388632 DOI: 10.1002/hep4.1389]</w:t>
      </w:r>
    </w:p>
    <w:p w14:paraId="05842D91"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 xml:space="preserve">38 </w:t>
      </w:r>
      <w:r w:rsidRPr="0066241B">
        <w:rPr>
          <w:rFonts w:ascii="Book Antiqua" w:eastAsia="Book Antiqua" w:hAnsi="Book Antiqua" w:cs="Book Antiqua"/>
          <w:b/>
          <w:color w:val="000000" w:themeColor="text1"/>
        </w:rPr>
        <w:t>Kanda T</w:t>
      </w:r>
      <w:r w:rsidRPr="0066241B">
        <w:rPr>
          <w:rFonts w:ascii="Book Antiqua" w:eastAsia="Book Antiqua" w:hAnsi="Book Antiqua" w:cs="Book Antiqua"/>
          <w:color w:val="000000" w:themeColor="text1"/>
        </w:rPr>
        <w:t xml:space="preserve">, Lau GKK, Wei L, Moriyama M, Yu ML, Chuang WL, Ibrahim A, Lesmana CRA, Sollano J, Kumar M, Jindal A, Sharma BC, Hamid SS, Kadir Dokmeci A, Mamun-Al-Mahtab, McCaughan GW, Wasim J, Crawford DHG, Kao JH, Ooka Y, Yokosuka O, Sarin SK, Omata M. APASL HCV guidelines of virus-eradicated patients by DAA on how to monitor HCC occurrence and HBV reactivation. </w:t>
      </w:r>
      <w:r w:rsidRPr="0066241B">
        <w:rPr>
          <w:rFonts w:ascii="Book Antiqua" w:eastAsia="Book Antiqua" w:hAnsi="Book Antiqua" w:cs="Book Antiqua"/>
          <w:i/>
          <w:color w:val="000000" w:themeColor="text1"/>
        </w:rPr>
        <w:t>Hepatol Int</w:t>
      </w:r>
      <w:r w:rsidRPr="0066241B">
        <w:rPr>
          <w:rFonts w:ascii="Book Antiqua" w:eastAsia="Book Antiqua" w:hAnsi="Book Antiqua" w:cs="Book Antiqua"/>
          <w:color w:val="000000" w:themeColor="text1"/>
        </w:rPr>
        <w:t xml:space="preserve"> 2019; </w:t>
      </w:r>
      <w:r w:rsidRPr="0066241B">
        <w:rPr>
          <w:rFonts w:ascii="Book Antiqua" w:eastAsia="Book Antiqua" w:hAnsi="Book Antiqua" w:cs="Book Antiqua"/>
          <w:b/>
          <w:color w:val="000000" w:themeColor="text1"/>
        </w:rPr>
        <w:t>13</w:t>
      </w:r>
      <w:r w:rsidRPr="0066241B">
        <w:rPr>
          <w:rFonts w:ascii="Book Antiqua" w:eastAsia="Book Antiqua" w:hAnsi="Book Antiqua" w:cs="Book Antiqua"/>
          <w:color w:val="000000" w:themeColor="text1"/>
        </w:rPr>
        <w:t>: 649-661 [PMID: 31541423 DOI: 10.1007/s12072-019-09988-7]</w:t>
      </w:r>
    </w:p>
    <w:p w14:paraId="3AD4CAD3" w14:textId="77777777" w:rsidR="0052656F" w:rsidRPr="0066241B" w:rsidRDefault="0052656F" w:rsidP="00B34F1C">
      <w:pPr>
        <w:spacing w:line="360" w:lineRule="auto"/>
        <w:jc w:val="both"/>
        <w:rPr>
          <w:rFonts w:ascii="Book Antiqua" w:hAnsi="Book Antiqua"/>
          <w:color w:val="000000" w:themeColor="text1"/>
          <w:lang w:eastAsia="zh-CN"/>
        </w:rPr>
      </w:pPr>
    </w:p>
    <w:p w14:paraId="1075CE82" w14:textId="77777777" w:rsidR="0052656F" w:rsidRPr="0066241B" w:rsidRDefault="0052656F" w:rsidP="00B34F1C">
      <w:pPr>
        <w:spacing w:line="360" w:lineRule="auto"/>
        <w:jc w:val="both"/>
        <w:rPr>
          <w:rFonts w:ascii="Book Antiqua" w:hAnsi="Book Antiqua"/>
          <w:color w:val="000000" w:themeColor="text1"/>
        </w:rPr>
        <w:sectPr w:rsidR="0052656F" w:rsidRPr="0066241B" w:rsidSect="0037300D">
          <w:pgSz w:w="12240" w:h="15840"/>
          <w:pgMar w:top="1440" w:right="1440" w:bottom="1440" w:left="1440" w:header="720" w:footer="720" w:gutter="0"/>
          <w:cols w:space="720"/>
          <w:docGrid w:linePitch="360"/>
        </w:sectPr>
      </w:pPr>
    </w:p>
    <w:p w14:paraId="127FFA24"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lastRenderedPageBreak/>
        <w:t>Footnotes</w:t>
      </w:r>
    </w:p>
    <w:p w14:paraId="52ABF14C"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Institutional review board statement: </w:t>
      </w:r>
      <w:r w:rsidRPr="0066241B">
        <w:rPr>
          <w:rFonts w:ascii="Book Antiqua" w:eastAsia="Book Antiqua" w:hAnsi="Book Antiqua" w:cs="Book Antiqua"/>
          <w:color w:val="000000" w:themeColor="text1"/>
        </w:rPr>
        <w:t xml:space="preserve">The study protocol was approved by the Institutional Review Board of seven hospitals. </w:t>
      </w:r>
    </w:p>
    <w:p w14:paraId="2954CF9F" w14:textId="77777777" w:rsidR="0052656F" w:rsidRPr="0066241B" w:rsidRDefault="0052656F" w:rsidP="00B34F1C">
      <w:pPr>
        <w:spacing w:line="360" w:lineRule="auto"/>
        <w:jc w:val="both"/>
        <w:rPr>
          <w:rFonts w:ascii="Book Antiqua" w:hAnsi="Book Antiqua"/>
          <w:color w:val="000000" w:themeColor="text1"/>
        </w:rPr>
      </w:pPr>
    </w:p>
    <w:p w14:paraId="35ADC687"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Informed consent statement: </w:t>
      </w:r>
      <w:r w:rsidRPr="0066241B">
        <w:rPr>
          <w:rFonts w:ascii="Book Antiqua" w:eastAsia="Book Antiqua" w:hAnsi="Book Antiqua" w:cs="Book Antiqua"/>
          <w:color w:val="000000" w:themeColor="text1"/>
        </w:rPr>
        <w:t>All participants provided written informed consent prior to study enrollment.</w:t>
      </w:r>
    </w:p>
    <w:p w14:paraId="66A5F29F" w14:textId="77777777" w:rsidR="0052656F" w:rsidRPr="0066241B" w:rsidRDefault="0052656F" w:rsidP="00B34F1C">
      <w:pPr>
        <w:spacing w:line="360" w:lineRule="auto"/>
        <w:jc w:val="both"/>
        <w:rPr>
          <w:rFonts w:ascii="Book Antiqua" w:hAnsi="Book Antiqua"/>
          <w:color w:val="000000" w:themeColor="text1"/>
        </w:rPr>
      </w:pPr>
    </w:p>
    <w:p w14:paraId="0759A5D7"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Conflict-of-interest statement: </w:t>
      </w:r>
      <w:r w:rsidRPr="0066241B">
        <w:rPr>
          <w:rFonts w:ascii="Book Antiqua" w:eastAsia="Book Antiqua" w:hAnsi="Book Antiqua" w:cs="Book Antiqua"/>
          <w:color w:val="000000" w:themeColor="text1"/>
        </w:rPr>
        <w:t>Nothing to declare.</w:t>
      </w:r>
    </w:p>
    <w:p w14:paraId="153BE80C" w14:textId="77777777" w:rsidR="0052656F" w:rsidRPr="0066241B" w:rsidRDefault="0052656F" w:rsidP="00B34F1C">
      <w:pPr>
        <w:spacing w:line="360" w:lineRule="auto"/>
        <w:jc w:val="both"/>
        <w:rPr>
          <w:rFonts w:ascii="Book Antiqua" w:hAnsi="Book Antiqua"/>
          <w:color w:val="000000" w:themeColor="text1"/>
        </w:rPr>
      </w:pPr>
    </w:p>
    <w:p w14:paraId="3641DE04" w14:textId="77777777" w:rsidR="0052656F" w:rsidRPr="0066241B" w:rsidRDefault="000D2442" w:rsidP="00B34F1C">
      <w:pPr>
        <w:spacing w:line="360" w:lineRule="auto"/>
        <w:jc w:val="both"/>
        <w:rPr>
          <w:rFonts w:ascii="Book Antiqua" w:eastAsia="Book Antiqua" w:hAnsi="Book Antiqua" w:cs="Book Antiqua"/>
          <w:color w:val="000000" w:themeColor="text1"/>
        </w:rPr>
      </w:pPr>
      <w:r w:rsidRPr="0066241B">
        <w:rPr>
          <w:rFonts w:ascii="Book Antiqua" w:eastAsia="Book Antiqua" w:hAnsi="Book Antiqua" w:cs="Book Antiqua"/>
          <w:b/>
          <w:color w:val="000000" w:themeColor="text1"/>
        </w:rPr>
        <w:t xml:space="preserve">Data sharing statement: </w:t>
      </w:r>
      <w:r w:rsidRPr="0066241B">
        <w:rPr>
          <w:rFonts w:ascii="Book Antiqua" w:eastAsia="Book Antiqua" w:hAnsi="Book Antiqua" w:cs="Book Antiqua"/>
          <w:color w:val="000000" w:themeColor="text1"/>
        </w:rPr>
        <w:t>We are not willing to share data.</w:t>
      </w:r>
    </w:p>
    <w:p w14:paraId="17EF0823" w14:textId="77777777" w:rsidR="0052656F" w:rsidRPr="0066241B" w:rsidRDefault="0052656F" w:rsidP="00B34F1C">
      <w:pPr>
        <w:spacing w:line="360" w:lineRule="auto"/>
        <w:jc w:val="both"/>
        <w:rPr>
          <w:rFonts w:ascii="Book Antiqua" w:eastAsia="Book Antiqua" w:hAnsi="Book Antiqua" w:cs="Book Antiqua"/>
          <w:color w:val="000000" w:themeColor="text1"/>
        </w:rPr>
      </w:pPr>
    </w:p>
    <w:p w14:paraId="4817E189" w14:textId="77777777" w:rsidR="0052656F" w:rsidRPr="0066241B" w:rsidRDefault="000D2442" w:rsidP="00B34F1C">
      <w:pPr>
        <w:spacing w:line="360" w:lineRule="auto"/>
        <w:jc w:val="both"/>
        <w:rPr>
          <w:rFonts w:ascii="Book Antiqua" w:hAnsi="Book Antiqua"/>
          <w:color w:val="000000" w:themeColor="text1"/>
        </w:rPr>
      </w:pPr>
      <w:bookmarkStart w:id="40" w:name="OLE_LINK4658"/>
      <w:bookmarkStart w:id="41" w:name="OLE_LINK4659"/>
      <w:r w:rsidRPr="0066241B">
        <w:rPr>
          <w:rFonts w:ascii="Book Antiqua" w:eastAsia="Book Antiqua" w:hAnsi="Book Antiqua" w:cs="Book Antiqua"/>
          <w:b/>
          <w:color w:val="000000" w:themeColor="text1"/>
        </w:rPr>
        <w:t xml:space="preserve">STROBE statement: </w:t>
      </w:r>
      <w:r w:rsidRPr="0066241B">
        <w:rPr>
          <w:rFonts w:ascii="Book Antiqua" w:eastAsia="Book Antiqua" w:hAnsi="Book Antiqua" w:cs="Book Antiqua"/>
          <w:color w:val="000000" w:themeColor="text1"/>
          <w:shd w:val="clear" w:color="000000" w:fill="FFFFFF"/>
        </w:rPr>
        <w:t>The authors have read the STROBE Statement—checklist of items, and the manuscript was prepared and revised according to the STROBE Statement—checklist of items.</w:t>
      </w:r>
      <w:bookmarkEnd w:id="40"/>
      <w:bookmarkEnd w:id="41"/>
    </w:p>
    <w:p w14:paraId="57340ECC" w14:textId="77777777" w:rsidR="0052656F" w:rsidRPr="0066241B" w:rsidRDefault="0052656F" w:rsidP="00B34F1C">
      <w:pPr>
        <w:spacing w:line="360" w:lineRule="auto"/>
        <w:jc w:val="both"/>
        <w:rPr>
          <w:rFonts w:ascii="Book Antiqua" w:hAnsi="Book Antiqua"/>
          <w:color w:val="000000" w:themeColor="text1"/>
        </w:rPr>
      </w:pPr>
    </w:p>
    <w:p w14:paraId="032893A3"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Open-Access: </w:t>
      </w:r>
      <w:r w:rsidRPr="0066241B">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B47A6E" w14:textId="77777777" w:rsidR="0052656F" w:rsidRPr="0066241B" w:rsidRDefault="0052656F" w:rsidP="00B34F1C">
      <w:pPr>
        <w:spacing w:line="360" w:lineRule="auto"/>
        <w:jc w:val="both"/>
        <w:rPr>
          <w:rFonts w:ascii="Book Antiqua" w:hAnsi="Book Antiqua"/>
          <w:color w:val="000000" w:themeColor="text1"/>
        </w:rPr>
      </w:pPr>
    </w:p>
    <w:p w14:paraId="14C999DE"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Provenance and peer review: </w:t>
      </w:r>
      <w:r w:rsidRPr="0066241B">
        <w:rPr>
          <w:rFonts w:ascii="Book Antiqua" w:eastAsia="Book Antiqua" w:hAnsi="Book Antiqua" w:cs="Book Antiqua"/>
          <w:color w:val="000000" w:themeColor="text1"/>
        </w:rPr>
        <w:t>Unsolicited article; Externally peer reviewed.</w:t>
      </w:r>
    </w:p>
    <w:p w14:paraId="1520A434"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Peer-review model: </w:t>
      </w:r>
      <w:r w:rsidRPr="0066241B">
        <w:rPr>
          <w:rFonts w:ascii="Book Antiqua" w:eastAsia="Book Antiqua" w:hAnsi="Book Antiqua" w:cs="Book Antiqua"/>
          <w:color w:val="000000" w:themeColor="text1"/>
        </w:rPr>
        <w:t>Single blind</w:t>
      </w:r>
    </w:p>
    <w:p w14:paraId="20482E77" w14:textId="77777777" w:rsidR="0052656F" w:rsidRPr="0066241B" w:rsidRDefault="0052656F" w:rsidP="00B34F1C">
      <w:pPr>
        <w:spacing w:line="360" w:lineRule="auto"/>
        <w:jc w:val="both"/>
        <w:rPr>
          <w:rFonts w:ascii="Book Antiqua" w:hAnsi="Book Antiqua"/>
          <w:color w:val="000000" w:themeColor="text1"/>
        </w:rPr>
      </w:pPr>
    </w:p>
    <w:p w14:paraId="0C2B6154"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Peer-review started: </w:t>
      </w:r>
      <w:r w:rsidRPr="0066241B">
        <w:rPr>
          <w:rFonts w:ascii="Book Antiqua" w:eastAsia="Book Antiqua" w:hAnsi="Book Antiqua" w:cs="Book Antiqua"/>
          <w:color w:val="000000" w:themeColor="text1"/>
        </w:rPr>
        <w:t>March 12, 2022</w:t>
      </w:r>
    </w:p>
    <w:p w14:paraId="77417BAD"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First decision: </w:t>
      </w:r>
      <w:r w:rsidRPr="0066241B">
        <w:rPr>
          <w:rFonts w:ascii="Book Antiqua" w:eastAsia="Book Antiqua" w:hAnsi="Book Antiqua" w:cs="Book Antiqua"/>
          <w:color w:val="000000" w:themeColor="text1"/>
        </w:rPr>
        <w:t>April 10, 2022</w:t>
      </w:r>
    </w:p>
    <w:p w14:paraId="2632837A" w14:textId="4E4D9745"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Article in press: </w:t>
      </w:r>
      <w:r w:rsidR="009113DC" w:rsidRPr="0066241B">
        <w:rPr>
          <w:rFonts w:ascii="Book Antiqua" w:eastAsia="Book Antiqua" w:hAnsi="Book Antiqua" w:cs="Book Antiqua"/>
          <w:bCs/>
          <w:color w:val="000000" w:themeColor="text1"/>
        </w:rPr>
        <w:t>July 16, 2022</w:t>
      </w:r>
    </w:p>
    <w:p w14:paraId="7AEA9AE3" w14:textId="77777777" w:rsidR="0052656F" w:rsidRPr="0066241B" w:rsidRDefault="0052656F" w:rsidP="00B34F1C">
      <w:pPr>
        <w:spacing w:line="360" w:lineRule="auto"/>
        <w:jc w:val="both"/>
        <w:rPr>
          <w:rFonts w:ascii="Book Antiqua" w:hAnsi="Book Antiqua"/>
          <w:color w:val="000000" w:themeColor="text1"/>
        </w:rPr>
      </w:pPr>
    </w:p>
    <w:p w14:paraId="1544DFD1"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lastRenderedPageBreak/>
        <w:t xml:space="preserve">Specialty type: </w:t>
      </w:r>
      <w:r w:rsidRPr="0066241B">
        <w:rPr>
          <w:rFonts w:ascii="Book Antiqua" w:eastAsia="Book Antiqua" w:hAnsi="Book Antiqua" w:cs="Book Antiqua"/>
          <w:color w:val="000000" w:themeColor="text1"/>
        </w:rPr>
        <w:t xml:space="preserve">Gastroenterology and </w:t>
      </w:r>
      <w:r w:rsidRPr="0066241B">
        <w:rPr>
          <w:rFonts w:ascii="Book Antiqua" w:eastAsia="Book Antiqua" w:hAnsi="Book Antiqua" w:cs="Book Antiqua"/>
          <w:color w:val="000000" w:themeColor="text1"/>
          <w:lang w:eastAsia="zh-CN"/>
        </w:rPr>
        <w:t>h</w:t>
      </w:r>
      <w:r w:rsidRPr="0066241B">
        <w:rPr>
          <w:rFonts w:ascii="Book Antiqua" w:eastAsia="Book Antiqua" w:hAnsi="Book Antiqua" w:cs="Book Antiqua"/>
          <w:color w:val="000000" w:themeColor="text1"/>
        </w:rPr>
        <w:t>epatology</w:t>
      </w:r>
    </w:p>
    <w:p w14:paraId="0E4B1764"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 xml:space="preserve">Country/Territory of origin: </w:t>
      </w:r>
      <w:r w:rsidRPr="0066241B">
        <w:rPr>
          <w:rFonts w:ascii="Book Antiqua" w:eastAsia="Book Antiqua" w:hAnsi="Book Antiqua" w:cs="Book Antiqua"/>
          <w:color w:val="000000" w:themeColor="text1"/>
        </w:rPr>
        <w:t>South Korea</w:t>
      </w:r>
    </w:p>
    <w:p w14:paraId="71CD0F39"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b/>
          <w:color w:val="000000" w:themeColor="text1"/>
        </w:rPr>
        <w:t>Peer-review report’s scientific quality classification</w:t>
      </w:r>
    </w:p>
    <w:p w14:paraId="62CDEAE0"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Grade A (Excellent): 0</w:t>
      </w:r>
    </w:p>
    <w:p w14:paraId="10B8863E"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Grade B (Very good): B, B</w:t>
      </w:r>
    </w:p>
    <w:p w14:paraId="1202BD76"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Grade C (Good): C</w:t>
      </w:r>
    </w:p>
    <w:p w14:paraId="0E2B0F8B"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Grade D (Fair): 0</w:t>
      </w:r>
    </w:p>
    <w:p w14:paraId="24FFF966" w14:textId="77777777" w:rsidR="0052656F" w:rsidRPr="0066241B" w:rsidRDefault="000D2442" w:rsidP="00B34F1C">
      <w:pPr>
        <w:spacing w:line="360" w:lineRule="auto"/>
        <w:jc w:val="both"/>
        <w:rPr>
          <w:rFonts w:ascii="Book Antiqua" w:hAnsi="Book Antiqua"/>
          <w:color w:val="000000" w:themeColor="text1"/>
        </w:rPr>
      </w:pPr>
      <w:r w:rsidRPr="0066241B">
        <w:rPr>
          <w:rFonts w:ascii="Book Antiqua" w:eastAsia="Book Antiqua" w:hAnsi="Book Antiqua" w:cs="Book Antiqua"/>
          <w:color w:val="000000" w:themeColor="text1"/>
        </w:rPr>
        <w:t>Grade E (Poor): 0</w:t>
      </w:r>
    </w:p>
    <w:p w14:paraId="0B0F96D9" w14:textId="77777777" w:rsidR="0052656F" w:rsidRPr="0066241B" w:rsidRDefault="0052656F" w:rsidP="00B34F1C">
      <w:pPr>
        <w:spacing w:line="360" w:lineRule="auto"/>
        <w:jc w:val="both"/>
        <w:rPr>
          <w:rFonts w:ascii="Book Antiqua" w:hAnsi="Book Antiqua"/>
          <w:color w:val="000000" w:themeColor="text1"/>
        </w:rPr>
      </w:pPr>
    </w:p>
    <w:p w14:paraId="701ABFAC" w14:textId="6F6D1C54" w:rsidR="0052656F" w:rsidRPr="0066241B" w:rsidRDefault="000D2442" w:rsidP="00B34F1C">
      <w:pPr>
        <w:spacing w:line="360" w:lineRule="auto"/>
        <w:jc w:val="both"/>
        <w:rPr>
          <w:rFonts w:ascii="Book Antiqua" w:hAnsi="Book Antiqua"/>
          <w:color w:val="000000" w:themeColor="text1"/>
        </w:rPr>
        <w:sectPr w:rsidR="0052656F" w:rsidRPr="0066241B" w:rsidSect="0037300D">
          <w:pgSz w:w="12240" w:h="15840"/>
          <w:pgMar w:top="1440" w:right="1440" w:bottom="1440" w:left="1440" w:header="720" w:footer="720" w:gutter="0"/>
          <w:cols w:space="720"/>
          <w:docGrid w:linePitch="360"/>
        </w:sectPr>
      </w:pPr>
      <w:r w:rsidRPr="0066241B">
        <w:rPr>
          <w:rFonts w:ascii="Book Antiqua" w:eastAsia="Book Antiqua" w:hAnsi="Book Antiqua" w:cs="Book Antiqua"/>
          <w:b/>
          <w:color w:val="000000" w:themeColor="text1"/>
        </w:rPr>
        <w:t xml:space="preserve">P-Reviewer: </w:t>
      </w:r>
      <w:r w:rsidRPr="0066241B">
        <w:rPr>
          <w:rFonts w:ascii="Book Antiqua" w:eastAsia="Book Antiqua" w:hAnsi="Book Antiqua" w:cs="Book Antiqua"/>
          <w:color w:val="000000" w:themeColor="text1"/>
        </w:rPr>
        <w:t>Li J, China; Tamori A, Japan; Zarębska-Michaluk D, Poland</w:t>
      </w:r>
      <w:r w:rsidRPr="0066241B">
        <w:rPr>
          <w:rFonts w:ascii="Book Antiqua" w:eastAsia="Book Antiqua" w:hAnsi="Book Antiqua" w:cs="Book Antiqua"/>
          <w:b/>
          <w:color w:val="000000" w:themeColor="text1"/>
        </w:rPr>
        <w:t xml:space="preserve"> S-Editor: </w:t>
      </w:r>
      <w:bookmarkStart w:id="42" w:name="OLE_LINK63"/>
      <w:bookmarkStart w:id="43" w:name="OLE_LINK64"/>
      <w:r w:rsidRPr="0066241B">
        <w:rPr>
          <w:rFonts w:ascii="Book Antiqua" w:eastAsia="Book Antiqua" w:hAnsi="Book Antiqua" w:cs="Book Antiqua"/>
          <w:color w:val="000000" w:themeColor="text1"/>
        </w:rPr>
        <w:t>Y</w:t>
      </w:r>
      <w:r w:rsidRPr="0066241B">
        <w:rPr>
          <w:rFonts w:ascii="Book Antiqua" w:eastAsia="Book Antiqua" w:hAnsi="Book Antiqua" w:cs="Book Antiqua"/>
          <w:color w:val="000000" w:themeColor="text1"/>
          <w:lang w:eastAsia="zh-CN"/>
        </w:rPr>
        <w:t>an JP</w:t>
      </w:r>
      <w:bookmarkEnd w:id="42"/>
      <w:bookmarkEnd w:id="43"/>
      <w:r w:rsidRPr="0066241B">
        <w:rPr>
          <w:rFonts w:ascii="Book Antiqua" w:eastAsia="Book Antiqua" w:hAnsi="Book Antiqua" w:cs="Book Antiqua"/>
          <w:b/>
          <w:color w:val="000000" w:themeColor="text1"/>
        </w:rPr>
        <w:t xml:space="preserve"> L-Editor: </w:t>
      </w:r>
      <w:r w:rsidRPr="0066241B">
        <w:rPr>
          <w:rFonts w:ascii="Book Antiqua" w:eastAsia="Book Antiqua" w:hAnsi="Book Antiqua" w:cs="Book Antiqua"/>
          <w:color w:val="000000" w:themeColor="text1"/>
        </w:rPr>
        <w:t>A</w:t>
      </w:r>
      <w:r w:rsidRPr="0066241B">
        <w:rPr>
          <w:rFonts w:ascii="Book Antiqua" w:eastAsia="Book Antiqua" w:hAnsi="Book Antiqua" w:cs="Book Antiqua"/>
          <w:b/>
          <w:color w:val="000000" w:themeColor="text1"/>
        </w:rPr>
        <w:t xml:space="preserve"> P-Editor: </w:t>
      </w:r>
      <w:r w:rsidR="008D1769" w:rsidRPr="0066241B">
        <w:rPr>
          <w:rFonts w:ascii="Book Antiqua" w:eastAsia="Book Antiqua" w:hAnsi="Book Antiqua" w:cs="Book Antiqua"/>
          <w:color w:val="000000" w:themeColor="text1"/>
        </w:rPr>
        <w:t>Y</w:t>
      </w:r>
      <w:r w:rsidR="008D1769" w:rsidRPr="0066241B">
        <w:rPr>
          <w:rFonts w:ascii="Book Antiqua" w:eastAsia="Book Antiqua" w:hAnsi="Book Antiqua" w:cs="Book Antiqua"/>
          <w:color w:val="000000" w:themeColor="text1"/>
          <w:lang w:eastAsia="zh-CN"/>
        </w:rPr>
        <w:t>an JP</w:t>
      </w:r>
    </w:p>
    <w:p w14:paraId="4D381634" w14:textId="77777777" w:rsidR="0052656F" w:rsidRPr="0066241B" w:rsidRDefault="000D2442" w:rsidP="00B34F1C">
      <w:pPr>
        <w:spacing w:line="360" w:lineRule="auto"/>
        <w:jc w:val="both"/>
        <w:rPr>
          <w:rFonts w:ascii="Book Antiqua" w:eastAsia="Book Antiqua" w:hAnsi="Book Antiqua" w:cs="Book Antiqua"/>
          <w:b/>
          <w:color w:val="000000" w:themeColor="text1"/>
        </w:rPr>
      </w:pPr>
      <w:r w:rsidRPr="0066241B">
        <w:rPr>
          <w:rFonts w:ascii="Book Antiqua" w:eastAsia="Book Antiqua" w:hAnsi="Book Antiqua" w:cs="Book Antiqua"/>
          <w:b/>
          <w:color w:val="000000" w:themeColor="text1"/>
        </w:rPr>
        <w:lastRenderedPageBreak/>
        <w:t>Figure Legends</w:t>
      </w:r>
    </w:p>
    <w:p w14:paraId="7BB8B84E" w14:textId="4BA84F6F" w:rsidR="0052656F" w:rsidRPr="0066241B" w:rsidRDefault="008152A5" w:rsidP="00B34F1C">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3A6FCC8C" wp14:editId="65781AC8">
            <wp:extent cx="5634990" cy="457200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34990" cy="4572000"/>
                    </a:xfrm>
                    <a:prstGeom prst="rect">
                      <a:avLst/>
                    </a:prstGeom>
                    <a:noFill/>
                    <a:ln>
                      <a:noFill/>
                    </a:ln>
                  </pic:spPr>
                </pic:pic>
              </a:graphicData>
            </a:graphic>
          </wp:inline>
        </w:drawing>
      </w:r>
    </w:p>
    <w:p w14:paraId="69AC815B" w14:textId="77777777" w:rsidR="0052656F" w:rsidRPr="0066241B" w:rsidRDefault="000D2442" w:rsidP="00B34F1C">
      <w:pPr>
        <w:spacing w:line="360" w:lineRule="auto"/>
        <w:jc w:val="both"/>
        <w:rPr>
          <w:rFonts w:ascii="Book Antiqua" w:hAnsi="Book Antiqua"/>
          <w:color w:val="000000" w:themeColor="text1"/>
          <w:lang w:eastAsia="zh-CN"/>
        </w:rPr>
      </w:pPr>
      <w:r w:rsidRPr="0066241B">
        <w:rPr>
          <w:rFonts w:ascii="Book Antiqua" w:eastAsia="Book Antiqua" w:hAnsi="Book Antiqua" w:cs="Book Antiqua"/>
          <w:b/>
          <w:color w:val="000000" w:themeColor="text1"/>
        </w:rPr>
        <w:t>Figure 1 Patient flow diagram.</w:t>
      </w:r>
      <w:r w:rsidRPr="0066241B">
        <w:rPr>
          <w:rFonts w:ascii="Book Antiqua" w:hAnsi="Book Antiqua"/>
          <w:color w:val="000000" w:themeColor="text1"/>
          <w:lang w:eastAsia="zh-CN"/>
        </w:rPr>
        <w:t xml:space="preserve"> </w:t>
      </w:r>
      <w:r w:rsidRPr="0066241B">
        <w:rPr>
          <w:rFonts w:ascii="Book Antiqua" w:eastAsia="Book Antiqua" w:hAnsi="Book Antiqua" w:cs="Book Antiqua"/>
          <w:color w:val="000000" w:themeColor="text1"/>
        </w:rPr>
        <w:t xml:space="preserve">DAA: Direct-acting antivirals; dLC: Decompensated liver cirrhosis; HBV: Hepatitis B virus; HCC: </w:t>
      </w:r>
      <w:bookmarkStart w:id="44" w:name="OLE_LINK4660"/>
      <w:bookmarkStart w:id="45" w:name="OLE_LINK4661"/>
      <w:r w:rsidRPr="0066241B">
        <w:rPr>
          <w:rFonts w:ascii="Book Antiqua" w:eastAsia="Book Antiqua" w:hAnsi="Book Antiqua" w:cs="Book Antiqua"/>
          <w:color w:val="000000" w:themeColor="text1"/>
        </w:rPr>
        <w:t>Hepatocellular carcinoma</w:t>
      </w:r>
      <w:bookmarkEnd w:id="44"/>
      <w:bookmarkEnd w:id="45"/>
      <w:r w:rsidRPr="0066241B">
        <w:rPr>
          <w:rFonts w:ascii="Book Antiqua" w:eastAsia="Book Antiqua" w:hAnsi="Book Antiqua" w:cs="Book Antiqua"/>
          <w:color w:val="000000" w:themeColor="text1"/>
        </w:rPr>
        <w:t xml:space="preserve">; HCV: </w:t>
      </w:r>
      <w:bookmarkStart w:id="46" w:name="OLE_LINK4675"/>
      <w:bookmarkStart w:id="47" w:name="OLE_LINK4676"/>
      <w:r w:rsidRPr="0066241B">
        <w:rPr>
          <w:rFonts w:ascii="Book Antiqua" w:eastAsia="Book Antiqua" w:hAnsi="Book Antiqua" w:cs="Book Antiqua"/>
          <w:color w:val="000000" w:themeColor="text1"/>
        </w:rPr>
        <w:t>Hepatitis C virus</w:t>
      </w:r>
      <w:bookmarkEnd w:id="46"/>
      <w:bookmarkEnd w:id="47"/>
      <w:r w:rsidRPr="0066241B">
        <w:rPr>
          <w:rFonts w:ascii="Book Antiqua" w:eastAsia="Book Antiqua" w:hAnsi="Book Antiqua" w:cs="Book Antiqua"/>
          <w:color w:val="000000" w:themeColor="text1"/>
        </w:rPr>
        <w:t>; IBT: Interferon-based treatment; HIV: Human immunodeficiency virus; LT: Liver transplantation.</w:t>
      </w:r>
    </w:p>
    <w:p w14:paraId="19EB7B78" w14:textId="77777777" w:rsidR="0052656F" w:rsidRPr="0066241B" w:rsidRDefault="0052656F" w:rsidP="00B34F1C">
      <w:pPr>
        <w:spacing w:line="360" w:lineRule="auto"/>
        <w:jc w:val="both"/>
        <w:rPr>
          <w:rFonts w:ascii="Book Antiqua" w:hAnsi="Book Antiqua"/>
          <w:color w:val="000000" w:themeColor="text1"/>
        </w:rPr>
        <w:sectPr w:rsidR="0052656F" w:rsidRPr="0066241B" w:rsidSect="0037300D">
          <w:pgSz w:w="12240" w:h="15840"/>
          <w:pgMar w:top="1440" w:right="1440" w:bottom="1440" w:left="1440" w:header="720" w:footer="720" w:gutter="0"/>
          <w:cols w:space="720"/>
          <w:docGrid w:linePitch="360"/>
        </w:sectPr>
      </w:pPr>
    </w:p>
    <w:p w14:paraId="5C200801" w14:textId="63863321" w:rsidR="0052656F" w:rsidRPr="0066241B" w:rsidRDefault="008152A5" w:rsidP="00B34F1C">
      <w:pPr>
        <w:spacing w:line="360" w:lineRule="auto"/>
        <w:jc w:val="both"/>
        <w:rPr>
          <w:rFonts w:ascii="Book Antiqua" w:hAnsi="Book Antiqua"/>
          <w:color w:val="000000" w:themeColor="text1"/>
        </w:rPr>
      </w:pPr>
      <w:r>
        <w:rPr>
          <w:rFonts w:ascii="Book Antiqua" w:hAnsi="Book Antiqua"/>
          <w:noProof/>
          <w:color w:val="000000" w:themeColor="text1"/>
        </w:rPr>
        <w:lastRenderedPageBreak/>
        <w:drawing>
          <wp:inline distT="0" distB="0" distL="0" distR="0" wp14:anchorId="121A8AAA" wp14:editId="23CF51EA">
            <wp:extent cx="5815965" cy="6932295"/>
            <wp:effectExtent l="0" t="0" r="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15965" cy="6932295"/>
                    </a:xfrm>
                    <a:prstGeom prst="rect">
                      <a:avLst/>
                    </a:prstGeom>
                    <a:noFill/>
                    <a:ln>
                      <a:noFill/>
                    </a:ln>
                  </pic:spPr>
                </pic:pic>
              </a:graphicData>
            </a:graphic>
          </wp:inline>
        </w:drawing>
      </w:r>
    </w:p>
    <w:p w14:paraId="53E002BA" w14:textId="77777777" w:rsidR="0052656F" w:rsidRPr="0066241B" w:rsidRDefault="000D2442" w:rsidP="00B34F1C">
      <w:pPr>
        <w:spacing w:line="360" w:lineRule="auto"/>
        <w:jc w:val="both"/>
        <w:rPr>
          <w:rFonts w:ascii="Book Antiqua" w:eastAsia="Book Antiqua" w:hAnsi="Book Antiqua" w:cs="Book Antiqua"/>
          <w:color w:val="000000" w:themeColor="text1"/>
        </w:rPr>
      </w:pPr>
      <w:bookmarkStart w:id="48" w:name="OLE_LINK4662"/>
      <w:bookmarkStart w:id="49" w:name="OLE_LINK4663"/>
      <w:r w:rsidRPr="0066241B">
        <w:rPr>
          <w:rFonts w:ascii="Book Antiqua" w:eastAsia="Book Antiqua" w:hAnsi="Book Antiqua" w:cs="Book Antiqua"/>
          <w:b/>
          <w:color w:val="000000" w:themeColor="text1"/>
        </w:rPr>
        <w:t>Figure 2 Cumulative incidences of hepatocellular carcinoma, decompensation, and death/transplantation in entire cohort.</w:t>
      </w:r>
      <w:bookmarkEnd w:id="48"/>
      <w:bookmarkEnd w:id="49"/>
      <w:r w:rsidRPr="0066241B">
        <w:rPr>
          <w:rFonts w:ascii="Book Antiqua" w:hAnsi="Book Antiqua"/>
          <w:b/>
          <w:color w:val="000000" w:themeColor="text1"/>
        </w:rPr>
        <w:t xml:space="preserve"> </w:t>
      </w:r>
      <w:r w:rsidRPr="0066241B">
        <w:rPr>
          <w:rFonts w:ascii="Book Antiqua" w:eastAsia="Book Antiqua" w:hAnsi="Book Antiqua" w:cs="Book Antiqua"/>
          <w:color w:val="000000" w:themeColor="text1"/>
        </w:rPr>
        <w:t>A: Cumulative incidence of hepatocellular carcinoma in the untreated, interferon-based treatment (IBT), and direct-acting antivirals (DAA) groups;</w:t>
      </w:r>
      <w:r w:rsidRPr="0066241B">
        <w:rPr>
          <w:rFonts w:ascii="Book Antiqua" w:hAnsi="Book Antiqua"/>
          <w:b/>
          <w:color w:val="000000" w:themeColor="text1"/>
        </w:rPr>
        <w:t xml:space="preserve"> </w:t>
      </w:r>
      <w:r w:rsidRPr="0066241B">
        <w:rPr>
          <w:rFonts w:ascii="Book Antiqua" w:eastAsia="Book Antiqua" w:hAnsi="Book Antiqua" w:cs="Book Antiqua"/>
          <w:color w:val="000000" w:themeColor="text1"/>
        </w:rPr>
        <w:t xml:space="preserve">B: Cumulative incidence of decompensation in the untreated, IBT, and </w:t>
      </w:r>
      <w:r w:rsidRPr="0066241B">
        <w:rPr>
          <w:rFonts w:ascii="Book Antiqua" w:eastAsia="Book Antiqua" w:hAnsi="Book Antiqua" w:cs="Book Antiqua"/>
          <w:color w:val="000000" w:themeColor="text1"/>
        </w:rPr>
        <w:lastRenderedPageBreak/>
        <w:t>DAA groups;</w:t>
      </w:r>
      <w:r w:rsidRPr="0066241B">
        <w:rPr>
          <w:rFonts w:ascii="Book Antiqua" w:hAnsi="Book Antiqua"/>
          <w:b/>
          <w:color w:val="000000" w:themeColor="text1"/>
        </w:rPr>
        <w:t xml:space="preserve"> </w:t>
      </w:r>
      <w:r w:rsidRPr="0066241B">
        <w:rPr>
          <w:rFonts w:ascii="Book Antiqua" w:eastAsia="Book Antiqua" w:hAnsi="Book Antiqua" w:cs="Book Antiqua"/>
          <w:color w:val="000000" w:themeColor="text1"/>
        </w:rPr>
        <w:t xml:space="preserve">C: Cumulative incidence of death/transplantation in the untreated, IBT, and DAA groups. </w:t>
      </w:r>
      <w:bookmarkStart w:id="50" w:name="OLE_LINK4666"/>
      <w:bookmarkStart w:id="51" w:name="OLE_LINK4667"/>
      <w:r w:rsidRPr="0066241B">
        <w:rPr>
          <w:rFonts w:ascii="Book Antiqua" w:eastAsia="Book Antiqua" w:hAnsi="Book Antiqua" w:cs="Book Antiqua"/>
          <w:color w:val="000000" w:themeColor="text1"/>
        </w:rPr>
        <w:t>DAA: Direct-acting antivirals; HCC: Hepatocellular carcinoma; IBT: Interferon-based treatment.</w:t>
      </w:r>
      <w:bookmarkEnd w:id="50"/>
      <w:bookmarkEnd w:id="51"/>
    </w:p>
    <w:p w14:paraId="53D576C8" w14:textId="77777777" w:rsidR="0052656F" w:rsidRPr="0066241B" w:rsidRDefault="0052656F" w:rsidP="00B34F1C">
      <w:pPr>
        <w:spacing w:line="360" w:lineRule="auto"/>
        <w:jc w:val="both"/>
        <w:rPr>
          <w:rFonts w:ascii="Book Antiqua" w:hAnsi="Book Antiqua"/>
          <w:b/>
          <w:color w:val="000000" w:themeColor="text1"/>
        </w:rPr>
      </w:pPr>
    </w:p>
    <w:p w14:paraId="3F3AAEFF" w14:textId="77777777" w:rsidR="0052656F" w:rsidRPr="0066241B" w:rsidRDefault="0052656F" w:rsidP="00B34F1C">
      <w:pPr>
        <w:spacing w:line="360" w:lineRule="auto"/>
        <w:jc w:val="both"/>
        <w:rPr>
          <w:rFonts w:ascii="Book Antiqua" w:hAnsi="Book Antiqua"/>
          <w:color w:val="000000" w:themeColor="text1"/>
        </w:rPr>
        <w:sectPr w:rsidR="0052656F" w:rsidRPr="0066241B" w:rsidSect="0037300D">
          <w:pgSz w:w="12240" w:h="15840"/>
          <w:pgMar w:top="1440" w:right="1440" w:bottom="1440" w:left="1440" w:header="720" w:footer="720" w:gutter="0"/>
          <w:cols w:space="720"/>
          <w:docGrid w:linePitch="360"/>
        </w:sectPr>
      </w:pPr>
    </w:p>
    <w:p w14:paraId="49584C65" w14:textId="6C54578C" w:rsidR="0052656F" w:rsidRPr="0066241B" w:rsidRDefault="008152A5" w:rsidP="00B34F1C">
      <w:pPr>
        <w:spacing w:line="360" w:lineRule="auto"/>
        <w:jc w:val="both"/>
        <w:rPr>
          <w:rFonts w:ascii="Book Antiqua" w:hAnsi="Book Antiqua"/>
          <w:color w:val="000000" w:themeColor="text1"/>
        </w:rPr>
      </w:pPr>
      <w:r>
        <w:rPr>
          <w:rFonts w:ascii="Book Antiqua" w:hAnsi="Book Antiqua"/>
          <w:noProof/>
          <w:color w:val="000000" w:themeColor="text1"/>
        </w:rPr>
        <w:lastRenderedPageBreak/>
        <w:drawing>
          <wp:inline distT="0" distB="0" distL="0" distR="0" wp14:anchorId="640094BE" wp14:editId="5B79D7B0">
            <wp:extent cx="5847715" cy="6656070"/>
            <wp:effectExtent l="0" t="0" r="63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47715" cy="6656070"/>
                    </a:xfrm>
                    <a:prstGeom prst="rect">
                      <a:avLst/>
                    </a:prstGeom>
                    <a:noFill/>
                    <a:ln>
                      <a:noFill/>
                    </a:ln>
                  </pic:spPr>
                </pic:pic>
              </a:graphicData>
            </a:graphic>
          </wp:inline>
        </w:drawing>
      </w:r>
    </w:p>
    <w:p w14:paraId="16ECA207" w14:textId="77777777" w:rsidR="0052656F" w:rsidRPr="0066241B" w:rsidRDefault="000D2442" w:rsidP="00B34F1C">
      <w:pPr>
        <w:spacing w:line="360" w:lineRule="auto"/>
        <w:jc w:val="both"/>
        <w:rPr>
          <w:rFonts w:ascii="Book Antiqua" w:eastAsia="Book Antiqua" w:hAnsi="Book Antiqua" w:cs="Book Antiqua"/>
          <w:color w:val="000000" w:themeColor="text1"/>
        </w:rPr>
      </w:pPr>
      <w:r w:rsidRPr="0066241B">
        <w:rPr>
          <w:rFonts w:ascii="Book Antiqua" w:eastAsia="Book Antiqua" w:hAnsi="Book Antiqua" w:cs="Book Antiqua"/>
          <w:b/>
          <w:color w:val="000000" w:themeColor="text1"/>
        </w:rPr>
        <w:t>Figure 3 Cumulative incidences of hepatocellular carcinoma, decompensation, and death/transplantation in the matched sustained virologic response cohort.</w:t>
      </w:r>
      <w:r w:rsidRPr="0066241B">
        <w:rPr>
          <w:rFonts w:ascii="Book Antiqua" w:hAnsi="Book Antiqua"/>
          <w:b/>
          <w:color w:val="000000" w:themeColor="text1"/>
        </w:rPr>
        <w:t xml:space="preserve"> </w:t>
      </w:r>
      <w:r w:rsidRPr="0066241B">
        <w:rPr>
          <w:rFonts w:ascii="Book Antiqua" w:eastAsia="Book Antiqua" w:hAnsi="Book Antiqua" w:cs="Book Antiqua"/>
          <w:color w:val="000000" w:themeColor="text1"/>
        </w:rPr>
        <w:t xml:space="preserve">A: Cumulative incidence of </w:t>
      </w:r>
      <w:bookmarkStart w:id="52" w:name="OLE_LINK4737"/>
      <w:bookmarkStart w:id="53" w:name="OLE_LINK4738"/>
      <w:r w:rsidRPr="0066241B">
        <w:rPr>
          <w:rFonts w:ascii="Book Antiqua" w:eastAsia="Book Antiqua" w:hAnsi="Book Antiqua" w:cs="Book Antiqua"/>
          <w:color w:val="000000" w:themeColor="text1"/>
        </w:rPr>
        <w:t>hepatocellular carcinoma</w:t>
      </w:r>
      <w:bookmarkEnd w:id="52"/>
      <w:bookmarkEnd w:id="53"/>
      <w:r w:rsidRPr="0066241B">
        <w:rPr>
          <w:rFonts w:ascii="Book Antiqua" w:eastAsia="Book Antiqua" w:hAnsi="Book Antiqua" w:cs="Book Antiqua"/>
          <w:color w:val="000000" w:themeColor="text1"/>
        </w:rPr>
        <w:t xml:space="preserve"> in the interferon-based treatment-sustained virologic response (IBT-SVR) and direct-acting antivirals-sustained virologic response (DAA-SVR) groups; B: Cumulative incidence of decompensation in the IBT-SVR and DAA-SVR groups;</w:t>
      </w:r>
      <w:r w:rsidRPr="0066241B">
        <w:rPr>
          <w:rFonts w:ascii="Book Antiqua" w:hAnsi="Book Antiqua"/>
          <w:b/>
          <w:color w:val="000000" w:themeColor="text1"/>
        </w:rPr>
        <w:t xml:space="preserve"> </w:t>
      </w:r>
      <w:r w:rsidRPr="0066241B">
        <w:rPr>
          <w:rFonts w:ascii="Book Antiqua" w:eastAsia="Book Antiqua" w:hAnsi="Book Antiqua" w:cs="Book Antiqua"/>
          <w:color w:val="000000" w:themeColor="text1"/>
        </w:rPr>
        <w:t>C: Cumulative incidence of death/Liver transplantation in the IBT-SVR and DAA-SVR groups. DAA: Direct-acting antivirals; HCC: Hepatocellular carcinoma; IBT: Interferon-based treatment; SVR: Sustained virologic response.</w:t>
      </w:r>
    </w:p>
    <w:p w14:paraId="0DA36474" w14:textId="77777777" w:rsidR="0052656F" w:rsidRPr="0066241B" w:rsidRDefault="0052656F" w:rsidP="00B34F1C">
      <w:pPr>
        <w:spacing w:line="360" w:lineRule="auto"/>
        <w:jc w:val="both"/>
        <w:rPr>
          <w:rFonts w:ascii="Book Antiqua" w:hAnsi="Book Antiqua"/>
          <w:color w:val="000000" w:themeColor="text1"/>
        </w:rPr>
        <w:sectPr w:rsidR="0052656F" w:rsidRPr="0066241B" w:rsidSect="0037300D">
          <w:footerReference w:type="even" r:id="rId27"/>
          <w:footerReference w:type="default" r:id="rId28"/>
          <w:pgSz w:w="11906" w:h="16838"/>
          <w:pgMar w:top="680" w:right="680" w:bottom="680" w:left="680" w:header="851" w:footer="992" w:gutter="0"/>
          <w:cols w:space="720"/>
          <w:docGrid w:linePitch="326"/>
        </w:sectPr>
      </w:pPr>
    </w:p>
    <w:p w14:paraId="5051718F" w14:textId="77777777" w:rsidR="0052656F" w:rsidRPr="0066241B" w:rsidRDefault="000D2442" w:rsidP="00B34F1C">
      <w:pPr>
        <w:spacing w:line="360" w:lineRule="auto"/>
        <w:jc w:val="both"/>
        <w:rPr>
          <w:rFonts w:ascii="Book Antiqua" w:eastAsia="Arial" w:hAnsi="Book Antiqua" w:cs="Arial"/>
          <w:b/>
          <w:color w:val="000000" w:themeColor="text1"/>
        </w:rPr>
      </w:pPr>
      <w:bookmarkStart w:id="54" w:name="OLE_LINK4691"/>
      <w:bookmarkStart w:id="55" w:name="OLE_LINK4692"/>
      <w:bookmarkStart w:id="56" w:name="OLE_LINK4693"/>
      <w:bookmarkStart w:id="57" w:name="OLE_LINK4694"/>
      <w:bookmarkStart w:id="58" w:name="OLE_LINK4697"/>
      <w:bookmarkStart w:id="59" w:name="OLE_LINK4698"/>
      <w:bookmarkEnd w:id="54"/>
      <w:bookmarkEnd w:id="55"/>
      <w:bookmarkEnd w:id="56"/>
      <w:bookmarkEnd w:id="57"/>
      <w:r w:rsidRPr="0066241B">
        <w:rPr>
          <w:rFonts w:ascii="Book Antiqua" w:eastAsia="Arial" w:hAnsi="Book Antiqua" w:cs="Arial"/>
          <w:b/>
          <w:color w:val="000000" w:themeColor="text1"/>
        </w:rPr>
        <w:lastRenderedPageBreak/>
        <w:t xml:space="preserve">Table 1 Baseline characteristics of the entire </w:t>
      </w:r>
      <w:r w:rsidRPr="0066241B">
        <w:rPr>
          <w:rFonts w:ascii="Book Antiqua" w:eastAsia="Book Antiqua" w:hAnsi="Book Antiqua" w:cs="Book Antiqua"/>
          <w:b/>
          <w:color w:val="000000" w:themeColor="text1"/>
        </w:rPr>
        <w:t>hepatitis C virus</w:t>
      </w:r>
      <w:r w:rsidRPr="0066241B">
        <w:rPr>
          <w:rFonts w:ascii="Book Antiqua" w:eastAsia="Arial" w:hAnsi="Book Antiqua" w:cs="Arial"/>
          <w:b/>
          <w:color w:val="000000" w:themeColor="text1"/>
        </w:rPr>
        <w:t xml:space="preserve"> cohort according to the </w:t>
      </w:r>
      <w:r w:rsidRPr="0066241B">
        <w:rPr>
          <w:rFonts w:ascii="Book Antiqua" w:hAnsi="Book Antiqua" w:cs="Arial"/>
          <w:b/>
          <w:color w:val="000000" w:themeColor="text1"/>
        </w:rPr>
        <w:t>t</w:t>
      </w:r>
      <w:r w:rsidRPr="0066241B">
        <w:rPr>
          <w:rFonts w:ascii="Book Antiqua" w:eastAsia="Arial" w:hAnsi="Book Antiqua" w:cs="Arial"/>
          <w:b/>
          <w:color w:val="000000" w:themeColor="text1"/>
        </w:rPr>
        <w:t>reatment</w:t>
      </w:r>
      <w:bookmarkEnd w:id="58"/>
      <w:bookmarkEnd w:id="59"/>
    </w:p>
    <w:tbl>
      <w:tblPr>
        <w:tblStyle w:val="a8"/>
        <w:tblW w:w="0" w:type="auto"/>
        <w:tblBorders>
          <w:top w:val="nil"/>
          <w:left w:val="nil"/>
          <w:bottom w:val="nil"/>
          <w:right w:val="nil"/>
          <w:insideH w:val="nil"/>
          <w:insideV w:val="nil"/>
        </w:tblBorders>
        <w:tblLook w:val="04A0" w:firstRow="1" w:lastRow="0" w:firstColumn="1" w:lastColumn="0" w:noHBand="0" w:noVBand="1"/>
      </w:tblPr>
      <w:tblGrid>
        <w:gridCol w:w="3717"/>
        <w:gridCol w:w="2263"/>
        <w:gridCol w:w="1850"/>
        <w:gridCol w:w="1941"/>
        <w:gridCol w:w="1365"/>
        <w:gridCol w:w="1424"/>
        <w:gridCol w:w="1485"/>
        <w:gridCol w:w="1433"/>
      </w:tblGrid>
      <w:tr w:rsidR="00C21A2B" w:rsidRPr="0066241B" w14:paraId="4AD1DA2F" w14:textId="77777777">
        <w:tc>
          <w:tcPr>
            <w:tcW w:w="3771" w:type="dxa"/>
            <w:tcBorders>
              <w:top w:val="single" w:sz="4" w:space="0" w:color="000000"/>
              <w:bottom w:val="single" w:sz="4" w:space="0" w:color="000000"/>
            </w:tcBorders>
          </w:tcPr>
          <w:p w14:paraId="5F7E565C" w14:textId="77777777" w:rsidR="0052656F" w:rsidRPr="0066241B" w:rsidRDefault="000D2442" w:rsidP="00B34F1C">
            <w:pPr>
              <w:spacing w:line="360" w:lineRule="auto"/>
              <w:rPr>
                <w:rFonts w:ascii="Book Antiqua" w:eastAsia="Arial" w:hAnsi="Book Antiqua" w:cs="Arial"/>
                <w:b/>
                <w:color w:val="000000" w:themeColor="text1"/>
              </w:rPr>
            </w:pPr>
            <w:r w:rsidRPr="0066241B">
              <w:rPr>
                <w:rFonts w:ascii="Book Antiqua" w:eastAsia="Arial" w:hAnsi="Book Antiqua" w:cs="Arial"/>
                <w:b/>
                <w:color w:val="000000" w:themeColor="text1"/>
              </w:rPr>
              <w:t xml:space="preserve">Variable, </w:t>
            </w:r>
            <w:r w:rsidRPr="0066241B">
              <w:rPr>
                <w:rFonts w:ascii="Book Antiqua" w:eastAsia="Arial" w:hAnsi="Book Antiqua" w:cs="Arial"/>
                <w:b/>
                <w:i/>
                <w:color w:val="000000" w:themeColor="text1"/>
              </w:rPr>
              <w:t>n</w:t>
            </w:r>
            <w:r w:rsidRPr="0066241B">
              <w:rPr>
                <w:rFonts w:ascii="Book Antiqua" w:eastAsia="Arial" w:hAnsi="Book Antiqua" w:cs="Arial"/>
                <w:b/>
                <w:color w:val="000000" w:themeColor="text1"/>
              </w:rPr>
              <w:t xml:space="preserve"> (%)</w:t>
            </w:r>
          </w:p>
        </w:tc>
        <w:tc>
          <w:tcPr>
            <w:tcW w:w="2296" w:type="dxa"/>
            <w:tcBorders>
              <w:top w:val="single" w:sz="4" w:space="0" w:color="000000"/>
              <w:bottom w:val="single" w:sz="4" w:space="0" w:color="000000"/>
            </w:tcBorders>
          </w:tcPr>
          <w:p w14:paraId="551AF12E" w14:textId="16A18A10" w:rsidR="0052656F" w:rsidRPr="0066241B" w:rsidRDefault="000D2442" w:rsidP="00B34F1C">
            <w:pPr>
              <w:spacing w:line="360" w:lineRule="auto"/>
              <w:rPr>
                <w:rFonts w:ascii="Book Antiqua" w:eastAsia="Arial" w:hAnsi="Book Antiqua" w:cs="Arial"/>
                <w:b/>
                <w:color w:val="000000" w:themeColor="text1"/>
              </w:rPr>
            </w:pPr>
            <w:r w:rsidRPr="0066241B">
              <w:rPr>
                <w:rFonts w:ascii="Book Antiqua" w:eastAsia="Arial" w:hAnsi="Book Antiqua" w:cs="Arial"/>
                <w:b/>
                <w:color w:val="000000" w:themeColor="text1"/>
              </w:rPr>
              <w:t>Untreated group</w:t>
            </w:r>
            <w:r w:rsidRPr="0066241B">
              <w:rPr>
                <w:rFonts w:ascii="Book Antiqua" w:eastAsia="Arial" w:hAnsi="Book Antiqua" w:cs="Arial"/>
                <w:color w:val="000000" w:themeColor="text1"/>
              </w:rPr>
              <w:t xml:space="preserve"> </w:t>
            </w:r>
            <w:r w:rsidRPr="0066241B">
              <w:rPr>
                <w:rFonts w:ascii="Book Antiqua" w:eastAsia="Arial" w:hAnsi="Book Antiqua" w:cs="Arial"/>
                <w:b/>
                <w:color w:val="000000" w:themeColor="text1"/>
              </w:rPr>
              <w:t>(</w:t>
            </w:r>
            <w:r w:rsidRPr="0066241B">
              <w:rPr>
                <w:rFonts w:ascii="Book Antiqua" w:eastAsia="Arial" w:hAnsi="Book Antiqua" w:cs="Arial"/>
                <w:b/>
                <w:i/>
                <w:color w:val="000000" w:themeColor="text1"/>
              </w:rPr>
              <w:t>n</w:t>
            </w:r>
            <w:r w:rsidRPr="0066241B">
              <w:rPr>
                <w:rFonts w:ascii="Book Antiqua" w:eastAsia="Arial" w:hAnsi="Book Antiqua" w:cs="Arial"/>
                <w:b/>
                <w:color w:val="000000" w:themeColor="text1"/>
              </w:rPr>
              <w:t xml:space="preserve"> = 619)</w:t>
            </w:r>
          </w:p>
        </w:tc>
        <w:tc>
          <w:tcPr>
            <w:tcW w:w="1871" w:type="dxa"/>
            <w:tcBorders>
              <w:top w:val="single" w:sz="4" w:space="0" w:color="000000"/>
              <w:bottom w:val="single" w:sz="4" w:space="0" w:color="000000"/>
            </w:tcBorders>
          </w:tcPr>
          <w:p w14:paraId="6406785C" w14:textId="4E3A38D1" w:rsidR="0052656F" w:rsidRPr="0066241B" w:rsidRDefault="000D2442" w:rsidP="00B34F1C">
            <w:pPr>
              <w:spacing w:line="360" w:lineRule="auto"/>
              <w:rPr>
                <w:rFonts w:ascii="Book Antiqua" w:eastAsia="Arial" w:hAnsi="Book Antiqua" w:cs="Arial"/>
                <w:b/>
                <w:color w:val="000000" w:themeColor="text1"/>
              </w:rPr>
            </w:pPr>
            <w:r w:rsidRPr="0066241B">
              <w:rPr>
                <w:rFonts w:ascii="Book Antiqua" w:eastAsia="Arial" w:hAnsi="Book Antiqua" w:cs="Arial"/>
                <w:b/>
                <w:color w:val="000000" w:themeColor="text1"/>
              </w:rPr>
              <w:t>IBT group</w:t>
            </w:r>
            <w:r w:rsidRPr="0066241B">
              <w:rPr>
                <w:rFonts w:ascii="Book Antiqua" w:eastAsia="Arial" w:hAnsi="Book Antiqua" w:cs="Arial"/>
                <w:color w:val="000000" w:themeColor="text1"/>
              </w:rPr>
              <w:t xml:space="preserve"> </w:t>
            </w:r>
            <w:r w:rsidRPr="0066241B">
              <w:rPr>
                <w:rFonts w:ascii="Book Antiqua" w:eastAsia="Arial" w:hAnsi="Book Antiqua" w:cs="Arial"/>
                <w:b/>
                <w:color w:val="000000" w:themeColor="text1"/>
              </w:rPr>
              <w:t>(</w:t>
            </w:r>
            <w:r w:rsidRPr="0066241B">
              <w:rPr>
                <w:rFonts w:ascii="Book Antiqua" w:eastAsia="Arial" w:hAnsi="Book Antiqua" w:cs="Arial"/>
                <w:b/>
                <w:i/>
                <w:color w:val="000000" w:themeColor="text1"/>
              </w:rPr>
              <w:t>n</w:t>
            </w:r>
            <w:r w:rsidRPr="0066241B">
              <w:rPr>
                <w:rFonts w:ascii="Book Antiqua" w:eastAsia="Arial" w:hAnsi="Book Antiqua" w:cs="Arial"/>
                <w:b/>
                <w:color w:val="000000" w:themeColor="text1"/>
              </w:rPr>
              <w:t xml:space="preserve"> = 578)</w:t>
            </w:r>
          </w:p>
        </w:tc>
        <w:tc>
          <w:tcPr>
            <w:tcW w:w="1965" w:type="dxa"/>
            <w:tcBorders>
              <w:top w:val="single" w:sz="4" w:space="0" w:color="000000"/>
              <w:bottom w:val="single" w:sz="4" w:space="0" w:color="000000"/>
            </w:tcBorders>
          </w:tcPr>
          <w:p w14:paraId="41B33337" w14:textId="2AA27BD3" w:rsidR="0052656F" w:rsidRPr="0066241B" w:rsidRDefault="000D2442" w:rsidP="00B34F1C">
            <w:pPr>
              <w:spacing w:line="360" w:lineRule="auto"/>
              <w:rPr>
                <w:rFonts w:ascii="Book Antiqua" w:eastAsia="Arial" w:hAnsi="Book Antiqua" w:cs="Arial"/>
                <w:b/>
                <w:color w:val="000000" w:themeColor="text1"/>
              </w:rPr>
            </w:pPr>
            <w:r w:rsidRPr="0066241B">
              <w:rPr>
                <w:rFonts w:ascii="Book Antiqua" w:eastAsia="Arial" w:hAnsi="Book Antiqua" w:cs="Arial"/>
                <w:b/>
                <w:color w:val="000000" w:themeColor="text1"/>
              </w:rPr>
              <w:t>DAA group (</w:t>
            </w:r>
            <w:r w:rsidRPr="0066241B">
              <w:rPr>
                <w:rFonts w:ascii="Book Antiqua" w:eastAsia="Arial" w:hAnsi="Book Antiqua" w:cs="Arial"/>
                <w:b/>
                <w:i/>
                <w:color w:val="000000" w:themeColor="text1"/>
              </w:rPr>
              <w:t>n</w:t>
            </w:r>
            <w:r w:rsidRPr="0066241B">
              <w:rPr>
                <w:rFonts w:ascii="Book Antiqua" w:eastAsia="Arial" w:hAnsi="Book Antiqua" w:cs="Arial"/>
                <w:b/>
                <w:color w:val="000000" w:themeColor="text1"/>
              </w:rPr>
              <w:t xml:space="preserve"> = 857)</w:t>
            </w:r>
          </w:p>
        </w:tc>
        <w:tc>
          <w:tcPr>
            <w:tcW w:w="1384" w:type="dxa"/>
            <w:tcBorders>
              <w:top w:val="single" w:sz="4" w:space="0" w:color="000000"/>
              <w:bottom w:val="single" w:sz="4" w:space="0" w:color="000000"/>
            </w:tcBorders>
          </w:tcPr>
          <w:p w14:paraId="03E16139" w14:textId="36751596" w:rsidR="0052656F" w:rsidRPr="0066241B" w:rsidRDefault="000D2442" w:rsidP="00B34F1C">
            <w:pPr>
              <w:spacing w:line="360" w:lineRule="auto"/>
              <w:rPr>
                <w:rFonts w:ascii="Book Antiqua" w:eastAsia="Arial" w:hAnsi="Book Antiqua" w:cs="Arial"/>
                <w:b/>
                <w:i/>
                <w:color w:val="000000" w:themeColor="text1"/>
              </w:rPr>
            </w:pPr>
            <w:r w:rsidRPr="0066241B">
              <w:rPr>
                <w:rFonts w:ascii="Book Antiqua" w:eastAsia="Arial" w:hAnsi="Book Antiqua" w:cs="Arial"/>
                <w:b/>
                <w:i/>
                <w:color w:val="000000" w:themeColor="text1"/>
              </w:rPr>
              <w:t xml:space="preserve">P </w:t>
            </w:r>
            <w:r w:rsidRPr="0066241B">
              <w:rPr>
                <w:rFonts w:ascii="Book Antiqua" w:eastAsia="Arial" w:hAnsi="Book Antiqua" w:cs="Arial"/>
                <w:b/>
                <w:color w:val="000000" w:themeColor="text1"/>
              </w:rPr>
              <w:t>value (3 Gr.)</w:t>
            </w:r>
          </w:p>
        </w:tc>
        <w:tc>
          <w:tcPr>
            <w:tcW w:w="1445" w:type="dxa"/>
            <w:tcBorders>
              <w:top w:val="single" w:sz="4" w:space="0" w:color="000000"/>
              <w:bottom w:val="single" w:sz="4" w:space="0" w:color="000000"/>
            </w:tcBorders>
          </w:tcPr>
          <w:p w14:paraId="67161CD1" w14:textId="44C9DD5B" w:rsidR="0052656F" w:rsidRPr="0066241B" w:rsidRDefault="000D2442" w:rsidP="00B34F1C">
            <w:pPr>
              <w:spacing w:line="360" w:lineRule="auto"/>
              <w:rPr>
                <w:rFonts w:ascii="Book Antiqua" w:eastAsia="Arial" w:hAnsi="Book Antiqua" w:cs="Arial"/>
                <w:b/>
                <w:iCs/>
                <w:color w:val="000000" w:themeColor="text1"/>
              </w:rPr>
            </w:pPr>
            <w:r w:rsidRPr="0066241B">
              <w:rPr>
                <w:rFonts w:ascii="Book Antiqua" w:eastAsia="Arial" w:hAnsi="Book Antiqua" w:cs="Arial"/>
                <w:b/>
                <w:i/>
                <w:color w:val="000000" w:themeColor="text1"/>
              </w:rPr>
              <w:t xml:space="preserve">P </w:t>
            </w:r>
            <w:r w:rsidRPr="0066241B">
              <w:rPr>
                <w:rFonts w:ascii="Book Antiqua" w:eastAsia="Arial" w:hAnsi="Book Antiqua" w:cs="Arial"/>
                <w:b/>
                <w:color w:val="000000" w:themeColor="text1"/>
              </w:rPr>
              <w:t xml:space="preserve">value </w:t>
            </w:r>
            <w:r w:rsidRPr="0066241B">
              <w:rPr>
                <w:rFonts w:ascii="Book Antiqua" w:eastAsia="Arial" w:hAnsi="Book Antiqua" w:cs="Arial"/>
                <w:b/>
                <w:iCs/>
                <w:color w:val="000000" w:themeColor="text1"/>
              </w:rPr>
              <w:t xml:space="preserve">(U </w:t>
            </w:r>
            <w:r w:rsidRPr="0066241B">
              <w:rPr>
                <w:rFonts w:ascii="Book Antiqua" w:eastAsia="Arial" w:hAnsi="Book Antiqua" w:cs="Arial"/>
                <w:b/>
                <w:i/>
                <w:color w:val="000000" w:themeColor="text1"/>
              </w:rPr>
              <w:t>vs</w:t>
            </w:r>
            <w:r w:rsidRPr="0066241B">
              <w:rPr>
                <w:rFonts w:ascii="Book Antiqua" w:eastAsia="Arial" w:hAnsi="Book Antiqua" w:cs="Arial"/>
                <w:b/>
                <w:iCs/>
                <w:color w:val="000000" w:themeColor="text1"/>
              </w:rPr>
              <w:t xml:space="preserve"> I)</w:t>
            </w:r>
          </w:p>
        </w:tc>
        <w:tc>
          <w:tcPr>
            <w:tcW w:w="1508" w:type="dxa"/>
            <w:tcBorders>
              <w:top w:val="single" w:sz="4" w:space="0" w:color="000000"/>
              <w:bottom w:val="single" w:sz="4" w:space="0" w:color="000000"/>
            </w:tcBorders>
          </w:tcPr>
          <w:p w14:paraId="309CC07F" w14:textId="0F3DB8F0" w:rsidR="0052656F" w:rsidRPr="0066241B" w:rsidRDefault="000D2442" w:rsidP="00B34F1C">
            <w:pPr>
              <w:spacing w:line="360" w:lineRule="auto"/>
              <w:rPr>
                <w:rFonts w:ascii="Book Antiqua" w:eastAsia="Arial" w:hAnsi="Book Antiqua" w:cs="Arial"/>
                <w:b/>
                <w:iCs/>
                <w:color w:val="000000" w:themeColor="text1"/>
              </w:rPr>
            </w:pPr>
            <w:r w:rsidRPr="0066241B">
              <w:rPr>
                <w:rFonts w:ascii="Book Antiqua" w:eastAsia="Arial" w:hAnsi="Book Antiqua" w:cs="Arial"/>
                <w:b/>
                <w:i/>
                <w:color w:val="000000" w:themeColor="text1"/>
              </w:rPr>
              <w:t>P</w:t>
            </w:r>
            <w:r w:rsidRPr="0066241B">
              <w:rPr>
                <w:rFonts w:ascii="Book Antiqua" w:eastAsia="Arial" w:hAnsi="Book Antiqua" w:cs="Arial"/>
                <w:b/>
                <w:color w:val="000000" w:themeColor="text1"/>
              </w:rPr>
              <w:t xml:space="preserve"> value </w:t>
            </w:r>
            <w:r w:rsidRPr="0066241B">
              <w:rPr>
                <w:rFonts w:ascii="Book Antiqua" w:eastAsia="Arial" w:hAnsi="Book Antiqua" w:cs="Arial"/>
                <w:b/>
                <w:iCs/>
                <w:color w:val="000000" w:themeColor="text1"/>
              </w:rPr>
              <w:t xml:space="preserve">(U </w:t>
            </w:r>
            <w:r w:rsidRPr="0066241B">
              <w:rPr>
                <w:rFonts w:ascii="Book Antiqua" w:eastAsia="Arial" w:hAnsi="Book Antiqua" w:cs="Arial"/>
                <w:b/>
                <w:i/>
                <w:color w:val="000000" w:themeColor="text1"/>
              </w:rPr>
              <w:t>vs</w:t>
            </w:r>
            <w:r w:rsidRPr="0066241B">
              <w:rPr>
                <w:rFonts w:ascii="Book Antiqua" w:eastAsia="Arial" w:hAnsi="Book Antiqua" w:cs="Arial"/>
                <w:b/>
                <w:iCs/>
                <w:color w:val="000000" w:themeColor="text1"/>
              </w:rPr>
              <w:t xml:space="preserve"> D)</w:t>
            </w:r>
          </w:p>
        </w:tc>
        <w:tc>
          <w:tcPr>
            <w:tcW w:w="1454" w:type="dxa"/>
            <w:tcBorders>
              <w:top w:val="single" w:sz="4" w:space="0" w:color="000000"/>
              <w:bottom w:val="single" w:sz="4" w:space="0" w:color="000000"/>
            </w:tcBorders>
          </w:tcPr>
          <w:p w14:paraId="5353A445" w14:textId="4DEC9099" w:rsidR="0052656F" w:rsidRPr="0066241B" w:rsidRDefault="000D2442" w:rsidP="00B34F1C">
            <w:pPr>
              <w:spacing w:line="360" w:lineRule="auto"/>
              <w:rPr>
                <w:rFonts w:ascii="Book Antiqua" w:eastAsia="Arial" w:hAnsi="Book Antiqua" w:cs="Arial"/>
                <w:b/>
                <w:i/>
                <w:color w:val="000000" w:themeColor="text1"/>
              </w:rPr>
            </w:pPr>
            <w:r w:rsidRPr="0066241B">
              <w:rPr>
                <w:rFonts w:ascii="Book Antiqua" w:eastAsia="Arial" w:hAnsi="Book Antiqua" w:cs="Arial"/>
                <w:b/>
                <w:i/>
                <w:color w:val="000000" w:themeColor="text1"/>
              </w:rPr>
              <w:t>P</w:t>
            </w:r>
            <w:r w:rsidRPr="0066241B">
              <w:rPr>
                <w:rFonts w:ascii="Book Antiqua" w:eastAsia="Arial" w:hAnsi="Book Antiqua" w:cs="Arial"/>
                <w:b/>
                <w:color w:val="000000" w:themeColor="text1"/>
              </w:rPr>
              <w:t xml:space="preserve"> value </w:t>
            </w:r>
            <w:r w:rsidRPr="0066241B">
              <w:rPr>
                <w:rFonts w:ascii="Book Antiqua" w:eastAsia="Arial" w:hAnsi="Book Antiqua" w:cs="Arial"/>
                <w:b/>
                <w:iCs/>
                <w:color w:val="000000" w:themeColor="text1"/>
              </w:rPr>
              <w:t>(</w:t>
            </w:r>
            <w:r w:rsidRPr="0066241B">
              <w:rPr>
                <w:rFonts w:ascii="Book Antiqua" w:eastAsia="Arial" w:hAnsi="Book Antiqua" w:cs="Arial"/>
                <w:b/>
                <w:color w:val="000000" w:themeColor="text1"/>
              </w:rPr>
              <w:t>I</w:t>
            </w:r>
            <w:r w:rsidRPr="0066241B">
              <w:rPr>
                <w:rFonts w:ascii="Book Antiqua" w:eastAsia="Arial" w:hAnsi="Book Antiqua" w:cs="Arial"/>
                <w:b/>
                <w:i/>
                <w:color w:val="000000" w:themeColor="text1"/>
              </w:rPr>
              <w:t xml:space="preserve"> vs </w:t>
            </w:r>
            <w:r w:rsidRPr="0066241B">
              <w:rPr>
                <w:rFonts w:ascii="Book Antiqua" w:eastAsia="Arial" w:hAnsi="Book Antiqua" w:cs="Arial"/>
                <w:b/>
                <w:color w:val="000000" w:themeColor="text1"/>
              </w:rPr>
              <w:t>D</w:t>
            </w:r>
            <w:r w:rsidRPr="0066241B">
              <w:rPr>
                <w:rFonts w:ascii="Book Antiqua" w:eastAsia="Arial" w:hAnsi="Book Antiqua" w:cs="Arial"/>
                <w:b/>
                <w:iCs/>
                <w:color w:val="000000" w:themeColor="text1"/>
              </w:rPr>
              <w:t>)</w:t>
            </w:r>
          </w:p>
        </w:tc>
      </w:tr>
      <w:tr w:rsidR="00C21A2B" w:rsidRPr="0066241B" w14:paraId="46DCFF61" w14:textId="77777777">
        <w:trPr>
          <w:trHeight w:val="342"/>
        </w:trPr>
        <w:tc>
          <w:tcPr>
            <w:tcW w:w="3771" w:type="dxa"/>
            <w:tcBorders>
              <w:top w:val="single" w:sz="4" w:space="0" w:color="000000"/>
            </w:tcBorders>
          </w:tcPr>
          <w:p w14:paraId="6FAC2539"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Age (yr)</w:t>
            </w:r>
          </w:p>
        </w:tc>
        <w:tc>
          <w:tcPr>
            <w:tcW w:w="2296" w:type="dxa"/>
            <w:tcBorders>
              <w:top w:val="single" w:sz="4" w:space="0" w:color="000000"/>
            </w:tcBorders>
          </w:tcPr>
          <w:p w14:paraId="3A1CE7FB"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60.4 ± 13.4</w:t>
            </w:r>
          </w:p>
        </w:tc>
        <w:tc>
          <w:tcPr>
            <w:tcW w:w="1871" w:type="dxa"/>
            <w:tcBorders>
              <w:top w:val="single" w:sz="4" w:space="0" w:color="000000"/>
            </w:tcBorders>
          </w:tcPr>
          <w:p w14:paraId="01FC4DCC"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51.4 ± 10.9</w:t>
            </w:r>
          </w:p>
        </w:tc>
        <w:tc>
          <w:tcPr>
            <w:tcW w:w="1965" w:type="dxa"/>
            <w:tcBorders>
              <w:top w:val="single" w:sz="4" w:space="0" w:color="000000"/>
            </w:tcBorders>
          </w:tcPr>
          <w:p w14:paraId="474134C5"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59.1±11.4</w:t>
            </w:r>
          </w:p>
        </w:tc>
        <w:tc>
          <w:tcPr>
            <w:tcW w:w="1384" w:type="dxa"/>
            <w:tcBorders>
              <w:top w:val="single" w:sz="4" w:space="0" w:color="000000"/>
            </w:tcBorders>
          </w:tcPr>
          <w:p w14:paraId="2B92431C"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445" w:type="dxa"/>
            <w:tcBorders>
              <w:top w:val="single" w:sz="4" w:space="0" w:color="000000"/>
            </w:tcBorders>
          </w:tcPr>
          <w:p w14:paraId="252555FA"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508" w:type="dxa"/>
            <w:tcBorders>
              <w:top w:val="single" w:sz="4" w:space="0" w:color="000000"/>
            </w:tcBorders>
          </w:tcPr>
          <w:p w14:paraId="24601244"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0.086</w:t>
            </w:r>
          </w:p>
        </w:tc>
        <w:tc>
          <w:tcPr>
            <w:tcW w:w="1454" w:type="dxa"/>
            <w:tcBorders>
              <w:top w:val="single" w:sz="4" w:space="0" w:color="000000"/>
            </w:tcBorders>
          </w:tcPr>
          <w:p w14:paraId="14A98842"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r>
      <w:tr w:rsidR="00C21A2B" w:rsidRPr="0066241B" w14:paraId="40D423D7" w14:textId="77777777">
        <w:trPr>
          <w:trHeight w:val="342"/>
        </w:trPr>
        <w:tc>
          <w:tcPr>
            <w:tcW w:w="3771" w:type="dxa"/>
          </w:tcPr>
          <w:p w14:paraId="273DF6F2"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Male sex</w:t>
            </w:r>
          </w:p>
        </w:tc>
        <w:tc>
          <w:tcPr>
            <w:tcW w:w="2296" w:type="dxa"/>
          </w:tcPr>
          <w:p w14:paraId="0F375911"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280 (45.2)</w:t>
            </w:r>
          </w:p>
        </w:tc>
        <w:tc>
          <w:tcPr>
            <w:tcW w:w="1871" w:type="dxa"/>
          </w:tcPr>
          <w:p w14:paraId="596088A9"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277 (47.9)</w:t>
            </w:r>
          </w:p>
        </w:tc>
        <w:tc>
          <w:tcPr>
            <w:tcW w:w="1965" w:type="dxa"/>
          </w:tcPr>
          <w:p w14:paraId="6767B108"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412 (48.1)</w:t>
            </w:r>
          </w:p>
        </w:tc>
        <w:tc>
          <w:tcPr>
            <w:tcW w:w="1384" w:type="dxa"/>
          </w:tcPr>
          <w:p w14:paraId="0FFF607E"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0.511</w:t>
            </w:r>
          </w:p>
        </w:tc>
        <w:tc>
          <w:tcPr>
            <w:tcW w:w="1445" w:type="dxa"/>
          </w:tcPr>
          <w:p w14:paraId="53257A6B"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0.351</w:t>
            </w:r>
          </w:p>
        </w:tc>
        <w:tc>
          <w:tcPr>
            <w:tcW w:w="1508" w:type="dxa"/>
          </w:tcPr>
          <w:p w14:paraId="5FD640FF"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0.281</w:t>
            </w:r>
          </w:p>
        </w:tc>
        <w:tc>
          <w:tcPr>
            <w:tcW w:w="1454" w:type="dxa"/>
          </w:tcPr>
          <w:p w14:paraId="39886695"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0.955</w:t>
            </w:r>
          </w:p>
        </w:tc>
      </w:tr>
      <w:tr w:rsidR="00C21A2B" w:rsidRPr="0066241B" w14:paraId="048BABC4" w14:textId="77777777">
        <w:trPr>
          <w:trHeight w:val="1066"/>
        </w:trPr>
        <w:tc>
          <w:tcPr>
            <w:tcW w:w="3771" w:type="dxa"/>
          </w:tcPr>
          <w:p w14:paraId="256FD469"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HCV RNA, log</w:t>
            </w:r>
            <w:r w:rsidRPr="0066241B">
              <w:rPr>
                <w:rFonts w:ascii="Book Antiqua" w:eastAsia="Arial" w:hAnsi="Book Antiqua" w:cs="Arial"/>
                <w:color w:val="000000" w:themeColor="text1"/>
                <w:vertAlign w:val="subscript"/>
              </w:rPr>
              <w:t>10</w:t>
            </w:r>
            <w:r w:rsidRPr="0066241B">
              <w:rPr>
                <w:rFonts w:ascii="Book Antiqua" w:eastAsia="Arial" w:hAnsi="Book Antiqua" w:cs="Arial"/>
                <w:color w:val="000000" w:themeColor="text1"/>
              </w:rPr>
              <w:t xml:space="preserve"> IU/mL</w:t>
            </w:r>
          </w:p>
        </w:tc>
        <w:tc>
          <w:tcPr>
            <w:tcW w:w="2296" w:type="dxa"/>
          </w:tcPr>
          <w:p w14:paraId="4E3489CC"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5.89 (5.08-6.45)</w:t>
            </w:r>
          </w:p>
        </w:tc>
        <w:tc>
          <w:tcPr>
            <w:tcW w:w="1871" w:type="dxa"/>
          </w:tcPr>
          <w:p w14:paraId="50974627"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5.83 (4.87-6.49)</w:t>
            </w:r>
          </w:p>
        </w:tc>
        <w:tc>
          <w:tcPr>
            <w:tcW w:w="1965" w:type="dxa"/>
          </w:tcPr>
          <w:p w14:paraId="566B2759"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6.04 (5.27-6.53)</w:t>
            </w:r>
          </w:p>
        </w:tc>
        <w:tc>
          <w:tcPr>
            <w:tcW w:w="1384" w:type="dxa"/>
          </w:tcPr>
          <w:p w14:paraId="67D171B9"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445" w:type="dxa"/>
          </w:tcPr>
          <w:p w14:paraId="6904B1BA"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0.979</w:t>
            </w:r>
          </w:p>
        </w:tc>
        <w:tc>
          <w:tcPr>
            <w:tcW w:w="1508" w:type="dxa"/>
          </w:tcPr>
          <w:p w14:paraId="74231F82"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0.017</w:t>
            </w:r>
          </w:p>
        </w:tc>
        <w:tc>
          <w:tcPr>
            <w:tcW w:w="1454" w:type="dxa"/>
          </w:tcPr>
          <w:p w14:paraId="027CB07F"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r>
      <w:tr w:rsidR="00C21A2B" w:rsidRPr="0066241B" w14:paraId="013F564D" w14:textId="77777777">
        <w:trPr>
          <w:trHeight w:val="684"/>
        </w:trPr>
        <w:tc>
          <w:tcPr>
            <w:tcW w:w="3771" w:type="dxa"/>
          </w:tcPr>
          <w:p w14:paraId="7D493773"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HCV genotype</w:t>
            </w:r>
          </w:p>
        </w:tc>
        <w:tc>
          <w:tcPr>
            <w:tcW w:w="2296" w:type="dxa"/>
          </w:tcPr>
          <w:p w14:paraId="7CE11EEA" w14:textId="77777777" w:rsidR="0052656F" w:rsidRPr="0066241B" w:rsidRDefault="0052656F" w:rsidP="00B34F1C">
            <w:pPr>
              <w:spacing w:line="360" w:lineRule="auto"/>
              <w:rPr>
                <w:rFonts w:ascii="Book Antiqua" w:eastAsia="Arial" w:hAnsi="Book Antiqua" w:cs="Arial"/>
                <w:color w:val="000000" w:themeColor="text1"/>
              </w:rPr>
            </w:pPr>
          </w:p>
        </w:tc>
        <w:tc>
          <w:tcPr>
            <w:tcW w:w="1871" w:type="dxa"/>
          </w:tcPr>
          <w:p w14:paraId="636BFA81" w14:textId="77777777" w:rsidR="0052656F" w:rsidRPr="0066241B" w:rsidRDefault="0052656F" w:rsidP="00B34F1C">
            <w:pPr>
              <w:spacing w:line="360" w:lineRule="auto"/>
              <w:rPr>
                <w:rFonts w:ascii="Book Antiqua" w:eastAsia="Arial" w:hAnsi="Book Antiqua" w:cs="Arial"/>
                <w:color w:val="000000" w:themeColor="text1"/>
              </w:rPr>
            </w:pPr>
          </w:p>
        </w:tc>
        <w:tc>
          <w:tcPr>
            <w:tcW w:w="1965" w:type="dxa"/>
          </w:tcPr>
          <w:p w14:paraId="40761EAD" w14:textId="77777777" w:rsidR="0052656F" w:rsidRPr="0066241B" w:rsidRDefault="0052656F" w:rsidP="00B34F1C">
            <w:pPr>
              <w:spacing w:line="360" w:lineRule="auto"/>
              <w:rPr>
                <w:rFonts w:ascii="Book Antiqua" w:eastAsia="Arial" w:hAnsi="Book Antiqua" w:cs="Arial"/>
                <w:color w:val="000000" w:themeColor="text1"/>
              </w:rPr>
            </w:pPr>
          </w:p>
        </w:tc>
        <w:tc>
          <w:tcPr>
            <w:tcW w:w="1384" w:type="dxa"/>
          </w:tcPr>
          <w:p w14:paraId="0E839756"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445" w:type="dxa"/>
          </w:tcPr>
          <w:p w14:paraId="69517277"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508" w:type="dxa"/>
          </w:tcPr>
          <w:p w14:paraId="74A13038"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454" w:type="dxa"/>
          </w:tcPr>
          <w:p w14:paraId="66C3D13F"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r>
      <w:tr w:rsidR="00C21A2B" w:rsidRPr="0066241B" w14:paraId="61D5774F" w14:textId="77777777">
        <w:trPr>
          <w:trHeight w:val="342"/>
        </w:trPr>
        <w:tc>
          <w:tcPr>
            <w:tcW w:w="3771" w:type="dxa"/>
          </w:tcPr>
          <w:p w14:paraId="75DE7779"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1</w:t>
            </w:r>
          </w:p>
        </w:tc>
        <w:tc>
          <w:tcPr>
            <w:tcW w:w="2296" w:type="dxa"/>
          </w:tcPr>
          <w:p w14:paraId="729A634D"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256 (41.4)</w:t>
            </w:r>
          </w:p>
        </w:tc>
        <w:tc>
          <w:tcPr>
            <w:tcW w:w="1871" w:type="dxa"/>
          </w:tcPr>
          <w:p w14:paraId="27E08094"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242 (41.9)</w:t>
            </w:r>
          </w:p>
        </w:tc>
        <w:tc>
          <w:tcPr>
            <w:tcW w:w="1965" w:type="dxa"/>
          </w:tcPr>
          <w:p w14:paraId="6AB16E20"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491 (57.3)</w:t>
            </w:r>
          </w:p>
        </w:tc>
        <w:tc>
          <w:tcPr>
            <w:tcW w:w="1384" w:type="dxa"/>
          </w:tcPr>
          <w:p w14:paraId="33DAC2F4" w14:textId="77777777" w:rsidR="0052656F" w:rsidRPr="0066241B" w:rsidRDefault="0052656F" w:rsidP="00B34F1C">
            <w:pPr>
              <w:spacing w:line="360" w:lineRule="auto"/>
              <w:rPr>
                <w:rFonts w:ascii="Book Antiqua" w:eastAsia="Arial" w:hAnsi="Book Antiqua" w:cs="Arial"/>
                <w:color w:val="000000" w:themeColor="text1"/>
              </w:rPr>
            </w:pPr>
          </w:p>
        </w:tc>
        <w:tc>
          <w:tcPr>
            <w:tcW w:w="1445" w:type="dxa"/>
          </w:tcPr>
          <w:p w14:paraId="6A75D1BF" w14:textId="77777777" w:rsidR="0052656F" w:rsidRPr="0066241B" w:rsidRDefault="0052656F" w:rsidP="00B34F1C">
            <w:pPr>
              <w:spacing w:line="360" w:lineRule="auto"/>
              <w:rPr>
                <w:rFonts w:ascii="Book Antiqua" w:eastAsia="Arial" w:hAnsi="Book Antiqua" w:cs="Arial"/>
                <w:color w:val="000000" w:themeColor="text1"/>
              </w:rPr>
            </w:pPr>
          </w:p>
        </w:tc>
        <w:tc>
          <w:tcPr>
            <w:tcW w:w="1508" w:type="dxa"/>
          </w:tcPr>
          <w:p w14:paraId="44FC74B0" w14:textId="77777777" w:rsidR="0052656F" w:rsidRPr="0066241B" w:rsidRDefault="0052656F" w:rsidP="00B34F1C">
            <w:pPr>
              <w:spacing w:line="360" w:lineRule="auto"/>
              <w:rPr>
                <w:rFonts w:ascii="Book Antiqua" w:eastAsia="Arial" w:hAnsi="Book Antiqua" w:cs="Arial"/>
                <w:color w:val="000000" w:themeColor="text1"/>
              </w:rPr>
            </w:pPr>
          </w:p>
        </w:tc>
        <w:tc>
          <w:tcPr>
            <w:tcW w:w="1454" w:type="dxa"/>
          </w:tcPr>
          <w:p w14:paraId="241557C9" w14:textId="77777777" w:rsidR="0052656F" w:rsidRPr="0066241B" w:rsidRDefault="0052656F" w:rsidP="00B34F1C">
            <w:pPr>
              <w:spacing w:line="360" w:lineRule="auto"/>
              <w:rPr>
                <w:rFonts w:ascii="Book Antiqua" w:eastAsia="Arial" w:hAnsi="Book Antiqua" w:cs="Arial"/>
                <w:color w:val="000000" w:themeColor="text1"/>
              </w:rPr>
            </w:pPr>
          </w:p>
        </w:tc>
      </w:tr>
      <w:tr w:rsidR="00C21A2B" w:rsidRPr="0066241B" w14:paraId="2086D5F8" w14:textId="77777777">
        <w:trPr>
          <w:trHeight w:val="342"/>
        </w:trPr>
        <w:tc>
          <w:tcPr>
            <w:tcW w:w="3771" w:type="dxa"/>
          </w:tcPr>
          <w:p w14:paraId="554F01DE"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2</w:t>
            </w:r>
          </w:p>
        </w:tc>
        <w:tc>
          <w:tcPr>
            <w:tcW w:w="2296" w:type="dxa"/>
          </w:tcPr>
          <w:p w14:paraId="53077844"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299 (48.3)</w:t>
            </w:r>
          </w:p>
        </w:tc>
        <w:tc>
          <w:tcPr>
            <w:tcW w:w="1871" w:type="dxa"/>
          </w:tcPr>
          <w:p w14:paraId="609DA1A4"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323 (55.9)</w:t>
            </w:r>
          </w:p>
        </w:tc>
        <w:tc>
          <w:tcPr>
            <w:tcW w:w="1965" w:type="dxa"/>
          </w:tcPr>
          <w:p w14:paraId="1A4F01B9"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355 (41.4)</w:t>
            </w:r>
          </w:p>
        </w:tc>
        <w:tc>
          <w:tcPr>
            <w:tcW w:w="1384" w:type="dxa"/>
          </w:tcPr>
          <w:p w14:paraId="6401D452" w14:textId="77777777" w:rsidR="0052656F" w:rsidRPr="0066241B" w:rsidRDefault="0052656F" w:rsidP="00B34F1C">
            <w:pPr>
              <w:spacing w:line="360" w:lineRule="auto"/>
              <w:rPr>
                <w:rFonts w:ascii="Book Antiqua" w:eastAsia="Arial" w:hAnsi="Book Antiqua" w:cs="Arial"/>
                <w:color w:val="000000" w:themeColor="text1"/>
              </w:rPr>
            </w:pPr>
          </w:p>
        </w:tc>
        <w:tc>
          <w:tcPr>
            <w:tcW w:w="1445" w:type="dxa"/>
          </w:tcPr>
          <w:p w14:paraId="353B3DE2" w14:textId="77777777" w:rsidR="0052656F" w:rsidRPr="0066241B" w:rsidRDefault="0052656F" w:rsidP="00B34F1C">
            <w:pPr>
              <w:spacing w:line="360" w:lineRule="auto"/>
              <w:rPr>
                <w:rFonts w:ascii="Book Antiqua" w:eastAsia="Arial" w:hAnsi="Book Antiqua" w:cs="Arial"/>
                <w:color w:val="000000" w:themeColor="text1"/>
              </w:rPr>
            </w:pPr>
          </w:p>
        </w:tc>
        <w:tc>
          <w:tcPr>
            <w:tcW w:w="1508" w:type="dxa"/>
          </w:tcPr>
          <w:p w14:paraId="3CC1D6C0" w14:textId="77777777" w:rsidR="0052656F" w:rsidRPr="0066241B" w:rsidRDefault="0052656F" w:rsidP="00B34F1C">
            <w:pPr>
              <w:spacing w:line="360" w:lineRule="auto"/>
              <w:rPr>
                <w:rFonts w:ascii="Book Antiqua" w:eastAsia="Arial" w:hAnsi="Book Antiqua" w:cs="Arial"/>
                <w:color w:val="000000" w:themeColor="text1"/>
              </w:rPr>
            </w:pPr>
          </w:p>
        </w:tc>
        <w:tc>
          <w:tcPr>
            <w:tcW w:w="1454" w:type="dxa"/>
          </w:tcPr>
          <w:p w14:paraId="735860CF" w14:textId="77777777" w:rsidR="0052656F" w:rsidRPr="0066241B" w:rsidRDefault="0052656F" w:rsidP="00B34F1C">
            <w:pPr>
              <w:spacing w:line="360" w:lineRule="auto"/>
              <w:rPr>
                <w:rFonts w:ascii="Book Antiqua" w:eastAsia="Arial" w:hAnsi="Book Antiqua" w:cs="Arial"/>
                <w:color w:val="000000" w:themeColor="text1"/>
              </w:rPr>
            </w:pPr>
          </w:p>
        </w:tc>
      </w:tr>
      <w:tr w:rsidR="00C21A2B" w:rsidRPr="0066241B" w14:paraId="3D5FBBC7" w14:textId="77777777">
        <w:trPr>
          <w:trHeight w:val="1026"/>
        </w:trPr>
        <w:tc>
          <w:tcPr>
            <w:tcW w:w="3771" w:type="dxa"/>
          </w:tcPr>
          <w:p w14:paraId="6FCB4CCE"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Others/missing</w:t>
            </w:r>
          </w:p>
        </w:tc>
        <w:tc>
          <w:tcPr>
            <w:tcW w:w="2296" w:type="dxa"/>
          </w:tcPr>
          <w:p w14:paraId="654E6023"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64 (10.3)</w:t>
            </w:r>
          </w:p>
        </w:tc>
        <w:tc>
          <w:tcPr>
            <w:tcW w:w="1871" w:type="dxa"/>
          </w:tcPr>
          <w:p w14:paraId="0ACB0EBC"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13 (2.2)</w:t>
            </w:r>
          </w:p>
        </w:tc>
        <w:tc>
          <w:tcPr>
            <w:tcW w:w="1965" w:type="dxa"/>
          </w:tcPr>
          <w:p w14:paraId="2B010AFB"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11 (1.3)</w:t>
            </w:r>
          </w:p>
        </w:tc>
        <w:tc>
          <w:tcPr>
            <w:tcW w:w="1384" w:type="dxa"/>
          </w:tcPr>
          <w:p w14:paraId="620EFA00" w14:textId="77777777" w:rsidR="0052656F" w:rsidRPr="0066241B" w:rsidRDefault="0052656F" w:rsidP="00B34F1C">
            <w:pPr>
              <w:spacing w:line="360" w:lineRule="auto"/>
              <w:rPr>
                <w:rFonts w:ascii="Book Antiqua" w:eastAsia="Arial" w:hAnsi="Book Antiqua" w:cs="Arial"/>
                <w:color w:val="000000" w:themeColor="text1"/>
              </w:rPr>
            </w:pPr>
          </w:p>
        </w:tc>
        <w:tc>
          <w:tcPr>
            <w:tcW w:w="1445" w:type="dxa"/>
          </w:tcPr>
          <w:p w14:paraId="7399C264" w14:textId="77777777" w:rsidR="0052656F" w:rsidRPr="0066241B" w:rsidRDefault="0052656F" w:rsidP="00B34F1C">
            <w:pPr>
              <w:spacing w:line="360" w:lineRule="auto"/>
              <w:rPr>
                <w:rFonts w:ascii="Book Antiqua" w:eastAsia="Arial" w:hAnsi="Book Antiqua" w:cs="Arial"/>
                <w:color w:val="000000" w:themeColor="text1"/>
              </w:rPr>
            </w:pPr>
          </w:p>
        </w:tc>
        <w:tc>
          <w:tcPr>
            <w:tcW w:w="1508" w:type="dxa"/>
          </w:tcPr>
          <w:p w14:paraId="6CC361D9" w14:textId="77777777" w:rsidR="0052656F" w:rsidRPr="0066241B" w:rsidRDefault="0052656F" w:rsidP="00B34F1C">
            <w:pPr>
              <w:spacing w:line="360" w:lineRule="auto"/>
              <w:rPr>
                <w:rFonts w:ascii="Book Antiqua" w:eastAsia="Arial" w:hAnsi="Book Antiqua" w:cs="Arial"/>
                <w:color w:val="000000" w:themeColor="text1"/>
              </w:rPr>
            </w:pPr>
          </w:p>
        </w:tc>
        <w:tc>
          <w:tcPr>
            <w:tcW w:w="1454" w:type="dxa"/>
          </w:tcPr>
          <w:p w14:paraId="1E8DB4D9" w14:textId="77777777" w:rsidR="0052656F" w:rsidRPr="0066241B" w:rsidRDefault="0052656F" w:rsidP="00B34F1C">
            <w:pPr>
              <w:spacing w:line="360" w:lineRule="auto"/>
              <w:rPr>
                <w:rFonts w:ascii="Book Antiqua" w:eastAsia="Arial" w:hAnsi="Book Antiqua" w:cs="Arial"/>
                <w:color w:val="000000" w:themeColor="text1"/>
              </w:rPr>
            </w:pPr>
          </w:p>
        </w:tc>
      </w:tr>
      <w:tr w:rsidR="00C21A2B" w:rsidRPr="0066241B" w14:paraId="372650AF" w14:textId="77777777">
        <w:trPr>
          <w:trHeight w:val="684"/>
        </w:trPr>
        <w:tc>
          <w:tcPr>
            <w:tcW w:w="3771" w:type="dxa"/>
          </w:tcPr>
          <w:p w14:paraId="1CB39E0F"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Diagnosis status</w:t>
            </w:r>
          </w:p>
        </w:tc>
        <w:tc>
          <w:tcPr>
            <w:tcW w:w="2296" w:type="dxa"/>
          </w:tcPr>
          <w:p w14:paraId="31C353FB" w14:textId="77777777" w:rsidR="0052656F" w:rsidRPr="0066241B" w:rsidRDefault="0052656F" w:rsidP="00B34F1C">
            <w:pPr>
              <w:spacing w:line="360" w:lineRule="auto"/>
              <w:rPr>
                <w:rFonts w:ascii="Book Antiqua" w:eastAsia="Arial" w:hAnsi="Book Antiqua" w:cs="Arial"/>
                <w:color w:val="000000" w:themeColor="text1"/>
              </w:rPr>
            </w:pPr>
          </w:p>
        </w:tc>
        <w:tc>
          <w:tcPr>
            <w:tcW w:w="1871" w:type="dxa"/>
          </w:tcPr>
          <w:p w14:paraId="2D79964E" w14:textId="77777777" w:rsidR="0052656F" w:rsidRPr="0066241B" w:rsidRDefault="0052656F" w:rsidP="00B34F1C">
            <w:pPr>
              <w:spacing w:line="360" w:lineRule="auto"/>
              <w:rPr>
                <w:rFonts w:ascii="Book Antiqua" w:eastAsia="Arial" w:hAnsi="Book Antiqua" w:cs="Arial"/>
                <w:color w:val="000000" w:themeColor="text1"/>
              </w:rPr>
            </w:pPr>
          </w:p>
        </w:tc>
        <w:tc>
          <w:tcPr>
            <w:tcW w:w="1965" w:type="dxa"/>
          </w:tcPr>
          <w:p w14:paraId="2C880B2C" w14:textId="77777777" w:rsidR="0052656F" w:rsidRPr="0066241B" w:rsidRDefault="0052656F" w:rsidP="00B34F1C">
            <w:pPr>
              <w:spacing w:line="360" w:lineRule="auto"/>
              <w:rPr>
                <w:rFonts w:ascii="Book Antiqua" w:eastAsia="Arial" w:hAnsi="Book Antiqua" w:cs="Arial"/>
                <w:color w:val="000000" w:themeColor="text1"/>
              </w:rPr>
            </w:pPr>
          </w:p>
        </w:tc>
        <w:tc>
          <w:tcPr>
            <w:tcW w:w="1384" w:type="dxa"/>
          </w:tcPr>
          <w:p w14:paraId="7A2172D8"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445" w:type="dxa"/>
          </w:tcPr>
          <w:p w14:paraId="703FBCD4"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508" w:type="dxa"/>
          </w:tcPr>
          <w:p w14:paraId="583C14AA"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0.002</w:t>
            </w:r>
          </w:p>
        </w:tc>
        <w:tc>
          <w:tcPr>
            <w:tcW w:w="1454" w:type="dxa"/>
          </w:tcPr>
          <w:p w14:paraId="13F19D25"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0.058</w:t>
            </w:r>
          </w:p>
        </w:tc>
      </w:tr>
      <w:tr w:rsidR="00C21A2B" w:rsidRPr="0066241B" w14:paraId="14506E0C" w14:textId="77777777">
        <w:trPr>
          <w:trHeight w:val="684"/>
        </w:trPr>
        <w:tc>
          <w:tcPr>
            <w:tcW w:w="3771" w:type="dxa"/>
          </w:tcPr>
          <w:p w14:paraId="53F224E9"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Chronic hepatitis</w:t>
            </w:r>
          </w:p>
        </w:tc>
        <w:tc>
          <w:tcPr>
            <w:tcW w:w="2296" w:type="dxa"/>
          </w:tcPr>
          <w:p w14:paraId="0B7EE899"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417 (67.4)</w:t>
            </w:r>
          </w:p>
        </w:tc>
        <w:tc>
          <w:tcPr>
            <w:tcW w:w="1871" w:type="dxa"/>
          </w:tcPr>
          <w:p w14:paraId="1EADE2EA"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456 (78.9)</w:t>
            </w:r>
          </w:p>
        </w:tc>
        <w:tc>
          <w:tcPr>
            <w:tcW w:w="1965" w:type="dxa"/>
          </w:tcPr>
          <w:p w14:paraId="0FE700BB"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639 (74.6)</w:t>
            </w:r>
          </w:p>
        </w:tc>
        <w:tc>
          <w:tcPr>
            <w:tcW w:w="1384" w:type="dxa"/>
          </w:tcPr>
          <w:p w14:paraId="2C13B19E" w14:textId="77777777" w:rsidR="0052656F" w:rsidRPr="0066241B" w:rsidRDefault="0052656F" w:rsidP="00B34F1C">
            <w:pPr>
              <w:spacing w:line="360" w:lineRule="auto"/>
              <w:rPr>
                <w:rFonts w:ascii="Book Antiqua" w:eastAsia="Arial" w:hAnsi="Book Antiqua" w:cs="Arial"/>
                <w:color w:val="000000" w:themeColor="text1"/>
              </w:rPr>
            </w:pPr>
          </w:p>
        </w:tc>
        <w:tc>
          <w:tcPr>
            <w:tcW w:w="1445" w:type="dxa"/>
          </w:tcPr>
          <w:p w14:paraId="0A91D045" w14:textId="77777777" w:rsidR="0052656F" w:rsidRPr="0066241B" w:rsidRDefault="0052656F" w:rsidP="00B34F1C">
            <w:pPr>
              <w:spacing w:line="360" w:lineRule="auto"/>
              <w:rPr>
                <w:rFonts w:ascii="Book Antiqua" w:eastAsia="Arial" w:hAnsi="Book Antiqua" w:cs="Arial"/>
                <w:color w:val="000000" w:themeColor="text1"/>
              </w:rPr>
            </w:pPr>
          </w:p>
        </w:tc>
        <w:tc>
          <w:tcPr>
            <w:tcW w:w="1508" w:type="dxa"/>
          </w:tcPr>
          <w:p w14:paraId="16EFA0B0" w14:textId="77777777" w:rsidR="0052656F" w:rsidRPr="0066241B" w:rsidRDefault="0052656F" w:rsidP="00B34F1C">
            <w:pPr>
              <w:spacing w:line="360" w:lineRule="auto"/>
              <w:rPr>
                <w:rFonts w:ascii="Book Antiqua" w:eastAsia="Arial" w:hAnsi="Book Antiqua" w:cs="Arial"/>
                <w:color w:val="000000" w:themeColor="text1"/>
              </w:rPr>
            </w:pPr>
          </w:p>
        </w:tc>
        <w:tc>
          <w:tcPr>
            <w:tcW w:w="1454" w:type="dxa"/>
          </w:tcPr>
          <w:p w14:paraId="01F44D91" w14:textId="77777777" w:rsidR="0052656F" w:rsidRPr="0066241B" w:rsidRDefault="0052656F" w:rsidP="00B34F1C">
            <w:pPr>
              <w:spacing w:line="360" w:lineRule="auto"/>
              <w:rPr>
                <w:rFonts w:ascii="Book Antiqua" w:eastAsia="Arial" w:hAnsi="Book Antiqua" w:cs="Arial"/>
                <w:color w:val="000000" w:themeColor="text1"/>
              </w:rPr>
            </w:pPr>
          </w:p>
        </w:tc>
      </w:tr>
      <w:tr w:rsidR="00C21A2B" w:rsidRPr="0066241B" w14:paraId="00BCF8D6" w14:textId="77777777">
        <w:trPr>
          <w:trHeight w:val="1368"/>
        </w:trPr>
        <w:tc>
          <w:tcPr>
            <w:tcW w:w="3771" w:type="dxa"/>
          </w:tcPr>
          <w:p w14:paraId="6C9A88F1"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Compensated cirrhosis</w:t>
            </w:r>
          </w:p>
        </w:tc>
        <w:tc>
          <w:tcPr>
            <w:tcW w:w="2296" w:type="dxa"/>
          </w:tcPr>
          <w:p w14:paraId="7F847A6F"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202 (32.6)</w:t>
            </w:r>
          </w:p>
        </w:tc>
        <w:tc>
          <w:tcPr>
            <w:tcW w:w="1871" w:type="dxa"/>
          </w:tcPr>
          <w:p w14:paraId="185A0251"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122 (21.1)</w:t>
            </w:r>
          </w:p>
        </w:tc>
        <w:tc>
          <w:tcPr>
            <w:tcW w:w="1965" w:type="dxa"/>
          </w:tcPr>
          <w:p w14:paraId="501798FE"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218 (25.4)</w:t>
            </w:r>
          </w:p>
        </w:tc>
        <w:tc>
          <w:tcPr>
            <w:tcW w:w="1384" w:type="dxa"/>
          </w:tcPr>
          <w:p w14:paraId="345531A0" w14:textId="77777777" w:rsidR="0052656F" w:rsidRPr="0066241B" w:rsidRDefault="0052656F" w:rsidP="00B34F1C">
            <w:pPr>
              <w:spacing w:line="360" w:lineRule="auto"/>
              <w:rPr>
                <w:rFonts w:ascii="Book Antiqua" w:eastAsia="Arial" w:hAnsi="Book Antiqua" w:cs="Arial"/>
                <w:color w:val="000000" w:themeColor="text1"/>
              </w:rPr>
            </w:pPr>
          </w:p>
        </w:tc>
        <w:tc>
          <w:tcPr>
            <w:tcW w:w="1445" w:type="dxa"/>
          </w:tcPr>
          <w:p w14:paraId="435D8970" w14:textId="77777777" w:rsidR="0052656F" w:rsidRPr="0066241B" w:rsidRDefault="0052656F" w:rsidP="00B34F1C">
            <w:pPr>
              <w:spacing w:line="360" w:lineRule="auto"/>
              <w:rPr>
                <w:rFonts w:ascii="Book Antiqua" w:eastAsia="Arial" w:hAnsi="Book Antiqua" w:cs="Arial"/>
                <w:color w:val="000000" w:themeColor="text1"/>
              </w:rPr>
            </w:pPr>
          </w:p>
        </w:tc>
        <w:tc>
          <w:tcPr>
            <w:tcW w:w="1508" w:type="dxa"/>
          </w:tcPr>
          <w:p w14:paraId="766E5E02" w14:textId="77777777" w:rsidR="0052656F" w:rsidRPr="0066241B" w:rsidRDefault="0052656F" w:rsidP="00B34F1C">
            <w:pPr>
              <w:spacing w:line="360" w:lineRule="auto"/>
              <w:rPr>
                <w:rFonts w:ascii="Book Antiqua" w:eastAsia="Arial" w:hAnsi="Book Antiqua" w:cs="Arial"/>
                <w:color w:val="000000" w:themeColor="text1"/>
              </w:rPr>
            </w:pPr>
          </w:p>
        </w:tc>
        <w:tc>
          <w:tcPr>
            <w:tcW w:w="1454" w:type="dxa"/>
          </w:tcPr>
          <w:p w14:paraId="03196825" w14:textId="77777777" w:rsidR="0052656F" w:rsidRPr="0066241B" w:rsidRDefault="0052656F" w:rsidP="00B34F1C">
            <w:pPr>
              <w:spacing w:line="360" w:lineRule="auto"/>
              <w:rPr>
                <w:rFonts w:ascii="Book Antiqua" w:eastAsia="Arial" w:hAnsi="Book Antiqua" w:cs="Arial"/>
                <w:color w:val="000000" w:themeColor="text1"/>
              </w:rPr>
            </w:pPr>
          </w:p>
        </w:tc>
      </w:tr>
      <w:tr w:rsidR="00C21A2B" w:rsidRPr="0066241B" w14:paraId="7F76CD53" w14:textId="77777777">
        <w:trPr>
          <w:trHeight w:val="342"/>
        </w:trPr>
        <w:tc>
          <w:tcPr>
            <w:tcW w:w="3771" w:type="dxa"/>
          </w:tcPr>
          <w:p w14:paraId="6CA2CF5B"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FIB-4 index</w:t>
            </w:r>
          </w:p>
        </w:tc>
        <w:tc>
          <w:tcPr>
            <w:tcW w:w="2296" w:type="dxa"/>
          </w:tcPr>
          <w:p w14:paraId="3CF9CDF0" w14:textId="77777777" w:rsidR="0052656F" w:rsidRPr="0066241B" w:rsidRDefault="0052656F" w:rsidP="00B34F1C">
            <w:pPr>
              <w:spacing w:line="360" w:lineRule="auto"/>
              <w:rPr>
                <w:rFonts w:ascii="Book Antiqua" w:eastAsia="Arial" w:hAnsi="Book Antiqua" w:cs="Arial"/>
                <w:color w:val="000000" w:themeColor="text1"/>
              </w:rPr>
            </w:pPr>
          </w:p>
        </w:tc>
        <w:tc>
          <w:tcPr>
            <w:tcW w:w="1871" w:type="dxa"/>
          </w:tcPr>
          <w:p w14:paraId="565E4EF9" w14:textId="77777777" w:rsidR="0052656F" w:rsidRPr="0066241B" w:rsidRDefault="0052656F" w:rsidP="00B34F1C">
            <w:pPr>
              <w:spacing w:line="360" w:lineRule="auto"/>
              <w:rPr>
                <w:rFonts w:ascii="Book Antiqua" w:eastAsia="Arial" w:hAnsi="Book Antiqua" w:cs="Arial"/>
                <w:color w:val="000000" w:themeColor="text1"/>
              </w:rPr>
            </w:pPr>
          </w:p>
        </w:tc>
        <w:tc>
          <w:tcPr>
            <w:tcW w:w="1965" w:type="dxa"/>
          </w:tcPr>
          <w:p w14:paraId="7B0877AD" w14:textId="77777777" w:rsidR="0052656F" w:rsidRPr="0066241B" w:rsidRDefault="0052656F" w:rsidP="00B34F1C">
            <w:pPr>
              <w:spacing w:line="360" w:lineRule="auto"/>
              <w:rPr>
                <w:rFonts w:ascii="Book Antiqua" w:eastAsia="Arial" w:hAnsi="Book Antiqua" w:cs="Arial"/>
                <w:color w:val="000000" w:themeColor="text1"/>
              </w:rPr>
            </w:pPr>
          </w:p>
        </w:tc>
        <w:tc>
          <w:tcPr>
            <w:tcW w:w="1384" w:type="dxa"/>
          </w:tcPr>
          <w:p w14:paraId="0EE42428"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445" w:type="dxa"/>
          </w:tcPr>
          <w:p w14:paraId="614BD331"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508" w:type="dxa"/>
          </w:tcPr>
          <w:p w14:paraId="34F1F5A3"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0.142</w:t>
            </w:r>
          </w:p>
        </w:tc>
        <w:tc>
          <w:tcPr>
            <w:tcW w:w="1454" w:type="dxa"/>
          </w:tcPr>
          <w:p w14:paraId="41694B33"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r>
      <w:tr w:rsidR="00C21A2B" w:rsidRPr="0066241B" w14:paraId="34CFEFA6" w14:textId="77777777">
        <w:trPr>
          <w:trHeight w:val="342"/>
        </w:trPr>
        <w:tc>
          <w:tcPr>
            <w:tcW w:w="3771" w:type="dxa"/>
          </w:tcPr>
          <w:p w14:paraId="0BAFD547"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lastRenderedPageBreak/>
              <w:t>≤ 1.45</w:t>
            </w:r>
          </w:p>
        </w:tc>
        <w:tc>
          <w:tcPr>
            <w:tcW w:w="2296" w:type="dxa"/>
          </w:tcPr>
          <w:p w14:paraId="7395BC76"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112 (18.9)</w:t>
            </w:r>
          </w:p>
        </w:tc>
        <w:tc>
          <w:tcPr>
            <w:tcW w:w="1871" w:type="dxa"/>
          </w:tcPr>
          <w:p w14:paraId="526BF97F"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191 (33.3)</w:t>
            </w:r>
          </w:p>
        </w:tc>
        <w:tc>
          <w:tcPr>
            <w:tcW w:w="1965" w:type="dxa"/>
          </w:tcPr>
          <w:p w14:paraId="134F5614"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164 (19.9)</w:t>
            </w:r>
          </w:p>
        </w:tc>
        <w:tc>
          <w:tcPr>
            <w:tcW w:w="1384" w:type="dxa"/>
          </w:tcPr>
          <w:p w14:paraId="65A6080B" w14:textId="77777777" w:rsidR="0052656F" w:rsidRPr="0066241B" w:rsidRDefault="0052656F" w:rsidP="00B34F1C">
            <w:pPr>
              <w:spacing w:line="360" w:lineRule="auto"/>
              <w:rPr>
                <w:rFonts w:ascii="Book Antiqua" w:eastAsia="Arial" w:hAnsi="Book Antiqua" w:cs="Arial"/>
                <w:color w:val="000000" w:themeColor="text1"/>
              </w:rPr>
            </w:pPr>
          </w:p>
        </w:tc>
        <w:tc>
          <w:tcPr>
            <w:tcW w:w="1445" w:type="dxa"/>
          </w:tcPr>
          <w:p w14:paraId="2D8F727A" w14:textId="77777777" w:rsidR="0052656F" w:rsidRPr="0066241B" w:rsidRDefault="0052656F" w:rsidP="00B34F1C">
            <w:pPr>
              <w:spacing w:line="360" w:lineRule="auto"/>
              <w:rPr>
                <w:rFonts w:ascii="Book Antiqua" w:eastAsia="Arial" w:hAnsi="Book Antiqua" w:cs="Arial"/>
                <w:color w:val="000000" w:themeColor="text1"/>
              </w:rPr>
            </w:pPr>
          </w:p>
        </w:tc>
        <w:tc>
          <w:tcPr>
            <w:tcW w:w="1508" w:type="dxa"/>
          </w:tcPr>
          <w:p w14:paraId="73277C0C" w14:textId="77777777" w:rsidR="0052656F" w:rsidRPr="0066241B" w:rsidRDefault="0052656F" w:rsidP="00B34F1C">
            <w:pPr>
              <w:spacing w:line="360" w:lineRule="auto"/>
              <w:rPr>
                <w:rFonts w:ascii="Book Antiqua" w:eastAsia="Arial" w:hAnsi="Book Antiqua" w:cs="Arial"/>
                <w:color w:val="000000" w:themeColor="text1"/>
              </w:rPr>
            </w:pPr>
          </w:p>
        </w:tc>
        <w:tc>
          <w:tcPr>
            <w:tcW w:w="1454" w:type="dxa"/>
          </w:tcPr>
          <w:p w14:paraId="4CCECE5F" w14:textId="77777777" w:rsidR="0052656F" w:rsidRPr="0066241B" w:rsidRDefault="0052656F" w:rsidP="00B34F1C">
            <w:pPr>
              <w:spacing w:line="360" w:lineRule="auto"/>
              <w:rPr>
                <w:rFonts w:ascii="Book Antiqua" w:eastAsia="Arial" w:hAnsi="Book Antiqua" w:cs="Arial"/>
                <w:color w:val="000000" w:themeColor="text1"/>
              </w:rPr>
            </w:pPr>
          </w:p>
        </w:tc>
      </w:tr>
      <w:tr w:rsidR="00C21A2B" w:rsidRPr="0066241B" w14:paraId="0B1F518B" w14:textId="77777777">
        <w:trPr>
          <w:trHeight w:val="342"/>
        </w:trPr>
        <w:tc>
          <w:tcPr>
            <w:tcW w:w="3771" w:type="dxa"/>
          </w:tcPr>
          <w:p w14:paraId="282984AE"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1.45-3.25</w:t>
            </w:r>
          </w:p>
        </w:tc>
        <w:tc>
          <w:tcPr>
            <w:tcW w:w="2296" w:type="dxa"/>
          </w:tcPr>
          <w:p w14:paraId="5BD3C4BA"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218 (36.8)</w:t>
            </w:r>
          </w:p>
        </w:tc>
        <w:tc>
          <w:tcPr>
            <w:tcW w:w="1871" w:type="dxa"/>
          </w:tcPr>
          <w:p w14:paraId="662EF247"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200 (34.8)</w:t>
            </w:r>
          </w:p>
        </w:tc>
        <w:tc>
          <w:tcPr>
            <w:tcW w:w="1965" w:type="dxa"/>
          </w:tcPr>
          <w:p w14:paraId="32117E69"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337 (40.9)</w:t>
            </w:r>
          </w:p>
        </w:tc>
        <w:tc>
          <w:tcPr>
            <w:tcW w:w="1384" w:type="dxa"/>
          </w:tcPr>
          <w:p w14:paraId="642B5C35" w14:textId="77777777" w:rsidR="0052656F" w:rsidRPr="0066241B" w:rsidRDefault="0052656F" w:rsidP="00B34F1C">
            <w:pPr>
              <w:spacing w:line="360" w:lineRule="auto"/>
              <w:rPr>
                <w:rFonts w:ascii="Book Antiqua" w:eastAsia="Arial" w:hAnsi="Book Antiqua" w:cs="Arial"/>
                <w:color w:val="000000" w:themeColor="text1"/>
              </w:rPr>
            </w:pPr>
          </w:p>
        </w:tc>
        <w:tc>
          <w:tcPr>
            <w:tcW w:w="1445" w:type="dxa"/>
          </w:tcPr>
          <w:p w14:paraId="6E7D43D4" w14:textId="77777777" w:rsidR="0052656F" w:rsidRPr="0066241B" w:rsidRDefault="0052656F" w:rsidP="00B34F1C">
            <w:pPr>
              <w:spacing w:line="360" w:lineRule="auto"/>
              <w:rPr>
                <w:rFonts w:ascii="Book Antiqua" w:eastAsia="Arial" w:hAnsi="Book Antiqua" w:cs="Arial"/>
                <w:color w:val="000000" w:themeColor="text1"/>
              </w:rPr>
            </w:pPr>
          </w:p>
        </w:tc>
        <w:tc>
          <w:tcPr>
            <w:tcW w:w="1508" w:type="dxa"/>
          </w:tcPr>
          <w:p w14:paraId="56A00F67" w14:textId="77777777" w:rsidR="0052656F" w:rsidRPr="0066241B" w:rsidRDefault="0052656F" w:rsidP="00B34F1C">
            <w:pPr>
              <w:spacing w:line="360" w:lineRule="auto"/>
              <w:rPr>
                <w:rFonts w:ascii="Book Antiqua" w:eastAsia="Arial" w:hAnsi="Book Antiqua" w:cs="Arial"/>
                <w:color w:val="000000" w:themeColor="text1"/>
              </w:rPr>
            </w:pPr>
          </w:p>
        </w:tc>
        <w:tc>
          <w:tcPr>
            <w:tcW w:w="1454" w:type="dxa"/>
          </w:tcPr>
          <w:p w14:paraId="557BD821" w14:textId="77777777" w:rsidR="0052656F" w:rsidRPr="0066241B" w:rsidRDefault="0052656F" w:rsidP="00B34F1C">
            <w:pPr>
              <w:spacing w:line="360" w:lineRule="auto"/>
              <w:rPr>
                <w:rFonts w:ascii="Book Antiqua" w:eastAsia="Arial" w:hAnsi="Book Antiqua" w:cs="Arial"/>
                <w:color w:val="000000" w:themeColor="text1"/>
              </w:rPr>
            </w:pPr>
          </w:p>
        </w:tc>
      </w:tr>
      <w:tr w:rsidR="00C21A2B" w:rsidRPr="0066241B" w14:paraId="4BE37E57" w14:textId="77777777">
        <w:trPr>
          <w:trHeight w:val="342"/>
        </w:trPr>
        <w:tc>
          <w:tcPr>
            <w:tcW w:w="3771" w:type="dxa"/>
          </w:tcPr>
          <w:p w14:paraId="4B87F605"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 3.25</w:t>
            </w:r>
          </w:p>
        </w:tc>
        <w:tc>
          <w:tcPr>
            <w:tcW w:w="2296" w:type="dxa"/>
          </w:tcPr>
          <w:p w14:paraId="39F60452"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263 (44.3)</w:t>
            </w:r>
          </w:p>
        </w:tc>
        <w:tc>
          <w:tcPr>
            <w:tcW w:w="1871" w:type="dxa"/>
          </w:tcPr>
          <w:p w14:paraId="2E1083D9"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183 (31.9)</w:t>
            </w:r>
          </w:p>
        </w:tc>
        <w:tc>
          <w:tcPr>
            <w:tcW w:w="1965" w:type="dxa"/>
          </w:tcPr>
          <w:p w14:paraId="4A9EEF4D"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323 (39.2)</w:t>
            </w:r>
          </w:p>
        </w:tc>
        <w:tc>
          <w:tcPr>
            <w:tcW w:w="1384" w:type="dxa"/>
          </w:tcPr>
          <w:p w14:paraId="4E4F4426" w14:textId="77777777" w:rsidR="0052656F" w:rsidRPr="0066241B" w:rsidRDefault="0052656F" w:rsidP="00B34F1C">
            <w:pPr>
              <w:spacing w:line="360" w:lineRule="auto"/>
              <w:rPr>
                <w:rFonts w:ascii="Book Antiqua" w:eastAsia="Arial" w:hAnsi="Book Antiqua" w:cs="Arial"/>
                <w:color w:val="000000" w:themeColor="text1"/>
              </w:rPr>
            </w:pPr>
          </w:p>
        </w:tc>
        <w:tc>
          <w:tcPr>
            <w:tcW w:w="1445" w:type="dxa"/>
          </w:tcPr>
          <w:p w14:paraId="51F64437" w14:textId="77777777" w:rsidR="0052656F" w:rsidRPr="0066241B" w:rsidRDefault="0052656F" w:rsidP="00B34F1C">
            <w:pPr>
              <w:spacing w:line="360" w:lineRule="auto"/>
              <w:rPr>
                <w:rFonts w:ascii="Book Antiqua" w:eastAsia="Arial" w:hAnsi="Book Antiqua" w:cs="Arial"/>
                <w:color w:val="000000" w:themeColor="text1"/>
              </w:rPr>
            </w:pPr>
          </w:p>
        </w:tc>
        <w:tc>
          <w:tcPr>
            <w:tcW w:w="1508" w:type="dxa"/>
          </w:tcPr>
          <w:p w14:paraId="6FA3C6B9" w14:textId="77777777" w:rsidR="0052656F" w:rsidRPr="0066241B" w:rsidRDefault="0052656F" w:rsidP="00B34F1C">
            <w:pPr>
              <w:spacing w:line="360" w:lineRule="auto"/>
              <w:rPr>
                <w:rFonts w:ascii="Book Antiqua" w:eastAsia="Arial" w:hAnsi="Book Antiqua" w:cs="Arial"/>
                <w:color w:val="000000" w:themeColor="text1"/>
              </w:rPr>
            </w:pPr>
          </w:p>
        </w:tc>
        <w:tc>
          <w:tcPr>
            <w:tcW w:w="1454" w:type="dxa"/>
          </w:tcPr>
          <w:p w14:paraId="790B91C0" w14:textId="77777777" w:rsidR="0052656F" w:rsidRPr="0066241B" w:rsidRDefault="0052656F" w:rsidP="00B34F1C">
            <w:pPr>
              <w:spacing w:line="360" w:lineRule="auto"/>
              <w:rPr>
                <w:rFonts w:ascii="Book Antiqua" w:eastAsia="Arial" w:hAnsi="Book Antiqua" w:cs="Arial"/>
                <w:color w:val="000000" w:themeColor="text1"/>
              </w:rPr>
            </w:pPr>
          </w:p>
        </w:tc>
      </w:tr>
      <w:tr w:rsidR="00C21A2B" w:rsidRPr="0066241B" w14:paraId="1CF50422" w14:textId="77777777">
        <w:trPr>
          <w:trHeight w:val="342"/>
        </w:trPr>
        <w:tc>
          <w:tcPr>
            <w:tcW w:w="3771" w:type="dxa"/>
          </w:tcPr>
          <w:p w14:paraId="7172B8BA"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APRI score</w:t>
            </w:r>
          </w:p>
        </w:tc>
        <w:tc>
          <w:tcPr>
            <w:tcW w:w="2296" w:type="dxa"/>
          </w:tcPr>
          <w:p w14:paraId="5925B1B4" w14:textId="77777777" w:rsidR="0052656F" w:rsidRPr="0066241B" w:rsidRDefault="0052656F" w:rsidP="00B34F1C">
            <w:pPr>
              <w:spacing w:line="360" w:lineRule="auto"/>
              <w:rPr>
                <w:rFonts w:ascii="Book Antiqua" w:eastAsia="Arial" w:hAnsi="Book Antiqua" w:cs="Arial"/>
                <w:color w:val="000000" w:themeColor="text1"/>
              </w:rPr>
            </w:pPr>
          </w:p>
        </w:tc>
        <w:tc>
          <w:tcPr>
            <w:tcW w:w="1871" w:type="dxa"/>
          </w:tcPr>
          <w:p w14:paraId="161F233B" w14:textId="77777777" w:rsidR="0052656F" w:rsidRPr="0066241B" w:rsidRDefault="0052656F" w:rsidP="00B34F1C">
            <w:pPr>
              <w:spacing w:line="360" w:lineRule="auto"/>
              <w:rPr>
                <w:rFonts w:ascii="Book Antiqua" w:eastAsia="Arial" w:hAnsi="Book Antiqua" w:cs="Arial"/>
                <w:color w:val="000000" w:themeColor="text1"/>
              </w:rPr>
            </w:pPr>
          </w:p>
        </w:tc>
        <w:tc>
          <w:tcPr>
            <w:tcW w:w="1965" w:type="dxa"/>
          </w:tcPr>
          <w:p w14:paraId="439743EF" w14:textId="77777777" w:rsidR="0052656F" w:rsidRPr="0066241B" w:rsidRDefault="0052656F" w:rsidP="00B34F1C">
            <w:pPr>
              <w:spacing w:line="360" w:lineRule="auto"/>
              <w:rPr>
                <w:rFonts w:ascii="Book Antiqua" w:eastAsia="Arial" w:hAnsi="Book Antiqua" w:cs="Arial"/>
                <w:color w:val="000000" w:themeColor="text1"/>
              </w:rPr>
            </w:pPr>
          </w:p>
        </w:tc>
        <w:tc>
          <w:tcPr>
            <w:tcW w:w="1384" w:type="dxa"/>
          </w:tcPr>
          <w:p w14:paraId="1D15F5D4"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0.15</w:t>
            </w:r>
          </w:p>
        </w:tc>
        <w:tc>
          <w:tcPr>
            <w:tcW w:w="1445" w:type="dxa"/>
          </w:tcPr>
          <w:p w14:paraId="6E847CDC"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0.09</w:t>
            </w:r>
          </w:p>
        </w:tc>
        <w:tc>
          <w:tcPr>
            <w:tcW w:w="1508" w:type="dxa"/>
          </w:tcPr>
          <w:p w14:paraId="6BB702A0"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0.094</w:t>
            </w:r>
          </w:p>
        </w:tc>
        <w:tc>
          <w:tcPr>
            <w:tcW w:w="1454" w:type="dxa"/>
          </w:tcPr>
          <w:p w14:paraId="66EC93F5"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0.853</w:t>
            </w:r>
          </w:p>
        </w:tc>
      </w:tr>
      <w:tr w:rsidR="00C21A2B" w:rsidRPr="0066241B" w14:paraId="590F5744" w14:textId="77777777">
        <w:trPr>
          <w:trHeight w:val="342"/>
        </w:trPr>
        <w:tc>
          <w:tcPr>
            <w:tcW w:w="3771" w:type="dxa"/>
          </w:tcPr>
          <w:p w14:paraId="7EAC55ED"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 2.0</w:t>
            </w:r>
          </w:p>
        </w:tc>
        <w:tc>
          <w:tcPr>
            <w:tcW w:w="2296" w:type="dxa"/>
          </w:tcPr>
          <w:p w14:paraId="3469738A"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480 (80.3)</w:t>
            </w:r>
          </w:p>
        </w:tc>
        <w:tc>
          <w:tcPr>
            <w:tcW w:w="1871" w:type="dxa"/>
          </w:tcPr>
          <w:p w14:paraId="4C823426"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485 (84.1)</w:t>
            </w:r>
          </w:p>
        </w:tc>
        <w:tc>
          <w:tcPr>
            <w:tcW w:w="1965" w:type="dxa"/>
          </w:tcPr>
          <w:p w14:paraId="3A17666E"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708 (83.7)</w:t>
            </w:r>
          </w:p>
        </w:tc>
        <w:tc>
          <w:tcPr>
            <w:tcW w:w="1384" w:type="dxa"/>
          </w:tcPr>
          <w:p w14:paraId="2EC14E86" w14:textId="77777777" w:rsidR="0052656F" w:rsidRPr="0066241B" w:rsidRDefault="0052656F" w:rsidP="00B34F1C">
            <w:pPr>
              <w:spacing w:line="360" w:lineRule="auto"/>
              <w:rPr>
                <w:rFonts w:ascii="Book Antiqua" w:eastAsia="Arial" w:hAnsi="Book Antiqua" w:cs="Arial"/>
                <w:color w:val="000000" w:themeColor="text1"/>
              </w:rPr>
            </w:pPr>
          </w:p>
        </w:tc>
        <w:tc>
          <w:tcPr>
            <w:tcW w:w="1445" w:type="dxa"/>
          </w:tcPr>
          <w:p w14:paraId="48EE25DF" w14:textId="77777777" w:rsidR="0052656F" w:rsidRPr="0066241B" w:rsidRDefault="0052656F" w:rsidP="00B34F1C">
            <w:pPr>
              <w:spacing w:line="360" w:lineRule="auto"/>
              <w:rPr>
                <w:rFonts w:ascii="Book Antiqua" w:eastAsia="Arial" w:hAnsi="Book Antiqua" w:cs="Arial"/>
                <w:color w:val="000000" w:themeColor="text1"/>
              </w:rPr>
            </w:pPr>
          </w:p>
        </w:tc>
        <w:tc>
          <w:tcPr>
            <w:tcW w:w="1508" w:type="dxa"/>
          </w:tcPr>
          <w:p w14:paraId="732FC8E1" w14:textId="77777777" w:rsidR="0052656F" w:rsidRPr="0066241B" w:rsidRDefault="0052656F" w:rsidP="00B34F1C">
            <w:pPr>
              <w:spacing w:line="360" w:lineRule="auto"/>
              <w:rPr>
                <w:rFonts w:ascii="Book Antiqua" w:eastAsia="Arial" w:hAnsi="Book Antiqua" w:cs="Arial"/>
                <w:color w:val="000000" w:themeColor="text1"/>
              </w:rPr>
            </w:pPr>
          </w:p>
        </w:tc>
        <w:tc>
          <w:tcPr>
            <w:tcW w:w="1454" w:type="dxa"/>
          </w:tcPr>
          <w:p w14:paraId="0B3A5D06" w14:textId="77777777" w:rsidR="0052656F" w:rsidRPr="0066241B" w:rsidRDefault="0052656F" w:rsidP="00B34F1C">
            <w:pPr>
              <w:spacing w:line="360" w:lineRule="auto"/>
              <w:rPr>
                <w:rFonts w:ascii="Book Antiqua" w:eastAsia="Arial" w:hAnsi="Book Antiqua" w:cs="Arial"/>
                <w:color w:val="000000" w:themeColor="text1"/>
              </w:rPr>
            </w:pPr>
          </w:p>
        </w:tc>
      </w:tr>
      <w:tr w:rsidR="00C21A2B" w:rsidRPr="0066241B" w14:paraId="0C00E04A" w14:textId="77777777">
        <w:trPr>
          <w:trHeight w:val="342"/>
        </w:trPr>
        <w:tc>
          <w:tcPr>
            <w:tcW w:w="3771" w:type="dxa"/>
          </w:tcPr>
          <w:p w14:paraId="3C93AC5C"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&gt; 2.0</w:t>
            </w:r>
          </w:p>
        </w:tc>
        <w:tc>
          <w:tcPr>
            <w:tcW w:w="2296" w:type="dxa"/>
          </w:tcPr>
          <w:p w14:paraId="08482B67"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118 (19.7)</w:t>
            </w:r>
          </w:p>
        </w:tc>
        <w:tc>
          <w:tcPr>
            <w:tcW w:w="1871" w:type="dxa"/>
          </w:tcPr>
          <w:p w14:paraId="53B5CA0F"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92 (15.9)</w:t>
            </w:r>
          </w:p>
        </w:tc>
        <w:tc>
          <w:tcPr>
            <w:tcW w:w="1965" w:type="dxa"/>
          </w:tcPr>
          <w:p w14:paraId="001591C5"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138 (16.3)</w:t>
            </w:r>
          </w:p>
        </w:tc>
        <w:tc>
          <w:tcPr>
            <w:tcW w:w="1384" w:type="dxa"/>
          </w:tcPr>
          <w:p w14:paraId="5685F0C1" w14:textId="77777777" w:rsidR="0052656F" w:rsidRPr="0066241B" w:rsidRDefault="0052656F" w:rsidP="00B34F1C">
            <w:pPr>
              <w:spacing w:line="360" w:lineRule="auto"/>
              <w:rPr>
                <w:rFonts w:ascii="Book Antiqua" w:eastAsia="Arial" w:hAnsi="Book Antiqua" w:cs="Arial"/>
                <w:color w:val="000000" w:themeColor="text1"/>
              </w:rPr>
            </w:pPr>
          </w:p>
        </w:tc>
        <w:tc>
          <w:tcPr>
            <w:tcW w:w="1445" w:type="dxa"/>
          </w:tcPr>
          <w:p w14:paraId="6B72132C" w14:textId="77777777" w:rsidR="0052656F" w:rsidRPr="0066241B" w:rsidRDefault="0052656F" w:rsidP="00B34F1C">
            <w:pPr>
              <w:spacing w:line="360" w:lineRule="auto"/>
              <w:rPr>
                <w:rFonts w:ascii="Book Antiqua" w:eastAsia="Arial" w:hAnsi="Book Antiqua" w:cs="Arial"/>
                <w:color w:val="000000" w:themeColor="text1"/>
              </w:rPr>
            </w:pPr>
          </w:p>
        </w:tc>
        <w:tc>
          <w:tcPr>
            <w:tcW w:w="1508" w:type="dxa"/>
          </w:tcPr>
          <w:p w14:paraId="12567E84" w14:textId="77777777" w:rsidR="0052656F" w:rsidRPr="0066241B" w:rsidRDefault="0052656F" w:rsidP="00B34F1C">
            <w:pPr>
              <w:spacing w:line="360" w:lineRule="auto"/>
              <w:rPr>
                <w:rFonts w:ascii="Book Antiqua" w:eastAsia="Arial" w:hAnsi="Book Antiqua" w:cs="Arial"/>
                <w:color w:val="000000" w:themeColor="text1"/>
              </w:rPr>
            </w:pPr>
          </w:p>
        </w:tc>
        <w:tc>
          <w:tcPr>
            <w:tcW w:w="1454" w:type="dxa"/>
          </w:tcPr>
          <w:p w14:paraId="1B40476D" w14:textId="77777777" w:rsidR="0052656F" w:rsidRPr="0066241B" w:rsidRDefault="0052656F" w:rsidP="00B34F1C">
            <w:pPr>
              <w:spacing w:line="360" w:lineRule="auto"/>
              <w:rPr>
                <w:rFonts w:ascii="Book Antiqua" w:eastAsia="Arial" w:hAnsi="Book Antiqua" w:cs="Arial"/>
                <w:color w:val="000000" w:themeColor="text1"/>
              </w:rPr>
            </w:pPr>
          </w:p>
        </w:tc>
      </w:tr>
      <w:tr w:rsidR="00C21A2B" w:rsidRPr="0066241B" w14:paraId="3C114A8B" w14:textId="77777777">
        <w:trPr>
          <w:trHeight w:val="342"/>
        </w:trPr>
        <w:tc>
          <w:tcPr>
            <w:tcW w:w="3771" w:type="dxa"/>
          </w:tcPr>
          <w:p w14:paraId="18A9397F"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ALBI score</w:t>
            </w:r>
          </w:p>
        </w:tc>
        <w:tc>
          <w:tcPr>
            <w:tcW w:w="2296" w:type="dxa"/>
          </w:tcPr>
          <w:p w14:paraId="2F0F82F9" w14:textId="77777777" w:rsidR="0052656F" w:rsidRPr="0066241B" w:rsidRDefault="0052656F" w:rsidP="00B34F1C">
            <w:pPr>
              <w:spacing w:line="360" w:lineRule="auto"/>
              <w:rPr>
                <w:rFonts w:ascii="Book Antiqua" w:eastAsia="Arial" w:hAnsi="Book Antiqua" w:cs="Arial"/>
                <w:color w:val="000000" w:themeColor="text1"/>
              </w:rPr>
            </w:pPr>
          </w:p>
        </w:tc>
        <w:tc>
          <w:tcPr>
            <w:tcW w:w="1871" w:type="dxa"/>
          </w:tcPr>
          <w:p w14:paraId="01204907" w14:textId="77777777" w:rsidR="0052656F" w:rsidRPr="0066241B" w:rsidRDefault="0052656F" w:rsidP="00B34F1C">
            <w:pPr>
              <w:spacing w:line="360" w:lineRule="auto"/>
              <w:rPr>
                <w:rFonts w:ascii="Book Antiqua" w:eastAsia="Arial" w:hAnsi="Book Antiqua" w:cs="Arial"/>
                <w:color w:val="000000" w:themeColor="text1"/>
              </w:rPr>
            </w:pPr>
          </w:p>
        </w:tc>
        <w:tc>
          <w:tcPr>
            <w:tcW w:w="1965" w:type="dxa"/>
          </w:tcPr>
          <w:p w14:paraId="4E9E385B" w14:textId="77777777" w:rsidR="0052656F" w:rsidRPr="0066241B" w:rsidRDefault="0052656F" w:rsidP="00B34F1C">
            <w:pPr>
              <w:spacing w:line="360" w:lineRule="auto"/>
              <w:rPr>
                <w:rFonts w:ascii="Book Antiqua" w:eastAsia="Arial" w:hAnsi="Book Antiqua" w:cs="Arial"/>
                <w:color w:val="000000" w:themeColor="text1"/>
              </w:rPr>
            </w:pPr>
          </w:p>
        </w:tc>
        <w:tc>
          <w:tcPr>
            <w:tcW w:w="1384" w:type="dxa"/>
          </w:tcPr>
          <w:p w14:paraId="26E4D859"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0.004</w:t>
            </w:r>
          </w:p>
        </w:tc>
        <w:tc>
          <w:tcPr>
            <w:tcW w:w="1445" w:type="dxa"/>
          </w:tcPr>
          <w:p w14:paraId="344C92BE"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0.04</w:t>
            </w:r>
          </w:p>
        </w:tc>
        <w:tc>
          <w:tcPr>
            <w:tcW w:w="1508" w:type="dxa"/>
          </w:tcPr>
          <w:p w14:paraId="78A656A4"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0.001</w:t>
            </w:r>
          </w:p>
        </w:tc>
        <w:tc>
          <w:tcPr>
            <w:tcW w:w="1454" w:type="dxa"/>
          </w:tcPr>
          <w:p w14:paraId="2056C6B1"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0.313</w:t>
            </w:r>
          </w:p>
        </w:tc>
      </w:tr>
      <w:tr w:rsidR="00C21A2B" w:rsidRPr="0066241B" w14:paraId="088027C6" w14:textId="77777777">
        <w:trPr>
          <w:trHeight w:val="684"/>
        </w:trPr>
        <w:tc>
          <w:tcPr>
            <w:tcW w:w="3771" w:type="dxa"/>
          </w:tcPr>
          <w:p w14:paraId="7E6592F4"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 -2.60 (Grade 1)</w:t>
            </w:r>
          </w:p>
        </w:tc>
        <w:tc>
          <w:tcPr>
            <w:tcW w:w="2296" w:type="dxa"/>
          </w:tcPr>
          <w:p w14:paraId="19C3A064"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446 (73.0)</w:t>
            </w:r>
          </w:p>
        </w:tc>
        <w:tc>
          <w:tcPr>
            <w:tcW w:w="1871" w:type="dxa"/>
          </w:tcPr>
          <w:p w14:paraId="00ECD8A6"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450 (78.1)</w:t>
            </w:r>
          </w:p>
        </w:tc>
        <w:tc>
          <w:tcPr>
            <w:tcW w:w="1965" w:type="dxa"/>
          </w:tcPr>
          <w:p w14:paraId="19401440"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674 (80.3)</w:t>
            </w:r>
          </w:p>
        </w:tc>
        <w:tc>
          <w:tcPr>
            <w:tcW w:w="1384" w:type="dxa"/>
          </w:tcPr>
          <w:p w14:paraId="4A559AB7" w14:textId="77777777" w:rsidR="0052656F" w:rsidRPr="0066241B" w:rsidRDefault="0052656F" w:rsidP="00B34F1C">
            <w:pPr>
              <w:spacing w:line="360" w:lineRule="auto"/>
              <w:rPr>
                <w:rFonts w:ascii="Book Antiqua" w:eastAsia="Arial" w:hAnsi="Book Antiqua" w:cs="Arial"/>
                <w:color w:val="000000" w:themeColor="text1"/>
              </w:rPr>
            </w:pPr>
          </w:p>
        </w:tc>
        <w:tc>
          <w:tcPr>
            <w:tcW w:w="1445" w:type="dxa"/>
          </w:tcPr>
          <w:p w14:paraId="511D3E0D" w14:textId="77777777" w:rsidR="0052656F" w:rsidRPr="0066241B" w:rsidRDefault="0052656F" w:rsidP="00B34F1C">
            <w:pPr>
              <w:spacing w:line="360" w:lineRule="auto"/>
              <w:rPr>
                <w:rFonts w:ascii="Book Antiqua" w:eastAsia="Arial" w:hAnsi="Book Antiqua" w:cs="Arial"/>
                <w:color w:val="000000" w:themeColor="text1"/>
              </w:rPr>
            </w:pPr>
          </w:p>
        </w:tc>
        <w:tc>
          <w:tcPr>
            <w:tcW w:w="1508" w:type="dxa"/>
          </w:tcPr>
          <w:p w14:paraId="69E25987" w14:textId="77777777" w:rsidR="0052656F" w:rsidRPr="0066241B" w:rsidRDefault="0052656F" w:rsidP="00B34F1C">
            <w:pPr>
              <w:spacing w:line="360" w:lineRule="auto"/>
              <w:rPr>
                <w:rFonts w:ascii="Book Antiqua" w:eastAsia="Arial" w:hAnsi="Book Antiqua" w:cs="Arial"/>
                <w:color w:val="000000" w:themeColor="text1"/>
              </w:rPr>
            </w:pPr>
          </w:p>
        </w:tc>
        <w:tc>
          <w:tcPr>
            <w:tcW w:w="1454" w:type="dxa"/>
          </w:tcPr>
          <w:p w14:paraId="2B9183F5" w14:textId="77777777" w:rsidR="0052656F" w:rsidRPr="0066241B" w:rsidRDefault="0052656F" w:rsidP="00B34F1C">
            <w:pPr>
              <w:spacing w:line="360" w:lineRule="auto"/>
              <w:rPr>
                <w:rFonts w:ascii="Book Antiqua" w:eastAsia="Arial" w:hAnsi="Book Antiqua" w:cs="Arial"/>
                <w:color w:val="000000" w:themeColor="text1"/>
              </w:rPr>
            </w:pPr>
          </w:p>
        </w:tc>
      </w:tr>
      <w:tr w:rsidR="00C21A2B" w:rsidRPr="0066241B" w14:paraId="78C91C89" w14:textId="77777777">
        <w:trPr>
          <w:trHeight w:val="1026"/>
        </w:trPr>
        <w:tc>
          <w:tcPr>
            <w:tcW w:w="3771" w:type="dxa"/>
          </w:tcPr>
          <w:p w14:paraId="37827B45"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&gt; -2.60 (Grade 2 or 3)</w:t>
            </w:r>
          </w:p>
        </w:tc>
        <w:tc>
          <w:tcPr>
            <w:tcW w:w="2296" w:type="dxa"/>
          </w:tcPr>
          <w:p w14:paraId="23BFE394"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165 (27.0)</w:t>
            </w:r>
          </w:p>
        </w:tc>
        <w:tc>
          <w:tcPr>
            <w:tcW w:w="1871" w:type="dxa"/>
          </w:tcPr>
          <w:p w14:paraId="138A729F"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126 (21.9)</w:t>
            </w:r>
          </w:p>
        </w:tc>
        <w:tc>
          <w:tcPr>
            <w:tcW w:w="1965" w:type="dxa"/>
          </w:tcPr>
          <w:p w14:paraId="415BE6AC"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165 (19.7)</w:t>
            </w:r>
          </w:p>
        </w:tc>
        <w:tc>
          <w:tcPr>
            <w:tcW w:w="1384" w:type="dxa"/>
          </w:tcPr>
          <w:p w14:paraId="7DAD3510" w14:textId="77777777" w:rsidR="0052656F" w:rsidRPr="0066241B" w:rsidRDefault="0052656F" w:rsidP="00B34F1C">
            <w:pPr>
              <w:spacing w:line="360" w:lineRule="auto"/>
              <w:rPr>
                <w:rFonts w:ascii="Book Antiqua" w:eastAsia="Arial" w:hAnsi="Book Antiqua" w:cs="Arial"/>
                <w:color w:val="000000" w:themeColor="text1"/>
              </w:rPr>
            </w:pPr>
          </w:p>
        </w:tc>
        <w:tc>
          <w:tcPr>
            <w:tcW w:w="1445" w:type="dxa"/>
          </w:tcPr>
          <w:p w14:paraId="78D9AC2F" w14:textId="77777777" w:rsidR="0052656F" w:rsidRPr="0066241B" w:rsidRDefault="0052656F" w:rsidP="00B34F1C">
            <w:pPr>
              <w:spacing w:line="360" w:lineRule="auto"/>
              <w:rPr>
                <w:rFonts w:ascii="Book Antiqua" w:eastAsia="Arial" w:hAnsi="Book Antiqua" w:cs="Arial"/>
                <w:color w:val="000000" w:themeColor="text1"/>
              </w:rPr>
            </w:pPr>
          </w:p>
        </w:tc>
        <w:tc>
          <w:tcPr>
            <w:tcW w:w="1508" w:type="dxa"/>
          </w:tcPr>
          <w:p w14:paraId="51AF6D33" w14:textId="77777777" w:rsidR="0052656F" w:rsidRPr="0066241B" w:rsidRDefault="0052656F" w:rsidP="00B34F1C">
            <w:pPr>
              <w:spacing w:line="360" w:lineRule="auto"/>
              <w:rPr>
                <w:rFonts w:ascii="Book Antiqua" w:eastAsia="Arial" w:hAnsi="Book Antiqua" w:cs="Arial"/>
                <w:color w:val="000000" w:themeColor="text1"/>
              </w:rPr>
            </w:pPr>
          </w:p>
        </w:tc>
        <w:tc>
          <w:tcPr>
            <w:tcW w:w="1454" w:type="dxa"/>
          </w:tcPr>
          <w:p w14:paraId="51FD2D8B" w14:textId="77777777" w:rsidR="0052656F" w:rsidRPr="0066241B" w:rsidRDefault="0052656F" w:rsidP="00B34F1C">
            <w:pPr>
              <w:spacing w:line="360" w:lineRule="auto"/>
              <w:rPr>
                <w:rFonts w:ascii="Book Antiqua" w:eastAsia="Arial" w:hAnsi="Book Antiqua" w:cs="Arial"/>
                <w:color w:val="000000" w:themeColor="text1"/>
              </w:rPr>
            </w:pPr>
          </w:p>
        </w:tc>
      </w:tr>
      <w:tr w:rsidR="00C21A2B" w:rsidRPr="0066241B" w14:paraId="717F8880" w14:textId="77777777">
        <w:trPr>
          <w:trHeight w:val="684"/>
        </w:trPr>
        <w:tc>
          <w:tcPr>
            <w:tcW w:w="3771" w:type="dxa"/>
          </w:tcPr>
          <w:p w14:paraId="5658BB50"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Ever smoker</w:t>
            </w:r>
          </w:p>
        </w:tc>
        <w:tc>
          <w:tcPr>
            <w:tcW w:w="2296" w:type="dxa"/>
          </w:tcPr>
          <w:p w14:paraId="2516DC88"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264 (42.9)</w:t>
            </w:r>
          </w:p>
        </w:tc>
        <w:tc>
          <w:tcPr>
            <w:tcW w:w="1871" w:type="dxa"/>
          </w:tcPr>
          <w:p w14:paraId="79171988"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283 (49.5)</w:t>
            </w:r>
          </w:p>
        </w:tc>
        <w:tc>
          <w:tcPr>
            <w:tcW w:w="1965" w:type="dxa"/>
          </w:tcPr>
          <w:p w14:paraId="063B653B"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380 (44.5)</w:t>
            </w:r>
          </w:p>
        </w:tc>
        <w:tc>
          <w:tcPr>
            <w:tcW w:w="1384" w:type="dxa"/>
          </w:tcPr>
          <w:p w14:paraId="2FA72E6C"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0.058</w:t>
            </w:r>
          </w:p>
        </w:tc>
        <w:tc>
          <w:tcPr>
            <w:tcW w:w="1445" w:type="dxa"/>
          </w:tcPr>
          <w:p w14:paraId="3BACC298"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0.022</w:t>
            </w:r>
          </w:p>
        </w:tc>
        <w:tc>
          <w:tcPr>
            <w:tcW w:w="1508" w:type="dxa"/>
          </w:tcPr>
          <w:p w14:paraId="6DB2277E"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0.519</w:t>
            </w:r>
          </w:p>
        </w:tc>
        <w:tc>
          <w:tcPr>
            <w:tcW w:w="1454" w:type="dxa"/>
          </w:tcPr>
          <w:p w14:paraId="66A20AA7"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0.068</w:t>
            </w:r>
          </w:p>
        </w:tc>
      </w:tr>
      <w:tr w:rsidR="00C21A2B" w:rsidRPr="0066241B" w14:paraId="07D66DBD" w14:textId="77777777">
        <w:trPr>
          <w:trHeight w:val="684"/>
        </w:trPr>
        <w:tc>
          <w:tcPr>
            <w:tcW w:w="3771" w:type="dxa"/>
          </w:tcPr>
          <w:p w14:paraId="44A47C8D"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Alcohol intake</w:t>
            </w:r>
          </w:p>
        </w:tc>
        <w:tc>
          <w:tcPr>
            <w:tcW w:w="2296" w:type="dxa"/>
          </w:tcPr>
          <w:p w14:paraId="754B1658" w14:textId="77777777" w:rsidR="0052656F" w:rsidRPr="0066241B" w:rsidRDefault="0052656F" w:rsidP="00B34F1C">
            <w:pPr>
              <w:spacing w:line="360" w:lineRule="auto"/>
              <w:rPr>
                <w:rFonts w:ascii="Book Antiqua" w:eastAsia="Arial" w:hAnsi="Book Antiqua" w:cs="Arial"/>
                <w:color w:val="000000" w:themeColor="text1"/>
              </w:rPr>
            </w:pPr>
          </w:p>
        </w:tc>
        <w:tc>
          <w:tcPr>
            <w:tcW w:w="1871" w:type="dxa"/>
          </w:tcPr>
          <w:p w14:paraId="5CA5281A" w14:textId="77777777" w:rsidR="0052656F" w:rsidRPr="0066241B" w:rsidRDefault="0052656F" w:rsidP="00B34F1C">
            <w:pPr>
              <w:spacing w:line="360" w:lineRule="auto"/>
              <w:rPr>
                <w:rFonts w:ascii="Book Antiqua" w:eastAsia="Arial" w:hAnsi="Book Antiqua" w:cs="Arial"/>
                <w:color w:val="000000" w:themeColor="text1"/>
              </w:rPr>
            </w:pPr>
          </w:p>
        </w:tc>
        <w:tc>
          <w:tcPr>
            <w:tcW w:w="1965" w:type="dxa"/>
          </w:tcPr>
          <w:p w14:paraId="47004A48" w14:textId="77777777" w:rsidR="0052656F" w:rsidRPr="0066241B" w:rsidRDefault="0052656F" w:rsidP="00B34F1C">
            <w:pPr>
              <w:spacing w:line="360" w:lineRule="auto"/>
              <w:rPr>
                <w:rFonts w:ascii="Book Antiqua" w:eastAsia="Arial" w:hAnsi="Book Antiqua" w:cs="Arial"/>
                <w:color w:val="000000" w:themeColor="text1"/>
              </w:rPr>
            </w:pPr>
          </w:p>
        </w:tc>
        <w:tc>
          <w:tcPr>
            <w:tcW w:w="1384" w:type="dxa"/>
          </w:tcPr>
          <w:p w14:paraId="712E8804"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445" w:type="dxa"/>
          </w:tcPr>
          <w:p w14:paraId="2124F5D2"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508" w:type="dxa"/>
          </w:tcPr>
          <w:p w14:paraId="21F73037"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454" w:type="dxa"/>
          </w:tcPr>
          <w:p w14:paraId="230166EE"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r>
      <w:tr w:rsidR="00C21A2B" w:rsidRPr="0066241B" w14:paraId="35D2B446" w14:textId="77777777">
        <w:trPr>
          <w:trHeight w:val="342"/>
        </w:trPr>
        <w:tc>
          <w:tcPr>
            <w:tcW w:w="3771" w:type="dxa"/>
          </w:tcPr>
          <w:p w14:paraId="483CA4C1"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None</w:t>
            </w:r>
          </w:p>
        </w:tc>
        <w:tc>
          <w:tcPr>
            <w:tcW w:w="2296" w:type="dxa"/>
          </w:tcPr>
          <w:p w14:paraId="598969B0"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326 (53.0)</w:t>
            </w:r>
          </w:p>
        </w:tc>
        <w:tc>
          <w:tcPr>
            <w:tcW w:w="1871" w:type="dxa"/>
          </w:tcPr>
          <w:p w14:paraId="07A85C28"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226 (39.4)</w:t>
            </w:r>
          </w:p>
        </w:tc>
        <w:tc>
          <w:tcPr>
            <w:tcW w:w="1965" w:type="dxa"/>
          </w:tcPr>
          <w:p w14:paraId="60E42E7D"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419 (48.9)</w:t>
            </w:r>
          </w:p>
        </w:tc>
        <w:tc>
          <w:tcPr>
            <w:tcW w:w="1384" w:type="dxa"/>
          </w:tcPr>
          <w:p w14:paraId="2CD867F3" w14:textId="77777777" w:rsidR="0052656F" w:rsidRPr="0066241B" w:rsidRDefault="0052656F" w:rsidP="00B34F1C">
            <w:pPr>
              <w:spacing w:line="360" w:lineRule="auto"/>
              <w:rPr>
                <w:rFonts w:ascii="Book Antiqua" w:eastAsia="Arial" w:hAnsi="Book Antiqua" w:cs="Arial"/>
                <w:color w:val="000000" w:themeColor="text1"/>
              </w:rPr>
            </w:pPr>
          </w:p>
        </w:tc>
        <w:tc>
          <w:tcPr>
            <w:tcW w:w="1445" w:type="dxa"/>
          </w:tcPr>
          <w:p w14:paraId="05189665" w14:textId="77777777" w:rsidR="0052656F" w:rsidRPr="0066241B" w:rsidRDefault="0052656F" w:rsidP="00B34F1C">
            <w:pPr>
              <w:spacing w:line="360" w:lineRule="auto"/>
              <w:rPr>
                <w:rFonts w:ascii="Book Antiqua" w:eastAsia="Arial" w:hAnsi="Book Antiqua" w:cs="Arial"/>
                <w:color w:val="000000" w:themeColor="text1"/>
              </w:rPr>
            </w:pPr>
          </w:p>
        </w:tc>
        <w:tc>
          <w:tcPr>
            <w:tcW w:w="1508" w:type="dxa"/>
          </w:tcPr>
          <w:p w14:paraId="1B4E4E40" w14:textId="77777777" w:rsidR="0052656F" w:rsidRPr="0066241B" w:rsidRDefault="0052656F" w:rsidP="00B34F1C">
            <w:pPr>
              <w:spacing w:line="360" w:lineRule="auto"/>
              <w:rPr>
                <w:rFonts w:ascii="Book Antiqua" w:eastAsia="Arial" w:hAnsi="Book Antiqua" w:cs="Arial"/>
                <w:color w:val="000000" w:themeColor="text1"/>
              </w:rPr>
            </w:pPr>
          </w:p>
        </w:tc>
        <w:tc>
          <w:tcPr>
            <w:tcW w:w="1454" w:type="dxa"/>
          </w:tcPr>
          <w:p w14:paraId="261CB183" w14:textId="77777777" w:rsidR="0052656F" w:rsidRPr="0066241B" w:rsidRDefault="0052656F" w:rsidP="00B34F1C">
            <w:pPr>
              <w:spacing w:line="360" w:lineRule="auto"/>
              <w:rPr>
                <w:rFonts w:ascii="Book Antiqua" w:eastAsia="Arial" w:hAnsi="Book Antiqua" w:cs="Arial"/>
                <w:color w:val="000000" w:themeColor="text1"/>
              </w:rPr>
            </w:pPr>
          </w:p>
        </w:tc>
      </w:tr>
      <w:tr w:rsidR="00C21A2B" w:rsidRPr="0066241B" w14:paraId="6CDDA571" w14:textId="77777777">
        <w:trPr>
          <w:trHeight w:val="342"/>
        </w:trPr>
        <w:tc>
          <w:tcPr>
            <w:tcW w:w="3771" w:type="dxa"/>
          </w:tcPr>
          <w:p w14:paraId="6F5AB86B"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Social</w:t>
            </w:r>
          </w:p>
        </w:tc>
        <w:tc>
          <w:tcPr>
            <w:tcW w:w="2296" w:type="dxa"/>
          </w:tcPr>
          <w:p w14:paraId="0661DCA8"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227 (36.9)</w:t>
            </w:r>
          </w:p>
        </w:tc>
        <w:tc>
          <w:tcPr>
            <w:tcW w:w="1871" w:type="dxa"/>
          </w:tcPr>
          <w:p w14:paraId="735ACF34"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308 (53.7)</w:t>
            </w:r>
          </w:p>
        </w:tc>
        <w:tc>
          <w:tcPr>
            <w:tcW w:w="1965" w:type="dxa"/>
          </w:tcPr>
          <w:p w14:paraId="7DCBE43D"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229 (26.7)</w:t>
            </w:r>
          </w:p>
        </w:tc>
        <w:tc>
          <w:tcPr>
            <w:tcW w:w="1384" w:type="dxa"/>
          </w:tcPr>
          <w:p w14:paraId="11FFFD29" w14:textId="77777777" w:rsidR="0052656F" w:rsidRPr="0066241B" w:rsidRDefault="0052656F" w:rsidP="00B34F1C">
            <w:pPr>
              <w:spacing w:line="360" w:lineRule="auto"/>
              <w:rPr>
                <w:rFonts w:ascii="Book Antiqua" w:eastAsia="Arial" w:hAnsi="Book Antiqua" w:cs="Arial"/>
                <w:color w:val="000000" w:themeColor="text1"/>
              </w:rPr>
            </w:pPr>
          </w:p>
        </w:tc>
        <w:tc>
          <w:tcPr>
            <w:tcW w:w="1445" w:type="dxa"/>
          </w:tcPr>
          <w:p w14:paraId="249FD142" w14:textId="77777777" w:rsidR="0052656F" w:rsidRPr="0066241B" w:rsidRDefault="0052656F" w:rsidP="00B34F1C">
            <w:pPr>
              <w:spacing w:line="360" w:lineRule="auto"/>
              <w:rPr>
                <w:rFonts w:ascii="Book Antiqua" w:eastAsia="Arial" w:hAnsi="Book Antiqua" w:cs="Arial"/>
                <w:color w:val="000000" w:themeColor="text1"/>
              </w:rPr>
            </w:pPr>
          </w:p>
        </w:tc>
        <w:tc>
          <w:tcPr>
            <w:tcW w:w="1508" w:type="dxa"/>
          </w:tcPr>
          <w:p w14:paraId="222B8FC5" w14:textId="77777777" w:rsidR="0052656F" w:rsidRPr="0066241B" w:rsidRDefault="0052656F" w:rsidP="00B34F1C">
            <w:pPr>
              <w:spacing w:line="360" w:lineRule="auto"/>
              <w:rPr>
                <w:rFonts w:ascii="Book Antiqua" w:eastAsia="Arial" w:hAnsi="Book Antiqua" w:cs="Arial"/>
                <w:color w:val="000000" w:themeColor="text1"/>
              </w:rPr>
            </w:pPr>
          </w:p>
        </w:tc>
        <w:tc>
          <w:tcPr>
            <w:tcW w:w="1454" w:type="dxa"/>
          </w:tcPr>
          <w:p w14:paraId="7C373448" w14:textId="77777777" w:rsidR="0052656F" w:rsidRPr="0066241B" w:rsidRDefault="0052656F" w:rsidP="00B34F1C">
            <w:pPr>
              <w:spacing w:line="360" w:lineRule="auto"/>
              <w:rPr>
                <w:rFonts w:ascii="Book Antiqua" w:eastAsia="Arial" w:hAnsi="Book Antiqua" w:cs="Arial"/>
                <w:color w:val="000000" w:themeColor="text1"/>
              </w:rPr>
            </w:pPr>
          </w:p>
        </w:tc>
      </w:tr>
      <w:tr w:rsidR="00C21A2B" w:rsidRPr="0066241B" w14:paraId="54BAB805" w14:textId="77777777">
        <w:trPr>
          <w:trHeight w:val="684"/>
        </w:trPr>
        <w:tc>
          <w:tcPr>
            <w:tcW w:w="3771" w:type="dxa"/>
          </w:tcPr>
          <w:p w14:paraId="0E20C07D"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Significant</w:t>
            </w:r>
            <w:r w:rsidRPr="0066241B">
              <w:rPr>
                <w:rFonts w:ascii="Book Antiqua" w:eastAsia="Arial" w:hAnsi="Book Antiqua" w:cs="Arial"/>
                <w:color w:val="000000" w:themeColor="text1"/>
                <w:vertAlign w:val="superscript"/>
              </w:rPr>
              <w:t>1</w:t>
            </w:r>
          </w:p>
        </w:tc>
        <w:tc>
          <w:tcPr>
            <w:tcW w:w="2296" w:type="dxa"/>
          </w:tcPr>
          <w:p w14:paraId="19852632"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61 (9.9)</w:t>
            </w:r>
          </w:p>
        </w:tc>
        <w:tc>
          <w:tcPr>
            <w:tcW w:w="1871" w:type="dxa"/>
          </w:tcPr>
          <w:p w14:paraId="24171B24"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40 (7.0)</w:t>
            </w:r>
          </w:p>
        </w:tc>
        <w:tc>
          <w:tcPr>
            <w:tcW w:w="1965" w:type="dxa"/>
          </w:tcPr>
          <w:p w14:paraId="2578F8CA"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209 (24.4)</w:t>
            </w:r>
          </w:p>
        </w:tc>
        <w:tc>
          <w:tcPr>
            <w:tcW w:w="1384" w:type="dxa"/>
          </w:tcPr>
          <w:p w14:paraId="2CED2684" w14:textId="77777777" w:rsidR="0052656F" w:rsidRPr="0066241B" w:rsidRDefault="0052656F" w:rsidP="00B34F1C">
            <w:pPr>
              <w:spacing w:line="360" w:lineRule="auto"/>
              <w:rPr>
                <w:rFonts w:ascii="Book Antiqua" w:eastAsia="Arial" w:hAnsi="Book Antiqua" w:cs="Arial"/>
                <w:color w:val="000000" w:themeColor="text1"/>
              </w:rPr>
            </w:pPr>
          </w:p>
        </w:tc>
        <w:tc>
          <w:tcPr>
            <w:tcW w:w="1445" w:type="dxa"/>
          </w:tcPr>
          <w:p w14:paraId="20EB5439" w14:textId="77777777" w:rsidR="0052656F" w:rsidRPr="0066241B" w:rsidRDefault="0052656F" w:rsidP="00B34F1C">
            <w:pPr>
              <w:spacing w:line="360" w:lineRule="auto"/>
              <w:rPr>
                <w:rFonts w:ascii="Book Antiqua" w:eastAsia="Arial" w:hAnsi="Book Antiqua" w:cs="Arial"/>
                <w:color w:val="000000" w:themeColor="text1"/>
              </w:rPr>
            </w:pPr>
          </w:p>
        </w:tc>
        <w:tc>
          <w:tcPr>
            <w:tcW w:w="1508" w:type="dxa"/>
          </w:tcPr>
          <w:p w14:paraId="7F0AC002" w14:textId="77777777" w:rsidR="0052656F" w:rsidRPr="0066241B" w:rsidRDefault="0052656F" w:rsidP="00B34F1C">
            <w:pPr>
              <w:spacing w:line="360" w:lineRule="auto"/>
              <w:rPr>
                <w:rFonts w:ascii="Book Antiqua" w:eastAsia="Arial" w:hAnsi="Book Antiqua" w:cs="Arial"/>
                <w:color w:val="000000" w:themeColor="text1"/>
              </w:rPr>
            </w:pPr>
          </w:p>
        </w:tc>
        <w:tc>
          <w:tcPr>
            <w:tcW w:w="1454" w:type="dxa"/>
          </w:tcPr>
          <w:p w14:paraId="5A74FA7F" w14:textId="77777777" w:rsidR="0052656F" w:rsidRPr="0066241B" w:rsidRDefault="0052656F" w:rsidP="00B34F1C">
            <w:pPr>
              <w:spacing w:line="360" w:lineRule="auto"/>
              <w:rPr>
                <w:rFonts w:ascii="Book Antiqua" w:eastAsia="Arial" w:hAnsi="Book Antiqua" w:cs="Arial"/>
                <w:color w:val="000000" w:themeColor="text1"/>
              </w:rPr>
            </w:pPr>
          </w:p>
        </w:tc>
      </w:tr>
      <w:tr w:rsidR="00C21A2B" w:rsidRPr="0066241B" w14:paraId="5C0D488D" w14:textId="77777777">
        <w:trPr>
          <w:trHeight w:val="1710"/>
        </w:trPr>
        <w:tc>
          <w:tcPr>
            <w:tcW w:w="3771" w:type="dxa"/>
          </w:tcPr>
          <w:p w14:paraId="1A328883"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lastRenderedPageBreak/>
              <w:t xml:space="preserve">Fatty liver disease on imaging study, </w:t>
            </w:r>
            <w:r w:rsidRPr="0066241B">
              <w:rPr>
                <w:rFonts w:ascii="Book Antiqua" w:eastAsia="Arial" w:hAnsi="Book Antiqua" w:cs="Arial"/>
                <w:i/>
                <w:color w:val="000000" w:themeColor="text1"/>
              </w:rPr>
              <w:t>n</w:t>
            </w:r>
            <w:r w:rsidRPr="0066241B">
              <w:rPr>
                <w:rFonts w:ascii="Book Antiqua" w:eastAsia="Arial" w:hAnsi="Book Antiqua" w:cs="Arial"/>
                <w:color w:val="000000" w:themeColor="text1"/>
              </w:rPr>
              <w:t xml:space="preserve"> = 1389</w:t>
            </w:r>
          </w:p>
        </w:tc>
        <w:tc>
          <w:tcPr>
            <w:tcW w:w="2296" w:type="dxa"/>
          </w:tcPr>
          <w:p w14:paraId="1FABC443"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 xml:space="preserve">71 (19.3), </w:t>
            </w:r>
            <w:r w:rsidRPr="0066241B">
              <w:rPr>
                <w:rFonts w:ascii="Book Antiqua" w:eastAsia="Arial" w:hAnsi="Book Antiqua" w:cs="Arial"/>
                <w:i/>
                <w:color w:val="000000" w:themeColor="text1"/>
              </w:rPr>
              <w:t>n</w:t>
            </w:r>
            <w:r w:rsidRPr="0066241B">
              <w:rPr>
                <w:rFonts w:ascii="Book Antiqua" w:eastAsia="Arial" w:hAnsi="Book Antiqua" w:cs="Arial"/>
                <w:color w:val="000000" w:themeColor="text1"/>
              </w:rPr>
              <w:t xml:space="preserve"> = 367</w:t>
            </w:r>
          </w:p>
        </w:tc>
        <w:tc>
          <w:tcPr>
            <w:tcW w:w="1871" w:type="dxa"/>
          </w:tcPr>
          <w:p w14:paraId="1B94FA6F"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 xml:space="preserve">86 (21.1), </w:t>
            </w:r>
            <w:r w:rsidRPr="0066241B">
              <w:rPr>
                <w:rFonts w:ascii="Book Antiqua" w:eastAsia="Arial" w:hAnsi="Book Antiqua" w:cs="Arial"/>
                <w:i/>
                <w:color w:val="000000" w:themeColor="text1"/>
              </w:rPr>
              <w:t>n</w:t>
            </w:r>
            <w:r w:rsidRPr="0066241B">
              <w:rPr>
                <w:rFonts w:ascii="Book Antiqua" w:eastAsia="Arial" w:hAnsi="Book Antiqua" w:cs="Arial"/>
                <w:color w:val="000000" w:themeColor="text1"/>
              </w:rPr>
              <w:t xml:space="preserve"> = 408</w:t>
            </w:r>
          </w:p>
        </w:tc>
        <w:tc>
          <w:tcPr>
            <w:tcW w:w="1965" w:type="dxa"/>
          </w:tcPr>
          <w:p w14:paraId="3D5841BA"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 xml:space="preserve">140 (22.8), </w:t>
            </w:r>
            <w:r w:rsidRPr="0066241B">
              <w:rPr>
                <w:rFonts w:ascii="Book Antiqua" w:eastAsia="Arial" w:hAnsi="Book Antiqua" w:cs="Arial"/>
                <w:i/>
                <w:color w:val="000000" w:themeColor="text1"/>
              </w:rPr>
              <w:t>n</w:t>
            </w:r>
            <w:r w:rsidRPr="0066241B">
              <w:rPr>
                <w:rFonts w:ascii="Book Antiqua" w:eastAsia="Arial" w:hAnsi="Book Antiqua" w:cs="Arial"/>
                <w:color w:val="000000" w:themeColor="text1"/>
              </w:rPr>
              <w:t xml:space="preserve"> = 614</w:t>
            </w:r>
          </w:p>
        </w:tc>
        <w:tc>
          <w:tcPr>
            <w:tcW w:w="1384" w:type="dxa"/>
          </w:tcPr>
          <w:p w14:paraId="7DDE4865"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0.435</w:t>
            </w:r>
          </w:p>
        </w:tc>
        <w:tc>
          <w:tcPr>
            <w:tcW w:w="1445" w:type="dxa"/>
          </w:tcPr>
          <w:p w14:paraId="538C4400"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0.549</w:t>
            </w:r>
          </w:p>
        </w:tc>
        <w:tc>
          <w:tcPr>
            <w:tcW w:w="1508" w:type="dxa"/>
          </w:tcPr>
          <w:p w14:paraId="471990D6"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0.202</w:t>
            </w:r>
          </w:p>
        </w:tc>
        <w:tc>
          <w:tcPr>
            <w:tcW w:w="1454" w:type="dxa"/>
          </w:tcPr>
          <w:p w14:paraId="3AD63D9B"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0.516</w:t>
            </w:r>
          </w:p>
          <w:p w14:paraId="4806314F" w14:textId="77777777" w:rsidR="0052656F" w:rsidRPr="0066241B" w:rsidRDefault="0052656F" w:rsidP="00B34F1C">
            <w:pPr>
              <w:spacing w:line="360" w:lineRule="auto"/>
              <w:rPr>
                <w:rFonts w:ascii="Book Antiqua" w:eastAsia="Arial" w:hAnsi="Book Antiqua" w:cs="Arial"/>
                <w:color w:val="000000" w:themeColor="text1"/>
              </w:rPr>
            </w:pPr>
          </w:p>
          <w:p w14:paraId="309E80E9" w14:textId="77777777" w:rsidR="0052656F" w:rsidRPr="0066241B" w:rsidRDefault="0052656F" w:rsidP="00B34F1C">
            <w:pPr>
              <w:spacing w:line="360" w:lineRule="auto"/>
              <w:rPr>
                <w:rFonts w:ascii="Book Antiqua" w:eastAsia="Arial" w:hAnsi="Book Antiqua" w:cs="Arial"/>
                <w:color w:val="000000" w:themeColor="text1"/>
              </w:rPr>
            </w:pPr>
          </w:p>
          <w:p w14:paraId="4BC442FC" w14:textId="77777777" w:rsidR="0052656F" w:rsidRPr="0066241B" w:rsidRDefault="0052656F" w:rsidP="00B34F1C">
            <w:pPr>
              <w:spacing w:line="360" w:lineRule="auto"/>
              <w:rPr>
                <w:rFonts w:ascii="Book Antiqua" w:eastAsia="Arial" w:hAnsi="Book Antiqua" w:cs="Arial"/>
                <w:color w:val="000000" w:themeColor="text1"/>
              </w:rPr>
            </w:pPr>
          </w:p>
          <w:p w14:paraId="434A9D4E" w14:textId="77777777" w:rsidR="0052656F" w:rsidRPr="0066241B" w:rsidRDefault="0052656F" w:rsidP="00B34F1C">
            <w:pPr>
              <w:spacing w:line="360" w:lineRule="auto"/>
              <w:rPr>
                <w:rFonts w:ascii="Book Antiqua" w:eastAsia="Arial" w:hAnsi="Book Antiqua" w:cs="Arial"/>
                <w:color w:val="000000" w:themeColor="text1"/>
              </w:rPr>
            </w:pPr>
          </w:p>
          <w:p w14:paraId="2081986C" w14:textId="77777777" w:rsidR="0052656F" w:rsidRPr="0066241B" w:rsidRDefault="0052656F" w:rsidP="00B34F1C">
            <w:pPr>
              <w:spacing w:line="360" w:lineRule="auto"/>
              <w:rPr>
                <w:rFonts w:ascii="Book Antiqua" w:eastAsia="Arial" w:hAnsi="Book Antiqua" w:cs="Arial"/>
                <w:color w:val="000000" w:themeColor="text1"/>
              </w:rPr>
            </w:pPr>
          </w:p>
          <w:p w14:paraId="26C12DF8" w14:textId="77777777" w:rsidR="0052656F" w:rsidRPr="0066241B" w:rsidRDefault="0052656F" w:rsidP="00B34F1C">
            <w:pPr>
              <w:spacing w:line="360" w:lineRule="auto"/>
              <w:rPr>
                <w:rFonts w:ascii="Book Antiqua" w:eastAsia="Arial" w:hAnsi="Book Antiqua" w:cs="Arial"/>
                <w:color w:val="000000" w:themeColor="text1"/>
              </w:rPr>
            </w:pPr>
          </w:p>
        </w:tc>
      </w:tr>
      <w:tr w:rsidR="00C21A2B" w:rsidRPr="0066241B" w14:paraId="5ECE5C10" w14:textId="77777777">
        <w:trPr>
          <w:trHeight w:val="1026"/>
        </w:trPr>
        <w:tc>
          <w:tcPr>
            <w:tcW w:w="3771" w:type="dxa"/>
          </w:tcPr>
          <w:p w14:paraId="04A531AD"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 xml:space="preserve">Anti-HBcIgG (+), </w:t>
            </w:r>
            <w:bookmarkStart w:id="60" w:name="OLE_LINK4681"/>
            <w:bookmarkStart w:id="61" w:name="OLE_LINK4682"/>
            <w:r w:rsidRPr="0066241B">
              <w:rPr>
                <w:rFonts w:ascii="Book Antiqua" w:eastAsia="Arial" w:hAnsi="Book Antiqua" w:cs="Arial"/>
                <w:i/>
                <w:color w:val="000000" w:themeColor="text1"/>
              </w:rPr>
              <w:t>n</w:t>
            </w:r>
            <w:bookmarkEnd w:id="60"/>
            <w:bookmarkEnd w:id="61"/>
            <w:r w:rsidRPr="0066241B">
              <w:rPr>
                <w:rFonts w:ascii="Book Antiqua" w:eastAsia="Arial" w:hAnsi="Book Antiqua" w:cs="Arial"/>
                <w:color w:val="000000" w:themeColor="text1"/>
              </w:rPr>
              <w:t xml:space="preserve"> = 1442</w:t>
            </w:r>
          </w:p>
        </w:tc>
        <w:tc>
          <w:tcPr>
            <w:tcW w:w="2296" w:type="dxa"/>
          </w:tcPr>
          <w:p w14:paraId="506F7544"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 xml:space="preserve">47 (11.0), </w:t>
            </w:r>
            <w:r w:rsidRPr="0066241B">
              <w:rPr>
                <w:rFonts w:ascii="Book Antiqua" w:eastAsia="Arial" w:hAnsi="Book Antiqua" w:cs="Arial"/>
                <w:i/>
                <w:color w:val="000000" w:themeColor="text1"/>
              </w:rPr>
              <w:t>n</w:t>
            </w:r>
            <w:r w:rsidRPr="0066241B">
              <w:rPr>
                <w:rFonts w:ascii="Book Antiqua" w:eastAsia="Arial" w:hAnsi="Book Antiqua" w:cs="Arial"/>
                <w:color w:val="000000" w:themeColor="text1"/>
              </w:rPr>
              <w:t xml:space="preserve"> = 429</w:t>
            </w:r>
          </w:p>
        </w:tc>
        <w:tc>
          <w:tcPr>
            <w:tcW w:w="1871" w:type="dxa"/>
          </w:tcPr>
          <w:p w14:paraId="5EF28D1D"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 xml:space="preserve">33 (8.4), </w:t>
            </w:r>
            <w:r w:rsidRPr="0066241B">
              <w:rPr>
                <w:rFonts w:ascii="Book Antiqua" w:eastAsia="Arial" w:hAnsi="Book Antiqua" w:cs="Arial"/>
                <w:i/>
                <w:color w:val="000000" w:themeColor="text1"/>
              </w:rPr>
              <w:t>n</w:t>
            </w:r>
            <w:r w:rsidRPr="0066241B">
              <w:rPr>
                <w:rFonts w:ascii="Book Antiqua" w:eastAsia="Arial" w:hAnsi="Book Antiqua" w:cs="Arial"/>
                <w:color w:val="000000" w:themeColor="text1"/>
              </w:rPr>
              <w:t xml:space="preserve"> = 391</w:t>
            </w:r>
          </w:p>
        </w:tc>
        <w:tc>
          <w:tcPr>
            <w:tcW w:w="1965" w:type="dxa"/>
          </w:tcPr>
          <w:p w14:paraId="1A1C8274"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 xml:space="preserve">64 (10.3), </w:t>
            </w:r>
            <w:r w:rsidRPr="0066241B">
              <w:rPr>
                <w:rFonts w:ascii="Book Antiqua" w:eastAsia="Arial" w:hAnsi="Book Antiqua" w:cs="Arial"/>
                <w:i/>
                <w:color w:val="000000" w:themeColor="text1"/>
              </w:rPr>
              <w:t>n</w:t>
            </w:r>
            <w:r w:rsidRPr="0066241B">
              <w:rPr>
                <w:rFonts w:ascii="Book Antiqua" w:eastAsia="Arial" w:hAnsi="Book Antiqua" w:cs="Arial"/>
                <w:color w:val="000000" w:themeColor="text1"/>
              </w:rPr>
              <w:t xml:space="preserve"> = 622</w:t>
            </w:r>
          </w:p>
        </w:tc>
        <w:tc>
          <w:tcPr>
            <w:tcW w:w="1384" w:type="dxa"/>
          </w:tcPr>
          <w:p w14:paraId="52C56BB7"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0.46</w:t>
            </w:r>
          </w:p>
        </w:tc>
        <w:tc>
          <w:tcPr>
            <w:tcW w:w="1445" w:type="dxa"/>
          </w:tcPr>
          <w:p w14:paraId="7AC22192"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0.225</w:t>
            </w:r>
          </w:p>
        </w:tc>
        <w:tc>
          <w:tcPr>
            <w:tcW w:w="1508" w:type="dxa"/>
          </w:tcPr>
          <w:p w14:paraId="048ED2EE"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0.73</w:t>
            </w:r>
          </w:p>
        </w:tc>
        <w:tc>
          <w:tcPr>
            <w:tcW w:w="1454" w:type="dxa"/>
          </w:tcPr>
          <w:p w14:paraId="763EB5B8"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0.33</w:t>
            </w:r>
          </w:p>
        </w:tc>
      </w:tr>
      <w:tr w:rsidR="00C21A2B" w:rsidRPr="0066241B" w14:paraId="7D2D1133" w14:textId="77777777">
        <w:trPr>
          <w:trHeight w:val="724"/>
        </w:trPr>
        <w:tc>
          <w:tcPr>
            <w:tcW w:w="3771" w:type="dxa"/>
          </w:tcPr>
          <w:p w14:paraId="2DAEB458"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BMI, kg/m</w:t>
            </w:r>
            <w:r w:rsidRPr="0066241B">
              <w:rPr>
                <w:rFonts w:ascii="Book Antiqua" w:eastAsia="Arial" w:hAnsi="Book Antiqua" w:cs="Arial"/>
                <w:color w:val="000000" w:themeColor="text1"/>
                <w:vertAlign w:val="superscript"/>
              </w:rPr>
              <w:t>2</w:t>
            </w:r>
          </w:p>
        </w:tc>
        <w:tc>
          <w:tcPr>
            <w:tcW w:w="2296" w:type="dxa"/>
          </w:tcPr>
          <w:p w14:paraId="22496857"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23.4 ± 3.2</w:t>
            </w:r>
          </w:p>
        </w:tc>
        <w:tc>
          <w:tcPr>
            <w:tcW w:w="1871" w:type="dxa"/>
          </w:tcPr>
          <w:p w14:paraId="7534994F"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23.8 ± 3.0</w:t>
            </w:r>
          </w:p>
        </w:tc>
        <w:tc>
          <w:tcPr>
            <w:tcW w:w="1965" w:type="dxa"/>
          </w:tcPr>
          <w:p w14:paraId="7DEA6561"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23.8 ± 3.1</w:t>
            </w:r>
          </w:p>
        </w:tc>
        <w:tc>
          <w:tcPr>
            <w:tcW w:w="1384" w:type="dxa"/>
          </w:tcPr>
          <w:p w14:paraId="244039D8"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0.02</w:t>
            </w:r>
          </w:p>
        </w:tc>
        <w:tc>
          <w:tcPr>
            <w:tcW w:w="1445" w:type="dxa"/>
          </w:tcPr>
          <w:p w14:paraId="4EF7D3D5"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0.143</w:t>
            </w:r>
          </w:p>
        </w:tc>
        <w:tc>
          <w:tcPr>
            <w:tcW w:w="1508" w:type="dxa"/>
          </w:tcPr>
          <w:p w14:paraId="14866D58"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0.02</w:t>
            </w:r>
          </w:p>
        </w:tc>
        <w:tc>
          <w:tcPr>
            <w:tcW w:w="1454" w:type="dxa"/>
          </w:tcPr>
          <w:p w14:paraId="041D9014"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w:t>
            </w:r>
          </w:p>
        </w:tc>
      </w:tr>
      <w:tr w:rsidR="00C21A2B" w:rsidRPr="0066241B" w14:paraId="56E18C46" w14:textId="77777777">
        <w:trPr>
          <w:trHeight w:val="684"/>
        </w:trPr>
        <w:tc>
          <w:tcPr>
            <w:tcW w:w="3771" w:type="dxa"/>
          </w:tcPr>
          <w:p w14:paraId="44F9CBBC"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Diabetes mellitus</w:t>
            </w:r>
          </w:p>
        </w:tc>
        <w:tc>
          <w:tcPr>
            <w:tcW w:w="2296" w:type="dxa"/>
          </w:tcPr>
          <w:p w14:paraId="3E09CF07"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120 (19.4)</w:t>
            </w:r>
          </w:p>
        </w:tc>
        <w:tc>
          <w:tcPr>
            <w:tcW w:w="1871" w:type="dxa"/>
          </w:tcPr>
          <w:p w14:paraId="19581051"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77 (13.3)</w:t>
            </w:r>
          </w:p>
        </w:tc>
        <w:tc>
          <w:tcPr>
            <w:tcW w:w="1965" w:type="dxa"/>
          </w:tcPr>
          <w:p w14:paraId="6276C5EC"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128 (14.9)</w:t>
            </w:r>
          </w:p>
        </w:tc>
        <w:tc>
          <w:tcPr>
            <w:tcW w:w="1384" w:type="dxa"/>
          </w:tcPr>
          <w:p w14:paraId="0193C80E"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0.01</w:t>
            </w:r>
          </w:p>
        </w:tc>
        <w:tc>
          <w:tcPr>
            <w:tcW w:w="1445" w:type="dxa"/>
          </w:tcPr>
          <w:p w14:paraId="1D6E61FB"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0.005</w:t>
            </w:r>
          </w:p>
        </w:tc>
        <w:tc>
          <w:tcPr>
            <w:tcW w:w="1508" w:type="dxa"/>
          </w:tcPr>
          <w:p w14:paraId="2EB1AA0F"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0.024</w:t>
            </w:r>
          </w:p>
        </w:tc>
        <w:tc>
          <w:tcPr>
            <w:tcW w:w="1454" w:type="dxa"/>
          </w:tcPr>
          <w:p w14:paraId="70D5D88D"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0.391</w:t>
            </w:r>
          </w:p>
        </w:tc>
      </w:tr>
      <w:tr w:rsidR="00C21A2B" w:rsidRPr="0066241B" w14:paraId="32CDBC5D" w14:textId="77777777">
        <w:trPr>
          <w:trHeight w:val="684"/>
        </w:trPr>
        <w:tc>
          <w:tcPr>
            <w:tcW w:w="3771" w:type="dxa"/>
          </w:tcPr>
          <w:p w14:paraId="25CF4301"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Hypertension</w:t>
            </w:r>
          </w:p>
        </w:tc>
        <w:tc>
          <w:tcPr>
            <w:tcW w:w="2296" w:type="dxa"/>
          </w:tcPr>
          <w:p w14:paraId="1B4A5495"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145 (23.4)</w:t>
            </w:r>
          </w:p>
        </w:tc>
        <w:tc>
          <w:tcPr>
            <w:tcW w:w="1871" w:type="dxa"/>
          </w:tcPr>
          <w:p w14:paraId="0D9B9C18"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107 (18.5)</w:t>
            </w:r>
          </w:p>
        </w:tc>
        <w:tc>
          <w:tcPr>
            <w:tcW w:w="1965" w:type="dxa"/>
          </w:tcPr>
          <w:p w14:paraId="25BFEE88"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243 (28.4)</w:t>
            </w:r>
          </w:p>
        </w:tc>
        <w:tc>
          <w:tcPr>
            <w:tcW w:w="1384" w:type="dxa"/>
          </w:tcPr>
          <w:p w14:paraId="4F2E9885"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445" w:type="dxa"/>
          </w:tcPr>
          <w:p w14:paraId="499DFA3C"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0.037</w:t>
            </w:r>
          </w:p>
        </w:tc>
        <w:tc>
          <w:tcPr>
            <w:tcW w:w="1508" w:type="dxa"/>
          </w:tcPr>
          <w:p w14:paraId="4C95BA6B"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0.034</w:t>
            </w:r>
          </w:p>
        </w:tc>
        <w:tc>
          <w:tcPr>
            <w:tcW w:w="1454" w:type="dxa"/>
          </w:tcPr>
          <w:p w14:paraId="271D86EB"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r>
      <w:tr w:rsidR="00C21A2B" w:rsidRPr="0066241B" w14:paraId="7EF9F815" w14:textId="77777777">
        <w:trPr>
          <w:trHeight w:val="1026"/>
        </w:trPr>
        <w:tc>
          <w:tcPr>
            <w:tcW w:w="3771" w:type="dxa"/>
          </w:tcPr>
          <w:p w14:paraId="19C01135"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Cardiovascular disease</w:t>
            </w:r>
          </w:p>
        </w:tc>
        <w:tc>
          <w:tcPr>
            <w:tcW w:w="2296" w:type="dxa"/>
          </w:tcPr>
          <w:p w14:paraId="7860D46D"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16 (2.6)</w:t>
            </w:r>
          </w:p>
        </w:tc>
        <w:tc>
          <w:tcPr>
            <w:tcW w:w="1871" w:type="dxa"/>
          </w:tcPr>
          <w:p w14:paraId="35C23FF3"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3 (0.5)</w:t>
            </w:r>
          </w:p>
        </w:tc>
        <w:tc>
          <w:tcPr>
            <w:tcW w:w="1965" w:type="dxa"/>
          </w:tcPr>
          <w:p w14:paraId="781C2BE9"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25 (2.9)</w:t>
            </w:r>
          </w:p>
        </w:tc>
        <w:tc>
          <w:tcPr>
            <w:tcW w:w="1384" w:type="dxa"/>
          </w:tcPr>
          <w:p w14:paraId="6BCD734B"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0.006</w:t>
            </w:r>
          </w:p>
        </w:tc>
        <w:tc>
          <w:tcPr>
            <w:tcW w:w="1445" w:type="dxa"/>
          </w:tcPr>
          <w:p w14:paraId="43CCE295"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0.004</w:t>
            </w:r>
          </w:p>
        </w:tc>
        <w:tc>
          <w:tcPr>
            <w:tcW w:w="1508" w:type="dxa"/>
          </w:tcPr>
          <w:p w14:paraId="261D3BFB"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0.701</w:t>
            </w:r>
          </w:p>
        </w:tc>
        <w:tc>
          <w:tcPr>
            <w:tcW w:w="1454" w:type="dxa"/>
          </w:tcPr>
          <w:p w14:paraId="4A92DB75"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0.001</w:t>
            </w:r>
          </w:p>
        </w:tc>
      </w:tr>
      <w:tr w:rsidR="00C21A2B" w:rsidRPr="0066241B" w14:paraId="29890F2D" w14:textId="77777777">
        <w:trPr>
          <w:trHeight w:val="1026"/>
        </w:trPr>
        <w:tc>
          <w:tcPr>
            <w:tcW w:w="3771" w:type="dxa"/>
          </w:tcPr>
          <w:p w14:paraId="56AF4300"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Cerebrovascular disease</w:t>
            </w:r>
          </w:p>
        </w:tc>
        <w:tc>
          <w:tcPr>
            <w:tcW w:w="2296" w:type="dxa"/>
          </w:tcPr>
          <w:p w14:paraId="1CAA3D21"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17 (2.7)</w:t>
            </w:r>
          </w:p>
        </w:tc>
        <w:tc>
          <w:tcPr>
            <w:tcW w:w="1871" w:type="dxa"/>
          </w:tcPr>
          <w:p w14:paraId="49F7E491"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4 (0.7)</w:t>
            </w:r>
          </w:p>
        </w:tc>
        <w:tc>
          <w:tcPr>
            <w:tcW w:w="1965" w:type="dxa"/>
          </w:tcPr>
          <w:p w14:paraId="460876C0"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20 (2.3)</w:t>
            </w:r>
          </w:p>
        </w:tc>
        <w:tc>
          <w:tcPr>
            <w:tcW w:w="1384" w:type="dxa"/>
          </w:tcPr>
          <w:p w14:paraId="4DC0890D"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0.026</w:t>
            </w:r>
          </w:p>
        </w:tc>
        <w:tc>
          <w:tcPr>
            <w:tcW w:w="1445" w:type="dxa"/>
          </w:tcPr>
          <w:p w14:paraId="6E56A7BD"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0.007</w:t>
            </w:r>
          </w:p>
        </w:tc>
        <w:tc>
          <w:tcPr>
            <w:tcW w:w="1508" w:type="dxa"/>
          </w:tcPr>
          <w:p w14:paraId="0D6DECB5"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0.617</w:t>
            </w:r>
          </w:p>
        </w:tc>
        <w:tc>
          <w:tcPr>
            <w:tcW w:w="1454" w:type="dxa"/>
          </w:tcPr>
          <w:p w14:paraId="4D1E96B9"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0.017</w:t>
            </w:r>
          </w:p>
        </w:tc>
      </w:tr>
      <w:tr w:rsidR="00C21A2B" w:rsidRPr="0066241B" w14:paraId="083AAF86" w14:textId="77777777">
        <w:trPr>
          <w:trHeight w:val="684"/>
        </w:trPr>
        <w:tc>
          <w:tcPr>
            <w:tcW w:w="3771" w:type="dxa"/>
          </w:tcPr>
          <w:p w14:paraId="0A17EE45"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Laboratory study</w:t>
            </w:r>
          </w:p>
        </w:tc>
        <w:tc>
          <w:tcPr>
            <w:tcW w:w="2296" w:type="dxa"/>
          </w:tcPr>
          <w:p w14:paraId="531C7407" w14:textId="77777777" w:rsidR="0052656F" w:rsidRPr="0066241B" w:rsidRDefault="0052656F" w:rsidP="00B34F1C">
            <w:pPr>
              <w:spacing w:line="360" w:lineRule="auto"/>
              <w:rPr>
                <w:rFonts w:ascii="Book Antiqua" w:eastAsia="Arial" w:hAnsi="Book Antiqua" w:cs="Arial"/>
                <w:color w:val="000000" w:themeColor="text1"/>
              </w:rPr>
            </w:pPr>
          </w:p>
        </w:tc>
        <w:tc>
          <w:tcPr>
            <w:tcW w:w="1871" w:type="dxa"/>
          </w:tcPr>
          <w:p w14:paraId="059C1BC5" w14:textId="77777777" w:rsidR="0052656F" w:rsidRPr="0066241B" w:rsidRDefault="0052656F" w:rsidP="00B34F1C">
            <w:pPr>
              <w:spacing w:line="360" w:lineRule="auto"/>
              <w:rPr>
                <w:rFonts w:ascii="Book Antiqua" w:eastAsia="Arial" w:hAnsi="Book Antiqua" w:cs="Arial"/>
                <w:color w:val="000000" w:themeColor="text1"/>
              </w:rPr>
            </w:pPr>
          </w:p>
        </w:tc>
        <w:tc>
          <w:tcPr>
            <w:tcW w:w="1965" w:type="dxa"/>
          </w:tcPr>
          <w:p w14:paraId="50E20545" w14:textId="77777777" w:rsidR="0052656F" w:rsidRPr="0066241B" w:rsidRDefault="0052656F" w:rsidP="00B34F1C">
            <w:pPr>
              <w:spacing w:line="360" w:lineRule="auto"/>
              <w:rPr>
                <w:rFonts w:ascii="Book Antiqua" w:eastAsia="Arial" w:hAnsi="Book Antiqua" w:cs="Arial"/>
                <w:color w:val="000000" w:themeColor="text1"/>
              </w:rPr>
            </w:pPr>
          </w:p>
        </w:tc>
        <w:tc>
          <w:tcPr>
            <w:tcW w:w="1384" w:type="dxa"/>
          </w:tcPr>
          <w:p w14:paraId="09F10475" w14:textId="77777777" w:rsidR="0052656F" w:rsidRPr="0066241B" w:rsidRDefault="0052656F" w:rsidP="00B34F1C">
            <w:pPr>
              <w:spacing w:line="360" w:lineRule="auto"/>
              <w:rPr>
                <w:rFonts w:ascii="Book Antiqua" w:eastAsia="Arial" w:hAnsi="Book Antiqua" w:cs="Arial"/>
                <w:color w:val="000000" w:themeColor="text1"/>
              </w:rPr>
            </w:pPr>
          </w:p>
        </w:tc>
        <w:tc>
          <w:tcPr>
            <w:tcW w:w="1445" w:type="dxa"/>
          </w:tcPr>
          <w:p w14:paraId="7E44AE8D" w14:textId="77777777" w:rsidR="0052656F" w:rsidRPr="0066241B" w:rsidRDefault="0052656F" w:rsidP="00B34F1C">
            <w:pPr>
              <w:spacing w:line="360" w:lineRule="auto"/>
              <w:rPr>
                <w:rFonts w:ascii="Book Antiqua" w:eastAsia="Arial" w:hAnsi="Book Antiqua" w:cs="Arial"/>
                <w:color w:val="000000" w:themeColor="text1"/>
              </w:rPr>
            </w:pPr>
          </w:p>
        </w:tc>
        <w:tc>
          <w:tcPr>
            <w:tcW w:w="1508" w:type="dxa"/>
          </w:tcPr>
          <w:p w14:paraId="2BE96450" w14:textId="77777777" w:rsidR="0052656F" w:rsidRPr="0066241B" w:rsidRDefault="0052656F" w:rsidP="00B34F1C">
            <w:pPr>
              <w:spacing w:line="360" w:lineRule="auto"/>
              <w:rPr>
                <w:rFonts w:ascii="Book Antiqua" w:eastAsia="Arial" w:hAnsi="Book Antiqua" w:cs="Arial"/>
                <w:color w:val="000000" w:themeColor="text1"/>
              </w:rPr>
            </w:pPr>
          </w:p>
        </w:tc>
        <w:tc>
          <w:tcPr>
            <w:tcW w:w="1454" w:type="dxa"/>
          </w:tcPr>
          <w:p w14:paraId="33BA2C1A" w14:textId="77777777" w:rsidR="0052656F" w:rsidRPr="0066241B" w:rsidRDefault="0052656F" w:rsidP="00B34F1C">
            <w:pPr>
              <w:spacing w:line="360" w:lineRule="auto"/>
              <w:rPr>
                <w:rFonts w:ascii="Book Antiqua" w:eastAsia="Arial" w:hAnsi="Book Antiqua" w:cs="Arial"/>
                <w:color w:val="000000" w:themeColor="text1"/>
              </w:rPr>
            </w:pPr>
          </w:p>
        </w:tc>
      </w:tr>
      <w:tr w:rsidR="00C21A2B" w:rsidRPr="0066241B" w14:paraId="5815B8D4" w14:textId="77777777">
        <w:trPr>
          <w:trHeight w:val="724"/>
        </w:trPr>
        <w:tc>
          <w:tcPr>
            <w:tcW w:w="3771" w:type="dxa"/>
          </w:tcPr>
          <w:p w14:paraId="4E6C657F"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lastRenderedPageBreak/>
              <w:t>WBC, × 10</w:t>
            </w:r>
            <w:r w:rsidRPr="0066241B">
              <w:rPr>
                <w:rFonts w:ascii="Book Antiqua" w:eastAsia="Arial" w:hAnsi="Book Antiqua" w:cs="Arial"/>
                <w:color w:val="000000" w:themeColor="text1"/>
                <w:vertAlign w:val="superscript"/>
              </w:rPr>
              <w:t>3</w:t>
            </w:r>
            <w:r w:rsidRPr="0066241B">
              <w:rPr>
                <w:rFonts w:ascii="Book Antiqua" w:eastAsia="Arial" w:hAnsi="Book Antiqua" w:cs="Arial"/>
                <w:color w:val="000000" w:themeColor="text1"/>
              </w:rPr>
              <w:t>/mm</w:t>
            </w:r>
            <w:r w:rsidRPr="0066241B">
              <w:rPr>
                <w:rFonts w:ascii="Book Antiqua" w:eastAsia="Arial" w:hAnsi="Book Antiqua" w:cs="Arial"/>
                <w:color w:val="000000" w:themeColor="text1"/>
                <w:vertAlign w:val="superscript"/>
              </w:rPr>
              <w:t>3</w:t>
            </w:r>
          </w:p>
        </w:tc>
        <w:tc>
          <w:tcPr>
            <w:tcW w:w="2296" w:type="dxa"/>
          </w:tcPr>
          <w:p w14:paraId="2F7E8D5C"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5.09 (4.29-6.50)</w:t>
            </w:r>
          </w:p>
        </w:tc>
        <w:tc>
          <w:tcPr>
            <w:tcW w:w="1871" w:type="dxa"/>
          </w:tcPr>
          <w:p w14:paraId="2501BC32"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5.05 (3.91-6.16)</w:t>
            </w:r>
          </w:p>
        </w:tc>
        <w:tc>
          <w:tcPr>
            <w:tcW w:w="1965" w:type="dxa"/>
          </w:tcPr>
          <w:p w14:paraId="4E9D7F5D"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5.40 (4.40-6.61)</w:t>
            </w:r>
          </w:p>
        </w:tc>
        <w:tc>
          <w:tcPr>
            <w:tcW w:w="1384" w:type="dxa"/>
          </w:tcPr>
          <w:p w14:paraId="0B2BEB47"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445" w:type="dxa"/>
          </w:tcPr>
          <w:p w14:paraId="2EEDCA20"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0.145</w:t>
            </w:r>
          </w:p>
        </w:tc>
        <w:tc>
          <w:tcPr>
            <w:tcW w:w="1508" w:type="dxa"/>
          </w:tcPr>
          <w:p w14:paraId="73700477"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0.164</w:t>
            </w:r>
          </w:p>
        </w:tc>
        <w:tc>
          <w:tcPr>
            <w:tcW w:w="1454" w:type="dxa"/>
          </w:tcPr>
          <w:p w14:paraId="2B683714"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r>
      <w:tr w:rsidR="00C21A2B" w:rsidRPr="0066241B" w14:paraId="5669AF56" w14:textId="77777777">
        <w:trPr>
          <w:trHeight w:val="1026"/>
        </w:trPr>
        <w:tc>
          <w:tcPr>
            <w:tcW w:w="3771" w:type="dxa"/>
          </w:tcPr>
          <w:p w14:paraId="5460908E"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Hemoglobin, g/dL</w:t>
            </w:r>
          </w:p>
        </w:tc>
        <w:tc>
          <w:tcPr>
            <w:tcW w:w="2296" w:type="dxa"/>
          </w:tcPr>
          <w:p w14:paraId="179674E0"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13.5 (12.3-14.5)</w:t>
            </w:r>
          </w:p>
        </w:tc>
        <w:tc>
          <w:tcPr>
            <w:tcW w:w="1871" w:type="dxa"/>
          </w:tcPr>
          <w:p w14:paraId="020E6E53"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13.7 (12.7-14.8)</w:t>
            </w:r>
          </w:p>
        </w:tc>
        <w:tc>
          <w:tcPr>
            <w:tcW w:w="1965" w:type="dxa"/>
          </w:tcPr>
          <w:p w14:paraId="7EAB1B6C"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13.8 (12.7-14.8)</w:t>
            </w:r>
          </w:p>
        </w:tc>
        <w:tc>
          <w:tcPr>
            <w:tcW w:w="1384" w:type="dxa"/>
          </w:tcPr>
          <w:p w14:paraId="05480410"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445" w:type="dxa"/>
          </w:tcPr>
          <w:p w14:paraId="36D08DBD"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0.004</w:t>
            </w:r>
          </w:p>
        </w:tc>
        <w:tc>
          <w:tcPr>
            <w:tcW w:w="1508" w:type="dxa"/>
          </w:tcPr>
          <w:p w14:paraId="79DA60C7"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454" w:type="dxa"/>
          </w:tcPr>
          <w:p w14:paraId="49BF9952"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w:t>
            </w:r>
          </w:p>
        </w:tc>
      </w:tr>
      <w:tr w:rsidR="00C21A2B" w:rsidRPr="0066241B" w14:paraId="0E29A8BF" w14:textId="77777777">
        <w:trPr>
          <w:trHeight w:val="724"/>
        </w:trPr>
        <w:tc>
          <w:tcPr>
            <w:tcW w:w="3771" w:type="dxa"/>
          </w:tcPr>
          <w:p w14:paraId="2F785A33"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Platelet, × 10</w:t>
            </w:r>
            <w:r w:rsidRPr="0066241B">
              <w:rPr>
                <w:rFonts w:ascii="Book Antiqua" w:eastAsia="Arial" w:hAnsi="Book Antiqua" w:cs="Arial"/>
                <w:color w:val="000000" w:themeColor="text1"/>
                <w:vertAlign w:val="superscript"/>
              </w:rPr>
              <w:t>3</w:t>
            </w:r>
            <w:r w:rsidRPr="0066241B">
              <w:rPr>
                <w:rFonts w:ascii="Book Antiqua" w:eastAsia="Arial" w:hAnsi="Book Antiqua" w:cs="Arial"/>
                <w:color w:val="000000" w:themeColor="text1"/>
              </w:rPr>
              <w:t>/mm</w:t>
            </w:r>
            <w:r w:rsidRPr="0066241B">
              <w:rPr>
                <w:rFonts w:ascii="Book Antiqua" w:eastAsia="Arial" w:hAnsi="Book Antiqua" w:cs="Arial"/>
                <w:color w:val="000000" w:themeColor="text1"/>
                <w:vertAlign w:val="superscript"/>
              </w:rPr>
              <w:t>3</w:t>
            </w:r>
          </w:p>
        </w:tc>
        <w:tc>
          <w:tcPr>
            <w:tcW w:w="2296" w:type="dxa"/>
          </w:tcPr>
          <w:p w14:paraId="372915D8"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162 (118-212)</w:t>
            </w:r>
          </w:p>
        </w:tc>
        <w:tc>
          <w:tcPr>
            <w:tcW w:w="1871" w:type="dxa"/>
          </w:tcPr>
          <w:p w14:paraId="3E37C59A"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174 (130-220)</w:t>
            </w:r>
          </w:p>
        </w:tc>
        <w:tc>
          <w:tcPr>
            <w:tcW w:w="1965" w:type="dxa"/>
          </w:tcPr>
          <w:p w14:paraId="7CA47F61"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172 (129-215)</w:t>
            </w:r>
          </w:p>
        </w:tc>
        <w:tc>
          <w:tcPr>
            <w:tcW w:w="1384" w:type="dxa"/>
          </w:tcPr>
          <w:p w14:paraId="4DB7B5A8"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0.229</w:t>
            </w:r>
          </w:p>
        </w:tc>
        <w:tc>
          <w:tcPr>
            <w:tcW w:w="1445" w:type="dxa"/>
          </w:tcPr>
          <w:p w14:paraId="1BC0CCF8"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0.236</w:t>
            </w:r>
          </w:p>
        </w:tc>
        <w:tc>
          <w:tcPr>
            <w:tcW w:w="1508" w:type="dxa"/>
          </w:tcPr>
          <w:p w14:paraId="4E83FEE4"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0.317</w:t>
            </w:r>
          </w:p>
        </w:tc>
        <w:tc>
          <w:tcPr>
            <w:tcW w:w="1454" w:type="dxa"/>
          </w:tcPr>
          <w:p w14:paraId="38D63E88"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w:t>
            </w:r>
          </w:p>
        </w:tc>
      </w:tr>
      <w:tr w:rsidR="00C21A2B" w:rsidRPr="0066241B" w14:paraId="4F9B6949" w14:textId="77777777">
        <w:trPr>
          <w:trHeight w:val="684"/>
        </w:trPr>
        <w:tc>
          <w:tcPr>
            <w:tcW w:w="3771" w:type="dxa"/>
          </w:tcPr>
          <w:p w14:paraId="6F3B69D8"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Albumin, g/dL</w:t>
            </w:r>
          </w:p>
        </w:tc>
        <w:tc>
          <w:tcPr>
            <w:tcW w:w="2296" w:type="dxa"/>
          </w:tcPr>
          <w:p w14:paraId="55588817"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4.2 (3.9-4.4)</w:t>
            </w:r>
          </w:p>
        </w:tc>
        <w:tc>
          <w:tcPr>
            <w:tcW w:w="1871" w:type="dxa"/>
          </w:tcPr>
          <w:p w14:paraId="4069C7AD"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4.2 (4.0-4.5)</w:t>
            </w:r>
          </w:p>
        </w:tc>
        <w:tc>
          <w:tcPr>
            <w:tcW w:w="1965" w:type="dxa"/>
          </w:tcPr>
          <w:p w14:paraId="351E1236"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4.2 (4.0-4.4)</w:t>
            </w:r>
          </w:p>
        </w:tc>
        <w:tc>
          <w:tcPr>
            <w:tcW w:w="1384" w:type="dxa"/>
          </w:tcPr>
          <w:p w14:paraId="5DAD7DB4"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445" w:type="dxa"/>
          </w:tcPr>
          <w:p w14:paraId="63BC454B"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508" w:type="dxa"/>
          </w:tcPr>
          <w:p w14:paraId="48BB4575"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0.001</w:t>
            </w:r>
          </w:p>
        </w:tc>
        <w:tc>
          <w:tcPr>
            <w:tcW w:w="1454" w:type="dxa"/>
          </w:tcPr>
          <w:p w14:paraId="536472F8"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w:t>
            </w:r>
          </w:p>
        </w:tc>
      </w:tr>
      <w:tr w:rsidR="00C21A2B" w:rsidRPr="0066241B" w14:paraId="0A9824A5" w14:textId="77777777">
        <w:trPr>
          <w:trHeight w:val="1026"/>
        </w:trPr>
        <w:tc>
          <w:tcPr>
            <w:tcW w:w="3771" w:type="dxa"/>
          </w:tcPr>
          <w:p w14:paraId="18230384"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Total bilirubin, mg/dL</w:t>
            </w:r>
          </w:p>
        </w:tc>
        <w:tc>
          <w:tcPr>
            <w:tcW w:w="2296" w:type="dxa"/>
          </w:tcPr>
          <w:p w14:paraId="124AAB4F"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0.8 (0.5-1.0)</w:t>
            </w:r>
          </w:p>
        </w:tc>
        <w:tc>
          <w:tcPr>
            <w:tcW w:w="1871" w:type="dxa"/>
          </w:tcPr>
          <w:p w14:paraId="559AACB2"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0.7 (0.6-1.0)</w:t>
            </w:r>
          </w:p>
        </w:tc>
        <w:tc>
          <w:tcPr>
            <w:tcW w:w="1965" w:type="dxa"/>
          </w:tcPr>
          <w:p w14:paraId="29E00EF1"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0.7 (0.6-1.0)</w:t>
            </w:r>
          </w:p>
        </w:tc>
        <w:tc>
          <w:tcPr>
            <w:tcW w:w="1384" w:type="dxa"/>
          </w:tcPr>
          <w:p w14:paraId="13AA0B12"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0.784</w:t>
            </w:r>
          </w:p>
        </w:tc>
        <w:tc>
          <w:tcPr>
            <w:tcW w:w="1445" w:type="dxa"/>
          </w:tcPr>
          <w:p w14:paraId="7D776B01"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w:t>
            </w:r>
          </w:p>
        </w:tc>
        <w:tc>
          <w:tcPr>
            <w:tcW w:w="1508" w:type="dxa"/>
          </w:tcPr>
          <w:p w14:paraId="695111C7"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w:t>
            </w:r>
          </w:p>
        </w:tc>
        <w:tc>
          <w:tcPr>
            <w:tcW w:w="1454" w:type="dxa"/>
          </w:tcPr>
          <w:p w14:paraId="6623E86A"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w:t>
            </w:r>
          </w:p>
        </w:tc>
      </w:tr>
      <w:tr w:rsidR="00C21A2B" w:rsidRPr="0066241B" w14:paraId="3F8D8D2F" w14:textId="77777777">
        <w:trPr>
          <w:trHeight w:val="684"/>
        </w:trPr>
        <w:tc>
          <w:tcPr>
            <w:tcW w:w="3771" w:type="dxa"/>
          </w:tcPr>
          <w:p w14:paraId="09C28445"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ALP, IU/L</w:t>
            </w:r>
          </w:p>
        </w:tc>
        <w:tc>
          <w:tcPr>
            <w:tcW w:w="2296" w:type="dxa"/>
          </w:tcPr>
          <w:p w14:paraId="0658F2A2"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87 (68-136)</w:t>
            </w:r>
          </w:p>
        </w:tc>
        <w:tc>
          <w:tcPr>
            <w:tcW w:w="1871" w:type="dxa"/>
          </w:tcPr>
          <w:p w14:paraId="1D60E0BC"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79 (63-112)</w:t>
            </w:r>
          </w:p>
        </w:tc>
        <w:tc>
          <w:tcPr>
            <w:tcW w:w="1965" w:type="dxa"/>
          </w:tcPr>
          <w:p w14:paraId="289A4266"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121 (78-250)</w:t>
            </w:r>
          </w:p>
        </w:tc>
        <w:tc>
          <w:tcPr>
            <w:tcW w:w="1384" w:type="dxa"/>
          </w:tcPr>
          <w:p w14:paraId="40F1FC13"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445" w:type="dxa"/>
          </w:tcPr>
          <w:p w14:paraId="1E604783"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0.001</w:t>
            </w:r>
          </w:p>
        </w:tc>
        <w:tc>
          <w:tcPr>
            <w:tcW w:w="1508" w:type="dxa"/>
          </w:tcPr>
          <w:p w14:paraId="6EA42190"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454" w:type="dxa"/>
          </w:tcPr>
          <w:p w14:paraId="29A87B43"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r>
      <w:tr w:rsidR="00C21A2B" w:rsidRPr="0066241B" w14:paraId="3500F431" w14:textId="77777777">
        <w:trPr>
          <w:trHeight w:val="684"/>
        </w:trPr>
        <w:tc>
          <w:tcPr>
            <w:tcW w:w="3771" w:type="dxa"/>
          </w:tcPr>
          <w:p w14:paraId="346E27BB"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AST, IU/L</w:t>
            </w:r>
          </w:p>
        </w:tc>
        <w:tc>
          <w:tcPr>
            <w:tcW w:w="2296" w:type="dxa"/>
          </w:tcPr>
          <w:p w14:paraId="00F6FABE"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50 (30-85)</w:t>
            </w:r>
          </w:p>
        </w:tc>
        <w:tc>
          <w:tcPr>
            <w:tcW w:w="1871" w:type="dxa"/>
          </w:tcPr>
          <w:p w14:paraId="1DFDFB48"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50 (31-83)</w:t>
            </w:r>
          </w:p>
        </w:tc>
        <w:tc>
          <w:tcPr>
            <w:tcW w:w="1965" w:type="dxa"/>
          </w:tcPr>
          <w:p w14:paraId="339DABBC"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46 (30-76)</w:t>
            </w:r>
          </w:p>
        </w:tc>
        <w:tc>
          <w:tcPr>
            <w:tcW w:w="1384" w:type="dxa"/>
          </w:tcPr>
          <w:p w14:paraId="42D22194"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0.026</w:t>
            </w:r>
          </w:p>
        </w:tc>
        <w:tc>
          <w:tcPr>
            <w:tcW w:w="1445" w:type="dxa"/>
          </w:tcPr>
          <w:p w14:paraId="125EF788"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w:t>
            </w:r>
          </w:p>
        </w:tc>
        <w:tc>
          <w:tcPr>
            <w:tcW w:w="1508" w:type="dxa"/>
          </w:tcPr>
          <w:p w14:paraId="604AE695"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0.139</w:t>
            </w:r>
          </w:p>
        </w:tc>
        <w:tc>
          <w:tcPr>
            <w:tcW w:w="1454" w:type="dxa"/>
          </w:tcPr>
          <w:p w14:paraId="347CDB97"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0.038</w:t>
            </w:r>
          </w:p>
        </w:tc>
      </w:tr>
      <w:tr w:rsidR="00C21A2B" w:rsidRPr="0066241B" w14:paraId="11414094" w14:textId="77777777">
        <w:trPr>
          <w:trHeight w:val="684"/>
        </w:trPr>
        <w:tc>
          <w:tcPr>
            <w:tcW w:w="3771" w:type="dxa"/>
          </w:tcPr>
          <w:p w14:paraId="00A4C875"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ALT, IU/L</w:t>
            </w:r>
          </w:p>
        </w:tc>
        <w:tc>
          <w:tcPr>
            <w:tcW w:w="2296" w:type="dxa"/>
          </w:tcPr>
          <w:p w14:paraId="4CAADD03"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42 (23-80)</w:t>
            </w:r>
          </w:p>
        </w:tc>
        <w:tc>
          <w:tcPr>
            <w:tcW w:w="1871" w:type="dxa"/>
          </w:tcPr>
          <w:p w14:paraId="51ED91E2"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52 (29-100)</w:t>
            </w:r>
          </w:p>
        </w:tc>
        <w:tc>
          <w:tcPr>
            <w:tcW w:w="1965" w:type="dxa"/>
          </w:tcPr>
          <w:p w14:paraId="22026F95"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36 (22-70)</w:t>
            </w:r>
          </w:p>
        </w:tc>
        <w:tc>
          <w:tcPr>
            <w:tcW w:w="1384" w:type="dxa"/>
          </w:tcPr>
          <w:p w14:paraId="527F70DC"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445" w:type="dxa"/>
          </w:tcPr>
          <w:p w14:paraId="7E197791"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0.013</w:t>
            </w:r>
          </w:p>
        </w:tc>
        <w:tc>
          <w:tcPr>
            <w:tcW w:w="1508" w:type="dxa"/>
          </w:tcPr>
          <w:p w14:paraId="320CF91A"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0.176</w:t>
            </w:r>
          </w:p>
        </w:tc>
        <w:tc>
          <w:tcPr>
            <w:tcW w:w="1454" w:type="dxa"/>
          </w:tcPr>
          <w:p w14:paraId="36BD2500"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r>
      <w:tr w:rsidR="00C21A2B" w:rsidRPr="0066241B" w14:paraId="687401B1" w14:textId="77777777">
        <w:trPr>
          <w:trHeight w:val="1026"/>
        </w:trPr>
        <w:tc>
          <w:tcPr>
            <w:tcW w:w="3771" w:type="dxa"/>
          </w:tcPr>
          <w:p w14:paraId="0F571D80"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Creatinine, mg/dL</w:t>
            </w:r>
          </w:p>
        </w:tc>
        <w:tc>
          <w:tcPr>
            <w:tcW w:w="2296" w:type="dxa"/>
          </w:tcPr>
          <w:p w14:paraId="1C135FAA"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0.9 (0.7-1.0)</w:t>
            </w:r>
          </w:p>
        </w:tc>
        <w:tc>
          <w:tcPr>
            <w:tcW w:w="1871" w:type="dxa"/>
          </w:tcPr>
          <w:p w14:paraId="2E49BE06"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0.8 (0.7-1.0)</w:t>
            </w:r>
          </w:p>
        </w:tc>
        <w:tc>
          <w:tcPr>
            <w:tcW w:w="1965" w:type="dxa"/>
          </w:tcPr>
          <w:p w14:paraId="5E0BA7AC"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0.8 (0.7-1.0)</w:t>
            </w:r>
          </w:p>
        </w:tc>
        <w:tc>
          <w:tcPr>
            <w:tcW w:w="1384" w:type="dxa"/>
          </w:tcPr>
          <w:p w14:paraId="002C53DF"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0.857</w:t>
            </w:r>
          </w:p>
        </w:tc>
        <w:tc>
          <w:tcPr>
            <w:tcW w:w="1445" w:type="dxa"/>
          </w:tcPr>
          <w:p w14:paraId="3F9A3215"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w:t>
            </w:r>
          </w:p>
        </w:tc>
        <w:tc>
          <w:tcPr>
            <w:tcW w:w="1508" w:type="dxa"/>
          </w:tcPr>
          <w:p w14:paraId="19801F95"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w:t>
            </w:r>
          </w:p>
        </w:tc>
        <w:tc>
          <w:tcPr>
            <w:tcW w:w="1454" w:type="dxa"/>
          </w:tcPr>
          <w:p w14:paraId="634851B9"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w:t>
            </w:r>
          </w:p>
        </w:tc>
      </w:tr>
      <w:tr w:rsidR="00C21A2B" w:rsidRPr="0066241B" w14:paraId="59310CFE" w14:textId="77777777">
        <w:trPr>
          <w:trHeight w:val="684"/>
        </w:trPr>
        <w:tc>
          <w:tcPr>
            <w:tcW w:w="3771" w:type="dxa"/>
          </w:tcPr>
          <w:p w14:paraId="4571DB30"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PT, INR</w:t>
            </w:r>
          </w:p>
        </w:tc>
        <w:tc>
          <w:tcPr>
            <w:tcW w:w="2296" w:type="dxa"/>
          </w:tcPr>
          <w:p w14:paraId="3BF28BE4"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1.06 (1.01-1.12)</w:t>
            </w:r>
          </w:p>
        </w:tc>
        <w:tc>
          <w:tcPr>
            <w:tcW w:w="1871" w:type="dxa"/>
          </w:tcPr>
          <w:p w14:paraId="62ED804B"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1.03 (0.98-1.08)</w:t>
            </w:r>
          </w:p>
        </w:tc>
        <w:tc>
          <w:tcPr>
            <w:tcW w:w="1965" w:type="dxa"/>
          </w:tcPr>
          <w:p w14:paraId="4C5FAE9D"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1.03 (0.97-1.09)</w:t>
            </w:r>
          </w:p>
        </w:tc>
        <w:tc>
          <w:tcPr>
            <w:tcW w:w="1384" w:type="dxa"/>
          </w:tcPr>
          <w:p w14:paraId="0DBA900F"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445" w:type="dxa"/>
          </w:tcPr>
          <w:p w14:paraId="49354CD1"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508" w:type="dxa"/>
          </w:tcPr>
          <w:p w14:paraId="1CD0BEB3"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0.007</w:t>
            </w:r>
          </w:p>
        </w:tc>
        <w:tc>
          <w:tcPr>
            <w:tcW w:w="1454" w:type="dxa"/>
          </w:tcPr>
          <w:p w14:paraId="0F30AB87"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0.119</w:t>
            </w:r>
          </w:p>
        </w:tc>
      </w:tr>
      <w:tr w:rsidR="00C21A2B" w:rsidRPr="0066241B" w14:paraId="121A2313" w14:textId="77777777">
        <w:trPr>
          <w:trHeight w:val="684"/>
        </w:trPr>
        <w:tc>
          <w:tcPr>
            <w:tcW w:w="3771" w:type="dxa"/>
          </w:tcPr>
          <w:p w14:paraId="49CC59E5" w14:textId="77777777" w:rsidR="0052656F" w:rsidRPr="0066241B" w:rsidRDefault="000D2442" w:rsidP="00B34F1C">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AFP, ng/dL</w:t>
            </w:r>
          </w:p>
        </w:tc>
        <w:tc>
          <w:tcPr>
            <w:tcW w:w="2296" w:type="dxa"/>
          </w:tcPr>
          <w:p w14:paraId="3FA17611"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4.3 (2.5-9.7)</w:t>
            </w:r>
          </w:p>
        </w:tc>
        <w:tc>
          <w:tcPr>
            <w:tcW w:w="1871" w:type="dxa"/>
          </w:tcPr>
          <w:p w14:paraId="303B35C8"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3.5 (2.3-7.1)</w:t>
            </w:r>
          </w:p>
        </w:tc>
        <w:tc>
          <w:tcPr>
            <w:tcW w:w="1965" w:type="dxa"/>
          </w:tcPr>
          <w:p w14:paraId="6A8AF7B2"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3.8 (2.4-6.6)</w:t>
            </w:r>
          </w:p>
        </w:tc>
        <w:tc>
          <w:tcPr>
            <w:tcW w:w="1384" w:type="dxa"/>
          </w:tcPr>
          <w:p w14:paraId="704D50C9"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0.868</w:t>
            </w:r>
          </w:p>
        </w:tc>
        <w:tc>
          <w:tcPr>
            <w:tcW w:w="1445" w:type="dxa"/>
          </w:tcPr>
          <w:p w14:paraId="61212927"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w:t>
            </w:r>
          </w:p>
        </w:tc>
        <w:tc>
          <w:tcPr>
            <w:tcW w:w="1508" w:type="dxa"/>
          </w:tcPr>
          <w:p w14:paraId="50349A01"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w:t>
            </w:r>
          </w:p>
        </w:tc>
        <w:tc>
          <w:tcPr>
            <w:tcW w:w="1454" w:type="dxa"/>
          </w:tcPr>
          <w:p w14:paraId="0D04F43B"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w:t>
            </w:r>
          </w:p>
        </w:tc>
      </w:tr>
      <w:tr w:rsidR="00C21A2B" w:rsidRPr="0066241B" w14:paraId="414D5DC4" w14:textId="77777777">
        <w:trPr>
          <w:trHeight w:val="684"/>
        </w:trPr>
        <w:tc>
          <w:tcPr>
            <w:tcW w:w="3771" w:type="dxa"/>
          </w:tcPr>
          <w:p w14:paraId="0FC046C1"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Cohort entry time</w:t>
            </w:r>
          </w:p>
        </w:tc>
        <w:tc>
          <w:tcPr>
            <w:tcW w:w="2296" w:type="dxa"/>
          </w:tcPr>
          <w:p w14:paraId="5E670C17" w14:textId="77777777" w:rsidR="0052656F" w:rsidRPr="0066241B" w:rsidRDefault="0052656F" w:rsidP="00B34F1C">
            <w:pPr>
              <w:spacing w:line="360" w:lineRule="auto"/>
              <w:rPr>
                <w:rFonts w:ascii="Book Antiqua" w:eastAsia="Arial" w:hAnsi="Book Antiqua" w:cs="Arial"/>
                <w:color w:val="000000" w:themeColor="text1"/>
              </w:rPr>
            </w:pPr>
          </w:p>
        </w:tc>
        <w:tc>
          <w:tcPr>
            <w:tcW w:w="1871" w:type="dxa"/>
          </w:tcPr>
          <w:p w14:paraId="3247AE1D" w14:textId="77777777" w:rsidR="0052656F" w:rsidRPr="0066241B" w:rsidRDefault="0052656F" w:rsidP="00B34F1C">
            <w:pPr>
              <w:spacing w:line="360" w:lineRule="auto"/>
              <w:rPr>
                <w:rFonts w:ascii="Book Antiqua" w:eastAsia="Arial" w:hAnsi="Book Antiqua" w:cs="Arial"/>
                <w:color w:val="000000" w:themeColor="text1"/>
              </w:rPr>
            </w:pPr>
          </w:p>
        </w:tc>
        <w:tc>
          <w:tcPr>
            <w:tcW w:w="1965" w:type="dxa"/>
          </w:tcPr>
          <w:p w14:paraId="02EF6DA0" w14:textId="77777777" w:rsidR="0052656F" w:rsidRPr="0066241B" w:rsidRDefault="0052656F" w:rsidP="00B34F1C">
            <w:pPr>
              <w:spacing w:line="360" w:lineRule="auto"/>
              <w:rPr>
                <w:rFonts w:ascii="Book Antiqua" w:eastAsia="Arial" w:hAnsi="Book Antiqua" w:cs="Arial"/>
                <w:color w:val="000000" w:themeColor="text1"/>
              </w:rPr>
            </w:pPr>
          </w:p>
        </w:tc>
        <w:tc>
          <w:tcPr>
            <w:tcW w:w="1384" w:type="dxa"/>
          </w:tcPr>
          <w:p w14:paraId="364D337F"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445" w:type="dxa"/>
          </w:tcPr>
          <w:p w14:paraId="4ABD5499"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508" w:type="dxa"/>
          </w:tcPr>
          <w:p w14:paraId="5C634AAC"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454" w:type="dxa"/>
          </w:tcPr>
          <w:p w14:paraId="68348133"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r>
      <w:tr w:rsidR="00C21A2B" w:rsidRPr="0066241B" w14:paraId="4F099738" w14:textId="77777777">
        <w:trPr>
          <w:trHeight w:val="684"/>
        </w:trPr>
        <w:tc>
          <w:tcPr>
            <w:tcW w:w="3771" w:type="dxa"/>
          </w:tcPr>
          <w:p w14:paraId="5012F2AE"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lastRenderedPageBreak/>
              <w:t>January 2007–June 2015</w:t>
            </w:r>
          </w:p>
        </w:tc>
        <w:tc>
          <w:tcPr>
            <w:tcW w:w="2296" w:type="dxa"/>
          </w:tcPr>
          <w:p w14:paraId="01F4EC2F"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488 (78.8)</w:t>
            </w:r>
          </w:p>
        </w:tc>
        <w:tc>
          <w:tcPr>
            <w:tcW w:w="1871" w:type="dxa"/>
          </w:tcPr>
          <w:p w14:paraId="2C157AED"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561 (97.1)</w:t>
            </w:r>
          </w:p>
        </w:tc>
        <w:tc>
          <w:tcPr>
            <w:tcW w:w="1965" w:type="dxa"/>
          </w:tcPr>
          <w:p w14:paraId="4F19A440"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49 (5.7)</w:t>
            </w:r>
          </w:p>
        </w:tc>
        <w:tc>
          <w:tcPr>
            <w:tcW w:w="1384" w:type="dxa"/>
          </w:tcPr>
          <w:p w14:paraId="25BF070A" w14:textId="77777777" w:rsidR="0052656F" w:rsidRPr="0066241B" w:rsidRDefault="0052656F" w:rsidP="00B34F1C">
            <w:pPr>
              <w:spacing w:line="360" w:lineRule="auto"/>
              <w:rPr>
                <w:rFonts w:ascii="Book Antiqua" w:eastAsia="Arial" w:hAnsi="Book Antiqua" w:cs="Arial"/>
                <w:color w:val="000000" w:themeColor="text1"/>
              </w:rPr>
            </w:pPr>
          </w:p>
        </w:tc>
        <w:tc>
          <w:tcPr>
            <w:tcW w:w="1445" w:type="dxa"/>
          </w:tcPr>
          <w:p w14:paraId="2C7DD1AB" w14:textId="77777777" w:rsidR="0052656F" w:rsidRPr="0066241B" w:rsidRDefault="0052656F" w:rsidP="00B34F1C">
            <w:pPr>
              <w:spacing w:line="360" w:lineRule="auto"/>
              <w:rPr>
                <w:rFonts w:ascii="Book Antiqua" w:eastAsia="Arial" w:hAnsi="Book Antiqua" w:cs="Arial"/>
                <w:color w:val="000000" w:themeColor="text1"/>
              </w:rPr>
            </w:pPr>
          </w:p>
        </w:tc>
        <w:tc>
          <w:tcPr>
            <w:tcW w:w="1508" w:type="dxa"/>
          </w:tcPr>
          <w:p w14:paraId="71E14816" w14:textId="77777777" w:rsidR="0052656F" w:rsidRPr="0066241B" w:rsidRDefault="0052656F" w:rsidP="00B34F1C">
            <w:pPr>
              <w:spacing w:line="360" w:lineRule="auto"/>
              <w:rPr>
                <w:rFonts w:ascii="Book Antiqua" w:eastAsia="Arial" w:hAnsi="Book Antiqua" w:cs="Arial"/>
                <w:color w:val="000000" w:themeColor="text1"/>
              </w:rPr>
            </w:pPr>
          </w:p>
        </w:tc>
        <w:tc>
          <w:tcPr>
            <w:tcW w:w="1454" w:type="dxa"/>
          </w:tcPr>
          <w:p w14:paraId="6A977252" w14:textId="77777777" w:rsidR="0052656F" w:rsidRPr="0066241B" w:rsidRDefault="0052656F" w:rsidP="00B34F1C">
            <w:pPr>
              <w:spacing w:line="360" w:lineRule="auto"/>
              <w:rPr>
                <w:rFonts w:ascii="Book Antiqua" w:eastAsia="Arial" w:hAnsi="Book Antiqua" w:cs="Arial"/>
                <w:color w:val="000000" w:themeColor="text1"/>
              </w:rPr>
            </w:pPr>
          </w:p>
        </w:tc>
      </w:tr>
      <w:tr w:rsidR="00C21A2B" w:rsidRPr="0066241B" w14:paraId="0E09F18D" w14:textId="77777777">
        <w:trPr>
          <w:trHeight w:val="684"/>
        </w:trPr>
        <w:tc>
          <w:tcPr>
            <w:tcW w:w="3771" w:type="dxa"/>
          </w:tcPr>
          <w:p w14:paraId="3DFB1A9B" w14:textId="3C948D84"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Jul</w:t>
            </w:r>
            <w:r w:rsidR="00F25BF2" w:rsidRPr="0066241B">
              <w:rPr>
                <w:rFonts w:ascii="Book Antiqua" w:eastAsia="Arial" w:hAnsi="Book Antiqua" w:cs="Arial"/>
                <w:color w:val="000000" w:themeColor="text1"/>
              </w:rPr>
              <w:t>y</w:t>
            </w:r>
            <w:r w:rsidR="00F25BF2" w:rsidRPr="0066241B">
              <w:rPr>
                <w:rFonts w:ascii="Book Antiqua" w:eastAsia="Arial" w:hAnsi="Book Antiqua" w:cs="Arial" w:hint="eastAsia"/>
                <w:color w:val="000000" w:themeColor="text1"/>
                <w:lang w:eastAsia="zh-CN"/>
              </w:rPr>
              <w:t xml:space="preserve"> </w:t>
            </w:r>
            <w:r w:rsidRPr="0066241B">
              <w:rPr>
                <w:rFonts w:ascii="Book Antiqua" w:eastAsia="Arial" w:hAnsi="Book Antiqua" w:cs="Arial"/>
                <w:color w:val="000000" w:themeColor="text1"/>
              </w:rPr>
              <w:t>2015–Jun</w:t>
            </w:r>
            <w:r w:rsidR="00F25BF2" w:rsidRPr="0066241B">
              <w:rPr>
                <w:rFonts w:ascii="Book Antiqua" w:eastAsia="Arial" w:hAnsi="Book Antiqua" w:cs="Arial"/>
                <w:color w:val="000000" w:themeColor="text1"/>
              </w:rPr>
              <w:t xml:space="preserve">e </w:t>
            </w:r>
            <w:r w:rsidRPr="0066241B">
              <w:rPr>
                <w:rFonts w:ascii="Book Antiqua" w:eastAsia="Arial" w:hAnsi="Book Antiqua" w:cs="Arial"/>
                <w:color w:val="000000" w:themeColor="text1"/>
              </w:rPr>
              <w:t>2019</w:t>
            </w:r>
          </w:p>
        </w:tc>
        <w:tc>
          <w:tcPr>
            <w:tcW w:w="2296" w:type="dxa"/>
          </w:tcPr>
          <w:p w14:paraId="65388F49"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131 (21.2)</w:t>
            </w:r>
          </w:p>
        </w:tc>
        <w:tc>
          <w:tcPr>
            <w:tcW w:w="1871" w:type="dxa"/>
          </w:tcPr>
          <w:p w14:paraId="45DDE1B3"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17 (2.9)</w:t>
            </w:r>
          </w:p>
        </w:tc>
        <w:tc>
          <w:tcPr>
            <w:tcW w:w="1965" w:type="dxa"/>
          </w:tcPr>
          <w:p w14:paraId="6C28655E"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808 (94.3)</w:t>
            </w:r>
          </w:p>
        </w:tc>
        <w:tc>
          <w:tcPr>
            <w:tcW w:w="1384" w:type="dxa"/>
          </w:tcPr>
          <w:p w14:paraId="64C5C314" w14:textId="77777777" w:rsidR="0052656F" w:rsidRPr="0066241B" w:rsidRDefault="0052656F" w:rsidP="00B34F1C">
            <w:pPr>
              <w:spacing w:line="360" w:lineRule="auto"/>
              <w:rPr>
                <w:rFonts w:ascii="Book Antiqua" w:eastAsia="Arial" w:hAnsi="Book Antiqua" w:cs="Arial"/>
                <w:color w:val="000000" w:themeColor="text1"/>
              </w:rPr>
            </w:pPr>
          </w:p>
        </w:tc>
        <w:tc>
          <w:tcPr>
            <w:tcW w:w="1445" w:type="dxa"/>
          </w:tcPr>
          <w:p w14:paraId="11D9C0E4" w14:textId="77777777" w:rsidR="0052656F" w:rsidRPr="0066241B" w:rsidRDefault="0052656F" w:rsidP="00B34F1C">
            <w:pPr>
              <w:spacing w:line="360" w:lineRule="auto"/>
              <w:rPr>
                <w:rFonts w:ascii="Book Antiqua" w:eastAsia="Arial" w:hAnsi="Book Antiqua" w:cs="Arial"/>
                <w:color w:val="000000" w:themeColor="text1"/>
              </w:rPr>
            </w:pPr>
          </w:p>
        </w:tc>
        <w:tc>
          <w:tcPr>
            <w:tcW w:w="1508" w:type="dxa"/>
          </w:tcPr>
          <w:p w14:paraId="69C9B082" w14:textId="77777777" w:rsidR="0052656F" w:rsidRPr="0066241B" w:rsidRDefault="0052656F" w:rsidP="00B34F1C">
            <w:pPr>
              <w:spacing w:line="360" w:lineRule="auto"/>
              <w:rPr>
                <w:rFonts w:ascii="Book Antiqua" w:eastAsia="Arial" w:hAnsi="Book Antiqua" w:cs="Arial"/>
                <w:color w:val="000000" w:themeColor="text1"/>
              </w:rPr>
            </w:pPr>
          </w:p>
        </w:tc>
        <w:tc>
          <w:tcPr>
            <w:tcW w:w="1454" w:type="dxa"/>
          </w:tcPr>
          <w:p w14:paraId="79856894" w14:textId="77777777" w:rsidR="0052656F" w:rsidRPr="0066241B" w:rsidRDefault="0052656F" w:rsidP="00B34F1C">
            <w:pPr>
              <w:spacing w:line="360" w:lineRule="auto"/>
              <w:rPr>
                <w:rFonts w:ascii="Book Antiqua" w:eastAsia="Arial" w:hAnsi="Book Antiqua" w:cs="Arial"/>
                <w:color w:val="000000" w:themeColor="text1"/>
              </w:rPr>
            </w:pPr>
          </w:p>
        </w:tc>
      </w:tr>
      <w:tr w:rsidR="00C21A2B" w:rsidRPr="0066241B" w14:paraId="73068EB8" w14:textId="77777777">
        <w:trPr>
          <w:trHeight w:val="684"/>
        </w:trPr>
        <w:tc>
          <w:tcPr>
            <w:tcW w:w="3771" w:type="dxa"/>
          </w:tcPr>
          <w:p w14:paraId="2E846466"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SVR rate</w:t>
            </w:r>
          </w:p>
        </w:tc>
        <w:tc>
          <w:tcPr>
            <w:tcW w:w="2296" w:type="dxa"/>
          </w:tcPr>
          <w:p w14:paraId="280C5D0C"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871" w:type="dxa"/>
          </w:tcPr>
          <w:p w14:paraId="7D5A4D7A"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67.5 (451/668)</w:t>
            </w:r>
          </w:p>
        </w:tc>
        <w:tc>
          <w:tcPr>
            <w:tcW w:w="1965" w:type="dxa"/>
          </w:tcPr>
          <w:p w14:paraId="0C5B4366"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95.3 (817/857)</w:t>
            </w:r>
          </w:p>
        </w:tc>
        <w:tc>
          <w:tcPr>
            <w:tcW w:w="1384" w:type="dxa"/>
          </w:tcPr>
          <w:p w14:paraId="2435601F"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445" w:type="dxa"/>
          </w:tcPr>
          <w:p w14:paraId="2EB5445A"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508" w:type="dxa"/>
          </w:tcPr>
          <w:p w14:paraId="7B0C0849"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454" w:type="dxa"/>
          </w:tcPr>
          <w:p w14:paraId="17A6BF53"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r>
      <w:tr w:rsidR="00C21A2B" w:rsidRPr="0066241B" w14:paraId="59A381E9" w14:textId="77777777">
        <w:trPr>
          <w:trHeight w:val="1026"/>
        </w:trPr>
        <w:tc>
          <w:tcPr>
            <w:tcW w:w="3771" w:type="dxa"/>
            <w:tcBorders>
              <w:bottom w:val="single" w:sz="4" w:space="0" w:color="000000"/>
            </w:tcBorders>
          </w:tcPr>
          <w:p w14:paraId="5D9E1231"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Follow-up duration (yr)</w:t>
            </w:r>
          </w:p>
        </w:tc>
        <w:tc>
          <w:tcPr>
            <w:tcW w:w="2296" w:type="dxa"/>
            <w:tcBorders>
              <w:bottom w:val="single" w:sz="4" w:space="0" w:color="000000"/>
            </w:tcBorders>
          </w:tcPr>
          <w:p w14:paraId="142CCAA1"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5.6 (3.4-8.2)</w:t>
            </w:r>
          </w:p>
        </w:tc>
        <w:tc>
          <w:tcPr>
            <w:tcW w:w="1871" w:type="dxa"/>
            <w:tcBorders>
              <w:bottom w:val="single" w:sz="4" w:space="0" w:color="000000"/>
            </w:tcBorders>
          </w:tcPr>
          <w:p w14:paraId="15663A63"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7.9 (6.1-9.7)</w:t>
            </w:r>
          </w:p>
        </w:tc>
        <w:tc>
          <w:tcPr>
            <w:tcW w:w="1965" w:type="dxa"/>
            <w:tcBorders>
              <w:bottom w:val="single" w:sz="4" w:space="0" w:color="000000"/>
            </w:tcBorders>
          </w:tcPr>
          <w:p w14:paraId="0DDAAEC7"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3.5 (2.0-5.5)</w:t>
            </w:r>
          </w:p>
        </w:tc>
        <w:tc>
          <w:tcPr>
            <w:tcW w:w="1384" w:type="dxa"/>
            <w:tcBorders>
              <w:bottom w:val="single" w:sz="4" w:space="0" w:color="000000"/>
            </w:tcBorders>
          </w:tcPr>
          <w:p w14:paraId="196FAE5C"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445" w:type="dxa"/>
            <w:tcBorders>
              <w:bottom w:val="single" w:sz="4" w:space="0" w:color="000000"/>
            </w:tcBorders>
          </w:tcPr>
          <w:p w14:paraId="6C80BD63"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508" w:type="dxa"/>
            <w:tcBorders>
              <w:bottom w:val="single" w:sz="4" w:space="0" w:color="000000"/>
            </w:tcBorders>
          </w:tcPr>
          <w:p w14:paraId="21EE6120"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454" w:type="dxa"/>
            <w:tcBorders>
              <w:bottom w:val="single" w:sz="4" w:space="0" w:color="000000"/>
            </w:tcBorders>
          </w:tcPr>
          <w:p w14:paraId="5110BA4D" w14:textId="77777777" w:rsidR="0052656F" w:rsidRPr="0066241B" w:rsidRDefault="000D2442" w:rsidP="00B34F1C">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p w14:paraId="09C80639" w14:textId="77777777" w:rsidR="0052656F" w:rsidRPr="0066241B" w:rsidRDefault="0052656F" w:rsidP="00B34F1C">
            <w:pPr>
              <w:spacing w:line="360" w:lineRule="auto"/>
              <w:rPr>
                <w:rFonts w:ascii="Book Antiqua" w:eastAsia="Arial" w:hAnsi="Book Antiqua" w:cs="Arial"/>
                <w:color w:val="000000" w:themeColor="text1"/>
              </w:rPr>
            </w:pPr>
          </w:p>
        </w:tc>
      </w:tr>
    </w:tbl>
    <w:p w14:paraId="70BBB33D"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vertAlign w:val="superscript"/>
        </w:rPr>
        <w:t>1</w:t>
      </w:r>
      <w:r w:rsidRPr="0066241B">
        <w:rPr>
          <w:rFonts w:ascii="Book Antiqua" w:eastAsia="Arial" w:hAnsi="Book Antiqua" w:cs="Arial"/>
          <w:color w:val="000000" w:themeColor="text1"/>
        </w:rPr>
        <w:t xml:space="preserve">Significant alcohol intake is defined as weekly </w:t>
      </w:r>
      <w:r w:rsidRPr="0066241B">
        <w:rPr>
          <w:rFonts w:ascii="Book Antiqua" w:eastAsia="Arial Unicode MS" w:hAnsi="Book Antiqua" w:cs="Arial Unicode MS"/>
          <w:color w:val="000000" w:themeColor="text1"/>
        </w:rPr>
        <w:t>≥</w:t>
      </w:r>
      <w:r w:rsidRPr="0066241B">
        <w:rPr>
          <w:rFonts w:ascii="Book Antiqua" w:eastAsia="Arial" w:hAnsi="Book Antiqua" w:cs="Arial"/>
          <w:color w:val="000000" w:themeColor="text1"/>
        </w:rPr>
        <w:t xml:space="preserve"> 210 g for men and </w:t>
      </w:r>
      <w:r w:rsidRPr="0066241B">
        <w:rPr>
          <w:rFonts w:ascii="Book Antiqua" w:eastAsia="Arial Unicode MS" w:hAnsi="Book Antiqua" w:cs="Arial Unicode MS"/>
          <w:color w:val="000000" w:themeColor="text1"/>
        </w:rPr>
        <w:t>≥</w:t>
      </w:r>
      <w:r w:rsidRPr="0066241B">
        <w:rPr>
          <w:rFonts w:ascii="Book Antiqua" w:eastAsia="Arial" w:hAnsi="Book Antiqua" w:cs="Arial"/>
          <w:color w:val="000000" w:themeColor="text1"/>
        </w:rPr>
        <w:t xml:space="preserve"> 140 g for women.</w:t>
      </w:r>
    </w:p>
    <w:p w14:paraId="6BD82511"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 xml:space="preserve">Data were presented as mean ± SD, median (interquartile range), or </w:t>
      </w:r>
      <w:r w:rsidRPr="0066241B">
        <w:rPr>
          <w:rFonts w:ascii="Book Antiqua" w:eastAsia="Arial" w:hAnsi="Book Antiqua" w:cs="Arial"/>
          <w:i/>
          <w:color w:val="000000" w:themeColor="text1"/>
        </w:rPr>
        <w:t>n</w:t>
      </w:r>
      <w:r w:rsidRPr="0066241B">
        <w:rPr>
          <w:rFonts w:ascii="Book Antiqua" w:eastAsia="Arial" w:hAnsi="Book Antiqua" w:cs="Arial"/>
          <w:color w:val="000000" w:themeColor="text1"/>
        </w:rPr>
        <w:t xml:space="preserve"> (%).</w:t>
      </w:r>
    </w:p>
    <w:p w14:paraId="5E12EB65"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 xml:space="preserve">AFP: Alpha-feto protein; ALBI: Albumin-bilirubin; ALP: Alkaline phosphatase; ALT: Alanine aminotransferase; APRI: Aspartate aminotransferase to platelet ratio index; AST: </w:t>
      </w:r>
      <w:bookmarkStart w:id="62" w:name="OLE_LINK4689"/>
      <w:bookmarkStart w:id="63" w:name="OLE_LINK4690"/>
      <w:r w:rsidRPr="0066241B">
        <w:rPr>
          <w:rFonts w:ascii="Book Antiqua" w:eastAsia="Arial" w:hAnsi="Book Antiqua" w:cs="Arial"/>
          <w:color w:val="000000" w:themeColor="text1"/>
        </w:rPr>
        <w:t>Aspartate aminotransferase</w:t>
      </w:r>
      <w:bookmarkEnd w:id="62"/>
      <w:bookmarkEnd w:id="63"/>
      <w:r w:rsidRPr="0066241B">
        <w:rPr>
          <w:rFonts w:ascii="Book Antiqua" w:eastAsia="Arial" w:hAnsi="Book Antiqua" w:cs="Arial"/>
          <w:color w:val="000000" w:themeColor="text1"/>
        </w:rPr>
        <w:t xml:space="preserve">; BMI: Body mass index; DAA: Direct acting antivirals; FIB-4: Fibrosis-4; HCV: Hepatitis C virus; IBT: Interferon-based therapy; INR: International normalized ratio; PT: Prothrombin time; WBC: White blood cell. </w:t>
      </w:r>
    </w:p>
    <w:p w14:paraId="16DD6307" w14:textId="77777777" w:rsidR="0052656F" w:rsidRPr="0066241B" w:rsidRDefault="0052656F" w:rsidP="00B34F1C">
      <w:pPr>
        <w:spacing w:line="360" w:lineRule="auto"/>
        <w:jc w:val="both"/>
        <w:rPr>
          <w:rFonts w:ascii="Book Antiqua" w:hAnsi="Book Antiqua"/>
          <w:color w:val="000000" w:themeColor="text1"/>
        </w:rPr>
        <w:sectPr w:rsidR="0052656F" w:rsidRPr="0066241B" w:rsidSect="0037300D">
          <w:headerReference w:type="default" r:id="rId29"/>
          <w:pgSz w:w="16838" w:h="11906" w:orient="landscape"/>
          <w:pgMar w:top="680" w:right="680" w:bottom="680" w:left="680" w:header="851" w:footer="992" w:gutter="0"/>
          <w:cols w:space="720"/>
          <w:docGrid w:linePitch="326"/>
        </w:sectPr>
      </w:pPr>
    </w:p>
    <w:p w14:paraId="462CB525"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b/>
          <w:color w:val="000000" w:themeColor="text1"/>
        </w:rPr>
        <w:lastRenderedPageBreak/>
        <w:t xml:space="preserve">Table 2 Annual incidence rates of hepatocellular carcinoma, </w:t>
      </w:r>
      <w:proofErr w:type="gramStart"/>
      <w:r w:rsidRPr="0066241B">
        <w:rPr>
          <w:rFonts w:ascii="Book Antiqua" w:eastAsia="Arial" w:hAnsi="Book Antiqua" w:cs="Arial"/>
          <w:b/>
          <w:color w:val="000000" w:themeColor="text1"/>
        </w:rPr>
        <w:t>decompensation</w:t>
      </w:r>
      <w:proofErr w:type="gramEnd"/>
      <w:r w:rsidRPr="0066241B">
        <w:rPr>
          <w:rFonts w:ascii="Book Antiqua" w:eastAsia="Arial" w:hAnsi="Book Antiqua" w:cs="Arial"/>
          <w:b/>
          <w:color w:val="000000" w:themeColor="text1"/>
        </w:rPr>
        <w:t xml:space="preserve"> and death/transplantation according to treatment exposure and the presence of cirrhosis</w:t>
      </w:r>
    </w:p>
    <w:tbl>
      <w:tblPr>
        <w:tblW w:w="10248" w:type="dxa"/>
        <w:tblInd w:w="250" w:type="dxa"/>
        <w:tblLayout w:type="fixed"/>
        <w:tblCellMar>
          <w:left w:w="0" w:type="dxa"/>
          <w:right w:w="0" w:type="dxa"/>
        </w:tblCellMar>
        <w:tblLook w:val="0400" w:firstRow="0" w:lastRow="0" w:firstColumn="0" w:lastColumn="0" w:noHBand="0" w:noVBand="1"/>
      </w:tblPr>
      <w:tblGrid>
        <w:gridCol w:w="1356"/>
        <w:gridCol w:w="1933"/>
        <w:gridCol w:w="992"/>
        <w:gridCol w:w="851"/>
        <w:gridCol w:w="2126"/>
        <w:gridCol w:w="2126"/>
        <w:gridCol w:w="864"/>
      </w:tblGrid>
      <w:tr w:rsidR="00C21A2B" w:rsidRPr="0066241B" w14:paraId="3C1EB23C" w14:textId="77777777">
        <w:trPr>
          <w:trHeight w:val="340"/>
        </w:trPr>
        <w:tc>
          <w:tcPr>
            <w:tcW w:w="1356" w:type="dxa"/>
            <w:tcBorders>
              <w:top w:val="single" w:sz="4" w:space="0" w:color="000000"/>
              <w:bottom w:val="single" w:sz="4" w:space="0" w:color="000000"/>
            </w:tcBorders>
            <w:shd w:val="clear" w:color="000000" w:fill="auto"/>
            <w:tcMar>
              <w:left w:w="108" w:type="dxa"/>
              <w:right w:w="108" w:type="dxa"/>
            </w:tcMar>
            <w:vAlign w:val="center"/>
          </w:tcPr>
          <w:p w14:paraId="3C2E2FB9" w14:textId="77777777" w:rsidR="0052656F" w:rsidRPr="0066241B" w:rsidRDefault="0052656F" w:rsidP="00B34F1C">
            <w:pPr>
              <w:widowControl w:val="0"/>
              <w:pBdr>
                <w:top w:val="nil"/>
                <w:left w:val="nil"/>
                <w:bottom w:val="nil"/>
                <w:right w:val="nil"/>
                <w:between w:val="nil"/>
              </w:pBdr>
              <w:spacing w:line="360" w:lineRule="auto"/>
              <w:jc w:val="both"/>
              <w:rPr>
                <w:rFonts w:ascii="Book Antiqua" w:eastAsia="Arial" w:hAnsi="Book Antiqua" w:cs="Arial"/>
                <w:b/>
                <w:color w:val="000000" w:themeColor="text1"/>
              </w:rPr>
            </w:pPr>
          </w:p>
        </w:tc>
        <w:tc>
          <w:tcPr>
            <w:tcW w:w="1933" w:type="dxa"/>
            <w:tcBorders>
              <w:top w:val="single" w:sz="4" w:space="0" w:color="000000"/>
              <w:bottom w:val="single" w:sz="4" w:space="0" w:color="000000"/>
            </w:tcBorders>
            <w:shd w:val="clear" w:color="000000" w:fill="auto"/>
            <w:tcMar>
              <w:left w:w="108" w:type="dxa"/>
              <w:right w:w="108" w:type="dxa"/>
            </w:tcMar>
            <w:vAlign w:val="center"/>
          </w:tcPr>
          <w:p w14:paraId="52E99988"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b/>
                <w:color w:val="000000" w:themeColor="text1"/>
              </w:rPr>
              <w:t>Group</w:t>
            </w:r>
          </w:p>
        </w:tc>
        <w:tc>
          <w:tcPr>
            <w:tcW w:w="992" w:type="dxa"/>
            <w:tcBorders>
              <w:top w:val="single" w:sz="4" w:space="0" w:color="000000"/>
              <w:bottom w:val="single" w:sz="4" w:space="0" w:color="000000"/>
            </w:tcBorders>
            <w:shd w:val="clear" w:color="000000" w:fill="auto"/>
            <w:tcMar>
              <w:left w:w="108" w:type="dxa"/>
              <w:right w:w="108" w:type="dxa"/>
            </w:tcMar>
            <w:vAlign w:val="center"/>
          </w:tcPr>
          <w:p w14:paraId="66B3E1A0"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b/>
                <w:color w:val="000000" w:themeColor="text1"/>
              </w:rPr>
              <w:t>PY</w:t>
            </w:r>
          </w:p>
        </w:tc>
        <w:tc>
          <w:tcPr>
            <w:tcW w:w="851" w:type="dxa"/>
            <w:tcBorders>
              <w:top w:val="single" w:sz="4" w:space="0" w:color="000000"/>
              <w:bottom w:val="single" w:sz="4" w:space="0" w:color="000000"/>
            </w:tcBorders>
            <w:shd w:val="clear" w:color="000000" w:fill="auto"/>
            <w:tcMar>
              <w:left w:w="108" w:type="dxa"/>
              <w:right w:w="108" w:type="dxa"/>
            </w:tcMar>
            <w:vAlign w:val="center"/>
          </w:tcPr>
          <w:p w14:paraId="1DE3B48F"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b/>
                <w:color w:val="000000" w:themeColor="text1"/>
              </w:rPr>
              <w:t>No. of events</w:t>
            </w:r>
          </w:p>
        </w:tc>
        <w:tc>
          <w:tcPr>
            <w:tcW w:w="2126" w:type="dxa"/>
            <w:tcBorders>
              <w:top w:val="single" w:sz="4" w:space="0" w:color="000000"/>
              <w:bottom w:val="single" w:sz="4" w:space="0" w:color="000000"/>
            </w:tcBorders>
            <w:shd w:val="clear" w:color="000000" w:fill="auto"/>
            <w:tcMar>
              <w:left w:w="108" w:type="dxa"/>
              <w:right w:w="108" w:type="dxa"/>
            </w:tcMar>
            <w:vAlign w:val="center"/>
          </w:tcPr>
          <w:p w14:paraId="677733DF" w14:textId="07742D61"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b/>
                <w:color w:val="000000" w:themeColor="text1"/>
              </w:rPr>
              <w:t>No./100 PY</w:t>
            </w:r>
            <w:r w:rsidR="00B34F1C" w:rsidRPr="0066241B">
              <w:rPr>
                <w:rFonts w:ascii="Book Antiqua" w:eastAsia="Arial" w:hAnsi="Book Antiqua" w:cs="Arial"/>
                <w:b/>
                <w:color w:val="000000" w:themeColor="text1"/>
              </w:rPr>
              <w:t xml:space="preserve"> </w:t>
            </w:r>
            <w:r w:rsidRPr="0066241B">
              <w:rPr>
                <w:rFonts w:ascii="Book Antiqua" w:eastAsia="Arial" w:hAnsi="Book Antiqua" w:cs="Arial"/>
                <w:b/>
                <w:color w:val="000000" w:themeColor="text1"/>
              </w:rPr>
              <w:t>(95%CI)</w:t>
            </w:r>
          </w:p>
        </w:tc>
        <w:tc>
          <w:tcPr>
            <w:tcW w:w="2126" w:type="dxa"/>
            <w:tcBorders>
              <w:top w:val="single" w:sz="4" w:space="0" w:color="000000"/>
              <w:bottom w:val="single" w:sz="4" w:space="0" w:color="000000"/>
            </w:tcBorders>
            <w:shd w:val="clear" w:color="000000" w:fill="auto"/>
            <w:tcMar>
              <w:left w:w="108" w:type="dxa"/>
              <w:right w:w="108" w:type="dxa"/>
            </w:tcMar>
            <w:vAlign w:val="center"/>
          </w:tcPr>
          <w:p w14:paraId="630DD8BD"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b/>
                <w:color w:val="000000" w:themeColor="text1"/>
              </w:rPr>
              <w:t>HR (95%CI)</w:t>
            </w:r>
          </w:p>
        </w:tc>
        <w:tc>
          <w:tcPr>
            <w:tcW w:w="864" w:type="dxa"/>
            <w:tcBorders>
              <w:top w:val="single" w:sz="4" w:space="0" w:color="000000"/>
              <w:bottom w:val="single" w:sz="4" w:space="0" w:color="000000"/>
            </w:tcBorders>
            <w:shd w:val="clear" w:color="000000" w:fill="auto"/>
            <w:tcMar>
              <w:left w:w="108" w:type="dxa"/>
              <w:right w:w="108" w:type="dxa"/>
            </w:tcMar>
            <w:vAlign w:val="center"/>
          </w:tcPr>
          <w:p w14:paraId="2540A5A0"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b/>
                <w:i/>
                <w:color w:val="000000" w:themeColor="text1"/>
              </w:rPr>
              <w:t>P</w:t>
            </w:r>
            <w:r w:rsidRPr="0066241B">
              <w:rPr>
                <w:rFonts w:ascii="Book Antiqua" w:eastAsia="Arial" w:hAnsi="Book Antiqua" w:cs="Arial"/>
                <w:b/>
                <w:color w:val="000000" w:themeColor="text1"/>
              </w:rPr>
              <w:t xml:space="preserve"> value</w:t>
            </w:r>
          </w:p>
        </w:tc>
      </w:tr>
      <w:tr w:rsidR="00C21A2B" w:rsidRPr="0066241B" w14:paraId="3FB6B9BC" w14:textId="77777777">
        <w:trPr>
          <w:trHeight w:val="326"/>
        </w:trPr>
        <w:tc>
          <w:tcPr>
            <w:tcW w:w="1356" w:type="dxa"/>
            <w:vMerge w:val="restart"/>
            <w:tcBorders>
              <w:top w:val="single" w:sz="4" w:space="0" w:color="000000"/>
            </w:tcBorders>
            <w:shd w:val="clear" w:color="000000" w:fill="auto"/>
            <w:tcMar>
              <w:left w:w="108" w:type="dxa"/>
              <w:right w:w="108" w:type="dxa"/>
            </w:tcMar>
            <w:vAlign w:val="center"/>
          </w:tcPr>
          <w:p w14:paraId="00A869BD" w14:textId="77777777" w:rsidR="0052656F" w:rsidRPr="0066241B" w:rsidRDefault="000D2442" w:rsidP="00B34F1C">
            <w:pPr>
              <w:widowControl w:val="0"/>
              <w:pBdr>
                <w:top w:val="nil"/>
                <w:left w:val="nil"/>
                <w:bottom w:val="nil"/>
                <w:right w:val="nil"/>
                <w:between w:val="nil"/>
              </w:pBd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Entire cohort</w:t>
            </w:r>
          </w:p>
        </w:tc>
        <w:tc>
          <w:tcPr>
            <w:tcW w:w="8892" w:type="dxa"/>
            <w:gridSpan w:val="6"/>
            <w:tcBorders>
              <w:top w:val="single" w:sz="4" w:space="0" w:color="000000"/>
            </w:tcBorders>
            <w:shd w:val="clear" w:color="000000" w:fill="auto"/>
            <w:tcMar>
              <w:left w:w="108" w:type="dxa"/>
              <w:right w:w="108" w:type="dxa"/>
            </w:tcMar>
            <w:vAlign w:val="center"/>
          </w:tcPr>
          <w:p w14:paraId="57ED2524"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Hepatocellular carcinoma</w:t>
            </w:r>
          </w:p>
        </w:tc>
      </w:tr>
      <w:tr w:rsidR="00C21A2B" w:rsidRPr="0066241B" w14:paraId="78C3381B" w14:textId="77777777">
        <w:trPr>
          <w:trHeight w:val="193"/>
        </w:trPr>
        <w:tc>
          <w:tcPr>
            <w:tcW w:w="1356" w:type="dxa"/>
            <w:vMerge/>
            <w:tcBorders>
              <w:top w:val="single" w:sz="4" w:space="0" w:color="000000"/>
            </w:tcBorders>
            <w:shd w:val="clear" w:color="000000" w:fill="auto"/>
            <w:vAlign w:val="center"/>
          </w:tcPr>
          <w:p w14:paraId="60003690"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033A2748"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Untreated group</w:t>
            </w:r>
          </w:p>
        </w:tc>
        <w:tc>
          <w:tcPr>
            <w:tcW w:w="992" w:type="dxa"/>
            <w:shd w:val="clear" w:color="000000" w:fill="auto"/>
            <w:tcMar>
              <w:left w:w="108" w:type="dxa"/>
              <w:right w:w="108" w:type="dxa"/>
            </w:tcMar>
            <w:vAlign w:val="center"/>
          </w:tcPr>
          <w:p w14:paraId="69019706"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3285.4</w:t>
            </w:r>
          </w:p>
        </w:tc>
        <w:tc>
          <w:tcPr>
            <w:tcW w:w="851" w:type="dxa"/>
            <w:shd w:val="clear" w:color="000000" w:fill="auto"/>
            <w:tcMar>
              <w:left w:w="108" w:type="dxa"/>
              <w:right w:w="108" w:type="dxa"/>
            </w:tcMar>
            <w:vAlign w:val="center"/>
          </w:tcPr>
          <w:p w14:paraId="7D0B9EEA"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65</w:t>
            </w:r>
          </w:p>
        </w:tc>
        <w:tc>
          <w:tcPr>
            <w:tcW w:w="2126" w:type="dxa"/>
            <w:shd w:val="clear" w:color="000000" w:fill="auto"/>
            <w:tcMar>
              <w:left w:w="108" w:type="dxa"/>
              <w:right w:w="108" w:type="dxa"/>
            </w:tcMar>
            <w:vAlign w:val="center"/>
          </w:tcPr>
          <w:p w14:paraId="41DC70C4"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1.98 (1.56-2.52)</w:t>
            </w:r>
          </w:p>
        </w:tc>
        <w:tc>
          <w:tcPr>
            <w:tcW w:w="2126" w:type="dxa"/>
            <w:shd w:val="clear" w:color="000000" w:fill="auto"/>
            <w:tcMar>
              <w:left w:w="108" w:type="dxa"/>
              <w:right w:w="108" w:type="dxa"/>
            </w:tcMar>
            <w:vAlign w:val="center"/>
          </w:tcPr>
          <w:p w14:paraId="40DEEF7C"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Reference</w:t>
            </w:r>
          </w:p>
        </w:tc>
        <w:tc>
          <w:tcPr>
            <w:tcW w:w="864" w:type="dxa"/>
            <w:shd w:val="clear" w:color="000000" w:fill="auto"/>
            <w:tcMar>
              <w:left w:w="108" w:type="dxa"/>
              <w:right w:w="108" w:type="dxa"/>
            </w:tcMar>
            <w:vAlign w:val="center"/>
          </w:tcPr>
          <w:p w14:paraId="4396518C"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w:t>
            </w:r>
          </w:p>
        </w:tc>
      </w:tr>
      <w:tr w:rsidR="00C21A2B" w:rsidRPr="0066241B" w14:paraId="349DFB18" w14:textId="77777777">
        <w:trPr>
          <w:trHeight w:val="193"/>
        </w:trPr>
        <w:tc>
          <w:tcPr>
            <w:tcW w:w="1356" w:type="dxa"/>
            <w:vMerge/>
            <w:tcBorders>
              <w:top w:val="single" w:sz="4" w:space="0" w:color="000000"/>
            </w:tcBorders>
            <w:shd w:val="clear" w:color="000000" w:fill="auto"/>
            <w:vAlign w:val="center"/>
          </w:tcPr>
          <w:p w14:paraId="744C5240"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2EFC5790"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IBT group</w:t>
            </w:r>
          </w:p>
        </w:tc>
        <w:tc>
          <w:tcPr>
            <w:tcW w:w="992" w:type="dxa"/>
            <w:shd w:val="clear" w:color="000000" w:fill="auto"/>
            <w:tcMar>
              <w:left w:w="108" w:type="dxa"/>
              <w:right w:w="108" w:type="dxa"/>
            </w:tcMar>
            <w:vAlign w:val="center"/>
          </w:tcPr>
          <w:p w14:paraId="21B801F6"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3888.9</w:t>
            </w:r>
          </w:p>
        </w:tc>
        <w:tc>
          <w:tcPr>
            <w:tcW w:w="851" w:type="dxa"/>
            <w:shd w:val="clear" w:color="000000" w:fill="auto"/>
            <w:tcMar>
              <w:left w:w="108" w:type="dxa"/>
              <w:right w:w="108" w:type="dxa"/>
            </w:tcMar>
            <w:vAlign w:val="center"/>
          </w:tcPr>
          <w:p w14:paraId="2B2FFB42"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23</w:t>
            </w:r>
          </w:p>
        </w:tc>
        <w:tc>
          <w:tcPr>
            <w:tcW w:w="2126" w:type="dxa"/>
            <w:shd w:val="clear" w:color="000000" w:fill="auto"/>
            <w:tcMar>
              <w:left w:w="108" w:type="dxa"/>
              <w:right w:w="108" w:type="dxa"/>
            </w:tcMar>
            <w:vAlign w:val="center"/>
          </w:tcPr>
          <w:p w14:paraId="6AC6D1FD"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0.59 (0.39-0.89)</w:t>
            </w:r>
          </w:p>
        </w:tc>
        <w:tc>
          <w:tcPr>
            <w:tcW w:w="2126" w:type="dxa"/>
            <w:shd w:val="clear" w:color="000000" w:fill="auto"/>
            <w:tcMar>
              <w:left w:w="108" w:type="dxa"/>
              <w:right w:w="108" w:type="dxa"/>
            </w:tcMar>
            <w:vAlign w:val="center"/>
          </w:tcPr>
          <w:p w14:paraId="6872CDE5"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0.31 (0.19-0.49)</w:t>
            </w:r>
          </w:p>
        </w:tc>
        <w:tc>
          <w:tcPr>
            <w:tcW w:w="864" w:type="dxa"/>
            <w:shd w:val="clear" w:color="000000" w:fill="auto"/>
            <w:tcMar>
              <w:left w:w="108" w:type="dxa"/>
              <w:right w:w="108" w:type="dxa"/>
            </w:tcMar>
            <w:vAlign w:val="center"/>
          </w:tcPr>
          <w:p w14:paraId="1751B51E"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&lt; 0.001</w:t>
            </w:r>
          </w:p>
        </w:tc>
      </w:tr>
      <w:tr w:rsidR="00C21A2B" w:rsidRPr="0066241B" w14:paraId="547A48FA" w14:textId="77777777">
        <w:trPr>
          <w:trHeight w:val="193"/>
        </w:trPr>
        <w:tc>
          <w:tcPr>
            <w:tcW w:w="1356" w:type="dxa"/>
            <w:vMerge/>
            <w:tcBorders>
              <w:top w:val="single" w:sz="4" w:space="0" w:color="000000"/>
            </w:tcBorders>
            <w:shd w:val="clear" w:color="000000" w:fill="auto"/>
            <w:vAlign w:val="center"/>
          </w:tcPr>
          <w:p w14:paraId="2BB68E3A"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157B1DFD"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DAA group</w:t>
            </w:r>
          </w:p>
        </w:tc>
        <w:tc>
          <w:tcPr>
            <w:tcW w:w="992" w:type="dxa"/>
            <w:shd w:val="clear" w:color="000000" w:fill="auto"/>
            <w:tcMar>
              <w:left w:w="108" w:type="dxa"/>
              <w:right w:w="108" w:type="dxa"/>
            </w:tcMar>
            <w:vAlign w:val="center"/>
          </w:tcPr>
          <w:p w14:paraId="2F3A415D"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2158.0</w:t>
            </w:r>
          </w:p>
        </w:tc>
        <w:tc>
          <w:tcPr>
            <w:tcW w:w="851" w:type="dxa"/>
            <w:shd w:val="clear" w:color="000000" w:fill="auto"/>
            <w:tcMar>
              <w:left w:w="108" w:type="dxa"/>
              <w:right w:w="108" w:type="dxa"/>
            </w:tcMar>
            <w:vAlign w:val="center"/>
          </w:tcPr>
          <w:p w14:paraId="68EA4714"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25</w:t>
            </w:r>
          </w:p>
        </w:tc>
        <w:tc>
          <w:tcPr>
            <w:tcW w:w="2126" w:type="dxa"/>
            <w:shd w:val="clear" w:color="000000" w:fill="auto"/>
            <w:tcMar>
              <w:left w:w="108" w:type="dxa"/>
              <w:right w:w="108" w:type="dxa"/>
            </w:tcMar>
            <w:vAlign w:val="center"/>
          </w:tcPr>
          <w:p w14:paraId="7EB5B03D"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1.16 (0.78-1.71)</w:t>
            </w:r>
          </w:p>
        </w:tc>
        <w:tc>
          <w:tcPr>
            <w:tcW w:w="2126" w:type="dxa"/>
            <w:shd w:val="clear" w:color="000000" w:fill="auto"/>
            <w:tcMar>
              <w:left w:w="108" w:type="dxa"/>
              <w:right w:w="108" w:type="dxa"/>
            </w:tcMar>
            <w:vAlign w:val="center"/>
          </w:tcPr>
          <w:p w14:paraId="1B371C88"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0.59 (0.37-0.95)</w:t>
            </w:r>
          </w:p>
        </w:tc>
        <w:tc>
          <w:tcPr>
            <w:tcW w:w="864" w:type="dxa"/>
            <w:shd w:val="clear" w:color="000000" w:fill="auto"/>
            <w:tcMar>
              <w:left w:w="108" w:type="dxa"/>
              <w:right w:w="108" w:type="dxa"/>
            </w:tcMar>
            <w:vAlign w:val="center"/>
          </w:tcPr>
          <w:p w14:paraId="2C4E575D"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0.029</w:t>
            </w:r>
          </w:p>
        </w:tc>
      </w:tr>
      <w:tr w:rsidR="00C21A2B" w:rsidRPr="0066241B" w14:paraId="4A0E97E7" w14:textId="77777777">
        <w:trPr>
          <w:trHeight w:val="340"/>
        </w:trPr>
        <w:tc>
          <w:tcPr>
            <w:tcW w:w="1356" w:type="dxa"/>
            <w:vMerge/>
            <w:tcBorders>
              <w:top w:val="single" w:sz="4" w:space="0" w:color="000000"/>
            </w:tcBorders>
            <w:shd w:val="clear" w:color="000000" w:fill="auto"/>
            <w:vAlign w:val="center"/>
          </w:tcPr>
          <w:p w14:paraId="724E6F84" w14:textId="77777777" w:rsidR="0052656F" w:rsidRPr="0066241B" w:rsidRDefault="0052656F" w:rsidP="00B34F1C">
            <w:pPr>
              <w:spacing w:line="360" w:lineRule="auto"/>
              <w:jc w:val="both"/>
              <w:rPr>
                <w:rFonts w:ascii="Book Antiqua" w:hAnsi="Book Antiqua"/>
                <w:color w:val="000000" w:themeColor="text1"/>
              </w:rPr>
            </w:pPr>
          </w:p>
        </w:tc>
        <w:tc>
          <w:tcPr>
            <w:tcW w:w="8892" w:type="dxa"/>
            <w:gridSpan w:val="6"/>
            <w:shd w:val="clear" w:color="000000" w:fill="auto"/>
            <w:tcMar>
              <w:left w:w="108" w:type="dxa"/>
              <w:right w:w="108" w:type="dxa"/>
            </w:tcMar>
            <w:vAlign w:val="center"/>
          </w:tcPr>
          <w:p w14:paraId="46190CD8"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Decompensation</w:t>
            </w:r>
          </w:p>
        </w:tc>
      </w:tr>
      <w:tr w:rsidR="00C21A2B" w:rsidRPr="0066241B" w14:paraId="003AC868" w14:textId="77777777">
        <w:trPr>
          <w:trHeight w:val="193"/>
        </w:trPr>
        <w:tc>
          <w:tcPr>
            <w:tcW w:w="1356" w:type="dxa"/>
            <w:vMerge/>
            <w:tcBorders>
              <w:top w:val="single" w:sz="4" w:space="0" w:color="000000"/>
            </w:tcBorders>
            <w:shd w:val="clear" w:color="000000" w:fill="auto"/>
            <w:vAlign w:val="center"/>
          </w:tcPr>
          <w:p w14:paraId="2CE6662A"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1DEA2CA8"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Untreated group</w:t>
            </w:r>
          </w:p>
        </w:tc>
        <w:tc>
          <w:tcPr>
            <w:tcW w:w="992" w:type="dxa"/>
            <w:shd w:val="clear" w:color="000000" w:fill="auto"/>
            <w:tcMar>
              <w:left w:w="108" w:type="dxa"/>
              <w:right w:w="108" w:type="dxa"/>
            </w:tcMar>
            <w:vAlign w:val="center"/>
          </w:tcPr>
          <w:p w14:paraId="3BBFE2E0"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3333.6</w:t>
            </w:r>
          </w:p>
        </w:tc>
        <w:tc>
          <w:tcPr>
            <w:tcW w:w="851" w:type="dxa"/>
            <w:shd w:val="clear" w:color="000000" w:fill="auto"/>
            <w:tcMar>
              <w:left w:w="108" w:type="dxa"/>
              <w:right w:w="108" w:type="dxa"/>
            </w:tcMar>
            <w:vAlign w:val="center"/>
          </w:tcPr>
          <w:p w14:paraId="4B6F8DE8"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54</w:t>
            </w:r>
          </w:p>
        </w:tc>
        <w:tc>
          <w:tcPr>
            <w:tcW w:w="2126" w:type="dxa"/>
            <w:shd w:val="clear" w:color="000000" w:fill="auto"/>
            <w:tcMar>
              <w:left w:w="108" w:type="dxa"/>
              <w:right w:w="108" w:type="dxa"/>
            </w:tcMar>
            <w:vAlign w:val="center"/>
          </w:tcPr>
          <w:p w14:paraId="11A3D1A7"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1.62 (1.24-2.11)</w:t>
            </w:r>
          </w:p>
        </w:tc>
        <w:tc>
          <w:tcPr>
            <w:tcW w:w="2126" w:type="dxa"/>
            <w:shd w:val="clear" w:color="000000" w:fill="auto"/>
            <w:tcMar>
              <w:left w:w="108" w:type="dxa"/>
              <w:right w:w="108" w:type="dxa"/>
            </w:tcMar>
            <w:vAlign w:val="center"/>
          </w:tcPr>
          <w:p w14:paraId="54AEBB60"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Reference</w:t>
            </w:r>
          </w:p>
        </w:tc>
        <w:tc>
          <w:tcPr>
            <w:tcW w:w="864" w:type="dxa"/>
            <w:shd w:val="clear" w:color="000000" w:fill="auto"/>
            <w:tcMar>
              <w:left w:w="108" w:type="dxa"/>
              <w:right w:w="108" w:type="dxa"/>
            </w:tcMar>
            <w:vAlign w:val="center"/>
          </w:tcPr>
          <w:p w14:paraId="4E572532"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w:t>
            </w:r>
          </w:p>
        </w:tc>
      </w:tr>
      <w:tr w:rsidR="00C21A2B" w:rsidRPr="0066241B" w14:paraId="134CD97E" w14:textId="77777777">
        <w:trPr>
          <w:trHeight w:val="193"/>
        </w:trPr>
        <w:tc>
          <w:tcPr>
            <w:tcW w:w="1356" w:type="dxa"/>
            <w:vMerge/>
            <w:tcBorders>
              <w:top w:val="single" w:sz="4" w:space="0" w:color="000000"/>
            </w:tcBorders>
            <w:shd w:val="clear" w:color="000000" w:fill="auto"/>
            <w:vAlign w:val="center"/>
          </w:tcPr>
          <w:p w14:paraId="6A26FE11"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74EDCC88"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IBT group</w:t>
            </w:r>
          </w:p>
        </w:tc>
        <w:tc>
          <w:tcPr>
            <w:tcW w:w="992" w:type="dxa"/>
            <w:shd w:val="clear" w:color="000000" w:fill="auto"/>
            <w:tcMar>
              <w:left w:w="108" w:type="dxa"/>
              <w:right w:w="108" w:type="dxa"/>
            </w:tcMar>
            <w:vAlign w:val="center"/>
          </w:tcPr>
          <w:p w14:paraId="61CC7D62"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3950.1</w:t>
            </w:r>
          </w:p>
        </w:tc>
        <w:tc>
          <w:tcPr>
            <w:tcW w:w="851" w:type="dxa"/>
            <w:shd w:val="clear" w:color="000000" w:fill="auto"/>
            <w:tcMar>
              <w:left w:w="108" w:type="dxa"/>
              <w:right w:w="108" w:type="dxa"/>
            </w:tcMar>
            <w:vAlign w:val="center"/>
          </w:tcPr>
          <w:p w14:paraId="7CF2FBBA"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10</w:t>
            </w:r>
          </w:p>
        </w:tc>
        <w:tc>
          <w:tcPr>
            <w:tcW w:w="2126" w:type="dxa"/>
            <w:shd w:val="clear" w:color="000000" w:fill="auto"/>
            <w:tcMar>
              <w:left w:w="108" w:type="dxa"/>
              <w:right w:w="108" w:type="dxa"/>
            </w:tcMar>
            <w:vAlign w:val="center"/>
          </w:tcPr>
          <w:p w14:paraId="10B01AB0"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0.25 (0.14-0.47)</w:t>
            </w:r>
          </w:p>
        </w:tc>
        <w:tc>
          <w:tcPr>
            <w:tcW w:w="2126" w:type="dxa"/>
            <w:shd w:val="clear" w:color="000000" w:fill="auto"/>
            <w:tcMar>
              <w:left w:w="108" w:type="dxa"/>
              <w:right w:w="108" w:type="dxa"/>
            </w:tcMar>
            <w:vAlign w:val="center"/>
          </w:tcPr>
          <w:p w14:paraId="4EFC9F30"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0.15 (0.07-0.29)</w:t>
            </w:r>
          </w:p>
        </w:tc>
        <w:tc>
          <w:tcPr>
            <w:tcW w:w="864" w:type="dxa"/>
            <w:shd w:val="clear" w:color="000000" w:fill="auto"/>
            <w:tcMar>
              <w:left w:w="108" w:type="dxa"/>
              <w:right w:w="108" w:type="dxa"/>
            </w:tcMar>
            <w:vAlign w:val="center"/>
          </w:tcPr>
          <w:p w14:paraId="4C73D8B1"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&lt; 0.001</w:t>
            </w:r>
          </w:p>
        </w:tc>
      </w:tr>
      <w:tr w:rsidR="00C21A2B" w:rsidRPr="0066241B" w14:paraId="2C0AEA2A" w14:textId="77777777">
        <w:trPr>
          <w:trHeight w:val="193"/>
        </w:trPr>
        <w:tc>
          <w:tcPr>
            <w:tcW w:w="1356" w:type="dxa"/>
            <w:vMerge/>
            <w:tcBorders>
              <w:top w:val="single" w:sz="4" w:space="0" w:color="000000"/>
            </w:tcBorders>
            <w:shd w:val="clear" w:color="000000" w:fill="auto"/>
            <w:vAlign w:val="center"/>
          </w:tcPr>
          <w:p w14:paraId="06406C6D"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708C472B"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DAA group</w:t>
            </w:r>
          </w:p>
        </w:tc>
        <w:tc>
          <w:tcPr>
            <w:tcW w:w="992" w:type="dxa"/>
            <w:shd w:val="clear" w:color="000000" w:fill="auto"/>
            <w:tcMar>
              <w:left w:w="108" w:type="dxa"/>
              <w:right w:w="108" w:type="dxa"/>
            </w:tcMar>
            <w:vAlign w:val="center"/>
          </w:tcPr>
          <w:p w14:paraId="509337F4"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2178.7</w:t>
            </w:r>
          </w:p>
        </w:tc>
        <w:tc>
          <w:tcPr>
            <w:tcW w:w="851" w:type="dxa"/>
            <w:shd w:val="clear" w:color="000000" w:fill="auto"/>
            <w:tcMar>
              <w:left w:w="108" w:type="dxa"/>
              <w:right w:w="108" w:type="dxa"/>
            </w:tcMar>
            <w:vAlign w:val="center"/>
          </w:tcPr>
          <w:p w14:paraId="3AD664E2"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5</w:t>
            </w:r>
          </w:p>
        </w:tc>
        <w:tc>
          <w:tcPr>
            <w:tcW w:w="2126" w:type="dxa"/>
            <w:shd w:val="clear" w:color="000000" w:fill="auto"/>
            <w:tcMar>
              <w:left w:w="108" w:type="dxa"/>
              <w:right w:w="108" w:type="dxa"/>
            </w:tcMar>
            <w:vAlign w:val="center"/>
          </w:tcPr>
          <w:p w14:paraId="4DE8F264"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0.23 (0.10-0.55)</w:t>
            </w:r>
          </w:p>
        </w:tc>
        <w:tc>
          <w:tcPr>
            <w:tcW w:w="2126" w:type="dxa"/>
            <w:shd w:val="clear" w:color="000000" w:fill="auto"/>
            <w:tcMar>
              <w:left w:w="108" w:type="dxa"/>
              <w:right w:w="108" w:type="dxa"/>
            </w:tcMar>
            <w:vAlign w:val="center"/>
          </w:tcPr>
          <w:p w14:paraId="7CA7BA52"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0.16 (0.06-0.39)</w:t>
            </w:r>
          </w:p>
        </w:tc>
        <w:tc>
          <w:tcPr>
            <w:tcW w:w="864" w:type="dxa"/>
            <w:shd w:val="clear" w:color="000000" w:fill="auto"/>
            <w:tcMar>
              <w:left w:w="108" w:type="dxa"/>
              <w:right w:w="108" w:type="dxa"/>
            </w:tcMar>
            <w:vAlign w:val="center"/>
          </w:tcPr>
          <w:p w14:paraId="49A3CD61"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&lt; 0.001</w:t>
            </w:r>
          </w:p>
        </w:tc>
      </w:tr>
      <w:tr w:rsidR="00C21A2B" w:rsidRPr="0066241B" w14:paraId="6EDA0E1C" w14:textId="77777777">
        <w:trPr>
          <w:trHeight w:val="340"/>
        </w:trPr>
        <w:tc>
          <w:tcPr>
            <w:tcW w:w="1356" w:type="dxa"/>
            <w:vMerge/>
            <w:tcBorders>
              <w:top w:val="single" w:sz="4" w:space="0" w:color="000000"/>
            </w:tcBorders>
            <w:shd w:val="clear" w:color="000000" w:fill="auto"/>
            <w:vAlign w:val="center"/>
          </w:tcPr>
          <w:p w14:paraId="39C624A0" w14:textId="77777777" w:rsidR="0052656F" w:rsidRPr="0066241B" w:rsidRDefault="0052656F" w:rsidP="00B34F1C">
            <w:pPr>
              <w:spacing w:line="360" w:lineRule="auto"/>
              <w:jc w:val="both"/>
              <w:rPr>
                <w:rFonts w:ascii="Book Antiqua" w:hAnsi="Book Antiqua"/>
                <w:color w:val="000000" w:themeColor="text1"/>
              </w:rPr>
            </w:pPr>
          </w:p>
        </w:tc>
        <w:tc>
          <w:tcPr>
            <w:tcW w:w="8892" w:type="dxa"/>
            <w:gridSpan w:val="6"/>
            <w:shd w:val="clear" w:color="000000" w:fill="auto"/>
            <w:tcMar>
              <w:left w:w="108" w:type="dxa"/>
              <w:right w:w="108" w:type="dxa"/>
            </w:tcMar>
            <w:vAlign w:val="center"/>
          </w:tcPr>
          <w:p w14:paraId="0177E007"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Death or transplantation</w:t>
            </w:r>
          </w:p>
        </w:tc>
      </w:tr>
      <w:tr w:rsidR="00C21A2B" w:rsidRPr="0066241B" w14:paraId="2562A813" w14:textId="77777777">
        <w:trPr>
          <w:trHeight w:val="193"/>
        </w:trPr>
        <w:tc>
          <w:tcPr>
            <w:tcW w:w="1356" w:type="dxa"/>
            <w:vMerge/>
            <w:tcBorders>
              <w:top w:val="single" w:sz="4" w:space="0" w:color="000000"/>
            </w:tcBorders>
            <w:shd w:val="clear" w:color="000000" w:fill="auto"/>
            <w:vAlign w:val="center"/>
          </w:tcPr>
          <w:p w14:paraId="3E5C3066"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71B9918B"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Untreated group</w:t>
            </w:r>
          </w:p>
        </w:tc>
        <w:tc>
          <w:tcPr>
            <w:tcW w:w="992" w:type="dxa"/>
            <w:shd w:val="clear" w:color="000000" w:fill="auto"/>
            <w:tcMar>
              <w:left w:w="108" w:type="dxa"/>
              <w:right w:w="108" w:type="dxa"/>
            </w:tcMar>
            <w:vAlign w:val="center"/>
          </w:tcPr>
          <w:p w14:paraId="77116F30"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4438.3</w:t>
            </w:r>
          </w:p>
        </w:tc>
        <w:tc>
          <w:tcPr>
            <w:tcW w:w="851" w:type="dxa"/>
            <w:shd w:val="clear" w:color="000000" w:fill="auto"/>
            <w:tcMar>
              <w:left w:w="108" w:type="dxa"/>
              <w:right w:w="108" w:type="dxa"/>
            </w:tcMar>
            <w:vAlign w:val="center"/>
          </w:tcPr>
          <w:p w14:paraId="72E381A4"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148</w:t>
            </w:r>
          </w:p>
        </w:tc>
        <w:tc>
          <w:tcPr>
            <w:tcW w:w="2126" w:type="dxa"/>
            <w:shd w:val="clear" w:color="000000" w:fill="auto"/>
            <w:tcMar>
              <w:left w:w="108" w:type="dxa"/>
              <w:right w:w="108" w:type="dxa"/>
            </w:tcMar>
            <w:vAlign w:val="center"/>
          </w:tcPr>
          <w:p w14:paraId="1CF15E80"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3.33 (2.85-3.91)</w:t>
            </w:r>
          </w:p>
        </w:tc>
        <w:tc>
          <w:tcPr>
            <w:tcW w:w="2126" w:type="dxa"/>
            <w:shd w:val="clear" w:color="000000" w:fill="auto"/>
            <w:tcMar>
              <w:left w:w="108" w:type="dxa"/>
              <w:right w:w="108" w:type="dxa"/>
            </w:tcMar>
            <w:vAlign w:val="center"/>
          </w:tcPr>
          <w:p w14:paraId="72C319F5"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Reference</w:t>
            </w:r>
          </w:p>
        </w:tc>
        <w:tc>
          <w:tcPr>
            <w:tcW w:w="864" w:type="dxa"/>
            <w:shd w:val="clear" w:color="000000" w:fill="auto"/>
            <w:tcMar>
              <w:left w:w="108" w:type="dxa"/>
              <w:right w:w="108" w:type="dxa"/>
            </w:tcMar>
            <w:vAlign w:val="center"/>
          </w:tcPr>
          <w:p w14:paraId="41C7B474"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w:t>
            </w:r>
          </w:p>
        </w:tc>
      </w:tr>
      <w:tr w:rsidR="00C21A2B" w:rsidRPr="0066241B" w14:paraId="72811B72" w14:textId="77777777">
        <w:trPr>
          <w:trHeight w:val="193"/>
        </w:trPr>
        <w:tc>
          <w:tcPr>
            <w:tcW w:w="1356" w:type="dxa"/>
            <w:vMerge/>
            <w:tcBorders>
              <w:top w:val="single" w:sz="4" w:space="0" w:color="000000"/>
            </w:tcBorders>
            <w:shd w:val="clear" w:color="000000" w:fill="auto"/>
            <w:vAlign w:val="center"/>
          </w:tcPr>
          <w:p w14:paraId="54D6A3E3"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495A2424"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IBT group</w:t>
            </w:r>
          </w:p>
        </w:tc>
        <w:tc>
          <w:tcPr>
            <w:tcW w:w="992" w:type="dxa"/>
            <w:shd w:val="clear" w:color="000000" w:fill="auto"/>
            <w:tcMar>
              <w:left w:w="108" w:type="dxa"/>
              <w:right w:w="108" w:type="dxa"/>
            </w:tcMar>
            <w:vAlign w:val="center"/>
          </w:tcPr>
          <w:p w14:paraId="22294967"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4850.1</w:t>
            </w:r>
          </w:p>
        </w:tc>
        <w:tc>
          <w:tcPr>
            <w:tcW w:w="851" w:type="dxa"/>
            <w:shd w:val="clear" w:color="000000" w:fill="auto"/>
            <w:tcMar>
              <w:left w:w="108" w:type="dxa"/>
              <w:right w:w="108" w:type="dxa"/>
            </w:tcMar>
            <w:vAlign w:val="center"/>
          </w:tcPr>
          <w:p w14:paraId="24F1C378"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42</w:t>
            </w:r>
          </w:p>
        </w:tc>
        <w:tc>
          <w:tcPr>
            <w:tcW w:w="2126" w:type="dxa"/>
            <w:shd w:val="clear" w:color="000000" w:fill="auto"/>
            <w:tcMar>
              <w:left w:w="108" w:type="dxa"/>
              <w:right w:w="108" w:type="dxa"/>
            </w:tcMar>
            <w:vAlign w:val="center"/>
          </w:tcPr>
          <w:p w14:paraId="69E49E45"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0.87 (0.64-1.18)</w:t>
            </w:r>
          </w:p>
        </w:tc>
        <w:tc>
          <w:tcPr>
            <w:tcW w:w="2126" w:type="dxa"/>
            <w:shd w:val="clear" w:color="000000" w:fill="auto"/>
            <w:tcMar>
              <w:left w:w="108" w:type="dxa"/>
              <w:right w:w="108" w:type="dxa"/>
            </w:tcMar>
            <w:vAlign w:val="center"/>
          </w:tcPr>
          <w:p w14:paraId="0298A871"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0.22 (0.16-0.31)</w:t>
            </w:r>
          </w:p>
        </w:tc>
        <w:tc>
          <w:tcPr>
            <w:tcW w:w="864" w:type="dxa"/>
            <w:shd w:val="clear" w:color="000000" w:fill="auto"/>
            <w:tcMar>
              <w:left w:w="108" w:type="dxa"/>
              <w:right w:w="108" w:type="dxa"/>
            </w:tcMar>
            <w:vAlign w:val="center"/>
          </w:tcPr>
          <w:p w14:paraId="3582B5B1"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&lt; 0.001</w:t>
            </w:r>
          </w:p>
        </w:tc>
      </w:tr>
      <w:tr w:rsidR="00C21A2B" w:rsidRPr="0066241B" w14:paraId="0A07E2FB" w14:textId="77777777">
        <w:trPr>
          <w:trHeight w:val="193"/>
        </w:trPr>
        <w:tc>
          <w:tcPr>
            <w:tcW w:w="1356" w:type="dxa"/>
            <w:vMerge/>
            <w:tcBorders>
              <w:top w:val="single" w:sz="4" w:space="0" w:color="000000"/>
            </w:tcBorders>
            <w:shd w:val="clear" w:color="000000" w:fill="auto"/>
            <w:vAlign w:val="center"/>
          </w:tcPr>
          <w:p w14:paraId="5E06D495"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47162ED2"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DAA group</w:t>
            </w:r>
          </w:p>
        </w:tc>
        <w:tc>
          <w:tcPr>
            <w:tcW w:w="992" w:type="dxa"/>
            <w:shd w:val="clear" w:color="000000" w:fill="auto"/>
            <w:tcMar>
              <w:left w:w="108" w:type="dxa"/>
              <w:right w:w="108" w:type="dxa"/>
            </w:tcMar>
            <w:vAlign w:val="center"/>
          </w:tcPr>
          <w:p w14:paraId="390F0E33"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2467.2</w:t>
            </w:r>
          </w:p>
        </w:tc>
        <w:tc>
          <w:tcPr>
            <w:tcW w:w="851" w:type="dxa"/>
            <w:shd w:val="clear" w:color="000000" w:fill="auto"/>
            <w:tcMar>
              <w:left w:w="108" w:type="dxa"/>
              <w:right w:w="108" w:type="dxa"/>
            </w:tcMar>
            <w:vAlign w:val="center"/>
          </w:tcPr>
          <w:p w14:paraId="11A08130"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16</w:t>
            </w:r>
          </w:p>
        </w:tc>
        <w:tc>
          <w:tcPr>
            <w:tcW w:w="2126" w:type="dxa"/>
            <w:shd w:val="clear" w:color="000000" w:fill="auto"/>
            <w:tcMar>
              <w:left w:w="108" w:type="dxa"/>
              <w:right w:w="108" w:type="dxa"/>
            </w:tcMar>
            <w:vAlign w:val="center"/>
          </w:tcPr>
          <w:p w14:paraId="5588CCED"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0.65 (0.40-1.06)</w:t>
            </w:r>
          </w:p>
        </w:tc>
        <w:tc>
          <w:tcPr>
            <w:tcW w:w="2126" w:type="dxa"/>
            <w:shd w:val="clear" w:color="000000" w:fill="auto"/>
            <w:tcMar>
              <w:left w:w="108" w:type="dxa"/>
              <w:right w:w="108" w:type="dxa"/>
            </w:tcMar>
            <w:vAlign w:val="center"/>
          </w:tcPr>
          <w:p w14:paraId="7C2A8CAA"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0.30 (0.17-0.51)</w:t>
            </w:r>
          </w:p>
        </w:tc>
        <w:tc>
          <w:tcPr>
            <w:tcW w:w="864" w:type="dxa"/>
            <w:shd w:val="clear" w:color="000000" w:fill="auto"/>
            <w:tcMar>
              <w:left w:w="108" w:type="dxa"/>
              <w:right w:w="108" w:type="dxa"/>
            </w:tcMar>
            <w:vAlign w:val="center"/>
          </w:tcPr>
          <w:p w14:paraId="07635D88"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&lt; 0.001</w:t>
            </w:r>
          </w:p>
        </w:tc>
      </w:tr>
      <w:tr w:rsidR="00C21A2B" w:rsidRPr="0066241B" w14:paraId="07386EE2" w14:textId="77777777">
        <w:trPr>
          <w:trHeight w:val="340"/>
        </w:trPr>
        <w:tc>
          <w:tcPr>
            <w:tcW w:w="1356" w:type="dxa"/>
            <w:vMerge w:val="restart"/>
            <w:shd w:val="clear" w:color="000000" w:fill="auto"/>
            <w:tcMar>
              <w:left w:w="108" w:type="dxa"/>
              <w:right w:w="108" w:type="dxa"/>
            </w:tcMar>
            <w:vAlign w:val="center"/>
          </w:tcPr>
          <w:p w14:paraId="6B9B6FFA"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No cirrhosis</w:t>
            </w:r>
          </w:p>
        </w:tc>
        <w:tc>
          <w:tcPr>
            <w:tcW w:w="8892" w:type="dxa"/>
            <w:gridSpan w:val="6"/>
            <w:shd w:val="clear" w:color="000000" w:fill="auto"/>
            <w:tcMar>
              <w:left w:w="108" w:type="dxa"/>
              <w:right w:w="108" w:type="dxa"/>
            </w:tcMar>
            <w:vAlign w:val="center"/>
          </w:tcPr>
          <w:p w14:paraId="4523BDE2"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Hepatocellular carcinoma</w:t>
            </w:r>
          </w:p>
        </w:tc>
      </w:tr>
      <w:tr w:rsidR="00C21A2B" w:rsidRPr="0066241B" w14:paraId="20930A64" w14:textId="77777777">
        <w:trPr>
          <w:trHeight w:val="193"/>
        </w:trPr>
        <w:tc>
          <w:tcPr>
            <w:tcW w:w="1356" w:type="dxa"/>
            <w:vMerge/>
            <w:shd w:val="clear" w:color="000000" w:fill="auto"/>
            <w:vAlign w:val="center"/>
          </w:tcPr>
          <w:p w14:paraId="1B02772C"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48A286C2"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Untreated group</w:t>
            </w:r>
          </w:p>
        </w:tc>
        <w:tc>
          <w:tcPr>
            <w:tcW w:w="992" w:type="dxa"/>
            <w:shd w:val="clear" w:color="000000" w:fill="auto"/>
            <w:tcMar>
              <w:left w:w="108" w:type="dxa"/>
              <w:right w:w="108" w:type="dxa"/>
            </w:tcMar>
            <w:vAlign w:val="center"/>
          </w:tcPr>
          <w:p w14:paraId="1E18AE06"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2364.6</w:t>
            </w:r>
          </w:p>
        </w:tc>
        <w:tc>
          <w:tcPr>
            <w:tcW w:w="851" w:type="dxa"/>
            <w:shd w:val="clear" w:color="000000" w:fill="auto"/>
            <w:tcMar>
              <w:left w:w="108" w:type="dxa"/>
              <w:right w:w="108" w:type="dxa"/>
            </w:tcMar>
            <w:vAlign w:val="center"/>
          </w:tcPr>
          <w:p w14:paraId="33D8E516"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15</w:t>
            </w:r>
          </w:p>
        </w:tc>
        <w:tc>
          <w:tcPr>
            <w:tcW w:w="2126" w:type="dxa"/>
            <w:shd w:val="clear" w:color="000000" w:fill="auto"/>
            <w:tcMar>
              <w:left w:w="108" w:type="dxa"/>
              <w:right w:w="108" w:type="dxa"/>
            </w:tcMar>
            <w:vAlign w:val="center"/>
          </w:tcPr>
          <w:p w14:paraId="22D94CB8"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 xml:space="preserve">0.63 (0.38-1.05) </w:t>
            </w:r>
          </w:p>
        </w:tc>
        <w:tc>
          <w:tcPr>
            <w:tcW w:w="2126" w:type="dxa"/>
            <w:shd w:val="clear" w:color="000000" w:fill="auto"/>
            <w:tcMar>
              <w:left w:w="108" w:type="dxa"/>
              <w:right w:w="108" w:type="dxa"/>
            </w:tcMar>
            <w:vAlign w:val="center"/>
          </w:tcPr>
          <w:p w14:paraId="0560EC83"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Reference</w:t>
            </w:r>
          </w:p>
        </w:tc>
        <w:tc>
          <w:tcPr>
            <w:tcW w:w="864" w:type="dxa"/>
            <w:shd w:val="clear" w:color="000000" w:fill="auto"/>
            <w:tcMar>
              <w:left w:w="108" w:type="dxa"/>
              <w:right w:w="108" w:type="dxa"/>
            </w:tcMar>
            <w:vAlign w:val="center"/>
          </w:tcPr>
          <w:p w14:paraId="725E23DF"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w:t>
            </w:r>
          </w:p>
        </w:tc>
      </w:tr>
      <w:tr w:rsidR="00C21A2B" w:rsidRPr="0066241B" w14:paraId="253AEA3B" w14:textId="77777777">
        <w:trPr>
          <w:trHeight w:val="193"/>
        </w:trPr>
        <w:tc>
          <w:tcPr>
            <w:tcW w:w="1356" w:type="dxa"/>
            <w:vMerge/>
            <w:shd w:val="clear" w:color="000000" w:fill="auto"/>
            <w:vAlign w:val="center"/>
          </w:tcPr>
          <w:p w14:paraId="440252DA"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28315BB3"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IBT group</w:t>
            </w:r>
          </w:p>
        </w:tc>
        <w:tc>
          <w:tcPr>
            <w:tcW w:w="992" w:type="dxa"/>
            <w:shd w:val="clear" w:color="000000" w:fill="auto"/>
            <w:tcMar>
              <w:left w:w="108" w:type="dxa"/>
              <w:right w:w="108" w:type="dxa"/>
            </w:tcMar>
            <w:vAlign w:val="center"/>
          </w:tcPr>
          <w:p w14:paraId="0897A817"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2971.8</w:t>
            </w:r>
          </w:p>
        </w:tc>
        <w:tc>
          <w:tcPr>
            <w:tcW w:w="851" w:type="dxa"/>
            <w:shd w:val="clear" w:color="000000" w:fill="auto"/>
            <w:tcMar>
              <w:left w:w="108" w:type="dxa"/>
              <w:right w:w="108" w:type="dxa"/>
            </w:tcMar>
            <w:vAlign w:val="center"/>
          </w:tcPr>
          <w:p w14:paraId="3D182776"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6</w:t>
            </w:r>
          </w:p>
        </w:tc>
        <w:tc>
          <w:tcPr>
            <w:tcW w:w="2126" w:type="dxa"/>
            <w:shd w:val="clear" w:color="000000" w:fill="auto"/>
            <w:tcMar>
              <w:left w:w="108" w:type="dxa"/>
              <w:right w:w="108" w:type="dxa"/>
            </w:tcMar>
            <w:vAlign w:val="center"/>
          </w:tcPr>
          <w:p w14:paraId="62AEC10B"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0.20 (0.09-0.45)</w:t>
            </w:r>
          </w:p>
        </w:tc>
        <w:tc>
          <w:tcPr>
            <w:tcW w:w="2126" w:type="dxa"/>
            <w:shd w:val="clear" w:color="000000" w:fill="auto"/>
            <w:tcMar>
              <w:left w:w="108" w:type="dxa"/>
              <w:right w:w="108" w:type="dxa"/>
            </w:tcMar>
            <w:vAlign w:val="center"/>
          </w:tcPr>
          <w:p w14:paraId="6530A167"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0.30 (0.11-0.77)</w:t>
            </w:r>
          </w:p>
        </w:tc>
        <w:tc>
          <w:tcPr>
            <w:tcW w:w="864" w:type="dxa"/>
            <w:shd w:val="clear" w:color="000000" w:fill="auto"/>
            <w:tcMar>
              <w:left w:w="108" w:type="dxa"/>
              <w:right w:w="108" w:type="dxa"/>
            </w:tcMar>
            <w:vAlign w:val="center"/>
          </w:tcPr>
          <w:p w14:paraId="15ACE787"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0.012</w:t>
            </w:r>
          </w:p>
        </w:tc>
      </w:tr>
      <w:tr w:rsidR="00C21A2B" w:rsidRPr="0066241B" w14:paraId="7CAC1D8E" w14:textId="77777777">
        <w:trPr>
          <w:trHeight w:val="193"/>
        </w:trPr>
        <w:tc>
          <w:tcPr>
            <w:tcW w:w="1356" w:type="dxa"/>
            <w:vMerge/>
            <w:shd w:val="clear" w:color="000000" w:fill="auto"/>
            <w:vAlign w:val="center"/>
          </w:tcPr>
          <w:p w14:paraId="60389826"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7631C4EA"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DAA group</w:t>
            </w:r>
          </w:p>
        </w:tc>
        <w:tc>
          <w:tcPr>
            <w:tcW w:w="992" w:type="dxa"/>
            <w:shd w:val="clear" w:color="000000" w:fill="auto"/>
            <w:tcMar>
              <w:left w:w="108" w:type="dxa"/>
              <w:right w:w="108" w:type="dxa"/>
            </w:tcMar>
            <w:vAlign w:val="center"/>
          </w:tcPr>
          <w:p w14:paraId="6E5C406A"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1569.4</w:t>
            </w:r>
          </w:p>
        </w:tc>
        <w:tc>
          <w:tcPr>
            <w:tcW w:w="851" w:type="dxa"/>
            <w:shd w:val="clear" w:color="000000" w:fill="auto"/>
            <w:tcMar>
              <w:left w:w="108" w:type="dxa"/>
              <w:right w:w="108" w:type="dxa"/>
            </w:tcMar>
            <w:vAlign w:val="center"/>
          </w:tcPr>
          <w:p w14:paraId="642002A4"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8</w:t>
            </w:r>
          </w:p>
        </w:tc>
        <w:tc>
          <w:tcPr>
            <w:tcW w:w="2126" w:type="dxa"/>
            <w:shd w:val="clear" w:color="000000" w:fill="auto"/>
            <w:tcMar>
              <w:left w:w="108" w:type="dxa"/>
              <w:right w:w="108" w:type="dxa"/>
            </w:tcMar>
            <w:vAlign w:val="center"/>
          </w:tcPr>
          <w:p w14:paraId="3B122937"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0.51 (0.26-1.02)</w:t>
            </w:r>
          </w:p>
        </w:tc>
        <w:tc>
          <w:tcPr>
            <w:tcW w:w="2126" w:type="dxa"/>
            <w:shd w:val="clear" w:color="000000" w:fill="auto"/>
            <w:tcMar>
              <w:left w:w="108" w:type="dxa"/>
              <w:right w:w="108" w:type="dxa"/>
            </w:tcMar>
            <w:vAlign w:val="center"/>
          </w:tcPr>
          <w:p w14:paraId="42C40270"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0.90 (0.37-2.18)</w:t>
            </w:r>
          </w:p>
        </w:tc>
        <w:tc>
          <w:tcPr>
            <w:tcW w:w="864" w:type="dxa"/>
            <w:shd w:val="clear" w:color="000000" w:fill="auto"/>
            <w:tcMar>
              <w:left w:w="108" w:type="dxa"/>
              <w:right w:w="108" w:type="dxa"/>
            </w:tcMar>
            <w:vAlign w:val="center"/>
          </w:tcPr>
          <w:p w14:paraId="749E6C42"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0.812</w:t>
            </w:r>
          </w:p>
        </w:tc>
      </w:tr>
      <w:tr w:rsidR="00C21A2B" w:rsidRPr="0066241B" w14:paraId="792BB558" w14:textId="77777777">
        <w:trPr>
          <w:trHeight w:val="340"/>
        </w:trPr>
        <w:tc>
          <w:tcPr>
            <w:tcW w:w="1356" w:type="dxa"/>
            <w:vMerge/>
            <w:shd w:val="clear" w:color="000000" w:fill="auto"/>
            <w:vAlign w:val="center"/>
          </w:tcPr>
          <w:p w14:paraId="71F6BAE8" w14:textId="77777777" w:rsidR="0052656F" w:rsidRPr="0066241B" w:rsidRDefault="0052656F" w:rsidP="00B34F1C">
            <w:pPr>
              <w:spacing w:line="360" w:lineRule="auto"/>
              <w:jc w:val="both"/>
              <w:rPr>
                <w:rFonts w:ascii="Book Antiqua" w:hAnsi="Book Antiqua"/>
                <w:color w:val="000000" w:themeColor="text1"/>
              </w:rPr>
            </w:pPr>
          </w:p>
        </w:tc>
        <w:tc>
          <w:tcPr>
            <w:tcW w:w="8892" w:type="dxa"/>
            <w:gridSpan w:val="6"/>
            <w:shd w:val="clear" w:color="000000" w:fill="auto"/>
            <w:tcMar>
              <w:left w:w="108" w:type="dxa"/>
              <w:right w:w="108" w:type="dxa"/>
            </w:tcMar>
            <w:vAlign w:val="center"/>
          </w:tcPr>
          <w:p w14:paraId="216D4CE5"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Decompensation</w:t>
            </w:r>
          </w:p>
        </w:tc>
      </w:tr>
      <w:tr w:rsidR="00C21A2B" w:rsidRPr="0066241B" w14:paraId="3CCF58A1" w14:textId="77777777">
        <w:trPr>
          <w:trHeight w:val="193"/>
        </w:trPr>
        <w:tc>
          <w:tcPr>
            <w:tcW w:w="1356" w:type="dxa"/>
            <w:vMerge/>
            <w:shd w:val="clear" w:color="000000" w:fill="auto"/>
            <w:vAlign w:val="center"/>
          </w:tcPr>
          <w:p w14:paraId="1CD8EE1A"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49331C1C"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Untreated group</w:t>
            </w:r>
          </w:p>
        </w:tc>
        <w:tc>
          <w:tcPr>
            <w:tcW w:w="992" w:type="dxa"/>
            <w:shd w:val="clear" w:color="000000" w:fill="auto"/>
            <w:tcMar>
              <w:left w:w="108" w:type="dxa"/>
              <w:right w:w="108" w:type="dxa"/>
            </w:tcMar>
            <w:vAlign w:val="center"/>
          </w:tcPr>
          <w:p w14:paraId="48CA2EA5"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2369.9</w:t>
            </w:r>
          </w:p>
        </w:tc>
        <w:tc>
          <w:tcPr>
            <w:tcW w:w="851" w:type="dxa"/>
            <w:shd w:val="clear" w:color="000000" w:fill="auto"/>
            <w:tcMar>
              <w:left w:w="108" w:type="dxa"/>
              <w:right w:w="108" w:type="dxa"/>
            </w:tcMar>
            <w:vAlign w:val="center"/>
          </w:tcPr>
          <w:p w14:paraId="0F6C4CEE"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6</w:t>
            </w:r>
          </w:p>
        </w:tc>
        <w:tc>
          <w:tcPr>
            <w:tcW w:w="2126" w:type="dxa"/>
            <w:shd w:val="clear" w:color="000000" w:fill="auto"/>
            <w:tcMar>
              <w:left w:w="108" w:type="dxa"/>
              <w:right w:w="108" w:type="dxa"/>
            </w:tcMar>
            <w:vAlign w:val="center"/>
          </w:tcPr>
          <w:p w14:paraId="48D009E5"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0.25 (0.11-0.56)</w:t>
            </w:r>
          </w:p>
        </w:tc>
        <w:tc>
          <w:tcPr>
            <w:tcW w:w="2126" w:type="dxa"/>
            <w:shd w:val="clear" w:color="000000" w:fill="auto"/>
            <w:tcMar>
              <w:left w:w="108" w:type="dxa"/>
              <w:right w:w="108" w:type="dxa"/>
            </w:tcMar>
            <w:vAlign w:val="center"/>
          </w:tcPr>
          <w:p w14:paraId="7018824F"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Reference</w:t>
            </w:r>
          </w:p>
        </w:tc>
        <w:tc>
          <w:tcPr>
            <w:tcW w:w="864" w:type="dxa"/>
            <w:shd w:val="clear" w:color="000000" w:fill="auto"/>
            <w:tcMar>
              <w:left w:w="108" w:type="dxa"/>
              <w:right w:w="108" w:type="dxa"/>
            </w:tcMar>
            <w:vAlign w:val="center"/>
          </w:tcPr>
          <w:p w14:paraId="774C1505"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w:t>
            </w:r>
          </w:p>
        </w:tc>
      </w:tr>
      <w:tr w:rsidR="00C21A2B" w:rsidRPr="0066241B" w14:paraId="1275551A" w14:textId="77777777">
        <w:trPr>
          <w:trHeight w:val="193"/>
        </w:trPr>
        <w:tc>
          <w:tcPr>
            <w:tcW w:w="1356" w:type="dxa"/>
            <w:vMerge/>
            <w:shd w:val="clear" w:color="000000" w:fill="auto"/>
            <w:vAlign w:val="center"/>
          </w:tcPr>
          <w:p w14:paraId="7987DD0B"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6C37F6EA"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IBT group</w:t>
            </w:r>
          </w:p>
        </w:tc>
        <w:tc>
          <w:tcPr>
            <w:tcW w:w="992" w:type="dxa"/>
            <w:shd w:val="clear" w:color="000000" w:fill="auto"/>
            <w:tcMar>
              <w:left w:w="108" w:type="dxa"/>
              <w:right w:w="108" w:type="dxa"/>
            </w:tcMar>
            <w:vAlign w:val="center"/>
          </w:tcPr>
          <w:p w14:paraId="3A085C07"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2992.3</w:t>
            </w:r>
          </w:p>
        </w:tc>
        <w:tc>
          <w:tcPr>
            <w:tcW w:w="851" w:type="dxa"/>
            <w:shd w:val="clear" w:color="000000" w:fill="auto"/>
            <w:tcMar>
              <w:left w:w="108" w:type="dxa"/>
              <w:right w:w="108" w:type="dxa"/>
            </w:tcMar>
            <w:vAlign w:val="center"/>
          </w:tcPr>
          <w:p w14:paraId="6DBF5D78"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1</w:t>
            </w:r>
          </w:p>
        </w:tc>
        <w:tc>
          <w:tcPr>
            <w:tcW w:w="2126" w:type="dxa"/>
            <w:shd w:val="clear" w:color="000000" w:fill="auto"/>
            <w:tcMar>
              <w:left w:w="108" w:type="dxa"/>
              <w:right w:w="108" w:type="dxa"/>
            </w:tcMar>
            <w:vAlign w:val="center"/>
          </w:tcPr>
          <w:p w14:paraId="6171B822"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0.03 (0.00-0.24)</w:t>
            </w:r>
          </w:p>
        </w:tc>
        <w:tc>
          <w:tcPr>
            <w:tcW w:w="2126" w:type="dxa"/>
            <w:shd w:val="clear" w:color="000000" w:fill="auto"/>
            <w:tcMar>
              <w:left w:w="108" w:type="dxa"/>
              <w:right w:w="108" w:type="dxa"/>
            </w:tcMar>
            <w:vAlign w:val="center"/>
          </w:tcPr>
          <w:p w14:paraId="62B1CDC9"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0.09 (0.01-0.74)</w:t>
            </w:r>
          </w:p>
        </w:tc>
        <w:tc>
          <w:tcPr>
            <w:tcW w:w="864" w:type="dxa"/>
            <w:shd w:val="clear" w:color="000000" w:fill="auto"/>
            <w:tcMar>
              <w:left w:w="108" w:type="dxa"/>
              <w:right w:w="108" w:type="dxa"/>
            </w:tcMar>
            <w:vAlign w:val="center"/>
          </w:tcPr>
          <w:p w14:paraId="5A308544"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0.026</w:t>
            </w:r>
          </w:p>
        </w:tc>
      </w:tr>
      <w:tr w:rsidR="00C21A2B" w:rsidRPr="0066241B" w14:paraId="7202EEBF" w14:textId="77777777">
        <w:trPr>
          <w:trHeight w:val="193"/>
        </w:trPr>
        <w:tc>
          <w:tcPr>
            <w:tcW w:w="1356" w:type="dxa"/>
            <w:vMerge/>
            <w:shd w:val="clear" w:color="000000" w:fill="auto"/>
            <w:vAlign w:val="center"/>
          </w:tcPr>
          <w:p w14:paraId="3A4E804A"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709C7969"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DAA group</w:t>
            </w:r>
          </w:p>
        </w:tc>
        <w:tc>
          <w:tcPr>
            <w:tcW w:w="992" w:type="dxa"/>
            <w:shd w:val="clear" w:color="000000" w:fill="auto"/>
            <w:tcMar>
              <w:left w:w="108" w:type="dxa"/>
              <w:right w:w="108" w:type="dxa"/>
            </w:tcMar>
            <w:vAlign w:val="center"/>
          </w:tcPr>
          <w:p w14:paraId="3DEAABE1"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1573.4</w:t>
            </w:r>
          </w:p>
        </w:tc>
        <w:tc>
          <w:tcPr>
            <w:tcW w:w="851" w:type="dxa"/>
            <w:shd w:val="clear" w:color="000000" w:fill="auto"/>
            <w:tcMar>
              <w:left w:w="108" w:type="dxa"/>
              <w:right w:w="108" w:type="dxa"/>
            </w:tcMar>
            <w:vAlign w:val="center"/>
          </w:tcPr>
          <w:p w14:paraId="6ED09E98"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0</w:t>
            </w:r>
          </w:p>
        </w:tc>
        <w:tc>
          <w:tcPr>
            <w:tcW w:w="2126" w:type="dxa"/>
            <w:shd w:val="clear" w:color="000000" w:fill="auto"/>
            <w:tcMar>
              <w:left w:w="108" w:type="dxa"/>
              <w:right w:w="108" w:type="dxa"/>
            </w:tcMar>
            <w:vAlign w:val="center"/>
          </w:tcPr>
          <w:p w14:paraId="54610E7A"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0.00</w:t>
            </w:r>
          </w:p>
        </w:tc>
        <w:tc>
          <w:tcPr>
            <w:tcW w:w="2126" w:type="dxa"/>
            <w:shd w:val="clear" w:color="000000" w:fill="auto"/>
            <w:tcMar>
              <w:left w:w="108" w:type="dxa"/>
              <w:right w:w="108" w:type="dxa"/>
            </w:tcMar>
            <w:vAlign w:val="center"/>
          </w:tcPr>
          <w:p w14:paraId="2A752F78"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0.00</w:t>
            </w:r>
          </w:p>
        </w:tc>
        <w:tc>
          <w:tcPr>
            <w:tcW w:w="864" w:type="dxa"/>
            <w:shd w:val="clear" w:color="000000" w:fill="auto"/>
            <w:tcMar>
              <w:left w:w="108" w:type="dxa"/>
              <w:right w:w="108" w:type="dxa"/>
            </w:tcMar>
            <w:vAlign w:val="center"/>
          </w:tcPr>
          <w:p w14:paraId="6CAADD91"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N/A</w:t>
            </w:r>
          </w:p>
        </w:tc>
      </w:tr>
      <w:tr w:rsidR="00C21A2B" w:rsidRPr="0066241B" w14:paraId="75F007A6" w14:textId="77777777">
        <w:trPr>
          <w:trHeight w:val="340"/>
        </w:trPr>
        <w:tc>
          <w:tcPr>
            <w:tcW w:w="1356" w:type="dxa"/>
            <w:vMerge/>
            <w:shd w:val="clear" w:color="000000" w:fill="auto"/>
            <w:vAlign w:val="center"/>
          </w:tcPr>
          <w:p w14:paraId="758E04F4" w14:textId="77777777" w:rsidR="0052656F" w:rsidRPr="0066241B" w:rsidRDefault="0052656F" w:rsidP="00B34F1C">
            <w:pPr>
              <w:spacing w:line="360" w:lineRule="auto"/>
              <w:jc w:val="both"/>
              <w:rPr>
                <w:rFonts w:ascii="Book Antiqua" w:hAnsi="Book Antiqua"/>
                <w:color w:val="000000" w:themeColor="text1"/>
              </w:rPr>
            </w:pPr>
          </w:p>
        </w:tc>
        <w:tc>
          <w:tcPr>
            <w:tcW w:w="8892" w:type="dxa"/>
            <w:gridSpan w:val="6"/>
            <w:shd w:val="clear" w:color="000000" w:fill="auto"/>
            <w:tcMar>
              <w:left w:w="108" w:type="dxa"/>
              <w:right w:w="108" w:type="dxa"/>
            </w:tcMar>
            <w:vAlign w:val="center"/>
          </w:tcPr>
          <w:p w14:paraId="6460F050"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Death or transplantation</w:t>
            </w:r>
          </w:p>
        </w:tc>
      </w:tr>
      <w:tr w:rsidR="00C21A2B" w:rsidRPr="0066241B" w14:paraId="72C4DD8C" w14:textId="77777777">
        <w:trPr>
          <w:trHeight w:val="193"/>
        </w:trPr>
        <w:tc>
          <w:tcPr>
            <w:tcW w:w="1356" w:type="dxa"/>
            <w:vMerge/>
            <w:shd w:val="clear" w:color="000000" w:fill="auto"/>
            <w:vAlign w:val="center"/>
          </w:tcPr>
          <w:p w14:paraId="14625C4D"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1C7BA627"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Untreated group</w:t>
            </w:r>
          </w:p>
        </w:tc>
        <w:tc>
          <w:tcPr>
            <w:tcW w:w="992" w:type="dxa"/>
            <w:shd w:val="clear" w:color="000000" w:fill="auto"/>
            <w:tcMar>
              <w:left w:w="108" w:type="dxa"/>
              <w:right w:w="108" w:type="dxa"/>
            </w:tcMar>
            <w:vAlign w:val="center"/>
          </w:tcPr>
          <w:p w14:paraId="4EA1F824"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3176.3</w:t>
            </w:r>
          </w:p>
        </w:tc>
        <w:tc>
          <w:tcPr>
            <w:tcW w:w="851" w:type="dxa"/>
            <w:shd w:val="clear" w:color="000000" w:fill="auto"/>
            <w:tcMar>
              <w:left w:w="108" w:type="dxa"/>
              <w:right w:w="108" w:type="dxa"/>
            </w:tcMar>
            <w:vAlign w:val="center"/>
          </w:tcPr>
          <w:p w14:paraId="36B94BFA"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63</w:t>
            </w:r>
          </w:p>
        </w:tc>
        <w:tc>
          <w:tcPr>
            <w:tcW w:w="2126" w:type="dxa"/>
            <w:shd w:val="clear" w:color="000000" w:fill="auto"/>
            <w:tcMar>
              <w:left w:w="108" w:type="dxa"/>
              <w:right w:w="108" w:type="dxa"/>
            </w:tcMar>
            <w:vAlign w:val="center"/>
          </w:tcPr>
          <w:p w14:paraId="7DA499EC"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1.98 (4.15-7.12)</w:t>
            </w:r>
          </w:p>
        </w:tc>
        <w:tc>
          <w:tcPr>
            <w:tcW w:w="2126" w:type="dxa"/>
            <w:shd w:val="clear" w:color="000000" w:fill="auto"/>
            <w:tcMar>
              <w:left w:w="108" w:type="dxa"/>
              <w:right w:w="108" w:type="dxa"/>
            </w:tcMar>
            <w:vAlign w:val="center"/>
          </w:tcPr>
          <w:p w14:paraId="2EB1E65A"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Reference</w:t>
            </w:r>
          </w:p>
        </w:tc>
        <w:tc>
          <w:tcPr>
            <w:tcW w:w="864" w:type="dxa"/>
            <w:shd w:val="clear" w:color="000000" w:fill="auto"/>
            <w:tcMar>
              <w:left w:w="108" w:type="dxa"/>
              <w:right w:w="108" w:type="dxa"/>
            </w:tcMar>
            <w:vAlign w:val="center"/>
          </w:tcPr>
          <w:p w14:paraId="79DEC8A8"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w:t>
            </w:r>
          </w:p>
        </w:tc>
      </w:tr>
      <w:tr w:rsidR="00C21A2B" w:rsidRPr="0066241B" w14:paraId="37173CB8" w14:textId="77777777">
        <w:trPr>
          <w:trHeight w:val="193"/>
        </w:trPr>
        <w:tc>
          <w:tcPr>
            <w:tcW w:w="1356" w:type="dxa"/>
            <w:vMerge/>
            <w:shd w:val="clear" w:color="000000" w:fill="auto"/>
            <w:vAlign w:val="center"/>
          </w:tcPr>
          <w:p w14:paraId="05744244"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581EEEA9"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IBT group</w:t>
            </w:r>
          </w:p>
        </w:tc>
        <w:tc>
          <w:tcPr>
            <w:tcW w:w="992" w:type="dxa"/>
            <w:shd w:val="clear" w:color="000000" w:fill="auto"/>
            <w:tcMar>
              <w:left w:w="108" w:type="dxa"/>
              <w:right w:w="108" w:type="dxa"/>
            </w:tcMar>
            <w:vAlign w:val="center"/>
          </w:tcPr>
          <w:p w14:paraId="35B6BFEF"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3712.3</w:t>
            </w:r>
          </w:p>
        </w:tc>
        <w:tc>
          <w:tcPr>
            <w:tcW w:w="851" w:type="dxa"/>
            <w:shd w:val="clear" w:color="000000" w:fill="auto"/>
            <w:tcMar>
              <w:left w:w="108" w:type="dxa"/>
              <w:right w:w="108" w:type="dxa"/>
            </w:tcMar>
            <w:vAlign w:val="center"/>
          </w:tcPr>
          <w:p w14:paraId="3EEDF4F0"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22</w:t>
            </w:r>
          </w:p>
        </w:tc>
        <w:tc>
          <w:tcPr>
            <w:tcW w:w="2126" w:type="dxa"/>
            <w:shd w:val="clear" w:color="000000" w:fill="auto"/>
            <w:tcMar>
              <w:left w:w="108" w:type="dxa"/>
              <w:right w:w="108" w:type="dxa"/>
            </w:tcMar>
            <w:vAlign w:val="center"/>
          </w:tcPr>
          <w:p w14:paraId="49DA6F1B"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0.59 (0.39-0.90)</w:t>
            </w:r>
          </w:p>
        </w:tc>
        <w:tc>
          <w:tcPr>
            <w:tcW w:w="2126" w:type="dxa"/>
            <w:shd w:val="clear" w:color="000000" w:fill="auto"/>
            <w:tcMar>
              <w:left w:w="108" w:type="dxa"/>
              <w:right w:w="108" w:type="dxa"/>
            </w:tcMar>
            <w:vAlign w:val="center"/>
          </w:tcPr>
          <w:p w14:paraId="5BE5496E"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0.26 (0.16-0.42)</w:t>
            </w:r>
          </w:p>
        </w:tc>
        <w:tc>
          <w:tcPr>
            <w:tcW w:w="864" w:type="dxa"/>
            <w:shd w:val="clear" w:color="000000" w:fill="auto"/>
            <w:tcMar>
              <w:left w:w="108" w:type="dxa"/>
              <w:right w:w="108" w:type="dxa"/>
            </w:tcMar>
            <w:vAlign w:val="center"/>
          </w:tcPr>
          <w:p w14:paraId="063EED03"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r>
      <w:tr w:rsidR="00C21A2B" w:rsidRPr="0066241B" w14:paraId="3BEAFA4C" w14:textId="77777777">
        <w:trPr>
          <w:trHeight w:val="193"/>
        </w:trPr>
        <w:tc>
          <w:tcPr>
            <w:tcW w:w="1356" w:type="dxa"/>
            <w:vMerge/>
            <w:shd w:val="clear" w:color="000000" w:fill="auto"/>
            <w:vAlign w:val="center"/>
          </w:tcPr>
          <w:p w14:paraId="11813444"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24BECAE1"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DAA group</w:t>
            </w:r>
          </w:p>
        </w:tc>
        <w:tc>
          <w:tcPr>
            <w:tcW w:w="992" w:type="dxa"/>
            <w:shd w:val="clear" w:color="000000" w:fill="auto"/>
            <w:tcMar>
              <w:left w:w="108" w:type="dxa"/>
              <w:right w:w="108" w:type="dxa"/>
            </w:tcMar>
            <w:vAlign w:val="center"/>
          </w:tcPr>
          <w:p w14:paraId="4679D9BA"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1784.6</w:t>
            </w:r>
          </w:p>
        </w:tc>
        <w:tc>
          <w:tcPr>
            <w:tcW w:w="851" w:type="dxa"/>
            <w:shd w:val="clear" w:color="000000" w:fill="auto"/>
            <w:tcMar>
              <w:left w:w="108" w:type="dxa"/>
              <w:right w:w="108" w:type="dxa"/>
            </w:tcMar>
            <w:vAlign w:val="center"/>
          </w:tcPr>
          <w:p w14:paraId="4BA2930E"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7</w:t>
            </w:r>
          </w:p>
        </w:tc>
        <w:tc>
          <w:tcPr>
            <w:tcW w:w="2126" w:type="dxa"/>
            <w:shd w:val="clear" w:color="000000" w:fill="auto"/>
            <w:tcMar>
              <w:left w:w="108" w:type="dxa"/>
              <w:right w:w="108" w:type="dxa"/>
            </w:tcMar>
            <w:vAlign w:val="center"/>
          </w:tcPr>
          <w:p w14:paraId="36F05BCD"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0.39 (0.19-0.82)</w:t>
            </w:r>
          </w:p>
        </w:tc>
        <w:tc>
          <w:tcPr>
            <w:tcW w:w="2126" w:type="dxa"/>
            <w:shd w:val="clear" w:color="000000" w:fill="auto"/>
            <w:tcMar>
              <w:left w:w="108" w:type="dxa"/>
              <w:right w:w="108" w:type="dxa"/>
            </w:tcMar>
            <w:vAlign w:val="center"/>
          </w:tcPr>
          <w:p w14:paraId="3DFE8789"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0.33 (0.15-0.75)</w:t>
            </w:r>
          </w:p>
        </w:tc>
        <w:tc>
          <w:tcPr>
            <w:tcW w:w="864" w:type="dxa"/>
            <w:shd w:val="clear" w:color="000000" w:fill="auto"/>
            <w:tcMar>
              <w:left w:w="108" w:type="dxa"/>
              <w:right w:w="108" w:type="dxa"/>
            </w:tcMar>
            <w:vAlign w:val="center"/>
          </w:tcPr>
          <w:p w14:paraId="68A27838"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0.008</w:t>
            </w:r>
          </w:p>
        </w:tc>
      </w:tr>
      <w:tr w:rsidR="00C21A2B" w:rsidRPr="0066241B" w14:paraId="6B842440" w14:textId="77777777">
        <w:trPr>
          <w:trHeight w:val="340"/>
        </w:trPr>
        <w:tc>
          <w:tcPr>
            <w:tcW w:w="1356" w:type="dxa"/>
            <w:vMerge w:val="restart"/>
            <w:shd w:val="clear" w:color="000000" w:fill="auto"/>
            <w:tcMar>
              <w:left w:w="108" w:type="dxa"/>
              <w:right w:w="108" w:type="dxa"/>
            </w:tcMar>
            <w:vAlign w:val="center"/>
          </w:tcPr>
          <w:p w14:paraId="40911C69"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Cirrhosis</w:t>
            </w:r>
          </w:p>
        </w:tc>
        <w:tc>
          <w:tcPr>
            <w:tcW w:w="8892" w:type="dxa"/>
            <w:gridSpan w:val="6"/>
            <w:shd w:val="clear" w:color="000000" w:fill="auto"/>
            <w:tcMar>
              <w:left w:w="108" w:type="dxa"/>
              <w:right w:w="108" w:type="dxa"/>
            </w:tcMar>
            <w:vAlign w:val="center"/>
          </w:tcPr>
          <w:p w14:paraId="19FBCA14"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Hepatocellular carcinoma</w:t>
            </w:r>
          </w:p>
        </w:tc>
      </w:tr>
      <w:tr w:rsidR="00C21A2B" w:rsidRPr="0066241B" w14:paraId="63DCB038" w14:textId="77777777">
        <w:trPr>
          <w:trHeight w:val="193"/>
        </w:trPr>
        <w:tc>
          <w:tcPr>
            <w:tcW w:w="1356" w:type="dxa"/>
            <w:vMerge/>
            <w:shd w:val="clear" w:color="000000" w:fill="auto"/>
            <w:vAlign w:val="center"/>
          </w:tcPr>
          <w:p w14:paraId="476F93ED"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1E8ABB80"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Untreated group</w:t>
            </w:r>
          </w:p>
        </w:tc>
        <w:tc>
          <w:tcPr>
            <w:tcW w:w="992" w:type="dxa"/>
            <w:shd w:val="clear" w:color="000000" w:fill="auto"/>
            <w:tcMar>
              <w:left w:w="108" w:type="dxa"/>
              <w:right w:w="108" w:type="dxa"/>
            </w:tcMar>
            <w:vAlign w:val="center"/>
          </w:tcPr>
          <w:p w14:paraId="4B47CD27"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919.9</w:t>
            </w:r>
          </w:p>
        </w:tc>
        <w:tc>
          <w:tcPr>
            <w:tcW w:w="851" w:type="dxa"/>
            <w:shd w:val="clear" w:color="000000" w:fill="auto"/>
            <w:tcMar>
              <w:left w:w="108" w:type="dxa"/>
              <w:right w:w="108" w:type="dxa"/>
            </w:tcMar>
            <w:vAlign w:val="center"/>
          </w:tcPr>
          <w:p w14:paraId="1C963F17"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50</w:t>
            </w:r>
          </w:p>
        </w:tc>
        <w:tc>
          <w:tcPr>
            <w:tcW w:w="2126" w:type="dxa"/>
            <w:shd w:val="clear" w:color="000000" w:fill="auto"/>
            <w:tcMar>
              <w:left w:w="108" w:type="dxa"/>
              <w:right w:w="108" w:type="dxa"/>
            </w:tcMar>
            <w:vAlign w:val="center"/>
          </w:tcPr>
          <w:p w14:paraId="4AFF1ABD"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5.44 (4.15-7.12)</w:t>
            </w:r>
          </w:p>
        </w:tc>
        <w:tc>
          <w:tcPr>
            <w:tcW w:w="2126" w:type="dxa"/>
            <w:shd w:val="clear" w:color="000000" w:fill="auto"/>
            <w:tcMar>
              <w:left w:w="108" w:type="dxa"/>
              <w:right w:w="108" w:type="dxa"/>
            </w:tcMar>
            <w:vAlign w:val="center"/>
          </w:tcPr>
          <w:p w14:paraId="37B1A625"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Reference</w:t>
            </w:r>
          </w:p>
        </w:tc>
        <w:tc>
          <w:tcPr>
            <w:tcW w:w="864" w:type="dxa"/>
            <w:shd w:val="clear" w:color="000000" w:fill="auto"/>
            <w:tcMar>
              <w:left w:w="108" w:type="dxa"/>
              <w:right w:w="108" w:type="dxa"/>
            </w:tcMar>
            <w:vAlign w:val="center"/>
          </w:tcPr>
          <w:p w14:paraId="353F98FB"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w:t>
            </w:r>
          </w:p>
        </w:tc>
      </w:tr>
      <w:tr w:rsidR="00C21A2B" w:rsidRPr="0066241B" w14:paraId="0BB2942B" w14:textId="77777777">
        <w:trPr>
          <w:trHeight w:val="193"/>
        </w:trPr>
        <w:tc>
          <w:tcPr>
            <w:tcW w:w="1356" w:type="dxa"/>
            <w:vMerge/>
            <w:shd w:val="clear" w:color="000000" w:fill="auto"/>
            <w:vAlign w:val="center"/>
          </w:tcPr>
          <w:p w14:paraId="246148C9"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433204D6"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IBT group</w:t>
            </w:r>
          </w:p>
        </w:tc>
        <w:tc>
          <w:tcPr>
            <w:tcW w:w="992" w:type="dxa"/>
            <w:shd w:val="clear" w:color="000000" w:fill="auto"/>
            <w:tcMar>
              <w:left w:w="108" w:type="dxa"/>
              <w:right w:w="108" w:type="dxa"/>
            </w:tcMar>
            <w:vAlign w:val="center"/>
          </w:tcPr>
          <w:p w14:paraId="70F059F5"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917.1</w:t>
            </w:r>
          </w:p>
        </w:tc>
        <w:tc>
          <w:tcPr>
            <w:tcW w:w="851" w:type="dxa"/>
            <w:shd w:val="clear" w:color="000000" w:fill="auto"/>
            <w:tcMar>
              <w:left w:w="108" w:type="dxa"/>
              <w:right w:w="108" w:type="dxa"/>
            </w:tcMar>
            <w:vAlign w:val="center"/>
          </w:tcPr>
          <w:p w14:paraId="4FB81280"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17</w:t>
            </w:r>
          </w:p>
        </w:tc>
        <w:tc>
          <w:tcPr>
            <w:tcW w:w="2126" w:type="dxa"/>
            <w:shd w:val="clear" w:color="000000" w:fill="auto"/>
            <w:tcMar>
              <w:left w:w="108" w:type="dxa"/>
              <w:right w:w="108" w:type="dxa"/>
            </w:tcMar>
            <w:vAlign w:val="center"/>
          </w:tcPr>
          <w:p w14:paraId="63AA9423"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1.85 (1.16-2.97)</w:t>
            </w:r>
          </w:p>
        </w:tc>
        <w:tc>
          <w:tcPr>
            <w:tcW w:w="2126" w:type="dxa"/>
            <w:shd w:val="clear" w:color="000000" w:fill="auto"/>
            <w:tcMar>
              <w:left w:w="108" w:type="dxa"/>
              <w:right w:w="108" w:type="dxa"/>
            </w:tcMar>
            <w:vAlign w:val="center"/>
          </w:tcPr>
          <w:p w14:paraId="2201E22D"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0.35 (0.20-0.61)</w:t>
            </w:r>
          </w:p>
        </w:tc>
        <w:tc>
          <w:tcPr>
            <w:tcW w:w="864" w:type="dxa"/>
            <w:shd w:val="clear" w:color="000000" w:fill="auto"/>
            <w:tcMar>
              <w:left w:w="108" w:type="dxa"/>
              <w:right w:w="108" w:type="dxa"/>
            </w:tcMar>
            <w:vAlign w:val="center"/>
          </w:tcPr>
          <w:p w14:paraId="3D4E9B8F"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r>
      <w:tr w:rsidR="00C21A2B" w:rsidRPr="0066241B" w14:paraId="061C9E8B" w14:textId="77777777">
        <w:trPr>
          <w:trHeight w:val="193"/>
        </w:trPr>
        <w:tc>
          <w:tcPr>
            <w:tcW w:w="1356" w:type="dxa"/>
            <w:vMerge/>
            <w:shd w:val="clear" w:color="000000" w:fill="auto"/>
            <w:vAlign w:val="center"/>
          </w:tcPr>
          <w:p w14:paraId="5CEAF994"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3D75994D"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DAA group</w:t>
            </w:r>
          </w:p>
        </w:tc>
        <w:tc>
          <w:tcPr>
            <w:tcW w:w="992" w:type="dxa"/>
            <w:shd w:val="clear" w:color="000000" w:fill="auto"/>
            <w:tcMar>
              <w:left w:w="108" w:type="dxa"/>
              <w:right w:w="108" w:type="dxa"/>
            </w:tcMar>
            <w:vAlign w:val="center"/>
          </w:tcPr>
          <w:p w14:paraId="63870672"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588.6</w:t>
            </w:r>
          </w:p>
        </w:tc>
        <w:tc>
          <w:tcPr>
            <w:tcW w:w="851" w:type="dxa"/>
            <w:shd w:val="clear" w:color="000000" w:fill="auto"/>
            <w:tcMar>
              <w:left w:w="108" w:type="dxa"/>
              <w:right w:w="108" w:type="dxa"/>
            </w:tcMar>
            <w:vAlign w:val="center"/>
          </w:tcPr>
          <w:p w14:paraId="4E0F3DB2"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17</w:t>
            </w:r>
          </w:p>
        </w:tc>
        <w:tc>
          <w:tcPr>
            <w:tcW w:w="2126" w:type="dxa"/>
            <w:shd w:val="clear" w:color="000000" w:fill="auto"/>
            <w:tcMar>
              <w:left w:w="108" w:type="dxa"/>
              <w:right w:w="108" w:type="dxa"/>
            </w:tcMar>
            <w:vAlign w:val="center"/>
          </w:tcPr>
          <w:p w14:paraId="39BEC04A"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2.89 (1.81-4.61)</w:t>
            </w:r>
          </w:p>
        </w:tc>
        <w:tc>
          <w:tcPr>
            <w:tcW w:w="2126" w:type="dxa"/>
            <w:shd w:val="clear" w:color="000000" w:fill="auto"/>
            <w:tcMar>
              <w:left w:w="108" w:type="dxa"/>
              <w:right w:w="108" w:type="dxa"/>
            </w:tcMar>
            <w:vAlign w:val="center"/>
          </w:tcPr>
          <w:p w14:paraId="65E39C90"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0.53 (0.30-0.92)</w:t>
            </w:r>
          </w:p>
        </w:tc>
        <w:tc>
          <w:tcPr>
            <w:tcW w:w="864" w:type="dxa"/>
            <w:shd w:val="clear" w:color="000000" w:fill="auto"/>
            <w:tcMar>
              <w:left w:w="108" w:type="dxa"/>
              <w:right w:w="108" w:type="dxa"/>
            </w:tcMar>
            <w:vAlign w:val="center"/>
          </w:tcPr>
          <w:p w14:paraId="67FA3DAA"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0.025</w:t>
            </w:r>
          </w:p>
        </w:tc>
      </w:tr>
      <w:tr w:rsidR="00C21A2B" w:rsidRPr="0066241B" w14:paraId="6A381E70" w14:textId="77777777">
        <w:trPr>
          <w:trHeight w:val="340"/>
        </w:trPr>
        <w:tc>
          <w:tcPr>
            <w:tcW w:w="1356" w:type="dxa"/>
            <w:vMerge/>
            <w:shd w:val="clear" w:color="000000" w:fill="auto"/>
            <w:vAlign w:val="center"/>
          </w:tcPr>
          <w:p w14:paraId="12FAF0AC" w14:textId="77777777" w:rsidR="0052656F" w:rsidRPr="0066241B" w:rsidRDefault="0052656F" w:rsidP="00B34F1C">
            <w:pPr>
              <w:spacing w:line="360" w:lineRule="auto"/>
              <w:jc w:val="both"/>
              <w:rPr>
                <w:rFonts w:ascii="Book Antiqua" w:hAnsi="Book Antiqua"/>
                <w:color w:val="000000" w:themeColor="text1"/>
              </w:rPr>
            </w:pPr>
          </w:p>
        </w:tc>
        <w:tc>
          <w:tcPr>
            <w:tcW w:w="8892" w:type="dxa"/>
            <w:gridSpan w:val="6"/>
            <w:shd w:val="clear" w:color="000000" w:fill="auto"/>
            <w:tcMar>
              <w:left w:w="108" w:type="dxa"/>
              <w:right w:w="108" w:type="dxa"/>
            </w:tcMar>
            <w:vAlign w:val="center"/>
          </w:tcPr>
          <w:p w14:paraId="3FEFB679"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Decompensation</w:t>
            </w:r>
          </w:p>
        </w:tc>
      </w:tr>
      <w:tr w:rsidR="00C21A2B" w:rsidRPr="0066241B" w14:paraId="2382C530" w14:textId="77777777">
        <w:trPr>
          <w:trHeight w:val="193"/>
        </w:trPr>
        <w:tc>
          <w:tcPr>
            <w:tcW w:w="1356" w:type="dxa"/>
            <w:vMerge/>
            <w:shd w:val="clear" w:color="000000" w:fill="auto"/>
            <w:vAlign w:val="center"/>
          </w:tcPr>
          <w:p w14:paraId="05F4B0C4"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172E0F45"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Untreated group</w:t>
            </w:r>
          </w:p>
        </w:tc>
        <w:tc>
          <w:tcPr>
            <w:tcW w:w="992" w:type="dxa"/>
            <w:shd w:val="clear" w:color="000000" w:fill="auto"/>
            <w:tcMar>
              <w:left w:w="108" w:type="dxa"/>
              <w:right w:w="108" w:type="dxa"/>
            </w:tcMar>
            <w:vAlign w:val="center"/>
          </w:tcPr>
          <w:p w14:paraId="5D0C8928"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962.8</w:t>
            </w:r>
          </w:p>
        </w:tc>
        <w:tc>
          <w:tcPr>
            <w:tcW w:w="851" w:type="dxa"/>
            <w:shd w:val="clear" w:color="000000" w:fill="auto"/>
            <w:tcMar>
              <w:left w:w="108" w:type="dxa"/>
              <w:right w:w="108" w:type="dxa"/>
            </w:tcMar>
            <w:vAlign w:val="center"/>
          </w:tcPr>
          <w:p w14:paraId="44F69B1F"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48</w:t>
            </w:r>
          </w:p>
        </w:tc>
        <w:tc>
          <w:tcPr>
            <w:tcW w:w="2126" w:type="dxa"/>
            <w:shd w:val="clear" w:color="000000" w:fill="auto"/>
            <w:tcMar>
              <w:left w:w="108" w:type="dxa"/>
              <w:right w:w="108" w:type="dxa"/>
            </w:tcMar>
            <w:vAlign w:val="center"/>
          </w:tcPr>
          <w:p w14:paraId="43A9DB10"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4.99 (3.78-6.57)</w:t>
            </w:r>
          </w:p>
        </w:tc>
        <w:tc>
          <w:tcPr>
            <w:tcW w:w="2126" w:type="dxa"/>
            <w:shd w:val="clear" w:color="000000" w:fill="auto"/>
            <w:tcMar>
              <w:left w:w="108" w:type="dxa"/>
              <w:right w:w="108" w:type="dxa"/>
            </w:tcMar>
            <w:vAlign w:val="center"/>
          </w:tcPr>
          <w:p w14:paraId="6645D6BE"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Reference</w:t>
            </w:r>
          </w:p>
        </w:tc>
        <w:tc>
          <w:tcPr>
            <w:tcW w:w="864" w:type="dxa"/>
            <w:shd w:val="clear" w:color="000000" w:fill="auto"/>
            <w:tcMar>
              <w:left w:w="108" w:type="dxa"/>
              <w:right w:w="108" w:type="dxa"/>
            </w:tcMar>
            <w:vAlign w:val="center"/>
          </w:tcPr>
          <w:p w14:paraId="204C2060"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w:t>
            </w:r>
          </w:p>
        </w:tc>
      </w:tr>
      <w:tr w:rsidR="00C21A2B" w:rsidRPr="0066241B" w14:paraId="78A561E7" w14:textId="77777777">
        <w:trPr>
          <w:trHeight w:val="193"/>
        </w:trPr>
        <w:tc>
          <w:tcPr>
            <w:tcW w:w="1356" w:type="dxa"/>
            <w:vMerge/>
            <w:shd w:val="clear" w:color="000000" w:fill="auto"/>
            <w:vAlign w:val="center"/>
          </w:tcPr>
          <w:p w14:paraId="6AD392C2"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51B211E3"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IBT group</w:t>
            </w:r>
          </w:p>
        </w:tc>
        <w:tc>
          <w:tcPr>
            <w:tcW w:w="992" w:type="dxa"/>
            <w:shd w:val="clear" w:color="000000" w:fill="auto"/>
            <w:tcMar>
              <w:left w:w="108" w:type="dxa"/>
              <w:right w:w="108" w:type="dxa"/>
            </w:tcMar>
            <w:vAlign w:val="center"/>
          </w:tcPr>
          <w:p w14:paraId="37652395"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957.7</w:t>
            </w:r>
          </w:p>
        </w:tc>
        <w:tc>
          <w:tcPr>
            <w:tcW w:w="851" w:type="dxa"/>
            <w:shd w:val="clear" w:color="000000" w:fill="auto"/>
            <w:tcMar>
              <w:left w:w="108" w:type="dxa"/>
              <w:right w:w="108" w:type="dxa"/>
            </w:tcMar>
            <w:vAlign w:val="center"/>
          </w:tcPr>
          <w:p w14:paraId="3E12D71B"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9</w:t>
            </w:r>
          </w:p>
        </w:tc>
        <w:tc>
          <w:tcPr>
            <w:tcW w:w="2126" w:type="dxa"/>
            <w:shd w:val="clear" w:color="000000" w:fill="auto"/>
            <w:tcMar>
              <w:left w:w="108" w:type="dxa"/>
              <w:right w:w="108" w:type="dxa"/>
            </w:tcMar>
            <w:vAlign w:val="center"/>
          </w:tcPr>
          <w:p w14:paraId="73D307B0"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0.84 (0.49-1.80)</w:t>
            </w:r>
          </w:p>
        </w:tc>
        <w:tc>
          <w:tcPr>
            <w:tcW w:w="2126" w:type="dxa"/>
            <w:shd w:val="clear" w:color="000000" w:fill="auto"/>
            <w:tcMar>
              <w:left w:w="108" w:type="dxa"/>
              <w:right w:w="108" w:type="dxa"/>
            </w:tcMar>
            <w:vAlign w:val="center"/>
          </w:tcPr>
          <w:p w14:paraId="01DAE5D3"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0.18 (0.09-0.37)</w:t>
            </w:r>
          </w:p>
        </w:tc>
        <w:tc>
          <w:tcPr>
            <w:tcW w:w="864" w:type="dxa"/>
            <w:shd w:val="clear" w:color="000000" w:fill="auto"/>
            <w:tcMar>
              <w:left w:w="108" w:type="dxa"/>
              <w:right w:w="108" w:type="dxa"/>
            </w:tcMar>
            <w:vAlign w:val="center"/>
          </w:tcPr>
          <w:p w14:paraId="45AF7EEF"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r>
      <w:tr w:rsidR="00C21A2B" w:rsidRPr="0066241B" w14:paraId="39943BB0" w14:textId="77777777">
        <w:trPr>
          <w:trHeight w:val="193"/>
        </w:trPr>
        <w:tc>
          <w:tcPr>
            <w:tcW w:w="1356" w:type="dxa"/>
            <w:vMerge/>
            <w:shd w:val="clear" w:color="000000" w:fill="auto"/>
            <w:vAlign w:val="center"/>
          </w:tcPr>
          <w:p w14:paraId="7BA9CBE8"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3C008030"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DAA group</w:t>
            </w:r>
          </w:p>
        </w:tc>
        <w:tc>
          <w:tcPr>
            <w:tcW w:w="992" w:type="dxa"/>
            <w:shd w:val="clear" w:color="000000" w:fill="auto"/>
            <w:tcMar>
              <w:left w:w="108" w:type="dxa"/>
              <w:right w:w="108" w:type="dxa"/>
            </w:tcMar>
            <w:vAlign w:val="center"/>
          </w:tcPr>
          <w:p w14:paraId="7A42837B"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606.3</w:t>
            </w:r>
          </w:p>
        </w:tc>
        <w:tc>
          <w:tcPr>
            <w:tcW w:w="851" w:type="dxa"/>
            <w:shd w:val="clear" w:color="000000" w:fill="auto"/>
            <w:tcMar>
              <w:left w:w="108" w:type="dxa"/>
              <w:right w:w="108" w:type="dxa"/>
            </w:tcMar>
            <w:vAlign w:val="center"/>
          </w:tcPr>
          <w:p w14:paraId="64BB01EA"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5</w:t>
            </w:r>
          </w:p>
        </w:tc>
        <w:tc>
          <w:tcPr>
            <w:tcW w:w="2126" w:type="dxa"/>
            <w:shd w:val="clear" w:color="000000" w:fill="auto"/>
            <w:tcMar>
              <w:left w:w="108" w:type="dxa"/>
              <w:right w:w="108" w:type="dxa"/>
            </w:tcMar>
            <w:vAlign w:val="center"/>
          </w:tcPr>
          <w:p w14:paraId="75454E23"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0.82 (0.34-1.97)</w:t>
            </w:r>
          </w:p>
        </w:tc>
        <w:tc>
          <w:tcPr>
            <w:tcW w:w="2126" w:type="dxa"/>
            <w:shd w:val="clear" w:color="000000" w:fill="auto"/>
            <w:tcMar>
              <w:left w:w="108" w:type="dxa"/>
              <w:right w:w="108" w:type="dxa"/>
            </w:tcMar>
            <w:vAlign w:val="center"/>
          </w:tcPr>
          <w:p w14:paraId="7ED396A3"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0.17 (0.07-0.44)</w:t>
            </w:r>
          </w:p>
        </w:tc>
        <w:tc>
          <w:tcPr>
            <w:tcW w:w="864" w:type="dxa"/>
            <w:shd w:val="clear" w:color="000000" w:fill="auto"/>
            <w:tcMar>
              <w:left w:w="108" w:type="dxa"/>
              <w:right w:w="108" w:type="dxa"/>
            </w:tcMar>
            <w:vAlign w:val="center"/>
          </w:tcPr>
          <w:p w14:paraId="1646EA39"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r>
      <w:tr w:rsidR="00C21A2B" w:rsidRPr="0066241B" w14:paraId="1D11685B" w14:textId="77777777">
        <w:trPr>
          <w:trHeight w:val="340"/>
        </w:trPr>
        <w:tc>
          <w:tcPr>
            <w:tcW w:w="1356" w:type="dxa"/>
            <w:vMerge/>
            <w:shd w:val="clear" w:color="000000" w:fill="auto"/>
            <w:vAlign w:val="center"/>
          </w:tcPr>
          <w:p w14:paraId="06C2A482" w14:textId="77777777" w:rsidR="0052656F" w:rsidRPr="0066241B" w:rsidRDefault="0052656F" w:rsidP="00B34F1C">
            <w:pPr>
              <w:spacing w:line="360" w:lineRule="auto"/>
              <w:jc w:val="both"/>
              <w:rPr>
                <w:rFonts w:ascii="Book Antiqua" w:hAnsi="Book Antiqua"/>
                <w:color w:val="000000" w:themeColor="text1"/>
              </w:rPr>
            </w:pPr>
          </w:p>
        </w:tc>
        <w:tc>
          <w:tcPr>
            <w:tcW w:w="8892" w:type="dxa"/>
            <w:gridSpan w:val="6"/>
            <w:shd w:val="clear" w:color="000000" w:fill="auto"/>
            <w:tcMar>
              <w:left w:w="108" w:type="dxa"/>
              <w:right w:w="108" w:type="dxa"/>
            </w:tcMar>
            <w:vAlign w:val="center"/>
          </w:tcPr>
          <w:p w14:paraId="742DD355"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Death or transplantation</w:t>
            </w:r>
          </w:p>
        </w:tc>
      </w:tr>
      <w:tr w:rsidR="00C21A2B" w:rsidRPr="0066241B" w14:paraId="2568981C" w14:textId="77777777">
        <w:trPr>
          <w:trHeight w:val="193"/>
        </w:trPr>
        <w:tc>
          <w:tcPr>
            <w:tcW w:w="1356" w:type="dxa"/>
            <w:vMerge/>
            <w:shd w:val="clear" w:color="000000" w:fill="auto"/>
            <w:vAlign w:val="center"/>
          </w:tcPr>
          <w:p w14:paraId="3FDD23EE"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21B83622"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Untreated group</w:t>
            </w:r>
          </w:p>
        </w:tc>
        <w:tc>
          <w:tcPr>
            <w:tcW w:w="992" w:type="dxa"/>
            <w:shd w:val="clear" w:color="000000" w:fill="auto"/>
            <w:tcMar>
              <w:left w:w="108" w:type="dxa"/>
              <w:right w:w="108" w:type="dxa"/>
            </w:tcMar>
            <w:vAlign w:val="center"/>
          </w:tcPr>
          <w:p w14:paraId="33017392"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1262.1</w:t>
            </w:r>
          </w:p>
        </w:tc>
        <w:tc>
          <w:tcPr>
            <w:tcW w:w="851" w:type="dxa"/>
            <w:shd w:val="clear" w:color="000000" w:fill="auto"/>
            <w:tcMar>
              <w:left w:w="108" w:type="dxa"/>
              <w:right w:w="108" w:type="dxa"/>
            </w:tcMar>
            <w:vAlign w:val="center"/>
          </w:tcPr>
          <w:p w14:paraId="59BB6AE0"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85</w:t>
            </w:r>
          </w:p>
        </w:tc>
        <w:tc>
          <w:tcPr>
            <w:tcW w:w="2126" w:type="dxa"/>
            <w:shd w:val="clear" w:color="000000" w:fill="auto"/>
            <w:tcMar>
              <w:left w:w="108" w:type="dxa"/>
              <w:right w:w="108" w:type="dxa"/>
            </w:tcMar>
            <w:vAlign w:val="center"/>
          </w:tcPr>
          <w:p w14:paraId="05FFEE1E"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6.73 (5.48-8.27)</w:t>
            </w:r>
          </w:p>
        </w:tc>
        <w:tc>
          <w:tcPr>
            <w:tcW w:w="2126" w:type="dxa"/>
            <w:shd w:val="clear" w:color="000000" w:fill="auto"/>
            <w:tcMar>
              <w:left w:w="108" w:type="dxa"/>
              <w:right w:w="108" w:type="dxa"/>
            </w:tcMar>
            <w:vAlign w:val="center"/>
          </w:tcPr>
          <w:p w14:paraId="465EA71A"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Reference</w:t>
            </w:r>
          </w:p>
        </w:tc>
        <w:tc>
          <w:tcPr>
            <w:tcW w:w="864" w:type="dxa"/>
            <w:shd w:val="clear" w:color="000000" w:fill="auto"/>
            <w:tcMar>
              <w:left w:w="108" w:type="dxa"/>
              <w:right w:w="108" w:type="dxa"/>
            </w:tcMar>
            <w:vAlign w:val="center"/>
          </w:tcPr>
          <w:p w14:paraId="383D5EBF"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w:t>
            </w:r>
          </w:p>
        </w:tc>
      </w:tr>
      <w:tr w:rsidR="00C21A2B" w:rsidRPr="0066241B" w14:paraId="1881687B" w14:textId="77777777">
        <w:trPr>
          <w:trHeight w:val="193"/>
        </w:trPr>
        <w:tc>
          <w:tcPr>
            <w:tcW w:w="1356" w:type="dxa"/>
            <w:vMerge/>
            <w:shd w:val="clear" w:color="000000" w:fill="auto"/>
            <w:vAlign w:val="center"/>
          </w:tcPr>
          <w:p w14:paraId="38A03207" w14:textId="77777777" w:rsidR="0052656F" w:rsidRPr="0066241B" w:rsidRDefault="0052656F" w:rsidP="00B34F1C">
            <w:pPr>
              <w:spacing w:line="360" w:lineRule="auto"/>
              <w:jc w:val="both"/>
              <w:rPr>
                <w:rFonts w:ascii="Book Antiqua" w:hAnsi="Book Antiqua"/>
                <w:color w:val="000000" w:themeColor="text1"/>
              </w:rPr>
            </w:pPr>
          </w:p>
        </w:tc>
        <w:tc>
          <w:tcPr>
            <w:tcW w:w="1933" w:type="dxa"/>
            <w:shd w:val="clear" w:color="000000" w:fill="auto"/>
            <w:tcMar>
              <w:left w:w="108" w:type="dxa"/>
              <w:right w:w="108" w:type="dxa"/>
            </w:tcMar>
            <w:vAlign w:val="center"/>
          </w:tcPr>
          <w:p w14:paraId="74AC17CC"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IBT group</w:t>
            </w:r>
          </w:p>
        </w:tc>
        <w:tc>
          <w:tcPr>
            <w:tcW w:w="992" w:type="dxa"/>
            <w:shd w:val="clear" w:color="000000" w:fill="auto"/>
            <w:tcMar>
              <w:left w:w="108" w:type="dxa"/>
              <w:right w:w="108" w:type="dxa"/>
            </w:tcMar>
            <w:vAlign w:val="center"/>
          </w:tcPr>
          <w:p w14:paraId="0919E479"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1137.8</w:t>
            </w:r>
          </w:p>
        </w:tc>
        <w:tc>
          <w:tcPr>
            <w:tcW w:w="851" w:type="dxa"/>
            <w:shd w:val="clear" w:color="000000" w:fill="auto"/>
            <w:tcMar>
              <w:left w:w="108" w:type="dxa"/>
              <w:right w:w="108" w:type="dxa"/>
            </w:tcMar>
            <w:vAlign w:val="center"/>
          </w:tcPr>
          <w:p w14:paraId="415EB712"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20</w:t>
            </w:r>
          </w:p>
        </w:tc>
        <w:tc>
          <w:tcPr>
            <w:tcW w:w="2126" w:type="dxa"/>
            <w:shd w:val="clear" w:color="000000" w:fill="auto"/>
            <w:tcMar>
              <w:left w:w="108" w:type="dxa"/>
              <w:right w:w="108" w:type="dxa"/>
            </w:tcMar>
            <w:vAlign w:val="center"/>
          </w:tcPr>
          <w:p w14:paraId="69A20175"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1.76 (1.14-2.71)</w:t>
            </w:r>
          </w:p>
        </w:tc>
        <w:tc>
          <w:tcPr>
            <w:tcW w:w="2126" w:type="dxa"/>
            <w:shd w:val="clear" w:color="000000" w:fill="auto"/>
            <w:tcMar>
              <w:left w:w="108" w:type="dxa"/>
              <w:right w:w="108" w:type="dxa"/>
            </w:tcMar>
            <w:vAlign w:val="center"/>
          </w:tcPr>
          <w:p w14:paraId="071ED021"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0.21 (0.13-0.35)</w:t>
            </w:r>
          </w:p>
        </w:tc>
        <w:tc>
          <w:tcPr>
            <w:tcW w:w="864" w:type="dxa"/>
            <w:shd w:val="clear" w:color="000000" w:fill="auto"/>
            <w:tcMar>
              <w:left w:w="108" w:type="dxa"/>
              <w:right w:w="108" w:type="dxa"/>
            </w:tcMar>
            <w:vAlign w:val="center"/>
          </w:tcPr>
          <w:p w14:paraId="442347AC"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&lt; 0.001</w:t>
            </w:r>
          </w:p>
        </w:tc>
      </w:tr>
      <w:tr w:rsidR="00C21A2B" w:rsidRPr="0066241B" w14:paraId="564FDE0B" w14:textId="77777777">
        <w:trPr>
          <w:trHeight w:val="193"/>
        </w:trPr>
        <w:tc>
          <w:tcPr>
            <w:tcW w:w="1356" w:type="dxa"/>
            <w:vMerge/>
            <w:shd w:val="clear" w:color="000000" w:fill="auto"/>
            <w:vAlign w:val="center"/>
          </w:tcPr>
          <w:p w14:paraId="3791E5BD" w14:textId="77777777" w:rsidR="0052656F" w:rsidRPr="0066241B" w:rsidRDefault="0052656F" w:rsidP="00B34F1C">
            <w:pPr>
              <w:spacing w:line="360" w:lineRule="auto"/>
              <w:jc w:val="both"/>
              <w:rPr>
                <w:rFonts w:ascii="Book Antiqua" w:hAnsi="Book Antiqua"/>
                <w:color w:val="000000" w:themeColor="text1"/>
              </w:rPr>
            </w:pPr>
          </w:p>
        </w:tc>
        <w:tc>
          <w:tcPr>
            <w:tcW w:w="1933" w:type="dxa"/>
            <w:tcBorders>
              <w:bottom w:val="single" w:sz="4" w:space="0" w:color="000000"/>
            </w:tcBorders>
            <w:shd w:val="clear" w:color="000000" w:fill="auto"/>
            <w:tcMar>
              <w:left w:w="108" w:type="dxa"/>
              <w:right w:w="108" w:type="dxa"/>
            </w:tcMar>
            <w:vAlign w:val="center"/>
          </w:tcPr>
          <w:p w14:paraId="73276032"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DAA group</w:t>
            </w:r>
          </w:p>
        </w:tc>
        <w:tc>
          <w:tcPr>
            <w:tcW w:w="992" w:type="dxa"/>
            <w:tcBorders>
              <w:bottom w:val="single" w:sz="4" w:space="0" w:color="000000"/>
            </w:tcBorders>
            <w:shd w:val="clear" w:color="000000" w:fill="auto"/>
            <w:tcMar>
              <w:left w:w="108" w:type="dxa"/>
              <w:right w:w="108" w:type="dxa"/>
            </w:tcMar>
            <w:vAlign w:val="center"/>
          </w:tcPr>
          <w:p w14:paraId="48A24484"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682.6</w:t>
            </w:r>
          </w:p>
        </w:tc>
        <w:tc>
          <w:tcPr>
            <w:tcW w:w="851" w:type="dxa"/>
            <w:tcBorders>
              <w:bottom w:val="single" w:sz="4" w:space="0" w:color="000000"/>
            </w:tcBorders>
            <w:shd w:val="clear" w:color="000000" w:fill="auto"/>
            <w:tcMar>
              <w:left w:w="108" w:type="dxa"/>
              <w:right w:w="108" w:type="dxa"/>
            </w:tcMar>
            <w:vAlign w:val="center"/>
          </w:tcPr>
          <w:p w14:paraId="142B5A97"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9</w:t>
            </w:r>
          </w:p>
        </w:tc>
        <w:tc>
          <w:tcPr>
            <w:tcW w:w="2126" w:type="dxa"/>
            <w:tcBorders>
              <w:bottom w:val="single" w:sz="4" w:space="0" w:color="000000"/>
            </w:tcBorders>
            <w:shd w:val="clear" w:color="000000" w:fill="auto"/>
            <w:tcMar>
              <w:left w:w="108" w:type="dxa"/>
              <w:right w:w="108" w:type="dxa"/>
            </w:tcMar>
            <w:vAlign w:val="center"/>
          </w:tcPr>
          <w:p w14:paraId="5E3F1624"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1.32 (0.69-2.52)</w:t>
            </w:r>
          </w:p>
        </w:tc>
        <w:tc>
          <w:tcPr>
            <w:tcW w:w="2126" w:type="dxa"/>
            <w:tcBorders>
              <w:bottom w:val="single" w:sz="4" w:space="0" w:color="000000"/>
            </w:tcBorders>
            <w:shd w:val="clear" w:color="000000" w:fill="auto"/>
            <w:tcMar>
              <w:left w:w="108" w:type="dxa"/>
              <w:right w:w="108" w:type="dxa"/>
            </w:tcMar>
            <w:vAlign w:val="center"/>
          </w:tcPr>
          <w:p w14:paraId="35414144"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0.28 (0.14-0.56)</w:t>
            </w:r>
          </w:p>
        </w:tc>
        <w:tc>
          <w:tcPr>
            <w:tcW w:w="864" w:type="dxa"/>
            <w:tcBorders>
              <w:bottom w:val="single" w:sz="4" w:space="0" w:color="000000"/>
            </w:tcBorders>
            <w:shd w:val="clear" w:color="000000" w:fill="auto"/>
            <w:tcMar>
              <w:left w:w="108" w:type="dxa"/>
              <w:right w:w="108" w:type="dxa"/>
            </w:tcMar>
            <w:vAlign w:val="center"/>
          </w:tcPr>
          <w:p w14:paraId="23718D8B"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color w:val="000000" w:themeColor="text1"/>
              </w:rPr>
              <w:t>&lt; 0.001</w:t>
            </w:r>
          </w:p>
        </w:tc>
      </w:tr>
    </w:tbl>
    <w:p w14:paraId="51062FF3"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lastRenderedPageBreak/>
        <w:t xml:space="preserve">A Cox proportional hazards model was used to determine hazards ratios and </w:t>
      </w:r>
      <w:r w:rsidRPr="0066241B">
        <w:rPr>
          <w:rFonts w:ascii="Book Antiqua" w:eastAsia="Arial" w:hAnsi="Book Antiqua" w:cs="Arial"/>
          <w:i/>
          <w:color w:val="000000" w:themeColor="text1"/>
        </w:rPr>
        <w:t>P</w:t>
      </w:r>
      <w:r w:rsidRPr="0066241B">
        <w:rPr>
          <w:rFonts w:ascii="Book Antiqua" w:eastAsia="Arial" w:hAnsi="Book Antiqua" w:cs="Arial"/>
          <w:color w:val="000000" w:themeColor="text1"/>
        </w:rPr>
        <w:t xml:space="preserve"> values.</w:t>
      </w:r>
      <w:r w:rsidRPr="0066241B">
        <w:rPr>
          <w:rFonts w:ascii="Book Antiqua" w:eastAsia="Arial" w:hAnsi="Book Antiqua" w:cs="Arial"/>
          <w:b/>
          <w:color w:val="000000" w:themeColor="text1"/>
        </w:rPr>
        <w:t xml:space="preserve"> </w:t>
      </w:r>
      <w:bookmarkStart w:id="64" w:name="OLE_LINK4709"/>
      <w:bookmarkStart w:id="65" w:name="OLE_LINK4710"/>
      <w:r w:rsidRPr="0066241B">
        <w:rPr>
          <w:rFonts w:ascii="Book Antiqua" w:eastAsia="Arial" w:hAnsi="Book Antiqua" w:cs="Arial"/>
          <w:color w:val="000000" w:themeColor="text1"/>
        </w:rPr>
        <w:t xml:space="preserve">CI: Confidence interval; DAA: Direct acting antivirals; HR: Hazard ratio; IBT: Interferon-based therapy; N/A: Not applicable; PY: Person-year. </w:t>
      </w:r>
      <w:bookmarkEnd w:id="64"/>
      <w:bookmarkEnd w:id="65"/>
    </w:p>
    <w:p w14:paraId="756A62F4" w14:textId="77777777" w:rsidR="0052656F" w:rsidRPr="0066241B" w:rsidRDefault="0052656F" w:rsidP="00B34F1C">
      <w:pPr>
        <w:spacing w:line="360" w:lineRule="auto"/>
        <w:jc w:val="both"/>
        <w:rPr>
          <w:rFonts w:ascii="Book Antiqua" w:eastAsia="Arial" w:hAnsi="Book Antiqua" w:cs="Arial"/>
          <w:color w:val="000000" w:themeColor="text1"/>
        </w:rPr>
        <w:sectPr w:rsidR="0052656F" w:rsidRPr="0066241B" w:rsidSect="0037300D">
          <w:headerReference w:type="default" r:id="rId30"/>
          <w:pgSz w:w="11906" w:h="16838"/>
          <w:pgMar w:top="680" w:right="680" w:bottom="680" w:left="680" w:header="851" w:footer="992" w:gutter="0"/>
          <w:cols w:space="720"/>
          <w:docGrid w:linePitch="326"/>
        </w:sectPr>
      </w:pPr>
    </w:p>
    <w:p w14:paraId="0D631724" w14:textId="77777777" w:rsidR="0052656F" w:rsidRPr="0066241B" w:rsidRDefault="000D2442" w:rsidP="00B34F1C">
      <w:pPr>
        <w:spacing w:line="360" w:lineRule="auto"/>
        <w:jc w:val="both"/>
        <w:rPr>
          <w:rFonts w:ascii="Book Antiqua" w:eastAsia="Arial" w:hAnsi="Book Antiqua" w:cs="Arial"/>
          <w:b/>
          <w:color w:val="000000" w:themeColor="text1"/>
        </w:rPr>
      </w:pPr>
      <w:bookmarkStart w:id="66" w:name="OLE_LINK4701"/>
      <w:bookmarkStart w:id="67" w:name="OLE_LINK4702"/>
      <w:r w:rsidRPr="0066241B">
        <w:rPr>
          <w:rFonts w:ascii="Book Antiqua" w:eastAsia="Arial" w:hAnsi="Book Antiqua" w:cs="Arial"/>
          <w:b/>
          <w:color w:val="000000" w:themeColor="text1"/>
        </w:rPr>
        <w:lastRenderedPageBreak/>
        <w:t>Table 3 Multivariate time-varying Cox regression analysis for hepatocellular carcinoma and death/transplantation in entire cohort</w:t>
      </w:r>
    </w:p>
    <w:tbl>
      <w:tblPr>
        <w:tblStyle w:val="a8"/>
        <w:tblW w:w="0" w:type="auto"/>
        <w:tblInd w:w="250" w:type="dxa"/>
        <w:tblBorders>
          <w:top w:val="nil"/>
          <w:left w:val="nil"/>
          <w:bottom w:val="nil"/>
          <w:right w:val="nil"/>
          <w:insideH w:val="nil"/>
          <w:insideV w:val="nil"/>
        </w:tblBorders>
        <w:tblLook w:val="04A0" w:firstRow="1" w:lastRow="0" w:firstColumn="1" w:lastColumn="0" w:noHBand="0" w:noVBand="1"/>
      </w:tblPr>
      <w:tblGrid>
        <w:gridCol w:w="2438"/>
        <w:gridCol w:w="1623"/>
        <w:gridCol w:w="965"/>
        <w:gridCol w:w="1603"/>
        <w:gridCol w:w="936"/>
        <w:gridCol w:w="1723"/>
        <w:gridCol w:w="1008"/>
      </w:tblGrid>
      <w:tr w:rsidR="00C21A2B" w:rsidRPr="0066241B" w14:paraId="777D028C" w14:textId="77777777" w:rsidTr="00452097">
        <w:tc>
          <w:tcPr>
            <w:tcW w:w="2438" w:type="dxa"/>
            <w:vMerge w:val="restart"/>
            <w:tcBorders>
              <w:top w:val="single" w:sz="4" w:space="0" w:color="auto"/>
            </w:tcBorders>
          </w:tcPr>
          <w:p w14:paraId="1F376C7E" w14:textId="77777777" w:rsidR="0052656F" w:rsidRPr="0066241B" w:rsidRDefault="000D2442" w:rsidP="00B34F1C">
            <w:pPr>
              <w:spacing w:line="360" w:lineRule="auto"/>
              <w:rPr>
                <w:rFonts w:ascii="Book Antiqua" w:eastAsia="Arial" w:hAnsi="Book Antiqua" w:cs="Arial"/>
                <w:b/>
                <w:color w:val="000000" w:themeColor="text1"/>
              </w:rPr>
            </w:pPr>
            <w:r w:rsidRPr="0066241B">
              <w:rPr>
                <w:rFonts w:ascii="Book Antiqua" w:eastAsia="Arial" w:hAnsi="Book Antiqua" w:cs="Arial"/>
                <w:b/>
                <w:color w:val="000000" w:themeColor="text1"/>
              </w:rPr>
              <w:t>Variable</w:t>
            </w:r>
          </w:p>
        </w:tc>
        <w:tc>
          <w:tcPr>
            <w:tcW w:w="2588" w:type="dxa"/>
            <w:gridSpan w:val="2"/>
            <w:tcBorders>
              <w:top w:val="single" w:sz="4" w:space="0" w:color="auto"/>
              <w:bottom w:val="single" w:sz="4" w:space="0" w:color="000000"/>
            </w:tcBorders>
          </w:tcPr>
          <w:p w14:paraId="2C49EF12" w14:textId="77777777" w:rsidR="0052656F" w:rsidRPr="0066241B" w:rsidRDefault="000D2442" w:rsidP="00B34F1C">
            <w:pPr>
              <w:spacing w:line="360" w:lineRule="auto"/>
              <w:rPr>
                <w:rFonts w:ascii="Book Antiqua" w:eastAsia="Arial" w:hAnsi="Book Antiqua" w:cs="Arial"/>
                <w:b/>
                <w:color w:val="000000" w:themeColor="text1"/>
              </w:rPr>
            </w:pPr>
            <w:r w:rsidRPr="0066241B">
              <w:rPr>
                <w:rFonts w:ascii="Book Antiqua" w:eastAsia="Arial" w:hAnsi="Book Antiqua" w:cs="Arial"/>
                <w:b/>
                <w:color w:val="000000" w:themeColor="text1"/>
              </w:rPr>
              <w:t>Hepatocellular carcinoma</w:t>
            </w:r>
          </w:p>
        </w:tc>
        <w:tc>
          <w:tcPr>
            <w:tcW w:w="2539" w:type="dxa"/>
            <w:gridSpan w:val="2"/>
            <w:tcBorders>
              <w:top w:val="single" w:sz="4" w:space="0" w:color="auto"/>
              <w:bottom w:val="single" w:sz="4" w:space="0" w:color="000000"/>
            </w:tcBorders>
          </w:tcPr>
          <w:p w14:paraId="2B656274" w14:textId="77777777" w:rsidR="0052656F" w:rsidRPr="0066241B" w:rsidRDefault="000D2442" w:rsidP="00B34F1C">
            <w:pPr>
              <w:spacing w:line="360" w:lineRule="auto"/>
              <w:rPr>
                <w:rFonts w:ascii="Book Antiqua" w:eastAsia="Arial" w:hAnsi="Book Antiqua" w:cs="Arial"/>
                <w:b/>
                <w:color w:val="000000" w:themeColor="text1"/>
              </w:rPr>
            </w:pPr>
            <w:r w:rsidRPr="0066241B">
              <w:rPr>
                <w:rFonts w:ascii="Book Antiqua" w:eastAsia="Arial" w:hAnsi="Book Antiqua" w:cs="Arial"/>
                <w:b/>
                <w:color w:val="000000" w:themeColor="text1"/>
              </w:rPr>
              <w:t>Decompensation</w:t>
            </w:r>
          </w:p>
        </w:tc>
        <w:tc>
          <w:tcPr>
            <w:tcW w:w="2731" w:type="dxa"/>
            <w:gridSpan w:val="2"/>
            <w:tcBorders>
              <w:top w:val="single" w:sz="4" w:space="0" w:color="auto"/>
              <w:bottom w:val="single" w:sz="4" w:space="0" w:color="000000"/>
            </w:tcBorders>
          </w:tcPr>
          <w:p w14:paraId="6B7EB89B" w14:textId="77777777" w:rsidR="0052656F" w:rsidRPr="0066241B" w:rsidRDefault="000D2442" w:rsidP="00B34F1C">
            <w:pPr>
              <w:spacing w:line="360" w:lineRule="auto"/>
              <w:rPr>
                <w:rFonts w:ascii="Book Antiqua" w:eastAsia="Arial" w:hAnsi="Book Antiqua" w:cs="Arial"/>
                <w:b/>
                <w:color w:val="000000" w:themeColor="text1"/>
              </w:rPr>
            </w:pPr>
            <w:r w:rsidRPr="0066241B">
              <w:rPr>
                <w:rFonts w:ascii="Book Antiqua" w:eastAsia="Arial" w:hAnsi="Book Antiqua" w:cs="Arial"/>
                <w:b/>
                <w:color w:val="000000" w:themeColor="text1"/>
              </w:rPr>
              <w:t>Death/transplantation</w:t>
            </w:r>
          </w:p>
        </w:tc>
      </w:tr>
      <w:tr w:rsidR="00C21A2B" w:rsidRPr="0066241B" w14:paraId="33C5E360" w14:textId="77777777" w:rsidTr="007C16E9">
        <w:tc>
          <w:tcPr>
            <w:tcW w:w="2438" w:type="dxa"/>
            <w:vMerge/>
            <w:tcBorders>
              <w:bottom w:val="single" w:sz="4" w:space="0" w:color="000000"/>
            </w:tcBorders>
          </w:tcPr>
          <w:p w14:paraId="11D7B8F6" w14:textId="77777777" w:rsidR="0052656F" w:rsidRPr="0066241B" w:rsidRDefault="0052656F" w:rsidP="00B34F1C">
            <w:pPr>
              <w:spacing w:line="360" w:lineRule="auto"/>
              <w:rPr>
                <w:rFonts w:ascii="Book Antiqua" w:hAnsi="Book Antiqua"/>
                <w:color w:val="000000" w:themeColor="text1"/>
              </w:rPr>
            </w:pPr>
          </w:p>
        </w:tc>
        <w:tc>
          <w:tcPr>
            <w:tcW w:w="1623" w:type="dxa"/>
            <w:tcBorders>
              <w:bottom w:val="single" w:sz="4" w:space="0" w:color="000000"/>
            </w:tcBorders>
          </w:tcPr>
          <w:p w14:paraId="1BDF71D6" w14:textId="77777777" w:rsidR="0052656F" w:rsidRPr="0066241B" w:rsidRDefault="000D2442" w:rsidP="00B34F1C">
            <w:pPr>
              <w:spacing w:line="360" w:lineRule="auto"/>
              <w:rPr>
                <w:rFonts w:ascii="Book Antiqua" w:eastAsia="Arial" w:hAnsi="Book Antiqua" w:cs="Arial"/>
                <w:b/>
                <w:color w:val="000000" w:themeColor="text1"/>
              </w:rPr>
            </w:pPr>
            <w:r w:rsidRPr="0066241B">
              <w:rPr>
                <w:rFonts w:ascii="Book Antiqua" w:eastAsia="Arial" w:hAnsi="Book Antiqua" w:cs="Arial"/>
                <w:b/>
                <w:color w:val="000000" w:themeColor="text1"/>
              </w:rPr>
              <w:t>aHR (95%CI)</w:t>
            </w:r>
          </w:p>
        </w:tc>
        <w:tc>
          <w:tcPr>
            <w:tcW w:w="965" w:type="dxa"/>
            <w:tcBorders>
              <w:bottom w:val="single" w:sz="4" w:space="0" w:color="000000"/>
            </w:tcBorders>
          </w:tcPr>
          <w:p w14:paraId="661EE89F" w14:textId="77777777" w:rsidR="0052656F" w:rsidRPr="0066241B" w:rsidRDefault="000D2442" w:rsidP="00B34F1C">
            <w:pPr>
              <w:spacing w:line="360" w:lineRule="auto"/>
              <w:rPr>
                <w:rFonts w:ascii="Book Antiqua" w:eastAsia="Arial" w:hAnsi="Book Antiqua" w:cs="Arial"/>
                <w:b/>
                <w:color w:val="000000" w:themeColor="text1"/>
              </w:rPr>
            </w:pPr>
            <w:r w:rsidRPr="0066241B">
              <w:rPr>
                <w:rFonts w:ascii="Book Antiqua" w:eastAsia="Arial" w:hAnsi="Book Antiqua" w:cs="Arial"/>
                <w:b/>
                <w:i/>
                <w:color w:val="000000" w:themeColor="text1"/>
              </w:rPr>
              <w:t xml:space="preserve">P </w:t>
            </w:r>
            <w:r w:rsidRPr="0066241B">
              <w:rPr>
                <w:rFonts w:ascii="Book Antiqua" w:eastAsia="Arial" w:hAnsi="Book Antiqua" w:cs="Arial"/>
                <w:b/>
                <w:color w:val="000000" w:themeColor="text1"/>
              </w:rPr>
              <w:t>value</w:t>
            </w:r>
          </w:p>
        </w:tc>
        <w:tc>
          <w:tcPr>
            <w:tcW w:w="1603" w:type="dxa"/>
            <w:tcBorders>
              <w:bottom w:val="single" w:sz="4" w:space="0" w:color="000000"/>
            </w:tcBorders>
          </w:tcPr>
          <w:p w14:paraId="4ACEF959" w14:textId="77777777" w:rsidR="0052656F" w:rsidRPr="0066241B" w:rsidRDefault="000D2442" w:rsidP="00B34F1C">
            <w:pPr>
              <w:spacing w:line="360" w:lineRule="auto"/>
              <w:rPr>
                <w:rFonts w:ascii="Book Antiqua" w:eastAsia="Arial" w:hAnsi="Book Antiqua" w:cs="Arial"/>
                <w:b/>
                <w:color w:val="000000" w:themeColor="text1"/>
              </w:rPr>
            </w:pPr>
            <w:r w:rsidRPr="0066241B">
              <w:rPr>
                <w:rFonts w:ascii="Book Antiqua" w:eastAsia="Arial" w:hAnsi="Book Antiqua" w:cs="Arial"/>
                <w:b/>
                <w:color w:val="000000" w:themeColor="text1"/>
              </w:rPr>
              <w:t>aHR (95%CI)</w:t>
            </w:r>
          </w:p>
        </w:tc>
        <w:tc>
          <w:tcPr>
            <w:tcW w:w="936" w:type="dxa"/>
            <w:tcBorders>
              <w:bottom w:val="single" w:sz="4" w:space="0" w:color="000000"/>
            </w:tcBorders>
          </w:tcPr>
          <w:p w14:paraId="0140A028" w14:textId="77777777" w:rsidR="0052656F" w:rsidRPr="0066241B" w:rsidRDefault="000D2442" w:rsidP="00B34F1C">
            <w:pPr>
              <w:spacing w:line="360" w:lineRule="auto"/>
              <w:rPr>
                <w:rFonts w:ascii="Book Antiqua" w:eastAsia="Arial" w:hAnsi="Book Antiqua" w:cs="Arial"/>
                <w:b/>
                <w:color w:val="000000" w:themeColor="text1"/>
              </w:rPr>
            </w:pPr>
            <w:r w:rsidRPr="0066241B">
              <w:rPr>
                <w:rFonts w:ascii="Book Antiqua" w:eastAsia="Arial" w:hAnsi="Book Antiqua" w:cs="Arial"/>
                <w:b/>
                <w:i/>
                <w:color w:val="000000" w:themeColor="text1"/>
              </w:rPr>
              <w:t xml:space="preserve">P </w:t>
            </w:r>
            <w:r w:rsidRPr="0066241B">
              <w:rPr>
                <w:rFonts w:ascii="Book Antiqua" w:eastAsia="Arial" w:hAnsi="Book Antiqua" w:cs="Arial"/>
                <w:b/>
                <w:color w:val="000000" w:themeColor="text1"/>
              </w:rPr>
              <w:t>value</w:t>
            </w:r>
          </w:p>
        </w:tc>
        <w:tc>
          <w:tcPr>
            <w:tcW w:w="1723" w:type="dxa"/>
            <w:tcBorders>
              <w:bottom w:val="single" w:sz="4" w:space="0" w:color="000000"/>
            </w:tcBorders>
          </w:tcPr>
          <w:p w14:paraId="274CC353" w14:textId="77777777" w:rsidR="0052656F" w:rsidRPr="0066241B" w:rsidRDefault="000D2442" w:rsidP="00B34F1C">
            <w:pPr>
              <w:spacing w:line="360" w:lineRule="auto"/>
              <w:rPr>
                <w:rFonts w:ascii="Book Antiqua" w:eastAsia="Arial" w:hAnsi="Book Antiqua" w:cs="Arial"/>
                <w:b/>
                <w:color w:val="000000" w:themeColor="text1"/>
              </w:rPr>
            </w:pPr>
            <w:r w:rsidRPr="0066241B">
              <w:rPr>
                <w:rFonts w:ascii="Book Antiqua" w:eastAsia="Arial" w:hAnsi="Book Antiqua" w:cs="Arial"/>
                <w:b/>
                <w:color w:val="000000" w:themeColor="text1"/>
              </w:rPr>
              <w:t>aHR (95%CI)</w:t>
            </w:r>
          </w:p>
        </w:tc>
        <w:tc>
          <w:tcPr>
            <w:tcW w:w="1008" w:type="dxa"/>
            <w:tcBorders>
              <w:bottom w:val="single" w:sz="4" w:space="0" w:color="000000"/>
            </w:tcBorders>
          </w:tcPr>
          <w:p w14:paraId="46EE01BF" w14:textId="77777777" w:rsidR="0052656F" w:rsidRPr="0066241B" w:rsidRDefault="000D2442" w:rsidP="00B34F1C">
            <w:pPr>
              <w:spacing w:line="360" w:lineRule="auto"/>
              <w:rPr>
                <w:rFonts w:ascii="Book Antiqua" w:eastAsia="Arial" w:hAnsi="Book Antiqua" w:cs="Arial"/>
                <w:b/>
                <w:color w:val="000000" w:themeColor="text1"/>
              </w:rPr>
            </w:pPr>
            <w:r w:rsidRPr="0066241B">
              <w:rPr>
                <w:rFonts w:ascii="Book Antiqua" w:eastAsia="Arial" w:hAnsi="Book Antiqua" w:cs="Arial"/>
                <w:b/>
                <w:i/>
                <w:color w:val="000000" w:themeColor="text1"/>
              </w:rPr>
              <w:t xml:space="preserve">P </w:t>
            </w:r>
            <w:r w:rsidRPr="0066241B">
              <w:rPr>
                <w:rFonts w:ascii="Book Antiqua" w:eastAsia="Arial" w:hAnsi="Book Antiqua" w:cs="Arial"/>
                <w:b/>
                <w:color w:val="000000" w:themeColor="text1"/>
              </w:rPr>
              <w:t>value</w:t>
            </w:r>
          </w:p>
        </w:tc>
      </w:tr>
      <w:tr w:rsidR="00452097" w:rsidRPr="00601CB0" w14:paraId="083AF5D9" w14:textId="77777777" w:rsidTr="007C16E9">
        <w:tc>
          <w:tcPr>
            <w:tcW w:w="2438" w:type="dxa"/>
            <w:tcBorders>
              <w:top w:val="single" w:sz="4" w:space="0" w:color="000000"/>
              <w:bottom w:val="nil"/>
            </w:tcBorders>
          </w:tcPr>
          <w:p w14:paraId="28CE618B" w14:textId="58F6472B" w:rsidR="00452097" w:rsidRPr="00601CB0" w:rsidRDefault="00452097" w:rsidP="00B34F1C">
            <w:pPr>
              <w:spacing w:line="360" w:lineRule="auto"/>
              <w:rPr>
                <w:rFonts w:ascii="Book Antiqua" w:eastAsia="Arial" w:hAnsi="Book Antiqua" w:cs="Arial"/>
                <w:b/>
                <w:color w:val="000000" w:themeColor="text1"/>
              </w:rPr>
            </w:pPr>
            <w:r w:rsidRPr="00601CB0">
              <w:rPr>
                <w:rFonts w:ascii="Book Antiqua" w:eastAsia="Arial" w:hAnsi="Book Antiqua" w:cs="Arial"/>
                <w:b/>
                <w:color w:val="000000" w:themeColor="text1"/>
              </w:rPr>
              <w:t>Model 1</w:t>
            </w:r>
          </w:p>
        </w:tc>
        <w:tc>
          <w:tcPr>
            <w:tcW w:w="1623" w:type="dxa"/>
            <w:tcBorders>
              <w:top w:val="single" w:sz="4" w:space="0" w:color="000000"/>
              <w:bottom w:val="nil"/>
            </w:tcBorders>
          </w:tcPr>
          <w:p w14:paraId="1080D516" w14:textId="77777777" w:rsidR="00452097" w:rsidRPr="00601CB0" w:rsidRDefault="00452097" w:rsidP="00B34F1C">
            <w:pPr>
              <w:spacing w:line="360" w:lineRule="auto"/>
              <w:rPr>
                <w:rFonts w:ascii="Book Antiqua" w:eastAsia="Arial" w:hAnsi="Book Antiqua" w:cs="Arial"/>
                <w:b/>
                <w:color w:val="000000" w:themeColor="text1"/>
              </w:rPr>
            </w:pPr>
          </w:p>
        </w:tc>
        <w:tc>
          <w:tcPr>
            <w:tcW w:w="965" w:type="dxa"/>
            <w:tcBorders>
              <w:top w:val="single" w:sz="4" w:space="0" w:color="000000"/>
              <w:bottom w:val="nil"/>
            </w:tcBorders>
          </w:tcPr>
          <w:p w14:paraId="397B5A53" w14:textId="77777777" w:rsidR="00452097" w:rsidRPr="00601CB0" w:rsidRDefault="00452097" w:rsidP="00B34F1C">
            <w:pPr>
              <w:spacing w:line="360" w:lineRule="auto"/>
              <w:rPr>
                <w:rFonts w:ascii="Book Antiqua" w:eastAsia="Arial" w:hAnsi="Book Antiqua" w:cs="Arial"/>
                <w:b/>
                <w:color w:val="000000" w:themeColor="text1"/>
              </w:rPr>
            </w:pPr>
          </w:p>
        </w:tc>
        <w:tc>
          <w:tcPr>
            <w:tcW w:w="1603" w:type="dxa"/>
            <w:tcBorders>
              <w:top w:val="single" w:sz="4" w:space="0" w:color="000000"/>
              <w:bottom w:val="nil"/>
            </w:tcBorders>
          </w:tcPr>
          <w:p w14:paraId="4C44F7DF" w14:textId="77777777" w:rsidR="00452097" w:rsidRPr="00601CB0" w:rsidRDefault="00452097" w:rsidP="00B34F1C">
            <w:pPr>
              <w:spacing w:line="360" w:lineRule="auto"/>
              <w:rPr>
                <w:rFonts w:ascii="Book Antiqua" w:eastAsia="Arial" w:hAnsi="Book Antiqua" w:cs="Arial"/>
                <w:b/>
                <w:color w:val="000000" w:themeColor="text1"/>
              </w:rPr>
            </w:pPr>
          </w:p>
        </w:tc>
        <w:tc>
          <w:tcPr>
            <w:tcW w:w="936" w:type="dxa"/>
            <w:tcBorders>
              <w:top w:val="single" w:sz="4" w:space="0" w:color="000000"/>
              <w:bottom w:val="nil"/>
            </w:tcBorders>
          </w:tcPr>
          <w:p w14:paraId="0CE5F810" w14:textId="77777777" w:rsidR="00452097" w:rsidRPr="00601CB0" w:rsidRDefault="00452097" w:rsidP="00B34F1C">
            <w:pPr>
              <w:spacing w:line="360" w:lineRule="auto"/>
              <w:rPr>
                <w:rFonts w:ascii="Book Antiqua" w:eastAsia="Arial" w:hAnsi="Book Antiqua" w:cs="Arial"/>
                <w:b/>
                <w:color w:val="000000" w:themeColor="text1"/>
              </w:rPr>
            </w:pPr>
          </w:p>
        </w:tc>
        <w:tc>
          <w:tcPr>
            <w:tcW w:w="1723" w:type="dxa"/>
            <w:tcBorders>
              <w:top w:val="single" w:sz="4" w:space="0" w:color="000000"/>
              <w:bottom w:val="nil"/>
            </w:tcBorders>
          </w:tcPr>
          <w:p w14:paraId="6D6A2D51" w14:textId="77777777" w:rsidR="00452097" w:rsidRPr="00601CB0" w:rsidRDefault="00452097" w:rsidP="00B34F1C">
            <w:pPr>
              <w:spacing w:line="360" w:lineRule="auto"/>
              <w:rPr>
                <w:rFonts w:ascii="Book Antiqua" w:eastAsia="Arial" w:hAnsi="Book Antiqua" w:cs="Arial"/>
                <w:b/>
                <w:color w:val="000000" w:themeColor="text1"/>
              </w:rPr>
            </w:pPr>
          </w:p>
        </w:tc>
        <w:tc>
          <w:tcPr>
            <w:tcW w:w="1008" w:type="dxa"/>
            <w:tcBorders>
              <w:top w:val="single" w:sz="4" w:space="0" w:color="000000"/>
              <w:bottom w:val="nil"/>
            </w:tcBorders>
          </w:tcPr>
          <w:p w14:paraId="1D595C69" w14:textId="77777777" w:rsidR="00452097" w:rsidRPr="00601CB0" w:rsidRDefault="00452097" w:rsidP="00B34F1C">
            <w:pPr>
              <w:spacing w:line="360" w:lineRule="auto"/>
              <w:rPr>
                <w:rFonts w:ascii="Book Antiqua" w:eastAsia="Arial" w:hAnsi="Book Antiqua" w:cs="Arial"/>
                <w:b/>
                <w:color w:val="000000" w:themeColor="text1"/>
              </w:rPr>
            </w:pPr>
          </w:p>
        </w:tc>
      </w:tr>
      <w:tr w:rsidR="00452097" w:rsidRPr="0066241B" w14:paraId="69BB6C1E" w14:textId="77777777" w:rsidTr="007C16E9">
        <w:tc>
          <w:tcPr>
            <w:tcW w:w="2438" w:type="dxa"/>
            <w:tcBorders>
              <w:top w:val="nil"/>
            </w:tcBorders>
          </w:tcPr>
          <w:p w14:paraId="5145E4E3" w14:textId="7A56CD30" w:rsidR="00452097" w:rsidRPr="0066241B" w:rsidRDefault="00452097" w:rsidP="00452097">
            <w:pPr>
              <w:spacing w:line="360" w:lineRule="auto"/>
              <w:rPr>
                <w:rFonts w:ascii="Book Antiqua" w:eastAsia="Arial" w:hAnsi="Book Antiqua" w:cs="Arial"/>
                <w:b/>
                <w:color w:val="000000" w:themeColor="text1"/>
              </w:rPr>
            </w:pPr>
            <w:r w:rsidRPr="0066241B">
              <w:rPr>
                <w:rFonts w:ascii="Book Antiqua" w:eastAsia="Arial" w:hAnsi="Book Antiqua" w:cs="Arial"/>
                <w:color w:val="000000" w:themeColor="text1"/>
              </w:rPr>
              <w:t>Untreated group</w:t>
            </w:r>
          </w:p>
        </w:tc>
        <w:tc>
          <w:tcPr>
            <w:tcW w:w="1623" w:type="dxa"/>
            <w:tcBorders>
              <w:top w:val="nil"/>
            </w:tcBorders>
          </w:tcPr>
          <w:p w14:paraId="016ABF6C" w14:textId="6F0AB61A"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Reference</w:t>
            </w:r>
          </w:p>
        </w:tc>
        <w:tc>
          <w:tcPr>
            <w:tcW w:w="965" w:type="dxa"/>
            <w:tcBorders>
              <w:top w:val="nil"/>
            </w:tcBorders>
          </w:tcPr>
          <w:p w14:paraId="773E355F" w14:textId="08F8F378"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603" w:type="dxa"/>
            <w:tcBorders>
              <w:top w:val="nil"/>
            </w:tcBorders>
          </w:tcPr>
          <w:p w14:paraId="289284FC" w14:textId="51A0E4FC"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Reference</w:t>
            </w:r>
          </w:p>
        </w:tc>
        <w:tc>
          <w:tcPr>
            <w:tcW w:w="936" w:type="dxa"/>
            <w:tcBorders>
              <w:top w:val="nil"/>
            </w:tcBorders>
          </w:tcPr>
          <w:p w14:paraId="18048626" w14:textId="247D7FB3"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723" w:type="dxa"/>
            <w:tcBorders>
              <w:top w:val="nil"/>
            </w:tcBorders>
          </w:tcPr>
          <w:p w14:paraId="009B280A" w14:textId="7D98BBEF"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Reference</w:t>
            </w:r>
          </w:p>
        </w:tc>
        <w:tc>
          <w:tcPr>
            <w:tcW w:w="1008" w:type="dxa"/>
            <w:tcBorders>
              <w:top w:val="nil"/>
            </w:tcBorders>
          </w:tcPr>
          <w:p w14:paraId="5B5BBF01" w14:textId="676EABB8"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r>
      <w:tr w:rsidR="00452097" w:rsidRPr="0066241B" w14:paraId="374D10A5" w14:textId="77777777" w:rsidTr="00452097">
        <w:tc>
          <w:tcPr>
            <w:tcW w:w="2438" w:type="dxa"/>
          </w:tcPr>
          <w:p w14:paraId="1EE6623D"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 xml:space="preserve">IBT group </w:t>
            </w:r>
          </w:p>
        </w:tc>
        <w:tc>
          <w:tcPr>
            <w:tcW w:w="1623" w:type="dxa"/>
          </w:tcPr>
          <w:p w14:paraId="0753906F"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0.47 (0.28-0.80)</w:t>
            </w:r>
          </w:p>
        </w:tc>
        <w:tc>
          <w:tcPr>
            <w:tcW w:w="965" w:type="dxa"/>
          </w:tcPr>
          <w:p w14:paraId="2BD8B6BC"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0.005</w:t>
            </w:r>
          </w:p>
        </w:tc>
        <w:tc>
          <w:tcPr>
            <w:tcW w:w="1603" w:type="dxa"/>
          </w:tcPr>
          <w:p w14:paraId="33E71DEB"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0.16 (0.08-0.33)</w:t>
            </w:r>
          </w:p>
        </w:tc>
        <w:tc>
          <w:tcPr>
            <w:tcW w:w="936" w:type="dxa"/>
          </w:tcPr>
          <w:p w14:paraId="44738F1F"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723" w:type="dxa"/>
          </w:tcPr>
          <w:p w14:paraId="20466E6E"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0.28 (0.18-0.43)</w:t>
            </w:r>
          </w:p>
        </w:tc>
        <w:tc>
          <w:tcPr>
            <w:tcW w:w="1008" w:type="dxa"/>
          </w:tcPr>
          <w:p w14:paraId="49074774"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r>
      <w:tr w:rsidR="00452097" w:rsidRPr="0066241B" w14:paraId="3AB92617" w14:textId="77777777" w:rsidTr="00452097">
        <w:tc>
          <w:tcPr>
            <w:tcW w:w="2438" w:type="dxa"/>
          </w:tcPr>
          <w:p w14:paraId="22846C2D"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DAA group</w:t>
            </w:r>
          </w:p>
        </w:tc>
        <w:tc>
          <w:tcPr>
            <w:tcW w:w="1623" w:type="dxa"/>
          </w:tcPr>
          <w:p w14:paraId="4D36B2D8"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0.58 (0.35-0.96)</w:t>
            </w:r>
          </w:p>
        </w:tc>
        <w:tc>
          <w:tcPr>
            <w:tcW w:w="965" w:type="dxa"/>
          </w:tcPr>
          <w:p w14:paraId="4677E0A9"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0.035</w:t>
            </w:r>
          </w:p>
        </w:tc>
        <w:tc>
          <w:tcPr>
            <w:tcW w:w="1603" w:type="dxa"/>
          </w:tcPr>
          <w:p w14:paraId="7FF28536"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0.12 (0.03-0.33)</w:t>
            </w:r>
          </w:p>
        </w:tc>
        <w:tc>
          <w:tcPr>
            <w:tcW w:w="936" w:type="dxa"/>
          </w:tcPr>
          <w:p w14:paraId="15ED764F"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723" w:type="dxa"/>
          </w:tcPr>
          <w:p w14:paraId="51E07AC2"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0.19 (0.10-0.35)</w:t>
            </w:r>
          </w:p>
        </w:tc>
        <w:tc>
          <w:tcPr>
            <w:tcW w:w="1008" w:type="dxa"/>
          </w:tcPr>
          <w:p w14:paraId="2BD237F3"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r>
      <w:tr w:rsidR="00452097" w:rsidRPr="0066241B" w14:paraId="30F166F9" w14:textId="77777777" w:rsidTr="00452097">
        <w:tc>
          <w:tcPr>
            <w:tcW w:w="2438" w:type="dxa"/>
          </w:tcPr>
          <w:p w14:paraId="6BF71EC3"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Age, yr</w:t>
            </w:r>
          </w:p>
        </w:tc>
        <w:tc>
          <w:tcPr>
            <w:tcW w:w="1623" w:type="dxa"/>
          </w:tcPr>
          <w:p w14:paraId="026419F3"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1.06 (1.03-1.08)</w:t>
            </w:r>
          </w:p>
        </w:tc>
        <w:tc>
          <w:tcPr>
            <w:tcW w:w="965" w:type="dxa"/>
          </w:tcPr>
          <w:p w14:paraId="55444389"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603" w:type="dxa"/>
          </w:tcPr>
          <w:p w14:paraId="36DFCAD2"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1.00 (0.98-1.03)</w:t>
            </w:r>
          </w:p>
        </w:tc>
        <w:tc>
          <w:tcPr>
            <w:tcW w:w="936" w:type="dxa"/>
          </w:tcPr>
          <w:p w14:paraId="4274A1EC"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0.805</w:t>
            </w:r>
          </w:p>
        </w:tc>
        <w:tc>
          <w:tcPr>
            <w:tcW w:w="1723" w:type="dxa"/>
          </w:tcPr>
          <w:p w14:paraId="0F74A717"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1.05 (1.03-1.06)</w:t>
            </w:r>
          </w:p>
        </w:tc>
        <w:tc>
          <w:tcPr>
            <w:tcW w:w="1008" w:type="dxa"/>
          </w:tcPr>
          <w:p w14:paraId="093AD45B"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r>
      <w:tr w:rsidR="00452097" w:rsidRPr="0066241B" w14:paraId="37164F06" w14:textId="77777777" w:rsidTr="00452097">
        <w:tc>
          <w:tcPr>
            <w:tcW w:w="2438" w:type="dxa"/>
          </w:tcPr>
          <w:p w14:paraId="380835F9"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Male sex</w:t>
            </w:r>
          </w:p>
        </w:tc>
        <w:tc>
          <w:tcPr>
            <w:tcW w:w="1623" w:type="dxa"/>
          </w:tcPr>
          <w:p w14:paraId="2E0B714B"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2.50 (1.37-4.55)</w:t>
            </w:r>
          </w:p>
        </w:tc>
        <w:tc>
          <w:tcPr>
            <w:tcW w:w="965" w:type="dxa"/>
          </w:tcPr>
          <w:p w14:paraId="080609F0"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0.003</w:t>
            </w:r>
          </w:p>
        </w:tc>
        <w:tc>
          <w:tcPr>
            <w:tcW w:w="1603" w:type="dxa"/>
          </w:tcPr>
          <w:p w14:paraId="6AB7FECC"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936" w:type="dxa"/>
          </w:tcPr>
          <w:p w14:paraId="2FB6C44F"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723" w:type="dxa"/>
          </w:tcPr>
          <w:p w14:paraId="1195C944"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1.70 (1.24-2.33)</w:t>
            </w:r>
          </w:p>
        </w:tc>
        <w:tc>
          <w:tcPr>
            <w:tcW w:w="1008" w:type="dxa"/>
          </w:tcPr>
          <w:p w14:paraId="3A5702E1"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r>
      <w:tr w:rsidR="00452097" w:rsidRPr="0066241B" w14:paraId="3E60BA2F" w14:textId="77777777" w:rsidTr="00452097">
        <w:tc>
          <w:tcPr>
            <w:tcW w:w="2438" w:type="dxa"/>
          </w:tcPr>
          <w:p w14:paraId="6DE2787C"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HCV genotype</w:t>
            </w:r>
          </w:p>
        </w:tc>
        <w:tc>
          <w:tcPr>
            <w:tcW w:w="1623" w:type="dxa"/>
          </w:tcPr>
          <w:p w14:paraId="24352F0D" w14:textId="77777777" w:rsidR="00452097" w:rsidRPr="0066241B" w:rsidRDefault="00452097" w:rsidP="00452097">
            <w:pPr>
              <w:spacing w:line="360" w:lineRule="auto"/>
              <w:rPr>
                <w:rFonts w:ascii="Book Antiqua" w:eastAsia="Arial" w:hAnsi="Book Antiqua" w:cs="Arial"/>
                <w:color w:val="000000" w:themeColor="text1"/>
              </w:rPr>
            </w:pPr>
          </w:p>
        </w:tc>
        <w:tc>
          <w:tcPr>
            <w:tcW w:w="965" w:type="dxa"/>
          </w:tcPr>
          <w:p w14:paraId="275ABEE5" w14:textId="77777777" w:rsidR="00452097" w:rsidRPr="0066241B" w:rsidRDefault="00452097" w:rsidP="00452097">
            <w:pPr>
              <w:spacing w:line="360" w:lineRule="auto"/>
              <w:rPr>
                <w:rFonts w:ascii="Book Antiqua" w:eastAsia="Arial" w:hAnsi="Book Antiqua" w:cs="Arial"/>
                <w:color w:val="000000" w:themeColor="text1"/>
              </w:rPr>
            </w:pPr>
          </w:p>
        </w:tc>
        <w:tc>
          <w:tcPr>
            <w:tcW w:w="1603" w:type="dxa"/>
          </w:tcPr>
          <w:p w14:paraId="5F5A215E"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936" w:type="dxa"/>
          </w:tcPr>
          <w:p w14:paraId="1FBF0C9C"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723" w:type="dxa"/>
          </w:tcPr>
          <w:p w14:paraId="7F538101"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008" w:type="dxa"/>
          </w:tcPr>
          <w:p w14:paraId="4188F661"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r>
      <w:tr w:rsidR="00452097" w:rsidRPr="0066241B" w14:paraId="16615C7A" w14:textId="77777777" w:rsidTr="00452097">
        <w:tc>
          <w:tcPr>
            <w:tcW w:w="2438" w:type="dxa"/>
          </w:tcPr>
          <w:p w14:paraId="1FD379D6" w14:textId="77777777" w:rsidR="00452097" w:rsidRPr="0066241B" w:rsidRDefault="00452097" w:rsidP="00452097">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2</w:t>
            </w:r>
          </w:p>
        </w:tc>
        <w:tc>
          <w:tcPr>
            <w:tcW w:w="1623" w:type="dxa"/>
          </w:tcPr>
          <w:p w14:paraId="0EF5DBA4"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Reference</w:t>
            </w:r>
          </w:p>
        </w:tc>
        <w:tc>
          <w:tcPr>
            <w:tcW w:w="965" w:type="dxa"/>
          </w:tcPr>
          <w:p w14:paraId="08F7CE57"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603" w:type="dxa"/>
          </w:tcPr>
          <w:p w14:paraId="25B39615" w14:textId="77777777" w:rsidR="00452097" w:rsidRPr="0066241B" w:rsidRDefault="00452097" w:rsidP="00452097">
            <w:pPr>
              <w:spacing w:line="360" w:lineRule="auto"/>
              <w:rPr>
                <w:rFonts w:ascii="Book Antiqua" w:eastAsia="Arial" w:hAnsi="Book Antiqua" w:cs="Arial"/>
                <w:color w:val="000000" w:themeColor="text1"/>
              </w:rPr>
            </w:pPr>
          </w:p>
        </w:tc>
        <w:tc>
          <w:tcPr>
            <w:tcW w:w="936" w:type="dxa"/>
          </w:tcPr>
          <w:p w14:paraId="75915920" w14:textId="77777777" w:rsidR="00452097" w:rsidRPr="0066241B" w:rsidRDefault="00452097" w:rsidP="00452097">
            <w:pPr>
              <w:spacing w:line="360" w:lineRule="auto"/>
              <w:rPr>
                <w:rFonts w:ascii="Book Antiqua" w:eastAsia="Arial" w:hAnsi="Book Antiqua" w:cs="Arial"/>
                <w:color w:val="000000" w:themeColor="text1"/>
              </w:rPr>
            </w:pPr>
          </w:p>
        </w:tc>
        <w:tc>
          <w:tcPr>
            <w:tcW w:w="1723" w:type="dxa"/>
          </w:tcPr>
          <w:p w14:paraId="641514FD" w14:textId="77777777" w:rsidR="00452097" w:rsidRPr="0066241B" w:rsidRDefault="00452097" w:rsidP="00452097">
            <w:pPr>
              <w:spacing w:line="360" w:lineRule="auto"/>
              <w:rPr>
                <w:rFonts w:ascii="Book Antiqua" w:eastAsia="Arial" w:hAnsi="Book Antiqua" w:cs="Arial"/>
                <w:color w:val="000000" w:themeColor="text1"/>
              </w:rPr>
            </w:pPr>
          </w:p>
        </w:tc>
        <w:tc>
          <w:tcPr>
            <w:tcW w:w="1008" w:type="dxa"/>
          </w:tcPr>
          <w:p w14:paraId="17D30B33" w14:textId="77777777" w:rsidR="00452097" w:rsidRPr="0066241B" w:rsidRDefault="00452097" w:rsidP="00452097">
            <w:pPr>
              <w:spacing w:line="360" w:lineRule="auto"/>
              <w:rPr>
                <w:rFonts w:ascii="Book Antiqua" w:eastAsia="Arial" w:hAnsi="Book Antiqua" w:cs="Arial"/>
                <w:color w:val="000000" w:themeColor="text1"/>
              </w:rPr>
            </w:pPr>
          </w:p>
        </w:tc>
      </w:tr>
      <w:tr w:rsidR="00452097" w:rsidRPr="0066241B" w14:paraId="61C8452F" w14:textId="77777777" w:rsidTr="00452097">
        <w:tc>
          <w:tcPr>
            <w:tcW w:w="2438" w:type="dxa"/>
          </w:tcPr>
          <w:p w14:paraId="30256998" w14:textId="77777777" w:rsidR="00452097" w:rsidRPr="0066241B" w:rsidRDefault="00452097" w:rsidP="00452097">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1</w:t>
            </w:r>
          </w:p>
        </w:tc>
        <w:tc>
          <w:tcPr>
            <w:tcW w:w="1623" w:type="dxa"/>
          </w:tcPr>
          <w:p w14:paraId="2650CBAE"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2.25 (1.45-3.48)</w:t>
            </w:r>
          </w:p>
        </w:tc>
        <w:tc>
          <w:tcPr>
            <w:tcW w:w="965" w:type="dxa"/>
          </w:tcPr>
          <w:p w14:paraId="04A2956D"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603" w:type="dxa"/>
          </w:tcPr>
          <w:p w14:paraId="6C4B2773" w14:textId="77777777" w:rsidR="00452097" w:rsidRPr="0066241B" w:rsidRDefault="00452097" w:rsidP="00452097">
            <w:pPr>
              <w:spacing w:line="360" w:lineRule="auto"/>
              <w:rPr>
                <w:rFonts w:ascii="Book Antiqua" w:eastAsia="Arial" w:hAnsi="Book Antiqua" w:cs="Arial"/>
                <w:color w:val="000000" w:themeColor="text1"/>
              </w:rPr>
            </w:pPr>
          </w:p>
        </w:tc>
        <w:tc>
          <w:tcPr>
            <w:tcW w:w="936" w:type="dxa"/>
          </w:tcPr>
          <w:p w14:paraId="1A35511A" w14:textId="77777777" w:rsidR="00452097" w:rsidRPr="0066241B" w:rsidRDefault="00452097" w:rsidP="00452097">
            <w:pPr>
              <w:spacing w:line="360" w:lineRule="auto"/>
              <w:rPr>
                <w:rFonts w:ascii="Book Antiqua" w:eastAsia="Arial" w:hAnsi="Book Antiqua" w:cs="Arial"/>
                <w:color w:val="000000" w:themeColor="text1"/>
              </w:rPr>
            </w:pPr>
          </w:p>
        </w:tc>
        <w:tc>
          <w:tcPr>
            <w:tcW w:w="1723" w:type="dxa"/>
          </w:tcPr>
          <w:p w14:paraId="0A7522B2" w14:textId="77777777" w:rsidR="00452097" w:rsidRPr="0066241B" w:rsidRDefault="00452097" w:rsidP="00452097">
            <w:pPr>
              <w:spacing w:line="360" w:lineRule="auto"/>
              <w:rPr>
                <w:rFonts w:ascii="Book Antiqua" w:eastAsia="Arial" w:hAnsi="Book Antiqua" w:cs="Arial"/>
                <w:color w:val="000000" w:themeColor="text1"/>
              </w:rPr>
            </w:pPr>
          </w:p>
        </w:tc>
        <w:tc>
          <w:tcPr>
            <w:tcW w:w="1008" w:type="dxa"/>
          </w:tcPr>
          <w:p w14:paraId="4AC0CEBF" w14:textId="77777777" w:rsidR="00452097" w:rsidRPr="0066241B" w:rsidRDefault="00452097" w:rsidP="00452097">
            <w:pPr>
              <w:spacing w:line="360" w:lineRule="auto"/>
              <w:rPr>
                <w:rFonts w:ascii="Book Antiqua" w:eastAsia="Arial" w:hAnsi="Book Antiqua" w:cs="Arial"/>
                <w:color w:val="000000" w:themeColor="text1"/>
              </w:rPr>
            </w:pPr>
          </w:p>
        </w:tc>
      </w:tr>
      <w:tr w:rsidR="00452097" w:rsidRPr="0066241B" w14:paraId="40673F24" w14:textId="77777777" w:rsidTr="00452097">
        <w:tc>
          <w:tcPr>
            <w:tcW w:w="2438" w:type="dxa"/>
          </w:tcPr>
          <w:p w14:paraId="5B130712" w14:textId="77777777" w:rsidR="00452097" w:rsidRPr="0066241B" w:rsidRDefault="00452097" w:rsidP="00452097">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Others/unknown</w:t>
            </w:r>
          </w:p>
        </w:tc>
        <w:tc>
          <w:tcPr>
            <w:tcW w:w="1623" w:type="dxa"/>
          </w:tcPr>
          <w:p w14:paraId="04032611"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1.72 (0.66-4.48)</w:t>
            </w:r>
          </w:p>
        </w:tc>
        <w:tc>
          <w:tcPr>
            <w:tcW w:w="965" w:type="dxa"/>
          </w:tcPr>
          <w:p w14:paraId="07D81C91"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0.266</w:t>
            </w:r>
          </w:p>
        </w:tc>
        <w:tc>
          <w:tcPr>
            <w:tcW w:w="1603" w:type="dxa"/>
          </w:tcPr>
          <w:p w14:paraId="08CC979C" w14:textId="77777777" w:rsidR="00452097" w:rsidRPr="0066241B" w:rsidRDefault="00452097" w:rsidP="00452097">
            <w:pPr>
              <w:spacing w:line="360" w:lineRule="auto"/>
              <w:rPr>
                <w:rFonts w:ascii="Book Antiqua" w:eastAsia="Arial" w:hAnsi="Book Antiqua" w:cs="Arial"/>
                <w:color w:val="000000" w:themeColor="text1"/>
              </w:rPr>
            </w:pPr>
          </w:p>
        </w:tc>
        <w:tc>
          <w:tcPr>
            <w:tcW w:w="936" w:type="dxa"/>
          </w:tcPr>
          <w:p w14:paraId="2BE0E03D" w14:textId="77777777" w:rsidR="00452097" w:rsidRPr="0066241B" w:rsidRDefault="00452097" w:rsidP="00452097">
            <w:pPr>
              <w:spacing w:line="360" w:lineRule="auto"/>
              <w:rPr>
                <w:rFonts w:ascii="Book Antiqua" w:eastAsia="Arial" w:hAnsi="Book Antiqua" w:cs="Arial"/>
                <w:color w:val="000000" w:themeColor="text1"/>
              </w:rPr>
            </w:pPr>
          </w:p>
        </w:tc>
        <w:tc>
          <w:tcPr>
            <w:tcW w:w="1723" w:type="dxa"/>
          </w:tcPr>
          <w:p w14:paraId="6D075036" w14:textId="77777777" w:rsidR="00452097" w:rsidRPr="0066241B" w:rsidRDefault="00452097" w:rsidP="00452097">
            <w:pPr>
              <w:spacing w:line="360" w:lineRule="auto"/>
              <w:rPr>
                <w:rFonts w:ascii="Book Antiqua" w:eastAsia="Arial" w:hAnsi="Book Antiqua" w:cs="Arial"/>
                <w:color w:val="000000" w:themeColor="text1"/>
              </w:rPr>
            </w:pPr>
          </w:p>
        </w:tc>
        <w:tc>
          <w:tcPr>
            <w:tcW w:w="1008" w:type="dxa"/>
          </w:tcPr>
          <w:p w14:paraId="4C9D0F78" w14:textId="77777777" w:rsidR="00452097" w:rsidRPr="0066241B" w:rsidRDefault="00452097" w:rsidP="00452097">
            <w:pPr>
              <w:spacing w:line="360" w:lineRule="auto"/>
              <w:rPr>
                <w:rFonts w:ascii="Book Antiqua" w:eastAsia="Arial" w:hAnsi="Book Antiqua" w:cs="Arial"/>
                <w:color w:val="000000" w:themeColor="text1"/>
              </w:rPr>
            </w:pPr>
          </w:p>
        </w:tc>
      </w:tr>
      <w:tr w:rsidR="00452097" w:rsidRPr="0066241B" w14:paraId="66B4AB4D" w14:textId="77777777" w:rsidTr="00452097">
        <w:tc>
          <w:tcPr>
            <w:tcW w:w="2438" w:type="dxa"/>
          </w:tcPr>
          <w:p w14:paraId="53EE2C08"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Cirrhosis</w:t>
            </w:r>
          </w:p>
        </w:tc>
        <w:tc>
          <w:tcPr>
            <w:tcW w:w="1623" w:type="dxa"/>
          </w:tcPr>
          <w:p w14:paraId="731C1495"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3.81 (2.38-6.10)</w:t>
            </w:r>
          </w:p>
        </w:tc>
        <w:tc>
          <w:tcPr>
            <w:tcW w:w="965" w:type="dxa"/>
          </w:tcPr>
          <w:p w14:paraId="174E84A1"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603" w:type="dxa"/>
          </w:tcPr>
          <w:p w14:paraId="3A42C890"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9.26 (4.03-21.03)</w:t>
            </w:r>
          </w:p>
        </w:tc>
        <w:tc>
          <w:tcPr>
            <w:tcW w:w="936" w:type="dxa"/>
          </w:tcPr>
          <w:p w14:paraId="2F151F5E"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723" w:type="dxa"/>
          </w:tcPr>
          <w:p w14:paraId="586137EE"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1.88 (1.34-2.64)</w:t>
            </w:r>
          </w:p>
        </w:tc>
        <w:tc>
          <w:tcPr>
            <w:tcW w:w="1008" w:type="dxa"/>
          </w:tcPr>
          <w:p w14:paraId="24AB9D0C"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r>
      <w:tr w:rsidR="00452097" w:rsidRPr="0066241B" w14:paraId="1C5F2DE2" w14:textId="77777777" w:rsidTr="00452097">
        <w:tc>
          <w:tcPr>
            <w:tcW w:w="2438" w:type="dxa"/>
          </w:tcPr>
          <w:p w14:paraId="3C1C8FED"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Ever smoker</w:t>
            </w:r>
          </w:p>
        </w:tc>
        <w:tc>
          <w:tcPr>
            <w:tcW w:w="1623" w:type="dxa"/>
          </w:tcPr>
          <w:p w14:paraId="2ECA409B"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1.47 (0.82-2.66)</w:t>
            </w:r>
          </w:p>
        </w:tc>
        <w:tc>
          <w:tcPr>
            <w:tcW w:w="965" w:type="dxa"/>
          </w:tcPr>
          <w:p w14:paraId="201D350E"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0.192</w:t>
            </w:r>
          </w:p>
        </w:tc>
        <w:tc>
          <w:tcPr>
            <w:tcW w:w="1603" w:type="dxa"/>
          </w:tcPr>
          <w:p w14:paraId="1B891D26"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936" w:type="dxa"/>
          </w:tcPr>
          <w:p w14:paraId="76300415"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723" w:type="dxa"/>
          </w:tcPr>
          <w:p w14:paraId="2B198C32"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008" w:type="dxa"/>
          </w:tcPr>
          <w:p w14:paraId="0E2429AB"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r>
      <w:tr w:rsidR="00452097" w:rsidRPr="0066241B" w14:paraId="3600D74D" w14:textId="77777777" w:rsidTr="00452097">
        <w:tc>
          <w:tcPr>
            <w:tcW w:w="2438" w:type="dxa"/>
          </w:tcPr>
          <w:p w14:paraId="0A7009C0"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Alcohol consumption</w:t>
            </w:r>
          </w:p>
        </w:tc>
        <w:tc>
          <w:tcPr>
            <w:tcW w:w="1623" w:type="dxa"/>
          </w:tcPr>
          <w:p w14:paraId="0732CBA4" w14:textId="77777777" w:rsidR="00452097" w:rsidRPr="0066241B" w:rsidRDefault="00452097" w:rsidP="00452097">
            <w:pPr>
              <w:spacing w:line="360" w:lineRule="auto"/>
              <w:rPr>
                <w:rFonts w:ascii="Book Antiqua" w:eastAsia="Arial" w:hAnsi="Book Antiqua" w:cs="Arial"/>
                <w:color w:val="000000" w:themeColor="text1"/>
              </w:rPr>
            </w:pPr>
          </w:p>
        </w:tc>
        <w:tc>
          <w:tcPr>
            <w:tcW w:w="965" w:type="dxa"/>
          </w:tcPr>
          <w:p w14:paraId="42BB1198" w14:textId="77777777" w:rsidR="00452097" w:rsidRPr="0066241B" w:rsidRDefault="00452097" w:rsidP="00452097">
            <w:pPr>
              <w:spacing w:line="360" w:lineRule="auto"/>
              <w:rPr>
                <w:rFonts w:ascii="Book Antiqua" w:eastAsia="Arial" w:hAnsi="Book Antiqua" w:cs="Arial"/>
                <w:color w:val="000000" w:themeColor="text1"/>
              </w:rPr>
            </w:pPr>
          </w:p>
        </w:tc>
        <w:tc>
          <w:tcPr>
            <w:tcW w:w="1603" w:type="dxa"/>
          </w:tcPr>
          <w:p w14:paraId="1D9EC4D8"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936" w:type="dxa"/>
          </w:tcPr>
          <w:p w14:paraId="6EF25707"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723" w:type="dxa"/>
          </w:tcPr>
          <w:p w14:paraId="62018919"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008" w:type="dxa"/>
          </w:tcPr>
          <w:p w14:paraId="6FF5711A"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r>
      <w:tr w:rsidR="00452097" w:rsidRPr="0066241B" w14:paraId="0764DBB4" w14:textId="77777777" w:rsidTr="00452097">
        <w:tc>
          <w:tcPr>
            <w:tcW w:w="2438" w:type="dxa"/>
          </w:tcPr>
          <w:p w14:paraId="59506B54" w14:textId="77777777" w:rsidR="00452097" w:rsidRPr="0066241B" w:rsidRDefault="00452097" w:rsidP="00452097">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None</w:t>
            </w:r>
          </w:p>
        </w:tc>
        <w:tc>
          <w:tcPr>
            <w:tcW w:w="1623" w:type="dxa"/>
          </w:tcPr>
          <w:p w14:paraId="7D3264DB"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Reference</w:t>
            </w:r>
          </w:p>
        </w:tc>
        <w:tc>
          <w:tcPr>
            <w:tcW w:w="965" w:type="dxa"/>
          </w:tcPr>
          <w:p w14:paraId="1154229E"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603" w:type="dxa"/>
          </w:tcPr>
          <w:p w14:paraId="63C0C104" w14:textId="77777777" w:rsidR="00452097" w:rsidRPr="0066241B" w:rsidRDefault="00452097" w:rsidP="00452097">
            <w:pPr>
              <w:spacing w:line="360" w:lineRule="auto"/>
              <w:rPr>
                <w:rFonts w:ascii="Book Antiqua" w:eastAsia="Arial" w:hAnsi="Book Antiqua" w:cs="Arial"/>
                <w:color w:val="000000" w:themeColor="text1"/>
              </w:rPr>
            </w:pPr>
          </w:p>
        </w:tc>
        <w:tc>
          <w:tcPr>
            <w:tcW w:w="936" w:type="dxa"/>
          </w:tcPr>
          <w:p w14:paraId="74B9AA70" w14:textId="77777777" w:rsidR="00452097" w:rsidRPr="0066241B" w:rsidRDefault="00452097" w:rsidP="00452097">
            <w:pPr>
              <w:spacing w:line="360" w:lineRule="auto"/>
              <w:rPr>
                <w:rFonts w:ascii="Book Antiqua" w:eastAsia="Arial" w:hAnsi="Book Antiqua" w:cs="Arial"/>
                <w:color w:val="000000" w:themeColor="text1"/>
              </w:rPr>
            </w:pPr>
          </w:p>
        </w:tc>
        <w:tc>
          <w:tcPr>
            <w:tcW w:w="1723" w:type="dxa"/>
          </w:tcPr>
          <w:p w14:paraId="11CC91C9" w14:textId="77777777" w:rsidR="00452097" w:rsidRPr="0066241B" w:rsidRDefault="00452097" w:rsidP="00452097">
            <w:pPr>
              <w:spacing w:line="360" w:lineRule="auto"/>
              <w:rPr>
                <w:rFonts w:ascii="Book Antiqua" w:eastAsia="Arial" w:hAnsi="Book Antiqua" w:cs="Arial"/>
                <w:color w:val="000000" w:themeColor="text1"/>
              </w:rPr>
            </w:pPr>
          </w:p>
        </w:tc>
        <w:tc>
          <w:tcPr>
            <w:tcW w:w="1008" w:type="dxa"/>
          </w:tcPr>
          <w:p w14:paraId="700192AD" w14:textId="77777777" w:rsidR="00452097" w:rsidRPr="0066241B" w:rsidRDefault="00452097" w:rsidP="00452097">
            <w:pPr>
              <w:spacing w:line="360" w:lineRule="auto"/>
              <w:rPr>
                <w:rFonts w:ascii="Book Antiqua" w:eastAsia="Arial" w:hAnsi="Book Antiqua" w:cs="Arial"/>
                <w:color w:val="000000" w:themeColor="text1"/>
              </w:rPr>
            </w:pPr>
          </w:p>
        </w:tc>
      </w:tr>
      <w:tr w:rsidR="00452097" w:rsidRPr="0066241B" w14:paraId="03743B22" w14:textId="77777777" w:rsidTr="00452097">
        <w:tc>
          <w:tcPr>
            <w:tcW w:w="2438" w:type="dxa"/>
          </w:tcPr>
          <w:p w14:paraId="434D4EC0" w14:textId="77777777" w:rsidR="00452097" w:rsidRPr="0066241B" w:rsidRDefault="00452097" w:rsidP="00452097">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Social</w:t>
            </w:r>
          </w:p>
        </w:tc>
        <w:tc>
          <w:tcPr>
            <w:tcW w:w="1623" w:type="dxa"/>
          </w:tcPr>
          <w:p w14:paraId="07D2E4BC"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1.20 (0.73-1.98)</w:t>
            </w:r>
          </w:p>
        </w:tc>
        <w:tc>
          <w:tcPr>
            <w:tcW w:w="965" w:type="dxa"/>
          </w:tcPr>
          <w:p w14:paraId="409DB0A0"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0.473</w:t>
            </w:r>
          </w:p>
        </w:tc>
        <w:tc>
          <w:tcPr>
            <w:tcW w:w="1603" w:type="dxa"/>
          </w:tcPr>
          <w:p w14:paraId="7C8DCA08" w14:textId="77777777" w:rsidR="00452097" w:rsidRPr="0066241B" w:rsidRDefault="00452097" w:rsidP="00452097">
            <w:pPr>
              <w:spacing w:line="360" w:lineRule="auto"/>
              <w:rPr>
                <w:rFonts w:ascii="Book Antiqua" w:eastAsia="Arial" w:hAnsi="Book Antiqua" w:cs="Arial"/>
                <w:color w:val="000000" w:themeColor="text1"/>
              </w:rPr>
            </w:pPr>
          </w:p>
        </w:tc>
        <w:tc>
          <w:tcPr>
            <w:tcW w:w="936" w:type="dxa"/>
          </w:tcPr>
          <w:p w14:paraId="668C81ED" w14:textId="77777777" w:rsidR="00452097" w:rsidRPr="0066241B" w:rsidRDefault="00452097" w:rsidP="00452097">
            <w:pPr>
              <w:spacing w:line="360" w:lineRule="auto"/>
              <w:rPr>
                <w:rFonts w:ascii="Book Antiqua" w:eastAsia="Arial" w:hAnsi="Book Antiqua" w:cs="Arial"/>
                <w:color w:val="000000" w:themeColor="text1"/>
              </w:rPr>
            </w:pPr>
          </w:p>
        </w:tc>
        <w:tc>
          <w:tcPr>
            <w:tcW w:w="1723" w:type="dxa"/>
          </w:tcPr>
          <w:p w14:paraId="37614607" w14:textId="77777777" w:rsidR="00452097" w:rsidRPr="0066241B" w:rsidRDefault="00452097" w:rsidP="00452097">
            <w:pPr>
              <w:spacing w:line="360" w:lineRule="auto"/>
              <w:rPr>
                <w:rFonts w:ascii="Book Antiqua" w:eastAsia="Arial" w:hAnsi="Book Antiqua" w:cs="Arial"/>
                <w:color w:val="000000" w:themeColor="text1"/>
              </w:rPr>
            </w:pPr>
          </w:p>
        </w:tc>
        <w:tc>
          <w:tcPr>
            <w:tcW w:w="1008" w:type="dxa"/>
          </w:tcPr>
          <w:p w14:paraId="29C847B9" w14:textId="77777777" w:rsidR="00452097" w:rsidRPr="0066241B" w:rsidRDefault="00452097" w:rsidP="00452097">
            <w:pPr>
              <w:spacing w:line="360" w:lineRule="auto"/>
              <w:rPr>
                <w:rFonts w:ascii="Book Antiqua" w:eastAsia="Arial" w:hAnsi="Book Antiqua" w:cs="Arial"/>
                <w:color w:val="000000" w:themeColor="text1"/>
              </w:rPr>
            </w:pPr>
          </w:p>
        </w:tc>
      </w:tr>
      <w:tr w:rsidR="00452097" w:rsidRPr="0066241B" w14:paraId="16A5BC56" w14:textId="77777777" w:rsidTr="00452097">
        <w:tc>
          <w:tcPr>
            <w:tcW w:w="2438" w:type="dxa"/>
          </w:tcPr>
          <w:p w14:paraId="1D0D404D" w14:textId="77777777" w:rsidR="00452097" w:rsidRPr="0066241B" w:rsidRDefault="00452097" w:rsidP="00452097">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lastRenderedPageBreak/>
              <w:t>Significant</w:t>
            </w:r>
          </w:p>
        </w:tc>
        <w:tc>
          <w:tcPr>
            <w:tcW w:w="1623" w:type="dxa"/>
          </w:tcPr>
          <w:p w14:paraId="20687F40"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2.20 (1.14-4.24)</w:t>
            </w:r>
          </w:p>
        </w:tc>
        <w:tc>
          <w:tcPr>
            <w:tcW w:w="965" w:type="dxa"/>
          </w:tcPr>
          <w:p w14:paraId="63E67358"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0.027</w:t>
            </w:r>
          </w:p>
        </w:tc>
        <w:tc>
          <w:tcPr>
            <w:tcW w:w="1603" w:type="dxa"/>
          </w:tcPr>
          <w:p w14:paraId="1AE3E08C" w14:textId="77777777" w:rsidR="00452097" w:rsidRPr="0066241B" w:rsidRDefault="00452097" w:rsidP="00452097">
            <w:pPr>
              <w:spacing w:line="360" w:lineRule="auto"/>
              <w:rPr>
                <w:rFonts w:ascii="Book Antiqua" w:eastAsia="Arial" w:hAnsi="Book Antiqua" w:cs="Arial"/>
                <w:color w:val="000000" w:themeColor="text1"/>
              </w:rPr>
            </w:pPr>
          </w:p>
        </w:tc>
        <w:tc>
          <w:tcPr>
            <w:tcW w:w="936" w:type="dxa"/>
          </w:tcPr>
          <w:p w14:paraId="332A0BB7" w14:textId="77777777" w:rsidR="00452097" w:rsidRPr="0066241B" w:rsidRDefault="00452097" w:rsidP="00452097">
            <w:pPr>
              <w:spacing w:line="360" w:lineRule="auto"/>
              <w:rPr>
                <w:rFonts w:ascii="Book Antiqua" w:eastAsia="Arial" w:hAnsi="Book Antiqua" w:cs="Arial"/>
                <w:color w:val="000000" w:themeColor="text1"/>
              </w:rPr>
            </w:pPr>
          </w:p>
        </w:tc>
        <w:tc>
          <w:tcPr>
            <w:tcW w:w="1723" w:type="dxa"/>
          </w:tcPr>
          <w:p w14:paraId="6F102F70" w14:textId="77777777" w:rsidR="00452097" w:rsidRPr="0066241B" w:rsidRDefault="00452097" w:rsidP="00452097">
            <w:pPr>
              <w:spacing w:line="360" w:lineRule="auto"/>
              <w:rPr>
                <w:rFonts w:ascii="Book Antiqua" w:eastAsia="Arial" w:hAnsi="Book Antiqua" w:cs="Arial"/>
                <w:color w:val="000000" w:themeColor="text1"/>
              </w:rPr>
            </w:pPr>
          </w:p>
        </w:tc>
        <w:tc>
          <w:tcPr>
            <w:tcW w:w="1008" w:type="dxa"/>
          </w:tcPr>
          <w:p w14:paraId="5AF8D239" w14:textId="77777777" w:rsidR="00452097" w:rsidRPr="0066241B" w:rsidRDefault="00452097" w:rsidP="00452097">
            <w:pPr>
              <w:spacing w:line="360" w:lineRule="auto"/>
              <w:rPr>
                <w:rFonts w:ascii="Book Antiqua" w:eastAsia="Arial" w:hAnsi="Book Antiqua" w:cs="Arial"/>
                <w:color w:val="000000" w:themeColor="text1"/>
              </w:rPr>
            </w:pPr>
          </w:p>
        </w:tc>
      </w:tr>
      <w:tr w:rsidR="00452097" w:rsidRPr="0066241B" w14:paraId="655B182D" w14:textId="77777777" w:rsidTr="00452097">
        <w:tc>
          <w:tcPr>
            <w:tcW w:w="2438" w:type="dxa"/>
          </w:tcPr>
          <w:p w14:paraId="6F36EABC"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BMI, kg/m</w:t>
            </w:r>
            <w:r w:rsidRPr="0066241B">
              <w:rPr>
                <w:rFonts w:ascii="Book Antiqua" w:eastAsia="Arial" w:hAnsi="Book Antiqua" w:cs="Arial"/>
                <w:color w:val="000000" w:themeColor="text1"/>
                <w:vertAlign w:val="superscript"/>
              </w:rPr>
              <w:t>2</w:t>
            </w:r>
          </w:p>
        </w:tc>
        <w:tc>
          <w:tcPr>
            <w:tcW w:w="1623" w:type="dxa"/>
          </w:tcPr>
          <w:p w14:paraId="28D810AE"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965" w:type="dxa"/>
          </w:tcPr>
          <w:p w14:paraId="0404A9B9"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603" w:type="dxa"/>
          </w:tcPr>
          <w:p w14:paraId="41EFCEC3"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936" w:type="dxa"/>
          </w:tcPr>
          <w:p w14:paraId="27DBDD4B"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723" w:type="dxa"/>
          </w:tcPr>
          <w:p w14:paraId="38C5408B"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0.94 (0.89-0.99)</w:t>
            </w:r>
          </w:p>
        </w:tc>
        <w:tc>
          <w:tcPr>
            <w:tcW w:w="1008" w:type="dxa"/>
          </w:tcPr>
          <w:p w14:paraId="0249D41D"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0.019</w:t>
            </w:r>
          </w:p>
        </w:tc>
      </w:tr>
      <w:tr w:rsidR="00452097" w:rsidRPr="0066241B" w14:paraId="31B9A857" w14:textId="77777777" w:rsidTr="00452097">
        <w:tc>
          <w:tcPr>
            <w:tcW w:w="2438" w:type="dxa"/>
          </w:tcPr>
          <w:p w14:paraId="72BB66AA"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Diabetes mellitus</w:t>
            </w:r>
          </w:p>
        </w:tc>
        <w:tc>
          <w:tcPr>
            <w:tcW w:w="1623" w:type="dxa"/>
          </w:tcPr>
          <w:p w14:paraId="1A5E8351"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0.96 (0.59-1.56)</w:t>
            </w:r>
          </w:p>
        </w:tc>
        <w:tc>
          <w:tcPr>
            <w:tcW w:w="965" w:type="dxa"/>
          </w:tcPr>
          <w:p w14:paraId="36E08222"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0.872</w:t>
            </w:r>
          </w:p>
        </w:tc>
        <w:tc>
          <w:tcPr>
            <w:tcW w:w="1603" w:type="dxa"/>
          </w:tcPr>
          <w:p w14:paraId="5DED25AC"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936" w:type="dxa"/>
          </w:tcPr>
          <w:p w14:paraId="6DCB10B9"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723" w:type="dxa"/>
          </w:tcPr>
          <w:p w14:paraId="224D6FDC"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1.12 (0.77-1.62)</w:t>
            </w:r>
          </w:p>
        </w:tc>
        <w:tc>
          <w:tcPr>
            <w:tcW w:w="1008" w:type="dxa"/>
          </w:tcPr>
          <w:p w14:paraId="0FC91F12"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0.563</w:t>
            </w:r>
          </w:p>
        </w:tc>
      </w:tr>
      <w:tr w:rsidR="00452097" w:rsidRPr="0066241B" w14:paraId="3D895BC3" w14:textId="77777777" w:rsidTr="00452097">
        <w:tc>
          <w:tcPr>
            <w:tcW w:w="2438" w:type="dxa"/>
          </w:tcPr>
          <w:p w14:paraId="3A7BF14A"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Albumin, g/dL</w:t>
            </w:r>
          </w:p>
        </w:tc>
        <w:tc>
          <w:tcPr>
            <w:tcW w:w="1623" w:type="dxa"/>
          </w:tcPr>
          <w:p w14:paraId="3FE47C00"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0.71 (0.44-1.15)</w:t>
            </w:r>
          </w:p>
        </w:tc>
        <w:tc>
          <w:tcPr>
            <w:tcW w:w="965" w:type="dxa"/>
          </w:tcPr>
          <w:p w14:paraId="3B75D6DB"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0.162</w:t>
            </w:r>
          </w:p>
        </w:tc>
        <w:tc>
          <w:tcPr>
            <w:tcW w:w="1603" w:type="dxa"/>
          </w:tcPr>
          <w:p w14:paraId="32C054A5"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0.35 (0.20-0.63)</w:t>
            </w:r>
          </w:p>
        </w:tc>
        <w:tc>
          <w:tcPr>
            <w:tcW w:w="936" w:type="dxa"/>
          </w:tcPr>
          <w:p w14:paraId="177C038D"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723" w:type="dxa"/>
          </w:tcPr>
          <w:p w14:paraId="0BA10840"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0.36 (0.25-0.51)</w:t>
            </w:r>
          </w:p>
        </w:tc>
        <w:tc>
          <w:tcPr>
            <w:tcW w:w="1008" w:type="dxa"/>
          </w:tcPr>
          <w:p w14:paraId="3BC6326D"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r>
      <w:tr w:rsidR="00452097" w:rsidRPr="0066241B" w14:paraId="20125799" w14:textId="77777777" w:rsidTr="00452097">
        <w:tc>
          <w:tcPr>
            <w:tcW w:w="2438" w:type="dxa"/>
          </w:tcPr>
          <w:p w14:paraId="59920B59"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Total bilirubin, mg/dL</w:t>
            </w:r>
          </w:p>
        </w:tc>
        <w:tc>
          <w:tcPr>
            <w:tcW w:w="1623" w:type="dxa"/>
          </w:tcPr>
          <w:p w14:paraId="52CA486C"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0.95 (0.80-1.12)</w:t>
            </w:r>
          </w:p>
        </w:tc>
        <w:tc>
          <w:tcPr>
            <w:tcW w:w="965" w:type="dxa"/>
          </w:tcPr>
          <w:p w14:paraId="35493113"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0.568</w:t>
            </w:r>
          </w:p>
        </w:tc>
        <w:tc>
          <w:tcPr>
            <w:tcW w:w="1603" w:type="dxa"/>
          </w:tcPr>
          <w:p w14:paraId="53EC7793"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1.03 (0.98-1.08)</w:t>
            </w:r>
          </w:p>
        </w:tc>
        <w:tc>
          <w:tcPr>
            <w:tcW w:w="936" w:type="dxa"/>
          </w:tcPr>
          <w:p w14:paraId="31B41BCB"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0.264</w:t>
            </w:r>
          </w:p>
        </w:tc>
        <w:tc>
          <w:tcPr>
            <w:tcW w:w="1723" w:type="dxa"/>
          </w:tcPr>
          <w:p w14:paraId="659B08F8"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008" w:type="dxa"/>
          </w:tcPr>
          <w:p w14:paraId="07B40437"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r>
      <w:tr w:rsidR="00452097" w:rsidRPr="0066241B" w14:paraId="74C23A68" w14:textId="77777777" w:rsidTr="00452097">
        <w:tc>
          <w:tcPr>
            <w:tcW w:w="2438" w:type="dxa"/>
          </w:tcPr>
          <w:p w14:paraId="7AB74319"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PT, INR</w:t>
            </w:r>
          </w:p>
        </w:tc>
        <w:tc>
          <w:tcPr>
            <w:tcW w:w="1623" w:type="dxa"/>
          </w:tcPr>
          <w:p w14:paraId="639610F6"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2.66 (1.13-6.24)</w:t>
            </w:r>
          </w:p>
        </w:tc>
        <w:tc>
          <w:tcPr>
            <w:tcW w:w="965" w:type="dxa"/>
          </w:tcPr>
          <w:p w14:paraId="0F15A960"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0.025</w:t>
            </w:r>
          </w:p>
        </w:tc>
        <w:tc>
          <w:tcPr>
            <w:tcW w:w="1603" w:type="dxa"/>
          </w:tcPr>
          <w:p w14:paraId="4D0F92F4"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3.32 (1.08-10.19)</w:t>
            </w:r>
          </w:p>
        </w:tc>
        <w:tc>
          <w:tcPr>
            <w:tcW w:w="936" w:type="dxa"/>
          </w:tcPr>
          <w:p w14:paraId="698574A1"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0.036</w:t>
            </w:r>
          </w:p>
        </w:tc>
        <w:tc>
          <w:tcPr>
            <w:tcW w:w="1723" w:type="dxa"/>
          </w:tcPr>
          <w:p w14:paraId="3FD82419"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2.34 (1.06-5.16)</w:t>
            </w:r>
          </w:p>
        </w:tc>
        <w:tc>
          <w:tcPr>
            <w:tcW w:w="1008" w:type="dxa"/>
          </w:tcPr>
          <w:p w14:paraId="61EDA43A"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0.034</w:t>
            </w:r>
          </w:p>
        </w:tc>
      </w:tr>
      <w:tr w:rsidR="00452097" w:rsidRPr="0066241B" w14:paraId="047ADCCB" w14:textId="77777777" w:rsidTr="00452097">
        <w:tc>
          <w:tcPr>
            <w:tcW w:w="2438" w:type="dxa"/>
          </w:tcPr>
          <w:p w14:paraId="5A4792DA"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AFP, log</w:t>
            </w:r>
            <w:r w:rsidRPr="0066241B">
              <w:rPr>
                <w:rFonts w:ascii="Book Antiqua" w:eastAsia="Arial" w:hAnsi="Book Antiqua" w:cs="Arial"/>
                <w:color w:val="000000" w:themeColor="text1"/>
                <w:vertAlign w:val="subscript"/>
              </w:rPr>
              <w:t>10</w:t>
            </w:r>
            <w:r w:rsidRPr="0066241B">
              <w:rPr>
                <w:rFonts w:ascii="Book Antiqua" w:eastAsia="Arial" w:hAnsi="Book Antiqua" w:cs="Arial"/>
                <w:color w:val="000000" w:themeColor="text1"/>
              </w:rPr>
              <w:t xml:space="preserve"> ng/dL</w:t>
            </w:r>
          </w:p>
        </w:tc>
        <w:tc>
          <w:tcPr>
            <w:tcW w:w="1623" w:type="dxa"/>
          </w:tcPr>
          <w:p w14:paraId="06D9A4C4"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2.12 (1.48-3.05)</w:t>
            </w:r>
          </w:p>
        </w:tc>
        <w:tc>
          <w:tcPr>
            <w:tcW w:w="965" w:type="dxa"/>
          </w:tcPr>
          <w:p w14:paraId="6692B86F"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603" w:type="dxa"/>
          </w:tcPr>
          <w:p w14:paraId="25BA743C"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1.54 (0.95-2.51)</w:t>
            </w:r>
          </w:p>
        </w:tc>
        <w:tc>
          <w:tcPr>
            <w:tcW w:w="936" w:type="dxa"/>
          </w:tcPr>
          <w:p w14:paraId="7D09E993"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0.08</w:t>
            </w:r>
          </w:p>
        </w:tc>
        <w:tc>
          <w:tcPr>
            <w:tcW w:w="1723" w:type="dxa"/>
          </w:tcPr>
          <w:p w14:paraId="0052AD0F"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1.29 (0.94-1.77)</w:t>
            </w:r>
          </w:p>
        </w:tc>
        <w:tc>
          <w:tcPr>
            <w:tcW w:w="1008" w:type="dxa"/>
          </w:tcPr>
          <w:p w14:paraId="7EC5C747"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0.112</w:t>
            </w:r>
          </w:p>
        </w:tc>
      </w:tr>
      <w:tr w:rsidR="00452097" w:rsidRPr="0066241B" w14:paraId="3D5ED9D4" w14:textId="77777777" w:rsidTr="00452097">
        <w:tc>
          <w:tcPr>
            <w:tcW w:w="10296" w:type="dxa"/>
            <w:gridSpan w:val="7"/>
          </w:tcPr>
          <w:p w14:paraId="78750C1E" w14:textId="77777777" w:rsidR="00452097" w:rsidRPr="0066241B" w:rsidRDefault="00452097" w:rsidP="00452097">
            <w:pPr>
              <w:spacing w:line="360" w:lineRule="auto"/>
              <w:rPr>
                <w:rFonts w:ascii="Book Antiqua" w:eastAsia="Arial" w:hAnsi="Book Antiqua" w:cs="Arial"/>
                <w:b/>
                <w:color w:val="000000" w:themeColor="text1"/>
              </w:rPr>
            </w:pPr>
            <w:r w:rsidRPr="0066241B">
              <w:rPr>
                <w:rFonts w:ascii="Book Antiqua" w:eastAsia="Arial" w:hAnsi="Book Antiqua" w:cs="Arial"/>
                <w:b/>
                <w:color w:val="000000" w:themeColor="text1"/>
              </w:rPr>
              <w:t>Model 2</w:t>
            </w:r>
          </w:p>
        </w:tc>
      </w:tr>
      <w:tr w:rsidR="00452097" w:rsidRPr="0066241B" w14:paraId="6A5B1CDF" w14:textId="77777777" w:rsidTr="00452097">
        <w:tc>
          <w:tcPr>
            <w:tcW w:w="2438" w:type="dxa"/>
          </w:tcPr>
          <w:p w14:paraId="7AD76876"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Untreated or no SVR</w:t>
            </w:r>
          </w:p>
        </w:tc>
        <w:tc>
          <w:tcPr>
            <w:tcW w:w="1623" w:type="dxa"/>
          </w:tcPr>
          <w:p w14:paraId="34CF7DE4"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Reference</w:t>
            </w:r>
          </w:p>
        </w:tc>
        <w:tc>
          <w:tcPr>
            <w:tcW w:w="965" w:type="dxa"/>
          </w:tcPr>
          <w:p w14:paraId="171D5398"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603" w:type="dxa"/>
          </w:tcPr>
          <w:p w14:paraId="5B1CB7CC"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Reference</w:t>
            </w:r>
          </w:p>
        </w:tc>
        <w:tc>
          <w:tcPr>
            <w:tcW w:w="936" w:type="dxa"/>
          </w:tcPr>
          <w:p w14:paraId="77C3F52F"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723" w:type="dxa"/>
          </w:tcPr>
          <w:p w14:paraId="33A1F161"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Reference</w:t>
            </w:r>
          </w:p>
        </w:tc>
        <w:tc>
          <w:tcPr>
            <w:tcW w:w="1008" w:type="dxa"/>
          </w:tcPr>
          <w:p w14:paraId="66B5DFE4"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r>
      <w:tr w:rsidR="00452097" w:rsidRPr="0066241B" w14:paraId="2C58E430" w14:textId="77777777" w:rsidTr="00452097">
        <w:tc>
          <w:tcPr>
            <w:tcW w:w="2438" w:type="dxa"/>
          </w:tcPr>
          <w:p w14:paraId="446F7832"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SVR</w:t>
            </w:r>
          </w:p>
        </w:tc>
        <w:tc>
          <w:tcPr>
            <w:tcW w:w="1623" w:type="dxa"/>
          </w:tcPr>
          <w:p w14:paraId="0362E032"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0.41 (0.26-0.65)</w:t>
            </w:r>
          </w:p>
        </w:tc>
        <w:tc>
          <w:tcPr>
            <w:tcW w:w="965" w:type="dxa"/>
          </w:tcPr>
          <w:p w14:paraId="033FA354"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603" w:type="dxa"/>
          </w:tcPr>
          <w:p w14:paraId="3B6973BB"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0.10 (0.04-0.29)</w:t>
            </w:r>
          </w:p>
        </w:tc>
        <w:tc>
          <w:tcPr>
            <w:tcW w:w="936" w:type="dxa"/>
          </w:tcPr>
          <w:p w14:paraId="578998D6"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723" w:type="dxa"/>
          </w:tcPr>
          <w:p w14:paraId="54B93AA8"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0.26 (0.17-0.39)</w:t>
            </w:r>
          </w:p>
        </w:tc>
        <w:tc>
          <w:tcPr>
            <w:tcW w:w="1008" w:type="dxa"/>
          </w:tcPr>
          <w:p w14:paraId="610C34F7"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r>
      <w:tr w:rsidR="00452097" w:rsidRPr="0066241B" w14:paraId="33DA1695" w14:textId="77777777" w:rsidTr="00452097">
        <w:tc>
          <w:tcPr>
            <w:tcW w:w="2438" w:type="dxa"/>
          </w:tcPr>
          <w:p w14:paraId="6936D3F6"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Age, yr</w:t>
            </w:r>
          </w:p>
        </w:tc>
        <w:tc>
          <w:tcPr>
            <w:tcW w:w="1623" w:type="dxa"/>
          </w:tcPr>
          <w:p w14:paraId="776E6BFD"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1.06 (1.04- 1.08)</w:t>
            </w:r>
          </w:p>
        </w:tc>
        <w:tc>
          <w:tcPr>
            <w:tcW w:w="965" w:type="dxa"/>
          </w:tcPr>
          <w:p w14:paraId="6231D121"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603" w:type="dxa"/>
          </w:tcPr>
          <w:p w14:paraId="2C30C185"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1.02 (0.99-1.04)</w:t>
            </w:r>
          </w:p>
        </w:tc>
        <w:tc>
          <w:tcPr>
            <w:tcW w:w="936" w:type="dxa"/>
          </w:tcPr>
          <w:p w14:paraId="657CDFAF"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0.152</w:t>
            </w:r>
          </w:p>
        </w:tc>
        <w:tc>
          <w:tcPr>
            <w:tcW w:w="1723" w:type="dxa"/>
          </w:tcPr>
          <w:p w14:paraId="029E2AA6"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1.06 (1.04-1.07)</w:t>
            </w:r>
          </w:p>
        </w:tc>
        <w:tc>
          <w:tcPr>
            <w:tcW w:w="1008" w:type="dxa"/>
          </w:tcPr>
          <w:p w14:paraId="08D6CF44"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r>
      <w:tr w:rsidR="00452097" w:rsidRPr="0066241B" w14:paraId="69D91D38" w14:textId="77777777" w:rsidTr="00452097">
        <w:tc>
          <w:tcPr>
            <w:tcW w:w="2438" w:type="dxa"/>
          </w:tcPr>
          <w:p w14:paraId="50A12969"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Male sex</w:t>
            </w:r>
          </w:p>
        </w:tc>
        <w:tc>
          <w:tcPr>
            <w:tcW w:w="1623" w:type="dxa"/>
          </w:tcPr>
          <w:p w14:paraId="51BE8330"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2.50 (1.38-4.54)</w:t>
            </w:r>
          </w:p>
        </w:tc>
        <w:tc>
          <w:tcPr>
            <w:tcW w:w="965" w:type="dxa"/>
          </w:tcPr>
          <w:p w14:paraId="14BBA919"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0.003</w:t>
            </w:r>
          </w:p>
        </w:tc>
        <w:tc>
          <w:tcPr>
            <w:tcW w:w="1603" w:type="dxa"/>
          </w:tcPr>
          <w:p w14:paraId="7E52E3B1"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936" w:type="dxa"/>
          </w:tcPr>
          <w:p w14:paraId="4CF605AB"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723" w:type="dxa"/>
          </w:tcPr>
          <w:p w14:paraId="15446171"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1.68 (1.23-2.30)</w:t>
            </w:r>
          </w:p>
        </w:tc>
        <w:tc>
          <w:tcPr>
            <w:tcW w:w="1008" w:type="dxa"/>
          </w:tcPr>
          <w:p w14:paraId="7B5AEA3D"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0.001</w:t>
            </w:r>
          </w:p>
        </w:tc>
      </w:tr>
      <w:tr w:rsidR="00452097" w:rsidRPr="0066241B" w14:paraId="6E5FF064" w14:textId="77777777" w:rsidTr="00452097">
        <w:tc>
          <w:tcPr>
            <w:tcW w:w="2438" w:type="dxa"/>
          </w:tcPr>
          <w:p w14:paraId="4942DF4F"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HCV genotype</w:t>
            </w:r>
          </w:p>
        </w:tc>
        <w:tc>
          <w:tcPr>
            <w:tcW w:w="1623" w:type="dxa"/>
          </w:tcPr>
          <w:p w14:paraId="257DBE1B" w14:textId="77777777" w:rsidR="00452097" w:rsidRPr="0066241B" w:rsidRDefault="00452097" w:rsidP="00452097">
            <w:pPr>
              <w:spacing w:line="360" w:lineRule="auto"/>
              <w:rPr>
                <w:rFonts w:ascii="Book Antiqua" w:eastAsia="Arial" w:hAnsi="Book Antiqua" w:cs="Arial"/>
                <w:color w:val="000000" w:themeColor="text1"/>
              </w:rPr>
            </w:pPr>
          </w:p>
        </w:tc>
        <w:tc>
          <w:tcPr>
            <w:tcW w:w="965" w:type="dxa"/>
          </w:tcPr>
          <w:p w14:paraId="63F2D491" w14:textId="77777777" w:rsidR="00452097" w:rsidRPr="0066241B" w:rsidRDefault="00452097" w:rsidP="00452097">
            <w:pPr>
              <w:spacing w:line="360" w:lineRule="auto"/>
              <w:rPr>
                <w:rFonts w:ascii="Book Antiqua" w:eastAsia="Arial" w:hAnsi="Book Antiqua" w:cs="Arial"/>
                <w:color w:val="000000" w:themeColor="text1"/>
              </w:rPr>
            </w:pPr>
          </w:p>
        </w:tc>
        <w:tc>
          <w:tcPr>
            <w:tcW w:w="1603" w:type="dxa"/>
          </w:tcPr>
          <w:p w14:paraId="75D1B8CE"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936" w:type="dxa"/>
          </w:tcPr>
          <w:p w14:paraId="09ABB9E4"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723" w:type="dxa"/>
          </w:tcPr>
          <w:p w14:paraId="1C070778"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008" w:type="dxa"/>
          </w:tcPr>
          <w:p w14:paraId="54B63D71"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r>
      <w:tr w:rsidR="00452097" w:rsidRPr="0066241B" w14:paraId="580C1413" w14:textId="77777777" w:rsidTr="00452097">
        <w:tc>
          <w:tcPr>
            <w:tcW w:w="2438" w:type="dxa"/>
          </w:tcPr>
          <w:p w14:paraId="71960C15" w14:textId="77777777" w:rsidR="00452097" w:rsidRPr="0066241B" w:rsidRDefault="00452097" w:rsidP="00452097">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2</w:t>
            </w:r>
          </w:p>
        </w:tc>
        <w:tc>
          <w:tcPr>
            <w:tcW w:w="1623" w:type="dxa"/>
          </w:tcPr>
          <w:p w14:paraId="245A873A"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Reference</w:t>
            </w:r>
          </w:p>
        </w:tc>
        <w:tc>
          <w:tcPr>
            <w:tcW w:w="965" w:type="dxa"/>
          </w:tcPr>
          <w:p w14:paraId="400290D1"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603" w:type="dxa"/>
          </w:tcPr>
          <w:p w14:paraId="3D7A661C" w14:textId="77777777" w:rsidR="00452097" w:rsidRPr="0066241B" w:rsidRDefault="00452097" w:rsidP="00452097">
            <w:pPr>
              <w:spacing w:line="360" w:lineRule="auto"/>
              <w:rPr>
                <w:rFonts w:ascii="Book Antiqua" w:eastAsia="Arial" w:hAnsi="Book Antiqua" w:cs="Arial"/>
                <w:color w:val="000000" w:themeColor="text1"/>
              </w:rPr>
            </w:pPr>
          </w:p>
        </w:tc>
        <w:tc>
          <w:tcPr>
            <w:tcW w:w="936" w:type="dxa"/>
          </w:tcPr>
          <w:p w14:paraId="1BAC2541" w14:textId="77777777" w:rsidR="00452097" w:rsidRPr="0066241B" w:rsidRDefault="00452097" w:rsidP="00452097">
            <w:pPr>
              <w:spacing w:line="360" w:lineRule="auto"/>
              <w:rPr>
                <w:rFonts w:ascii="Book Antiqua" w:eastAsia="Arial" w:hAnsi="Book Antiqua" w:cs="Arial"/>
                <w:color w:val="000000" w:themeColor="text1"/>
              </w:rPr>
            </w:pPr>
          </w:p>
        </w:tc>
        <w:tc>
          <w:tcPr>
            <w:tcW w:w="1723" w:type="dxa"/>
          </w:tcPr>
          <w:p w14:paraId="361DE35D" w14:textId="77777777" w:rsidR="00452097" w:rsidRPr="0066241B" w:rsidRDefault="00452097" w:rsidP="00452097">
            <w:pPr>
              <w:spacing w:line="360" w:lineRule="auto"/>
              <w:rPr>
                <w:rFonts w:ascii="Book Antiqua" w:eastAsia="Arial" w:hAnsi="Book Antiqua" w:cs="Arial"/>
                <w:color w:val="000000" w:themeColor="text1"/>
              </w:rPr>
            </w:pPr>
          </w:p>
        </w:tc>
        <w:tc>
          <w:tcPr>
            <w:tcW w:w="1008" w:type="dxa"/>
          </w:tcPr>
          <w:p w14:paraId="33A83BD4" w14:textId="77777777" w:rsidR="00452097" w:rsidRPr="0066241B" w:rsidRDefault="00452097" w:rsidP="00452097">
            <w:pPr>
              <w:spacing w:line="360" w:lineRule="auto"/>
              <w:rPr>
                <w:rFonts w:ascii="Book Antiqua" w:eastAsia="Arial" w:hAnsi="Book Antiqua" w:cs="Arial"/>
                <w:color w:val="000000" w:themeColor="text1"/>
              </w:rPr>
            </w:pPr>
          </w:p>
        </w:tc>
      </w:tr>
      <w:tr w:rsidR="00452097" w:rsidRPr="0066241B" w14:paraId="3591C460" w14:textId="77777777" w:rsidTr="00452097">
        <w:tc>
          <w:tcPr>
            <w:tcW w:w="2438" w:type="dxa"/>
          </w:tcPr>
          <w:p w14:paraId="626AF17F" w14:textId="77777777" w:rsidR="00452097" w:rsidRPr="0066241B" w:rsidRDefault="00452097" w:rsidP="00452097">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1</w:t>
            </w:r>
          </w:p>
        </w:tc>
        <w:tc>
          <w:tcPr>
            <w:tcW w:w="1623" w:type="dxa"/>
          </w:tcPr>
          <w:p w14:paraId="3BBF71C0"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2.25 (1.45-3.48)</w:t>
            </w:r>
          </w:p>
        </w:tc>
        <w:tc>
          <w:tcPr>
            <w:tcW w:w="965" w:type="dxa"/>
          </w:tcPr>
          <w:p w14:paraId="3A7B99B5"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603" w:type="dxa"/>
          </w:tcPr>
          <w:p w14:paraId="32C48F1E" w14:textId="77777777" w:rsidR="00452097" w:rsidRPr="0066241B" w:rsidRDefault="00452097" w:rsidP="00452097">
            <w:pPr>
              <w:spacing w:line="360" w:lineRule="auto"/>
              <w:rPr>
                <w:rFonts w:ascii="Book Antiqua" w:eastAsia="Arial" w:hAnsi="Book Antiqua" w:cs="Arial"/>
                <w:color w:val="000000" w:themeColor="text1"/>
              </w:rPr>
            </w:pPr>
          </w:p>
        </w:tc>
        <w:tc>
          <w:tcPr>
            <w:tcW w:w="936" w:type="dxa"/>
          </w:tcPr>
          <w:p w14:paraId="39B34DFC" w14:textId="77777777" w:rsidR="00452097" w:rsidRPr="0066241B" w:rsidRDefault="00452097" w:rsidP="00452097">
            <w:pPr>
              <w:spacing w:line="360" w:lineRule="auto"/>
              <w:rPr>
                <w:rFonts w:ascii="Book Antiqua" w:eastAsia="Arial" w:hAnsi="Book Antiqua" w:cs="Arial"/>
                <w:color w:val="000000" w:themeColor="text1"/>
              </w:rPr>
            </w:pPr>
          </w:p>
        </w:tc>
        <w:tc>
          <w:tcPr>
            <w:tcW w:w="1723" w:type="dxa"/>
          </w:tcPr>
          <w:p w14:paraId="2EC39F74" w14:textId="77777777" w:rsidR="00452097" w:rsidRPr="0066241B" w:rsidRDefault="00452097" w:rsidP="00452097">
            <w:pPr>
              <w:spacing w:line="360" w:lineRule="auto"/>
              <w:rPr>
                <w:rFonts w:ascii="Book Antiqua" w:eastAsia="Arial" w:hAnsi="Book Antiqua" w:cs="Arial"/>
                <w:color w:val="000000" w:themeColor="text1"/>
              </w:rPr>
            </w:pPr>
          </w:p>
        </w:tc>
        <w:tc>
          <w:tcPr>
            <w:tcW w:w="1008" w:type="dxa"/>
          </w:tcPr>
          <w:p w14:paraId="21C8F5FE" w14:textId="77777777" w:rsidR="00452097" w:rsidRPr="0066241B" w:rsidRDefault="00452097" w:rsidP="00452097">
            <w:pPr>
              <w:spacing w:line="360" w:lineRule="auto"/>
              <w:rPr>
                <w:rFonts w:ascii="Book Antiqua" w:eastAsia="Arial" w:hAnsi="Book Antiqua" w:cs="Arial"/>
                <w:color w:val="000000" w:themeColor="text1"/>
              </w:rPr>
            </w:pPr>
          </w:p>
        </w:tc>
      </w:tr>
      <w:tr w:rsidR="00452097" w:rsidRPr="0066241B" w14:paraId="49A9042F" w14:textId="77777777" w:rsidTr="00452097">
        <w:tc>
          <w:tcPr>
            <w:tcW w:w="2438" w:type="dxa"/>
          </w:tcPr>
          <w:p w14:paraId="34276C12" w14:textId="77777777" w:rsidR="00452097" w:rsidRPr="0066241B" w:rsidRDefault="00452097" w:rsidP="00452097">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Others/unknown</w:t>
            </w:r>
          </w:p>
        </w:tc>
        <w:tc>
          <w:tcPr>
            <w:tcW w:w="1623" w:type="dxa"/>
          </w:tcPr>
          <w:p w14:paraId="6769B62B"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1.57 (0.60-4.09)</w:t>
            </w:r>
          </w:p>
        </w:tc>
        <w:tc>
          <w:tcPr>
            <w:tcW w:w="965" w:type="dxa"/>
          </w:tcPr>
          <w:p w14:paraId="5D7E8256"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0.359</w:t>
            </w:r>
          </w:p>
        </w:tc>
        <w:tc>
          <w:tcPr>
            <w:tcW w:w="1603" w:type="dxa"/>
          </w:tcPr>
          <w:p w14:paraId="595AFA9A" w14:textId="77777777" w:rsidR="00452097" w:rsidRPr="0066241B" w:rsidRDefault="00452097" w:rsidP="00452097">
            <w:pPr>
              <w:spacing w:line="360" w:lineRule="auto"/>
              <w:rPr>
                <w:rFonts w:ascii="Book Antiqua" w:eastAsia="Arial" w:hAnsi="Book Antiqua" w:cs="Arial"/>
                <w:color w:val="000000" w:themeColor="text1"/>
              </w:rPr>
            </w:pPr>
          </w:p>
        </w:tc>
        <w:tc>
          <w:tcPr>
            <w:tcW w:w="936" w:type="dxa"/>
          </w:tcPr>
          <w:p w14:paraId="124CCC3A" w14:textId="77777777" w:rsidR="00452097" w:rsidRPr="0066241B" w:rsidRDefault="00452097" w:rsidP="00452097">
            <w:pPr>
              <w:spacing w:line="360" w:lineRule="auto"/>
              <w:rPr>
                <w:rFonts w:ascii="Book Antiqua" w:eastAsia="Arial" w:hAnsi="Book Antiqua" w:cs="Arial"/>
                <w:color w:val="000000" w:themeColor="text1"/>
              </w:rPr>
            </w:pPr>
          </w:p>
        </w:tc>
        <w:tc>
          <w:tcPr>
            <w:tcW w:w="1723" w:type="dxa"/>
          </w:tcPr>
          <w:p w14:paraId="27437E3A" w14:textId="77777777" w:rsidR="00452097" w:rsidRPr="0066241B" w:rsidRDefault="00452097" w:rsidP="00452097">
            <w:pPr>
              <w:spacing w:line="360" w:lineRule="auto"/>
              <w:rPr>
                <w:rFonts w:ascii="Book Antiqua" w:eastAsia="Arial" w:hAnsi="Book Antiqua" w:cs="Arial"/>
                <w:color w:val="000000" w:themeColor="text1"/>
              </w:rPr>
            </w:pPr>
          </w:p>
        </w:tc>
        <w:tc>
          <w:tcPr>
            <w:tcW w:w="1008" w:type="dxa"/>
          </w:tcPr>
          <w:p w14:paraId="634E308A" w14:textId="77777777" w:rsidR="00452097" w:rsidRPr="0066241B" w:rsidRDefault="00452097" w:rsidP="00452097">
            <w:pPr>
              <w:spacing w:line="360" w:lineRule="auto"/>
              <w:rPr>
                <w:rFonts w:ascii="Book Antiqua" w:eastAsia="Arial" w:hAnsi="Book Antiqua" w:cs="Arial"/>
                <w:color w:val="000000" w:themeColor="text1"/>
              </w:rPr>
            </w:pPr>
          </w:p>
        </w:tc>
      </w:tr>
      <w:tr w:rsidR="00452097" w:rsidRPr="0066241B" w14:paraId="2E28774C" w14:textId="77777777" w:rsidTr="00452097">
        <w:tc>
          <w:tcPr>
            <w:tcW w:w="2438" w:type="dxa"/>
          </w:tcPr>
          <w:p w14:paraId="7412680C"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Cirrhosis</w:t>
            </w:r>
          </w:p>
        </w:tc>
        <w:tc>
          <w:tcPr>
            <w:tcW w:w="1623" w:type="dxa"/>
          </w:tcPr>
          <w:p w14:paraId="012E808F"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3.75 (2.35-6.01)</w:t>
            </w:r>
          </w:p>
        </w:tc>
        <w:tc>
          <w:tcPr>
            <w:tcW w:w="965" w:type="dxa"/>
          </w:tcPr>
          <w:p w14:paraId="7006AC83"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603" w:type="dxa"/>
          </w:tcPr>
          <w:p w14:paraId="4B151121"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7.54 (3.32-17.15)</w:t>
            </w:r>
          </w:p>
        </w:tc>
        <w:tc>
          <w:tcPr>
            <w:tcW w:w="936" w:type="dxa"/>
          </w:tcPr>
          <w:p w14:paraId="023F07D1"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723" w:type="dxa"/>
          </w:tcPr>
          <w:p w14:paraId="471B94D2"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1.72 (1.23-2.41)</w:t>
            </w:r>
          </w:p>
        </w:tc>
        <w:tc>
          <w:tcPr>
            <w:tcW w:w="1008" w:type="dxa"/>
          </w:tcPr>
          <w:p w14:paraId="08292977"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0.002</w:t>
            </w:r>
          </w:p>
        </w:tc>
      </w:tr>
      <w:tr w:rsidR="00452097" w:rsidRPr="0066241B" w14:paraId="2BF54C2A" w14:textId="77777777" w:rsidTr="00452097">
        <w:tc>
          <w:tcPr>
            <w:tcW w:w="2438" w:type="dxa"/>
          </w:tcPr>
          <w:p w14:paraId="617579DF"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lastRenderedPageBreak/>
              <w:t>Ever smoker</w:t>
            </w:r>
          </w:p>
        </w:tc>
        <w:tc>
          <w:tcPr>
            <w:tcW w:w="1623" w:type="dxa"/>
          </w:tcPr>
          <w:p w14:paraId="72D142FD"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1.53 (0.85-2.75)</w:t>
            </w:r>
          </w:p>
        </w:tc>
        <w:tc>
          <w:tcPr>
            <w:tcW w:w="965" w:type="dxa"/>
          </w:tcPr>
          <w:p w14:paraId="6103E216"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0.156</w:t>
            </w:r>
          </w:p>
        </w:tc>
        <w:tc>
          <w:tcPr>
            <w:tcW w:w="1603" w:type="dxa"/>
          </w:tcPr>
          <w:p w14:paraId="6D0561B2"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936" w:type="dxa"/>
          </w:tcPr>
          <w:p w14:paraId="0281E599"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723" w:type="dxa"/>
          </w:tcPr>
          <w:p w14:paraId="4C51E2D7"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008" w:type="dxa"/>
          </w:tcPr>
          <w:p w14:paraId="7C783E27"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r>
      <w:tr w:rsidR="00452097" w:rsidRPr="0066241B" w14:paraId="62394B84" w14:textId="77777777" w:rsidTr="00452097">
        <w:tc>
          <w:tcPr>
            <w:tcW w:w="2438" w:type="dxa"/>
          </w:tcPr>
          <w:p w14:paraId="7C77B39B"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Alcohol consumption</w:t>
            </w:r>
          </w:p>
        </w:tc>
        <w:tc>
          <w:tcPr>
            <w:tcW w:w="1623" w:type="dxa"/>
          </w:tcPr>
          <w:p w14:paraId="17324509" w14:textId="77777777" w:rsidR="00452097" w:rsidRPr="0066241B" w:rsidRDefault="00452097" w:rsidP="00452097">
            <w:pPr>
              <w:spacing w:line="360" w:lineRule="auto"/>
              <w:rPr>
                <w:rFonts w:ascii="Book Antiqua" w:eastAsia="Arial" w:hAnsi="Book Antiqua" w:cs="Arial"/>
                <w:color w:val="000000" w:themeColor="text1"/>
              </w:rPr>
            </w:pPr>
          </w:p>
        </w:tc>
        <w:tc>
          <w:tcPr>
            <w:tcW w:w="965" w:type="dxa"/>
          </w:tcPr>
          <w:p w14:paraId="7E8F2A54" w14:textId="77777777" w:rsidR="00452097" w:rsidRPr="0066241B" w:rsidRDefault="00452097" w:rsidP="00452097">
            <w:pPr>
              <w:spacing w:line="360" w:lineRule="auto"/>
              <w:rPr>
                <w:rFonts w:ascii="Book Antiqua" w:eastAsia="Arial" w:hAnsi="Book Antiqua" w:cs="Arial"/>
                <w:color w:val="000000" w:themeColor="text1"/>
              </w:rPr>
            </w:pPr>
          </w:p>
        </w:tc>
        <w:tc>
          <w:tcPr>
            <w:tcW w:w="1603" w:type="dxa"/>
          </w:tcPr>
          <w:p w14:paraId="5557E455"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936" w:type="dxa"/>
          </w:tcPr>
          <w:p w14:paraId="27DF689F"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723" w:type="dxa"/>
          </w:tcPr>
          <w:p w14:paraId="40BD6A23"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008" w:type="dxa"/>
          </w:tcPr>
          <w:p w14:paraId="3D9D9A68"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r>
      <w:tr w:rsidR="00452097" w:rsidRPr="0066241B" w14:paraId="3CB98323" w14:textId="77777777" w:rsidTr="00452097">
        <w:tc>
          <w:tcPr>
            <w:tcW w:w="2438" w:type="dxa"/>
          </w:tcPr>
          <w:p w14:paraId="4B12E896" w14:textId="77777777" w:rsidR="00452097" w:rsidRPr="0066241B" w:rsidRDefault="00452097" w:rsidP="00452097">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None</w:t>
            </w:r>
          </w:p>
        </w:tc>
        <w:tc>
          <w:tcPr>
            <w:tcW w:w="1623" w:type="dxa"/>
          </w:tcPr>
          <w:p w14:paraId="2F718FF8"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Reference</w:t>
            </w:r>
          </w:p>
        </w:tc>
        <w:tc>
          <w:tcPr>
            <w:tcW w:w="965" w:type="dxa"/>
          </w:tcPr>
          <w:p w14:paraId="32ACEFE4"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603" w:type="dxa"/>
          </w:tcPr>
          <w:p w14:paraId="2F7BCCA7" w14:textId="77777777" w:rsidR="00452097" w:rsidRPr="0066241B" w:rsidRDefault="00452097" w:rsidP="00452097">
            <w:pPr>
              <w:spacing w:line="360" w:lineRule="auto"/>
              <w:rPr>
                <w:rFonts w:ascii="Book Antiqua" w:eastAsia="Arial" w:hAnsi="Book Antiqua" w:cs="Arial"/>
                <w:color w:val="000000" w:themeColor="text1"/>
              </w:rPr>
            </w:pPr>
          </w:p>
        </w:tc>
        <w:tc>
          <w:tcPr>
            <w:tcW w:w="936" w:type="dxa"/>
          </w:tcPr>
          <w:p w14:paraId="3B66FFCE" w14:textId="77777777" w:rsidR="00452097" w:rsidRPr="0066241B" w:rsidRDefault="00452097" w:rsidP="00452097">
            <w:pPr>
              <w:spacing w:line="360" w:lineRule="auto"/>
              <w:rPr>
                <w:rFonts w:ascii="Book Antiqua" w:eastAsia="Arial" w:hAnsi="Book Antiqua" w:cs="Arial"/>
                <w:color w:val="000000" w:themeColor="text1"/>
              </w:rPr>
            </w:pPr>
          </w:p>
        </w:tc>
        <w:tc>
          <w:tcPr>
            <w:tcW w:w="1723" w:type="dxa"/>
          </w:tcPr>
          <w:p w14:paraId="79705334" w14:textId="77777777" w:rsidR="00452097" w:rsidRPr="0066241B" w:rsidRDefault="00452097" w:rsidP="00452097">
            <w:pPr>
              <w:spacing w:line="360" w:lineRule="auto"/>
              <w:rPr>
                <w:rFonts w:ascii="Book Antiqua" w:eastAsia="Arial" w:hAnsi="Book Antiqua" w:cs="Arial"/>
                <w:color w:val="000000" w:themeColor="text1"/>
              </w:rPr>
            </w:pPr>
          </w:p>
        </w:tc>
        <w:tc>
          <w:tcPr>
            <w:tcW w:w="1008" w:type="dxa"/>
          </w:tcPr>
          <w:p w14:paraId="6534FC22" w14:textId="77777777" w:rsidR="00452097" w:rsidRPr="0066241B" w:rsidRDefault="00452097" w:rsidP="00452097">
            <w:pPr>
              <w:spacing w:line="360" w:lineRule="auto"/>
              <w:rPr>
                <w:rFonts w:ascii="Book Antiqua" w:eastAsia="Arial" w:hAnsi="Book Antiqua" w:cs="Arial"/>
                <w:color w:val="000000" w:themeColor="text1"/>
              </w:rPr>
            </w:pPr>
          </w:p>
        </w:tc>
      </w:tr>
      <w:tr w:rsidR="00452097" w:rsidRPr="0066241B" w14:paraId="4623A2C9" w14:textId="77777777" w:rsidTr="00452097">
        <w:tc>
          <w:tcPr>
            <w:tcW w:w="2438" w:type="dxa"/>
          </w:tcPr>
          <w:p w14:paraId="33E8A6F0" w14:textId="77777777" w:rsidR="00452097" w:rsidRPr="0066241B" w:rsidRDefault="00452097" w:rsidP="00452097">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Social</w:t>
            </w:r>
          </w:p>
        </w:tc>
        <w:tc>
          <w:tcPr>
            <w:tcW w:w="1623" w:type="dxa"/>
          </w:tcPr>
          <w:p w14:paraId="7F591B20"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1.24 (0.75-2.04)</w:t>
            </w:r>
          </w:p>
        </w:tc>
        <w:tc>
          <w:tcPr>
            <w:tcW w:w="965" w:type="dxa"/>
          </w:tcPr>
          <w:p w14:paraId="1872A7F1"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0.397</w:t>
            </w:r>
          </w:p>
        </w:tc>
        <w:tc>
          <w:tcPr>
            <w:tcW w:w="1603" w:type="dxa"/>
          </w:tcPr>
          <w:p w14:paraId="01A19236" w14:textId="77777777" w:rsidR="00452097" w:rsidRPr="0066241B" w:rsidRDefault="00452097" w:rsidP="00452097">
            <w:pPr>
              <w:spacing w:line="360" w:lineRule="auto"/>
              <w:rPr>
                <w:rFonts w:ascii="Book Antiqua" w:eastAsia="Arial" w:hAnsi="Book Antiqua" w:cs="Arial"/>
                <w:color w:val="000000" w:themeColor="text1"/>
              </w:rPr>
            </w:pPr>
          </w:p>
        </w:tc>
        <w:tc>
          <w:tcPr>
            <w:tcW w:w="936" w:type="dxa"/>
          </w:tcPr>
          <w:p w14:paraId="2E72C3F0" w14:textId="77777777" w:rsidR="00452097" w:rsidRPr="0066241B" w:rsidRDefault="00452097" w:rsidP="00452097">
            <w:pPr>
              <w:spacing w:line="360" w:lineRule="auto"/>
              <w:rPr>
                <w:rFonts w:ascii="Book Antiqua" w:eastAsia="Arial" w:hAnsi="Book Antiqua" w:cs="Arial"/>
                <w:color w:val="000000" w:themeColor="text1"/>
              </w:rPr>
            </w:pPr>
          </w:p>
        </w:tc>
        <w:tc>
          <w:tcPr>
            <w:tcW w:w="1723" w:type="dxa"/>
          </w:tcPr>
          <w:p w14:paraId="03D38903" w14:textId="77777777" w:rsidR="00452097" w:rsidRPr="0066241B" w:rsidRDefault="00452097" w:rsidP="00452097">
            <w:pPr>
              <w:spacing w:line="360" w:lineRule="auto"/>
              <w:rPr>
                <w:rFonts w:ascii="Book Antiqua" w:eastAsia="Arial" w:hAnsi="Book Antiqua" w:cs="Arial"/>
                <w:color w:val="000000" w:themeColor="text1"/>
              </w:rPr>
            </w:pPr>
          </w:p>
        </w:tc>
        <w:tc>
          <w:tcPr>
            <w:tcW w:w="1008" w:type="dxa"/>
          </w:tcPr>
          <w:p w14:paraId="653BE741" w14:textId="77777777" w:rsidR="00452097" w:rsidRPr="0066241B" w:rsidRDefault="00452097" w:rsidP="00452097">
            <w:pPr>
              <w:spacing w:line="360" w:lineRule="auto"/>
              <w:rPr>
                <w:rFonts w:ascii="Book Antiqua" w:eastAsia="Arial" w:hAnsi="Book Antiqua" w:cs="Arial"/>
                <w:color w:val="000000" w:themeColor="text1"/>
              </w:rPr>
            </w:pPr>
          </w:p>
        </w:tc>
      </w:tr>
      <w:tr w:rsidR="00452097" w:rsidRPr="0066241B" w14:paraId="63A14820" w14:textId="77777777" w:rsidTr="00452097">
        <w:tc>
          <w:tcPr>
            <w:tcW w:w="2438" w:type="dxa"/>
          </w:tcPr>
          <w:p w14:paraId="6028C60B" w14:textId="77777777" w:rsidR="00452097" w:rsidRPr="0066241B" w:rsidRDefault="00452097" w:rsidP="00452097">
            <w:pPr>
              <w:spacing w:line="360" w:lineRule="auto"/>
              <w:ind w:firstLine="240"/>
              <w:rPr>
                <w:rFonts w:ascii="Book Antiqua" w:eastAsia="Arial" w:hAnsi="Book Antiqua" w:cs="Arial"/>
                <w:color w:val="000000" w:themeColor="text1"/>
              </w:rPr>
            </w:pPr>
            <w:r w:rsidRPr="0066241B">
              <w:rPr>
                <w:rFonts w:ascii="Book Antiqua" w:eastAsia="Arial" w:hAnsi="Book Antiqua" w:cs="Arial"/>
                <w:color w:val="000000" w:themeColor="text1"/>
              </w:rPr>
              <w:t>Significant</w:t>
            </w:r>
          </w:p>
        </w:tc>
        <w:tc>
          <w:tcPr>
            <w:tcW w:w="1623" w:type="dxa"/>
          </w:tcPr>
          <w:p w14:paraId="174289B6"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2.69 (1.40-5.16)</w:t>
            </w:r>
          </w:p>
        </w:tc>
        <w:tc>
          <w:tcPr>
            <w:tcW w:w="965" w:type="dxa"/>
          </w:tcPr>
          <w:p w14:paraId="6EA9CC4D"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0.003</w:t>
            </w:r>
          </w:p>
        </w:tc>
        <w:tc>
          <w:tcPr>
            <w:tcW w:w="1603" w:type="dxa"/>
          </w:tcPr>
          <w:p w14:paraId="030FA73A" w14:textId="77777777" w:rsidR="00452097" w:rsidRPr="0066241B" w:rsidRDefault="00452097" w:rsidP="00452097">
            <w:pPr>
              <w:spacing w:line="360" w:lineRule="auto"/>
              <w:rPr>
                <w:rFonts w:ascii="Book Antiqua" w:eastAsia="Arial" w:hAnsi="Book Antiqua" w:cs="Arial"/>
                <w:color w:val="000000" w:themeColor="text1"/>
              </w:rPr>
            </w:pPr>
          </w:p>
        </w:tc>
        <w:tc>
          <w:tcPr>
            <w:tcW w:w="936" w:type="dxa"/>
          </w:tcPr>
          <w:p w14:paraId="0A8F1C4A" w14:textId="77777777" w:rsidR="00452097" w:rsidRPr="0066241B" w:rsidRDefault="00452097" w:rsidP="00452097">
            <w:pPr>
              <w:spacing w:line="360" w:lineRule="auto"/>
              <w:rPr>
                <w:rFonts w:ascii="Book Antiqua" w:eastAsia="Arial" w:hAnsi="Book Antiqua" w:cs="Arial"/>
                <w:color w:val="000000" w:themeColor="text1"/>
              </w:rPr>
            </w:pPr>
          </w:p>
        </w:tc>
        <w:tc>
          <w:tcPr>
            <w:tcW w:w="1723" w:type="dxa"/>
          </w:tcPr>
          <w:p w14:paraId="2F3CE98D" w14:textId="77777777" w:rsidR="00452097" w:rsidRPr="0066241B" w:rsidRDefault="00452097" w:rsidP="00452097">
            <w:pPr>
              <w:spacing w:line="360" w:lineRule="auto"/>
              <w:rPr>
                <w:rFonts w:ascii="Book Antiqua" w:eastAsia="Arial" w:hAnsi="Book Antiqua" w:cs="Arial"/>
                <w:color w:val="000000" w:themeColor="text1"/>
              </w:rPr>
            </w:pPr>
          </w:p>
        </w:tc>
        <w:tc>
          <w:tcPr>
            <w:tcW w:w="1008" w:type="dxa"/>
          </w:tcPr>
          <w:p w14:paraId="4ED88634" w14:textId="77777777" w:rsidR="00452097" w:rsidRPr="0066241B" w:rsidRDefault="00452097" w:rsidP="00452097">
            <w:pPr>
              <w:spacing w:line="360" w:lineRule="auto"/>
              <w:rPr>
                <w:rFonts w:ascii="Book Antiqua" w:eastAsia="Arial" w:hAnsi="Book Antiqua" w:cs="Arial"/>
                <w:color w:val="000000" w:themeColor="text1"/>
              </w:rPr>
            </w:pPr>
          </w:p>
        </w:tc>
      </w:tr>
      <w:tr w:rsidR="00452097" w:rsidRPr="0066241B" w14:paraId="42BC0961" w14:textId="77777777" w:rsidTr="00452097">
        <w:tc>
          <w:tcPr>
            <w:tcW w:w="2438" w:type="dxa"/>
          </w:tcPr>
          <w:p w14:paraId="3D58E3DE"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BMI, kg/m</w:t>
            </w:r>
            <w:r w:rsidRPr="0066241B">
              <w:rPr>
                <w:rFonts w:ascii="Book Antiqua" w:eastAsia="Arial" w:hAnsi="Book Antiqua" w:cs="Arial"/>
                <w:color w:val="000000" w:themeColor="text1"/>
                <w:vertAlign w:val="superscript"/>
              </w:rPr>
              <w:t>2</w:t>
            </w:r>
          </w:p>
        </w:tc>
        <w:tc>
          <w:tcPr>
            <w:tcW w:w="1623" w:type="dxa"/>
          </w:tcPr>
          <w:p w14:paraId="162A993D"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965" w:type="dxa"/>
          </w:tcPr>
          <w:p w14:paraId="7B45679D"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603" w:type="dxa"/>
          </w:tcPr>
          <w:p w14:paraId="30A4E38E"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936" w:type="dxa"/>
          </w:tcPr>
          <w:p w14:paraId="40BA7941"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723" w:type="dxa"/>
          </w:tcPr>
          <w:p w14:paraId="4CCA9512"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0.94 (0.89-0.99)</w:t>
            </w:r>
          </w:p>
        </w:tc>
        <w:tc>
          <w:tcPr>
            <w:tcW w:w="1008" w:type="dxa"/>
          </w:tcPr>
          <w:p w14:paraId="12C5A0F1"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0.024</w:t>
            </w:r>
          </w:p>
        </w:tc>
      </w:tr>
      <w:tr w:rsidR="00452097" w:rsidRPr="0066241B" w14:paraId="129AD57E" w14:textId="77777777" w:rsidTr="00452097">
        <w:tc>
          <w:tcPr>
            <w:tcW w:w="2438" w:type="dxa"/>
          </w:tcPr>
          <w:p w14:paraId="42C0A12F"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Diabetes mellitus</w:t>
            </w:r>
          </w:p>
        </w:tc>
        <w:tc>
          <w:tcPr>
            <w:tcW w:w="1623" w:type="dxa"/>
          </w:tcPr>
          <w:p w14:paraId="72F464D5"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0.99 (0.61-1.61)</w:t>
            </w:r>
          </w:p>
        </w:tc>
        <w:tc>
          <w:tcPr>
            <w:tcW w:w="965" w:type="dxa"/>
          </w:tcPr>
          <w:p w14:paraId="24CD3AA3"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0.959</w:t>
            </w:r>
          </w:p>
        </w:tc>
        <w:tc>
          <w:tcPr>
            <w:tcW w:w="1603" w:type="dxa"/>
          </w:tcPr>
          <w:p w14:paraId="704F5169"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936" w:type="dxa"/>
          </w:tcPr>
          <w:p w14:paraId="2DF30CF3"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723" w:type="dxa"/>
          </w:tcPr>
          <w:p w14:paraId="60449E04"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1.10 (0.76-1.60)</w:t>
            </w:r>
          </w:p>
        </w:tc>
        <w:tc>
          <w:tcPr>
            <w:tcW w:w="1008" w:type="dxa"/>
          </w:tcPr>
          <w:p w14:paraId="436EF431"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0.612</w:t>
            </w:r>
          </w:p>
        </w:tc>
      </w:tr>
      <w:tr w:rsidR="00452097" w:rsidRPr="0066241B" w14:paraId="20C6377E" w14:textId="77777777" w:rsidTr="00452097">
        <w:tc>
          <w:tcPr>
            <w:tcW w:w="2438" w:type="dxa"/>
          </w:tcPr>
          <w:p w14:paraId="58FD0682"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Albumin, g/dL</w:t>
            </w:r>
          </w:p>
        </w:tc>
        <w:tc>
          <w:tcPr>
            <w:tcW w:w="1623" w:type="dxa"/>
          </w:tcPr>
          <w:p w14:paraId="7DEF8ADB"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0.76 (0.47-1.20)</w:t>
            </w:r>
          </w:p>
        </w:tc>
        <w:tc>
          <w:tcPr>
            <w:tcW w:w="965" w:type="dxa"/>
          </w:tcPr>
          <w:p w14:paraId="69AEE765"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0.238</w:t>
            </w:r>
          </w:p>
        </w:tc>
        <w:tc>
          <w:tcPr>
            <w:tcW w:w="1603" w:type="dxa"/>
          </w:tcPr>
          <w:p w14:paraId="75F006FF"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0.42 (0.24-0.71)</w:t>
            </w:r>
          </w:p>
        </w:tc>
        <w:tc>
          <w:tcPr>
            <w:tcW w:w="936" w:type="dxa"/>
          </w:tcPr>
          <w:p w14:paraId="144967C4"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0.001</w:t>
            </w:r>
          </w:p>
        </w:tc>
        <w:tc>
          <w:tcPr>
            <w:tcW w:w="1723" w:type="dxa"/>
          </w:tcPr>
          <w:p w14:paraId="5F1E78E2"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0.42 (0.30-0.60)</w:t>
            </w:r>
          </w:p>
        </w:tc>
        <w:tc>
          <w:tcPr>
            <w:tcW w:w="1008" w:type="dxa"/>
          </w:tcPr>
          <w:p w14:paraId="2F105629"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r>
      <w:tr w:rsidR="00452097" w:rsidRPr="0066241B" w14:paraId="4E5103B7" w14:textId="77777777" w:rsidTr="00452097">
        <w:tc>
          <w:tcPr>
            <w:tcW w:w="2438" w:type="dxa"/>
          </w:tcPr>
          <w:p w14:paraId="6F4B9305"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Total bilirubin, mg/dL</w:t>
            </w:r>
          </w:p>
        </w:tc>
        <w:tc>
          <w:tcPr>
            <w:tcW w:w="1623" w:type="dxa"/>
          </w:tcPr>
          <w:p w14:paraId="41541423"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0.96 (0.81-1.13)</w:t>
            </w:r>
          </w:p>
        </w:tc>
        <w:tc>
          <w:tcPr>
            <w:tcW w:w="965" w:type="dxa"/>
          </w:tcPr>
          <w:p w14:paraId="51955D27"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0.624</w:t>
            </w:r>
          </w:p>
        </w:tc>
        <w:tc>
          <w:tcPr>
            <w:tcW w:w="1603" w:type="dxa"/>
          </w:tcPr>
          <w:p w14:paraId="6A238439"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1.03 (0.99-1.08)</w:t>
            </w:r>
          </w:p>
        </w:tc>
        <w:tc>
          <w:tcPr>
            <w:tcW w:w="936" w:type="dxa"/>
          </w:tcPr>
          <w:p w14:paraId="6F945D7D"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0.156</w:t>
            </w:r>
          </w:p>
        </w:tc>
        <w:tc>
          <w:tcPr>
            <w:tcW w:w="1723" w:type="dxa"/>
          </w:tcPr>
          <w:p w14:paraId="29D37BFF"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c>
          <w:tcPr>
            <w:tcW w:w="1008" w:type="dxa"/>
          </w:tcPr>
          <w:p w14:paraId="3148BB95"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w:t>
            </w:r>
          </w:p>
        </w:tc>
      </w:tr>
      <w:tr w:rsidR="00452097" w:rsidRPr="0066241B" w14:paraId="20A8E175" w14:textId="77777777" w:rsidTr="00452097">
        <w:tc>
          <w:tcPr>
            <w:tcW w:w="2438" w:type="dxa"/>
          </w:tcPr>
          <w:p w14:paraId="1508735A"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PT, INR</w:t>
            </w:r>
          </w:p>
        </w:tc>
        <w:tc>
          <w:tcPr>
            <w:tcW w:w="1623" w:type="dxa"/>
          </w:tcPr>
          <w:p w14:paraId="003DFE71"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2.53 (1.02-6.28)</w:t>
            </w:r>
          </w:p>
        </w:tc>
        <w:tc>
          <w:tcPr>
            <w:tcW w:w="965" w:type="dxa"/>
          </w:tcPr>
          <w:p w14:paraId="6556F81C"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0.044</w:t>
            </w:r>
          </w:p>
        </w:tc>
        <w:tc>
          <w:tcPr>
            <w:tcW w:w="1603" w:type="dxa"/>
          </w:tcPr>
          <w:p w14:paraId="547939D1"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4.42 (1.48-13.20)</w:t>
            </w:r>
          </w:p>
        </w:tc>
        <w:tc>
          <w:tcPr>
            <w:tcW w:w="936" w:type="dxa"/>
          </w:tcPr>
          <w:p w14:paraId="49ABE184"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0.008</w:t>
            </w:r>
          </w:p>
        </w:tc>
        <w:tc>
          <w:tcPr>
            <w:tcW w:w="1723" w:type="dxa"/>
          </w:tcPr>
          <w:p w14:paraId="61F74F94"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2.69 (1.22-5.92)</w:t>
            </w:r>
          </w:p>
        </w:tc>
        <w:tc>
          <w:tcPr>
            <w:tcW w:w="1008" w:type="dxa"/>
          </w:tcPr>
          <w:p w14:paraId="67B4DDAB"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0.014</w:t>
            </w:r>
          </w:p>
        </w:tc>
      </w:tr>
      <w:tr w:rsidR="00452097" w:rsidRPr="0066241B" w14:paraId="29E448EE" w14:textId="77777777" w:rsidTr="00452097">
        <w:tc>
          <w:tcPr>
            <w:tcW w:w="2438" w:type="dxa"/>
            <w:tcBorders>
              <w:bottom w:val="single" w:sz="4" w:space="0" w:color="000000"/>
            </w:tcBorders>
          </w:tcPr>
          <w:p w14:paraId="09DE1468"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AFP, log</w:t>
            </w:r>
            <w:r w:rsidRPr="0066241B">
              <w:rPr>
                <w:rFonts w:ascii="Book Antiqua" w:eastAsia="Arial" w:hAnsi="Book Antiqua" w:cs="Arial"/>
                <w:color w:val="000000" w:themeColor="text1"/>
                <w:vertAlign w:val="subscript"/>
              </w:rPr>
              <w:t>10</w:t>
            </w:r>
            <w:r w:rsidRPr="0066241B">
              <w:rPr>
                <w:rFonts w:ascii="Book Antiqua" w:eastAsia="Arial" w:hAnsi="Book Antiqua" w:cs="Arial"/>
                <w:color w:val="000000" w:themeColor="text1"/>
              </w:rPr>
              <w:t xml:space="preserve"> ng/dL</w:t>
            </w:r>
          </w:p>
        </w:tc>
        <w:tc>
          <w:tcPr>
            <w:tcW w:w="1623" w:type="dxa"/>
            <w:tcBorders>
              <w:bottom w:val="single" w:sz="4" w:space="0" w:color="000000"/>
            </w:tcBorders>
          </w:tcPr>
          <w:p w14:paraId="27C19786"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2.10 (1.46-3.02)</w:t>
            </w:r>
          </w:p>
        </w:tc>
        <w:tc>
          <w:tcPr>
            <w:tcW w:w="965" w:type="dxa"/>
            <w:tcBorders>
              <w:bottom w:val="single" w:sz="4" w:space="0" w:color="000000"/>
            </w:tcBorders>
          </w:tcPr>
          <w:p w14:paraId="48DEBCEE"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&lt; 0.001</w:t>
            </w:r>
          </w:p>
        </w:tc>
        <w:tc>
          <w:tcPr>
            <w:tcW w:w="1603" w:type="dxa"/>
            <w:tcBorders>
              <w:bottom w:val="single" w:sz="4" w:space="0" w:color="000000"/>
            </w:tcBorders>
          </w:tcPr>
          <w:p w14:paraId="2402DAB8"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1.48 (0.90-2.44)</w:t>
            </w:r>
          </w:p>
        </w:tc>
        <w:tc>
          <w:tcPr>
            <w:tcW w:w="936" w:type="dxa"/>
            <w:tcBorders>
              <w:bottom w:val="single" w:sz="4" w:space="0" w:color="000000"/>
            </w:tcBorders>
          </w:tcPr>
          <w:p w14:paraId="1C8D79AC"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0.12</w:t>
            </w:r>
          </w:p>
        </w:tc>
        <w:tc>
          <w:tcPr>
            <w:tcW w:w="1723" w:type="dxa"/>
            <w:tcBorders>
              <w:bottom w:val="single" w:sz="4" w:space="0" w:color="000000"/>
            </w:tcBorders>
          </w:tcPr>
          <w:p w14:paraId="7A817121"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1.17 (0.86-1.60)</w:t>
            </w:r>
          </w:p>
        </w:tc>
        <w:tc>
          <w:tcPr>
            <w:tcW w:w="1008" w:type="dxa"/>
            <w:tcBorders>
              <w:bottom w:val="single" w:sz="4" w:space="0" w:color="000000"/>
            </w:tcBorders>
          </w:tcPr>
          <w:p w14:paraId="52DE014A" w14:textId="77777777" w:rsidR="00452097" w:rsidRPr="0066241B" w:rsidRDefault="00452097" w:rsidP="00452097">
            <w:pPr>
              <w:spacing w:line="360" w:lineRule="auto"/>
              <w:rPr>
                <w:rFonts w:ascii="Book Antiqua" w:eastAsia="Arial" w:hAnsi="Book Antiqua" w:cs="Arial"/>
                <w:color w:val="000000" w:themeColor="text1"/>
              </w:rPr>
            </w:pPr>
            <w:r w:rsidRPr="0066241B">
              <w:rPr>
                <w:rFonts w:ascii="Book Antiqua" w:eastAsia="Arial" w:hAnsi="Book Antiqua" w:cs="Arial"/>
                <w:color w:val="000000" w:themeColor="text1"/>
              </w:rPr>
              <w:t>0.32</w:t>
            </w:r>
          </w:p>
        </w:tc>
      </w:tr>
      <w:bookmarkEnd w:id="66"/>
      <w:bookmarkEnd w:id="67"/>
    </w:tbl>
    <w:p w14:paraId="35CE8C28" w14:textId="77777777" w:rsidR="0052656F" w:rsidRPr="0066241B" w:rsidRDefault="0052656F" w:rsidP="00B34F1C">
      <w:pPr>
        <w:spacing w:line="360" w:lineRule="auto"/>
        <w:ind w:left="250"/>
        <w:jc w:val="both"/>
        <w:rPr>
          <w:rFonts w:ascii="Book Antiqua" w:hAnsi="Book Antiqua"/>
          <w:color w:val="000000" w:themeColor="text1"/>
        </w:rPr>
      </w:pPr>
    </w:p>
    <w:p w14:paraId="4FE3AF20"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 xml:space="preserve">Total number of patients, 2197; number of </w:t>
      </w:r>
      <w:r w:rsidRPr="0066241B">
        <w:rPr>
          <w:rFonts w:ascii="Book Antiqua" w:eastAsia="Book Antiqua" w:hAnsi="Book Antiqua" w:cs="Book Antiqua"/>
          <w:color w:val="000000" w:themeColor="text1"/>
        </w:rPr>
        <w:t>hepatocellular carcinoma</w:t>
      </w:r>
      <w:r w:rsidRPr="0066241B">
        <w:rPr>
          <w:rFonts w:ascii="Book Antiqua" w:eastAsia="Arial" w:hAnsi="Book Antiqua" w:cs="Arial"/>
          <w:color w:val="000000" w:themeColor="text1"/>
        </w:rPr>
        <w:t>s, 113; number of deaths, 202; number of transplantations, 4; number of decompensations, 69. AFP: Alpha-feto protein; aHR: Adjusted hazard ratio; BMI: Body mass index;</w:t>
      </w:r>
      <w:r w:rsidRPr="0066241B">
        <w:rPr>
          <w:rFonts w:ascii="Book Antiqua" w:hAnsi="Book Antiqua"/>
          <w:color w:val="000000" w:themeColor="text1"/>
        </w:rPr>
        <w:t xml:space="preserve"> </w:t>
      </w:r>
      <w:r w:rsidRPr="0066241B">
        <w:rPr>
          <w:rFonts w:ascii="Book Antiqua" w:eastAsia="Arial" w:hAnsi="Book Antiqua" w:cs="Arial"/>
          <w:color w:val="000000" w:themeColor="text1"/>
        </w:rPr>
        <w:t xml:space="preserve">CI: Confidence interval; DAA: Direct acting antivirals; HCV: Hepatitis C virus; IBT: Interferon-based therapy; PT: Prothrombin time; </w:t>
      </w:r>
      <w:bookmarkStart w:id="68" w:name="OLE_LINK4729"/>
      <w:bookmarkStart w:id="69" w:name="OLE_LINK4730"/>
      <w:r w:rsidRPr="0066241B">
        <w:rPr>
          <w:rFonts w:ascii="Book Antiqua" w:eastAsia="Arial" w:hAnsi="Book Antiqua" w:cs="Arial"/>
          <w:color w:val="000000" w:themeColor="text1"/>
        </w:rPr>
        <w:t>SVR: Sustained virologic response.</w:t>
      </w:r>
      <w:bookmarkEnd w:id="68"/>
      <w:bookmarkEnd w:id="69"/>
    </w:p>
    <w:p w14:paraId="6CC23B3C" w14:textId="77777777" w:rsidR="0052656F" w:rsidRPr="0066241B" w:rsidRDefault="0052656F" w:rsidP="00B34F1C">
      <w:pPr>
        <w:spacing w:line="360" w:lineRule="auto"/>
        <w:jc w:val="both"/>
        <w:rPr>
          <w:rFonts w:ascii="Book Antiqua" w:hAnsi="Book Antiqua"/>
          <w:color w:val="000000" w:themeColor="text1"/>
        </w:rPr>
        <w:sectPr w:rsidR="0052656F" w:rsidRPr="0066241B" w:rsidSect="0037300D">
          <w:headerReference w:type="default" r:id="rId31"/>
          <w:pgSz w:w="11906" w:h="16838"/>
          <w:pgMar w:top="680" w:right="680" w:bottom="680" w:left="680" w:header="851" w:footer="992" w:gutter="0"/>
          <w:cols w:space="720"/>
          <w:docGrid w:linePitch="326"/>
        </w:sectPr>
      </w:pPr>
    </w:p>
    <w:p w14:paraId="72675A1D"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b/>
          <w:color w:val="000000" w:themeColor="text1"/>
        </w:rPr>
        <w:lastRenderedPageBreak/>
        <w:t xml:space="preserve">Table 4 Comparison of characteristics and outcomes between the </w:t>
      </w:r>
      <w:r w:rsidRPr="0066241B">
        <w:rPr>
          <w:rFonts w:ascii="Book Antiqua" w:eastAsia="Book Antiqua" w:hAnsi="Book Antiqua" w:cs="Book Antiqua"/>
          <w:b/>
          <w:color w:val="000000" w:themeColor="text1"/>
        </w:rPr>
        <w:t xml:space="preserve">interferon-based treatment-sustained virologic response </w:t>
      </w:r>
      <w:r w:rsidRPr="0066241B">
        <w:rPr>
          <w:rFonts w:ascii="Book Antiqua" w:eastAsia="Arial" w:hAnsi="Book Antiqua" w:cs="Arial"/>
          <w:b/>
          <w:color w:val="000000" w:themeColor="text1"/>
        </w:rPr>
        <w:t xml:space="preserve">and </w:t>
      </w:r>
      <w:r w:rsidRPr="0066241B">
        <w:rPr>
          <w:rFonts w:ascii="Book Antiqua" w:eastAsia="Book Antiqua" w:hAnsi="Book Antiqua" w:cs="Book Antiqua"/>
          <w:b/>
          <w:color w:val="000000" w:themeColor="text1"/>
        </w:rPr>
        <w:t>direct-acting antivirals-sustained virologic response</w:t>
      </w:r>
      <w:r w:rsidRPr="0066241B">
        <w:rPr>
          <w:rFonts w:ascii="Book Antiqua" w:eastAsia="Arial" w:hAnsi="Book Antiqua" w:cs="Arial"/>
          <w:b/>
          <w:color w:val="000000" w:themeColor="text1"/>
        </w:rPr>
        <w:t xml:space="preserve"> groups: Unadjusted and </w:t>
      </w:r>
      <w:r w:rsidRPr="0066241B">
        <w:rPr>
          <w:rFonts w:ascii="Book Antiqua" w:eastAsia="Book Antiqua" w:hAnsi="Book Antiqua" w:cs="Book Antiqua"/>
          <w:b/>
          <w:color w:val="000000" w:themeColor="text1"/>
        </w:rPr>
        <w:t>propensity score</w:t>
      </w:r>
      <w:r w:rsidRPr="0066241B">
        <w:rPr>
          <w:rFonts w:ascii="Book Antiqua" w:eastAsia="Arial" w:hAnsi="Book Antiqua" w:cs="Arial"/>
          <w:b/>
          <w:color w:val="000000" w:themeColor="text1"/>
        </w:rPr>
        <w:t xml:space="preserve"> matching groups</w:t>
      </w:r>
    </w:p>
    <w:tbl>
      <w:tblPr>
        <w:tblStyle w:val="a8"/>
        <w:tblW w:w="0" w:type="auto"/>
        <w:tblBorders>
          <w:top w:val="nil"/>
          <w:left w:val="nil"/>
          <w:bottom w:val="nil"/>
          <w:right w:val="nil"/>
          <w:insideH w:val="nil"/>
          <w:insideV w:val="nil"/>
        </w:tblBorders>
        <w:tblLook w:val="04A0" w:firstRow="1" w:lastRow="0" w:firstColumn="1" w:lastColumn="0" w:noHBand="0" w:noVBand="1"/>
      </w:tblPr>
      <w:tblGrid>
        <w:gridCol w:w="2503"/>
        <w:gridCol w:w="1588"/>
        <w:gridCol w:w="1588"/>
        <w:gridCol w:w="1839"/>
        <w:gridCol w:w="1553"/>
        <w:gridCol w:w="1588"/>
        <w:gridCol w:w="1588"/>
        <w:gridCol w:w="1545"/>
        <w:gridCol w:w="1554"/>
      </w:tblGrid>
      <w:tr w:rsidR="00C21A2B" w:rsidRPr="0066241B" w14:paraId="2EDE1BCF" w14:textId="77777777">
        <w:trPr>
          <w:trHeight w:val="338"/>
        </w:trPr>
        <w:tc>
          <w:tcPr>
            <w:tcW w:w="2503" w:type="dxa"/>
            <w:vMerge w:val="restart"/>
            <w:tcBorders>
              <w:top w:val="single" w:sz="4" w:space="0" w:color="000000"/>
              <w:bottom w:val="single" w:sz="4" w:space="0" w:color="000000"/>
            </w:tcBorders>
          </w:tcPr>
          <w:p w14:paraId="01F90B57" w14:textId="77777777" w:rsidR="0052656F" w:rsidRPr="0066241B" w:rsidRDefault="000D2442" w:rsidP="00B34F1C">
            <w:pPr>
              <w:tabs>
                <w:tab w:val="left" w:pos="4712"/>
              </w:tabs>
              <w:spacing w:line="360" w:lineRule="auto"/>
              <w:rPr>
                <w:rFonts w:ascii="Book Antiqua" w:hAnsi="Book Antiqua"/>
                <w:b/>
                <w:color w:val="000000" w:themeColor="text1"/>
              </w:rPr>
            </w:pPr>
            <w:r w:rsidRPr="0066241B">
              <w:rPr>
                <w:rFonts w:ascii="Book Antiqua" w:hAnsi="Book Antiqua"/>
                <w:b/>
                <w:color w:val="000000" w:themeColor="text1"/>
              </w:rPr>
              <w:t>Variable</w:t>
            </w:r>
          </w:p>
        </w:tc>
        <w:tc>
          <w:tcPr>
            <w:tcW w:w="6568" w:type="dxa"/>
            <w:gridSpan w:val="4"/>
            <w:tcBorders>
              <w:top w:val="single" w:sz="4" w:space="0" w:color="000000"/>
              <w:bottom w:val="single" w:sz="4" w:space="0" w:color="000000"/>
            </w:tcBorders>
          </w:tcPr>
          <w:p w14:paraId="4A34C55F" w14:textId="77777777" w:rsidR="0052656F" w:rsidRPr="0066241B" w:rsidRDefault="000D2442" w:rsidP="00B34F1C">
            <w:pPr>
              <w:tabs>
                <w:tab w:val="left" w:pos="4712"/>
              </w:tabs>
              <w:spacing w:line="360" w:lineRule="auto"/>
              <w:rPr>
                <w:rFonts w:ascii="Book Antiqua" w:hAnsi="Book Antiqua"/>
                <w:b/>
                <w:color w:val="000000" w:themeColor="text1"/>
              </w:rPr>
            </w:pPr>
            <w:r w:rsidRPr="0066241B">
              <w:rPr>
                <w:rFonts w:ascii="Book Antiqua" w:hAnsi="Book Antiqua"/>
                <w:b/>
                <w:color w:val="000000" w:themeColor="text1"/>
              </w:rPr>
              <w:t>Before adjustment</w:t>
            </w:r>
          </w:p>
        </w:tc>
        <w:tc>
          <w:tcPr>
            <w:tcW w:w="6275" w:type="dxa"/>
            <w:gridSpan w:val="4"/>
            <w:tcBorders>
              <w:top w:val="single" w:sz="4" w:space="0" w:color="000000"/>
              <w:bottom w:val="single" w:sz="4" w:space="0" w:color="000000"/>
            </w:tcBorders>
          </w:tcPr>
          <w:p w14:paraId="6584B344" w14:textId="77777777" w:rsidR="0052656F" w:rsidRPr="0066241B" w:rsidRDefault="000D2442" w:rsidP="00B34F1C">
            <w:pPr>
              <w:tabs>
                <w:tab w:val="left" w:pos="4712"/>
              </w:tabs>
              <w:spacing w:line="360" w:lineRule="auto"/>
              <w:rPr>
                <w:rFonts w:ascii="Book Antiqua" w:hAnsi="Book Antiqua"/>
                <w:b/>
                <w:color w:val="000000" w:themeColor="text1"/>
              </w:rPr>
            </w:pPr>
            <w:r w:rsidRPr="0066241B">
              <w:rPr>
                <w:rFonts w:ascii="Book Antiqua" w:hAnsi="Book Antiqua"/>
                <w:b/>
                <w:color w:val="000000" w:themeColor="text1"/>
              </w:rPr>
              <w:t>PS matched</w:t>
            </w:r>
          </w:p>
        </w:tc>
      </w:tr>
      <w:tr w:rsidR="00C21A2B" w:rsidRPr="0066241B" w14:paraId="41BC6FCE" w14:textId="77777777">
        <w:trPr>
          <w:trHeight w:val="1034"/>
        </w:trPr>
        <w:tc>
          <w:tcPr>
            <w:tcW w:w="2503" w:type="dxa"/>
            <w:vMerge/>
            <w:tcBorders>
              <w:top w:val="single" w:sz="4" w:space="0" w:color="000000"/>
              <w:bottom w:val="single" w:sz="4" w:space="0" w:color="000000"/>
            </w:tcBorders>
          </w:tcPr>
          <w:p w14:paraId="19DDA174" w14:textId="77777777" w:rsidR="0052656F" w:rsidRPr="0066241B" w:rsidRDefault="0052656F" w:rsidP="00B34F1C">
            <w:pPr>
              <w:spacing w:line="360" w:lineRule="auto"/>
              <w:rPr>
                <w:rFonts w:ascii="Book Antiqua" w:hAnsi="Book Antiqua"/>
                <w:color w:val="000000" w:themeColor="text1"/>
              </w:rPr>
            </w:pPr>
          </w:p>
        </w:tc>
        <w:tc>
          <w:tcPr>
            <w:tcW w:w="1588" w:type="dxa"/>
            <w:tcBorders>
              <w:top w:val="single" w:sz="4" w:space="0" w:color="000000"/>
              <w:bottom w:val="single" w:sz="4" w:space="0" w:color="000000"/>
            </w:tcBorders>
          </w:tcPr>
          <w:p w14:paraId="7BA01717" w14:textId="0EFD9604" w:rsidR="0052656F" w:rsidRPr="0066241B" w:rsidRDefault="000D2442" w:rsidP="00B34F1C">
            <w:pPr>
              <w:tabs>
                <w:tab w:val="left" w:pos="4712"/>
              </w:tabs>
              <w:spacing w:line="360" w:lineRule="auto"/>
              <w:rPr>
                <w:rFonts w:ascii="Book Antiqua" w:hAnsi="Book Antiqua"/>
                <w:b/>
                <w:color w:val="000000" w:themeColor="text1"/>
              </w:rPr>
            </w:pPr>
            <w:r w:rsidRPr="0066241B">
              <w:rPr>
                <w:rFonts w:ascii="Book Antiqua" w:hAnsi="Book Antiqua"/>
                <w:b/>
                <w:color w:val="000000" w:themeColor="text1"/>
              </w:rPr>
              <w:t>IBT-SVR group (</w:t>
            </w:r>
            <w:r w:rsidRPr="0066241B">
              <w:rPr>
                <w:rFonts w:ascii="Book Antiqua" w:hAnsi="Book Antiqua"/>
                <w:b/>
                <w:i/>
                <w:color w:val="000000" w:themeColor="text1"/>
              </w:rPr>
              <w:t>n</w:t>
            </w:r>
            <w:r w:rsidRPr="0066241B">
              <w:rPr>
                <w:rFonts w:ascii="Book Antiqua" w:hAnsi="Book Antiqua"/>
                <w:b/>
                <w:color w:val="000000" w:themeColor="text1"/>
              </w:rPr>
              <w:t xml:space="preserve"> = 451)</w:t>
            </w:r>
          </w:p>
        </w:tc>
        <w:tc>
          <w:tcPr>
            <w:tcW w:w="1588" w:type="dxa"/>
            <w:tcBorders>
              <w:top w:val="single" w:sz="4" w:space="0" w:color="000000"/>
              <w:bottom w:val="single" w:sz="4" w:space="0" w:color="000000"/>
            </w:tcBorders>
          </w:tcPr>
          <w:p w14:paraId="4C0814DF" w14:textId="3170DEA3" w:rsidR="0052656F" w:rsidRPr="0066241B" w:rsidRDefault="000D2442" w:rsidP="00B34F1C">
            <w:pPr>
              <w:tabs>
                <w:tab w:val="left" w:pos="4712"/>
              </w:tabs>
              <w:spacing w:line="360" w:lineRule="auto"/>
              <w:rPr>
                <w:rFonts w:ascii="Book Antiqua" w:hAnsi="Book Antiqua"/>
                <w:b/>
                <w:color w:val="000000" w:themeColor="text1"/>
              </w:rPr>
            </w:pPr>
            <w:r w:rsidRPr="0066241B">
              <w:rPr>
                <w:rFonts w:ascii="Book Antiqua" w:hAnsi="Book Antiqua"/>
                <w:b/>
                <w:color w:val="000000" w:themeColor="text1"/>
              </w:rPr>
              <w:t>DAA-SVR group (</w:t>
            </w:r>
            <w:r w:rsidRPr="0066241B">
              <w:rPr>
                <w:rFonts w:ascii="Book Antiqua" w:hAnsi="Book Antiqua"/>
                <w:b/>
                <w:i/>
                <w:color w:val="000000" w:themeColor="text1"/>
              </w:rPr>
              <w:t>n</w:t>
            </w:r>
            <w:r w:rsidRPr="0066241B">
              <w:rPr>
                <w:rFonts w:ascii="Book Antiqua" w:hAnsi="Book Antiqua"/>
                <w:b/>
                <w:color w:val="000000" w:themeColor="text1"/>
              </w:rPr>
              <w:t xml:space="preserve"> = 817)</w:t>
            </w:r>
          </w:p>
        </w:tc>
        <w:tc>
          <w:tcPr>
            <w:tcW w:w="1839" w:type="dxa"/>
            <w:tcBorders>
              <w:top w:val="single" w:sz="4" w:space="0" w:color="000000"/>
              <w:bottom w:val="single" w:sz="4" w:space="0" w:color="000000"/>
            </w:tcBorders>
          </w:tcPr>
          <w:p w14:paraId="6D1583FA" w14:textId="77777777" w:rsidR="0052656F" w:rsidRPr="0066241B" w:rsidRDefault="000D2442" w:rsidP="00B34F1C">
            <w:pPr>
              <w:tabs>
                <w:tab w:val="left" w:pos="4712"/>
              </w:tabs>
              <w:spacing w:line="360" w:lineRule="auto"/>
              <w:rPr>
                <w:rFonts w:ascii="Book Antiqua" w:hAnsi="Book Antiqua"/>
                <w:b/>
                <w:color w:val="000000" w:themeColor="text1"/>
              </w:rPr>
            </w:pPr>
            <w:r w:rsidRPr="0066241B">
              <w:rPr>
                <w:rFonts w:ascii="Book Antiqua" w:hAnsi="Book Antiqua"/>
                <w:b/>
                <w:i/>
                <w:color w:val="000000" w:themeColor="text1"/>
              </w:rPr>
              <w:t>P</w:t>
            </w:r>
            <w:r w:rsidRPr="0066241B">
              <w:rPr>
                <w:rFonts w:ascii="Book Antiqua" w:hAnsi="Book Antiqua"/>
                <w:b/>
                <w:color w:val="000000" w:themeColor="text1"/>
              </w:rPr>
              <w:t xml:space="preserve"> value</w:t>
            </w:r>
          </w:p>
        </w:tc>
        <w:tc>
          <w:tcPr>
            <w:tcW w:w="1553" w:type="dxa"/>
            <w:tcBorders>
              <w:top w:val="single" w:sz="4" w:space="0" w:color="000000"/>
              <w:bottom w:val="single" w:sz="4" w:space="0" w:color="000000"/>
            </w:tcBorders>
          </w:tcPr>
          <w:p w14:paraId="6D750D45" w14:textId="77777777" w:rsidR="0052656F" w:rsidRPr="0066241B" w:rsidRDefault="000D2442" w:rsidP="00B34F1C">
            <w:pPr>
              <w:tabs>
                <w:tab w:val="left" w:pos="4712"/>
              </w:tabs>
              <w:spacing w:line="360" w:lineRule="auto"/>
              <w:rPr>
                <w:rFonts w:ascii="Book Antiqua" w:hAnsi="Book Antiqua"/>
                <w:b/>
                <w:color w:val="000000" w:themeColor="text1"/>
              </w:rPr>
            </w:pPr>
            <w:r w:rsidRPr="0066241B">
              <w:rPr>
                <w:rFonts w:ascii="Book Antiqua" w:hAnsi="Book Antiqua"/>
                <w:b/>
                <w:color w:val="000000" w:themeColor="text1"/>
              </w:rPr>
              <w:t>SMD</w:t>
            </w:r>
          </w:p>
        </w:tc>
        <w:tc>
          <w:tcPr>
            <w:tcW w:w="1588" w:type="dxa"/>
            <w:tcBorders>
              <w:top w:val="single" w:sz="4" w:space="0" w:color="000000"/>
              <w:bottom w:val="single" w:sz="4" w:space="0" w:color="000000"/>
            </w:tcBorders>
          </w:tcPr>
          <w:p w14:paraId="77D3BA9F" w14:textId="5219DC1F" w:rsidR="0052656F" w:rsidRPr="0066241B" w:rsidRDefault="000D2442" w:rsidP="00B34F1C">
            <w:pPr>
              <w:tabs>
                <w:tab w:val="left" w:pos="4712"/>
              </w:tabs>
              <w:spacing w:line="360" w:lineRule="auto"/>
              <w:rPr>
                <w:rFonts w:ascii="Book Antiqua" w:hAnsi="Book Antiqua"/>
                <w:b/>
                <w:color w:val="000000" w:themeColor="text1"/>
              </w:rPr>
            </w:pPr>
            <w:r w:rsidRPr="0066241B">
              <w:rPr>
                <w:rFonts w:ascii="Book Antiqua" w:hAnsi="Book Antiqua"/>
                <w:b/>
                <w:color w:val="000000" w:themeColor="text1"/>
              </w:rPr>
              <w:t>IBT-SVR group (</w:t>
            </w:r>
            <w:r w:rsidRPr="0066241B">
              <w:rPr>
                <w:rFonts w:ascii="Book Antiqua" w:hAnsi="Book Antiqua"/>
                <w:b/>
                <w:i/>
                <w:color w:val="000000" w:themeColor="text1"/>
              </w:rPr>
              <w:t>n</w:t>
            </w:r>
            <w:r w:rsidRPr="0066241B">
              <w:rPr>
                <w:rFonts w:ascii="Book Antiqua" w:hAnsi="Book Antiqua"/>
                <w:b/>
                <w:color w:val="000000" w:themeColor="text1"/>
              </w:rPr>
              <w:t xml:space="preserve"> = 213)</w:t>
            </w:r>
          </w:p>
        </w:tc>
        <w:tc>
          <w:tcPr>
            <w:tcW w:w="1588" w:type="dxa"/>
            <w:tcBorders>
              <w:top w:val="single" w:sz="4" w:space="0" w:color="000000"/>
              <w:bottom w:val="single" w:sz="4" w:space="0" w:color="000000"/>
            </w:tcBorders>
          </w:tcPr>
          <w:p w14:paraId="18937C01" w14:textId="451E60FC" w:rsidR="0052656F" w:rsidRPr="0066241B" w:rsidRDefault="000D2442" w:rsidP="00B34F1C">
            <w:pPr>
              <w:tabs>
                <w:tab w:val="left" w:pos="4712"/>
              </w:tabs>
              <w:spacing w:line="360" w:lineRule="auto"/>
              <w:rPr>
                <w:rFonts w:ascii="Book Antiqua" w:hAnsi="Book Antiqua"/>
                <w:b/>
                <w:color w:val="000000" w:themeColor="text1"/>
              </w:rPr>
            </w:pPr>
            <w:r w:rsidRPr="0066241B">
              <w:rPr>
                <w:rFonts w:ascii="Book Antiqua" w:hAnsi="Book Antiqua"/>
                <w:b/>
                <w:color w:val="000000" w:themeColor="text1"/>
              </w:rPr>
              <w:t>DAA-SVR group (</w:t>
            </w:r>
            <w:r w:rsidRPr="0066241B">
              <w:rPr>
                <w:rFonts w:ascii="Book Antiqua" w:hAnsi="Book Antiqua"/>
                <w:b/>
                <w:i/>
                <w:color w:val="000000" w:themeColor="text1"/>
              </w:rPr>
              <w:t>n</w:t>
            </w:r>
            <w:r w:rsidRPr="0066241B">
              <w:rPr>
                <w:rFonts w:ascii="Book Antiqua" w:hAnsi="Book Antiqua"/>
                <w:b/>
                <w:color w:val="000000" w:themeColor="text1"/>
              </w:rPr>
              <w:t xml:space="preserve"> = 213)</w:t>
            </w:r>
          </w:p>
        </w:tc>
        <w:tc>
          <w:tcPr>
            <w:tcW w:w="1545" w:type="dxa"/>
            <w:tcBorders>
              <w:top w:val="single" w:sz="4" w:space="0" w:color="000000"/>
              <w:bottom w:val="single" w:sz="4" w:space="0" w:color="000000"/>
            </w:tcBorders>
          </w:tcPr>
          <w:p w14:paraId="6D08E310" w14:textId="77777777" w:rsidR="0052656F" w:rsidRPr="0066241B" w:rsidRDefault="000D2442" w:rsidP="00B34F1C">
            <w:pPr>
              <w:tabs>
                <w:tab w:val="left" w:pos="4712"/>
              </w:tabs>
              <w:spacing w:line="360" w:lineRule="auto"/>
              <w:rPr>
                <w:rFonts w:ascii="Book Antiqua" w:hAnsi="Book Antiqua"/>
                <w:b/>
                <w:color w:val="000000" w:themeColor="text1"/>
              </w:rPr>
            </w:pPr>
            <w:r w:rsidRPr="0066241B">
              <w:rPr>
                <w:rFonts w:ascii="Book Antiqua" w:hAnsi="Book Antiqua"/>
                <w:b/>
                <w:i/>
                <w:color w:val="000000" w:themeColor="text1"/>
              </w:rPr>
              <w:t xml:space="preserve">P </w:t>
            </w:r>
            <w:r w:rsidRPr="0066241B">
              <w:rPr>
                <w:rFonts w:ascii="Book Antiqua" w:hAnsi="Book Antiqua"/>
                <w:b/>
                <w:color w:val="000000" w:themeColor="text1"/>
              </w:rPr>
              <w:t>value</w:t>
            </w:r>
          </w:p>
        </w:tc>
        <w:tc>
          <w:tcPr>
            <w:tcW w:w="1554" w:type="dxa"/>
            <w:tcBorders>
              <w:top w:val="single" w:sz="4" w:space="0" w:color="000000"/>
              <w:bottom w:val="single" w:sz="4" w:space="0" w:color="000000"/>
            </w:tcBorders>
          </w:tcPr>
          <w:p w14:paraId="08FBDF91" w14:textId="77777777" w:rsidR="0052656F" w:rsidRPr="0066241B" w:rsidRDefault="000D2442" w:rsidP="00B34F1C">
            <w:pPr>
              <w:tabs>
                <w:tab w:val="left" w:pos="4712"/>
              </w:tabs>
              <w:spacing w:line="360" w:lineRule="auto"/>
              <w:rPr>
                <w:rFonts w:ascii="Book Antiqua" w:hAnsi="Book Antiqua"/>
                <w:b/>
                <w:color w:val="000000" w:themeColor="text1"/>
              </w:rPr>
            </w:pPr>
            <w:r w:rsidRPr="0066241B">
              <w:rPr>
                <w:rFonts w:ascii="Book Antiqua" w:hAnsi="Book Antiqua"/>
                <w:b/>
                <w:color w:val="000000" w:themeColor="text1"/>
              </w:rPr>
              <w:t>SMD</w:t>
            </w:r>
          </w:p>
        </w:tc>
      </w:tr>
      <w:tr w:rsidR="00C21A2B" w:rsidRPr="0066241B" w14:paraId="739C19AE" w14:textId="77777777">
        <w:trPr>
          <w:trHeight w:val="358"/>
        </w:trPr>
        <w:tc>
          <w:tcPr>
            <w:tcW w:w="2503" w:type="dxa"/>
            <w:tcBorders>
              <w:top w:val="single" w:sz="4" w:space="0" w:color="000000"/>
            </w:tcBorders>
          </w:tcPr>
          <w:p w14:paraId="7519F92A"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Age, yr</w:t>
            </w:r>
          </w:p>
        </w:tc>
        <w:tc>
          <w:tcPr>
            <w:tcW w:w="1588" w:type="dxa"/>
            <w:tcBorders>
              <w:top w:val="single" w:sz="4" w:space="0" w:color="000000"/>
            </w:tcBorders>
          </w:tcPr>
          <w:p w14:paraId="0078BD78"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51.0 ± 10.6</w:t>
            </w:r>
          </w:p>
        </w:tc>
        <w:tc>
          <w:tcPr>
            <w:tcW w:w="1588" w:type="dxa"/>
            <w:tcBorders>
              <w:top w:val="single" w:sz="4" w:space="0" w:color="000000"/>
            </w:tcBorders>
          </w:tcPr>
          <w:p w14:paraId="330945CA"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59.1 ± 11.4</w:t>
            </w:r>
          </w:p>
        </w:tc>
        <w:tc>
          <w:tcPr>
            <w:tcW w:w="1839" w:type="dxa"/>
            <w:tcBorders>
              <w:top w:val="single" w:sz="4" w:space="0" w:color="000000"/>
            </w:tcBorders>
          </w:tcPr>
          <w:p w14:paraId="05C71BC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&lt; 0.001</w:t>
            </w:r>
          </w:p>
        </w:tc>
        <w:tc>
          <w:tcPr>
            <w:tcW w:w="1553" w:type="dxa"/>
            <w:tcBorders>
              <w:top w:val="single" w:sz="4" w:space="0" w:color="000000"/>
            </w:tcBorders>
          </w:tcPr>
          <w:p w14:paraId="42811B3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0.741</w:t>
            </w:r>
          </w:p>
        </w:tc>
        <w:tc>
          <w:tcPr>
            <w:tcW w:w="1588" w:type="dxa"/>
            <w:tcBorders>
              <w:top w:val="single" w:sz="4" w:space="0" w:color="000000"/>
            </w:tcBorders>
          </w:tcPr>
          <w:p w14:paraId="6DFCCE9F"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53.9 ± 9.8</w:t>
            </w:r>
          </w:p>
        </w:tc>
        <w:tc>
          <w:tcPr>
            <w:tcW w:w="1588" w:type="dxa"/>
            <w:tcBorders>
              <w:top w:val="single" w:sz="4" w:space="0" w:color="000000"/>
            </w:tcBorders>
          </w:tcPr>
          <w:p w14:paraId="168FAB8A"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53.7 ± 11.4</w:t>
            </w:r>
          </w:p>
        </w:tc>
        <w:tc>
          <w:tcPr>
            <w:tcW w:w="1545" w:type="dxa"/>
            <w:tcBorders>
              <w:top w:val="single" w:sz="4" w:space="0" w:color="000000"/>
            </w:tcBorders>
          </w:tcPr>
          <w:p w14:paraId="20B497B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0.823</w:t>
            </w:r>
          </w:p>
        </w:tc>
        <w:tc>
          <w:tcPr>
            <w:tcW w:w="1554" w:type="dxa"/>
            <w:tcBorders>
              <w:top w:val="single" w:sz="4" w:space="0" w:color="000000"/>
            </w:tcBorders>
          </w:tcPr>
          <w:p w14:paraId="4B2C0A83"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0.022</w:t>
            </w:r>
          </w:p>
        </w:tc>
      </w:tr>
      <w:tr w:rsidR="00C21A2B" w:rsidRPr="0066241B" w14:paraId="610CE4F4" w14:textId="77777777">
        <w:trPr>
          <w:trHeight w:val="358"/>
        </w:trPr>
        <w:tc>
          <w:tcPr>
            <w:tcW w:w="2503" w:type="dxa"/>
          </w:tcPr>
          <w:p w14:paraId="46921D19"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Male sex</w:t>
            </w:r>
          </w:p>
        </w:tc>
        <w:tc>
          <w:tcPr>
            <w:tcW w:w="1588" w:type="dxa"/>
          </w:tcPr>
          <w:p w14:paraId="6E732FB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209 (46.3)</w:t>
            </w:r>
          </w:p>
        </w:tc>
        <w:tc>
          <w:tcPr>
            <w:tcW w:w="1588" w:type="dxa"/>
          </w:tcPr>
          <w:p w14:paraId="53FA149C"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394 (48.2)</w:t>
            </w:r>
          </w:p>
        </w:tc>
        <w:tc>
          <w:tcPr>
            <w:tcW w:w="1839" w:type="dxa"/>
          </w:tcPr>
          <w:p w14:paraId="3BF58734"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0.52</w:t>
            </w:r>
          </w:p>
        </w:tc>
        <w:tc>
          <w:tcPr>
            <w:tcW w:w="1553" w:type="dxa"/>
          </w:tcPr>
          <w:p w14:paraId="5550AA42"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0.036</w:t>
            </w:r>
          </w:p>
        </w:tc>
        <w:tc>
          <w:tcPr>
            <w:tcW w:w="1588" w:type="dxa"/>
          </w:tcPr>
          <w:p w14:paraId="12A0940D"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102 (47.9)</w:t>
            </w:r>
          </w:p>
        </w:tc>
        <w:tc>
          <w:tcPr>
            <w:tcW w:w="1588" w:type="dxa"/>
          </w:tcPr>
          <w:p w14:paraId="355C63AE"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97 (45.5)</w:t>
            </w:r>
          </w:p>
        </w:tc>
        <w:tc>
          <w:tcPr>
            <w:tcW w:w="1545" w:type="dxa"/>
          </w:tcPr>
          <w:p w14:paraId="3468E374"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0.627</w:t>
            </w:r>
          </w:p>
        </w:tc>
        <w:tc>
          <w:tcPr>
            <w:tcW w:w="1554" w:type="dxa"/>
          </w:tcPr>
          <w:p w14:paraId="36EA996E"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0.047</w:t>
            </w:r>
          </w:p>
        </w:tc>
      </w:tr>
      <w:tr w:rsidR="00C21A2B" w:rsidRPr="0066241B" w14:paraId="31E5435F" w14:textId="77777777">
        <w:trPr>
          <w:trHeight w:val="1412"/>
        </w:trPr>
        <w:tc>
          <w:tcPr>
            <w:tcW w:w="2503" w:type="dxa"/>
          </w:tcPr>
          <w:p w14:paraId="46B8563B"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HCV RNA, xlog</w:t>
            </w:r>
            <w:r w:rsidRPr="0066241B">
              <w:rPr>
                <w:rFonts w:ascii="Book Antiqua" w:hAnsi="Book Antiqua"/>
                <w:color w:val="000000" w:themeColor="text1"/>
                <w:vertAlign w:val="subscript"/>
              </w:rPr>
              <w:t>10</w:t>
            </w:r>
            <w:r w:rsidRPr="0066241B">
              <w:rPr>
                <w:rFonts w:ascii="Book Antiqua" w:hAnsi="Book Antiqua"/>
                <w:color w:val="000000" w:themeColor="text1"/>
              </w:rPr>
              <w:t xml:space="preserve"> IU/mL</w:t>
            </w:r>
          </w:p>
        </w:tc>
        <w:tc>
          <w:tcPr>
            <w:tcW w:w="1588" w:type="dxa"/>
          </w:tcPr>
          <w:p w14:paraId="28D0FD5C"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5.72 (4.77-6.37)</w:t>
            </w:r>
          </w:p>
        </w:tc>
        <w:tc>
          <w:tcPr>
            <w:tcW w:w="1588" w:type="dxa"/>
          </w:tcPr>
          <w:p w14:paraId="749489C9"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6.04 (5.26-6.52)</w:t>
            </w:r>
          </w:p>
        </w:tc>
        <w:tc>
          <w:tcPr>
            <w:tcW w:w="1839" w:type="dxa"/>
          </w:tcPr>
          <w:p w14:paraId="0176DC49"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&lt; 0.001</w:t>
            </w:r>
          </w:p>
        </w:tc>
        <w:tc>
          <w:tcPr>
            <w:tcW w:w="1553" w:type="dxa"/>
          </w:tcPr>
          <w:p w14:paraId="47ED7E2A"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0.278</w:t>
            </w:r>
          </w:p>
        </w:tc>
        <w:tc>
          <w:tcPr>
            <w:tcW w:w="1588" w:type="dxa"/>
          </w:tcPr>
          <w:p w14:paraId="7D0DDA16"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5.84 (4.91-6.53)</w:t>
            </w:r>
          </w:p>
        </w:tc>
        <w:tc>
          <w:tcPr>
            <w:tcW w:w="1588" w:type="dxa"/>
          </w:tcPr>
          <w:p w14:paraId="17747894"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6.07 (5.21-6.50)</w:t>
            </w:r>
          </w:p>
        </w:tc>
        <w:tc>
          <w:tcPr>
            <w:tcW w:w="1545" w:type="dxa"/>
          </w:tcPr>
          <w:p w14:paraId="6A427F88"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0.439</w:t>
            </w:r>
          </w:p>
        </w:tc>
        <w:tc>
          <w:tcPr>
            <w:tcW w:w="1554" w:type="dxa"/>
          </w:tcPr>
          <w:p w14:paraId="14238656"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0.073</w:t>
            </w:r>
          </w:p>
        </w:tc>
      </w:tr>
      <w:tr w:rsidR="00C21A2B" w:rsidRPr="0066241B" w14:paraId="3E378CFE" w14:textId="77777777">
        <w:trPr>
          <w:trHeight w:val="696"/>
        </w:trPr>
        <w:tc>
          <w:tcPr>
            <w:tcW w:w="2503" w:type="dxa"/>
          </w:tcPr>
          <w:p w14:paraId="43565AD8"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HCV genotype</w:t>
            </w:r>
          </w:p>
        </w:tc>
        <w:tc>
          <w:tcPr>
            <w:tcW w:w="1588" w:type="dxa"/>
          </w:tcPr>
          <w:p w14:paraId="62E7E74F"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75A1AF8B"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839" w:type="dxa"/>
          </w:tcPr>
          <w:p w14:paraId="56D84C46"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&lt; 0.001</w:t>
            </w:r>
          </w:p>
        </w:tc>
        <w:tc>
          <w:tcPr>
            <w:tcW w:w="1553" w:type="dxa"/>
          </w:tcPr>
          <w:p w14:paraId="42F2FF1C"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0.406</w:t>
            </w:r>
          </w:p>
        </w:tc>
        <w:tc>
          <w:tcPr>
            <w:tcW w:w="1588" w:type="dxa"/>
          </w:tcPr>
          <w:p w14:paraId="7F319B4D"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2D1FD9C7"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45" w:type="dxa"/>
          </w:tcPr>
          <w:p w14:paraId="39F2640F"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0.731</w:t>
            </w:r>
          </w:p>
        </w:tc>
        <w:tc>
          <w:tcPr>
            <w:tcW w:w="1554" w:type="dxa"/>
          </w:tcPr>
          <w:p w14:paraId="22F57934"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0.058</w:t>
            </w:r>
          </w:p>
        </w:tc>
      </w:tr>
      <w:tr w:rsidR="00C21A2B" w:rsidRPr="0066241B" w14:paraId="199E828B" w14:textId="77777777">
        <w:trPr>
          <w:trHeight w:val="358"/>
        </w:trPr>
        <w:tc>
          <w:tcPr>
            <w:tcW w:w="2503" w:type="dxa"/>
          </w:tcPr>
          <w:p w14:paraId="7428C297"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t>1</w:t>
            </w:r>
          </w:p>
        </w:tc>
        <w:tc>
          <w:tcPr>
            <w:tcW w:w="1588" w:type="dxa"/>
          </w:tcPr>
          <w:p w14:paraId="5ABDFE49"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167 (37.0)</w:t>
            </w:r>
          </w:p>
        </w:tc>
        <w:tc>
          <w:tcPr>
            <w:tcW w:w="1588" w:type="dxa"/>
          </w:tcPr>
          <w:p w14:paraId="45D111DB"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464 (56.8)</w:t>
            </w:r>
          </w:p>
        </w:tc>
        <w:tc>
          <w:tcPr>
            <w:tcW w:w="1839" w:type="dxa"/>
          </w:tcPr>
          <w:p w14:paraId="00A6E883"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3" w:type="dxa"/>
          </w:tcPr>
          <w:p w14:paraId="1E3296ED"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15D4B17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95 (44.6)</w:t>
            </w:r>
          </w:p>
        </w:tc>
        <w:tc>
          <w:tcPr>
            <w:tcW w:w="1588" w:type="dxa"/>
          </w:tcPr>
          <w:p w14:paraId="1BA88CB1"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101 (47.4)</w:t>
            </w:r>
          </w:p>
        </w:tc>
        <w:tc>
          <w:tcPr>
            <w:tcW w:w="1545" w:type="dxa"/>
          </w:tcPr>
          <w:p w14:paraId="2C2A2075"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4" w:type="dxa"/>
          </w:tcPr>
          <w:p w14:paraId="672BE289" w14:textId="77777777" w:rsidR="0052656F" w:rsidRPr="0066241B" w:rsidRDefault="0052656F" w:rsidP="00B34F1C">
            <w:pPr>
              <w:tabs>
                <w:tab w:val="left" w:pos="4712"/>
              </w:tabs>
              <w:spacing w:line="360" w:lineRule="auto"/>
              <w:rPr>
                <w:rFonts w:ascii="Book Antiqua" w:hAnsi="Book Antiqua"/>
                <w:color w:val="000000" w:themeColor="text1"/>
              </w:rPr>
            </w:pPr>
          </w:p>
        </w:tc>
      </w:tr>
      <w:tr w:rsidR="00C21A2B" w:rsidRPr="0066241B" w14:paraId="59C88193" w14:textId="77777777">
        <w:trPr>
          <w:trHeight w:val="358"/>
        </w:trPr>
        <w:tc>
          <w:tcPr>
            <w:tcW w:w="2503" w:type="dxa"/>
          </w:tcPr>
          <w:p w14:paraId="7102C557"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t>2</w:t>
            </w:r>
          </w:p>
        </w:tc>
        <w:tc>
          <w:tcPr>
            <w:tcW w:w="1588" w:type="dxa"/>
          </w:tcPr>
          <w:p w14:paraId="1259995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278 (61.6)</w:t>
            </w:r>
          </w:p>
        </w:tc>
        <w:tc>
          <w:tcPr>
            <w:tcW w:w="1588" w:type="dxa"/>
          </w:tcPr>
          <w:p w14:paraId="125B4B89"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342 (41.9)</w:t>
            </w:r>
          </w:p>
        </w:tc>
        <w:tc>
          <w:tcPr>
            <w:tcW w:w="1839" w:type="dxa"/>
          </w:tcPr>
          <w:p w14:paraId="536D8675"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3" w:type="dxa"/>
          </w:tcPr>
          <w:p w14:paraId="2BCC1F7B"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50E07784"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116 (54.5)</w:t>
            </w:r>
          </w:p>
        </w:tc>
        <w:tc>
          <w:tcPr>
            <w:tcW w:w="1588" w:type="dxa"/>
          </w:tcPr>
          <w:p w14:paraId="4E55E7E2"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111 (52.1)</w:t>
            </w:r>
          </w:p>
        </w:tc>
        <w:tc>
          <w:tcPr>
            <w:tcW w:w="1545" w:type="dxa"/>
          </w:tcPr>
          <w:p w14:paraId="50AD9647"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4" w:type="dxa"/>
          </w:tcPr>
          <w:p w14:paraId="2E6AFF15" w14:textId="77777777" w:rsidR="0052656F" w:rsidRPr="0066241B" w:rsidRDefault="0052656F" w:rsidP="00B34F1C">
            <w:pPr>
              <w:tabs>
                <w:tab w:val="left" w:pos="4712"/>
              </w:tabs>
              <w:spacing w:line="360" w:lineRule="auto"/>
              <w:rPr>
                <w:rFonts w:ascii="Book Antiqua" w:hAnsi="Book Antiqua"/>
                <w:color w:val="000000" w:themeColor="text1"/>
              </w:rPr>
            </w:pPr>
          </w:p>
        </w:tc>
      </w:tr>
      <w:tr w:rsidR="00C21A2B" w:rsidRPr="0066241B" w14:paraId="2CC0D80B" w14:textId="77777777">
        <w:trPr>
          <w:trHeight w:val="358"/>
        </w:trPr>
        <w:tc>
          <w:tcPr>
            <w:tcW w:w="2503" w:type="dxa"/>
          </w:tcPr>
          <w:p w14:paraId="7C1FC009"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t xml:space="preserve">Others </w:t>
            </w:r>
          </w:p>
        </w:tc>
        <w:tc>
          <w:tcPr>
            <w:tcW w:w="1588" w:type="dxa"/>
          </w:tcPr>
          <w:p w14:paraId="69171F17"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6 (1.3)</w:t>
            </w:r>
          </w:p>
        </w:tc>
        <w:tc>
          <w:tcPr>
            <w:tcW w:w="1588" w:type="dxa"/>
          </w:tcPr>
          <w:p w14:paraId="37109F1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11 (1.3)</w:t>
            </w:r>
          </w:p>
        </w:tc>
        <w:tc>
          <w:tcPr>
            <w:tcW w:w="1839" w:type="dxa"/>
          </w:tcPr>
          <w:p w14:paraId="13B3A76C"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3" w:type="dxa"/>
          </w:tcPr>
          <w:p w14:paraId="6E2A95F3"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72C7828F"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2 (0.9)</w:t>
            </w:r>
          </w:p>
        </w:tc>
        <w:tc>
          <w:tcPr>
            <w:tcW w:w="1588" w:type="dxa"/>
          </w:tcPr>
          <w:p w14:paraId="6AE8AEBE"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 (0.5)</w:t>
            </w:r>
          </w:p>
        </w:tc>
        <w:tc>
          <w:tcPr>
            <w:tcW w:w="1545" w:type="dxa"/>
          </w:tcPr>
          <w:p w14:paraId="7B84A688"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4" w:type="dxa"/>
          </w:tcPr>
          <w:p w14:paraId="2AF5A4D2" w14:textId="77777777" w:rsidR="0052656F" w:rsidRPr="0066241B" w:rsidRDefault="0052656F" w:rsidP="00B34F1C">
            <w:pPr>
              <w:tabs>
                <w:tab w:val="left" w:pos="4712"/>
              </w:tabs>
              <w:spacing w:line="360" w:lineRule="auto"/>
              <w:rPr>
                <w:rFonts w:ascii="Book Antiqua" w:hAnsi="Book Antiqua"/>
                <w:color w:val="000000" w:themeColor="text1"/>
              </w:rPr>
            </w:pPr>
          </w:p>
        </w:tc>
      </w:tr>
      <w:tr w:rsidR="00C21A2B" w:rsidRPr="0066241B" w14:paraId="0E255125" w14:textId="77777777">
        <w:trPr>
          <w:trHeight w:val="696"/>
        </w:trPr>
        <w:tc>
          <w:tcPr>
            <w:tcW w:w="2503" w:type="dxa"/>
          </w:tcPr>
          <w:p w14:paraId="7D2CE9F8"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Entry-to-treat, year</w:t>
            </w:r>
          </w:p>
        </w:tc>
        <w:tc>
          <w:tcPr>
            <w:tcW w:w="1588" w:type="dxa"/>
          </w:tcPr>
          <w:p w14:paraId="3F18D657"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 (0-0.3)</w:t>
            </w:r>
          </w:p>
        </w:tc>
        <w:tc>
          <w:tcPr>
            <w:tcW w:w="1588" w:type="dxa"/>
          </w:tcPr>
          <w:p w14:paraId="36E39C33"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0.2 (0-2.1)</w:t>
            </w:r>
          </w:p>
        </w:tc>
        <w:tc>
          <w:tcPr>
            <w:tcW w:w="1839" w:type="dxa"/>
          </w:tcPr>
          <w:p w14:paraId="54EC2D23"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&lt; 0.001</w:t>
            </w:r>
          </w:p>
        </w:tc>
        <w:tc>
          <w:tcPr>
            <w:tcW w:w="1553" w:type="dxa"/>
          </w:tcPr>
          <w:p w14:paraId="038C850A"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0.654</w:t>
            </w:r>
          </w:p>
        </w:tc>
        <w:tc>
          <w:tcPr>
            <w:tcW w:w="1588" w:type="dxa"/>
          </w:tcPr>
          <w:p w14:paraId="40D884A2"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0.1 (0-0.4)</w:t>
            </w:r>
          </w:p>
        </w:tc>
        <w:tc>
          <w:tcPr>
            <w:tcW w:w="1588" w:type="dxa"/>
          </w:tcPr>
          <w:p w14:paraId="4D6516F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0.1 (0-0.4)</w:t>
            </w:r>
          </w:p>
        </w:tc>
        <w:tc>
          <w:tcPr>
            <w:tcW w:w="1545" w:type="dxa"/>
          </w:tcPr>
          <w:p w14:paraId="3A2DD818"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0.78</w:t>
            </w:r>
          </w:p>
        </w:tc>
        <w:tc>
          <w:tcPr>
            <w:tcW w:w="1554" w:type="dxa"/>
          </w:tcPr>
          <w:p w14:paraId="0BC7E192"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0.125</w:t>
            </w:r>
          </w:p>
        </w:tc>
      </w:tr>
      <w:tr w:rsidR="00C21A2B" w:rsidRPr="0066241B" w14:paraId="1826A11E" w14:textId="77777777">
        <w:trPr>
          <w:trHeight w:val="696"/>
        </w:trPr>
        <w:tc>
          <w:tcPr>
            <w:tcW w:w="2503" w:type="dxa"/>
          </w:tcPr>
          <w:p w14:paraId="48A6A74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Diagnosis status</w:t>
            </w:r>
          </w:p>
        </w:tc>
        <w:tc>
          <w:tcPr>
            <w:tcW w:w="1588" w:type="dxa"/>
          </w:tcPr>
          <w:p w14:paraId="3C6BF010"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13E5622B"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839" w:type="dxa"/>
          </w:tcPr>
          <w:p w14:paraId="61F3C29E"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0.001</w:t>
            </w:r>
          </w:p>
        </w:tc>
        <w:tc>
          <w:tcPr>
            <w:tcW w:w="1553" w:type="dxa"/>
          </w:tcPr>
          <w:p w14:paraId="5F7E0DAD"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0.192</w:t>
            </w:r>
          </w:p>
        </w:tc>
        <w:tc>
          <w:tcPr>
            <w:tcW w:w="1588" w:type="dxa"/>
          </w:tcPr>
          <w:p w14:paraId="01DF7D5E"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75D9389E"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45" w:type="dxa"/>
          </w:tcPr>
          <w:p w14:paraId="295DEB74"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0.901</w:t>
            </w:r>
          </w:p>
        </w:tc>
        <w:tc>
          <w:tcPr>
            <w:tcW w:w="1554" w:type="dxa"/>
          </w:tcPr>
          <w:p w14:paraId="131E9AD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0.012</w:t>
            </w:r>
          </w:p>
        </w:tc>
      </w:tr>
      <w:tr w:rsidR="00C21A2B" w:rsidRPr="0066241B" w14:paraId="1E62124B" w14:textId="77777777">
        <w:trPr>
          <w:trHeight w:val="696"/>
        </w:trPr>
        <w:tc>
          <w:tcPr>
            <w:tcW w:w="2503" w:type="dxa"/>
          </w:tcPr>
          <w:p w14:paraId="1CFFB72B"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t>Chronic hepatitis</w:t>
            </w:r>
          </w:p>
        </w:tc>
        <w:tc>
          <w:tcPr>
            <w:tcW w:w="1588" w:type="dxa"/>
          </w:tcPr>
          <w:p w14:paraId="1922BA1A"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373 (82.7)</w:t>
            </w:r>
          </w:p>
        </w:tc>
        <w:tc>
          <w:tcPr>
            <w:tcW w:w="1588" w:type="dxa"/>
          </w:tcPr>
          <w:p w14:paraId="644A23E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612 (74.9)</w:t>
            </w:r>
          </w:p>
        </w:tc>
        <w:tc>
          <w:tcPr>
            <w:tcW w:w="1839" w:type="dxa"/>
          </w:tcPr>
          <w:p w14:paraId="0B4F3D91"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3" w:type="dxa"/>
          </w:tcPr>
          <w:p w14:paraId="79F99A72"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77A6FF2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174 (81.7)</w:t>
            </w:r>
          </w:p>
        </w:tc>
        <w:tc>
          <w:tcPr>
            <w:tcW w:w="1588" w:type="dxa"/>
          </w:tcPr>
          <w:p w14:paraId="5C9738D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173 (81.2)</w:t>
            </w:r>
          </w:p>
        </w:tc>
        <w:tc>
          <w:tcPr>
            <w:tcW w:w="1545" w:type="dxa"/>
          </w:tcPr>
          <w:p w14:paraId="306C301A"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4" w:type="dxa"/>
          </w:tcPr>
          <w:p w14:paraId="417E1E6D" w14:textId="77777777" w:rsidR="0052656F" w:rsidRPr="0066241B" w:rsidRDefault="0052656F" w:rsidP="00B34F1C">
            <w:pPr>
              <w:tabs>
                <w:tab w:val="left" w:pos="4712"/>
              </w:tabs>
              <w:spacing w:line="360" w:lineRule="auto"/>
              <w:rPr>
                <w:rFonts w:ascii="Book Antiqua" w:hAnsi="Book Antiqua"/>
                <w:color w:val="000000" w:themeColor="text1"/>
              </w:rPr>
            </w:pPr>
          </w:p>
        </w:tc>
      </w:tr>
      <w:tr w:rsidR="00C21A2B" w:rsidRPr="0066241B" w14:paraId="11B10E6D" w14:textId="77777777">
        <w:trPr>
          <w:trHeight w:val="1372"/>
        </w:trPr>
        <w:tc>
          <w:tcPr>
            <w:tcW w:w="2503" w:type="dxa"/>
          </w:tcPr>
          <w:p w14:paraId="336480CB"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lastRenderedPageBreak/>
              <w:t>Compensated cirrhosis</w:t>
            </w:r>
          </w:p>
        </w:tc>
        <w:tc>
          <w:tcPr>
            <w:tcW w:w="1588" w:type="dxa"/>
          </w:tcPr>
          <w:p w14:paraId="31ADB268"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78 (17.3)</w:t>
            </w:r>
          </w:p>
        </w:tc>
        <w:tc>
          <w:tcPr>
            <w:tcW w:w="1588" w:type="dxa"/>
          </w:tcPr>
          <w:p w14:paraId="6FA1FE4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205 (25.1)</w:t>
            </w:r>
          </w:p>
        </w:tc>
        <w:tc>
          <w:tcPr>
            <w:tcW w:w="1839" w:type="dxa"/>
          </w:tcPr>
          <w:p w14:paraId="34A489A3"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3" w:type="dxa"/>
          </w:tcPr>
          <w:p w14:paraId="274113B3"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069D7992"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39 (18.3)</w:t>
            </w:r>
          </w:p>
        </w:tc>
        <w:tc>
          <w:tcPr>
            <w:tcW w:w="1588" w:type="dxa"/>
          </w:tcPr>
          <w:p w14:paraId="624D8AB6"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40 (18.8)</w:t>
            </w:r>
          </w:p>
        </w:tc>
        <w:tc>
          <w:tcPr>
            <w:tcW w:w="1545" w:type="dxa"/>
          </w:tcPr>
          <w:p w14:paraId="53CF5C8E"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4" w:type="dxa"/>
          </w:tcPr>
          <w:p w14:paraId="551E97C4" w14:textId="77777777" w:rsidR="0052656F" w:rsidRPr="0066241B" w:rsidRDefault="0052656F" w:rsidP="00B34F1C">
            <w:pPr>
              <w:tabs>
                <w:tab w:val="left" w:pos="4712"/>
              </w:tabs>
              <w:spacing w:line="360" w:lineRule="auto"/>
              <w:rPr>
                <w:rFonts w:ascii="Book Antiqua" w:hAnsi="Book Antiqua"/>
                <w:color w:val="000000" w:themeColor="text1"/>
              </w:rPr>
            </w:pPr>
          </w:p>
        </w:tc>
      </w:tr>
      <w:tr w:rsidR="00C21A2B" w:rsidRPr="0066241B" w14:paraId="05B50877" w14:textId="77777777">
        <w:trPr>
          <w:trHeight w:val="358"/>
        </w:trPr>
        <w:tc>
          <w:tcPr>
            <w:tcW w:w="2503" w:type="dxa"/>
          </w:tcPr>
          <w:p w14:paraId="5083255E"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FIB-4 index</w:t>
            </w:r>
          </w:p>
        </w:tc>
        <w:tc>
          <w:tcPr>
            <w:tcW w:w="1588" w:type="dxa"/>
          </w:tcPr>
          <w:p w14:paraId="523D62B6"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1800B89C"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839" w:type="dxa"/>
          </w:tcPr>
          <w:p w14:paraId="6EB7000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&lt; 0.001</w:t>
            </w:r>
          </w:p>
        </w:tc>
        <w:tc>
          <w:tcPr>
            <w:tcW w:w="1553" w:type="dxa"/>
          </w:tcPr>
          <w:p w14:paraId="7D87FD34"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0.294</w:t>
            </w:r>
          </w:p>
        </w:tc>
        <w:tc>
          <w:tcPr>
            <w:tcW w:w="1588" w:type="dxa"/>
          </w:tcPr>
          <w:p w14:paraId="6509A1CF"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3D916E06"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45" w:type="dxa"/>
          </w:tcPr>
          <w:p w14:paraId="0F369E4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0.363</w:t>
            </w:r>
          </w:p>
        </w:tc>
        <w:tc>
          <w:tcPr>
            <w:tcW w:w="1554" w:type="dxa"/>
          </w:tcPr>
          <w:p w14:paraId="3D62787C"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0.071</w:t>
            </w:r>
          </w:p>
        </w:tc>
      </w:tr>
      <w:tr w:rsidR="00C21A2B" w:rsidRPr="0066241B" w14:paraId="1C6AE413" w14:textId="77777777">
        <w:trPr>
          <w:trHeight w:val="358"/>
        </w:trPr>
        <w:tc>
          <w:tcPr>
            <w:tcW w:w="2503" w:type="dxa"/>
          </w:tcPr>
          <w:p w14:paraId="0D12616D"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t>≤ 1.45</w:t>
            </w:r>
          </w:p>
        </w:tc>
        <w:tc>
          <w:tcPr>
            <w:tcW w:w="1588" w:type="dxa"/>
          </w:tcPr>
          <w:p w14:paraId="15303BD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156 (34.8)</w:t>
            </w:r>
          </w:p>
        </w:tc>
        <w:tc>
          <w:tcPr>
            <w:tcW w:w="1588" w:type="dxa"/>
          </w:tcPr>
          <w:p w14:paraId="76734A4A"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156 (19.9)</w:t>
            </w:r>
          </w:p>
        </w:tc>
        <w:tc>
          <w:tcPr>
            <w:tcW w:w="1839" w:type="dxa"/>
          </w:tcPr>
          <w:p w14:paraId="3FF5EDC5"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3" w:type="dxa"/>
          </w:tcPr>
          <w:p w14:paraId="58AF8631"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60BBE7A8"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69 (32.7)</w:t>
            </w:r>
          </w:p>
        </w:tc>
        <w:tc>
          <w:tcPr>
            <w:tcW w:w="1588" w:type="dxa"/>
          </w:tcPr>
          <w:p w14:paraId="23B2FA6A"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59 (29.1)</w:t>
            </w:r>
          </w:p>
        </w:tc>
        <w:tc>
          <w:tcPr>
            <w:tcW w:w="1545" w:type="dxa"/>
          </w:tcPr>
          <w:p w14:paraId="243D7AF1"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4" w:type="dxa"/>
          </w:tcPr>
          <w:p w14:paraId="65A23F7F" w14:textId="77777777" w:rsidR="0052656F" w:rsidRPr="0066241B" w:rsidRDefault="0052656F" w:rsidP="00B34F1C">
            <w:pPr>
              <w:tabs>
                <w:tab w:val="left" w:pos="4712"/>
              </w:tabs>
              <w:spacing w:line="360" w:lineRule="auto"/>
              <w:rPr>
                <w:rFonts w:ascii="Book Antiqua" w:hAnsi="Book Antiqua"/>
                <w:color w:val="000000" w:themeColor="text1"/>
              </w:rPr>
            </w:pPr>
          </w:p>
        </w:tc>
      </w:tr>
      <w:tr w:rsidR="00C21A2B" w:rsidRPr="0066241B" w14:paraId="1414ACED" w14:textId="77777777">
        <w:trPr>
          <w:trHeight w:val="358"/>
        </w:trPr>
        <w:tc>
          <w:tcPr>
            <w:tcW w:w="2503" w:type="dxa"/>
          </w:tcPr>
          <w:p w14:paraId="4BBC66D2"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t>1.45–3.25</w:t>
            </w:r>
          </w:p>
        </w:tc>
        <w:tc>
          <w:tcPr>
            <w:tcW w:w="1588" w:type="dxa"/>
          </w:tcPr>
          <w:p w14:paraId="15C16FCA"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155 (34.6)</w:t>
            </w:r>
          </w:p>
        </w:tc>
        <w:tc>
          <w:tcPr>
            <w:tcW w:w="1588" w:type="dxa"/>
          </w:tcPr>
          <w:p w14:paraId="38EA68A2"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326 (41.6)</w:t>
            </w:r>
          </w:p>
        </w:tc>
        <w:tc>
          <w:tcPr>
            <w:tcW w:w="1839" w:type="dxa"/>
          </w:tcPr>
          <w:p w14:paraId="13BCD6F0"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3" w:type="dxa"/>
          </w:tcPr>
          <w:p w14:paraId="4E8E5E9F"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46D0E4C2"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74 (35.1)</w:t>
            </w:r>
          </w:p>
        </w:tc>
        <w:tc>
          <w:tcPr>
            <w:tcW w:w="1588" w:type="dxa"/>
          </w:tcPr>
          <w:p w14:paraId="56E4CF0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85 (41.9)</w:t>
            </w:r>
          </w:p>
        </w:tc>
        <w:tc>
          <w:tcPr>
            <w:tcW w:w="1545" w:type="dxa"/>
          </w:tcPr>
          <w:p w14:paraId="22E61BC0"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4" w:type="dxa"/>
          </w:tcPr>
          <w:p w14:paraId="70C36C0A" w14:textId="77777777" w:rsidR="0052656F" w:rsidRPr="0066241B" w:rsidRDefault="0052656F" w:rsidP="00B34F1C">
            <w:pPr>
              <w:tabs>
                <w:tab w:val="left" w:pos="4712"/>
              </w:tabs>
              <w:spacing w:line="360" w:lineRule="auto"/>
              <w:rPr>
                <w:rFonts w:ascii="Book Antiqua" w:hAnsi="Book Antiqua"/>
                <w:color w:val="000000" w:themeColor="text1"/>
              </w:rPr>
            </w:pPr>
          </w:p>
        </w:tc>
      </w:tr>
      <w:tr w:rsidR="00C21A2B" w:rsidRPr="0066241B" w14:paraId="14E4B14C" w14:textId="77777777">
        <w:trPr>
          <w:trHeight w:val="358"/>
        </w:trPr>
        <w:tc>
          <w:tcPr>
            <w:tcW w:w="2503" w:type="dxa"/>
          </w:tcPr>
          <w:p w14:paraId="783ACC26"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t>≥ 3.25</w:t>
            </w:r>
          </w:p>
        </w:tc>
        <w:tc>
          <w:tcPr>
            <w:tcW w:w="1588" w:type="dxa"/>
          </w:tcPr>
          <w:p w14:paraId="02B6B5A9"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137 (30.6)</w:t>
            </w:r>
          </w:p>
        </w:tc>
        <w:tc>
          <w:tcPr>
            <w:tcW w:w="1588" w:type="dxa"/>
          </w:tcPr>
          <w:p w14:paraId="3663BE94"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302 (38.5)</w:t>
            </w:r>
          </w:p>
        </w:tc>
        <w:tc>
          <w:tcPr>
            <w:tcW w:w="1839" w:type="dxa"/>
          </w:tcPr>
          <w:p w14:paraId="2B9317B9"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3" w:type="dxa"/>
          </w:tcPr>
          <w:p w14:paraId="4501EA86"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758EFA1B"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68 (32.2)</w:t>
            </w:r>
          </w:p>
        </w:tc>
        <w:tc>
          <w:tcPr>
            <w:tcW w:w="1588" w:type="dxa"/>
          </w:tcPr>
          <w:p w14:paraId="091DDF7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59 (29.1)</w:t>
            </w:r>
          </w:p>
        </w:tc>
        <w:tc>
          <w:tcPr>
            <w:tcW w:w="1545" w:type="dxa"/>
          </w:tcPr>
          <w:p w14:paraId="5A118874"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4" w:type="dxa"/>
          </w:tcPr>
          <w:p w14:paraId="6DACAFE4" w14:textId="77777777" w:rsidR="0052656F" w:rsidRPr="0066241B" w:rsidRDefault="0052656F" w:rsidP="00B34F1C">
            <w:pPr>
              <w:tabs>
                <w:tab w:val="left" w:pos="4712"/>
              </w:tabs>
              <w:spacing w:line="360" w:lineRule="auto"/>
              <w:rPr>
                <w:rFonts w:ascii="Book Antiqua" w:hAnsi="Book Antiqua"/>
                <w:color w:val="000000" w:themeColor="text1"/>
              </w:rPr>
            </w:pPr>
          </w:p>
        </w:tc>
      </w:tr>
      <w:tr w:rsidR="00C21A2B" w:rsidRPr="0066241B" w14:paraId="3759858D" w14:textId="77777777">
        <w:trPr>
          <w:trHeight w:val="358"/>
        </w:trPr>
        <w:tc>
          <w:tcPr>
            <w:tcW w:w="2503" w:type="dxa"/>
          </w:tcPr>
          <w:p w14:paraId="247260A4"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APRI score</w:t>
            </w:r>
          </w:p>
        </w:tc>
        <w:tc>
          <w:tcPr>
            <w:tcW w:w="1588" w:type="dxa"/>
          </w:tcPr>
          <w:p w14:paraId="52F2379D"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314C592E"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839" w:type="dxa"/>
          </w:tcPr>
          <w:p w14:paraId="5905F6B4"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0.562</w:t>
            </w:r>
          </w:p>
        </w:tc>
        <w:tc>
          <w:tcPr>
            <w:tcW w:w="1553" w:type="dxa"/>
          </w:tcPr>
          <w:p w14:paraId="54D62BAF"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0.096</w:t>
            </w:r>
          </w:p>
        </w:tc>
        <w:tc>
          <w:tcPr>
            <w:tcW w:w="1588" w:type="dxa"/>
          </w:tcPr>
          <w:p w14:paraId="3756BFAD"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1604274B"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45" w:type="dxa"/>
          </w:tcPr>
          <w:p w14:paraId="38641AC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0.108</w:t>
            </w:r>
          </w:p>
        </w:tc>
        <w:tc>
          <w:tcPr>
            <w:tcW w:w="1554" w:type="dxa"/>
          </w:tcPr>
          <w:p w14:paraId="7362FB8F"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0.048</w:t>
            </w:r>
          </w:p>
        </w:tc>
      </w:tr>
      <w:tr w:rsidR="00C21A2B" w:rsidRPr="0066241B" w14:paraId="641A5D8D" w14:textId="77777777">
        <w:trPr>
          <w:trHeight w:val="358"/>
        </w:trPr>
        <w:tc>
          <w:tcPr>
            <w:tcW w:w="2503" w:type="dxa"/>
          </w:tcPr>
          <w:p w14:paraId="00653B95"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t>&lt; 2.0</w:t>
            </w:r>
          </w:p>
        </w:tc>
        <w:tc>
          <w:tcPr>
            <w:tcW w:w="1588" w:type="dxa"/>
          </w:tcPr>
          <w:p w14:paraId="46AB6FF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383 (85.1)</w:t>
            </w:r>
          </w:p>
        </w:tc>
        <w:tc>
          <w:tcPr>
            <w:tcW w:w="1588" w:type="dxa"/>
          </w:tcPr>
          <w:p w14:paraId="39F2157E"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676 (83.9)</w:t>
            </w:r>
          </w:p>
        </w:tc>
        <w:tc>
          <w:tcPr>
            <w:tcW w:w="1839" w:type="dxa"/>
          </w:tcPr>
          <w:p w14:paraId="172F59B1"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3" w:type="dxa"/>
          </w:tcPr>
          <w:p w14:paraId="0E90A9C1"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5ECD0B68"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186 (87.7)</w:t>
            </w:r>
          </w:p>
        </w:tc>
        <w:tc>
          <w:tcPr>
            <w:tcW w:w="1588" w:type="dxa"/>
          </w:tcPr>
          <w:p w14:paraId="7B3B7AC1"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170 (82.1)</w:t>
            </w:r>
          </w:p>
        </w:tc>
        <w:tc>
          <w:tcPr>
            <w:tcW w:w="1545" w:type="dxa"/>
          </w:tcPr>
          <w:p w14:paraId="33E1467C"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4" w:type="dxa"/>
          </w:tcPr>
          <w:p w14:paraId="6459CD00" w14:textId="77777777" w:rsidR="0052656F" w:rsidRPr="0066241B" w:rsidRDefault="0052656F" w:rsidP="00B34F1C">
            <w:pPr>
              <w:tabs>
                <w:tab w:val="left" w:pos="4712"/>
              </w:tabs>
              <w:spacing w:line="360" w:lineRule="auto"/>
              <w:rPr>
                <w:rFonts w:ascii="Book Antiqua" w:hAnsi="Book Antiqua"/>
                <w:color w:val="000000" w:themeColor="text1"/>
              </w:rPr>
            </w:pPr>
          </w:p>
        </w:tc>
      </w:tr>
      <w:tr w:rsidR="00C21A2B" w:rsidRPr="0066241B" w14:paraId="297FB1ED" w14:textId="77777777">
        <w:trPr>
          <w:trHeight w:val="358"/>
        </w:trPr>
        <w:tc>
          <w:tcPr>
            <w:tcW w:w="2503" w:type="dxa"/>
          </w:tcPr>
          <w:p w14:paraId="6283E148"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t>≥ 2.0</w:t>
            </w:r>
          </w:p>
        </w:tc>
        <w:tc>
          <w:tcPr>
            <w:tcW w:w="1588" w:type="dxa"/>
          </w:tcPr>
          <w:p w14:paraId="7866790B"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67 (14.9)</w:t>
            </w:r>
          </w:p>
        </w:tc>
        <w:tc>
          <w:tcPr>
            <w:tcW w:w="1588" w:type="dxa"/>
          </w:tcPr>
          <w:p w14:paraId="0E3E9ECC"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130 (16.1)</w:t>
            </w:r>
          </w:p>
        </w:tc>
        <w:tc>
          <w:tcPr>
            <w:tcW w:w="1839" w:type="dxa"/>
          </w:tcPr>
          <w:p w14:paraId="135EBF12"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3" w:type="dxa"/>
          </w:tcPr>
          <w:p w14:paraId="34D4C98A"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62448F38"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26 (12.3)</w:t>
            </w:r>
          </w:p>
        </w:tc>
        <w:tc>
          <w:tcPr>
            <w:tcW w:w="1588" w:type="dxa"/>
          </w:tcPr>
          <w:p w14:paraId="7B373A3F"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37 (17.9)</w:t>
            </w:r>
          </w:p>
        </w:tc>
        <w:tc>
          <w:tcPr>
            <w:tcW w:w="1545" w:type="dxa"/>
          </w:tcPr>
          <w:p w14:paraId="10C27A1A"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4" w:type="dxa"/>
          </w:tcPr>
          <w:p w14:paraId="0FD2EAA0" w14:textId="77777777" w:rsidR="0052656F" w:rsidRPr="0066241B" w:rsidRDefault="0052656F" w:rsidP="00B34F1C">
            <w:pPr>
              <w:tabs>
                <w:tab w:val="left" w:pos="4712"/>
              </w:tabs>
              <w:spacing w:line="360" w:lineRule="auto"/>
              <w:rPr>
                <w:rFonts w:ascii="Book Antiqua" w:hAnsi="Book Antiqua"/>
                <w:color w:val="000000" w:themeColor="text1"/>
              </w:rPr>
            </w:pPr>
          </w:p>
        </w:tc>
      </w:tr>
      <w:tr w:rsidR="00C21A2B" w:rsidRPr="0066241B" w14:paraId="2E594631" w14:textId="77777777">
        <w:trPr>
          <w:trHeight w:val="358"/>
        </w:trPr>
        <w:tc>
          <w:tcPr>
            <w:tcW w:w="2503" w:type="dxa"/>
          </w:tcPr>
          <w:p w14:paraId="22D9949C"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ALBI score</w:t>
            </w:r>
          </w:p>
        </w:tc>
        <w:tc>
          <w:tcPr>
            <w:tcW w:w="1588" w:type="dxa"/>
          </w:tcPr>
          <w:p w14:paraId="1026F167"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4107AFE5"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839" w:type="dxa"/>
          </w:tcPr>
          <w:p w14:paraId="5EF3B5DD"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0.958</w:t>
            </w:r>
          </w:p>
        </w:tc>
        <w:tc>
          <w:tcPr>
            <w:tcW w:w="1553" w:type="dxa"/>
          </w:tcPr>
          <w:p w14:paraId="4694B8AD"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0.044</w:t>
            </w:r>
          </w:p>
        </w:tc>
        <w:tc>
          <w:tcPr>
            <w:tcW w:w="1588" w:type="dxa"/>
          </w:tcPr>
          <w:p w14:paraId="527D9312"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36800BA8"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45" w:type="dxa"/>
          </w:tcPr>
          <w:p w14:paraId="694BF802"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0.339</w:t>
            </w:r>
          </w:p>
        </w:tc>
        <w:tc>
          <w:tcPr>
            <w:tcW w:w="1554" w:type="dxa"/>
          </w:tcPr>
          <w:p w14:paraId="2276459C"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0.054</w:t>
            </w:r>
          </w:p>
        </w:tc>
      </w:tr>
      <w:tr w:rsidR="00C21A2B" w:rsidRPr="0066241B" w14:paraId="00F5F032" w14:textId="77777777">
        <w:trPr>
          <w:trHeight w:val="696"/>
        </w:trPr>
        <w:tc>
          <w:tcPr>
            <w:tcW w:w="2503" w:type="dxa"/>
          </w:tcPr>
          <w:p w14:paraId="31E69B72"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t>≤ -2.60 (Grade 1)</w:t>
            </w:r>
          </w:p>
        </w:tc>
        <w:tc>
          <w:tcPr>
            <w:tcW w:w="1588" w:type="dxa"/>
          </w:tcPr>
          <w:p w14:paraId="76E62F7D"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360 (80.0)</w:t>
            </w:r>
          </w:p>
        </w:tc>
        <w:tc>
          <w:tcPr>
            <w:tcW w:w="1588" w:type="dxa"/>
          </w:tcPr>
          <w:p w14:paraId="77B8CEC2"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639 (79.9)</w:t>
            </w:r>
          </w:p>
        </w:tc>
        <w:tc>
          <w:tcPr>
            <w:tcW w:w="1839" w:type="dxa"/>
          </w:tcPr>
          <w:p w14:paraId="07E0EE87"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3" w:type="dxa"/>
          </w:tcPr>
          <w:p w14:paraId="5B2B62DE"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2A7CD6D6"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172 (81.1)</w:t>
            </w:r>
          </w:p>
        </w:tc>
        <w:tc>
          <w:tcPr>
            <w:tcW w:w="1588" w:type="dxa"/>
          </w:tcPr>
          <w:p w14:paraId="124A90B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172 (82.7)</w:t>
            </w:r>
          </w:p>
        </w:tc>
        <w:tc>
          <w:tcPr>
            <w:tcW w:w="1545" w:type="dxa"/>
          </w:tcPr>
          <w:p w14:paraId="519E35BC"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4" w:type="dxa"/>
          </w:tcPr>
          <w:p w14:paraId="3D80602A" w14:textId="77777777" w:rsidR="0052656F" w:rsidRPr="0066241B" w:rsidRDefault="0052656F" w:rsidP="00B34F1C">
            <w:pPr>
              <w:tabs>
                <w:tab w:val="left" w:pos="4712"/>
              </w:tabs>
              <w:spacing w:line="360" w:lineRule="auto"/>
              <w:rPr>
                <w:rFonts w:ascii="Book Antiqua" w:hAnsi="Book Antiqua"/>
                <w:color w:val="000000" w:themeColor="text1"/>
              </w:rPr>
            </w:pPr>
          </w:p>
        </w:tc>
      </w:tr>
      <w:tr w:rsidR="00C21A2B" w:rsidRPr="0066241B" w14:paraId="1CB2228A" w14:textId="77777777">
        <w:trPr>
          <w:trHeight w:val="1034"/>
        </w:trPr>
        <w:tc>
          <w:tcPr>
            <w:tcW w:w="2503" w:type="dxa"/>
          </w:tcPr>
          <w:p w14:paraId="760C65D5"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t>&gt; -2.60 (Grade 2 or 3)</w:t>
            </w:r>
          </w:p>
        </w:tc>
        <w:tc>
          <w:tcPr>
            <w:tcW w:w="1588" w:type="dxa"/>
          </w:tcPr>
          <w:p w14:paraId="54AB9B02"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90 (20.0)</w:t>
            </w:r>
          </w:p>
        </w:tc>
        <w:tc>
          <w:tcPr>
            <w:tcW w:w="1588" w:type="dxa"/>
          </w:tcPr>
          <w:p w14:paraId="5666800E"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161 (20.1)</w:t>
            </w:r>
          </w:p>
        </w:tc>
        <w:tc>
          <w:tcPr>
            <w:tcW w:w="1839" w:type="dxa"/>
          </w:tcPr>
          <w:p w14:paraId="354B7B3E"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3" w:type="dxa"/>
          </w:tcPr>
          <w:p w14:paraId="2BC3D16A"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1245ABD3"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40 (18.9)</w:t>
            </w:r>
          </w:p>
        </w:tc>
        <w:tc>
          <w:tcPr>
            <w:tcW w:w="1588" w:type="dxa"/>
          </w:tcPr>
          <w:p w14:paraId="15DD68BD"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36 (16.3)</w:t>
            </w:r>
          </w:p>
        </w:tc>
        <w:tc>
          <w:tcPr>
            <w:tcW w:w="1545" w:type="dxa"/>
          </w:tcPr>
          <w:p w14:paraId="6A07DF24"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4" w:type="dxa"/>
          </w:tcPr>
          <w:p w14:paraId="4B086908" w14:textId="77777777" w:rsidR="0052656F" w:rsidRPr="0066241B" w:rsidRDefault="0052656F" w:rsidP="00B34F1C">
            <w:pPr>
              <w:tabs>
                <w:tab w:val="left" w:pos="4712"/>
              </w:tabs>
              <w:spacing w:line="360" w:lineRule="auto"/>
              <w:rPr>
                <w:rFonts w:ascii="Book Antiqua" w:hAnsi="Book Antiqua"/>
                <w:color w:val="000000" w:themeColor="text1"/>
              </w:rPr>
            </w:pPr>
          </w:p>
        </w:tc>
      </w:tr>
      <w:tr w:rsidR="00C21A2B" w:rsidRPr="0066241B" w14:paraId="712F21F4" w14:textId="77777777">
        <w:trPr>
          <w:trHeight w:val="696"/>
        </w:trPr>
        <w:tc>
          <w:tcPr>
            <w:tcW w:w="2503" w:type="dxa"/>
          </w:tcPr>
          <w:p w14:paraId="78E3B84F"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Ever smoker</w:t>
            </w:r>
          </w:p>
        </w:tc>
        <w:tc>
          <w:tcPr>
            <w:tcW w:w="1588" w:type="dxa"/>
          </w:tcPr>
          <w:p w14:paraId="5322A709"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228 (50.8)</w:t>
            </w:r>
          </w:p>
        </w:tc>
        <w:tc>
          <w:tcPr>
            <w:tcW w:w="1588" w:type="dxa"/>
          </w:tcPr>
          <w:p w14:paraId="736ED351"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15 (37.5)</w:t>
            </w:r>
          </w:p>
        </w:tc>
        <w:tc>
          <w:tcPr>
            <w:tcW w:w="1839" w:type="dxa"/>
          </w:tcPr>
          <w:p w14:paraId="7DADBC77"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0.045</w:t>
            </w:r>
          </w:p>
        </w:tc>
        <w:tc>
          <w:tcPr>
            <w:tcW w:w="1553" w:type="dxa"/>
          </w:tcPr>
          <w:p w14:paraId="0D240CC2"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0.162</w:t>
            </w:r>
          </w:p>
        </w:tc>
        <w:tc>
          <w:tcPr>
            <w:tcW w:w="1588" w:type="dxa"/>
          </w:tcPr>
          <w:p w14:paraId="3B0A14C4"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95 (44.6)</w:t>
            </w:r>
          </w:p>
        </w:tc>
        <w:tc>
          <w:tcPr>
            <w:tcW w:w="1588" w:type="dxa"/>
          </w:tcPr>
          <w:p w14:paraId="0CCB7614"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93 (43.7)</w:t>
            </w:r>
          </w:p>
        </w:tc>
        <w:tc>
          <w:tcPr>
            <w:tcW w:w="1545" w:type="dxa"/>
          </w:tcPr>
          <w:p w14:paraId="747D8CB1"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0.527</w:t>
            </w:r>
          </w:p>
        </w:tc>
        <w:tc>
          <w:tcPr>
            <w:tcW w:w="1554" w:type="dxa"/>
          </w:tcPr>
          <w:p w14:paraId="0F8B61AF"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0.019</w:t>
            </w:r>
          </w:p>
        </w:tc>
      </w:tr>
      <w:tr w:rsidR="00C21A2B" w:rsidRPr="0066241B" w14:paraId="77AE2019" w14:textId="77777777">
        <w:trPr>
          <w:trHeight w:val="696"/>
        </w:trPr>
        <w:tc>
          <w:tcPr>
            <w:tcW w:w="2503" w:type="dxa"/>
          </w:tcPr>
          <w:p w14:paraId="3836945D"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Alcohol intake</w:t>
            </w:r>
          </w:p>
        </w:tc>
        <w:tc>
          <w:tcPr>
            <w:tcW w:w="1588" w:type="dxa"/>
          </w:tcPr>
          <w:p w14:paraId="20E67E0B"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457E1FB2"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839" w:type="dxa"/>
          </w:tcPr>
          <w:p w14:paraId="1292D63E"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&lt; 0.001</w:t>
            </w:r>
          </w:p>
        </w:tc>
        <w:tc>
          <w:tcPr>
            <w:tcW w:w="1553" w:type="dxa"/>
          </w:tcPr>
          <w:p w14:paraId="2631D58D"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0.669</w:t>
            </w:r>
          </w:p>
        </w:tc>
        <w:tc>
          <w:tcPr>
            <w:tcW w:w="1588" w:type="dxa"/>
          </w:tcPr>
          <w:p w14:paraId="60DA5192"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32783597"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45" w:type="dxa"/>
          </w:tcPr>
          <w:p w14:paraId="48ACBCBE"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0.816</w:t>
            </w:r>
          </w:p>
        </w:tc>
        <w:tc>
          <w:tcPr>
            <w:tcW w:w="1554" w:type="dxa"/>
          </w:tcPr>
          <w:p w14:paraId="25D1AB87"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0.058</w:t>
            </w:r>
          </w:p>
        </w:tc>
      </w:tr>
      <w:tr w:rsidR="00C21A2B" w:rsidRPr="0066241B" w14:paraId="395BC76E" w14:textId="77777777">
        <w:trPr>
          <w:trHeight w:val="358"/>
        </w:trPr>
        <w:tc>
          <w:tcPr>
            <w:tcW w:w="2503" w:type="dxa"/>
          </w:tcPr>
          <w:p w14:paraId="6E1258EA"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t>None</w:t>
            </w:r>
          </w:p>
        </w:tc>
        <w:tc>
          <w:tcPr>
            <w:tcW w:w="1588" w:type="dxa"/>
          </w:tcPr>
          <w:p w14:paraId="50E9F05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171 (38.0)</w:t>
            </w:r>
          </w:p>
        </w:tc>
        <w:tc>
          <w:tcPr>
            <w:tcW w:w="1588" w:type="dxa"/>
          </w:tcPr>
          <w:p w14:paraId="39B5D94D"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19 (47.5)</w:t>
            </w:r>
          </w:p>
        </w:tc>
        <w:tc>
          <w:tcPr>
            <w:tcW w:w="1839" w:type="dxa"/>
          </w:tcPr>
          <w:p w14:paraId="105E3272"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3" w:type="dxa"/>
          </w:tcPr>
          <w:p w14:paraId="08C2003B"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158F8F7C"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98 (46.0)</w:t>
            </w:r>
          </w:p>
        </w:tc>
        <w:tc>
          <w:tcPr>
            <w:tcW w:w="1588" w:type="dxa"/>
          </w:tcPr>
          <w:p w14:paraId="3F80366E"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104 (48.8)</w:t>
            </w:r>
          </w:p>
        </w:tc>
        <w:tc>
          <w:tcPr>
            <w:tcW w:w="1545" w:type="dxa"/>
          </w:tcPr>
          <w:p w14:paraId="34B4DE26"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4" w:type="dxa"/>
          </w:tcPr>
          <w:p w14:paraId="19BB1686" w14:textId="77777777" w:rsidR="0052656F" w:rsidRPr="0066241B" w:rsidRDefault="0052656F" w:rsidP="00B34F1C">
            <w:pPr>
              <w:tabs>
                <w:tab w:val="left" w:pos="4712"/>
              </w:tabs>
              <w:spacing w:line="360" w:lineRule="auto"/>
              <w:rPr>
                <w:rFonts w:ascii="Book Antiqua" w:hAnsi="Book Antiqua"/>
                <w:color w:val="000000" w:themeColor="text1"/>
              </w:rPr>
            </w:pPr>
          </w:p>
        </w:tc>
      </w:tr>
      <w:tr w:rsidR="00C21A2B" w:rsidRPr="0066241B" w14:paraId="18F96EC9" w14:textId="77777777">
        <w:trPr>
          <w:trHeight w:val="358"/>
        </w:trPr>
        <w:tc>
          <w:tcPr>
            <w:tcW w:w="2503" w:type="dxa"/>
          </w:tcPr>
          <w:p w14:paraId="10FE9C02"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t>Social</w:t>
            </w:r>
          </w:p>
        </w:tc>
        <w:tc>
          <w:tcPr>
            <w:tcW w:w="1588" w:type="dxa"/>
          </w:tcPr>
          <w:p w14:paraId="12B3B26D"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245 (54.4)</w:t>
            </w:r>
          </w:p>
        </w:tc>
        <w:tc>
          <w:tcPr>
            <w:tcW w:w="1588" w:type="dxa"/>
          </w:tcPr>
          <w:p w14:paraId="12D0ADD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13 (32.5)</w:t>
            </w:r>
          </w:p>
        </w:tc>
        <w:tc>
          <w:tcPr>
            <w:tcW w:w="1839" w:type="dxa"/>
          </w:tcPr>
          <w:p w14:paraId="6AA97AA0"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3" w:type="dxa"/>
          </w:tcPr>
          <w:p w14:paraId="02D23973"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55F2A4C7"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88 (41.3)</w:t>
            </w:r>
          </w:p>
        </w:tc>
        <w:tc>
          <w:tcPr>
            <w:tcW w:w="1588" w:type="dxa"/>
          </w:tcPr>
          <w:p w14:paraId="58A84262"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85 (39.9)</w:t>
            </w:r>
          </w:p>
        </w:tc>
        <w:tc>
          <w:tcPr>
            <w:tcW w:w="1545" w:type="dxa"/>
          </w:tcPr>
          <w:p w14:paraId="4A077D25"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4" w:type="dxa"/>
          </w:tcPr>
          <w:p w14:paraId="1C58E297" w14:textId="77777777" w:rsidR="0052656F" w:rsidRPr="0066241B" w:rsidRDefault="0052656F" w:rsidP="00B34F1C">
            <w:pPr>
              <w:tabs>
                <w:tab w:val="left" w:pos="4712"/>
              </w:tabs>
              <w:spacing w:line="360" w:lineRule="auto"/>
              <w:rPr>
                <w:rFonts w:ascii="Book Antiqua" w:hAnsi="Book Antiqua"/>
                <w:color w:val="000000" w:themeColor="text1"/>
              </w:rPr>
            </w:pPr>
          </w:p>
        </w:tc>
      </w:tr>
      <w:tr w:rsidR="00C21A2B" w:rsidRPr="0066241B" w14:paraId="12A4A0F1" w14:textId="77777777">
        <w:trPr>
          <w:trHeight w:val="696"/>
        </w:trPr>
        <w:tc>
          <w:tcPr>
            <w:tcW w:w="2503" w:type="dxa"/>
          </w:tcPr>
          <w:p w14:paraId="341BC3C7"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lastRenderedPageBreak/>
              <w:t>Significant</w:t>
            </w:r>
            <w:r w:rsidRPr="0066241B">
              <w:rPr>
                <w:rFonts w:ascii="Book Antiqua" w:hAnsi="Book Antiqua"/>
                <w:color w:val="000000" w:themeColor="text1"/>
                <w:vertAlign w:val="superscript"/>
              </w:rPr>
              <w:t>1</w:t>
            </w:r>
          </w:p>
        </w:tc>
        <w:tc>
          <w:tcPr>
            <w:tcW w:w="1588" w:type="dxa"/>
          </w:tcPr>
          <w:p w14:paraId="283269F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34 (7.6)</w:t>
            </w:r>
          </w:p>
        </w:tc>
        <w:tc>
          <w:tcPr>
            <w:tcW w:w="1588" w:type="dxa"/>
          </w:tcPr>
          <w:p w14:paraId="3117AC7A"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8 (20.0)</w:t>
            </w:r>
          </w:p>
        </w:tc>
        <w:tc>
          <w:tcPr>
            <w:tcW w:w="1839" w:type="dxa"/>
          </w:tcPr>
          <w:p w14:paraId="7440A14E"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3" w:type="dxa"/>
          </w:tcPr>
          <w:p w14:paraId="6E791722"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36795F79"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27 (12.7)</w:t>
            </w:r>
          </w:p>
        </w:tc>
        <w:tc>
          <w:tcPr>
            <w:tcW w:w="1588" w:type="dxa"/>
          </w:tcPr>
          <w:p w14:paraId="695082FD"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24 (11.3)</w:t>
            </w:r>
          </w:p>
        </w:tc>
        <w:tc>
          <w:tcPr>
            <w:tcW w:w="1545" w:type="dxa"/>
          </w:tcPr>
          <w:p w14:paraId="50BE228A"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4" w:type="dxa"/>
          </w:tcPr>
          <w:p w14:paraId="293FE0ED" w14:textId="77777777" w:rsidR="0052656F" w:rsidRPr="0066241B" w:rsidRDefault="0052656F" w:rsidP="00B34F1C">
            <w:pPr>
              <w:tabs>
                <w:tab w:val="left" w:pos="4712"/>
              </w:tabs>
              <w:spacing w:line="360" w:lineRule="auto"/>
              <w:rPr>
                <w:rFonts w:ascii="Book Antiqua" w:hAnsi="Book Antiqua"/>
                <w:color w:val="000000" w:themeColor="text1"/>
              </w:rPr>
            </w:pPr>
          </w:p>
        </w:tc>
      </w:tr>
      <w:tr w:rsidR="00C21A2B" w:rsidRPr="0066241B" w14:paraId="766074F8" w14:textId="77777777">
        <w:trPr>
          <w:trHeight w:val="1372"/>
        </w:trPr>
        <w:tc>
          <w:tcPr>
            <w:tcW w:w="2503" w:type="dxa"/>
          </w:tcPr>
          <w:p w14:paraId="50BF03E8"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Fatty liver disease on imaging study</w:t>
            </w:r>
          </w:p>
        </w:tc>
        <w:tc>
          <w:tcPr>
            <w:tcW w:w="1588" w:type="dxa"/>
          </w:tcPr>
          <w:p w14:paraId="4B05CAA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 xml:space="preserve">77 (22.8), </w:t>
            </w:r>
            <w:bookmarkStart w:id="70" w:name="OLE_LINK4725"/>
            <w:bookmarkStart w:id="71" w:name="OLE_LINK4726"/>
            <w:r w:rsidRPr="0066241B">
              <w:rPr>
                <w:rFonts w:ascii="Book Antiqua" w:hAnsi="Book Antiqua"/>
                <w:i/>
                <w:color w:val="000000" w:themeColor="text1"/>
              </w:rPr>
              <w:t>n</w:t>
            </w:r>
            <w:bookmarkEnd w:id="70"/>
            <w:bookmarkEnd w:id="71"/>
            <w:r w:rsidRPr="0066241B">
              <w:rPr>
                <w:rFonts w:ascii="Book Antiqua" w:hAnsi="Book Antiqua"/>
                <w:color w:val="000000" w:themeColor="text1"/>
              </w:rPr>
              <w:t xml:space="preserve"> = 337</w:t>
            </w:r>
          </w:p>
        </w:tc>
        <w:tc>
          <w:tcPr>
            <w:tcW w:w="1588" w:type="dxa"/>
          </w:tcPr>
          <w:p w14:paraId="383B32D1"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 xml:space="preserve">131 (22.4), </w:t>
            </w:r>
            <w:r w:rsidRPr="0066241B">
              <w:rPr>
                <w:rFonts w:ascii="Book Antiqua" w:hAnsi="Book Antiqua"/>
                <w:i/>
                <w:color w:val="000000" w:themeColor="text1"/>
              </w:rPr>
              <w:t>n</w:t>
            </w:r>
            <w:r w:rsidRPr="0066241B">
              <w:rPr>
                <w:rFonts w:ascii="Book Antiqua" w:hAnsi="Book Antiqua"/>
                <w:color w:val="000000" w:themeColor="text1"/>
              </w:rPr>
              <w:t xml:space="preserve"> = 586</w:t>
            </w:r>
          </w:p>
        </w:tc>
        <w:tc>
          <w:tcPr>
            <w:tcW w:w="1839" w:type="dxa"/>
          </w:tcPr>
          <w:p w14:paraId="52195BD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0.863</w:t>
            </w:r>
          </w:p>
        </w:tc>
        <w:tc>
          <w:tcPr>
            <w:tcW w:w="1553" w:type="dxa"/>
          </w:tcPr>
          <w:p w14:paraId="31E4E767"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0.039</w:t>
            </w:r>
          </w:p>
        </w:tc>
        <w:tc>
          <w:tcPr>
            <w:tcW w:w="1588" w:type="dxa"/>
          </w:tcPr>
          <w:p w14:paraId="358E18E9"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34 (24.3)</w:t>
            </w:r>
          </w:p>
        </w:tc>
        <w:tc>
          <w:tcPr>
            <w:tcW w:w="1588" w:type="dxa"/>
          </w:tcPr>
          <w:p w14:paraId="275E68DB"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35 (24.8)</w:t>
            </w:r>
          </w:p>
        </w:tc>
        <w:tc>
          <w:tcPr>
            <w:tcW w:w="1545" w:type="dxa"/>
          </w:tcPr>
          <w:p w14:paraId="6BE9549A"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0.917</w:t>
            </w:r>
          </w:p>
        </w:tc>
        <w:tc>
          <w:tcPr>
            <w:tcW w:w="1554" w:type="dxa"/>
          </w:tcPr>
          <w:p w14:paraId="715F76E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0.013</w:t>
            </w:r>
          </w:p>
        </w:tc>
      </w:tr>
      <w:tr w:rsidR="00C21A2B" w:rsidRPr="0066241B" w14:paraId="1454C98D" w14:textId="77777777">
        <w:trPr>
          <w:trHeight w:val="1034"/>
        </w:trPr>
        <w:tc>
          <w:tcPr>
            <w:tcW w:w="2503" w:type="dxa"/>
          </w:tcPr>
          <w:p w14:paraId="6D744933"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Anti-HBc IgG positivity</w:t>
            </w:r>
          </w:p>
        </w:tc>
        <w:tc>
          <w:tcPr>
            <w:tcW w:w="1588" w:type="dxa"/>
          </w:tcPr>
          <w:p w14:paraId="21291427"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 xml:space="preserve">25 (8.6), </w:t>
            </w:r>
            <w:r w:rsidRPr="0066241B">
              <w:rPr>
                <w:rFonts w:ascii="Book Antiqua" w:hAnsi="Book Antiqua"/>
                <w:i/>
                <w:color w:val="000000" w:themeColor="text1"/>
              </w:rPr>
              <w:t>n</w:t>
            </w:r>
            <w:r w:rsidRPr="0066241B">
              <w:rPr>
                <w:rFonts w:ascii="Book Antiqua" w:hAnsi="Book Antiqua"/>
                <w:color w:val="000000" w:themeColor="text1"/>
              </w:rPr>
              <w:t xml:space="preserve"> = 290</w:t>
            </w:r>
          </w:p>
        </w:tc>
        <w:tc>
          <w:tcPr>
            <w:tcW w:w="1588" w:type="dxa"/>
          </w:tcPr>
          <w:p w14:paraId="3FF6E1ED"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 xml:space="preserve">62 (10.5), </w:t>
            </w:r>
            <w:r w:rsidRPr="0066241B">
              <w:rPr>
                <w:rFonts w:ascii="Book Antiqua" w:hAnsi="Book Antiqua"/>
                <w:i/>
                <w:color w:val="000000" w:themeColor="text1"/>
              </w:rPr>
              <w:t>n</w:t>
            </w:r>
            <w:r w:rsidRPr="0066241B">
              <w:rPr>
                <w:rFonts w:ascii="Book Antiqua" w:hAnsi="Book Antiqua"/>
                <w:color w:val="000000" w:themeColor="text1"/>
              </w:rPr>
              <w:t xml:space="preserve"> = 592</w:t>
            </w:r>
          </w:p>
        </w:tc>
        <w:tc>
          <w:tcPr>
            <w:tcW w:w="1839" w:type="dxa"/>
          </w:tcPr>
          <w:p w14:paraId="7D461F0E"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0.386</w:t>
            </w:r>
          </w:p>
        </w:tc>
        <w:tc>
          <w:tcPr>
            <w:tcW w:w="1553" w:type="dxa"/>
          </w:tcPr>
          <w:p w14:paraId="062253C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0.062</w:t>
            </w:r>
          </w:p>
        </w:tc>
        <w:tc>
          <w:tcPr>
            <w:tcW w:w="1588" w:type="dxa"/>
          </w:tcPr>
          <w:p w14:paraId="6DF3A35F"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12 (7.8)</w:t>
            </w:r>
          </w:p>
        </w:tc>
        <w:tc>
          <w:tcPr>
            <w:tcW w:w="1588" w:type="dxa"/>
          </w:tcPr>
          <w:p w14:paraId="36CF5D5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15 (9.7)</w:t>
            </w:r>
          </w:p>
        </w:tc>
        <w:tc>
          <w:tcPr>
            <w:tcW w:w="1545" w:type="dxa"/>
          </w:tcPr>
          <w:p w14:paraId="4C3B8BD2"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0.546</w:t>
            </w:r>
          </w:p>
        </w:tc>
        <w:tc>
          <w:tcPr>
            <w:tcW w:w="1554" w:type="dxa"/>
          </w:tcPr>
          <w:p w14:paraId="236FD54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0.062</w:t>
            </w:r>
          </w:p>
        </w:tc>
      </w:tr>
      <w:tr w:rsidR="00C21A2B" w:rsidRPr="0066241B" w14:paraId="4345E4D9" w14:textId="77777777">
        <w:trPr>
          <w:trHeight w:val="736"/>
        </w:trPr>
        <w:tc>
          <w:tcPr>
            <w:tcW w:w="2503" w:type="dxa"/>
          </w:tcPr>
          <w:p w14:paraId="13C4DCC6"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BMI, kg/m</w:t>
            </w:r>
            <w:r w:rsidRPr="0066241B">
              <w:rPr>
                <w:rFonts w:ascii="Book Antiqua" w:hAnsi="Book Antiqua"/>
                <w:color w:val="000000" w:themeColor="text1"/>
                <w:vertAlign w:val="superscript"/>
              </w:rPr>
              <w:t>2</w:t>
            </w:r>
          </w:p>
        </w:tc>
        <w:tc>
          <w:tcPr>
            <w:tcW w:w="1588" w:type="dxa"/>
          </w:tcPr>
          <w:p w14:paraId="02565467"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23.7 ± 3.0</w:t>
            </w:r>
          </w:p>
        </w:tc>
        <w:tc>
          <w:tcPr>
            <w:tcW w:w="1588" w:type="dxa"/>
          </w:tcPr>
          <w:p w14:paraId="44F096EF"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23.9 ± 3.1</w:t>
            </w:r>
          </w:p>
        </w:tc>
        <w:tc>
          <w:tcPr>
            <w:tcW w:w="1839" w:type="dxa"/>
          </w:tcPr>
          <w:p w14:paraId="5CDB2C69"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0.429</w:t>
            </w:r>
          </w:p>
        </w:tc>
        <w:tc>
          <w:tcPr>
            <w:tcW w:w="1553" w:type="dxa"/>
          </w:tcPr>
          <w:p w14:paraId="5F43A3F7"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0.047</w:t>
            </w:r>
          </w:p>
        </w:tc>
        <w:tc>
          <w:tcPr>
            <w:tcW w:w="1588" w:type="dxa"/>
          </w:tcPr>
          <w:p w14:paraId="40F6232E"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23.9 ± 2.9</w:t>
            </w:r>
          </w:p>
        </w:tc>
        <w:tc>
          <w:tcPr>
            <w:tcW w:w="1588" w:type="dxa"/>
          </w:tcPr>
          <w:p w14:paraId="3DB07D7E"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23.9 ± 3.4</w:t>
            </w:r>
          </w:p>
        </w:tc>
        <w:tc>
          <w:tcPr>
            <w:tcW w:w="1545" w:type="dxa"/>
          </w:tcPr>
          <w:p w14:paraId="36CB263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0.983</w:t>
            </w:r>
          </w:p>
        </w:tc>
        <w:tc>
          <w:tcPr>
            <w:tcW w:w="1554" w:type="dxa"/>
          </w:tcPr>
          <w:p w14:paraId="2A84C9FE"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0.005</w:t>
            </w:r>
          </w:p>
        </w:tc>
      </w:tr>
      <w:tr w:rsidR="00C21A2B" w:rsidRPr="0066241B" w14:paraId="20D4C8B4" w14:textId="77777777">
        <w:trPr>
          <w:trHeight w:val="696"/>
        </w:trPr>
        <w:tc>
          <w:tcPr>
            <w:tcW w:w="2503" w:type="dxa"/>
          </w:tcPr>
          <w:p w14:paraId="6B692EEC"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Diabetes mellitus</w:t>
            </w:r>
          </w:p>
        </w:tc>
        <w:tc>
          <w:tcPr>
            <w:tcW w:w="1588" w:type="dxa"/>
          </w:tcPr>
          <w:p w14:paraId="3D3A089F"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61 (13.6)</w:t>
            </w:r>
          </w:p>
        </w:tc>
        <w:tc>
          <w:tcPr>
            <w:tcW w:w="1588" w:type="dxa"/>
          </w:tcPr>
          <w:p w14:paraId="7669A362"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122 (14.9)</w:t>
            </w:r>
          </w:p>
        </w:tc>
        <w:tc>
          <w:tcPr>
            <w:tcW w:w="1839" w:type="dxa"/>
          </w:tcPr>
          <w:p w14:paraId="4DADEED2"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0.495</w:t>
            </w:r>
          </w:p>
        </w:tc>
        <w:tc>
          <w:tcPr>
            <w:tcW w:w="1553" w:type="dxa"/>
          </w:tcPr>
          <w:p w14:paraId="24AFD0D2"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0.049</w:t>
            </w:r>
          </w:p>
        </w:tc>
        <w:tc>
          <w:tcPr>
            <w:tcW w:w="1588" w:type="dxa"/>
          </w:tcPr>
          <w:p w14:paraId="07EADCA9"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26 (12.2)</w:t>
            </w:r>
          </w:p>
        </w:tc>
        <w:tc>
          <w:tcPr>
            <w:tcW w:w="1588" w:type="dxa"/>
          </w:tcPr>
          <w:p w14:paraId="5820071A"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22 (10.3)</w:t>
            </w:r>
          </w:p>
        </w:tc>
        <w:tc>
          <w:tcPr>
            <w:tcW w:w="1545" w:type="dxa"/>
          </w:tcPr>
          <w:p w14:paraId="5FBD43C4"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0.54</w:t>
            </w:r>
          </w:p>
        </w:tc>
        <w:tc>
          <w:tcPr>
            <w:tcW w:w="1554" w:type="dxa"/>
          </w:tcPr>
          <w:p w14:paraId="7ADD8F71"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0.055</w:t>
            </w:r>
          </w:p>
        </w:tc>
      </w:tr>
      <w:tr w:rsidR="00C21A2B" w:rsidRPr="0066241B" w14:paraId="4302E4B6" w14:textId="77777777">
        <w:trPr>
          <w:trHeight w:val="696"/>
        </w:trPr>
        <w:tc>
          <w:tcPr>
            <w:tcW w:w="2503" w:type="dxa"/>
          </w:tcPr>
          <w:p w14:paraId="1E24758A"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Hypertension</w:t>
            </w:r>
          </w:p>
        </w:tc>
        <w:tc>
          <w:tcPr>
            <w:tcW w:w="1588" w:type="dxa"/>
          </w:tcPr>
          <w:p w14:paraId="77BDE1EE"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80 (17.7)</w:t>
            </w:r>
          </w:p>
        </w:tc>
        <w:tc>
          <w:tcPr>
            <w:tcW w:w="1588" w:type="dxa"/>
          </w:tcPr>
          <w:p w14:paraId="4A916D82"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236 (28.9)</w:t>
            </w:r>
          </w:p>
        </w:tc>
        <w:tc>
          <w:tcPr>
            <w:tcW w:w="1839" w:type="dxa"/>
          </w:tcPr>
          <w:p w14:paraId="4822EC6B"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&lt; 0.001</w:t>
            </w:r>
          </w:p>
        </w:tc>
        <w:tc>
          <w:tcPr>
            <w:tcW w:w="1553" w:type="dxa"/>
          </w:tcPr>
          <w:p w14:paraId="7ED496B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0.267</w:t>
            </w:r>
          </w:p>
        </w:tc>
        <w:tc>
          <w:tcPr>
            <w:tcW w:w="1588" w:type="dxa"/>
          </w:tcPr>
          <w:p w14:paraId="3CA5EBA1"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45 (21.1)</w:t>
            </w:r>
          </w:p>
        </w:tc>
        <w:tc>
          <w:tcPr>
            <w:tcW w:w="1588" w:type="dxa"/>
          </w:tcPr>
          <w:p w14:paraId="444D458C"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44 (20.7)</w:t>
            </w:r>
          </w:p>
        </w:tc>
        <w:tc>
          <w:tcPr>
            <w:tcW w:w="1545" w:type="dxa"/>
          </w:tcPr>
          <w:p w14:paraId="6371DF54"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0.905</w:t>
            </w:r>
          </w:p>
        </w:tc>
        <w:tc>
          <w:tcPr>
            <w:tcW w:w="1554" w:type="dxa"/>
          </w:tcPr>
          <w:p w14:paraId="229180B2"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0.012</w:t>
            </w:r>
          </w:p>
        </w:tc>
      </w:tr>
      <w:tr w:rsidR="00C21A2B" w:rsidRPr="0066241B" w14:paraId="3C2F9AFA" w14:textId="77777777">
        <w:trPr>
          <w:trHeight w:val="1034"/>
        </w:trPr>
        <w:tc>
          <w:tcPr>
            <w:tcW w:w="2503" w:type="dxa"/>
          </w:tcPr>
          <w:p w14:paraId="610CEEDC"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Cardiovascular disease</w:t>
            </w:r>
          </w:p>
        </w:tc>
        <w:tc>
          <w:tcPr>
            <w:tcW w:w="1588" w:type="dxa"/>
          </w:tcPr>
          <w:p w14:paraId="48345878"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3 (0.7)</w:t>
            </w:r>
          </w:p>
        </w:tc>
        <w:tc>
          <w:tcPr>
            <w:tcW w:w="1588" w:type="dxa"/>
          </w:tcPr>
          <w:p w14:paraId="1B32D8AD"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24 (2.9)</w:t>
            </w:r>
          </w:p>
        </w:tc>
        <w:tc>
          <w:tcPr>
            <w:tcW w:w="1839" w:type="dxa"/>
          </w:tcPr>
          <w:p w14:paraId="08AF199A"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0.007</w:t>
            </w:r>
          </w:p>
        </w:tc>
        <w:tc>
          <w:tcPr>
            <w:tcW w:w="1553" w:type="dxa"/>
          </w:tcPr>
          <w:p w14:paraId="4075D7A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0.162</w:t>
            </w:r>
          </w:p>
        </w:tc>
        <w:tc>
          <w:tcPr>
            <w:tcW w:w="1588" w:type="dxa"/>
          </w:tcPr>
          <w:p w14:paraId="03DDF53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2 (0.9)</w:t>
            </w:r>
          </w:p>
        </w:tc>
        <w:tc>
          <w:tcPr>
            <w:tcW w:w="1588" w:type="dxa"/>
          </w:tcPr>
          <w:p w14:paraId="7513E0AA"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3 (1.4)</w:t>
            </w:r>
          </w:p>
        </w:tc>
        <w:tc>
          <w:tcPr>
            <w:tcW w:w="1545" w:type="dxa"/>
          </w:tcPr>
          <w:p w14:paraId="169EDCBC"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0.315</w:t>
            </w:r>
          </w:p>
        </w:tc>
        <w:tc>
          <w:tcPr>
            <w:tcW w:w="1554" w:type="dxa"/>
          </w:tcPr>
          <w:p w14:paraId="6786DF4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0.058</w:t>
            </w:r>
          </w:p>
        </w:tc>
      </w:tr>
      <w:tr w:rsidR="00C21A2B" w:rsidRPr="0066241B" w14:paraId="6AF56EAE" w14:textId="77777777">
        <w:trPr>
          <w:trHeight w:val="1034"/>
        </w:trPr>
        <w:tc>
          <w:tcPr>
            <w:tcW w:w="2503" w:type="dxa"/>
          </w:tcPr>
          <w:p w14:paraId="095944E9"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Cerebrovascular disease</w:t>
            </w:r>
          </w:p>
        </w:tc>
        <w:tc>
          <w:tcPr>
            <w:tcW w:w="1588" w:type="dxa"/>
          </w:tcPr>
          <w:p w14:paraId="40B55B3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2 (0.4)</w:t>
            </w:r>
          </w:p>
        </w:tc>
        <w:tc>
          <w:tcPr>
            <w:tcW w:w="1588" w:type="dxa"/>
          </w:tcPr>
          <w:p w14:paraId="0878114A"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19 (2.3)</w:t>
            </w:r>
          </w:p>
        </w:tc>
        <w:tc>
          <w:tcPr>
            <w:tcW w:w="1839" w:type="dxa"/>
          </w:tcPr>
          <w:p w14:paraId="013BF6FD"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0.012</w:t>
            </w:r>
          </w:p>
        </w:tc>
        <w:tc>
          <w:tcPr>
            <w:tcW w:w="1553" w:type="dxa"/>
          </w:tcPr>
          <w:p w14:paraId="747EF6BD"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0.172</w:t>
            </w:r>
          </w:p>
        </w:tc>
        <w:tc>
          <w:tcPr>
            <w:tcW w:w="1588" w:type="dxa"/>
          </w:tcPr>
          <w:p w14:paraId="45CC9EA8"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 (0.5)</w:t>
            </w:r>
          </w:p>
        </w:tc>
        <w:tc>
          <w:tcPr>
            <w:tcW w:w="1588" w:type="dxa"/>
          </w:tcPr>
          <w:p w14:paraId="55EF6AEC"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3 (1.4)</w:t>
            </w:r>
          </w:p>
        </w:tc>
        <w:tc>
          <w:tcPr>
            <w:tcW w:w="1545" w:type="dxa"/>
          </w:tcPr>
          <w:p w14:paraId="5CE5BC0B"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0.315</w:t>
            </w:r>
          </w:p>
        </w:tc>
        <w:tc>
          <w:tcPr>
            <w:tcW w:w="1554" w:type="dxa"/>
          </w:tcPr>
          <w:p w14:paraId="746BE9CE"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0.141</w:t>
            </w:r>
          </w:p>
        </w:tc>
      </w:tr>
      <w:tr w:rsidR="00C21A2B" w:rsidRPr="0066241B" w14:paraId="12D2A924" w14:textId="77777777">
        <w:trPr>
          <w:trHeight w:val="696"/>
        </w:trPr>
        <w:tc>
          <w:tcPr>
            <w:tcW w:w="2503" w:type="dxa"/>
          </w:tcPr>
          <w:p w14:paraId="64A40A4F"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Laboratory study</w:t>
            </w:r>
          </w:p>
        </w:tc>
        <w:tc>
          <w:tcPr>
            <w:tcW w:w="1588" w:type="dxa"/>
          </w:tcPr>
          <w:p w14:paraId="042C77B5"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38F909A9"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839" w:type="dxa"/>
          </w:tcPr>
          <w:p w14:paraId="44F466FF"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3" w:type="dxa"/>
          </w:tcPr>
          <w:p w14:paraId="6F200CDD"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3B9A7E62"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88" w:type="dxa"/>
          </w:tcPr>
          <w:p w14:paraId="30EF586F"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45" w:type="dxa"/>
          </w:tcPr>
          <w:p w14:paraId="69206434"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4" w:type="dxa"/>
          </w:tcPr>
          <w:p w14:paraId="1AB0FC7B" w14:textId="77777777" w:rsidR="0052656F" w:rsidRPr="0066241B" w:rsidRDefault="0052656F" w:rsidP="00B34F1C">
            <w:pPr>
              <w:tabs>
                <w:tab w:val="left" w:pos="4712"/>
              </w:tabs>
              <w:spacing w:line="360" w:lineRule="auto"/>
              <w:rPr>
                <w:rFonts w:ascii="Book Antiqua" w:hAnsi="Book Antiqua"/>
                <w:color w:val="000000" w:themeColor="text1"/>
              </w:rPr>
            </w:pPr>
          </w:p>
        </w:tc>
      </w:tr>
      <w:tr w:rsidR="00C21A2B" w:rsidRPr="0066241B" w14:paraId="0545593F" w14:textId="77777777">
        <w:trPr>
          <w:trHeight w:val="736"/>
        </w:trPr>
        <w:tc>
          <w:tcPr>
            <w:tcW w:w="2503" w:type="dxa"/>
          </w:tcPr>
          <w:p w14:paraId="36AF953B"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t>WBC, × 10</w:t>
            </w:r>
            <w:r w:rsidRPr="0066241B">
              <w:rPr>
                <w:rFonts w:ascii="Book Antiqua" w:hAnsi="Book Antiqua"/>
                <w:color w:val="000000" w:themeColor="text1"/>
                <w:vertAlign w:val="superscript"/>
              </w:rPr>
              <w:t>3</w:t>
            </w:r>
            <w:r w:rsidRPr="0066241B">
              <w:rPr>
                <w:rFonts w:ascii="Book Antiqua" w:hAnsi="Book Antiqua"/>
                <w:color w:val="000000" w:themeColor="text1"/>
              </w:rPr>
              <w:t>/mm</w:t>
            </w:r>
            <w:r w:rsidRPr="0066241B">
              <w:rPr>
                <w:rFonts w:ascii="Book Antiqua" w:hAnsi="Book Antiqua"/>
                <w:color w:val="000000" w:themeColor="text1"/>
                <w:vertAlign w:val="superscript"/>
              </w:rPr>
              <w:t>3</w:t>
            </w:r>
          </w:p>
        </w:tc>
        <w:tc>
          <w:tcPr>
            <w:tcW w:w="1588" w:type="dxa"/>
          </w:tcPr>
          <w:p w14:paraId="08FCD96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4.99 (3.90-6.10)</w:t>
            </w:r>
          </w:p>
        </w:tc>
        <w:tc>
          <w:tcPr>
            <w:tcW w:w="1588" w:type="dxa"/>
          </w:tcPr>
          <w:p w14:paraId="672CACD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5.40 (4.40-6.63)</w:t>
            </w:r>
          </w:p>
        </w:tc>
        <w:tc>
          <w:tcPr>
            <w:tcW w:w="1839" w:type="dxa"/>
          </w:tcPr>
          <w:p w14:paraId="37EE9F73"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&lt; 0.0010.297</w:t>
            </w:r>
          </w:p>
        </w:tc>
        <w:tc>
          <w:tcPr>
            <w:tcW w:w="1553" w:type="dxa"/>
          </w:tcPr>
          <w:p w14:paraId="5867CA3B"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0.24</w:t>
            </w:r>
          </w:p>
        </w:tc>
        <w:tc>
          <w:tcPr>
            <w:tcW w:w="1588" w:type="dxa"/>
          </w:tcPr>
          <w:p w14:paraId="20C60FE7"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5.26 (4.25-6.35)</w:t>
            </w:r>
          </w:p>
        </w:tc>
        <w:tc>
          <w:tcPr>
            <w:tcW w:w="1588" w:type="dxa"/>
          </w:tcPr>
          <w:p w14:paraId="695CDBEB"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5.35 (4.50-6.52)</w:t>
            </w:r>
          </w:p>
        </w:tc>
        <w:tc>
          <w:tcPr>
            <w:tcW w:w="1545" w:type="dxa"/>
          </w:tcPr>
          <w:p w14:paraId="2A6DBFC2"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0.787</w:t>
            </w:r>
          </w:p>
        </w:tc>
        <w:tc>
          <w:tcPr>
            <w:tcW w:w="1554" w:type="dxa"/>
          </w:tcPr>
          <w:p w14:paraId="4F6232D8"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0.027</w:t>
            </w:r>
          </w:p>
        </w:tc>
      </w:tr>
      <w:tr w:rsidR="00C21A2B" w:rsidRPr="0066241B" w14:paraId="2E2148A7" w14:textId="77777777">
        <w:trPr>
          <w:trHeight w:val="1034"/>
        </w:trPr>
        <w:tc>
          <w:tcPr>
            <w:tcW w:w="2503" w:type="dxa"/>
          </w:tcPr>
          <w:p w14:paraId="507D7205"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lastRenderedPageBreak/>
              <w:t>Hemoglobin, g/dL</w:t>
            </w:r>
          </w:p>
        </w:tc>
        <w:tc>
          <w:tcPr>
            <w:tcW w:w="1588" w:type="dxa"/>
          </w:tcPr>
          <w:p w14:paraId="778C0321"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13.6 (12.6-14.9)</w:t>
            </w:r>
          </w:p>
        </w:tc>
        <w:tc>
          <w:tcPr>
            <w:tcW w:w="1588" w:type="dxa"/>
          </w:tcPr>
          <w:p w14:paraId="5160F69C"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13.8 (12.8-14.8)</w:t>
            </w:r>
          </w:p>
        </w:tc>
        <w:tc>
          <w:tcPr>
            <w:tcW w:w="1839" w:type="dxa"/>
          </w:tcPr>
          <w:p w14:paraId="0FE18EA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0.218</w:t>
            </w:r>
          </w:p>
        </w:tc>
        <w:tc>
          <w:tcPr>
            <w:tcW w:w="1553" w:type="dxa"/>
          </w:tcPr>
          <w:p w14:paraId="5B293C5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0.061</w:t>
            </w:r>
          </w:p>
        </w:tc>
        <w:tc>
          <w:tcPr>
            <w:tcW w:w="1588" w:type="dxa"/>
          </w:tcPr>
          <w:p w14:paraId="57FC6929"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13.9 (12.8-14.9)</w:t>
            </w:r>
          </w:p>
        </w:tc>
        <w:tc>
          <w:tcPr>
            <w:tcW w:w="1588" w:type="dxa"/>
          </w:tcPr>
          <w:p w14:paraId="095B3366"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13.9 (12.8-14.9)</w:t>
            </w:r>
          </w:p>
        </w:tc>
        <w:tc>
          <w:tcPr>
            <w:tcW w:w="1545" w:type="dxa"/>
          </w:tcPr>
          <w:p w14:paraId="0ACF79F1"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0.916</w:t>
            </w:r>
          </w:p>
        </w:tc>
        <w:tc>
          <w:tcPr>
            <w:tcW w:w="1554" w:type="dxa"/>
          </w:tcPr>
          <w:p w14:paraId="5485DAA2"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0.01</w:t>
            </w:r>
          </w:p>
        </w:tc>
      </w:tr>
      <w:tr w:rsidR="00C21A2B" w:rsidRPr="0066241B" w14:paraId="46A60B73" w14:textId="77777777">
        <w:trPr>
          <w:trHeight w:val="736"/>
        </w:trPr>
        <w:tc>
          <w:tcPr>
            <w:tcW w:w="2503" w:type="dxa"/>
          </w:tcPr>
          <w:p w14:paraId="4DECF34D"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t>PLT, × 10</w:t>
            </w:r>
            <w:r w:rsidRPr="0066241B">
              <w:rPr>
                <w:rFonts w:ascii="Book Antiqua" w:hAnsi="Book Antiqua"/>
                <w:color w:val="000000" w:themeColor="text1"/>
                <w:vertAlign w:val="superscript"/>
              </w:rPr>
              <w:t>3</w:t>
            </w:r>
            <w:r w:rsidRPr="0066241B">
              <w:rPr>
                <w:rFonts w:ascii="Book Antiqua" w:hAnsi="Book Antiqua"/>
                <w:color w:val="000000" w:themeColor="text1"/>
              </w:rPr>
              <w:t>/mm</w:t>
            </w:r>
            <w:r w:rsidRPr="0066241B">
              <w:rPr>
                <w:rFonts w:ascii="Book Antiqua" w:hAnsi="Book Antiqua"/>
                <w:color w:val="000000" w:themeColor="text1"/>
                <w:vertAlign w:val="superscript"/>
              </w:rPr>
              <w:t>3</w:t>
            </w:r>
          </w:p>
        </w:tc>
        <w:tc>
          <w:tcPr>
            <w:tcW w:w="1588" w:type="dxa"/>
          </w:tcPr>
          <w:p w14:paraId="163EB98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177 (136-220)</w:t>
            </w:r>
          </w:p>
        </w:tc>
        <w:tc>
          <w:tcPr>
            <w:tcW w:w="1588" w:type="dxa"/>
          </w:tcPr>
          <w:p w14:paraId="7F5F25E2"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173 (130-216)</w:t>
            </w:r>
          </w:p>
        </w:tc>
        <w:tc>
          <w:tcPr>
            <w:tcW w:w="1839" w:type="dxa"/>
          </w:tcPr>
          <w:p w14:paraId="003D4CC3"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0.178</w:t>
            </w:r>
          </w:p>
        </w:tc>
        <w:tc>
          <w:tcPr>
            <w:tcW w:w="1553" w:type="dxa"/>
          </w:tcPr>
          <w:p w14:paraId="4AB6797B"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0.055</w:t>
            </w:r>
          </w:p>
        </w:tc>
        <w:tc>
          <w:tcPr>
            <w:tcW w:w="1588" w:type="dxa"/>
          </w:tcPr>
          <w:p w14:paraId="555F36B4"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176 (136-222)</w:t>
            </w:r>
          </w:p>
        </w:tc>
        <w:tc>
          <w:tcPr>
            <w:tcW w:w="1588" w:type="dxa"/>
          </w:tcPr>
          <w:p w14:paraId="40C28982"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180 (139-219)</w:t>
            </w:r>
          </w:p>
        </w:tc>
        <w:tc>
          <w:tcPr>
            <w:tcW w:w="1545" w:type="dxa"/>
          </w:tcPr>
          <w:p w14:paraId="02220C3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0.401</w:t>
            </w:r>
          </w:p>
        </w:tc>
        <w:tc>
          <w:tcPr>
            <w:tcW w:w="1554" w:type="dxa"/>
          </w:tcPr>
          <w:p w14:paraId="6F3B07C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0.083</w:t>
            </w:r>
          </w:p>
        </w:tc>
      </w:tr>
      <w:tr w:rsidR="00C21A2B" w:rsidRPr="0066241B" w14:paraId="1BF6D77A" w14:textId="77777777">
        <w:trPr>
          <w:trHeight w:val="696"/>
        </w:trPr>
        <w:tc>
          <w:tcPr>
            <w:tcW w:w="2503" w:type="dxa"/>
          </w:tcPr>
          <w:p w14:paraId="6B12277F"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t>Albumin, g/dL</w:t>
            </w:r>
          </w:p>
        </w:tc>
        <w:tc>
          <w:tcPr>
            <w:tcW w:w="1588" w:type="dxa"/>
          </w:tcPr>
          <w:p w14:paraId="3282227B"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4.2 (4.0-4.5)</w:t>
            </w:r>
          </w:p>
        </w:tc>
        <w:tc>
          <w:tcPr>
            <w:tcW w:w="1588" w:type="dxa"/>
          </w:tcPr>
          <w:p w14:paraId="45719F87"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4.2 (4.0-4.4)</w:t>
            </w:r>
          </w:p>
        </w:tc>
        <w:tc>
          <w:tcPr>
            <w:tcW w:w="1839" w:type="dxa"/>
          </w:tcPr>
          <w:p w14:paraId="3301C587"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0.664</w:t>
            </w:r>
          </w:p>
        </w:tc>
        <w:tc>
          <w:tcPr>
            <w:tcW w:w="1553" w:type="dxa"/>
          </w:tcPr>
          <w:p w14:paraId="66038A7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0.082</w:t>
            </w:r>
          </w:p>
        </w:tc>
        <w:tc>
          <w:tcPr>
            <w:tcW w:w="1588" w:type="dxa"/>
          </w:tcPr>
          <w:p w14:paraId="30E3901C"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4.3 (4.0-4.5)</w:t>
            </w:r>
          </w:p>
        </w:tc>
        <w:tc>
          <w:tcPr>
            <w:tcW w:w="1588" w:type="dxa"/>
          </w:tcPr>
          <w:p w14:paraId="251C4157"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4.3 (4.0-4.5)</w:t>
            </w:r>
          </w:p>
        </w:tc>
        <w:tc>
          <w:tcPr>
            <w:tcW w:w="1545" w:type="dxa"/>
          </w:tcPr>
          <w:p w14:paraId="48035ECD"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0.734</w:t>
            </w:r>
          </w:p>
        </w:tc>
        <w:tc>
          <w:tcPr>
            <w:tcW w:w="1554" w:type="dxa"/>
          </w:tcPr>
          <w:p w14:paraId="4458C127"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0.031</w:t>
            </w:r>
          </w:p>
        </w:tc>
      </w:tr>
      <w:tr w:rsidR="00C21A2B" w:rsidRPr="0066241B" w14:paraId="4037625A" w14:textId="77777777">
        <w:trPr>
          <w:trHeight w:val="1034"/>
        </w:trPr>
        <w:tc>
          <w:tcPr>
            <w:tcW w:w="2503" w:type="dxa"/>
          </w:tcPr>
          <w:p w14:paraId="67B522C8"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t>Total bilirubin, mg/dL</w:t>
            </w:r>
          </w:p>
        </w:tc>
        <w:tc>
          <w:tcPr>
            <w:tcW w:w="1588" w:type="dxa"/>
          </w:tcPr>
          <w:p w14:paraId="2B044D17"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0.7 (0.6-1.0)</w:t>
            </w:r>
          </w:p>
        </w:tc>
        <w:tc>
          <w:tcPr>
            <w:tcW w:w="1588" w:type="dxa"/>
          </w:tcPr>
          <w:p w14:paraId="5F0E3D8D"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0.7 (0.6-1.0)</w:t>
            </w:r>
          </w:p>
        </w:tc>
        <w:tc>
          <w:tcPr>
            <w:tcW w:w="1839" w:type="dxa"/>
          </w:tcPr>
          <w:p w14:paraId="405C2E07"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&lt; 0.001</w:t>
            </w:r>
          </w:p>
        </w:tc>
        <w:tc>
          <w:tcPr>
            <w:tcW w:w="1553" w:type="dxa"/>
          </w:tcPr>
          <w:p w14:paraId="2B5E9A49"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0.072</w:t>
            </w:r>
          </w:p>
        </w:tc>
        <w:tc>
          <w:tcPr>
            <w:tcW w:w="1588" w:type="dxa"/>
          </w:tcPr>
          <w:p w14:paraId="6751B0E4"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0.8 (0.6-1.0)</w:t>
            </w:r>
          </w:p>
        </w:tc>
        <w:tc>
          <w:tcPr>
            <w:tcW w:w="1588" w:type="dxa"/>
          </w:tcPr>
          <w:p w14:paraId="43FC1AE1"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0.7 (0.6-1.0)</w:t>
            </w:r>
          </w:p>
        </w:tc>
        <w:tc>
          <w:tcPr>
            <w:tcW w:w="1545" w:type="dxa"/>
          </w:tcPr>
          <w:p w14:paraId="39A013D6"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0.85</w:t>
            </w:r>
          </w:p>
        </w:tc>
        <w:tc>
          <w:tcPr>
            <w:tcW w:w="1554" w:type="dxa"/>
          </w:tcPr>
          <w:p w14:paraId="4D25DA6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0.009</w:t>
            </w:r>
          </w:p>
        </w:tc>
      </w:tr>
      <w:tr w:rsidR="00C21A2B" w:rsidRPr="0066241B" w14:paraId="21A7F955" w14:textId="77777777">
        <w:trPr>
          <w:trHeight w:val="696"/>
        </w:trPr>
        <w:tc>
          <w:tcPr>
            <w:tcW w:w="2503" w:type="dxa"/>
          </w:tcPr>
          <w:p w14:paraId="27C4E97E"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t>ALP, IU/L</w:t>
            </w:r>
          </w:p>
        </w:tc>
        <w:tc>
          <w:tcPr>
            <w:tcW w:w="1588" w:type="dxa"/>
          </w:tcPr>
          <w:p w14:paraId="483E5599"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80 (63-113)</w:t>
            </w:r>
          </w:p>
        </w:tc>
        <w:tc>
          <w:tcPr>
            <w:tcW w:w="1588" w:type="dxa"/>
          </w:tcPr>
          <w:p w14:paraId="1A66ABB8"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122 (78-250)</w:t>
            </w:r>
          </w:p>
        </w:tc>
        <w:tc>
          <w:tcPr>
            <w:tcW w:w="1839" w:type="dxa"/>
          </w:tcPr>
          <w:p w14:paraId="6FD68337"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0.012</w:t>
            </w:r>
          </w:p>
        </w:tc>
        <w:tc>
          <w:tcPr>
            <w:tcW w:w="1553" w:type="dxa"/>
          </w:tcPr>
          <w:p w14:paraId="1374B8DD"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0.612</w:t>
            </w:r>
          </w:p>
        </w:tc>
        <w:tc>
          <w:tcPr>
            <w:tcW w:w="1588" w:type="dxa"/>
          </w:tcPr>
          <w:p w14:paraId="7FE4AEB4"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90 (65-126)</w:t>
            </w:r>
          </w:p>
        </w:tc>
        <w:tc>
          <w:tcPr>
            <w:tcW w:w="1588" w:type="dxa"/>
          </w:tcPr>
          <w:p w14:paraId="030F26FB"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96 (72-183)</w:t>
            </w:r>
          </w:p>
        </w:tc>
        <w:tc>
          <w:tcPr>
            <w:tcW w:w="1545" w:type="dxa"/>
          </w:tcPr>
          <w:p w14:paraId="77571AC3"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0.524</w:t>
            </w:r>
          </w:p>
        </w:tc>
        <w:tc>
          <w:tcPr>
            <w:tcW w:w="1554" w:type="dxa"/>
          </w:tcPr>
          <w:p w14:paraId="63AA91CB"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0.072</w:t>
            </w:r>
          </w:p>
        </w:tc>
      </w:tr>
      <w:tr w:rsidR="00C21A2B" w:rsidRPr="0066241B" w14:paraId="1710F760" w14:textId="77777777">
        <w:trPr>
          <w:trHeight w:val="696"/>
        </w:trPr>
        <w:tc>
          <w:tcPr>
            <w:tcW w:w="2503" w:type="dxa"/>
          </w:tcPr>
          <w:p w14:paraId="4414EA86"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t>AST, IU/L</w:t>
            </w:r>
          </w:p>
        </w:tc>
        <w:tc>
          <w:tcPr>
            <w:tcW w:w="1588" w:type="dxa"/>
          </w:tcPr>
          <w:p w14:paraId="7175FCCE"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50 (30-86)</w:t>
            </w:r>
          </w:p>
        </w:tc>
        <w:tc>
          <w:tcPr>
            <w:tcW w:w="1588" w:type="dxa"/>
          </w:tcPr>
          <w:p w14:paraId="56705AC7"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46 (30-76)</w:t>
            </w:r>
          </w:p>
        </w:tc>
        <w:tc>
          <w:tcPr>
            <w:tcW w:w="1839" w:type="dxa"/>
          </w:tcPr>
          <w:p w14:paraId="2F576C8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&lt; 0.001</w:t>
            </w:r>
          </w:p>
        </w:tc>
        <w:tc>
          <w:tcPr>
            <w:tcW w:w="1553" w:type="dxa"/>
          </w:tcPr>
          <w:p w14:paraId="47EAF731"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0.156</w:t>
            </w:r>
          </w:p>
        </w:tc>
        <w:tc>
          <w:tcPr>
            <w:tcW w:w="1588" w:type="dxa"/>
          </w:tcPr>
          <w:p w14:paraId="1C19FA94"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50 (32-83)</w:t>
            </w:r>
          </w:p>
        </w:tc>
        <w:tc>
          <w:tcPr>
            <w:tcW w:w="1588" w:type="dxa"/>
          </w:tcPr>
          <w:p w14:paraId="2BAEC932"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42 (27-85)</w:t>
            </w:r>
          </w:p>
        </w:tc>
        <w:tc>
          <w:tcPr>
            <w:tcW w:w="1545" w:type="dxa"/>
          </w:tcPr>
          <w:p w14:paraId="6B695D4D"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0.899</w:t>
            </w:r>
          </w:p>
        </w:tc>
        <w:tc>
          <w:tcPr>
            <w:tcW w:w="1554" w:type="dxa"/>
          </w:tcPr>
          <w:p w14:paraId="442D408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0.012</w:t>
            </w:r>
          </w:p>
        </w:tc>
      </w:tr>
      <w:tr w:rsidR="00C21A2B" w:rsidRPr="0066241B" w14:paraId="2F969180" w14:textId="77777777">
        <w:trPr>
          <w:trHeight w:val="696"/>
        </w:trPr>
        <w:tc>
          <w:tcPr>
            <w:tcW w:w="2503" w:type="dxa"/>
          </w:tcPr>
          <w:p w14:paraId="00EED52D"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t>ALT, IU/L</w:t>
            </w:r>
          </w:p>
        </w:tc>
        <w:tc>
          <w:tcPr>
            <w:tcW w:w="1588" w:type="dxa"/>
          </w:tcPr>
          <w:p w14:paraId="6574D4C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54 (29-105)</w:t>
            </w:r>
          </w:p>
        </w:tc>
        <w:tc>
          <w:tcPr>
            <w:tcW w:w="1588" w:type="dxa"/>
          </w:tcPr>
          <w:p w14:paraId="4E1376F6"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36 (22-70)</w:t>
            </w:r>
          </w:p>
        </w:tc>
        <w:tc>
          <w:tcPr>
            <w:tcW w:w="1839" w:type="dxa"/>
          </w:tcPr>
          <w:p w14:paraId="5BC7A829"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0.756</w:t>
            </w:r>
          </w:p>
        </w:tc>
        <w:tc>
          <w:tcPr>
            <w:tcW w:w="1553" w:type="dxa"/>
          </w:tcPr>
          <w:p w14:paraId="158B2336"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0.297</w:t>
            </w:r>
          </w:p>
        </w:tc>
        <w:tc>
          <w:tcPr>
            <w:tcW w:w="1588" w:type="dxa"/>
          </w:tcPr>
          <w:p w14:paraId="15D27AD4"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49 (29-85)</w:t>
            </w:r>
          </w:p>
        </w:tc>
        <w:tc>
          <w:tcPr>
            <w:tcW w:w="1588" w:type="dxa"/>
          </w:tcPr>
          <w:p w14:paraId="46BED0EF"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37 (21-91)</w:t>
            </w:r>
          </w:p>
        </w:tc>
        <w:tc>
          <w:tcPr>
            <w:tcW w:w="1545" w:type="dxa"/>
          </w:tcPr>
          <w:p w14:paraId="21624A53"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0.915</w:t>
            </w:r>
          </w:p>
        </w:tc>
        <w:tc>
          <w:tcPr>
            <w:tcW w:w="1554" w:type="dxa"/>
          </w:tcPr>
          <w:p w14:paraId="52CA2266"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0.009</w:t>
            </w:r>
          </w:p>
        </w:tc>
      </w:tr>
      <w:tr w:rsidR="00C21A2B" w:rsidRPr="0066241B" w14:paraId="31104032" w14:textId="77777777">
        <w:trPr>
          <w:trHeight w:val="1034"/>
        </w:trPr>
        <w:tc>
          <w:tcPr>
            <w:tcW w:w="2503" w:type="dxa"/>
          </w:tcPr>
          <w:p w14:paraId="3E58AB4D"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t>Creatinine, mg/dL</w:t>
            </w:r>
          </w:p>
        </w:tc>
        <w:tc>
          <w:tcPr>
            <w:tcW w:w="1588" w:type="dxa"/>
          </w:tcPr>
          <w:p w14:paraId="6AB06D9B"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0.8 (0.7-1.0)</w:t>
            </w:r>
          </w:p>
        </w:tc>
        <w:tc>
          <w:tcPr>
            <w:tcW w:w="1588" w:type="dxa"/>
          </w:tcPr>
          <w:p w14:paraId="0D69BBD6"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0.8 (0.7-1.0)</w:t>
            </w:r>
          </w:p>
        </w:tc>
        <w:tc>
          <w:tcPr>
            <w:tcW w:w="1839" w:type="dxa"/>
          </w:tcPr>
          <w:p w14:paraId="2C57C321"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0.02</w:t>
            </w:r>
          </w:p>
        </w:tc>
        <w:tc>
          <w:tcPr>
            <w:tcW w:w="1553" w:type="dxa"/>
          </w:tcPr>
          <w:p w14:paraId="3DE5A048"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0.09</w:t>
            </w:r>
          </w:p>
        </w:tc>
        <w:tc>
          <w:tcPr>
            <w:tcW w:w="1588" w:type="dxa"/>
          </w:tcPr>
          <w:p w14:paraId="2D42B516"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0.8 (0.7-1.0)</w:t>
            </w:r>
          </w:p>
        </w:tc>
        <w:tc>
          <w:tcPr>
            <w:tcW w:w="1588" w:type="dxa"/>
          </w:tcPr>
          <w:p w14:paraId="7329D90B"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0.8 (0.7-0.9)</w:t>
            </w:r>
          </w:p>
        </w:tc>
        <w:tc>
          <w:tcPr>
            <w:tcW w:w="1545" w:type="dxa"/>
          </w:tcPr>
          <w:p w14:paraId="277862D9"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0.176</w:t>
            </w:r>
          </w:p>
        </w:tc>
        <w:tc>
          <w:tcPr>
            <w:tcW w:w="1554" w:type="dxa"/>
          </w:tcPr>
          <w:p w14:paraId="5074EF61"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0.069</w:t>
            </w:r>
          </w:p>
        </w:tc>
      </w:tr>
      <w:tr w:rsidR="00C21A2B" w:rsidRPr="0066241B" w14:paraId="739264DE" w14:textId="77777777">
        <w:trPr>
          <w:trHeight w:val="696"/>
        </w:trPr>
        <w:tc>
          <w:tcPr>
            <w:tcW w:w="2503" w:type="dxa"/>
          </w:tcPr>
          <w:p w14:paraId="577B7D7A"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t>PT, INR</w:t>
            </w:r>
          </w:p>
        </w:tc>
        <w:tc>
          <w:tcPr>
            <w:tcW w:w="1588" w:type="dxa"/>
          </w:tcPr>
          <w:p w14:paraId="37899DD1"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1.03 (0.98-1.08)</w:t>
            </w:r>
          </w:p>
        </w:tc>
        <w:tc>
          <w:tcPr>
            <w:tcW w:w="1588" w:type="dxa"/>
          </w:tcPr>
          <w:p w14:paraId="3578355D"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1.04 (0.99-1.10)</w:t>
            </w:r>
          </w:p>
        </w:tc>
        <w:tc>
          <w:tcPr>
            <w:tcW w:w="1839" w:type="dxa"/>
          </w:tcPr>
          <w:p w14:paraId="5FA413D7"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0.434</w:t>
            </w:r>
          </w:p>
        </w:tc>
        <w:tc>
          <w:tcPr>
            <w:tcW w:w="1553" w:type="dxa"/>
          </w:tcPr>
          <w:p w14:paraId="3499FDE4"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0.111</w:t>
            </w:r>
          </w:p>
        </w:tc>
        <w:tc>
          <w:tcPr>
            <w:tcW w:w="1588" w:type="dxa"/>
          </w:tcPr>
          <w:p w14:paraId="12ADE50E"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1.03 (0.98-1.08)</w:t>
            </w:r>
          </w:p>
        </w:tc>
        <w:tc>
          <w:tcPr>
            <w:tcW w:w="1588" w:type="dxa"/>
          </w:tcPr>
          <w:p w14:paraId="3438F9AB"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1.04 (0.87-1.09)</w:t>
            </w:r>
          </w:p>
        </w:tc>
        <w:tc>
          <w:tcPr>
            <w:tcW w:w="1545" w:type="dxa"/>
          </w:tcPr>
          <w:p w14:paraId="08CED5B7"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0.67</w:t>
            </w:r>
          </w:p>
        </w:tc>
        <w:tc>
          <w:tcPr>
            <w:tcW w:w="1554" w:type="dxa"/>
          </w:tcPr>
          <w:p w14:paraId="01E970A0"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0.038</w:t>
            </w:r>
          </w:p>
        </w:tc>
      </w:tr>
      <w:tr w:rsidR="00C21A2B" w:rsidRPr="0066241B" w14:paraId="711D7ABB" w14:textId="77777777">
        <w:trPr>
          <w:trHeight w:val="696"/>
        </w:trPr>
        <w:tc>
          <w:tcPr>
            <w:tcW w:w="2503" w:type="dxa"/>
            <w:tcBorders>
              <w:bottom w:val="single" w:sz="4" w:space="0" w:color="000000"/>
            </w:tcBorders>
          </w:tcPr>
          <w:p w14:paraId="52348213" w14:textId="77777777" w:rsidR="0052656F" w:rsidRPr="0066241B" w:rsidRDefault="000D2442" w:rsidP="00B34F1C">
            <w:pPr>
              <w:tabs>
                <w:tab w:val="left" w:pos="4712"/>
              </w:tabs>
              <w:spacing w:line="360" w:lineRule="auto"/>
              <w:ind w:firstLine="240"/>
              <w:rPr>
                <w:rFonts w:ascii="Book Antiqua" w:hAnsi="Book Antiqua"/>
                <w:color w:val="000000" w:themeColor="text1"/>
              </w:rPr>
            </w:pPr>
            <w:r w:rsidRPr="0066241B">
              <w:rPr>
                <w:rFonts w:ascii="Book Antiqua" w:hAnsi="Book Antiqua"/>
                <w:color w:val="000000" w:themeColor="text1"/>
              </w:rPr>
              <w:t>AFP, ng/dL</w:t>
            </w:r>
          </w:p>
        </w:tc>
        <w:tc>
          <w:tcPr>
            <w:tcW w:w="1588" w:type="dxa"/>
            <w:tcBorders>
              <w:bottom w:val="single" w:sz="4" w:space="0" w:color="000000"/>
            </w:tcBorders>
          </w:tcPr>
          <w:p w14:paraId="436EF32F"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3.3 (2.3-6.3)</w:t>
            </w:r>
          </w:p>
        </w:tc>
        <w:tc>
          <w:tcPr>
            <w:tcW w:w="1588" w:type="dxa"/>
            <w:tcBorders>
              <w:bottom w:val="single" w:sz="4" w:space="0" w:color="000000"/>
            </w:tcBorders>
          </w:tcPr>
          <w:p w14:paraId="12743B94"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3.8 (2.3-6.5)</w:t>
            </w:r>
          </w:p>
        </w:tc>
        <w:tc>
          <w:tcPr>
            <w:tcW w:w="1839" w:type="dxa"/>
            <w:tcBorders>
              <w:bottom w:val="single" w:sz="4" w:space="0" w:color="000000"/>
            </w:tcBorders>
          </w:tcPr>
          <w:p w14:paraId="101E46A7" w14:textId="77777777" w:rsidR="0052656F" w:rsidRPr="0066241B" w:rsidRDefault="0052656F" w:rsidP="00B34F1C">
            <w:pPr>
              <w:tabs>
                <w:tab w:val="left" w:pos="4712"/>
              </w:tabs>
              <w:spacing w:line="360" w:lineRule="auto"/>
              <w:rPr>
                <w:rFonts w:ascii="Book Antiqua" w:hAnsi="Book Antiqua"/>
                <w:color w:val="000000" w:themeColor="text1"/>
              </w:rPr>
            </w:pPr>
          </w:p>
        </w:tc>
        <w:tc>
          <w:tcPr>
            <w:tcW w:w="1553" w:type="dxa"/>
            <w:tcBorders>
              <w:bottom w:val="single" w:sz="4" w:space="0" w:color="000000"/>
            </w:tcBorders>
          </w:tcPr>
          <w:p w14:paraId="74893CBF"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0.142</w:t>
            </w:r>
          </w:p>
        </w:tc>
        <w:tc>
          <w:tcPr>
            <w:tcW w:w="1588" w:type="dxa"/>
            <w:tcBorders>
              <w:bottom w:val="single" w:sz="4" w:space="0" w:color="000000"/>
            </w:tcBorders>
          </w:tcPr>
          <w:p w14:paraId="4FEC618C"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5.8 (4.9-6.5)</w:t>
            </w:r>
          </w:p>
        </w:tc>
        <w:tc>
          <w:tcPr>
            <w:tcW w:w="1588" w:type="dxa"/>
            <w:tcBorders>
              <w:bottom w:val="single" w:sz="4" w:space="0" w:color="000000"/>
            </w:tcBorders>
          </w:tcPr>
          <w:p w14:paraId="3A6722EF"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6.1 (5.2-6.5)</w:t>
            </w:r>
          </w:p>
        </w:tc>
        <w:tc>
          <w:tcPr>
            <w:tcW w:w="1545" w:type="dxa"/>
            <w:tcBorders>
              <w:bottom w:val="single" w:sz="4" w:space="0" w:color="000000"/>
            </w:tcBorders>
          </w:tcPr>
          <w:p w14:paraId="21B3F3F5"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0.278</w:t>
            </w:r>
          </w:p>
        </w:tc>
        <w:tc>
          <w:tcPr>
            <w:tcW w:w="1554" w:type="dxa"/>
            <w:tcBorders>
              <w:bottom w:val="single" w:sz="4" w:space="0" w:color="000000"/>
            </w:tcBorders>
          </w:tcPr>
          <w:p w14:paraId="0FA2BC46" w14:textId="77777777" w:rsidR="0052656F" w:rsidRPr="0066241B" w:rsidRDefault="000D2442" w:rsidP="00B34F1C">
            <w:pPr>
              <w:tabs>
                <w:tab w:val="left" w:pos="4712"/>
              </w:tabs>
              <w:spacing w:line="360" w:lineRule="auto"/>
              <w:rPr>
                <w:rFonts w:ascii="Book Antiqua" w:hAnsi="Book Antiqua"/>
                <w:color w:val="000000" w:themeColor="text1"/>
              </w:rPr>
            </w:pPr>
            <w:r w:rsidRPr="0066241B">
              <w:rPr>
                <w:rFonts w:ascii="Book Antiqua" w:hAnsi="Book Antiqua"/>
                <w:color w:val="000000" w:themeColor="text1"/>
              </w:rPr>
              <w:t>0.034</w:t>
            </w:r>
          </w:p>
        </w:tc>
      </w:tr>
    </w:tbl>
    <w:p w14:paraId="12FA45B5"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vertAlign w:val="superscript"/>
        </w:rPr>
        <w:t>1</w:t>
      </w:r>
      <w:r w:rsidRPr="0066241B">
        <w:rPr>
          <w:rFonts w:ascii="Book Antiqua" w:eastAsia="Arial" w:hAnsi="Book Antiqua" w:cs="Arial"/>
          <w:color w:val="000000" w:themeColor="text1"/>
        </w:rPr>
        <w:t xml:space="preserve">Significant alcohol intake is defined as weekly </w:t>
      </w:r>
      <w:r w:rsidRPr="0066241B">
        <w:rPr>
          <w:rFonts w:ascii="Book Antiqua" w:hAnsi="Book Antiqua"/>
          <w:color w:val="000000" w:themeColor="text1"/>
        </w:rPr>
        <w:t xml:space="preserve">alcohol consumption </w:t>
      </w:r>
      <w:r w:rsidRPr="0066241B">
        <w:rPr>
          <w:rFonts w:ascii="Book Antiqua" w:eastAsia="Arial Unicode MS" w:hAnsi="Book Antiqua" w:cs="Arial Unicode MS"/>
          <w:color w:val="000000" w:themeColor="text1"/>
        </w:rPr>
        <w:t>≥</w:t>
      </w:r>
      <w:r w:rsidRPr="0066241B">
        <w:rPr>
          <w:rFonts w:ascii="Book Antiqua" w:eastAsia="Arial" w:hAnsi="Book Antiqua" w:cs="Arial"/>
          <w:color w:val="000000" w:themeColor="text1"/>
        </w:rPr>
        <w:t xml:space="preserve"> 210 g for men and </w:t>
      </w:r>
      <w:r w:rsidRPr="0066241B">
        <w:rPr>
          <w:rFonts w:ascii="Book Antiqua" w:eastAsia="Arial Unicode MS" w:hAnsi="Book Antiqua" w:cs="Arial Unicode MS"/>
          <w:color w:val="000000" w:themeColor="text1"/>
        </w:rPr>
        <w:t>≥</w:t>
      </w:r>
      <w:r w:rsidRPr="0066241B">
        <w:rPr>
          <w:rFonts w:ascii="Book Antiqua" w:eastAsia="Arial" w:hAnsi="Book Antiqua" w:cs="Arial"/>
          <w:color w:val="000000" w:themeColor="text1"/>
        </w:rPr>
        <w:t xml:space="preserve"> 140 g for women.</w:t>
      </w:r>
    </w:p>
    <w:p w14:paraId="2650E847"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 xml:space="preserve">Data were presented as mean ± SD, median (interquartile range), or </w:t>
      </w:r>
      <w:r w:rsidRPr="0066241B">
        <w:rPr>
          <w:rFonts w:ascii="Book Antiqua" w:eastAsia="Arial" w:hAnsi="Book Antiqua" w:cs="Arial"/>
          <w:i/>
          <w:color w:val="000000" w:themeColor="text1"/>
        </w:rPr>
        <w:t>n</w:t>
      </w:r>
      <w:r w:rsidRPr="0066241B">
        <w:rPr>
          <w:rFonts w:ascii="Book Antiqua" w:eastAsia="Arial" w:hAnsi="Book Antiqua" w:cs="Arial"/>
          <w:color w:val="000000" w:themeColor="text1"/>
        </w:rPr>
        <w:t xml:space="preserve"> (%).</w:t>
      </w:r>
    </w:p>
    <w:p w14:paraId="08EBB620"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lastRenderedPageBreak/>
        <w:t xml:space="preserve">AFP: Alpha-feto protein; ALBI: Albumin-bilirubin; ALP: Alkaline phosphatase; ALT: Alanine aminotransferase; APRI: Aspartate aminotransferase to platelet ratio index; AST: Aspartate aminotransferase; BMI: Body mass index; DAA: Direct acting antivirals; FIB-4: Fibrosis-4; HCV: Hepatitis C virus; IBT: Interferon-based therapy; </w:t>
      </w:r>
      <w:r w:rsidRPr="0066241B">
        <w:rPr>
          <w:rFonts w:ascii="Book Antiqua" w:hAnsi="Book Antiqua"/>
          <w:color w:val="000000" w:themeColor="text1"/>
        </w:rPr>
        <w:t xml:space="preserve">MELD: Model for end-stage liver disease; PLT: Platelet; </w:t>
      </w:r>
      <w:r w:rsidRPr="0066241B">
        <w:rPr>
          <w:rFonts w:ascii="Book Antiqua" w:eastAsia="Arial" w:hAnsi="Book Antiqua" w:cs="Arial"/>
          <w:color w:val="000000" w:themeColor="text1"/>
        </w:rPr>
        <w:t>PT: Prothrombin time; WBC: White blood cell</w:t>
      </w:r>
      <w:bookmarkEnd w:id="0"/>
      <w:bookmarkEnd w:id="1"/>
      <w:r w:rsidRPr="0066241B">
        <w:rPr>
          <w:rFonts w:ascii="Book Antiqua" w:eastAsia="Arial" w:hAnsi="Book Antiqua" w:cs="Arial"/>
          <w:color w:val="000000" w:themeColor="text1"/>
        </w:rPr>
        <w:t xml:space="preserve">; SVR: </w:t>
      </w:r>
      <w:bookmarkStart w:id="72" w:name="OLE_LINK4735"/>
      <w:bookmarkStart w:id="73" w:name="OLE_LINK4736"/>
      <w:r w:rsidRPr="0066241B">
        <w:rPr>
          <w:rFonts w:ascii="Book Antiqua" w:eastAsia="Arial" w:hAnsi="Book Antiqua" w:cs="Arial"/>
          <w:color w:val="000000" w:themeColor="text1"/>
        </w:rPr>
        <w:t>Sustained virologic response</w:t>
      </w:r>
      <w:bookmarkEnd w:id="72"/>
      <w:bookmarkEnd w:id="73"/>
      <w:r w:rsidRPr="0066241B">
        <w:rPr>
          <w:rFonts w:ascii="Book Antiqua" w:eastAsia="Arial" w:hAnsi="Book Antiqua" w:cs="Arial"/>
          <w:color w:val="000000" w:themeColor="text1"/>
        </w:rPr>
        <w:t>.</w:t>
      </w:r>
    </w:p>
    <w:p w14:paraId="55B6A44B" w14:textId="77777777" w:rsidR="0052656F" w:rsidRPr="0066241B" w:rsidRDefault="0052656F" w:rsidP="00B34F1C">
      <w:pPr>
        <w:spacing w:line="360" w:lineRule="auto"/>
        <w:jc w:val="both"/>
        <w:rPr>
          <w:rFonts w:ascii="Book Antiqua" w:hAnsi="Book Antiqua"/>
          <w:color w:val="000000" w:themeColor="text1"/>
        </w:rPr>
        <w:sectPr w:rsidR="0052656F" w:rsidRPr="0066241B" w:rsidSect="0037300D">
          <w:headerReference w:type="default" r:id="rId32"/>
          <w:pgSz w:w="16838" w:h="11906" w:orient="landscape"/>
          <w:pgMar w:top="680" w:right="680" w:bottom="680" w:left="680" w:header="851" w:footer="992" w:gutter="0"/>
          <w:cols w:space="720"/>
          <w:docGrid w:linePitch="326"/>
        </w:sectPr>
      </w:pPr>
    </w:p>
    <w:p w14:paraId="5AC9B3B3" w14:textId="77777777" w:rsidR="0052656F" w:rsidRPr="0066241B" w:rsidRDefault="000D2442" w:rsidP="00B34F1C">
      <w:pPr>
        <w:spacing w:line="360" w:lineRule="auto"/>
        <w:jc w:val="both"/>
        <w:rPr>
          <w:rFonts w:ascii="Book Antiqua" w:eastAsia="Arial" w:hAnsi="Book Antiqua" w:cs="Arial"/>
          <w:b/>
          <w:color w:val="000000" w:themeColor="text1"/>
        </w:rPr>
      </w:pPr>
      <w:r w:rsidRPr="0066241B">
        <w:rPr>
          <w:rFonts w:ascii="Book Antiqua" w:eastAsia="Arial" w:hAnsi="Book Antiqua" w:cs="Arial"/>
          <w:b/>
          <w:color w:val="000000" w:themeColor="text1"/>
        </w:rPr>
        <w:lastRenderedPageBreak/>
        <w:t>Table 5 Multivariate Cox regression analysis for hepatocellular carcinoma and death/transplantation among the sustained virologic response cohort</w:t>
      </w:r>
    </w:p>
    <w:tbl>
      <w:tblPr>
        <w:tblW w:w="10077" w:type="dxa"/>
        <w:tblInd w:w="534" w:type="dxa"/>
        <w:tblLayout w:type="fixed"/>
        <w:tblCellMar>
          <w:left w:w="0" w:type="dxa"/>
          <w:right w:w="0" w:type="dxa"/>
        </w:tblCellMar>
        <w:tblLook w:val="04A0" w:firstRow="1" w:lastRow="0" w:firstColumn="1" w:lastColumn="0" w:noHBand="0" w:noVBand="1"/>
      </w:tblPr>
      <w:tblGrid>
        <w:gridCol w:w="2817"/>
        <w:gridCol w:w="2400"/>
        <w:gridCol w:w="1285"/>
        <w:gridCol w:w="2311"/>
        <w:gridCol w:w="1264"/>
      </w:tblGrid>
      <w:tr w:rsidR="00C21A2B" w:rsidRPr="0066241B" w14:paraId="5ACF9518" w14:textId="77777777">
        <w:trPr>
          <w:trHeight w:val="636"/>
        </w:trPr>
        <w:tc>
          <w:tcPr>
            <w:tcW w:w="2817" w:type="dxa"/>
            <w:vMerge w:val="restart"/>
            <w:tcBorders>
              <w:top w:val="single" w:sz="4" w:space="0" w:color="000000"/>
              <w:bottom w:val="single" w:sz="4" w:space="0" w:color="000000"/>
            </w:tcBorders>
            <w:shd w:val="clear" w:color="000000" w:fill="auto"/>
            <w:tcMar>
              <w:left w:w="108" w:type="dxa"/>
              <w:right w:w="108" w:type="dxa"/>
            </w:tcMar>
            <w:vAlign w:val="center"/>
          </w:tcPr>
          <w:p w14:paraId="06FFCDCC" w14:textId="77777777" w:rsidR="0052656F" w:rsidRPr="0066241B" w:rsidRDefault="000D2442" w:rsidP="00B34F1C">
            <w:pPr>
              <w:spacing w:line="360" w:lineRule="auto"/>
              <w:jc w:val="both"/>
              <w:rPr>
                <w:rFonts w:ascii="Book Antiqua" w:eastAsia="等线" w:hAnsi="Book Antiqua" w:cs="宋体"/>
                <w:b/>
                <w:color w:val="000000" w:themeColor="text1"/>
                <w:lang w:eastAsia="zh-CN"/>
              </w:rPr>
            </w:pPr>
            <w:r w:rsidRPr="0066241B">
              <w:rPr>
                <w:rFonts w:ascii="Book Antiqua" w:eastAsia="等线" w:hAnsi="Book Antiqua" w:cs="宋体"/>
                <w:b/>
                <w:color w:val="000000" w:themeColor="text1"/>
                <w:lang w:eastAsia="zh-CN"/>
              </w:rPr>
              <w:t>Variable</w:t>
            </w:r>
          </w:p>
        </w:tc>
        <w:tc>
          <w:tcPr>
            <w:tcW w:w="3685" w:type="dxa"/>
            <w:gridSpan w:val="2"/>
            <w:tcBorders>
              <w:top w:val="single" w:sz="4" w:space="0" w:color="000000"/>
              <w:bottom w:val="single" w:sz="4" w:space="0" w:color="000000"/>
            </w:tcBorders>
            <w:shd w:val="clear" w:color="000000" w:fill="auto"/>
            <w:tcMar>
              <w:left w:w="108" w:type="dxa"/>
              <w:right w:w="108" w:type="dxa"/>
            </w:tcMar>
            <w:vAlign w:val="center"/>
          </w:tcPr>
          <w:p w14:paraId="1E86B093" w14:textId="77777777" w:rsidR="0052656F" w:rsidRPr="0066241B" w:rsidRDefault="000D2442" w:rsidP="00B34F1C">
            <w:pPr>
              <w:spacing w:line="360" w:lineRule="auto"/>
              <w:jc w:val="both"/>
              <w:rPr>
                <w:rFonts w:ascii="Book Antiqua" w:eastAsia="等线" w:hAnsi="Book Antiqua" w:cs="宋体"/>
                <w:b/>
                <w:color w:val="000000" w:themeColor="text1"/>
                <w:lang w:eastAsia="zh-CN"/>
              </w:rPr>
            </w:pPr>
            <w:r w:rsidRPr="0066241B">
              <w:rPr>
                <w:rFonts w:ascii="Book Antiqua" w:eastAsia="等线" w:hAnsi="Book Antiqua" w:cs="宋体"/>
                <w:b/>
                <w:color w:val="000000" w:themeColor="text1"/>
                <w:lang w:eastAsia="zh-CN"/>
              </w:rPr>
              <w:t>Hepatocellular carcinoma</w:t>
            </w:r>
          </w:p>
        </w:tc>
        <w:tc>
          <w:tcPr>
            <w:tcW w:w="3575" w:type="dxa"/>
            <w:gridSpan w:val="2"/>
            <w:tcBorders>
              <w:top w:val="single" w:sz="4" w:space="0" w:color="000000"/>
              <w:bottom w:val="single" w:sz="4" w:space="0" w:color="000000"/>
            </w:tcBorders>
            <w:shd w:val="clear" w:color="000000" w:fill="auto"/>
            <w:tcMar>
              <w:left w:w="108" w:type="dxa"/>
              <w:right w:w="108" w:type="dxa"/>
            </w:tcMar>
            <w:vAlign w:val="center"/>
          </w:tcPr>
          <w:p w14:paraId="3030CA59" w14:textId="77777777" w:rsidR="0052656F" w:rsidRPr="0066241B" w:rsidRDefault="000D2442" w:rsidP="00B34F1C">
            <w:pPr>
              <w:spacing w:line="360" w:lineRule="auto"/>
              <w:jc w:val="both"/>
              <w:rPr>
                <w:rFonts w:ascii="Book Antiqua" w:eastAsia="等线" w:hAnsi="Book Antiqua" w:cs="宋体"/>
                <w:b/>
                <w:color w:val="000000" w:themeColor="text1"/>
                <w:lang w:eastAsia="zh-CN"/>
              </w:rPr>
            </w:pPr>
            <w:r w:rsidRPr="0066241B">
              <w:rPr>
                <w:rFonts w:ascii="Book Antiqua" w:eastAsia="等线" w:hAnsi="Book Antiqua" w:cs="宋体"/>
                <w:b/>
                <w:color w:val="000000" w:themeColor="text1"/>
                <w:lang w:eastAsia="zh-CN"/>
              </w:rPr>
              <w:t>Death/transplantation</w:t>
            </w:r>
          </w:p>
        </w:tc>
      </w:tr>
      <w:tr w:rsidR="00C21A2B" w:rsidRPr="0066241B" w14:paraId="71E15490" w14:textId="77777777">
        <w:trPr>
          <w:trHeight w:val="696"/>
        </w:trPr>
        <w:tc>
          <w:tcPr>
            <w:tcW w:w="2817" w:type="dxa"/>
            <w:vMerge/>
            <w:tcBorders>
              <w:top w:val="single" w:sz="4" w:space="0" w:color="000000"/>
              <w:bottom w:val="single" w:sz="4" w:space="0" w:color="000000"/>
            </w:tcBorders>
            <w:shd w:val="clear" w:color="000000" w:fill="auto"/>
            <w:vAlign w:val="center"/>
          </w:tcPr>
          <w:p w14:paraId="68978E9C" w14:textId="77777777" w:rsidR="0052656F" w:rsidRPr="0066241B" w:rsidRDefault="0052656F" w:rsidP="00B34F1C">
            <w:pPr>
              <w:spacing w:line="360" w:lineRule="auto"/>
              <w:jc w:val="both"/>
              <w:rPr>
                <w:rFonts w:ascii="Book Antiqua" w:hAnsi="Book Antiqua"/>
                <w:color w:val="000000" w:themeColor="text1"/>
              </w:rPr>
            </w:pPr>
          </w:p>
        </w:tc>
        <w:tc>
          <w:tcPr>
            <w:tcW w:w="2400" w:type="dxa"/>
            <w:tcBorders>
              <w:top w:val="single" w:sz="4" w:space="0" w:color="000000"/>
              <w:bottom w:val="single" w:sz="4" w:space="0" w:color="000000"/>
            </w:tcBorders>
            <w:shd w:val="clear" w:color="000000" w:fill="auto"/>
            <w:tcMar>
              <w:left w:w="108" w:type="dxa"/>
              <w:right w:w="108" w:type="dxa"/>
            </w:tcMar>
            <w:vAlign w:val="center"/>
          </w:tcPr>
          <w:p w14:paraId="1946EF29" w14:textId="77777777" w:rsidR="0052656F" w:rsidRPr="0066241B" w:rsidRDefault="000D2442" w:rsidP="00B34F1C">
            <w:pPr>
              <w:spacing w:line="360" w:lineRule="auto"/>
              <w:jc w:val="both"/>
              <w:rPr>
                <w:rFonts w:ascii="Book Antiqua" w:eastAsia="等线" w:hAnsi="Book Antiqua" w:cs="宋体"/>
                <w:b/>
                <w:color w:val="000000" w:themeColor="text1"/>
                <w:lang w:eastAsia="zh-CN"/>
              </w:rPr>
            </w:pPr>
            <w:r w:rsidRPr="0066241B">
              <w:rPr>
                <w:rFonts w:ascii="Book Antiqua" w:eastAsia="等线" w:hAnsi="Book Antiqua" w:cs="宋体"/>
                <w:b/>
                <w:color w:val="000000" w:themeColor="text1"/>
                <w:lang w:eastAsia="zh-CN"/>
              </w:rPr>
              <w:t>aHR (95%CI)</w:t>
            </w:r>
          </w:p>
        </w:tc>
        <w:tc>
          <w:tcPr>
            <w:tcW w:w="1285" w:type="dxa"/>
            <w:tcBorders>
              <w:top w:val="single" w:sz="4" w:space="0" w:color="000000"/>
              <w:bottom w:val="single" w:sz="4" w:space="0" w:color="000000"/>
            </w:tcBorders>
            <w:shd w:val="clear" w:color="000000" w:fill="auto"/>
            <w:tcMar>
              <w:left w:w="108" w:type="dxa"/>
              <w:right w:w="108" w:type="dxa"/>
            </w:tcMar>
            <w:vAlign w:val="center"/>
          </w:tcPr>
          <w:p w14:paraId="5151AE5E" w14:textId="77777777" w:rsidR="0052656F" w:rsidRPr="0066241B" w:rsidRDefault="000D2442" w:rsidP="00B34F1C">
            <w:pPr>
              <w:spacing w:line="360" w:lineRule="auto"/>
              <w:jc w:val="both"/>
              <w:rPr>
                <w:rFonts w:ascii="Book Antiqua" w:eastAsia="等线" w:hAnsi="Book Antiqua" w:cs="宋体"/>
                <w:b/>
                <w:color w:val="000000" w:themeColor="text1"/>
                <w:lang w:eastAsia="zh-CN"/>
              </w:rPr>
            </w:pPr>
            <w:r w:rsidRPr="0066241B">
              <w:rPr>
                <w:rFonts w:ascii="Book Antiqua" w:eastAsia="等线" w:hAnsi="Book Antiqua" w:cs="宋体"/>
                <w:b/>
                <w:i/>
                <w:color w:val="000000" w:themeColor="text1"/>
                <w:lang w:eastAsia="zh-CN"/>
              </w:rPr>
              <w:t>P</w:t>
            </w:r>
            <w:r w:rsidRPr="0066241B">
              <w:rPr>
                <w:rFonts w:ascii="Book Antiqua" w:eastAsia="等线" w:hAnsi="Book Antiqua" w:cs="宋体"/>
                <w:b/>
                <w:color w:val="000000" w:themeColor="text1"/>
                <w:lang w:eastAsia="zh-CN"/>
              </w:rPr>
              <w:t xml:space="preserve"> value</w:t>
            </w:r>
          </w:p>
        </w:tc>
        <w:tc>
          <w:tcPr>
            <w:tcW w:w="2311" w:type="dxa"/>
            <w:tcBorders>
              <w:top w:val="single" w:sz="4" w:space="0" w:color="000000"/>
              <w:bottom w:val="single" w:sz="4" w:space="0" w:color="000000"/>
            </w:tcBorders>
            <w:shd w:val="clear" w:color="000000" w:fill="auto"/>
            <w:tcMar>
              <w:left w:w="108" w:type="dxa"/>
              <w:right w:w="108" w:type="dxa"/>
            </w:tcMar>
            <w:vAlign w:val="center"/>
          </w:tcPr>
          <w:p w14:paraId="459B2803" w14:textId="77777777" w:rsidR="0052656F" w:rsidRPr="0066241B" w:rsidRDefault="000D2442" w:rsidP="00B34F1C">
            <w:pPr>
              <w:spacing w:line="360" w:lineRule="auto"/>
              <w:jc w:val="both"/>
              <w:rPr>
                <w:rFonts w:ascii="Book Antiqua" w:eastAsia="等线" w:hAnsi="Book Antiqua" w:cs="宋体"/>
                <w:b/>
                <w:color w:val="000000" w:themeColor="text1"/>
                <w:lang w:eastAsia="zh-CN"/>
              </w:rPr>
            </w:pPr>
            <w:r w:rsidRPr="0066241B">
              <w:rPr>
                <w:rFonts w:ascii="Book Antiqua" w:eastAsia="等线" w:hAnsi="Book Antiqua" w:cs="宋体"/>
                <w:b/>
                <w:color w:val="000000" w:themeColor="text1"/>
                <w:lang w:eastAsia="zh-CN"/>
              </w:rPr>
              <w:t>aHR (95%CI)</w:t>
            </w:r>
          </w:p>
        </w:tc>
        <w:tc>
          <w:tcPr>
            <w:tcW w:w="1264" w:type="dxa"/>
            <w:tcBorders>
              <w:top w:val="single" w:sz="4" w:space="0" w:color="000000"/>
              <w:bottom w:val="single" w:sz="4" w:space="0" w:color="000000"/>
            </w:tcBorders>
            <w:shd w:val="clear" w:color="000000" w:fill="auto"/>
            <w:tcMar>
              <w:left w:w="108" w:type="dxa"/>
              <w:right w:w="108" w:type="dxa"/>
            </w:tcMar>
            <w:vAlign w:val="center"/>
          </w:tcPr>
          <w:p w14:paraId="6C5AC916" w14:textId="77777777" w:rsidR="0052656F" w:rsidRPr="0066241B" w:rsidRDefault="000D2442" w:rsidP="00B34F1C">
            <w:pPr>
              <w:spacing w:line="360" w:lineRule="auto"/>
              <w:jc w:val="both"/>
              <w:rPr>
                <w:rFonts w:ascii="Book Antiqua" w:eastAsia="等线" w:hAnsi="Book Antiqua" w:cs="宋体"/>
                <w:b/>
                <w:color w:val="000000" w:themeColor="text1"/>
                <w:lang w:eastAsia="zh-CN"/>
              </w:rPr>
            </w:pPr>
            <w:r w:rsidRPr="0066241B">
              <w:rPr>
                <w:rFonts w:ascii="Book Antiqua" w:eastAsia="等线" w:hAnsi="Book Antiqua" w:cs="宋体"/>
                <w:b/>
                <w:i/>
                <w:color w:val="000000" w:themeColor="text1"/>
                <w:lang w:eastAsia="zh-CN"/>
              </w:rPr>
              <w:t xml:space="preserve">P </w:t>
            </w:r>
            <w:r w:rsidRPr="0066241B">
              <w:rPr>
                <w:rFonts w:ascii="Book Antiqua" w:eastAsia="等线" w:hAnsi="Book Antiqua" w:cs="宋体"/>
                <w:b/>
                <w:color w:val="000000" w:themeColor="text1"/>
                <w:lang w:eastAsia="zh-CN"/>
              </w:rPr>
              <w:t>value</w:t>
            </w:r>
          </w:p>
        </w:tc>
      </w:tr>
      <w:tr w:rsidR="00C21A2B" w:rsidRPr="0066241B" w14:paraId="105F4465" w14:textId="77777777">
        <w:trPr>
          <w:trHeight w:val="696"/>
        </w:trPr>
        <w:tc>
          <w:tcPr>
            <w:tcW w:w="2817" w:type="dxa"/>
            <w:tcBorders>
              <w:top w:val="single" w:sz="4" w:space="0" w:color="000000"/>
            </w:tcBorders>
            <w:shd w:val="clear" w:color="000000" w:fill="auto"/>
            <w:tcMar>
              <w:left w:w="108" w:type="dxa"/>
              <w:right w:w="108" w:type="dxa"/>
            </w:tcMar>
            <w:vAlign w:val="center"/>
          </w:tcPr>
          <w:p w14:paraId="6C761704"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IBT-SVR group</w:t>
            </w:r>
          </w:p>
        </w:tc>
        <w:tc>
          <w:tcPr>
            <w:tcW w:w="2400" w:type="dxa"/>
            <w:tcBorders>
              <w:top w:val="single" w:sz="4" w:space="0" w:color="000000"/>
            </w:tcBorders>
            <w:shd w:val="clear" w:color="000000" w:fill="auto"/>
            <w:tcMar>
              <w:left w:w="108" w:type="dxa"/>
              <w:right w:w="108" w:type="dxa"/>
            </w:tcMar>
            <w:vAlign w:val="center"/>
          </w:tcPr>
          <w:p w14:paraId="095DD44A"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Reference</w:t>
            </w:r>
          </w:p>
        </w:tc>
        <w:tc>
          <w:tcPr>
            <w:tcW w:w="1285" w:type="dxa"/>
            <w:tcBorders>
              <w:top w:val="single" w:sz="4" w:space="0" w:color="000000"/>
            </w:tcBorders>
            <w:shd w:val="clear" w:color="000000" w:fill="auto"/>
            <w:tcMar>
              <w:left w:w="108" w:type="dxa"/>
              <w:right w:w="108" w:type="dxa"/>
            </w:tcMar>
            <w:vAlign w:val="center"/>
          </w:tcPr>
          <w:p w14:paraId="6FA5DAA5"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c>
          <w:tcPr>
            <w:tcW w:w="2311" w:type="dxa"/>
            <w:tcBorders>
              <w:top w:val="single" w:sz="4" w:space="0" w:color="000000"/>
            </w:tcBorders>
            <w:shd w:val="clear" w:color="000000" w:fill="auto"/>
            <w:tcMar>
              <w:left w:w="108" w:type="dxa"/>
              <w:right w:w="108" w:type="dxa"/>
            </w:tcMar>
            <w:vAlign w:val="center"/>
          </w:tcPr>
          <w:p w14:paraId="48C1DBE2"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Reference</w:t>
            </w:r>
          </w:p>
        </w:tc>
        <w:tc>
          <w:tcPr>
            <w:tcW w:w="1264" w:type="dxa"/>
            <w:tcBorders>
              <w:top w:val="single" w:sz="4" w:space="0" w:color="000000"/>
            </w:tcBorders>
            <w:shd w:val="clear" w:color="000000" w:fill="auto"/>
            <w:tcMar>
              <w:left w:w="108" w:type="dxa"/>
              <w:right w:w="108" w:type="dxa"/>
            </w:tcMar>
            <w:vAlign w:val="center"/>
          </w:tcPr>
          <w:p w14:paraId="501D5553"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r>
      <w:tr w:rsidR="00C21A2B" w:rsidRPr="0066241B" w14:paraId="527D0F69" w14:textId="77777777">
        <w:trPr>
          <w:trHeight w:val="696"/>
        </w:trPr>
        <w:tc>
          <w:tcPr>
            <w:tcW w:w="2817" w:type="dxa"/>
            <w:shd w:val="clear" w:color="000000" w:fill="auto"/>
            <w:tcMar>
              <w:left w:w="108" w:type="dxa"/>
              <w:right w:w="108" w:type="dxa"/>
            </w:tcMar>
            <w:vAlign w:val="center"/>
          </w:tcPr>
          <w:p w14:paraId="31CF981B"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DAA-SVR group</w:t>
            </w:r>
          </w:p>
        </w:tc>
        <w:tc>
          <w:tcPr>
            <w:tcW w:w="2400" w:type="dxa"/>
            <w:shd w:val="clear" w:color="000000" w:fill="auto"/>
            <w:tcMar>
              <w:left w:w="108" w:type="dxa"/>
              <w:right w:w="108" w:type="dxa"/>
            </w:tcMar>
            <w:vAlign w:val="center"/>
          </w:tcPr>
          <w:p w14:paraId="040B0D3E"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2.03 (0.76-5.43)</w:t>
            </w:r>
          </w:p>
        </w:tc>
        <w:tc>
          <w:tcPr>
            <w:tcW w:w="1285" w:type="dxa"/>
            <w:shd w:val="clear" w:color="000000" w:fill="auto"/>
            <w:tcMar>
              <w:left w:w="108" w:type="dxa"/>
              <w:right w:w="108" w:type="dxa"/>
            </w:tcMar>
            <w:vAlign w:val="center"/>
          </w:tcPr>
          <w:p w14:paraId="3707B74D"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0.16</w:t>
            </w:r>
          </w:p>
        </w:tc>
        <w:tc>
          <w:tcPr>
            <w:tcW w:w="2311" w:type="dxa"/>
            <w:shd w:val="clear" w:color="000000" w:fill="auto"/>
            <w:tcMar>
              <w:left w:w="108" w:type="dxa"/>
              <w:right w:w="108" w:type="dxa"/>
            </w:tcMar>
            <w:vAlign w:val="center"/>
          </w:tcPr>
          <w:p w14:paraId="3E0FCC28"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1.38 (0.55-3.49)</w:t>
            </w:r>
          </w:p>
        </w:tc>
        <w:tc>
          <w:tcPr>
            <w:tcW w:w="1264" w:type="dxa"/>
            <w:shd w:val="clear" w:color="000000" w:fill="auto"/>
            <w:tcMar>
              <w:left w:w="108" w:type="dxa"/>
              <w:right w:w="108" w:type="dxa"/>
            </w:tcMar>
            <w:vAlign w:val="center"/>
          </w:tcPr>
          <w:p w14:paraId="7F17E36F"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0.494</w:t>
            </w:r>
          </w:p>
        </w:tc>
      </w:tr>
      <w:tr w:rsidR="00C21A2B" w:rsidRPr="0066241B" w14:paraId="3C404B78" w14:textId="77777777">
        <w:trPr>
          <w:trHeight w:val="696"/>
        </w:trPr>
        <w:tc>
          <w:tcPr>
            <w:tcW w:w="2817" w:type="dxa"/>
            <w:shd w:val="clear" w:color="000000" w:fill="auto"/>
            <w:tcMar>
              <w:left w:w="108" w:type="dxa"/>
              <w:right w:w="108" w:type="dxa"/>
            </w:tcMar>
            <w:vAlign w:val="center"/>
          </w:tcPr>
          <w:p w14:paraId="22C5132D"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Age, yr</w:t>
            </w:r>
          </w:p>
        </w:tc>
        <w:tc>
          <w:tcPr>
            <w:tcW w:w="2400" w:type="dxa"/>
            <w:shd w:val="clear" w:color="000000" w:fill="auto"/>
            <w:tcMar>
              <w:left w:w="108" w:type="dxa"/>
              <w:right w:w="108" w:type="dxa"/>
            </w:tcMar>
            <w:vAlign w:val="center"/>
          </w:tcPr>
          <w:p w14:paraId="7D7D6BA1"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1.05 (1.01-1.10)</w:t>
            </w:r>
          </w:p>
        </w:tc>
        <w:tc>
          <w:tcPr>
            <w:tcW w:w="1285" w:type="dxa"/>
            <w:shd w:val="clear" w:color="000000" w:fill="auto"/>
            <w:tcMar>
              <w:left w:w="108" w:type="dxa"/>
              <w:right w:w="108" w:type="dxa"/>
            </w:tcMar>
            <w:vAlign w:val="center"/>
          </w:tcPr>
          <w:p w14:paraId="4F96E7DD"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0.025</w:t>
            </w:r>
          </w:p>
        </w:tc>
        <w:tc>
          <w:tcPr>
            <w:tcW w:w="2311" w:type="dxa"/>
            <w:shd w:val="clear" w:color="000000" w:fill="auto"/>
            <w:tcMar>
              <w:left w:w="108" w:type="dxa"/>
              <w:right w:w="108" w:type="dxa"/>
            </w:tcMar>
            <w:vAlign w:val="center"/>
          </w:tcPr>
          <w:p w14:paraId="6B49E42C"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c>
          <w:tcPr>
            <w:tcW w:w="1264" w:type="dxa"/>
            <w:shd w:val="clear" w:color="000000" w:fill="auto"/>
            <w:tcMar>
              <w:left w:w="108" w:type="dxa"/>
              <w:right w:w="108" w:type="dxa"/>
            </w:tcMar>
            <w:vAlign w:val="center"/>
          </w:tcPr>
          <w:p w14:paraId="0CC3527D"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r>
      <w:tr w:rsidR="00C21A2B" w:rsidRPr="0066241B" w14:paraId="6A5A2CB7" w14:textId="77777777">
        <w:trPr>
          <w:trHeight w:val="696"/>
        </w:trPr>
        <w:tc>
          <w:tcPr>
            <w:tcW w:w="2817" w:type="dxa"/>
            <w:shd w:val="clear" w:color="000000" w:fill="auto"/>
            <w:tcMar>
              <w:left w:w="108" w:type="dxa"/>
              <w:right w:w="108" w:type="dxa"/>
            </w:tcMar>
            <w:vAlign w:val="center"/>
          </w:tcPr>
          <w:p w14:paraId="099C0E11"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Male sex</w:t>
            </w:r>
          </w:p>
        </w:tc>
        <w:tc>
          <w:tcPr>
            <w:tcW w:w="2400" w:type="dxa"/>
            <w:shd w:val="clear" w:color="000000" w:fill="auto"/>
            <w:tcMar>
              <w:left w:w="108" w:type="dxa"/>
              <w:right w:w="108" w:type="dxa"/>
            </w:tcMar>
            <w:vAlign w:val="center"/>
          </w:tcPr>
          <w:p w14:paraId="42D462FD" w14:textId="79C79654"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2.89 (0.97</w:t>
            </w:r>
            <w:r w:rsidR="00944132" w:rsidRPr="0066241B">
              <w:rPr>
                <w:rFonts w:ascii="Book Antiqua" w:eastAsia="等线" w:hAnsi="Book Antiqua" w:cs="宋体"/>
                <w:color w:val="000000" w:themeColor="text1"/>
                <w:lang w:eastAsia="zh-CN"/>
              </w:rPr>
              <w:t>-</w:t>
            </w:r>
            <w:r w:rsidRPr="0066241B">
              <w:rPr>
                <w:rFonts w:ascii="Book Antiqua" w:eastAsia="等线" w:hAnsi="Book Antiqua" w:cs="宋体"/>
                <w:color w:val="000000" w:themeColor="text1"/>
                <w:lang w:eastAsia="zh-CN"/>
              </w:rPr>
              <w:t>8.61)</w:t>
            </w:r>
          </w:p>
        </w:tc>
        <w:tc>
          <w:tcPr>
            <w:tcW w:w="1285" w:type="dxa"/>
            <w:shd w:val="clear" w:color="000000" w:fill="auto"/>
            <w:tcMar>
              <w:left w:w="108" w:type="dxa"/>
              <w:right w:w="108" w:type="dxa"/>
            </w:tcMar>
            <w:vAlign w:val="center"/>
          </w:tcPr>
          <w:p w14:paraId="68E66251"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0.057</w:t>
            </w:r>
          </w:p>
        </w:tc>
        <w:tc>
          <w:tcPr>
            <w:tcW w:w="2311" w:type="dxa"/>
            <w:shd w:val="clear" w:color="000000" w:fill="auto"/>
            <w:tcMar>
              <w:left w:w="108" w:type="dxa"/>
              <w:right w:w="108" w:type="dxa"/>
            </w:tcMar>
            <w:vAlign w:val="center"/>
          </w:tcPr>
          <w:p w14:paraId="6956B888"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c>
          <w:tcPr>
            <w:tcW w:w="1264" w:type="dxa"/>
            <w:shd w:val="clear" w:color="000000" w:fill="auto"/>
            <w:tcMar>
              <w:left w:w="108" w:type="dxa"/>
              <w:right w:w="108" w:type="dxa"/>
            </w:tcMar>
            <w:vAlign w:val="center"/>
          </w:tcPr>
          <w:p w14:paraId="3EF223F4"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r>
      <w:tr w:rsidR="00C21A2B" w:rsidRPr="0066241B" w14:paraId="50E3D46D" w14:textId="77777777">
        <w:trPr>
          <w:trHeight w:val="696"/>
        </w:trPr>
        <w:tc>
          <w:tcPr>
            <w:tcW w:w="2817" w:type="dxa"/>
            <w:shd w:val="clear" w:color="000000" w:fill="auto"/>
            <w:tcMar>
              <w:left w:w="108" w:type="dxa"/>
              <w:right w:w="108" w:type="dxa"/>
            </w:tcMar>
            <w:vAlign w:val="center"/>
          </w:tcPr>
          <w:p w14:paraId="207269F5"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HCV genotype</w:t>
            </w:r>
          </w:p>
        </w:tc>
        <w:tc>
          <w:tcPr>
            <w:tcW w:w="2400" w:type="dxa"/>
            <w:shd w:val="clear" w:color="000000" w:fill="auto"/>
            <w:tcMar>
              <w:left w:w="108" w:type="dxa"/>
              <w:right w:w="108" w:type="dxa"/>
            </w:tcMar>
            <w:vAlign w:val="center"/>
          </w:tcPr>
          <w:p w14:paraId="6057B10C" w14:textId="77777777" w:rsidR="0052656F" w:rsidRPr="0066241B" w:rsidRDefault="0052656F" w:rsidP="00B34F1C">
            <w:pPr>
              <w:spacing w:line="360" w:lineRule="auto"/>
              <w:jc w:val="both"/>
              <w:rPr>
                <w:rFonts w:ascii="Book Antiqua" w:eastAsia="等线" w:hAnsi="Book Antiqua" w:cs="宋体"/>
                <w:color w:val="000000" w:themeColor="text1"/>
                <w:lang w:eastAsia="zh-CN"/>
              </w:rPr>
            </w:pPr>
          </w:p>
        </w:tc>
        <w:tc>
          <w:tcPr>
            <w:tcW w:w="1285" w:type="dxa"/>
            <w:shd w:val="clear" w:color="000000" w:fill="auto"/>
            <w:tcMar>
              <w:left w:w="108" w:type="dxa"/>
              <w:right w:w="108" w:type="dxa"/>
            </w:tcMar>
            <w:vAlign w:val="center"/>
          </w:tcPr>
          <w:p w14:paraId="1F2FF96B" w14:textId="77777777" w:rsidR="0052656F" w:rsidRPr="0066241B" w:rsidRDefault="0052656F" w:rsidP="00B34F1C">
            <w:pPr>
              <w:spacing w:line="360" w:lineRule="auto"/>
              <w:jc w:val="both"/>
              <w:rPr>
                <w:rFonts w:ascii="Book Antiqua" w:eastAsia="等线" w:hAnsi="Book Antiqua" w:cs="宋体"/>
                <w:color w:val="000000" w:themeColor="text1"/>
                <w:lang w:eastAsia="zh-CN"/>
              </w:rPr>
            </w:pPr>
          </w:p>
        </w:tc>
        <w:tc>
          <w:tcPr>
            <w:tcW w:w="2311" w:type="dxa"/>
            <w:shd w:val="clear" w:color="000000" w:fill="auto"/>
            <w:tcMar>
              <w:left w:w="108" w:type="dxa"/>
              <w:right w:w="108" w:type="dxa"/>
            </w:tcMar>
            <w:vAlign w:val="center"/>
          </w:tcPr>
          <w:p w14:paraId="0E805278"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c>
          <w:tcPr>
            <w:tcW w:w="1264" w:type="dxa"/>
            <w:shd w:val="clear" w:color="000000" w:fill="auto"/>
            <w:tcMar>
              <w:left w:w="108" w:type="dxa"/>
              <w:right w:w="108" w:type="dxa"/>
            </w:tcMar>
            <w:vAlign w:val="center"/>
          </w:tcPr>
          <w:p w14:paraId="6BE87BD7"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r>
      <w:tr w:rsidR="00C21A2B" w:rsidRPr="0066241B" w14:paraId="7E08F667" w14:textId="77777777">
        <w:trPr>
          <w:trHeight w:val="358"/>
        </w:trPr>
        <w:tc>
          <w:tcPr>
            <w:tcW w:w="2817" w:type="dxa"/>
            <w:shd w:val="clear" w:color="000000" w:fill="auto"/>
            <w:tcMar>
              <w:left w:w="108" w:type="dxa"/>
              <w:right w:w="108" w:type="dxa"/>
            </w:tcMar>
            <w:vAlign w:val="center"/>
          </w:tcPr>
          <w:p w14:paraId="4F593409" w14:textId="77777777" w:rsidR="0052656F" w:rsidRPr="0066241B" w:rsidRDefault="000D2442" w:rsidP="00B34F1C">
            <w:pPr>
              <w:spacing w:line="360" w:lineRule="auto"/>
              <w:ind w:firstLine="240"/>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2</w:t>
            </w:r>
          </w:p>
        </w:tc>
        <w:tc>
          <w:tcPr>
            <w:tcW w:w="2400" w:type="dxa"/>
            <w:shd w:val="clear" w:color="000000" w:fill="auto"/>
            <w:tcMar>
              <w:left w:w="108" w:type="dxa"/>
              <w:right w:w="108" w:type="dxa"/>
            </w:tcMar>
            <w:vAlign w:val="center"/>
          </w:tcPr>
          <w:p w14:paraId="2C2E2054"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Reference</w:t>
            </w:r>
          </w:p>
        </w:tc>
        <w:tc>
          <w:tcPr>
            <w:tcW w:w="1285" w:type="dxa"/>
            <w:shd w:val="clear" w:color="000000" w:fill="auto"/>
            <w:tcMar>
              <w:left w:w="108" w:type="dxa"/>
              <w:right w:w="108" w:type="dxa"/>
            </w:tcMar>
            <w:vAlign w:val="center"/>
          </w:tcPr>
          <w:p w14:paraId="009AEEF1"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c>
          <w:tcPr>
            <w:tcW w:w="2311" w:type="dxa"/>
            <w:shd w:val="clear" w:color="000000" w:fill="auto"/>
            <w:tcMar>
              <w:left w:w="108" w:type="dxa"/>
              <w:right w:w="108" w:type="dxa"/>
            </w:tcMar>
            <w:vAlign w:val="center"/>
          </w:tcPr>
          <w:p w14:paraId="52CD3E69" w14:textId="77777777" w:rsidR="0052656F" w:rsidRPr="0066241B" w:rsidRDefault="0052656F" w:rsidP="00B34F1C">
            <w:pPr>
              <w:spacing w:line="360" w:lineRule="auto"/>
              <w:jc w:val="both"/>
              <w:rPr>
                <w:rFonts w:ascii="Book Antiqua" w:eastAsia="等线" w:hAnsi="Book Antiqua" w:cs="宋体"/>
                <w:color w:val="000000" w:themeColor="text1"/>
                <w:lang w:eastAsia="zh-CN"/>
              </w:rPr>
            </w:pPr>
          </w:p>
        </w:tc>
        <w:tc>
          <w:tcPr>
            <w:tcW w:w="1264" w:type="dxa"/>
            <w:shd w:val="clear" w:color="000000" w:fill="auto"/>
            <w:tcMar>
              <w:left w:w="108" w:type="dxa"/>
              <w:right w:w="108" w:type="dxa"/>
            </w:tcMar>
            <w:vAlign w:val="center"/>
          </w:tcPr>
          <w:p w14:paraId="26E01817" w14:textId="77777777" w:rsidR="0052656F" w:rsidRPr="0066241B" w:rsidRDefault="0052656F" w:rsidP="00B34F1C">
            <w:pPr>
              <w:spacing w:line="360" w:lineRule="auto"/>
              <w:jc w:val="both"/>
              <w:rPr>
                <w:rFonts w:ascii="Book Antiqua" w:eastAsia="等线" w:hAnsi="Book Antiqua" w:cs="宋体"/>
                <w:color w:val="000000" w:themeColor="text1"/>
                <w:lang w:eastAsia="zh-CN"/>
              </w:rPr>
            </w:pPr>
          </w:p>
        </w:tc>
      </w:tr>
      <w:tr w:rsidR="00C21A2B" w:rsidRPr="0066241B" w14:paraId="6A6EA372" w14:textId="77777777">
        <w:trPr>
          <w:trHeight w:val="696"/>
        </w:trPr>
        <w:tc>
          <w:tcPr>
            <w:tcW w:w="2817" w:type="dxa"/>
            <w:shd w:val="clear" w:color="000000" w:fill="auto"/>
            <w:tcMar>
              <w:left w:w="108" w:type="dxa"/>
              <w:right w:w="108" w:type="dxa"/>
            </w:tcMar>
            <w:vAlign w:val="center"/>
          </w:tcPr>
          <w:p w14:paraId="38E1DBA2" w14:textId="77777777" w:rsidR="0052656F" w:rsidRPr="0066241B" w:rsidRDefault="000D2442" w:rsidP="00B34F1C">
            <w:pPr>
              <w:spacing w:line="360" w:lineRule="auto"/>
              <w:ind w:firstLine="240"/>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1</w:t>
            </w:r>
          </w:p>
        </w:tc>
        <w:tc>
          <w:tcPr>
            <w:tcW w:w="2400" w:type="dxa"/>
            <w:shd w:val="clear" w:color="000000" w:fill="auto"/>
            <w:tcMar>
              <w:left w:w="108" w:type="dxa"/>
              <w:right w:w="108" w:type="dxa"/>
            </w:tcMar>
            <w:vAlign w:val="center"/>
          </w:tcPr>
          <w:p w14:paraId="4BB3A666"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3.02 (1.18-7.68)</w:t>
            </w:r>
          </w:p>
        </w:tc>
        <w:tc>
          <w:tcPr>
            <w:tcW w:w="1285" w:type="dxa"/>
            <w:shd w:val="clear" w:color="000000" w:fill="auto"/>
            <w:tcMar>
              <w:left w:w="108" w:type="dxa"/>
              <w:right w:w="108" w:type="dxa"/>
            </w:tcMar>
            <w:vAlign w:val="center"/>
          </w:tcPr>
          <w:p w14:paraId="46037B02"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0.021</w:t>
            </w:r>
          </w:p>
        </w:tc>
        <w:tc>
          <w:tcPr>
            <w:tcW w:w="2311" w:type="dxa"/>
            <w:shd w:val="clear" w:color="000000" w:fill="auto"/>
            <w:tcMar>
              <w:left w:w="108" w:type="dxa"/>
              <w:right w:w="108" w:type="dxa"/>
            </w:tcMar>
            <w:vAlign w:val="center"/>
          </w:tcPr>
          <w:p w14:paraId="0E92E168" w14:textId="77777777" w:rsidR="0052656F" w:rsidRPr="0066241B" w:rsidRDefault="0052656F" w:rsidP="00B34F1C">
            <w:pPr>
              <w:spacing w:line="360" w:lineRule="auto"/>
              <w:jc w:val="both"/>
              <w:rPr>
                <w:rFonts w:ascii="Book Antiqua" w:eastAsia="等线" w:hAnsi="Book Antiqua" w:cs="宋体"/>
                <w:color w:val="000000" w:themeColor="text1"/>
                <w:lang w:eastAsia="zh-CN"/>
              </w:rPr>
            </w:pPr>
          </w:p>
        </w:tc>
        <w:tc>
          <w:tcPr>
            <w:tcW w:w="1264" w:type="dxa"/>
            <w:shd w:val="clear" w:color="000000" w:fill="auto"/>
            <w:tcMar>
              <w:left w:w="108" w:type="dxa"/>
              <w:right w:w="108" w:type="dxa"/>
            </w:tcMar>
            <w:vAlign w:val="center"/>
          </w:tcPr>
          <w:p w14:paraId="33DE18EA" w14:textId="77777777" w:rsidR="0052656F" w:rsidRPr="0066241B" w:rsidRDefault="0052656F" w:rsidP="00B34F1C">
            <w:pPr>
              <w:spacing w:line="360" w:lineRule="auto"/>
              <w:jc w:val="both"/>
              <w:rPr>
                <w:rFonts w:ascii="Book Antiqua" w:eastAsia="等线" w:hAnsi="Book Antiqua" w:cs="宋体"/>
                <w:color w:val="000000" w:themeColor="text1"/>
                <w:lang w:eastAsia="zh-CN"/>
              </w:rPr>
            </w:pPr>
          </w:p>
        </w:tc>
      </w:tr>
      <w:tr w:rsidR="00C21A2B" w:rsidRPr="0066241B" w14:paraId="545440AC" w14:textId="77777777">
        <w:trPr>
          <w:trHeight w:val="696"/>
        </w:trPr>
        <w:tc>
          <w:tcPr>
            <w:tcW w:w="2817" w:type="dxa"/>
            <w:shd w:val="clear" w:color="000000" w:fill="auto"/>
            <w:tcMar>
              <w:left w:w="108" w:type="dxa"/>
              <w:right w:w="108" w:type="dxa"/>
            </w:tcMar>
            <w:vAlign w:val="center"/>
          </w:tcPr>
          <w:p w14:paraId="31812F78"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Cirrhosis</w:t>
            </w:r>
          </w:p>
        </w:tc>
        <w:tc>
          <w:tcPr>
            <w:tcW w:w="2400" w:type="dxa"/>
            <w:shd w:val="clear" w:color="000000" w:fill="auto"/>
            <w:tcMar>
              <w:left w:w="108" w:type="dxa"/>
              <w:right w:w="108" w:type="dxa"/>
            </w:tcMar>
            <w:vAlign w:val="center"/>
          </w:tcPr>
          <w:p w14:paraId="4406ED61"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3.18 (1.33-7.68)</w:t>
            </w:r>
          </w:p>
        </w:tc>
        <w:tc>
          <w:tcPr>
            <w:tcW w:w="1285" w:type="dxa"/>
            <w:shd w:val="clear" w:color="000000" w:fill="auto"/>
            <w:tcMar>
              <w:left w:w="108" w:type="dxa"/>
              <w:right w:w="108" w:type="dxa"/>
            </w:tcMar>
            <w:vAlign w:val="center"/>
          </w:tcPr>
          <w:p w14:paraId="58CD7376"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0.009</w:t>
            </w:r>
          </w:p>
        </w:tc>
        <w:tc>
          <w:tcPr>
            <w:tcW w:w="2311" w:type="dxa"/>
            <w:shd w:val="clear" w:color="000000" w:fill="auto"/>
            <w:tcMar>
              <w:left w:w="108" w:type="dxa"/>
              <w:right w:w="108" w:type="dxa"/>
            </w:tcMar>
            <w:vAlign w:val="center"/>
          </w:tcPr>
          <w:p w14:paraId="5CD34BCF"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2.97 (1.42-6.20)</w:t>
            </w:r>
          </w:p>
        </w:tc>
        <w:tc>
          <w:tcPr>
            <w:tcW w:w="1264" w:type="dxa"/>
            <w:shd w:val="clear" w:color="000000" w:fill="auto"/>
            <w:tcMar>
              <w:left w:w="108" w:type="dxa"/>
              <w:right w:w="108" w:type="dxa"/>
            </w:tcMar>
            <w:vAlign w:val="center"/>
          </w:tcPr>
          <w:p w14:paraId="31102B27"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0.004</w:t>
            </w:r>
          </w:p>
        </w:tc>
      </w:tr>
      <w:tr w:rsidR="00C21A2B" w:rsidRPr="0066241B" w14:paraId="483EEFC5" w14:textId="77777777">
        <w:trPr>
          <w:trHeight w:val="696"/>
        </w:trPr>
        <w:tc>
          <w:tcPr>
            <w:tcW w:w="2817" w:type="dxa"/>
            <w:shd w:val="clear" w:color="000000" w:fill="auto"/>
            <w:tcMar>
              <w:left w:w="108" w:type="dxa"/>
              <w:right w:w="108" w:type="dxa"/>
            </w:tcMar>
            <w:vAlign w:val="center"/>
          </w:tcPr>
          <w:p w14:paraId="3F41E798"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Ever smoker</w:t>
            </w:r>
          </w:p>
        </w:tc>
        <w:tc>
          <w:tcPr>
            <w:tcW w:w="2400" w:type="dxa"/>
            <w:shd w:val="clear" w:color="000000" w:fill="auto"/>
            <w:tcMar>
              <w:left w:w="108" w:type="dxa"/>
              <w:right w:w="108" w:type="dxa"/>
            </w:tcMar>
            <w:vAlign w:val="center"/>
          </w:tcPr>
          <w:p w14:paraId="5E5E7547"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0.72 (0.26-1.99)</w:t>
            </w:r>
          </w:p>
        </w:tc>
        <w:tc>
          <w:tcPr>
            <w:tcW w:w="1285" w:type="dxa"/>
            <w:shd w:val="clear" w:color="000000" w:fill="auto"/>
            <w:tcMar>
              <w:left w:w="108" w:type="dxa"/>
              <w:right w:w="108" w:type="dxa"/>
            </w:tcMar>
            <w:vAlign w:val="center"/>
          </w:tcPr>
          <w:p w14:paraId="68C6146F"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0.545</w:t>
            </w:r>
          </w:p>
        </w:tc>
        <w:tc>
          <w:tcPr>
            <w:tcW w:w="2311" w:type="dxa"/>
            <w:shd w:val="clear" w:color="000000" w:fill="auto"/>
            <w:tcMar>
              <w:left w:w="108" w:type="dxa"/>
              <w:right w:w="108" w:type="dxa"/>
            </w:tcMar>
            <w:vAlign w:val="center"/>
          </w:tcPr>
          <w:p w14:paraId="120AD8E5"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c>
          <w:tcPr>
            <w:tcW w:w="1264" w:type="dxa"/>
            <w:shd w:val="clear" w:color="000000" w:fill="auto"/>
            <w:tcMar>
              <w:left w:w="108" w:type="dxa"/>
              <w:right w:w="108" w:type="dxa"/>
            </w:tcMar>
            <w:vAlign w:val="center"/>
          </w:tcPr>
          <w:p w14:paraId="452F7241"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r>
      <w:tr w:rsidR="00C21A2B" w:rsidRPr="0066241B" w14:paraId="254B4820" w14:textId="77777777">
        <w:trPr>
          <w:trHeight w:val="1035"/>
        </w:trPr>
        <w:tc>
          <w:tcPr>
            <w:tcW w:w="2817" w:type="dxa"/>
            <w:shd w:val="clear" w:color="000000" w:fill="auto"/>
            <w:tcMar>
              <w:left w:w="108" w:type="dxa"/>
              <w:right w:w="108" w:type="dxa"/>
            </w:tcMar>
            <w:vAlign w:val="center"/>
          </w:tcPr>
          <w:p w14:paraId="31812F56"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Alcohol consumption</w:t>
            </w:r>
          </w:p>
        </w:tc>
        <w:tc>
          <w:tcPr>
            <w:tcW w:w="2400" w:type="dxa"/>
            <w:shd w:val="clear" w:color="000000" w:fill="auto"/>
            <w:tcMar>
              <w:left w:w="108" w:type="dxa"/>
              <w:right w:w="108" w:type="dxa"/>
            </w:tcMar>
            <w:vAlign w:val="center"/>
          </w:tcPr>
          <w:p w14:paraId="4401B6C1" w14:textId="77777777" w:rsidR="0052656F" w:rsidRPr="0066241B" w:rsidRDefault="0052656F" w:rsidP="00B34F1C">
            <w:pPr>
              <w:spacing w:line="360" w:lineRule="auto"/>
              <w:jc w:val="both"/>
              <w:rPr>
                <w:rFonts w:ascii="Book Antiqua" w:eastAsia="等线" w:hAnsi="Book Antiqua" w:cs="宋体"/>
                <w:color w:val="000000" w:themeColor="text1"/>
                <w:lang w:eastAsia="zh-CN"/>
              </w:rPr>
            </w:pPr>
          </w:p>
        </w:tc>
        <w:tc>
          <w:tcPr>
            <w:tcW w:w="1285" w:type="dxa"/>
            <w:shd w:val="clear" w:color="000000" w:fill="auto"/>
            <w:tcMar>
              <w:left w:w="108" w:type="dxa"/>
              <w:right w:w="108" w:type="dxa"/>
            </w:tcMar>
            <w:vAlign w:val="center"/>
          </w:tcPr>
          <w:p w14:paraId="10CCF304" w14:textId="77777777" w:rsidR="0052656F" w:rsidRPr="0066241B" w:rsidRDefault="0052656F" w:rsidP="00B34F1C">
            <w:pPr>
              <w:spacing w:line="360" w:lineRule="auto"/>
              <w:jc w:val="both"/>
              <w:rPr>
                <w:rFonts w:ascii="Book Antiqua" w:eastAsia="等线" w:hAnsi="Book Antiqua" w:cs="宋体"/>
                <w:color w:val="000000" w:themeColor="text1"/>
                <w:lang w:eastAsia="zh-CN"/>
              </w:rPr>
            </w:pPr>
          </w:p>
        </w:tc>
        <w:tc>
          <w:tcPr>
            <w:tcW w:w="2311" w:type="dxa"/>
            <w:shd w:val="clear" w:color="000000" w:fill="auto"/>
            <w:tcMar>
              <w:left w:w="108" w:type="dxa"/>
              <w:right w:w="108" w:type="dxa"/>
            </w:tcMar>
            <w:vAlign w:val="center"/>
          </w:tcPr>
          <w:p w14:paraId="21939F52"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c>
          <w:tcPr>
            <w:tcW w:w="1264" w:type="dxa"/>
            <w:shd w:val="clear" w:color="000000" w:fill="auto"/>
            <w:tcMar>
              <w:left w:w="108" w:type="dxa"/>
              <w:right w:w="108" w:type="dxa"/>
            </w:tcMar>
            <w:vAlign w:val="center"/>
          </w:tcPr>
          <w:p w14:paraId="3753CF7A"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r>
      <w:tr w:rsidR="00C21A2B" w:rsidRPr="0066241B" w14:paraId="47920E60" w14:textId="77777777">
        <w:trPr>
          <w:trHeight w:val="358"/>
        </w:trPr>
        <w:tc>
          <w:tcPr>
            <w:tcW w:w="2817" w:type="dxa"/>
            <w:shd w:val="clear" w:color="000000" w:fill="auto"/>
            <w:tcMar>
              <w:left w:w="108" w:type="dxa"/>
              <w:right w:w="108" w:type="dxa"/>
            </w:tcMar>
            <w:vAlign w:val="center"/>
          </w:tcPr>
          <w:p w14:paraId="541AAE11" w14:textId="77777777" w:rsidR="0052656F" w:rsidRPr="0066241B" w:rsidRDefault="000D2442" w:rsidP="00B34F1C">
            <w:pPr>
              <w:spacing w:line="360" w:lineRule="auto"/>
              <w:ind w:firstLine="240"/>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None</w:t>
            </w:r>
          </w:p>
        </w:tc>
        <w:tc>
          <w:tcPr>
            <w:tcW w:w="2400" w:type="dxa"/>
            <w:shd w:val="clear" w:color="000000" w:fill="auto"/>
            <w:tcMar>
              <w:left w:w="108" w:type="dxa"/>
              <w:right w:w="108" w:type="dxa"/>
            </w:tcMar>
            <w:vAlign w:val="center"/>
          </w:tcPr>
          <w:p w14:paraId="1E94B618"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Reference</w:t>
            </w:r>
          </w:p>
        </w:tc>
        <w:tc>
          <w:tcPr>
            <w:tcW w:w="1285" w:type="dxa"/>
            <w:shd w:val="clear" w:color="000000" w:fill="auto"/>
            <w:tcMar>
              <w:left w:w="108" w:type="dxa"/>
              <w:right w:w="108" w:type="dxa"/>
            </w:tcMar>
            <w:vAlign w:val="center"/>
          </w:tcPr>
          <w:p w14:paraId="4A1A6A1F"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c>
          <w:tcPr>
            <w:tcW w:w="2311" w:type="dxa"/>
            <w:shd w:val="clear" w:color="000000" w:fill="auto"/>
            <w:tcMar>
              <w:left w:w="108" w:type="dxa"/>
              <w:right w:w="108" w:type="dxa"/>
            </w:tcMar>
            <w:vAlign w:val="center"/>
          </w:tcPr>
          <w:p w14:paraId="7265F1F6" w14:textId="77777777" w:rsidR="0052656F" w:rsidRPr="0066241B" w:rsidRDefault="0052656F" w:rsidP="00B34F1C">
            <w:pPr>
              <w:spacing w:line="360" w:lineRule="auto"/>
              <w:jc w:val="both"/>
              <w:rPr>
                <w:rFonts w:ascii="Book Antiqua" w:eastAsia="等线" w:hAnsi="Book Antiqua" w:cs="宋体"/>
                <w:color w:val="000000" w:themeColor="text1"/>
                <w:lang w:eastAsia="zh-CN"/>
              </w:rPr>
            </w:pPr>
          </w:p>
        </w:tc>
        <w:tc>
          <w:tcPr>
            <w:tcW w:w="1264" w:type="dxa"/>
            <w:shd w:val="clear" w:color="000000" w:fill="auto"/>
            <w:tcMar>
              <w:left w:w="108" w:type="dxa"/>
              <w:right w:w="108" w:type="dxa"/>
            </w:tcMar>
            <w:vAlign w:val="center"/>
          </w:tcPr>
          <w:p w14:paraId="4C006E3E" w14:textId="77777777" w:rsidR="0052656F" w:rsidRPr="0066241B" w:rsidRDefault="0052656F" w:rsidP="00B34F1C">
            <w:pPr>
              <w:spacing w:line="360" w:lineRule="auto"/>
              <w:jc w:val="both"/>
              <w:rPr>
                <w:rFonts w:ascii="Book Antiqua" w:eastAsia="等线" w:hAnsi="Book Antiqua" w:cs="宋体"/>
                <w:color w:val="000000" w:themeColor="text1"/>
                <w:lang w:eastAsia="zh-CN"/>
              </w:rPr>
            </w:pPr>
          </w:p>
        </w:tc>
      </w:tr>
      <w:tr w:rsidR="00C21A2B" w:rsidRPr="0066241B" w14:paraId="3FDC129D" w14:textId="77777777">
        <w:trPr>
          <w:trHeight w:val="696"/>
        </w:trPr>
        <w:tc>
          <w:tcPr>
            <w:tcW w:w="2817" w:type="dxa"/>
            <w:shd w:val="clear" w:color="000000" w:fill="auto"/>
            <w:tcMar>
              <w:left w:w="108" w:type="dxa"/>
              <w:right w:w="108" w:type="dxa"/>
            </w:tcMar>
            <w:vAlign w:val="center"/>
          </w:tcPr>
          <w:p w14:paraId="493E4826" w14:textId="77777777" w:rsidR="0052656F" w:rsidRPr="0066241B" w:rsidRDefault="000D2442" w:rsidP="00B34F1C">
            <w:pPr>
              <w:spacing w:line="360" w:lineRule="auto"/>
              <w:ind w:firstLine="240"/>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Social</w:t>
            </w:r>
          </w:p>
        </w:tc>
        <w:tc>
          <w:tcPr>
            <w:tcW w:w="2400" w:type="dxa"/>
            <w:shd w:val="clear" w:color="000000" w:fill="auto"/>
            <w:tcMar>
              <w:left w:w="108" w:type="dxa"/>
              <w:right w:w="108" w:type="dxa"/>
            </w:tcMar>
            <w:vAlign w:val="center"/>
          </w:tcPr>
          <w:p w14:paraId="7562BA62"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2.62 (0.92-7.60)</w:t>
            </w:r>
          </w:p>
        </w:tc>
        <w:tc>
          <w:tcPr>
            <w:tcW w:w="1285" w:type="dxa"/>
            <w:shd w:val="clear" w:color="000000" w:fill="auto"/>
            <w:tcMar>
              <w:left w:w="108" w:type="dxa"/>
              <w:right w:w="108" w:type="dxa"/>
            </w:tcMar>
            <w:vAlign w:val="center"/>
          </w:tcPr>
          <w:p w14:paraId="679546F9"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0.072</w:t>
            </w:r>
          </w:p>
        </w:tc>
        <w:tc>
          <w:tcPr>
            <w:tcW w:w="2311" w:type="dxa"/>
            <w:shd w:val="clear" w:color="000000" w:fill="auto"/>
            <w:tcMar>
              <w:left w:w="108" w:type="dxa"/>
              <w:right w:w="108" w:type="dxa"/>
            </w:tcMar>
            <w:vAlign w:val="center"/>
          </w:tcPr>
          <w:p w14:paraId="64D0A495" w14:textId="77777777" w:rsidR="0052656F" w:rsidRPr="0066241B" w:rsidRDefault="0052656F" w:rsidP="00B34F1C">
            <w:pPr>
              <w:spacing w:line="360" w:lineRule="auto"/>
              <w:jc w:val="both"/>
              <w:rPr>
                <w:rFonts w:ascii="Book Antiqua" w:eastAsia="等线" w:hAnsi="Book Antiqua" w:cs="宋体"/>
                <w:color w:val="000000" w:themeColor="text1"/>
                <w:lang w:eastAsia="zh-CN"/>
              </w:rPr>
            </w:pPr>
          </w:p>
        </w:tc>
        <w:tc>
          <w:tcPr>
            <w:tcW w:w="1264" w:type="dxa"/>
            <w:shd w:val="clear" w:color="000000" w:fill="auto"/>
            <w:tcMar>
              <w:left w:w="108" w:type="dxa"/>
              <w:right w:w="108" w:type="dxa"/>
            </w:tcMar>
            <w:vAlign w:val="center"/>
          </w:tcPr>
          <w:p w14:paraId="3346D813" w14:textId="77777777" w:rsidR="0052656F" w:rsidRPr="0066241B" w:rsidRDefault="0052656F" w:rsidP="00B34F1C">
            <w:pPr>
              <w:spacing w:line="360" w:lineRule="auto"/>
              <w:jc w:val="both"/>
              <w:rPr>
                <w:rFonts w:ascii="Book Antiqua" w:eastAsia="等线" w:hAnsi="Book Antiqua" w:cs="宋体"/>
                <w:color w:val="000000" w:themeColor="text1"/>
                <w:lang w:eastAsia="zh-CN"/>
              </w:rPr>
            </w:pPr>
          </w:p>
        </w:tc>
      </w:tr>
      <w:tr w:rsidR="00C21A2B" w:rsidRPr="0066241B" w14:paraId="1AF63345" w14:textId="77777777">
        <w:trPr>
          <w:trHeight w:val="696"/>
        </w:trPr>
        <w:tc>
          <w:tcPr>
            <w:tcW w:w="2817" w:type="dxa"/>
            <w:shd w:val="clear" w:color="000000" w:fill="auto"/>
            <w:tcMar>
              <w:left w:w="108" w:type="dxa"/>
              <w:right w:w="108" w:type="dxa"/>
            </w:tcMar>
            <w:vAlign w:val="center"/>
          </w:tcPr>
          <w:p w14:paraId="78C2F656" w14:textId="77777777" w:rsidR="0052656F" w:rsidRPr="0066241B" w:rsidRDefault="000D2442" w:rsidP="00B34F1C">
            <w:pPr>
              <w:spacing w:line="360" w:lineRule="auto"/>
              <w:ind w:firstLine="240"/>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Significant</w:t>
            </w:r>
          </w:p>
        </w:tc>
        <w:tc>
          <w:tcPr>
            <w:tcW w:w="2400" w:type="dxa"/>
            <w:shd w:val="clear" w:color="000000" w:fill="auto"/>
            <w:tcMar>
              <w:left w:w="108" w:type="dxa"/>
              <w:right w:w="108" w:type="dxa"/>
            </w:tcMar>
            <w:vAlign w:val="center"/>
          </w:tcPr>
          <w:p w14:paraId="6A713142"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2.51 (0.71-8.82)</w:t>
            </w:r>
          </w:p>
        </w:tc>
        <w:tc>
          <w:tcPr>
            <w:tcW w:w="1285" w:type="dxa"/>
            <w:shd w:val="clear" w:color="000000" w:fill="auto"/>
            <w:tcMar>
              <w:left w:w="108" w:type="dxa"/>
              <w:right w:w="108" w:type="dxa"/>
            </w:tcMar>
            <w:vAlign w:val="center"/>
          </w:tcPr>
          <w:p w14:paraId="137BA019"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0.152</w:t>
            </w:r>
          </w:p>
        </w:tc>
        <w:tc>
          <w:tcPr>
            <w:tcW w:w="2311" w:type="dxa"/>
            <w:shd w:val="clear" w:color="000000" w:fill="auto"/>
            <w:tcMar>
              <w:left w:w="108" w:type="dxa"/>
              <w:right w:w="108" w:type="dxa"/>
            </w:tcMar>
            <w:vAlign w:val="center"/>
          </w:tcPr>
          <w:p w14:paraId="08B9A0DF" w14:textId="77777777" w:rsidR="0052656F" w:rsidRPr="0066241B" w:rsidRDefault="0052656F" w:rsidP="00B34F1C">
            <w:pPr>
              <w:spacing w:line="360" w:lineRule="auto"/>
              <w:jc w:val="both"/>
              <w:rPr>
                <w:rFonts w:ascii="Book Antiqua" w:eastAsia="等线" w:hAnsi="Book Antiqua" w:cs="宋体"/>
                <w:color w:val="000000" w:themeColor="text1"/>
                <w:lang w:eastAsia="zh-CN"/>
              </w:rPr>
            </w:pPr>
          </w:p>
        </w:tc>
        <w:tc>
          <w:tcPr>
            <w:tcW w:w="1264" w:type="dxa"/>
            <w:shd w:val="clear" w:color="000000" w:fill="auto"/>
            <w:tcMar>
              <w:left w:w="108" w:type="dxa"/>
              <w:right w:w="108" w:type="dxa"/>
            </w:tcMar>
            <w:vAlign w:val="center"/>
          </w:tcPr>
          <w:p w14:paraId="545D50EB" w14:textId="77777777" w:rsidR="0052656F" w:rsidRPr="0066241B" w:rsidRDefault="0052656F" w:rsidP="00B34F1C">
            <w:pPr>
              <w:spacing w:line="360" w:lineRule="auto"/>
              <w:jc w:val="both"/>
              <w:rPr>
                <w:rFonts w:ascii="Book Antiqua" w:eastAsia="等线" w:hAnsi="Book Antiqua" w:cs="宋体"/>
                <w:color w:val="000000" w:themeColor="text1"/>
                <w:lang w:eastAsia="zh-CN"/>
              </w:rPr>
            </w:pPr>
          </w:p>
        </w:tc>
      </w:tr>
      <w:tr w:rsidR="00C21A2B" w:rsidRPr="0066241B" w14:paraId="7707AC25" w14:textId="77777777">
        <w:trPr>
          <w:trHeight w:val="736"/>
        </w:trPr>
        <w:tc>
          <w:tcPr>
            <w:tcW w:w="2817" w:type="dxa"/>
            <w:shd w:val="clear" w:color="000000" w:fill="auto"/>
            <w:tcMar>
              <w:left w:w="108" w:type="dxa"/>
              <w:right w:w="108" w:type="dxa"/>
            </w:tcMar>
            <w:vAlign w:val="center"/>
          </w:tcPr>
          <w:p w14:paraId="7219A71E"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BMI, kg/m</w:t>
            </w:r>
            <w:r w:rsidRPr="0066241B">
              <w:rPr>
                <w:rFonts w:ascii="Book Antiqua" w:eastAsia="等线" w:hAnsi="Book Antiqua" w:cs="宋体"/>
                <w:color w:val="000000" w:themeColor="text1"/>
                <w:vertAlign w:val="superscript"/>
                <w:lang w:eastAsia="zh-CN"/>
              </w:rPr>
              <w:t>2</w:t>
            </w:r>
          </w:p>
        </w:tc>
        <w:tc>
          <w:tcPr>
            <w:tcW w:w="2400" w:type="dxa"/>
            <w:shd w:val="clear" w:color="000000" w:fill="auto"/>
            <w:tcMar>
              <w:left w:w="108" w:type="dxa"/>
              <w:right w:w="108" w:type="dxa"/>
            </w:tcMar>
            <w:vAlign w:val="center"/>
          </w:tcPr>
          <w:p w14:paraId="5D2D2DEC"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c>
          <w:tcPr>
            <w:tcW w:w="1285" w:type="dxa"/>
            <w:shd w:val="clear" w:color="000000" w:fill="auto"/>
            <w:tcMar>
              <w:left w:w="108" w:type="dxa"/>
              <w:right w:w="108" w:type="dxa"/>
            </w:tcMar>
            <w:vAlign w:val="center"/>
          </w:tcPr>
          <w:p w14:paraId="294792AC"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c>
          <w:tcPr>
            <w:tcW w:w="2311" w:type="dxa"/>
            <w:shd w:val="clear" w:color="000000" w:fill="auto"/>
            <w:tcMar>
              <w:left w:w="108" w:type="dxa"/>
              <w:right w:w="108" w:type="dxa"/>
            </w:tcMar>
            <w:vAlign w:val="center"/>
          </w:tcPr>
          <w:p w14:paraId="39D2A574"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c>
          <w:tcPr>
            <w:tcW w:w="1264" w:type="dxa"/>
            <w:shd w:val="clear" w:color="000000" w:fill="auto"/>
            <w:tcMar>
              <w:left w:w="108" w:type="dxa"/>
              <w:right w:w="108" w:type="dxa"/>
            </w:tcMar>
            <w:vAlign w:val="center"/>
          </w:tcPr>
          <w:p w14:paraId="61222C3B"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r>
      <w:tr w:rsidR="00C21A2B" w:rsidRPr="0066241B" w14:paraId="296FB957" w14:textId="77777777">
        <w:trPr>
          <w:trHeight w:val="696"/>
        </w:trPr>
        <w:tc>
          <w:tcPr>
            <w:tcW w:w="2817" w:type="dxa"/>
            <w:shd w:val="clear" w:color="000000" w:fill="auto"/>
            <w:tcMar>
              <w:left w:w="108" w:type="dxa"/>
              <w:right w:w="108" w:type="dxa"/>
            </w:tcMar>
            <w:vAlign w:val="center"/>
          </w:tcPr>
          <w:p w14:paraId="7C640A0A"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Diabetes mellitus</w:t>
            </w:r>
          </w:p>
        </w:tc>
        <w:tc>
          <w:tcPr>
            <w:tcW w:w="2400" w:type="dxa"/>
            <w:shd w:val="clear" w:color="000000" w:fill="auto"/>
            <w:tcMar>
              <w:left w:w="108" w:type="dxa"/>
              <w:right w:w="108" w:type="dxa"/>
            </w:tcMar>
            <w:vAlign w:val="center"/>
          </w:tcPr>
          <w:p w14:paraId="24E2128D"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1.03 (0.42-2.52)</w:t>
            </w:r>
          </w:p>
        </w:tc>
        <w:tc>
          <w:tcPr>
            <w:tcW w:w="1285" w:type="dxa"/>
            <w:shd w:val="clear" w:color="000000" w:fill="auto"/>
            <w:tcMar>
              <w:left w:w="108" w:type="dxa"/>
              <w:right w:w="108" w:type="dxa"/>
            </w:tcMar>
            <w:vAlign w:val="center"/>
          </w:tcPr>
          <w:p w14:paraId="0FEE7AE0"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0.952</w:t>
            </w:r>
          </w:p>
        </w:tc>
        <w:tc>
          <w:tcPr>
            <w:tcW w:w="2311" w:type="dxa"/>
            <w:shd w:val="clear" w:color="000000" w:fill="auto"/>
            <w:tcMar>
              <w:left w:w="108" w:type="dxa"/>
              <w:right w:w="108" w:type="dxa"/>
            </w:tcMar>
            <w:vAlign w:val="center"/>
          </w:tcPr>
          <w:p w14:paraId="4AEC9A13"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2.16 (0.98-4.78)</w:t>
            </w:r>
          </w:p>
        </w:tc>
        <w:tc>
          <w:tcPr>
            <w:tcW w:w="1264" w:type="dxa"/>
            <w:shd w:val="clear" w:color="000000" w:fill="auto"/>
            <w:tcMar>
              <w:left w:w="108" w:type="dxa"/>
              <w:right w:w="108" w:type="dxa"/>
            </w:tcMar>
            <w:vAlign w:val="center"/>
          </w:tcPr>
          <w:p w14:paraId="71DF954E"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0.057</w:t>
            </w:r>
          </w:p>
        </w:tc>
      </w:tr>
      <w:tr w:rsidR="00C21A2B" w:rsidRPr="0066241B" w14:paraId="1B822CE9" w14:textId="77777777">
        <w:trPr>
          <w:trHeight w:val="696"/>
        </w:trPr>
        <w:tc>
          <w:tcPr>
            <w:tcW w:w="2817" w:type="dxa"/>
            <w:shd w:val="clear" w:color="000000" w:fill="auto"/>
            <w:tcMar>
              <w:left w:w="108" w:type="dxa"/>
              <w:right w:w="108" w:type="dxa"/>
            </w:tcMar>
            <w:vAlign w:val="center"/>
          </w:tcPr>
          <w:p w14:paraId="3E25F694"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Albumin, g/dL</w:t>
            </w:r>
          </w:p>
        </w:tc>
        <w:tc>
          <w:tcPr>
            <w:tcW w:w="2400" w:type="dxa"/>
            <w:shd w:val="clear" w:color="000000" w:fill="auto"/>
            <w:tcMar>
              <w:left w:w="108" w:type="dxa"/>
              <w:right w:w="108" w:type="dxa"/>
            </w:tcMar>
            <w:vAlign w:val="center"/>
          </w:tcPr>
          <w:p w14:paraId="5171598A"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0.53 (0.19-1.49)</w:t>
            </w:r>
          </w:p>
        </w:tc>
        <w:tc>
          <w:tcPr>
            <w:tcW w:w="1285" w:type="dxa"/>
            <w:shd w:val="clear" w:color="000000" w:fill="auto"/>
            <w:tcMar>
              <w:left w:w="108" w:type="dxa"/>
              <w:right w:w="108" w:type="dxa"/>
            </w:tcMar>
            <w:vAlign w:val="center"/>
          </w:tcPr>
          <w:p w14:paraId="0484F1CE"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0.228</w:t>
            </w:r>
          </w:p>
        </w:tc>
        <w:tc>
          <w:tcPr>
            <w:tcW w:w="2311" w:type="dxa"/>
            <w:shd w:val="clear" w:color="000000" w:fill="auto"/>
            <w:tcMar>
              <w:left w:w="108" w:type="dxa"/>
              <w:right w:w="108" w:type="dxa"/>
            </w:tcMar>
            <w:vAlign w:val="center"/>
          </w:tcPr>
          <w:p w14:paraId="7B3D2A2C"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c>
          <w:tcPr>
            <w:tcW w:w="1264" w:type="dxa"/>
            <w:shd w:val="clear" w:color="000000" w:fill="auto"/>
            <w:tcMar>
              <w:left w:w="108" w:type="dxa"/>
              <w:right w:w="108" w:type="dxa"/>
            </w:tcMar>
            <w:vAlign w:val="center"/>
          </w:tcPr>
          <w:p w14:paraId="7487DEFB"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r>
      <w:tr w:rsidR="00C21A2B" w:rsidRPr="0066241B" w14:paraId="2B68C1E4" w14:textId="77777777">
        <w:trPr>
          <w:trHeight w:val="1035"/>
        </w:trPr>
        <w:tc>
          <w:tcPr>
            <w:tcW w:w="2817" w:type="dxa"/>
            <w:shd w:val="clear" w:color="000000" w:fill="auto"/>
            <w:tcMar>
              <w:left w:w="108" w:type="dxa"/>
              <w:right w:w="108" w:type="dxa"/>
            </w:tcMar>
            <w:vAlign w:val="center"/>
          </w:tcPr>
          <w:p w14:paraId="6C01A582"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lastRenderedPageBreak/>
              <w:t>Total bilirubin, mg/dL</w:t>
            </w:r>
          </w:p>
        </w:tc>
        <w:tc>
          <w:tcPr>
            <w:tcW w:w="2400" w:type="dxa"/>
            <w:shd w:val="clear" w:color="000000" w:fill="auto"/>
            <w:tcMar>
              <w:left w:w="108" w:type="dxa"/>
              <w:right w:w="108" w:type="dxa"/>
            </w:tcMar>
            <w:vAlign w:val="center"/>
          </w:tcPr>
          <w:p w14:paraId="16375547"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c>
          <w:tcPr>
            <w:tcW w:w="1285" w:type="dxa"/>
            <w:shd w:val="clear" w:color="000000" w:fill="auto"/>
            <w:tcMar>
              <w:left w:w="108" w:type="dxa"/>
              <w:right w:w="108" w:type="dxa"/>
            </w:tcMar>
            <w:vAlign w:val="center"/>
          </w:tcPr>
          <w:p w14:paraId="63CF51BE"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c>
          <w:tcPr>
            <w:tcW w:w="2311" w:type="dxa"/>
            <w:shd w:val="clear" w:color="000000" w:fill="auto"/>
            <w:tcMar>
              <w:left w:w="108" w:type="dxa"/>
              <w:right w:w="108" w:type="dxa"/>
            </w:tcMar>
            <w:vAlign w:val="center"/>
          </w:tcPr>
          <w:p w14:paraId="237FD4C5"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c>
          <w:tcPr>
            <w:tcW w:w="1264" w:type="dxa"/>
            <w:shd w:val="clear" w:color="000000" w:fill="auto"/>
            <w:tcMar>
              <w:left w:w="108" w:type="dxa"/>
              <w:right w:w="108" w:type="dxa"/>
            </w:tcMar>
            <w:vAlign w:val="center"/>
          </w:tcPr>
          <w:p w14:paraId="7A124EDF"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r>
      <w:tr w:rsidR="00C21A2B" w:rsidRPr="0066241B" w14:paraId="15F6B828" w14:textId="77777777">
        <w:trPr>
          <w:trHeight w:val="696"/>
        </w:trPr>
        <w:tc>
          <w:tcPr>
            <w:tcW w:w="2817" w:type="dxa"/>
            <w:shd w:val="clear" w:color="000000" w:fill="auto"/>
            <w:tcMar>
              <w:left w:w="108" w:type="dxa"/>
              <w:right w:w="108" w:type="dxa"/>
            </w:tcMar>
            <w:vAlign w:val="center"/>
          </w:tcPr>
          <w:p w14:paraId="6CE30B7C"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PT, INR</w:t>
            </w:r>
          </w:p>
        </w:tc>
        <w:tc>
          <w:tcPr>
            <w:tcW w:w="2400" w:type="dxa"/>
            <w:shd w:val="clear" w:color="000000" w:fill="auto"/>
            <w:tcMar>
              <w:left w:w="108" w:type="dxa"/>
              <w:right w:w="108" w:type="dxa"/>
            </w:tcMar>
            <w:vAlign w:val="center"/>
          </w:tcPr>
          <w:p w14:paraId="5D3C9512"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4.12 (0.89-19.17)</w:t>
            </w:r>
          </w:p>
        </w:tc>
        <w:tc>
          <w:tcPr>
            <w:tcW w:w="1285" w:type="dxa"/>
            <w:shd w:val="clear" w:color="000000" w:fill="auto"/>
            <w:tcMar>
              <w:left w:w="108" w:type="dxa"/>
              <w:right w:w="108" w:type="dxa"/>
            </w:tcMar>
            <w:vAlign w:val="center"/>
          </w:tcPr>
          <w:p w14:paraId="782FCBA5"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0.071</w:t>
            </w:r>
          </w:p>
        </w:tc>
        <w:tc>
          <w:tcPr>
            <w:tcW w:w="2311" w:type="dxa"/>
            <w:shd w:val="clear" w:color="000000" w:fill="auto"/>
            <w:tcMar>
              <w:left w:w="108" w:type="dxa"/>
              <w:right w:w="108" w:type="dxa"/>
            </w:tcMar>
            <w:vAlign w:val="center"/>
          </w:tcPr>
          <w:p w14:paraId="5CA47FA9"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5.27 (1.01-27.53)</w:t>
            </w:r>
          </w:p>
        </w:tc>
        <w:tc>
          <w:tcPr>
            <w:tcW w:w="1264" w:type="dxa"/>
            <w:shd w:val="clear" w:color="000000" w:fill="auto"/>
            <w:tcMar>
              <w:left w:w="108" w:type="dxa"/>
              <w:right w:w="108" w:type="dxa"/>
            </w:tcMar>
            <w:vAlign w:val="center"/>
          </w:tcPr>
          <w:p w14:paraId="2DC26703"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0.049</w:t>
            </w:r>
          </w:p>
        </w:tc>
      </w:tr>
      <w:tr w:rsidR="00C21A2B" w:rsidRPr="0066241B" w14:paraId="6E409EF3" w14:textId="77777777">
        <w:trPr>
          <w:trHeight w:val="736"/>
        </w:trPr>
        <w:tc>
          <w:tcPr>
            <w:tcW w:w="2817" w:type="dxa"/>
            <w:tcBorders>
              <w:bottom w:val="single" w:sz="4" w:space="0" w:color="000000"/>
            </w:tcBorders>
            <w:shd w:val="clear" w:color="000000" w:fill="auto"/>
            <w:tcMar>
              <w:left w:w="108" w:type="dxa"/>
              <w:right w:w="108" w:type="dxa"/>
            </w:tcMar>
            <w:vAlign w:val="center"/>
          </w:tcPr>
          <w:p w14:paraId="350396BF"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AFP, log</w:t>
            </w:r>
            <w:r w:rsidRPr="0066241B">
              <w:rPr>
                <w:rFonts w:ascii="Book Antiqua" w:eastAsia="等线" w:hAnsi="Book Antiqua" w:cs="宋体"/>
                <w:color w:val="000000" w:themeColor="text1"/>
                <w:vertAlign w:val="subscript"/>
                <w:lang w:eastAsia="zh-CN"/>
              </w:rPr>
              <w:t>10</w:t>
            </w:r>
            <w:r w:rsidRPr="0066241B">
              <w:rPr>
                <w:rFonts w:ascii="Book Antiqua" w:eastAsia="等线" w:hAnsi="Book Antiqua" w:cs="宋体"/>
                <w:color w:val="000000" w:themeColor="text1"/>
                <w:lang w:eastAsia="zh-CN"/>
              </w:rPr>
              <w:t xml:space="preserve"> ng/dL</w:t>
            </w:r>
          </w:p>
        </w:tc>
        <w:tc>
          <w:tcPr>
            <w:tcW w:w="2400" w:type="dxa"/>
            <w:tcBorders>
              <w:bottom w:val="single" w:sz="4" w:space="0" w:color="000000"/>
            </w:tcBorders>
            <w:shd w:val="clear" w:color="000000" w:fill="auto"/>
            <w:tcMar>
              <w:left w:w="108" w:type="dxa"/>
              <w:right w:w="108" w:type="dxa"/>
            </w:tcMar>
            <w:vAlign w:val="center"/>
          </w:tcPr>
          <w:p w14:paraId="65BAEA69"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1.07 (0.49-2.34)</w:t>
            </w:r>
          </w:p>
        </w:tc>
        <w:tc>
          <w:tcPr>
            <w:tcW w:w="1285" w:type="dxa"/>
            <w:tcBorders>
              <w:bottom w:val="single" w:sz="4" w:space="0" w:color="000000"/>
            </w:tcBorders>
            <w:shd w:val="clear" w:color="000000" w:fill="auto"/>
            <w:tcMar>
              <w:left w:w="108" w:type="dxa"/>
              <w:right w:w="108" w:type="dxa"/>
            </w:tcMar>
            <w:vAlign w:val="center"/>
          </w:tcPr>
          <w:p w14:paraId="4EBFB3DB"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0.858</w:t>
            </w:r>
          </w:p>
        </w:tc>
        <w:tc>
          <w:tcPr>
            <w:tcW w:w="2311" w:type="dxa"/>
            <w:tcBorders>
              <w:bottom w:val="single" w:sz="4" w:space="0" w:color="000000"/>
            </w:tcBorders>
            <w:shd w:val="clear" w:color="000000" w:fill="auto"/>
            <w:tcMar>
              <w:left w:w="108" w:type="dxa"/>
              <w:right w:w="108" w:type="dxa"/>
            </w:tcMar>
            <w:vAlign w:val="center"/>
          </w:tcPr>
          <w:p w14:paraId="2B63C01C"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c>
          <w:tcPr>
            <w:tcW w:w="1264" w:type="dxa"/>
            <w:tcBorders>
              <w:bottom w:val="single" w:sz="4" w:space="0" w:color="000000"/>
            </w:tcBorders>
            <w:shd w:val="clear" w:color="000000" w:fill="auto"/>
            <w:tcMar>
              <w:left w:w="108" w:type="dxa"/>
              <w:right w:w="108" w:type="dxa"/>
            </w:tcMar>
            <w:vAlign w:val="center"/>
          </w:tcPr>
          <w:p w14:paraId="2CCDCD10" w14:textId="77777777" w:rsidR="0052656F" w:rsidRPr="0066241B" w:rsidRDefault="000D2442" w:rsidP="00B34F1C">
            <w:pPr>
              <w:spacing w:line="360" w:lineRule="auto"/>
              <w:jc w:val="both"/>
              <w:rPr>
                <w:rFonts w:ascii="Book Antiqua" w:eastAsia="等线" w:hAnsi="Book Antiqua" w:cs="宋体"/>
                <w:color w:val="000000" w:themeColor="text1"/>
                <w:lang w:eastAsia="zh-CN"/>
              </w:rPr>
            </w:pPr>
            <w:r w:rsidRPr="0066241B">
              <w:rPr>
                <w:rFonts w:ascii="Book Antiqua" w:eastAsia="等线" w:hAnsi="Book Antiqua" w:cs="宋体"/>
                <w:color w:val="000000" w:themeColor="text1"/>
                <w:lang w:eastAsia="zh-CN"/>
              </w:rPr>
              <w:t>-</w:t>
            </w:r>
          </w:p>
        </w:tc>
      </w:tr>
    </w:tbl>
    <w:p w14:paraId="401EBCB3" w14:textId="77777777" w:rsidR="0052656F" w:rsidRPr="0066241B" w:rsidRDefault="000D2442" w:rsidP="00B34F1C">
      <w:pPr>
        <w:spacing w:line="360" w:lineRule="auto"/>
        <w:jc w:val="both"/>
        <w:rPr>
          <w:rFonts w:ascii="Book Antiqua" w:eastAsia="Arial" w:hAnsi="Book Antiqua" w:cs="Arial"/>
          <w:color w:val="000000" w:themeColor="text1"/>
        </w:rPr>
      </w:pPr>
      <w:r w:rsidRPr="0066241B">
        <w:rPr>
          <w:rFonts w:ascii="Book Antiqua" w:eastAsia="Arial" w:hAnsi="Book Antiqua" w:cs="Arial"/>
          <w:color w:val="000000" w:themeColor="text1"/>
        </w:rPr>
        <w:t xml:space="preserve">Total number of patients, 1250; number of </w:t>
      </w:r>
      <w:r w:rsidRPr="0066241B">
        <w:rPr>
          <w:rFonts w:ascii="Book Antiqua" w:eastAsia="Book Antiqua" w:hAnsi="Book Antiqua" w:cs="Book Antiqua"/>
          <w:color w:val="000000" w:themeColor="text1"/>
        </w:rPr>
        <w:t>hepatocellular carcinoma</w:t>
      </w:r>
      <w:r w:rsidRPr="0066241B">
        <w:rPr>
          <w:rFonts w:ascii="Book Antiqua" w:eastAsia="Arial" w:hAnsi="Book Antiqua" w:cs="Arial"/>
          <w:color w:val="000000" w:themeColor="text1"/>
        </w:rPr>
        <w:t>s, 30; number of deaths, 7; number of transplantations, 3. AFP: Alpha-feto protein; aHR: Adjusted hazard ratio; BMI: Body mass index;</w:t>
      </w:r>
      <w:r w:rsidRPr="0066241B">
        <w:rPr>
          <w:rFonts w:ascii="Book Antiqua" w:hAnsi="Book Antiqua"/>
          <w:color w:val="000000" w:themeColor="text1"/>
        </w:rPr>
        <w:t xml:space="preserve"> </w:t>
      </w:r>
      <w:r w:rsidRPr="0066241B">
        <w:rPr>
          <w:rFonts w:ascii="Book Antiqua" w:eastAsia="Arial" w:hAnsi="Book Antiqua" w:cs="Arial"/>
          <w:color w:val="000000" w:themeColor="text1"/>
        </w:rPr>
        <w:t>CI: Confidence interval; DAA: Direct acting antivirals; HCV: Hepatitis C virus; IBT: Interferon-based therapy; PT: Prothrombin time; SVR: Sustained virologic response.</w:t>
      </w:r>
    </w:p>
    <w:bookmarkEnd w:id="2"/>
    <w:bookmarkEnd w:id="3"/>
    <w:bookmarkEnd w:id="4"/>
    <w:p w14:paraId="1130F38E" w14:textId="77777777" w:rsidR="0066241B" w:rsidRPr="0066241B" w:rsidRDefault="0066241B" w:rsidP="00B34F1C">
      <w:pPr>
        <w:tabs>
          <w:tab w:val="left" w:pos="4712"/>
        </w:tabs>
        <w:spacing w:line="360" w:lineRule="auto"/>
        <w:jc w:val="both"/>
        <w:rPr>
          <w:rFonts w:ascii="Book Antiqua" w:hAnsi="Book Antiqua"/>
          <w:color w:val="000000" w:themeColor="text1"/>
        </w:rPr>
        <w:sectPr w:rsidR="0066241B" w:rsidRPr="0066241B" w:rsidSect="0037300D">
          <w:headerReference w:type="default" r:id="rId33"/>
          <w:pgSz w:w="11906" w:h="16838"/>
          <w:pgMar w:top="680" w:right="680" w:bottom="680" w:left="680" w:header="851" w:footer="992" w:gutter="0"/>
          <w:cols w:space="720"/>
          <w:docGrid w:linePitch="326"/>
        </w:sectPr>
      </w:pPr>
    </w:p>
    <w:p w14:paraId="1DFC571E" w14:textId="77777777" w:rsidR="0066241B" w:rsidRPr="0066241B" w:rsidRDefault="0066241B" w:rsidP="0066241B">
      <w:pPr>
        <w:ind w:leftChars="100" w:left="240"/>
        <w:jc w:val="center"/>
        <w:rPr>
          <w:rFonts w:ascii="Book Antiqua" w:hAnsi="Book Antiqua"/>
          <w:lang w:val="pt-BR" w:eastAsia="zh-CN"/>
        </w:rPr>
      </w:pPr>
      <w:bookmarkStart w:id="74" w:name="_Hlk88512952"/>
    </w:p>
    <w:p w14:paraId="74A6ED24" w14:textId="77777777" w:rsidR="0066241B" w:rsidRPr="0066241B" w:rsidRDefault="0066241B" w:rsidP="0066241B">
      <w:pPr>
        <w:ind w:leftChars="100" w:left="240"/>
        <w:jc w:val="center"/>
        <w:rPr>
          <w:rFonts w:ascii="Book Antiqua" w:hAnsi="Book Antiqua"/>
          <w:lang w:val="pt-BR" w:eastAsia="zh-CN"/>
        </w:rPr>
      </w:pPr>
    </w:p>
    <w:p w14:paraId="42E476B6" w14:textId="77777777" w:rsidR="0066241B" w:rsidRPr="0066241B" w:rsidRDefault="0066241B" w:rsidP="0066241B">
      <w:pPr>
        <w:ind w:leftChars="100" w:left="240"/>
        <w:jc w:val="center"/>
        <w:rPr>
          <w:rFonts w:ascii="Book Antiqua" w:hAnsi="Book Antiqua"/>
          <w:lang w:val="pt-BR" w:eastAsia="zh-CN"/>
        </w:rPr>
      </w:pPr>
    </w:p>
    <w:p w14:paraId="51AB0F0A" w14:textId="77777777" w:rsidR="0066241B" w:rsidRPr="0066241B" w:rsidRDefault="0066241B" w:rsidP="0066241B">
      <w:pPr>
        <w:ind w:leftChars="100" w:left="240"/>
        <w:jc w:val="center"/>
        <w:rPr>
          <w:rFonts w:ascii="Book Antiqua" w:hAnsi="Book Antiqua"/>
          <w:lang w:val="pt-BR" w:eastAsia="zh-CN"/>
        </w:rPr>
      </w:pPr>
    </w:p>
    <w:p w14:paraId="2A6CD431" w14:textId="77777777" w:rsidR="0066241B" w:rsidRPr="0066241B" w:rsidRDefault="0066241B" w:rsidP="0066241B">
      <w:pPr>
        <w:ind w:leftChars="100" w:left="240"/>
        <w:jc w:val="center"/>
        <w:rPr>
          <w:rFonts w:ascii="Book Antiqua" w:hAnsi="Book Antiqua"/>
          <w:lang w:eastAsia="zh-CN"/>
        </w:rPr>
      </w:pPr>
      <w:r w:rsidRPr="0066241B">
        <w:rPr>
          <w:rFonts w:ascii="Book Antiqua" w:hAnsi="Book Antiqua"/>
          <w:noProof/>
          <w:lang w:eastAsia="zh-CN"/>
        </w:rPr>
        <w:drawing>
          <wp:inline distT="0" distB="0" distL="0" distR="0" wp14:anchorId="3E9BBF8A" wp14:editId="780FE83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15224F" w14:textId="77777777" w:rsidR="0066241B" w:rsidRPr="0066241B" w:rsidRDefault="0066241B" w:rsidP="0066241B">
      <w:pPr>
        <w:ind w:leftChars="100" w:left="240"/>
        <w:jc w:val="center"/>
        <w:rPr>
          <w:rFonts w:ascii="Book Antiqua" w:hAnsi="Book Antiqua"/>
          <w:lang w:eastAsia="zh-CN"/>
        </w:rPr>
      </w:pPr>
    </w:p>
    <w:p w14:paraId="41D2079E" w14:textId="77777777" w:rsidR="0066241B" w:rsidRPr="0066241B" w:rsidRDefault="0066241B" w:rsidP="0066241B">
      <w:pPr>
        <w:autoSpaceDE w:val="0"/>
        <w:autoSpaceDN w:val="0"/>
        <w:adjustRightInd w:val="0"/>
        <w:ind w:leftChars="100" w:left="240"/>
        <w:jc w:val="center"/>
        <w:rPr>
          <w:rFonts w:ascii="Book Antiqua" w:eastAsia="Garamond-Bold" w:hAnsi="Book Antiqua" w:cs="Garamond-Bold"/>
          <w:b/>
          <w:bCs/>
          <w:color w:val="000000"/>
          <w:sz w:val="28"/>
          <w:szCs w:val="28"/>
        </w:rPr>
      </w:pPr>
      <w:r w:rsidRPr="0066241B">
        <w:rPr>
          <w:rFonts w:ascii="Book Antiqua" w:eastAsia="TimesNewRomanPSMT" w:hAnsi="Book Antiqua" w:cs="TimesNewRomanPSMT"/>
          <w:color w:val="000000"/>
          <w:sz w:val="28"/>
          <w:szCs w:val="28"/>
        </w:rPr>
        <w:t xml:space="preserve">Published by </w:t>
      </w:r>
      <w:r w:rsidRPr="0066241B">
        <w:rPr>
          <w:rFonts w:ascii="Book Antiqua" w:eastAsia="Garamond-Bold" w:hAnsi="Book Antiqua" w:cs="Garamond-Bold"/>
          <w:b/>
          <w:bCs/>
          <w:color w:val="000000"/>
          <w:sz w:val="28"/>
          <w:szCs w:val="28"/>
        </w:rPr>
        <w:t>Baishideng Publishing Group Inc</w:t>
      </w:r>
    </w:p>
    <w:p w14:paraId="317B06D9" w14:textId="77777777" w:rsidR="0066241B" w:rsidRPr="0066241B" w:rsidRDefault="0066241B" w:rsidP="0066241B">
      <w:pPr>
        <w:autoSpaceDE w:val="0"/>
        <w:autoSpaceDN w:val="0"/>
        <w:adjustRightInd w:val="0"/>
        <w:ind w:leftChars="100" w:left="240"/>
        <w:jc w:val="center"/>
        <w:rPr>
          <w:rFonts w:ascii="Book Antiqua" w:eastAsia="TimesNewRomanPSMT" w:hAnsi="Book Antiqua" w:cs="Garamond"/>
          <w:color w:val="000000"/>
          <w:sz w:val="28"/>
          <w:szCs w:val="28"/>
        </w:rPr>
      </w:pPr>
      <w:r w:rsidRPr="0066241B">
        <w:rPr>
          <w:rFonts w:ascii="Book Antiqua" w:eastAsia="TimesNewRomanPSMT" w:hAnsi="Book Antiqua" w:cs="Garamond"/>
          <w:color w:val="000000"/>
          <w:sz w:val="28"/>
          <w:szCs w:val="28"/>
        </w:rPr>
        <w:t>7041 Koll Center Parkway, Suite 160, Pleasanton, CA 94566, USA</w:t>
      </w:r>
    </w:p>
    <w:p w14:paraId="57C2937D" w14:textId="77777777" w:rsidR="0066241B" w:rsidRPr="0066241B" w:rsidRDefault="0066241B" w:rsidP="0066241B">
      <w:pPr>
        <w:autoSpaceDE w:val="0"/>
        <w:autoSpaceDN w:val="0"/>
        <w:adjustRightInd w:val="0"/>
        <w:ind w:leftChars="100" w:left="240"/>
        <w:jc w:val="center"/>
        <w:rPr>
          <w:rFonts w:ascii="Book Antiqua" w:eastAsia="TimesNewRomanPSMT" w:hAnsi="Book Antiqua" w:cs="Garamond"/>
          <w:color w:val="000000"/>
          <w:sz w:val="28"/>
          <w:szCs w:val="28"/>
        </w:rPr>
      </w:pPr>
      <w:r w:rsidRPr="0066241B">
        <w:rPr>
          <w:rFonts w:ascii="Book Antiqua" w:eastAsia="Garamond-Bold" w:hAnsi="Book Antiqua" w:cs="Garamond-Bold"/>
          <w:b/>
          <w:bCs/>
          <w:color w:val="000000"/>
          <w:sz w:val="28"/>
          <w:szCs w:val="28"/>
        </w:rPr>
        <w:t xml:space="preserve">Telephone: </w:t>
      </w:r>
      <w:r w:rsidRPr="0066241B">
        <w:rPr>
          <w:rFonts w:ascii="Book Antiqua" w:eastAsia="TimesNewRomanPSMT" w:hAnsi="Book Antiqua" w:cs="Garamond"/>
          <w:color w:val="000000"/>
          <w:sz w:val="28"/>
          <w:szCs w:val="28"/>
        </w:rPr>
        <w:t>+1-925-3991568</w:t>
      </w:r>
    </w:p>
    <w:p w14:paraId="5EA10863" w14:textId="77777777" w:rsidR="0066241B" w:rsidRPr="0066241B" w:rsidRDefault="0066241B" w:rsidP="0066241B">
      <w:pPr>
        <w:autoSpaceDE w:val="0"/>
        <w:autoSpaceDN w:val="0"/>
        <w:adjustRightInd w:val="0"/>
        <w:ind w:leftChars="100" w:left="240"/>
        <w:jc w:val="center"/>
        <w:rPr>
          <w:rFonts w:ascii="Book Antiqua" w:eastAsia="TimesNewRomanPSMT" w:hAnsi="Book Antiqua" w:cs="Garamond"/>
          <w:color w:val="D56400"/>
          <w:sz w:val="28"/>
          <w:szCs w:val="28"/>
        </w:rPr>
      </w:pPr>
      <w:r w:rsidRPr="0066241B">
        <w:rPr>
          <w:rFonts w:ascii="Book Antiqua" w:eastAsia="Garamond-Bold" w:hAnsi="Book Antiqua" w:cs="Garamond-Bold"/>
          <w:b/>
          <w:bCs/>
          <w:color w:val="000000"/>
          <w:sz w:val="28"/>
          <w:szCs w:val="28"/>
        </w:rPr>
        <w:t xml:space="preserve">E-mail: </w:t>
      </w:r>
      <w:r w:rsidRPr="0066241B">
        <w:rPr>
          <w:rFonts w:ascii="Book Antiqua" w:eastAsia="TimesNewRomanPSMT" w:hAnsi="Book Antiqua" w:cs="Garamond"/>
          <w:color w:val="D56400"/>
          <w:sz w:val="28"/>
          <w:szCs w:val="28"/>
        </w:rPr>
        <w:t>bpgoffice@wjgnet.com</w:t>
      </w:r>
    </w:p>
    <w:p w14:paraId="62CB9FF8" w14:textId="77777777" w:rsidR="0066241B" w:rsidRPr="0066241B" w:rsidRDefault="0066241B" w:rsidP="0066241B">
      <w:pPr>
        <w:autoSpaceDE w:val="0"/>
        <w:autoSpaceDN w:val="0"/>
        <w:adjustRightInd w:val="0"/>
        <w:ind w:leftChars="100" w:left="240"/>
        <w:jc w:val="center"/>
        <w:rPr>
          <w:rFonts w:ascii="Book Antiqua" w:eastAsia="TimesNewRomanPSMT" w:hAnsi="Book Antiqua" w:cs="Garamond"/>
          <w:color w:val="D56400"/>
          <w:sz w:val="28"/>
          <w:szCs w:val="28"/>
        </w:rPr>
      </w:pPr>
      <w:r w:rsidRPr="0066241B">
        <w:rPr>
          <w:rFonts w:ascii="Book Antiqua" w:eastAsia="Garamond-Bold" w:hAnsi="Book Antiqua" w:cs="Garamond-Bold"/>
          <w:b/>
          <w:bCs/>
          <w:color w:val="000000"/>
          <w:sz w:val="28"/>
          <w:szCs w:val="28"/>
        </w:rPr>
        <w:t xml:space="preserve">Help Desk: </w:t>
      </w:r>
      <w:r w:rsidRPr="0066241B">
        <w:rPr>
          <w:rFonts w:ascii="Book Antiqua" w:eastAsia="TimesNewRomanPSMT" w:hAnsi="Book Antiqua" w:cs="Garamond"/>
          <w:color w:val="D56400"/>
          <w:sz w:val="28"/>
          <w:szCs w:val="28"/>
        </w:rPr>
        <w:t>https://www.f6publishing.com/helpdesk</w:t>
      </w:r>
    </w:p>
    <w:p w14:paraId="38C4DD69" w14:textId="77777777" w:rsidR="0066241B" w:rsidRPr="0066241B" w:rsidRDefault="0066241B" w:rsidP="0066241B">
      <w:pPr>
        <w:ind w:leftChars="100" w:left="240"/>
        <w:jc w:val="center"/>
        <w:rPr>
          <w:rFonts w:ascii="Book Antiqua" w:hAnsi="Book Antiqua"/>
          <w:lang w:eastAsia="zh-CN"/>
        </w:rPr>
      </w:pPr>
      <w:r w:rsidRPr="0066241B">
        <w:rPr>
          <w:rFonts w:ascii="Book Antiqua" w:eastAsia="TimesNewRomanPSMT" w:hAnsi="Book Antiqua" w:cs="Garamond"/>
          <w:color w:val="D56400"/>
          <w:sz w:val="28"/>
          <w:szCs w:val="28"/>
        </w:rPr>
        <w:t>https://www.wjgnet.com</w:t>
      </w:r>
    </w:p>
    <w:p w14:paraId="736EE9B2" w14:textId="77777777" w:rsidR="0066241B" w:rsidRPr="0066241B" w:rsidRDefault="0066241B" w:rsidP="0066241B">
      <w:pPr>
        <w:ind w:leftChars="100" w:left="240"/>
        <w:jc w:val="center"/>
        <w:rPr>
          <w:rFonts w:ascii="Book Antiqua" w:hAnsi="Book Antiqua"/>
          <w:lang w:eastAsia="zh-CN"/>
        </w:rPr>
      </w:pPr>
    </w:p>
    <w:p w14:paraId="010848BB" w14:textId="77777777" w:rsidR="0066241B" w:rsidRPr="0066241B" w:rsidRDefault="0066241B" w:rsidP="0066241B">
      <w:pPr>
        <w:ind w:leftChars="100" w:left="240"/>
        <w:jc w:val="center"/>
        <w:rPr>
          <w:rFonts w:ascii="Book Antiqua" w:hAnsi="Book Antiqua"/>
          <w:lang w:eastAsia="zh-CN"/>
        </w:rPr>
      </w:pPr>
    </w:p>
    <w:p w14:paraId="35DAD32D" w14:textId="77777777" w:rsidR="0066241B" w:rsidRPr="0066241B" w:rsidRDefault="0066241B" w:rsidP="0066241B">
      <w:pPr>
        <w:ind w:leftChars="100" w:left="240"/>
        <w:jc w:val="center"/>
        <w:rPr>
          <w:rFonts w:ascii="Book Antiqua" w:hAnsi="Book Antiqua"/>
          <w:lang w:eastAsia="zh-CN"/>
        </w:rPr>
      </w:pPr>
    </w:p>
    <w:p w14:paraId="26E42364" w14:textId="77777777" w:rsidR="0066241B" w:rsidRPr="0066241B" w:rsidRDefault="0066241B" w:rsidP="0066241B">
      <w:pPr>
        <w:ind w:leftChars="100" w:left="240"/>
        <w:jc w:val="center"/>
        <w:rPr>
          <w:rFonts w:ascii="Book Antiqua" w:hAnsi="Book Antiqua"/>
          <w:lang w:eastAsia="zh-CN"/>
        </w:rPr>
      </w:pPr>
      <w:r w:rsidRPr="0066241B">
        <w:rPr>
          <w:rFonts w:ascii="Book Antiqua" w:hAnsi="Book Antiqua"/>
          <w:noProof/>
          <w:lang w:eastAsia="zh-CN"/>
        </w:rPr>
        <w:drawing>
          <wp:inline distT="0" distB="0" distL="0" distR="0" wp14:anchorId="154BC8EB" wp14:editId="1767918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92E818E" w14:textId="77777777" w:rsidR="0066241B" w:rsidRPr="0066241B" w:rsidRDefault="0066241B" w:rsidP="0066241B">
      <w:pPr>
        <w:ind w:leftChars="100" w:left="240"/>
        <w:jc w:val="center"/>
        <w:rPr>
          <w:rFonts w:ascii="Book Antiqua" w:hAnsi="Book Antiqua"/>
          <w:lang w:eastAsia="zh-CN"/>
        </w:rPr>
      </w:pPr>
    </w:p>
    <w:p w14:paraId="282CF057" w14:textId="77777777" w:rsidR="0066241B" w:rsidRPr="0066241B" w:rsidRDefault="0066241B" w:rsidP="0066241B">
      <w:pPr>
        <w:ind w:leftChars="100" w:left="240"/>
        <w:jc w:val="center"/>
        <w:rPr>
          <w:rFonts w:ascii="Book Antiqua" w:hAnsi="Book Antiqua"/>
          <w:lang w:eastAsia="zh-CN"/>
        </w:rPr>
      </w:pPr>
    </w:p>
    <w:p w14:paraId="5F0D0595" w14:textId="77777777" w:rsidR="0066241B" w:rsidRPr="0066241B" w:rsidRDefault="0066241B" w:rsidP="0066241B">
      <w:pPr>
        <w:ind w:leftChars="100" w:left="240"/>
        <w:jc w:val="center"/>
        <w:rPr>
          <w:rFonts w:ascii="Book Antiqua" w:hAnsi="Book Antiqua"/>
          <w:lang w:eastAsia="zh-CN"/>
        </w:rPr>
      </w:pPr>
    </w:p>
    <w:p w14:paraId="119C0604" w14:textId="77777777" w:rsidR="0066241B" w:rsidRPr="0066241B" w:rsidRDefault="0066241B" w:rsidP="0066241B">
      <w:pPr>
        <w:ind w:leftChars="100" w:left="240"/>
        <w:jc w:val="center"/>
        <w:rPr>
          <w:rFonts w:ascii="Book Antiqua" w:hAnsi="Book Antiqua"/>
          <w:lang w:eastAsia="zh-CN"/>
        </w:rPr>
      </w:pPr>
    </w:p>
    <w:p w14:paraId="299F759C" w14:textId="77777777" w:rsidR="0066241B" w:rsidRPr="0066241B" w:rsidRDefault="0066241B" w:rsidP="0066241B">
      <w:pPr>
        <w:ind w:leftChars="100" w:left="240"/>
        <w:jc w:val="center"/>
        <w:rPr>
          <w:rFonts w:ascii="Book Antiqua" w:hAnsi="Book Antiqua"/>
          <w:lang w:eastAsia="zh-CN"/>
        </w:rPr>
      </w:pPr>
    </w:p>
    <w:p w14:paraId="656FB750" w14:textId="77777777" w:rsidR="0066241B" w:rsidRPr="0066241B" w:rsidRDefault="0066241B" w:rsidP="0066241B">
      <w:pPr>
        <w:ind w:leftChars="100" w:left="240"/>
        <w:jc w:val="center"/>
        <w:rPr>
          <w:rFonts w:ascii="Book Antiqua" w:hAnsi="Book Antiqua"/>
          <w:lang w:eastAsia="zh-CN"/>
        </w:rPr>
      </w:pPr>
    </w:p>
    <w:p w14:paraId="09D86982" w14:textId="77777777" w:rsidR="0066241B" w:rsidRPr="0066241B" w:rsidRDefault="0066241B" w:rsidP="0066241B">
      <w:pPr>
        <w:ind w:leftChars="100" w:left="240"/>
        <w:jc w:val="center"/>
        <w:rPr>
          <w:rFonts w:ascii="Book Antiqua" w:hAnsi="Book Antiqua"/>
          <w:lang w:eastAsia="zh-CN"/>
        </w:rPr>
      </w:pPr>
    </w:p>
    <w:p w14:paraId="4E5453DA" w14:textId="77777777" w:rsidR="0066241B" w:rsidRPr="0066241B" w:rsidRDefault="0066241B" w:rsidP="0066241B">
      <w:pPr>
        <w:ind w:leftChars="100" w:left="240"/>
        <w:jc w:val="center"/>
        <w:rPr>
          <w:rFonts w:ascii="Book Antiqua" w:hAnsi="Book Antiqua"/>
          <w:lang w:eastAsia="zh-CN"/>
        </w:rPr>
      </w:pPr>
    </w:p>
    <w:p w14:paraId="1421B1CF" w14:textId="77777777" w:rsidR="0066241B" w:rsidRPr="0066241B" w:rsidRDefault="0066241B" w:rsidP="0066241B">
      <w:pPr>
        <w:ind w:leftChars="100" w:left="240"/>
        <w:jc w:val="center"/>
        <w:rPr>
          <w:rFonts w:ascii="Book Antiqua" w:hAnsi="Book Antiqua"/>
          <w:lang w:eastAsia="zh-CN"/>
        </w:rPr>
      </w:pPr>
    </w:p>
    <w:p w14:paraId="6BAEFCFB" w14:textId="77777777" w:rsidR="0066241B" w:rsidRPr="0066241B" w:rsidRDefault="0066241B" w:rsidP="0066241B">
      <w:pPr>
        <w:ind w:leftChars="100" w:left="240"/>
        <w:jc w:val="right"/>
        <w:rPr>
          <w:rFonts w:ascii="Book Antiqua" w:hAnsi="Book Antiqua"/>
          <w:color w:val="000000" w:themeColor="text1"/>
          <w:lang w:eastAsia="zh-CN"/>
        </w:rPr>
      </w:pPr>
    </w:p>
    <w:p w14:paraId="332C1E86" w14:textId="77777777" w:rsidR="0066241B" w:rsidRPr="00763D22" w:rsidRDefault="0066241B" w:rsidP="0066241B">
      <w:pPr>
        <w:ind w:leftChars="100" w:left="240"/>
        <w:jc w:val="center"/>
        <w:rPr>
          <w:rFonts w:ascii="Book Antiqua" w:hAnsi="Book Antiqua"/>
          <w:color w:val="000000" w:themeColor="text1"/>
          <w:lang w:eastAsia="zh-CN"/>
        </w:rPr>
      </w:pPr>
      <w:r w:rsidRPr="0066241B">
        <w:rPr>
          <w:rFonts w:ascii="Book Antiqua" w:eastAsia="BookAntiqua-Bold" w:hAnsi="Book Antiqua" w:cs="BookAntiqua-Bold"/>
          <w:b/>
          <w:bCs/>
          <w:color w:val="000000" w:themeColor="text1"/>
        </w:rPr>
        <w:t>© 2022 Baishideng Publishing Group Inc. All rights reserved.</w:t>
      </w:r>
      <w:r w:rsidRPr="0066241B">
        <w:rPr>
          <w:rFonts w:ascii="Book Antiqua" w:hAnsi="Book Antiqua"/>
          <w:color w:val="000000" w:themeColor="text1"/>
          <w:lang w:eastAsia="zh-CN"/>
        </w:rPr>
        <w:fldChar w:fldCharType="begin"/>
      </w:r>
      <w:r w:rsidRPr="0066241B">
        <w:rPr>
          <w:rFonts w:ascii="Book Antiqua" w:hAnsi="Book Antiqua"/>
          <w:color w:val="000000" w:themeColor="text1"/>
          <w:lang w:eastAsia="zh-CN"/>
        </w:rPr>
        <w:instrText xml:space="preserve"> ADDIN EN.REFLIST </w:instrText>
      </w:r>
      <w:r w:rsidRPr="0066241B">
        <w:rPr>
          <w:rFonts w:ascii="Book Antiqua" w:hAnsi="Book Antiqua"/>
          <w:color w:val="000000" w:themeColor="text1"/>
          <w:lang w:eastAsia="zh-CN"/>
        </w:rPr>
        <w:fldChar w:fldCharType="end"/>
      </w:r>
      <w:bookmarkEnd w:id="74"/>
    </w:p>
    <w:p w14:paraId="7639F292" w14:textId="77777777" w:rsidR="0052656F" w:rsidRPr="00C21A2B" w:rsidRDefault="0052656F" w:rsidP="00B34F1C">
      <w:pPr>
        <w:tabs>
          <w:tab w:val="left" w:pos="4712"/>
        </w:tabs>
        <w:spacing w:line="360" w:lineRule="auto"/>
        <w:jc w:val="both"/>
        <w:rPr>
          <w:rFonts w:ascii="Book Antiqua" w:hAnsi="Book Antiqua"/>
          <w:color w:val="000000" w:themeColor="text1"/>
        </w:rPr>
      </w:pPr>
    </w:p>
    <w:sectPr w:rsidR="0052656F" w:rsidRPr="00C21A2B" w:rsidSect="00BD7A2A">
      <w:footerReference w:type="default" r:id="rId36"/>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1C21" w14:textId="77777777" w:rsidR="004C3840" w:rsidRDefault="004C3840">
      <w:r>
        <w:separator/>
      </w:r>
    </w:p>
  </w:endnote>
  <w:endnote w:type="continuationSeparator" w:id="0">
    <w:p w14:paraId="7D1C9B24" w14:textId="77777777" w:rsidR="004C3840" w:rsidRDefault="004C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F4F7" w14:textId="3BDE0412" w:rsidR="0052656F" w:rsidRDefault="000D2442">
    <w:pPr>
      <w:pStyle w:val="ac"/>
      <w:jc w:val="right"/>
      <w:rPr>
        <w:rFonts w:ascii="Book Antiqua" w:hAnsi="Book Antiqua"/>
        <w:color w:val="000000" w:themeColor="text1"/>
        <w:sz w:val="24"/>
        <w:szCs w:val="24"/>
      </w:rPr>
    </w:pPr>
    <w:bookmarkStart w:id="13" w:name="OLE_LINK4683"/>
    <w:bookmarkStart w:id="14" w:name="OLE_LINK4684"/>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hint="eastAsia"/>
        <w:color w:val="000000" w:themeColor="text1"/>
        <w:sz w:val="24"/>
        <w:szCs w:val="24"/>
      </w:rPr>
      <w:instrText>PAGE \* Arabic \* MERGEFORMAT</w:instrText>
    </w:r>
    <w:r>
      <w:fldChar w:fldCharType="separate"/>
    </w:r>
    <w:r w:rsidR="0079150E" w:rsidRPr="0079150E">
      <w:rPr>
        <w:rFonts w:ascii="Book Antiqua" w:hAnsi="Book Antiqua"/>
        <w:noProof/>
        <w:color w:val="000000" w:themeColor="text1"/>
        <w:sz w:val="24"/>
        <w:szCs w:val="24"/>
        <w:lang w:val="zh-CN"/>
      </w:rPr>
      <w:t>21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hint="eastAsia"/>
        <w:color w:val="000000" w:themeColor="text1"/>
        <w:sz w:val="24"/>
        <w:szCs w:val="24"/>
      </w:rPr>
      <w:instrText>NUMPAGES \* Arabic \* MERGEFORMAT</w:instrText>
    </w:r>
    <w:r>
      <w:fldChar w:fldCharType="separate"/>
    </w:r>
    <w:r w:rsidR="0079150E" w:rsidRPr="0079150E">
      <w:rPr>
        <w:rFonts w:ascii="Book Antiqua" w:hAnsi="Book Antiqua"/>
        <w:noProof/>
        <w:color w:val="000000" w:themeColor="text1"/>
        <w:sz w:val="24"/>
        <w:szCs w:val="24"/>
        <w:lang w:val="zh-CN"/>
      </w:rPr>
      <w:t>49</w:t>
    </w:r>
    <w:r>
      <w:rPr>
        <w:rFonts w:ascii="Book Antiqua" w:hAnsi="Book Antiqua"/>
        <w:color w:val="000000" w:themeColor="text1"/>
        <w:sz w:val="24"/>
        <w:szCs w:val="24"/>
      </w:rPr>
      <w:fldChar w:fldCharType="end"/>
    </w:r>
    <w:bookmarkEnd w:id="13"/>
    <w:bookmarkEnd w:id="14"/>
  </w:p>
  <w:p w14:paraId="323E5D88" w14:textId="77777777" w:rsidR="0052656F" w:rsidRDefault="0052656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1D19" w14:textId="77777777" w:rsidR="0052656F" w:rsidRDefault="000D2442">
    <w:pPr>
      <w:pStyle w:val="ac"/>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hint="eastAsia"/>
        <w:color w:val="000000" w:themeColor="text1"/>
        <w:sz w:val="24"/>
        <w:szCs w:val="24"/>
      </w:rPr>
      <w:instrText>PAGE \* Arabic \* MERGEFORMAT</w:instrText>
    </w:r>
    <w: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hint="eastAsia"/>
        <w:color w:val="000000" w:themeColor="text1"/>
        <w:sz w:val="24"/>
        <w:szCs w:val="24"/>
      </w:rPr>
      <w:instrText>NUMPAGES \* Arabic \* MERGEFORMAT</w:instrText>
    </w:r>
    <w: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p w14:paraId="179321ED" w14:textId="77777777" w:rsidR="0052656F" w:rsidRDefault="0052656F">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6B2B" w14:textId="0FC74424" w:rsidR="0052656F" w:rsidRDefault="000D2442">
    <w:pPr>
      <w:pStyle w:val="ac"/>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hint="eastAsia"/>
        <w:color w:val="000000" w:themeColor="text1"/>
        <w:sz w:val="24"/>
        <w:szCs w:val="24"/>
      </w:rPr>
      <w:instrText>PAGE \* Arabic \* MERGEFORMAT</w:instrText>
    </w:r>
    <w:r>
      <w:fldChar w:fldCharType="separate"/>
    </w:r>
    <w:r w:rsidR="0079150E" w:rsidRPr="0079150E">
      <w:rPr>
        <w:rFonts w:ascii="Book Antiqua" w:hAnsi="Book Antiqua"/>
        <w:noProof/>
        <w:color w:val="000000" w:themeColor="text1"/>
        <w:sz w:val="24"/>
        <w:szCs w:val="24"/>
        <w:lang w:val="zh-CN"/>
      </w:rPr>
      <w:t>46</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hint="eastAsia"/>
        <w:color w:val="000000" w:themeColor="text1"/>
        <w:sz w:val="24"/>
        <w:szCs w:val="24"/>
      </w:rPr>
      <w:instrText>NUMPAGES \* Arabic \* MERGEFORMAT</w:instrText>
    </w:r>
    <w:r>
      <w:fldChar w:fldCharType="separate"/>
    </w:r>
    <w:r w:rsidR="0079150E" w:rsidRPr="0079150E">
      <w:rPr>
        <w:rFonts w:ascii="Book Antiqua" w:hAnsi="Book Antiqua"/>
        <w:noProof/>
        <w:color w:val="000000" w:themeColor="text1"/>
        <w:sz w:val="24"/>
        <w:szCs w:val="24"/>
        <w:lang w:val="zh-CN"/>
      </w:rPr>
      <w:t>49</w:t>
    </w:r>
    <w:r>
      <w:rPr>
        <w:rFonts w:ascii="Book Antiqua" w:hAnsi="Book Antiqua"/>
        <w:color w:val="000000" w:themeColor="text1"/>
        <w:sz w:val="24"/>
        <w:szCs w:val="24"/>
      </w:rPr>
      <w:fldChar w:fldCharType="end"/>
    </w:r>
  </w:p>
  <w:p w14:paraId="44114536" w14:textId="77777777" w:rsidR="0052656F" w:rsidRDefault="0052656F">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7B45A2D4" w14:textId="77777777" w:rsidR="001204A0" w:rsidRDefault="00000000" w:rsidP="00134D22">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39849C39" w14:textId="77777777" w:rsidR="001204A0" w:rsidRDefault="0000000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FA329" w14:textId="77777777" w:rsidR="004C3840" w:rsidRDefault="004C3840">
      <w:r>
        <w:separator/>
      </w:r>
    </w:p>
  </w:footnote>
  <w:footnote w:type="continuationSeparator" w:id="0">
    <w:p w14:paraId="2357DC83" w14:textId="77777777" w:rsidR="004C3840" w:rsidRDefault="004C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D7CC" w14:textId="77777777" w:rsidR="004C533B" w:rsidRPr="004C533B" w:rsidRDefault="004C533B" w:rsidP="004C533B">
    <w:pPr>
      <w:pStyle w:val="aa"/>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24C9" w14:textId="77777777" w:rsidR="0052656F" w:rsidRDefault="0052656F">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F803" w14:textId="77777777" w:rsidR="0052656F" w:rsidRDefault="0052656F">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210F" w14:textId="77777777" w:rsidR="0052656F" w:rsidRDefault="0052656F">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2E0E" w14:textId="77777777" w:rsidR="0052656F" w:rsidRDefault="0052656F">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4F4A" w14:textId="77777777" w:rsidR="0052656F" w:rsidRDefault="0052656F">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defaultTabStop w:val="7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56F"/>
    <w:rsid w:val="000538CB"/>
    <w:rsid w:val="000C6506"/>
    <w:rsid w:val="000D2442"/>
    <w:rsid w:val="000D621C"/>
    <w:rsid w:val="002669CA"/>
    <w:rsid w:val="00280EFF"/>
    <w:rsid w:val="0037300D"/>
    <w:rsid w:val="004419B3"/>
    <w:rsid w:val="00452097"/>
    <w:rsid w:val="00455D30"/>
    <w:rsid w:val="004A4B4E"/>
    <w:rsid w:val="004C3840"/>
    <w:rsid w:val="004C533B"/>
    <w:rsid w:val="004D76AE"/>
    <w:rsid w:val="004E7DCE"/>
    <w:rsid w:val="0052656F"/>
    <w:rsid w:val="00551E2E"/>
    <w:rsid w:val="00585070"/>
    <w:rsid w:val="00601CB0"/>
    <w:rsid w:val="006153FD"/>
    <w:rsid w:val="00635002"/>
    <w:rsid w:val="00650590"/>
    <w:rsid w:val="0066241B"/>
    <w:rsid w:val="00663790"/>
    <w:rsid w:val="006808B9"/>
    <w:rsid w:val="006C64A8"/>
    <w:rsid w:val="007526B0"/>
    <w:rsid w:val="0079150E"/>
    <w:rsid w:val="007C16E9"/>
    <w:rsid w:val="007C3590"/>
    <w:rsid w:val="008152A5"/>
    <w:rsid w:val="008D1769"/>
    <w:rsid w:val="009113DC"/>
    <w:rsid w:val="00944132"/>
    <w:rsid w:val="009A5C68"/>
    <w:rsid w:val="009D18B8"/>
    <w:rsid w:val="009E07E7"/>
    <w:rsid w:val="00A45420"/>
    <w:rsid w:val="00A73FB5"/>
    <w:rsid w:val="00B332B5"/>
    <w:rsid w:val="00B34F1C"/>
    <w:rsid w:val="00BC0281"/>
    <w:rsid w:val="00BF0684"/>
    <w:rsid w:val="00BF675F"/>
    <w:rsid w:val="00C21A2B"/>
    <w:rsid w:val="00CC6104"/>
    <w:rsid w:val="00D07F93"/>
    <w:rsid w:val="00D23121"/>
    <w:rsid w:val="00D552D6"/>
    <w:rsid w:val="00EB6E43"/>
    <w:rsid w:val="00EE1E34"/>
    <w:rsid w:val="00EF798F"/>
    <w:rsid w:val="00F21862"/>
    <w:rsid w:val="00F25BF2"/>
    <w:rsid w:val="00F66839"/>
    <w:rsid w:val="00F7690D"/>
    <w:rsid w:val="00F913DF"/>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1DA9EF"/>
  <w15:docId w15:val="{8EC400C3-2FB7-40DB-95F6-A6F6CEFD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
    <w:qFormat/>
    <w:pPr>
      <w:wordWrap w:val="0"/>
      <w:autoSpaceDE w:val="0"/>
      <w:autoSpaceDN w:val="0"/>
      <w:spacing w:before="480" w:after="120" w:line="259" w:lineRule="auto"/>
      <w:jc w:val="both"/>
      <w:outlineLvl w:val="0"/>
    </w:pPr>
    <w:rPr>
      <w:rFonts w:ascii="Malgun Gothic" w:eastAsia="Malgun Gothic" w:hAnsi="Malgun Gothic" w:cs="Malgun Gothic"/>
      <w:b/>
      <w:sz w:val="48"/>
      <w:szCs w:val="48"/>
      <w:lang w:eastAsia="ko-KR"/>
    </w:rPr>
  </w:style>
  <w:style w:type="paragraph" w:styleId="2">
    <w:name w:val="heading 2"/>
    <w:basedOn w:val="a"/>
    <w:next w:val="a"/>
    <w:link w:val="20"/>
    <w:uiPriority w:val="9"/>
    <w:semiHidden/>
    <w:unhideWhenUsed/>
    <w:qFormat/>
    <w:pPr>
      <w:wordWrap w:val="0"/>
      <w:autoSpaceDE w:val="0"/>
      <w:autoSpaceDN w:val="0"/>
      <w:spacing w:before="360" w:after="80" w:line="259" w:lineRule="auto"/>
      <w:jc w:val="both"/>
      <w:outlineLvl w:val="1"/>
    </w:pPr>
    <w:rPr>
      <w:rFonts w:ascii="Malgun Gothic" w:eastAsia="Malgun Gothic" w:hAnsi="Malgun Gothic" w:cs="Malgun Gothic"/>
      <w:b/>
      <w:sz w:val="36"/>
      <w:szCs w:val="36"/>
      <w:lang w:eastAsia="ko-KR"/>
    </w:rPr>
  </w:style>
  <w:style w:type="paragraph" w:styleId="3">
    <w:name w:val="heading 3"/>
    <w:basedOn w:val="a"/>
    <w:next w:val="a"/>
    <w:link w:val="30"/>
    <w:uiPriority w:val="9"/>
    <w:semiHidden/>
    <w:unhideWhenUsed/>
    <w:qFormat/>
    <w:pPr>
      <w:wordWrap w:val="0"/>
      <w:autoSpaceDE w:val="0"/>
      <w:autoSpaceDN w:val="0"/>
      <w:spacing w:before="280" w:after="80" w:line="259" w:lineRule="auto"/>
      <w:jc w:val="both"/>
      <w:outlineLvl w:val="2"/>
    </w:pPr>
    <w:rPr>
      <w:rFonts w:ascii="Malgun Gothic" w:eastAsia="Malgun Gothic" w:hAnsi="Malgun Gothic" w:cs="Malgun Gothic"/>
      <w:b/>
      <w:sz w:val="28"/>
      <w:szCs w:val="28"/>
      <w:lang w:eastAsia="ko-KR"/>
    </w:rPr>
  </w:style>
  <w:style w:type="paragraph" w:styleId="4">
    <w:name w:val="heading 4"/>
    <w:basedOn w:val="a"/>
    <w:next w:val="a"/>
    <w:link w:val="40"/>
    <w:uiPriority w:val="9"/>
    <w:semiHidden/>
    <w:unhideWhenUsed/>
    <w:qFormat/>
    <w:pPr>
      <w:wordWrap w:val="0"/>
      <w:autoSpaceDE w:val="0"/>
      <w:autoSpaceDN w:val="0"/>
      <w:spacing w:before="240" w:after="40" w:line="259" w:lineRule="auto"/>
      <w:jc w:val="both"/>
      <w:outlineLvl w:val="3"/>
    </w:pPr>
    <w:rPr>
      <w:rFonts w:ascii="Malgun Gothic" w:eastAsia="Malgun Gothic" w:hAnsi="Malgun Gothic" w:cs="Malgun Gothic"/>
      <w:b/>
      <w:lang w:eastAsia="ko-KR"/>
    </w:rPr>
  </w:style>
  <w:style w:type="paragraph" w:styleId="5">
    <w:name w:val="heading 5"/>
    <w:basedOn w:val="a"/>
    <w:next w:val="a"/>
    <w:link w:val="50"/>
    <w:uiPriority w:val="9"/>
    <w:semiHidden/>
    <w:unhideWhenUsed/>
    <w:qFormat/>
    <w:pPr>
      <w:wordWrap w:val="0"/>
      <w:autoSpaceDE w:val="0"/>
      <w:autoSpaceDN w:val="0"/>
      <w:spacing w:before="220" w:after="40" w:line="259" w:lineRule="auto"/>
      <w:jc w:val="both"/>
      <w:outlineLvl w:val="4"/>
    </w:pPr>
    <w:rPr>
      <w:rFonts w:ascii="Malgun Gothic" w:eastAsia="Malgun Gothic" w:hAnsi="Malgun Gothic" w:cs="Malgun Gothic"/>
      <w:b/>
      <w:sz w:val="22"/>
      <w:szCs w:val="22"/>
      <w:lang w:eastAsia="ko-KR"/>
    </w:rPr>
  </w:style>
  <w:style w:type="paragraph" w:styleId="6">
    <w:name w:val="heading 6"/>
    <w:basedOn w:val="a"/>
    <w:next w:val="a"/>
    <w:link w:val="60"/>
    <w:uiPriority w:val="9"/>
    <w:semiHidden/>
    <w:unhideWhenUsed/>
    <w:qFormat/>
    <w:pPr>
      <w:wordWrap w:val="0"/>
      <w:autoSpaceDE w:val="0"/>
      <w:autoSpaceDN w:val="0"/>
      <w:spacing w:before="200" w:after="40" w:line="259" w:lineRule="auto"/>
      <w:jc w:val="both"/>
      <w:outlineLvl w:val="5"/>
    </w:pPr>
    <w:rPr>
      <w:rFonts w:ascii="Malgun Gothic" w:eastAsia="Malgun Gothic" w:hAnsi="Malgun Gothic" w:cs="Malgun Gothic"/>
      <w:b/>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wordWrap w:val="0"/>
      <w:autoSpaceDE w:val="0"/>
      <w:autoSpaceDN w:val="0"/>
      <w:spacing w:before="480" w:after="120" w:line="259" w:lineRule="auto"/>
      <w:jc w:val="both"/>
    </w:pPr>
    <w:rPr>
      <w:rFonts w:ascii="Malgun Gothic" w:eastAsia="Malgun Gothic" w:hAnsi="Malgun Gothic" w:cs="Malgun Gothic"/>
      <w:b/>
      <w:sz w:val="72"/>
      <w:szCs w:val="72"/>
      <w:lang w:eastAsia="ko-KR"/>
    </w:rPr>
  </w:style>
  <w:style w:type="paragraph" w:styleId="a5">
    <w:name w:val="Subtitle"/>
    <w:basedOn w:val="a"/>
    <w:next w:val="a"/>
    <w:link w:val="a6"/>
    <w:uiPriority w:val="11"/>
    <w:qFormat/>
    <w:pPr>
      <w:wordWrap w:val="0"/>
      <w:autoSpaceDE w:val="0"/>
      <w:autoSpaceDN w:val="0"/>
      <w:spacing w:before="360" w:after="80" w:line="259" w:lineRule="auto"/>
      <w:jc w:val="both"/>
    </w:pPr>
    <w:rPr>
      <w:rFonts w:ascii="Georgia" w:eastAsia="Georgia" w:hAnsi="Georgia" w:cs="Georgia"/>
      <w:i/>
      <w:color w:val="666666"/>
      <w:sz w:val="48"/>
      <w:szCs w:val="48"/>
      <w:lang w:eastAsia="ko-KR"/>
    </w:rPr>
  </w:style>
  <w:style w:type="paragraph" w:styleId="a7">
    <w:name w:val="List Paragraph"/>
    <w:basedOn w:val="a"/>
    <w:uiPriority w:val="26"/>
    <w:qFormat/>
    <w:pPr>
      <w:wordWrap w:val="0"/>
      <w:autoSpaceDE w:val="0"/>
      <w:autoSpaceDN w:val="0"/>
      <w:spacing w:after="160" w:line="259" w:lineRule="auto"/>
      <w:ind w:leftChars="800" w:left="800"/>
      <w:jc w:val="both"/>
    </w:pPr>
    <w:rPr>
      <w:rFonts w:ascii="Malgun Gothic" w:eastAsia="Malgun Gothic" w:hAnsi="Malgun Gothic" w:cs="Malgun Gothic"/>
      <w:sz w:val="20"/>
      <w:szCs w:val="20"/>
      <w:lang w:eastAsia="ko-KR"/>
    </w:rPr>
  </w:style>
  <w:style w:type="table" w:styleId="a8">
    <w:name w:val="Table Grid"/>
    <w:basedOn w:val="a1"/>
    <w:uiPriority w:val="37"/>
    <w:pPr>
      <w:jc w:val="both"/>
    </w:pPr>
    <w:rPr>
      <w:rFonts w:ascii="Malgun Gothic" w:eastAsia="Malgun Gothic" w:hAnsi="Malgun Gothic" w:cs="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11">
    <w:name w:val="Plain Table 1"/>
    <w:basedOn w:val="a1"/>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21">
    <w:name w:val="Plain Table 2"/>
    <w:basedOn w:val="a1"/>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31">
    <w:name w:val="Plain Table 3"/>
    <w:basedOn w:val="a1"/>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41">
    <w:name w:val="Plain Table 4"/>
    <w:basedOn w:val="a1"/>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51">
    <w:name w:val="Plain Table 5"/>
    <w:basedOn w:val="a1"/>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2">
    <w:name w:val="Grid Table 1 Light"/>
    <w:basedOn w:val="a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1-1">
    <w:name w:val="Grid Table 1 Light Accent 1"/>
    <w:basedOn w:val="a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firstCol">
      <w:rPr>
        <w:b/>
      </w:rPr>
    </w:tblStylePr>
    <w:tblStylePr w:type="lastCol">
      <w:rPr>
        <w:b/>
      </w:rPr>
    </w:tblStylePr>
  </w:style>
  <w:style w:type="table" w:styleId="1-2">
    <w:name w:val="Grid Table 1 Light Accent 2"/>
    <w:basedOn w:val="a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firstCol">
      <w:rPr>
        <w:b/>
      </w:rPr>
    </w:tblStylePr>
    <w:tblStylePr w:type="lastCol">
      <w:rPr>
        <w:b/>
      </w:rPr>
    </w:tblStylePr>
  </w:style>
  <w:style w:type="table" w:styleId="1-3">
    <w:name w:val="Grid Table 1 Light Accent 3"/>
    <w:basedOn w:val="a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firstCol">
      <w:rPr>
        <w:b/>
      </w:rPr>
    </w:tblStylePr>
    <w:tblStylePr w:type="lastCol">
      <w:rPr>
        <w:b/>
      </w:rPr>
    </w:tblStylePr>
  </w:style>
  <w:style w:type="table" w:styleId="1-4">
    <w:name w:val="Grid Table 1 Light Accent 4"/>
    <w:basedOn w:val="a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firstCol">
      <w:rPr>
        <w:b/>
      </w:rPr>
    </w:tblStylePr>
    <w:tblStylePr w:type="lastCol">
      <w:rPr>
        <w:b/>
      </w:rPr>
    </w:tblStylePr>
  </w:style>
  <w:style w:type="table" w:styleId="1-5">
    <w:name w:val="Grid Table 1 Light Accent 5"/>
    <w:basedOn w:val="a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firstCol">
      <w:rPr>
        <w:b/>
      </w:rPr>
    </w:tblStylePr>
    <w:tblStylePr w:type="lastCol">
      <w:rPr>
        <w:b/>
      </w:rPr>
    </w:tblStylePr>
  </w:style>
  <w:style w:type="table" w:styleId="1-6">
    <w:name w:val="Grid Table 1 Light Accent 6"/>
    <w:basedOn w:val="a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firstCol">
      <w:rPr>
        <w:b/>
      </w:rPr>
    </w:tblStylePr>
    <w:tblStylePr w:type="lastCol">
      <w:rPr>
        <w:b/>
      </w:rPr>
    </w:tblStylePr>
  </w:style>
  <w:style w:type="table" w:styleId="22">
    <w:name w:val="Grid Table 2"/>
    <w:basedOn w:val="a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rPr>
      <w:tblPr/>
      <w:tcPr>
        <w:tcBorders>
          <w:top w:val="nil"/>
          <w:bottom w:val="single" w:sz="12" w:space="0" w:color="95B3D7" w:themeColor="accent1" w:themeTint="99"/>
          <w:insideH w:val="nil"/>
          <w:insideV w:val="nil"/>
        </w:tcBorders>
        <w:shd w:val="clear" w:color="auto" w:fill="FFFFFF" w:themeFill="background1"/>
      </w:tcPr>
    </w:tblStylePr>
    <w:tblStylePr w:type="lastRow">
      <w:rPr>
        <w:b/>
      </w:rPr>
      <w:tblPr/>
      <w:tcPr>
        <w:tcBorders>
          <w:top w:val="double" w:sz="2" w:space="0" w:color="95B3D7"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rPr>
      <w:tblPr/>
      <w:tcPr>
        <w:tcBorders>
          <w:top w:val="nil"/>
          <w:bottom w:val="single" w:sz="12" w:space="0" w:color="D99594" w:themeColor="accent2" w:themeTint="99"/>
          <w:insideH w:val="nil"/>
          <w:insideV w:val="nil"/>
        </w:tcBorders>
        <w:shd w:val="clear" w:color="auto" w:fill="FFFFFF" w:themeFill="background1"/>
      </w:tcPr>
    </w:tblStylePr>
    <w:tblStylePr w:type="lastRow">
      <w:rPr>
        <w:b/>
      </w:rPr>
      <w:tblPr/>
      <w:tcPr>
        <w:tcBorders>
          <w:top w:val="double" w:sz="2" w:space="0" w:color="D99594"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rPr>
      <w:tblPr/>
      <w:tcPr>
        <w:tcBorders>
          <w:top w:val="nil"/>
          <w:bottom w:val="single" w:sz="12" w:space="0" w:color="C2D69B" w:themeColor="accent3" w:themeTint="99"/>
          <w:insideH w:val="nil"/>
          <w:insideV w:val="nil"/>
        </w:tcBorders>
        <w:shd w:val="clear" w:color="auto" w:fill="FFFFFF" w:themeFill="background1"/>
      </w:tcPr>
    </w:tblStylePr>
    <w:tblStylePr w:type="lastRow">
      <w:rPr>
        <w:b/>
      </w:rPr>
      <w:tblPr/>
      <w:tcPr>
        <w:tcBorders>
          <w:top w:val="double" w:sz="2" w:space="0" w:color="C2D69B"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rPr>
      <w:tblPr/>
      <w:tcPr>
        <w:tcBorders>
          <w:top w:val="nil"/>
          <w:bottom w:val="single" w:sz="12" w:space="0" w:color="B2A1C7" w:themeColor="accent4" w:themeTint="99"/>
          <w:insideH w:val="nil"/>
          <w:insideV w:val="nil"/>
        </w:tcBorders>
        <w:shd w:val="clear" w:color="auto" w:fill="FFFFFF" w:themeFill="background1"/>
      </w:tcPr>
    </w:tblStylePr>
    <w:tblStylePr w:type="lastRow">
      <w:rPr>
        <w:b/>
      </w:rPr>
      <w:tblPr/>
      <w:tcPr>
        <w:tcBorders>
          <w:top w:val="double" w:sz="2" w:space="0" w:color="B2A1C7"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rPr>
      <w:tblPr/>
      <w:tcPr>
        <w:tcBorders>
          <w:top w:val="nil"/>
          <w:bottom w:val="single" w:sz="12" w:space="0" w:color="92CDDC" w:themeColor="accent5" w:themeTint="99"/>
          <w:insideH w:val="nil"/>
          <w:insideV w:val="nil"/>
        </w:tcBorders>
        <w:shd w:val="clear" w:color="auto" w:fill="FFFFFF" w:themeFill="background1"/>
      </w:tcPr>
    </w:tblStylePr>
    <w:tblStylePr w:type="lastRow">
      <w:rPr>
        <w:b/>
      </w:rPr>
      <w:tblPr/>
      <w:tcPr>
        <w:tcBorders>
          <w:top w:val="double" w:sz="2" w:space="0" w:color="92CDDC"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rPr>
      <w:tblPr/>
      <w:tcPr>
        <w:tcBorders>
          <w:top w:val="nil"/>
          <w:bottom w:val="single" w:sz="12" w:space="0" w:color="FABF8F" w:themeColor="accent6" w:themeTint="99"/>
          <w:insideH w:val="nil"/>
          <w:insideV w:val="nil"/>
        </w:tcBorders>
        <w:shd w:val="clear" w:color="auto" w:fill="FFFFFF" w:themeFill="background1"/>
      </w:tcPr>
    </w:tblStylePr>
    <w:tblStylePr w:type="lastRow">
      <w:rPr>
        <w:b/>
      </w:rPr>
      <w:tblPr/>
      <w:tcPr>
        <w:tcBorders>
          <w:top w:val="double" w:sz="2" w:space="0" w:color="FABF8F"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2">
    <w:name w:val="Grid Table 3"/>
    <w:basedOn w:val="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2">
    <w:name w:val="Grid Table 4"/>
    <w:basedOn w:val="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2">
    <w:name w:val="Grid Table 5 Dark"/>
    <w:basedOn w:val="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1"/>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1"/>
    <w:rPr>
      <w:color w:val="365F91" w:themeColor="accent1" w:themeShade="B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bottom w:val="single" w:sz="12" w:space="0" w:color="95B3D7" w:themeColor="accent1" w:themeTint="99"/>
        </w:tcBorders>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1"/>
    <w:rPr>
      <w:color w:val="933634" w:themeColor="accent2" w:themeShade="B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bottom w:val="single" w:sz="12" w:space="0" w:color="D99594" w:themeColor="accent2" w:themeTint="99"/>
        </w:tcBorders>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1"/>
    <w:rPr>
      <w:color w:val="75913B" w:themeColor="accent3" w:themeShade="B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bottom w:val="single" w:sz="12" w:space="0" w:color="C2D69B" w:themeColor="accent3" w:themeTint="99"/>
        </w:tcBorders>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1"/>
    <w:rPr>
      <w:color w:val="5F4979" w:themeColor="accent4" w:themeShade="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bottom w:val="single" w:sz="12" w:space="0" w:color="B2A1C7" w:themeColor="accent4" w:themeTint="99"/>
        </w:tcBorders>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1"/>
    <w:rPr>
      <w:color w:val="31849A" w:themeColor="accent5" w:themeShade="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bottom w:val="single" w:sz="12" w:space="0" w:color="92CDDC" w:themeColor="accent5" w:themeTint="99"/>
        </w:tcBorders>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1"/>
    <w:rPr>
      <w:color w:val="E26B09" w:themeColor="accent6" w:themeShade="B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bottom w:val="single" w:sz="12" w:space="0" w:color="FABF8F" w:themeColor="accent6" w:themeTint="99"/>
        </w:tcBorders>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
    <w:name w:val="Grid Table 7 Colorful"/>
    <w:basedOn w:val="a1"/>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1"/>
    <w:rPr>
      <w:color w:val="365F91" w:themeColor="accent1" w:themeShade="BE"/>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1"/>
    <w:rPr>
      <w:color w:val="933634" w:themeColor="accent2" w:themeShade="BE"/>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1"/>
    <w:rPr>
      <w:color w:val="75913B" w:themeColor="accent3" w:themeShade="BE"/>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1"/>
    <w:rPr>
      <w:color w:val="5F4979" w:themeColor="accent4" w:themeShade="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1"/>
    <w:rPr>
      <w:color w:val="31849A" w:themeColor="accent5" w:themeShade="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1"/>
    <w:rPr>
      <w:color w:val="E26B09" w:themeColor="accent6" w:themeShade="BE"/>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13">
    <w:name w:val="List Table 1 Light"/>
    <w:basedOn w:val="a1"/>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1"/>
    <w:tblPr>
      <w:tblStyleRowBandSize w:val="1"/>
      <w:tblStyleColBandSize w:val="1"/>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1"/>
    <w:tblPr>
      <w:tblStyleRowBandSize w:val="1"/>
      <w:tblStyleColBandSize w:val="1"/>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1"/>
    <w:tblPr>
      <w:tblStyleRowBandSize w:val="1"/>
      <w:tblStyleColBandSize w:val="1"/>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1"/>
    <w:tblPr>
      <w:tblStyleRowBandSize w:val="1"/>
      <w:tblStyleColBandSize w:val="1"/>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1"/>
    <w:tblPr>
      <w:tblStyleRowBandSize w:val="1"/>
      <w:tblStyleColBandSize w:val="1"/>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1"/>
    <w:tblPr>
      <w:tblStyleRowBandSize w:val="1"/>
      <w:tblStyleColBandSize w:val="1"/>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3">
    <w:name w:val="List Table 2"/>
    <w:basedOn w:val="a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3">
    <w:name w:val="List Table 3"/>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3">
    <w:name w:val="List Table 4"/>
    <w:basedOn w:val="a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a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a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a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a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a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a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1"/>
    <w:rPr>
      <w:color w:val="000000" w:themeColor="text1" w:themeShade="BE"/>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1"/>
    <w:rPr>
      <w:color w:val="365F91" w:themeColor="accent1" w:themeShade="BE"/>
    </w:rPr>
    <w:tblPr>
      <w:tblStyleRowBandSize w:val="1"/>
      <w:tblStyleColBandSize w:val="1"/>
      <w:tblBorders>
        <w:top w:val="single" w:sz="4" w:space="0" w:color="4F81BD" w:themeColor="accent1"/>
        <w:bottom w:val="single" w:sz="4" w:space="0" w:color="4F81BD" w:themeColor="accent1"/>
      </w:tblBorders>
    </w:tblPr>
    <w:tblStylePr w:type="firstRow">
      <w:rPr>
        <w:b/>
      </w:rPr>
      <w:tblPr/>
      <w:tcPr>
        <w:tcBorders>
          <w:bottom w:val="single" w:sz="4" w:space="0" w:color="4F81BD" w:themeColor="accent1"/>
        </w:tcBorders>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1"/>
    <w:rPr>
      <w:color w:val="933634" w:themeColor="accent2" w:themeShade="BE"/>
    </w:rPr>
    <w:tblPr>
      <w:tblStyleRowBandSize w:val="1"/>
      <w:tblStyleColBandSize w:val="1"/>
      <w:tblBorders>
        <w:top w:val="single" w:sz="4" w:space="0" w:color="C0504D" w:themeColor="accent2"/>
        <w:bottom w:val="single" w:sz="4" w:space="0" w:color="C0504D" w:themeColor="accent2"/>
      </w:tblBorders>
    </w:tblPr>
    <w:tblStylePr w:type="firstRow">
      <w:rPr>
        <w:b/>
      </w:rPr>
      <w:tblPr/>
      <w:tcPr>
        <w:tcBorders>
          <w:bottom w:val="single" w:sz="4" w:space="0" w:color="C0504D" w:themeColor="accent2"/>
        </w:tcBorders>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1"/>
    <w:rPr>
      <w:color w:val="75913B" w:themeColor="accent3" w:themeShade="BE"/>
    </w:rPr>
    <w:tblPr>
      <w:tblStyleRowBandSize w:val="1"/>
      <w:tblStyleColBandSize w:val="1"/>
      <w:tblBorders>
        <w:top w:val="single" w:sz="4" w:space="0" w:color="9BBB59" w:themeColor="accent3"/>
        <w:bottom w:val="single" w:sz="4" w:space="0" w:color="9BBB59" w:themeColor="accent3"/>
      </w:tblBorders>
    </w:tblPr>
    <w:tblStylePr w:type="firstRow">
      <w:rPr>
        <w:b/>
      </w:rPr>
      <w:tblPr/>
      <w:tcPr>
        <w:tcBorders>
          <w:bottom w:val="single" w:sz="4" w:space="0" w:color="9BBB59" w:themeColor="accent3"/>
        </w:tcBorders>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1"/>
    <w:rPr>
      <w:color w:val="5F4979" w:themeColor="accent4" w:themeShade="BE"/>
    </w:rPr>
    <w:tblPr>
      <w:tblStyleRowBandSize w:val="1"/>
      <w:tblStyleColBandSize w:val="1"/>
      <w:tblBorders>
        <w:top w:val="single" w:sz="4" w:space="0" w:color="8064A2" w:themeColor="accent4"/>
        <w:bottom w:val="single" w:sz="4" w:space="0" w:color="8064A2" w:themeColor="accent4"/>
      </w:tblBorders>
    </w:tblPr>
    <w:tblStylePr w:type="firstRow">
      <w:rPr>
        <w:b/>
      </w:rPr>
      <w:tblPr/>
      <w:tcPr>
        <w:tcBorders>
          <w:bottom w:val="single" w:sz="4" w:space="0" w:color="8064A2" w:themeColor="accent4"/>
        </w:tcBorders>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1"/>
    <w:rPr>
      <w:color w:val="31849A" w:themeColor="accent5" w:themeShade="BE"/>
    </w:rPr>
    <w:tblPr>
      <w:tblStyleRowBandSize w:val="1"/>
      <w:tblStyleColBandSize w:val="1"/>
      <w:tblBorders>
        <w:top w:val="single" w:sz="4" w:space="0" w:color="4BACC6" w:themeColor="accent5"/>
        <w:bottom w:val="single" w:sz="4" w:space="0" w:color="4BACC6" w:themeColor="accent5"/>
      </w:tblBorders>
    </w:tblPr>
    <w:tblStylePr w:type="firstRow">
      <w:rPr>
        <w:b/>
      </w:rPr>
      <w:tblPr/>
      <w:tcPr>
        <w:tcBorders>
          <w:bottom w:val="single" w:sz="4" w:space="0" w:color="4BACC6" w:themeColor="accent5"/>
        </w:tcBorders>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1"/>
    <w:rPr>
      <w:color w:val="E26B09" w:themeColor="accent6" w:themeShade="BE"/>
    </w:rPr>
    <w:tblPr>
      <w:tblStyleRowBandSize w:val="1"/>
      <w:tblStyleColBandSize w:val="1"/>
      <w:tblBorders>
        <w:top w:val="single" w:sz="4" w:space="0" w:color="F79646" w:themeColor="accent6"/>
        <w:bottom w:val="single" w:sz="4" w:space="0" w:color="F79646" w:themeColor="accent6"/>
      </w:tblBorders>
    </w:tblPr>
    <w:tblStylePr w:type="firstRow">
      <w:rPr>
        <w:b/>
      </w:rPr>
      <w:tblPr/>
      <w:tcPr>
        <w:tcBorders>
          <w:bottom w:val="single" w:sz="4" w:space="0" w:color="F79646" w:themeColor="accent6"/>
        </w:tcBorders>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0">
    <w:name w:val="List Table 7 Colorful"/>
    <w:basedOn w:val="a1"/>
    <w:rPr>
      <w:color w:val="000000" w:themeColor="text1" w:themeShade="BE"/>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1"/>
    <w:rPr>
      <w:color w:val="365F91" w:themeColor="accent1" w:themeShade="BE"/>
    </w:rPr>
    <w:tblPr>
      <w:tblStyleRowBandSize w:val="1"/>
      <w:tblStyleColBandSize w:val="1"/>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pPr>
        <w:jc w:val="right"/>
      </w:pPr>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1"/>
    <w:rPr>
      <w:color w:val="933634" w:themeColor="accent2" w:themeShade="BE"/>
    </w:rPr>
    <w:tblPr>
      <w:tblStyleRowBandSize w:val="1"/>
      <w:tblStyleColBandSize w:val="1"/>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pPr>
        <w:jc w:val="right"/>
      </w:pPr>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1"/>
    <w:rPr>
      <w:color w:val="75913B" w:themeColor="accent3" w:themeShade="BE"/>
    </w:rPr>
    <w:tblPr>
      <w:tblStyleRowBandSize w:val="1"/>
      <w:tblStyleColBandSize w:val="1"/>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pPr>
        <w:jc w:val="right"/>
      </w:pPr>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1"/>
    <w:rPr>
      <w:color w:val="5F4979" w:themeColor="accent4" w:themeShade="BE"/>
    </w:rPr>
    <w:tblPr>
      <w:tblStyleRowBandSize w:val="1"/>
      <w:tblStyleColBandSize w:val="1"/>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pPr>
        <w:jc w:val="right"/>
      </w:pPr>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1"/>
    <w:rPr>
      <w:color w:val="31849A" w:themeColor="accent5" w:themeShade="BE"/>
    </w:rPr>
    <w:tblPr>
      <w:tblStyleRowBandSize w:val="1"/>
      <w:tblStyleColBandSize w:val="1"/>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pPr>
        <w:jc w:val="right"/>
      </w:pPr>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1"/>
    <w:rPr>
      <w:color w:val="E26B09" w:themeColor="accent6" w:themeShade="BE"/>
    </w:rPr>
    <w:tblPr>
      <w:tblStyleRowBandSize w:val="1"/>
      <w:tblStyleColBandSize w:val="1"/>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pPr>
        <w:jc w:val="right"/>
      </w:pPr>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alendar1">
    <w:name w:val="Calendar1"/>
    <w:basedOn w:val="a1"/>
    <w:rPr>
      <w:sz w:val="22"/>
      <w:szCs w:val="22"/>
    </w:rPr>
    <w:tblPr>
      <w:tblStyleRowBandSize w:val="1"/>
      <w:tblStyleColBandSize w:val="1"/>
    </w:tblPr>
    <w:tblStylePr w:type="firstRow">
      <w:pPr>
        <w:spacing w:line="259" w:lineRule="auto"/>
      </w:pPr>
      <w:rPr>
        <w:b/>
        <w:i w:val="0"/>
        <w:color w:val="auto"/>
        <w:sz w:val="44"/>
        <w:szCs w:val="44"/>
      </w:rPr>
      <w:tblPr/>
      <w:tcPr>
        <w:vAlign w:val="bottom"/>
      </w:tcPr>
    </w:tblStylePr>
    <w:tblStylePr w:type="lastRow">
      <w:tblPr/>
      <w:tcPr>
        <w:tcBorders>
          <w:top w:val="nil"/>
          <w:left w:val="nil"/>
          <w:bottom w:val="nil"/>
          <w:right w:val="nil"/>
          <w:insideH w:val="nil"/>
          <w:insideV w:val="nil"/>
          <w:tl2br w:val="nil"/>
          <w:tr2bl w:val="nil"/>
        </w:tcBorders>
        <w:shd w:val="nil"/>
      </w:tcPr>
    </w:tblStylePr>
    <w:tblStylePr w:type="band1Horz">
      <w:tblPr/>
      <w:tcPr>
        <w:tcBorders>
          <w:top w:val="nil"/>
          <w:left w:val="nil"/>
          <w:bottom w:val="nil"/>
          <w:right w:val="nil"/>
          <w:insideH w:val="nil"/>
          <w:insideV w:val="nil"/>
          <w:tl2br w:val="nil"/>
          <w:tr2bl w:val="nil"/>
        </w:tcBorders>
        <w:shd w:val="nil"/>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nil"/>
      </w:tcPr>
    </w:tblStylePr>
  </w:style>
  <w:style w:type="paragraph" w:styleId="aa">
    <w:name w:val="header"/>
    <w:basedOn w:val="a"/>
    <w:link w:val="ab"/>
    <w:unhideWhenUsed/>
    <w:pPr>
      <w:pBdr>
        <w:bottom w:val="single" w:sz="6" w:space="1" w:color="000000"/>
      </w:pBdr>
      <w:tabs>
        <w:tab w:val="center" w:pos="4153"/>
        <w:tab w:val="right" w:pos="8306"/>
      </w:tabs>
      <w:snapToGrid w:val="0"/>
      <w:jc w:val="center"/>
    </w:pPr>
    <w:rPr>
      <w:sz w:val="18"/>
      <w:szCs w:val="18"/>
    </w:rPr>
  </w:style>
  <w:style w:type="character" w:customStyle="1" w:styleId="ab">
    <w:name w:val="页眉 字符"/>
    <w:basedOn w:val="a0"/>
    <w:link w:val="aa"/>
    <w:rPr>
      <w:sz w:val="18"/>
      <w:szCs w:val="18"/>
    </w:rPr>
  </w:style>
  <w:style w:type="paragraph" w:styleId="ac">
    <w:name w:val="footer"/>
    <w:basedOn w:val="a"/>
    <w:link w:val="ad"/>
    <w:uiPriority w:val="99"/>
    <w:unhideWhenUsed/>
    <w:pPr>
      <w:tabs>
        <w:tab w:val="center" w:pos="4153"/>
        <w:tab w:val="right" w:pos="8306"/>
      </w:tabs>
      <w:snapToGrid w:val="0"/>
    </w:pPr>
    <w:rPr>
      <w:sz w:val="18"/>
      <w:szCs w:val="18"/>
    </w:rPr>
  </w:style>
  <w:style w:type="character" w:customStyle="1" w:styleId="ad">
    <w:name w:val="页脚 字符"/>
    <w:basedOn w:val="a0"/>
    <w:link w:val="ac"/>
    <w:uiPriority w:val="99"/>
    <w:rPr>
      <w:sz w:val="18"/>
      <w:szCs w:val="18"/>
    </w:rPr>
  </w:style>
  <w:style w:type="character" w:customStyle="1" w:styleId="10">
    <w:name w:val="标题 1 字符"/>
    <w:basedOn w:val="a0"/>
    <w:link w:val="1"/>
    <w:rPr>
      <w:rFonts w:ascii="Malgun Gothic" w:eastAsia="Malgun Gothic" w:hAnsi="Malgun Gothic" w:cs="Malgun Gothic"/>
      <w:b/>
      <w:sz w:val="48"/>
      <w:szCs w:val="48"/>
      <w:lang w:eastAsia="ko-KR"/>
    </w:rPr>
  </w:style>
  <w:style w:type="character" w:customStyle="1" w:styleId="20">
    <w:name w:val="标题 2 字符"/>
    <w:basedOn w:val="a0"/>
    <w:link w:val="2"/>
    <w:rPr>
      <w:rFonts w:ascii="Malgun Gothic" w:eastAsia="Malgun Gothic" w:hAnsi="Malgun Gothic" w:cs="Malgun Gothic"/>
      <w:b/>
      <w:sz w:val="36"/>
      <w:szCs w:val="36"/>
      <w:lang w:eastAsia="ko-KR"/>
    </w:rPr>
  </w:style>
  <w:style w:type="character" w:customStyle="1" w:styleId="30">
    <w:name w:val="标题 3 字符"/>
    <w:basedOn w:val="a0"/>
    <w:link w:val="3"/>
    <w:rPr>
      <w:rFonts w:ascii="Malgun Gothic" w:eastAsia="Malgun Gothic" w:hAnsi="Malgun Gothic" w:cs="Malgun Gothic"/>
      <w:b/>
      <w:sz w:val="28"/>
      <w:szCs w:val="28"/>
      <w:lang w:eastAsia="ko-KR"/>
    </w:rPr>
  </w:style>
  <w:style w:type="character" w:customStyle="1" w:styleId="40">
    <w:name w:val="标题 4 字符"/>
    <w:basedOn w:val="a0"/>
    <w:link w:val="4"/>
    <w:rPr>
      <w:rFonts w:ascii="Malgun Gothic" w:eastAsia="Malgun Gothic" w:hAnsi="Malgun Gothic" w:cs="Malgun Gothic"/>
      <w:b/>
      <w:sz w:val="24"/>
      <w:szCs w:val="24"/>
      <w:lang w:eastAsia="ko-KR"/>
    </w:rPr>
  </w:style>
  <w:style w:type="character" w:customStyle="1" w:styleId="50">
    <w:name w:val="标题 5 字符"/>
    <w:basedOn w:val="a0"/>
    <w:link w:val="5"/>
    <w:rPr>
      <w:rFonts w:ascii="Malgun Gothic" w:eastAsia="Malgun Gothic" w:hAnsi="Malgun Gothic" w:cs="Malgun Gothic"/>
      <w:b/>
      <w:sz w:val="22"/>
      <w:szCs w:val="22"/>
      <w:lang w:eastAsia="ko-KR"/>
    </w:rPr>
  </w:style>
  <w:style w:type="character" w:customStyle="1" w:styleId="60">
    <w:name w:val="标题 6 字符"/>
    <w:basedOn w:val="a0"/>
    <w:link w:val="6"/>
    <w:rPr>
      <w:rFonts w:ascii="Malgun Gothic" w:eastAsia="Malgun Gothic" w:hAnsi="Malgun Gothic" w:cs="Malgun Gothic"/>
      <w:b/>
      <w:lang w:eastAsia="ko-KR"/>
    </w:rPr>
  </w:style>
  <w:style w:type="table" w:customStyle="1" w:styleId="TableNormal">
    <w:name w:val="Table Normal"/>
    <w:pPr>
      <w:spacing w:after="160" w:line="259" w:lineRule="auto"/>
      <w:jc w:val="both"/>
    </w:pPr>
    <w:rPr>
      <w:rFonts w:ascii="Malgun Gothic" w:eastAsia="Malgun Gothic" w:hAnsi="Malgun Gothic" w:cs="Malgun Gothic"/>
      <w:lang w:eastAsia="ko-KR"/>
    </w:rPr>
    <w:tblPr>
      <w:tblCellMar>
        <w:top w:w="0" w:type="dxa"/>
        <w:left w:w="0" w:type="dxa"/>
        <w:bottom w:w="0" w:type="dxa"/>
        <w:right w:w="0" w:type="dxa"/>
      </w:tblCellMar>
    </w:tblPr>
  </w:style>
  <w:style w:type="character" w:customStyle="1" w:styleId="a4">
    <w:name w:val="标题 字符"/>
    <w:basedOn w:val="a0"/>
    <w:link w:val="a3"/>
    <w:rPr>
      <w:rFonts w:ascii="Malgun Gothic" w:eastAsia="Malgun Gothic" w:hAnsi="Malgun Gothic" w:cs="Malgun Gothic"/>
      <w:b/>
      <w:sz w:val="72"/>
      <w:szCs w:val="72"/>
      <w:lang w:eastAsia="ko-KR"/>
    </w:rPr>
  </w:style>
  <w:style w:type="paragraph" w:styleId="ae">
    <w:name w:val="Normal (Web)"/>
    <w:basedOn w:val="a"/>
    <w:unhideWhenUsed/>
    <w:pPr>
      <w:spacing w:before="100" w:beforeAutospacing="1" w:after="100" w:afterAutospacing="1"/>
    </w:pPr>
    <w:rPr>
      <w:rFonts w:ascii="Gulim" w:eastAsia="Gulim" w:hAnsi="Gulim" w:cs="Gulim"/>
      <w:lang w:eastAsia="ko-KR"/>
    </w:rPr>
  </w:style>
  <w:style w:type="paragraph" w:styleId="af">
    <w:name w:val="Balloon Text"/>
    <w:basedOn w:val="a"/>
    <w:link w:val="af0"/>
    <w:unhideWhenUsed/>
    <w:pPr>
      <w:wordWrap w:val="0"/>
      <w:autoSpaceDE w:val="0"/>
      <w:autoSpaceDN w:val="0"/>
      <w:jc w:val="both"/>
    </w:pPr>
    <w:rPr>
      <w:rFonts w:asciiTheme="majorHAnsi" w:eastAsiaTheme="majorEastAsia" w:hAnsiTheme="majorHAnsi" w:cstheme="majorBidi"/>
      <w:sz w:val="18"/>
      <w:szCs w:val="18"/>
      <w:lang w:eastAsia="ko-KR"/>
    </w:rPr>
  </w:style>
  <w:style w:type="character" w:customStyle="1" w:styleId="af0">
    <w:name w:val="批注框文本 字符"/>
    <w:basedOn w:val="a0"/>
    <w:link w:val="af"/>
    <w:rPr>
      <w:rFonts w:asciiTheme="majorHAnsi" w:eastAsiaTheme="majorEastAsia" w:hAnsiTheme="majorHAnsi" w:cstheme="majorBidi"/>
      <w:sz w:val="18"/>
      <w:szCs w:val="18"/>
      <w:lang w:eastAsia="ko-KR"/>
    </w:rPr>
  </w:style>
  <w:style w:type="character" w:styleId="af1">
    <w:name w:val="annotation reference"/>
    <w:basedOn w:val="a0"/>
    <w:semiHidden/>
    <w:unhideWhenUsed/>
    <w:rPr>
      <w:sz w:val="18"/>
      <w:szCs w:val="18"/>
    </w:rPr>
  </w:style>
  <w:style w:type="paragraph" w:styleId="af2">
    <w:name w:val="annotation text"/>
    <w:basedOn w:val="a"/>
    <w:link w:val="af3"/>
    <w:semiHidden/>
    <w:unhideWhenUsed/>
    <w:pPr>
      <w:wordWrap w:val="0"/>
      <w:autoSpaceDE w:val="0"/>
      <w:autoSpaceDN w:val="0"/>
      <w:spacing w:after="160" w:line="259" w:lineRule="auto"/>
    </w:pPr>
    <w:rPr>
      <w:rFonts w:ascii="Malgun Gothic" w:eastAsia="Malgun Gothic" w:hAnsi="Malgun Gothic" w:cs="Malgun Gothic"/>
      <w:sz w:val="20"/>
      <w:szCs w:val="20"/>
      <w:lang w:eastAsia="ko-KR"/>
    </w:rPr>
  </w:style>
  <w:style w:type="character" w:customStyle="1" w:styleId="af3">
    <w:name w:val="批注文字 字符"/>
    <w:basedOn w:val="a0"/>
    <w:link w:val="af2"/>
    <w:semiHidden/>
    <w:rPr>
      <w:rFonts w:ascii="Malgun Gothic" w:eastAsia="Malgun Gothic" w:hAnsi="Malgun Gothic" w:cs="Malgun Gothic"/>
      <w:lang w:eastAsia="ko-KR"/>
    </w:rPr>
  </w:style>
  <w:style w:type="paragraph" w:styleId="af4">
    <w:name w:val="annotation subject"/>
    <w:basedOn w:val="af2"/>
    <w:next w:val="af2"/>
    <w:link w:val="af5"/>
    <w:semiHidden/>
    <w:unhideWhenUsed/>
    <w:rPr>
      <w:b/>
    </w:rPr>
  </w:style>
  <w:style w:type="character" w:customStyle="1" w:styleId="af5">
    <w:name w:val="批注主题 字符"/>
    <w:basedOn w:val="af3"/>
    <w:link w:val="af4"/>
    <w:semiHidden/>
    <w:rPr>
      <w:rFonts w:ascii="Malgun Gothic" w:eastAsia="Malgun Gothic" w:hAnsi="Malgun Gothic" w:cs="Malgun Gothic"/>
      <w:b/>
      <w:lang w:eastAsia="ko-KR"/>
    </w:rPr>
  </w:style>
  <w:style w:type="character" w:customStyle="1" w:styleId="a6">
    <w:name w:val="副标题 字符"/>
    <w:basedOn w:val="a0"/>
    <w:link w:val="a5"/>
    <w:rPr>
      <w:rFonts w:ascii="Georgia" w:eastAsia="Georgia" w:hAnsi="Georgia" w:cs="Georgia"/>
      <w:i/>
      <w:color w:val="666666"/>
      <w:sz w:val="48"/>
      <w:szCs w:val="48"/>
      <w:lang w:eastAsia="ko-KR"/>
    </w:rPr>
  </w:style>
  <w:style w:type="paragraph" w:styleId="af6">
    <w:name w:val="Revision"/>
    <w:uiPriority w:val="99"/>
    <w:semiHidden/>
    <w:rPr>
      <w:sz w:val="24"/>
      <w:szCs w:val="24"/>
    </w:rPr>
  </w:style>
  <w:style w:type="character" w:styleId="af7">
    <w:name w:val="Hyperlink"/>
    <w:basedOn w:val="a0"/>
    <w:uiPriority w:val="99"/>
    <w:unhideWhenUsed/>
    <w:rsid w:val="00F21862"/>
    <w:rPr>
      <w:color w:val="0000FF" w:themeColor="hyperlink"/>
      <w:u w:val="single"/>
    </w:rPr>
  </w:style>
  <w:style w:type="character" w:styleId="af8">
    <w:name w:val="Unresolved Mention"/>
    <w:basedOn w:val="a0"/>
    <w:uiPriority w:val="99"/>
    <w:semiHidden/>
    <w:unhideWhenUsed/>
    <w:rsid w:val="00F21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pplewebdata://85A75A59-D49B-4888-AA26-9821F2583BF9" TargetMode="External"/><Relationship Id="rId18" Type="http://schemas.openxmlformats.org/officeDocument/2006/relationships/hyperlink" Target="applewebdata://85A75A59-D49B-4888-AA26-9821F2583BF9" TargetMode="External"/><Relationship Id="rId26" Type="http://schemas.openxmlformats.org/officeDocument/2006/relationships/image" Target="media/image3.png"/><Relationship Id="rId21" Type="http://schemas.openxmlformats.org/officeDocument/2006/relationships/hyperlink" Target="applewebdata://0CA13695-36B1-40F7-B568-29849D9C8658" TargetMode="External"/><Relationship Id="rId34" Type="http://schemas.openxmlformats.org/officeDocument/2006/relationships/image" Target="media/image4.png"/><Relationship Id="rId7" Type="http://schemas.openxmlformats.org/officeDocument/2006/relationships/header" Target="header1.xml"/><Relationship Id="rId12" Type="http://schemas.openxmlformats.org/officeDocument/2006/relationships/hyperlink" Target="applewebdata://85A75A59-D49B-4888-AA26-9821F2583BF9" TargetMode="External"/><Relationship Id="rId17" Type="http://schemas.openxmlformats.org/officeDocument/2006/relationships/hyperlink" Target="applewebdata://85A75A59-D49B-4888-AA26-9821F2583BF9" TargetMode="External"/><Relationship Id="rId25" Type="http://schemas.openxmlformats.org/officeDocument/2006/relationships/image" Target="media/image2.png"/><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pplewebdata://85A75A59-D49B-4888-AA26-9821F2583BF9" TargetMode="External"/><Relationship Id="rId20" Type="http://schemas.openxmlformats.org/officeDocument/2006/relationships/hyperlink" Target="applewebdata://0CA13695-36B1-40F7-B568-29849D9C8658"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pplewebdata://85A75A59-D49B-4888-AA26-9821F2583BF9" TargetMode="External"/><Relationship Id="rId24" Type="http://schemas.openxmlformats.org/officeDocument/2006/relationships/image" Target="media/image1.png"/><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pplewebdata://85A75A59-D49B-4888-AA26-9821F2583BF9" TargetMode="External"/><Relationship Id="rId23" Type="http://schemas.openxmlformats.org/officeDocument/2006/relationships/hyperlink" Target="applewebdata://0CA13695-36B1-40F7-B568-29849D9C8658" TargetMode="External"/><Relationship Id="rId28" Type="http://schemas.openxmlformats.org/officeDocument/2006/relationships/footer" Target="footer3.xml"/><Relationship Id="rId36" Type="http://schemas.openxmlformats.org/officeDocument/2006/relationships/footer" Target="footer4.xml"/><Relationship Id="rId10" Type="http://schemas.openxmlformats.org/officeDocument/2006/relationships/hyperlink" Target="applewebdata://85A75A59-D49B-4888-AA26-9821F2583BF9" TargetMode="External"/><Relationship Id="rId19" Type="http://schemas.openxmlformats.org/officeDocument/2006/relationships/hyperlink" Target="applewebdata://85A75A59-D49B-4888-AA26-9821F2583BF9"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wjgnet.com/1007-9327/full/v28/i30/4182.htm" TargetMode="External"/><Relationship Id="rId14" Type="http://schemas.openxmlformats.org/officeDocument/2006/relationships/hyperlink" Target="applewebdata://85A75A59-D49B-4888-AA26-9821F2583BF9" TargetMode="External"/><Relationship Id="rId22" Type="http://schemas.openxmlformats.org/officeDocument/2006/relationships/hyperlink" Target="applewebdata://0CA13695-36B1-40F7-B568-29849D9C8658" TargetMode="External"/><Relationship Id="rId27" Type="http://schemas.openxmlformats.org/officeDocument/2006/relationships/footer" Target="footer2.xml"/><Relationship Id="rId30" Type="http://schemas.openxmlformats.org/officeDocument/2006/relationships/header" Target="header3.xml"/><Relationship Id="rId35" Type="http://schemas.openxmlformats.org/officeDocument/2006/relationships/image" Target="media/image5.png"/><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25AB-3738-4571-9CA3-F5FFD8A1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52</Pages>
  <Words>10675</Words>
  <Characters>60852</Characters>
  <Application>Microsoft Office Word</Application>
  <DocSecurity>0</DocSecurity>
  <Lines>507</Lines>
  <Paragraphs>142</Paragraphs>
  <MMClips>0</MMClip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Title text</vt:lpstr>
    </vt:vector>
  </TitlesOfParts>
  <Company/>
  <LinksUpToDate>false</LinksUpToDate>
  <CharactersWithSpaces>71385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정숙향</dc:creator>
  <cp:lastModifiedBy>Li Jia-Hui</cp:lastModifiedBy>
  <cp:revision>13</cp:revision>
  <dcterms:created xsi:type="dcterms:W3CDTF">2022-07-16T04:30:00Z</dcterms:created>
  <dcterms:modified xsi:type="dcterms:W3CDTF">2022-08-09T09:08:00Z</dcterms:modified>
  <cp:version>9.103.112.46022</cp:version>
</cp:coreProperties>
</file>