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76415</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Misdiagnosis of pancreatic metastasis from renal cell carcinoma: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Liang </w:t>
      </w:r>
      <w:r>
        <w:rPr>
          <w:rFonts w:ascii="Book Antiqua" w:hAnsi="Book Antiqua" w:cs="Book Antiqua"/>
          <w:color w:val="000000"/>
          <w:lang w:eastAsia="zh-CN"/>
        </w:rPr>
        <w:t xml:space="preserve">XK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Misdiagnosed pancreatic metastases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Xuan</w:t>
      </w:r>
      <w:r>
        <w:rPr>
          <w:rFonts w:ascii="Book Antiqua" w:hAnsi="Book Antiqua" w:cs="Book Antiqua"/>
          <w:color w:val="000000"/>
          <w:lang w:eastAsia="zh-CN"/>
        </w:rPr>
        <w:t>-K</w:t>
      </w:r>
      <w:r>
        <w:rPr>
          <w:rFonts w:ascii="Book Antiqua" w:hAnsi="Book Antiqua" w:eastAsia="Book Antiqua" w:cs="Book Antiqua"/>
          <w:color w:val="000000"/>
        </w:rPr>
        <w:t>un Liang, Lu</w:t>
      </w:r>
      <w:r>
        <w:rPr>
          <w:rFonts w:ascii="Book Antiqua" w:hAnsi="Book Antiqua" w:cs="Book Antiqua"/>
          <w:color w:val="000000"/>
          <w:lang w:eastAsia="zh-CN"/>
        </w:rPr>
        <w:t>-J</w:t>
      </w:r>
      <w:r>
        <w:rPr>
          <w:rFonts w:ascii="Book Antiqua" w:hAnsi="Book Antiqua" w:eastAsia="Book Antiqua" w:cs="Book Antiqua"/>
          <w:color w:val="000000"/>
        </w:rPr>
        <w:t>ing Li, Ye</w:t>
      </w:r>
      <w:r>
        <w:rPr>
          <w:rFonts w:ascii="Book Antiqua" w:hAnsi="Book Antiqua" w:cs="Book Antiqua"/>
          <w:color w:val="000000"/>
          <w:lang w:eastAsia="zh-CN"/>
        </w:rPr>
        <w:t>-M</w:t>
      </w:r>
      <w:r>
        <w:rPr>
          <w:rFonts w:ascii="Book Antiqua" w:hAnsi="Book Antiqua" w:eastAsia="Book Antiqua" w:cs="Book Antiqua"/>
          <w:color w:val="000000"/>
        </w:rPr>
        <w:t>ei He, Zuo</w:t>
      </w:r>
      <w:r>
        <w:rPr>
          <w:rFonts w:ascii="Book Antiqua" w:hAnsi="Book Antiqua" w:cs="Book Antiqua"/>
          <w:color w:val="000000"/>
          <w:lang w:eastAsia="zh-CN"/>
        </w:rPr>
        <w:t>-F</w:t>
      </w:r>
      <w:r>
        <w:rPr>
          <w:rFonts w:ascii="Book Antiqua" w:hAnsi="Book Antiqua" w:eastAsia="Book Antiqua" w:cs="Book Antiqua"/>
          <w:color w:val="000000"/>
        </w:rPr>
        <w:t>eng Xu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Xuan-Kun Liang, Lu-Jing Li, Ye-Mei He, Zuo-Feng Xu, </w:t>
      </w:r>
      <w:r>
        <w:rPr>
          <w:rFonts w:ascii="Book Antiqua" w:hAnsi="Book Antiqua" w:eastAsia="Book Antiqua" w:cs="Book Antiqua"/>
          <w:color w:val="000000"/>
        </w:rPr>
        <w:t>Department of Medical Ultrasonics, The Seventh Affiliated Hospital of Sun Yat-sen University, Shenzhen 518107,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Liang </w:t>
      </w:r>
      <w:r>
        <w:rPr>
          <w:rFonts w:ascii="Book Antiqua" w:hAnsi="Book Antiqua" w:cs="Book Antiqua"/>
          <w:color w:val="000000"/>
          <w:lang w:eastAsia="zh-CN"/>
        </w:rPr>
        <w:t xml:space="preserve">XK </w:t>
      </w:r>
      <w:r>
        <w:rPr>
          <w:rFonts w:ascii="Book Antiqua" w:hAnsi="Book Antiqua" w:eastAsia="Book Antiqua" w:cs="Book Antiqua"/>
          <w:color w:val="000000"/>
        </w:rPr>
        <w:t xml:space="preserve">investigated all the clinical data of the patient, reviewed the literature and contributed to manuscript drafting; Li </w:t>
      </w:r>
      <w:r>
        <w:rPr>
          <w:rFonts w:ascii="Book Antiqua" w:hAnsi="Book Antiqua" w:cs="Book Antiqua"/>
          <w:color w:val="000000"/>
          <w:lang w:eastAsia="zh-CN"/>
        </w:rPr>
        <w:t xml:space="preserve">LJ </w:t>
      </w:r>
      <w:r>
        <w:rPr>
          <w:rFonts w:ascii="Book Antiqua" w:hAnsi="Book Antiqua" w:eastAsia="Book Antiqua" w:cs="Book Antiqua"/>
          <w:color w:val="000000"/>
        </w:rPr>
        <w:t xml:space="preserve">performed the microbiological analyses and interpretation and contributed to manuscript drafting; He </w:t>
      </w:r>
      <w:r>
        <w:rPr>
          <w:rFonts w:ascii="Book Antiqua" w:hAnsi="Book Antiqua" w:cs="Book Antiqua"/>
          <w:color w:val="000000"/>
          <w:lang w:eastAsia="zh-CN"/>
        </w:rPr>
        <w:t xml:space="preserve">YM </w:t>
      </w:r>
      <w:r>
        <w:rPr>
          <w:rFonts w:ascii="Book Antiqua" w:hAnsi="Book Antiqua" w:eastAsia="Book Antiqua" w:cs="Book Antiqua"/>
          <w:color w:val="000000"/>
        </w:rPr>
        <w:t xml:space="preserve">analyzed and interpreted the imaging findings; Xu </w:t>
      </w:r>
      <w:r>
        <w:rPr>
          <w:rFonts w:ascii="Book Antiqua" w:hAnsi="Book Antiqua" w:cs="Book Antiqua"/>
          <w:color w:val="000000"/>
          <w:lang w:eastAsia="zh-CN"/>
        </w:rPr>
        <w:t xml:space="preserve">ZF </w:t>
      </w:r>
      <w:r>
        <w:rPr>
          <w:rFonts w:ascii="Book Antiqua" w:hAnsi="Book Antiqua" w:eastAsia="Book Antiqua" w:cs="Book Antiqua"/>
          <w:color w:val="000000"/>
        </w:rPr>
        <w:t>was responsible for EUS and biopsy, and was responsible for the revision of the manuscript for important intellectual content;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t>
      </w:r>
      <w:r>
        <w:rPr>
          <w:rFonts w:ascii="Book Antiqua" w:hAnsi="Book Antiqua" w:eastAsia="Book Antiqua" w:cs="Book Antiqua"/>
          <w:b/>
          <w:color w:val="000000"/>
        </w:rPr>
        <w:t>Zuo</w:t>
      </w:r>
      <w:r>
        <w:rPr>
          <w:rFonts w:ascii="Book Antiqua" w:hAnsi="Book Antiqua" w:cs="Book Antiqua"/>
          <w:b/>
          <w:color w:val="000000"/>
          <w:lang w:eastAsia="zh-CN"/>
        </w:rPr>
        <w:t>-F</w:t>
      </w:r>
      <w:r>
        <w:rPr>
          <w:rFonts w:ascii="Book Antiqua" w:hAnsi="Book Antiqua" w:eastAsia="Book Antiqua" w:cs="Book Antiqua"/>
          <w:b/>
          <w:color w:val="000000"/>
        </w:rPr>
        <w:t>eng Xu</w:t>
      </w:r>
      <w:r>
        <w:rPr>
          <w:rFonts w:ascii="Book Antiqua" w:hAnsi="Book Antiqua" w:eastAsia="Book Antiqua" w:cs="Book Antiqua"/>
          <w:b/>
          <w:bCs/>
          <w:color w:val="000000"/>
        </w:rPr>
        <w:t xml:space="preserve">, PhD, Chief Physician, </w:t>
      </w:r>
      <w:r>
        <w:rPr>
          <w:rFonts w:ascii="Book Antiqua" w:hAnsi="Book Antiqua" w:eastAsia="Book Antiqua" w:cs="Book Antiqua"/>
          <w:color w:val="000000"/>
        </w:rPr>
        <w:t>Department of Medical Ultrasonics, The Seventh Affiliated Hospital of Sun Yat-sen University, No.</w:t>
      </w:r>
      <w:r>
        <w:rPr>
          <w:rFonts w:ascii="Book Antiqua" w:hAnsi="Book Antiqua" w:cs="Book Antiqua"/>
          <w:color w:val="000000"/>
          <w:lang w:eastAsia="zh-CN"/>
        </w:rPr>
        <w:t xml:space="preserve"> </w:t>
      </w:r>
      <w:r>
        <w:rPr>
          <w:rFonts w:ascii="Book Antiqua" w:hAnsi="Book Antiqua" w:eastAsia="Book Antiqua" w:cs="Book Antiqua"/>
          <w:color w:val="000000"/>
        </w:rPr>
        <w:t>628 Zhenyuan R</w:t>
      </w:r>
      <w:r>
        <w:rPr>
          <w:rFonts w:ascii="Book Antiqua" w:hAnsi="Book Antiqua" w:cs="Book Antiqua"/>
          <w:color w:val="000000"/>
          <w:lang w:eastAsia="zh-CN"/>
        </w:rPr>
        <w:t>oa</w:t>
      </w:r>
      <w:r>
        <w:rPr>
          <w:rFonts w:ascii="Book Antiqua" w:hAnsi="Book Antiqua" w:eastAsia="Book Antiqua" w:cs="Book Antiqua"/>
          <w:color w:val="000000"/>
        </w:rPr>
        <w:t>d, Guangming District, Shenzhen 518107, Guangdong Province, China. xuzuofeng77@aliyun.com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16,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Ju</w:t>
      </w:r>
      <w:r>
        <w:rPr>
          <w:rFonts w:ascii="Book Antiqua" w:hAnsi="Book Antiqua" w:cs="Book Antiqua"/>
          <w:bCs/>
          <w:color w:val="000000"/>
          <w:lang w:eastAsia="zh-CN"/>
        </w:rPr>
        <w:t>ne</w:t>
      </w:r>
      <w:r>
        <w:rPr>
          <w:rFonts w:ascii="Book Antiqua" w:hAnsi="Book Antiqua" w:eastAsia="Book Antiqua" w:cs="Book Antiqua"/>
          <w:bCs/>
          <w:color w:val="000000"/>
        </w:rPr>
        <w:t xml:space="preserve"> 13, 2022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July 21, 2022</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cs="Book Antiqua"/>
          <w:bCs/>
          <w:lang w:eastAsia="zh-CN"/>
        </w:rPr>
        <w:t>September 6, 2022</w:t>
      </w:r>
      <w:r>
        <w:rPr>
          <w:rFonts w:ascii="Book Antiqua" w:hAnsi="Book Antiqua" w:eastAsia="Book Antiqua" w:cs="Book Antiqua"/>
          <w:b/>
          <w:bCs/>
          <w:color w:val="000000"/>
        </w:rPr>
        <w:t xml:space="preserve"> </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Pancreatic metastases account for only a small proportion of all pancreatic malignancies. Isolated pancreatic metastasis from renal cell cancer (isPM-RCC) is extremely rare and may be difficult to differentiate from more common primary neoplasms. A history of nephrectomy is crucial for the diagnosis.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report the case of a 64-year-old Asian man who was diagnosed with a mass in the pancreatic head using computed tomography. He had no related symptoms, and his medical history was unremarkable, except for unilateral nephrectomy performed to remove a “benign” tumor 19 years ago. All preoperative imaging findings suggested a diagnosis of pancreatic neuroendocrine tumor. However, ultrasound-guided biopsy revealed features of clear cell renal cell carcinoma (ccRCC). Re-examination of the specimen resected 19 years ago confirmed that he had a ccRCC. The pancreatic mass was resected and pathological examination confirmed isPM-RCC.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Misdiagnosis of isPM-RCC is common because of its rarity and the long interval from resection of the primary tumor and manifestation of the metastasis. The history of the previous surgery may be the only clue.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Renal cell carcinoma; Pancreatic neuroendocrine tumor; Pancreatic metastases;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Liang XK, Li </w:t>
      </w:r>
      <w:r>
        <w:rPr>
          <w:rFonts w:ascii="Book Antiqua" w:hAnsi="Book Antiqua" w:cs="Book Antiqua"/>
          <w:color w:val="000000"/>
          <w:lang w:eastAsia="zh-CN"/>
        </w:rPr>
        <w:t>LJ</w:t>
      </w:r>
      <w:r>
        <w:rPr>
          <w:rFonts w:ascii="Book Antiqua" w:hAnsi="Book Antiqua" w:eastAsia="Book Antiqua" w:cs="Book Antiqua"/>
          <w:color w:val="000000"/>
        </w:rPr>
        <w:t xml:space="preserve">, He YM, Xu ZF. Misdiagnosis of pancreatic metastasis from renal cell carcinoma: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9012-9019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9012</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9012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Pancreatic metastases derived from clear cell renal cell carcinoma are rare and can be maintained for a long time and progress until years later. It is easily confused with hypervascular tumors, such as pancreatic neuroendocrine tumors (pNET). We present a case of a pancreatic mass that had undergone nephrectomy 19 years ago. Due to the lack of medical records, the clinical and imaging findings were misdiagnosed as pNET due to a false medical history. Preoperative biopsy was performed prudently, resulting in a renal-derived tumor, consistent with the findings of the pathological section obtained from the previous surgery hospital. This case highlights the importance of accurate clinical data, especially with a history of surgery, even a long time ago.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Renal cell carcinoma (RCC) is an aggressive tumor, and metastasis to the pancreas accounts for only 2%–5% of all metastases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w:t>
      </w:r>
      <w:r>
        <w:rPr>
          <w:rFonts w:ascii="Book Antiqua" w:hAnsi="Book Antiqua" w:eastAsia="Book Antiqua" w:cs="Book Antiqua"/>
          <w:color w:val="000000"/>
        </w:rPr>
        <w:t>. Isolated pancreatic metastasis from RCC (isPM-RCC) is rare and unique</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eastAsia="Book Antiqua" w:cs="Book Antiqua"/>
          <w:color w:val="000000"/>
        </w:rPr>
        <w:t>. The biological characteristics of the disease are completely different from those of metastases from sarcomas or colorectal carcinoma: the disease-free period can be very long (mean, 10.1 years), the localization within the pancreas is independent of the nephrectomy side, and the overall survival (OS) is optimistic, regardless of the number and size of isPM</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3,4]</w:t>
      </w:r>
      <w:r>
        <w:rPr>
          <w:rFonts w:ascii="Book Antiqua" w:hAnsi="Book Antiqua" w:eastAsia="Book Antiqua" w:cs="Book Antiqua"/>
          <w:color w:val="000000"/>
        </w:rPr>
        <w:t>. The long period of slow tumor growth or quiescence often leads to the lesion being mistaken for the more common primary tumor</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5]</w:t>
      </w:r>
      <w:r>
        <w:rPr>
          <w:rFonts w:ascii="Book Antiqua" w:hAnsi="Book Antiqua" w:eastAsia="Book Antiqua" w:cs="Book Antiqua"/>
          <w:color w:val="000000"/>
        </w:rPr>
        <w:t>. A history of nephrectomy may be the only indication for an actual diagnosis.</w:t>
      </w:r>
      <w:r>
        <w:rPr>
          <w:rFonts w:ascii="Book Antiqua" w:hAnsi="Book Antiqua"/>
          <w:lang w:eastAsia="zh-CN"/>
        </w:rPr>
        <w:t xml:space="preserve"> </w:t>
      </w:r>
      <w:r>
        <w:rPr>
          <w:rFonts w:ascii="Book Antiqua" w:hAnsi="Book Antiqua" w:eastAsia="Book Antiqua" w:cs="Book Antiqua"/>
          <w:color w:val="000000"/>
        </w:rPr>
        <w:t>We report the case of a patient with isPM-RCC that was initially misdiagnosed as a primary neuroendocrine tumor (pNET). Endoscopic ultrasound-guided needle biopsy helped establish the diagnosis.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64-year-old man was referred to our hospital after computed tomography (CT) revealed a pancreatic mass.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There was no associated symptoms.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nephrectomy performed for a “benign” tumor 19 years ago at another hospital, without any relevant paper information. The patient had no other relevant personal or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There was no associated personal and family history.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Upon examination, the patient’s temperature was 36.5 °C, heart rate was 87 bpm, respiratory rate was 16 breaths/min, blood pressure was 145/88 mmHg, and oxygen saturation in room air was 99%. The abdomen was soft with no tenderness or palpable masses. An old surgical scar was observed in the left flank region.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Blood glucose levels and liver function test results were normal. Other blood investigation results were as follows: </w:t>
      </w:r>
      <w:r>
        <w:rPr>
          <w:rFonts w:ascii="Book Antiqua" w:hAnsi="Book Antiqua" w:cs="Book Antiqua"/>
          <w:color w:val="000000"/>
          <w:lang w:eastAsia="zh-CN"/>
        </w:rPr>
        <w:t>S</w:t>
      </w:r>
      <w:r>
        <w:rPr>
          <w:rFonts w:ascii="Book Antiqua" w:hAnsi="Book Antiqua" w:eastAsia="Book Antiqua" w:cs="Book Antiqua"/>
          <w:color w:val="000000"/>
        </w:rPr>
        <w:t>erum hepatitis B surface antigen, 1794.61 IU/mL (&lt;</w:t>
      </w:r>
      <w:r>
        <w:rPr>
          <w:rFonts w:ascii="Book Antiqua" w:hAnsi="Book Antiqua" w:cs="Book Antiqua"/>
          <w:color w:val="000000"/>
          <w:lang w:eastAsia="zh-CN"/>
        </w:rPr>
        <w:t xml:space="preserve"> </w:t>
      </w:r>
      <w:r>
        <w:rPr>
          <w:rFonts w:ascii="Book Antiqua" w:hAnsi="Book Antiqua" w:eastAsia="Book Antiqua" w:cs="Book Antiqua"/>
          <w:color w:val="000000"/>
        </w:rPr>
        <w:t>0.05 IU/mL); hepatitis B virus deoxyribonucleic acid, 2.23 (&lt;</w:t>
      </w:r>
      <w:r>
        <w:rPr>
          <w:rFonts w:ascii="Book Antiqua" w:hAnsi="Book Antiqua" w:cs="Book Antiqua"/>
          <w:color w:val="000000"/>
          <w:lang w:eastAsia="zh-CN"/>
        </w:rPr>
        <w:t xml:space="preserve"> </w:t>
      </w:r>
      <w:r>
        <w:rPr>
          <w:rFonts w:ascii="Book Antiqua" w:hAnsi="Book Antiqua" w:eastAsia="Book Antiqua" w:cs="Book Antiqua"/>
          <w:color w:val="000000"/>
        </w:rPr>
        <w:t>1.0E</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03); serum alpha-fetoprotein, 3.12 ng/mL (&lt;</w:t>
      </w:r>
      <w:r>
        <w:rPr>
          <w:rFonts w:ascii="Book Antiqua" w:hAnsi="Book Antiqua" w:cs="Book Antiqua"/>
          <w:color w:val="000000"/>
          <w:lang w:eastAsia="zh-CN"/>
        </w:rPr>
        <w:t xml:space="preserve"> </w:t>
      </w:r>
      <w:r>
        <w:rPr>
          <w:rFonts w:ascii="Book Antiqua" w:hAnsi="Book Antiqua" w:eastAsia="Book Antiqua" w:cs="Book Antiqua"/>
          <w:color w:val="000000"/>
        </w:rPr>
        <w:t>20 ng/mL); carcinoembryonic antigen (CEA), 1.45 ng/mL (&lt;</w:t>
      </w:r>
      <w:r>
        <w:rPr>
          <w:rFonts w:ascii="Book Antiqua" w:hAnsi="Book Antiqua" w:cs="Book Antiqua"/>
          <w:color w:val="000000"/>
          <w:lang w:eastAsia="zh-CN"/>
        </w:rPr>
        <w:t xml:space="preserve"> </w:t>
      </w:r>
      <w:r>
        <w:rPr>
          <w:rFonts w:ascii="Book Antiqua" w:hAnsi="Book Antiqua" w:eastAsia="Book Antiqua" w:cs="Book Antiqua"/>
          <w:color w:val="000000"/>
        </w:rPr>
        <w:t>5 ng/mL); carbohydrate antigen (CA) 12–5, 18.79 U/mL (&lt;</w:t>
      </w:r>
      <w:r>
        <w:rPr>
          <w:rFonts w:ascii="Book Antiqua" w:hAnsi="Book Antiqua" w:cs="Book Antiqua"/>
          <w:color w:val="000000"/>
          <w:lang w:eastAsia="zh-CN"/>
        </w:rPr>
        <w:t xml:space="preserve"> </w:t>
      </w:r>
      <w:r>
        <w:rPr>
          <w:rFonts w:ascii="Book Antiqua" w:hAnsi="Book Antiqua" w:eastAsia="Book Antiqua" w:cs="Book Antiqua"/>
          <w:color w:val="000000"/>
        </w:rPr>
        <w:t>35 U/mL); CA 19–9, 16.87 (&lt;</w:t>
      </w:r>
      <w:r>
        <w:rPr>
          <w:rFonts w:ascii="Book Antiqua" w:hAnsi="Book Antiqua" w:cs="Book Antiqua"/>
          <w:color w:val="000000"/>
          <w:lang w:eastAsia="zh-CN"/>
        </w:rPr>
        <w:t xml:space="preserve"> </w:t>
      </w:r>
      <w:r>
        <w:rPr>
          <w:rFonts w:ascii="Book Antiqua" w:hAnsi="Book Antiqua" w:eastAsia="Book Antiqua" w:cs="Book Antiqua"/>
          <w:color w:val="000000"/>
        </w:rPr>
        <w:t>39 U/mL); and squamous cell carcinoma antigen, 0.84 ng/mL (&lt;</w:t>
      </w:r>
      <w:r>
        <w:rPr>
          <w:rFonts w:ascii="Book Antiqua" w:hAnsi="Book Antiqua" w:cs="Book Antiqua"/>
          <w:color w:val="000000"/>
          <w:lang w:eastAsia="zh-CN"/>
        </w:rPr>
        <w:t xml:space="preserve"> </w:t>
      </w:r>
      <w:r>
        <w:rPr>
          <w:rFonts w:ascii="Book Antiqua" w:hAnsi="Book Antiqua" w:eastAsia="Book Antiqua" w:cs="Book Antiqua"/>
          <w:color w:val="000000"/>
        </w:rPr>
        <w:t>1.5 ng/mL).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Conventional ultrasonography (Figure 1) revealed a well-defined hypoechoic mass with increased blood flow in the pancreas head. Contrast-enhanced ultrasound (CEUS) showed rapid inhomogeneous enhancement of the mass 17 s after injection of contrast; there was no significant washout in the venous phase. A small area of necrosis was observed at the center of the tumor. The CEUS findings were consistent with a pNET.</w:t>
      </w:r>
      <w:r>
        <w:rPr>
          <w:rFonts w:ascii="Book Antiqua" w:hAnsi="Book Antiqua"/>
          <w:lang w:eastAsia="zh-CN"/>
        </w:rPr>
        <w:t xml:space="preserve"> </w:t>
      </w:r>
      <w:r>
        <w:rPr>
          <w:rFonts w:ascii="Book Antiqua" w:hAnsi="Book Antiqua" w:eastAsia="Book Antiqua" w:cs="Book Antiqua"/>
          <w:color w:val="000000"/>
        </w:rPr>
        <w:t xml:space="preserve">Contrast-enhanced CT (Figure 2) showed a lobulated low-density mass, with the diameter of 6.1 cm × 5.6 cm × 4.2 cm, extending outward from the pancreatic head, with obvious heterogeneous enhancement in the early arterial phase. There was decreased enhancement in the venous phase with the “fast in fast out” mode, but the intensity was still higher than that of the surrounding pancreatic parenchyma. Patchy, non-enhancing areas were observed at the center of the mass. The size, shape, and enhancement of the remainder of the pancreas were normal. No signs of lymph node metastases were observed. On magnetic resonance imaging (MRI), the lesion was hypointense and moderately hyperintense on T1- and T2-weighted images, respectively (Figure 3). The chemical-shift MRI sequence showed a drop in the signal on out-of-phase images. In contrast, heterogeneous enhancement was observed in the arterial phase, with a thin hyperintense rim; there was washout in the portal and venous phases. MR cholangiogram showed dilatation of the bile duct and main pancreatic duct, suggesting an obstruction. Based on the imaging findings, the provisional diagnosis was a pNET.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MULTIDISCIPLINARY EXPERT CONSULTATION</w:t>
      </w:r>
    </w:p>
    <w:p>
      <w:pPr>
        <w:spacing w:line="360" w:lineRule="auto"/>
        <w:jc w:val="both"/>
        <w:rPr>
          <w:rFonts w:ascii="Book Antiqua" w:hAnsi="Book Antiqua"/>
        </w:rPr>
      </w:pPr>
      <w:r>
        <w:rPr>
          <w:rFonts w:ascii="Book Antiqua" w:hAnsi="Book Antiqua" w:eastAsia="Book Antiqua" w:cs="Book Antiqua"/>
          <w:color w:val="000000"/>
        </w:rPr>
        <w:t>After discussion with a multidisciplinary team, and keeping in mind the history of nephrectomy, we performed endoscopic ultrasound-guided needle biopsy. Pathological examination of the biopsy specimen revealed large polygonal cells with a clear cytoplasm arranged in an alveolar pattern. This picture, combined with the immuno-profile, was suggestive of clear cell renal cell carcinoma (ccRCC). Suspecting metastases from a previous renal tumor, we persuaded the relatives of the patient to approach the hospital where the nephrectomy had been performed and to borrow the specimen for re-examination. The material obtained from the kidney resected 19 years ago also showed a histological pattern of clear cell 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final diagnosis of the presented case was isPM-RCC.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The patient was treated with five courses of apatinib and sunitinib conversion chemotherapy, followed by pancreaticoduodenectomy 6 mo later. During surgery, </w:t>
      </w:r>
      <w:r>
        <w:rPr>
          <w:rFonts w:hint="eastAsia" w:ascii="Book Antiqua" w:hAnsi="Book Antiqua" w:cs="Book Antiqua"/>
          <w:color w:val="000000"/>
          <w:lang w:eastAsia="zh-CN"/>
        </w:rPr>
        <w:t>t</w:t>
      </w:r>
      <w:r>
        <w:rPr>
          <w:rFonts w:ascii="Book Antiqua" w:hAnsi="Book Antiqua" w:eastAsia="Book Antiqua" w:cs="Book Antiqua"/>
          <w:color w:val="000000"/>
        </w:rPr>
        <w:t>here was no malignant ascites, omental implants, or metastases to other organs. The border of the tumor was clear and situated close to the junction of the superior mesenteric and portal veins. The pancreatic and common bile ducts were compressed; however, no invasion was observed. Classical surgery was performed. The regional lymph nodes 12A, 12b, and 12p were also dissected. The surgical specimen showed a brownish nodule with a pseudocapsule located in the pancreas head, with some hemorrhagic or necrotic areas in the mass. Examination of hematoxylin and eosin–stained specimens and immunohistochemistry confirmed that it was an isolated metastasis from ccRCC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Postoperatively, the patient did not experience malabsorption or diarrhea due to decreased exocrine pancreatic function. The patient was discharged on postoperative day 24 and was regularly followed up. To date, there has been no tumor recurrence (2.5 years after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In 2018 alone, </w:t>
      </w:r>
      <w:r>
        <w:rPr>
          <w:rFonts w:hint="eastAsia" w:ascii="Book Antiqua" w:hAnsi="Book Antiqua" w:cs="Book Antiqua"/>
          <w:color w:val="000000"/>
          <w:lang w:eastAsia="zh-CN"/>
        </w:rPr>
        <w:t>t</w:t>
      </w:r>
      <w:r>
        <w:rPr>
          <w:rFonts w:ascii="Book Antiqua" w:hAnsi="Book Antiqua" w:eastAsia="Book Antiqua" w:cs="Book Antiqua"/>
          <w:color w:val="000000"/>
        </w:rPr>
        <w:t>here was over 400000 new cases of RCC worldwide, and over 170000 deaths. Even after surgical resection of RCC, 15%–25% of patients develop metastases to the lungs, bones, liver, or brain</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w:t>
      </w:r>
      <w:r>
        <w:rPr>
          <w:rFonts w:ascii="Book Antiqua" w:hAnsi="Book Antiqua" w:eastAsia="Book Antiqua" w:cs="Book Antiqua"/>
          <w:color w:val="000000"/>
        </w:rPr>
        <w:t>. However, in approximately 20% of cases, metastasis grows slowly or remains stable for several years. According to the literature, the interval from nephrectomy to manifestation of pancreatic metastasis may be as long as 33 years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6]</w:t>
      </w:r>
      <w:r>
        <w:rPr>
          <w:rFonts w:ascii="Book Antiqua" w:hAnsi="Book Antiqua" w:eastAsia="Book Antiqua" w:cs="Book Antiqua"/>
          <w:color w:val="000000"/>
        </w:rPr>
        <w:t>. Metachronous metastases occurred in 93% of cases. The prognosis after resection of metastasis is good, with a cumulative 5-year survival rate of 72%</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r>
        <w:rPr>
          <w:rFonts w:ascii="Book Antiqua" w:hAnsi="Book Antiqua"/>
          <w:lang w:eastAsia="zh-CN"/>
        </w:rPr>
        <w:t xml:space="preserve"> </w:t>
      </w:r>
      <w:r>
        <w:rPr>
          <w:rFonts w:ascii="Book Antiqua" w:hAnsi="Book Antiqua" w:eastAsia="Book Antiqua" w:cs="Book Antiqua"/>
          <w:color w:val="000000"/>
        </w:rPr>
        <w:t>Only approximately 800 cases of isPM-RCC have been reported since 1952</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Multiple pancreatic metastases are observed in 38.1% of cases, but the number of metastases (single </w:t>
      </w:r>
      <w:r>
        <w:rPr>
          <w:rFonts w:ascii="Book Antiqua" w:hAnsi="Book Antiqua" w:eastAsia="Book Antiqua" w:cs="Book Antiqua"/>
          <w:i/>
          <w:color w:val="000000"/>
        </w:rPr>
        <w:t>vs</w:t>
      </w:r>
      <w:r>
        <w:rPr>
          <w:rFonts w:ascii="Book Antiqua" w:hAnsi="Book Antiqua" w:eastAsia="Book Antiqua" w:cs="Book Antiqua"/>
          <w:color w:val="000000"/>
        </w:rPr>
        <w:t xml:space="preserve"> multiple) has no influence on survival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7,8]</w:t>
      </w:r>
      <w:r>
        <w:rPr>
          <w:rFonts w:ascii="Book Antiqua" w:hAnsi="Book Antiqua" w:eastAsia="Book Antiqua" w:cs="Book Antiqua"/>
          <w:color w:val="000000"/>
        </w:rPr>
        <w:t>. The location of metastasis in the pancreas (48%, 22%, and 30% in the head, body, and tail, respectively) does not appear to be related to the side of the affected kidney</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9]</w:t>
      </w:r>
      <w:r>
        <w:rPr>
          <w:rFonts w:ascii="Book Antiqua" w:hAnsi="Book Antiqua" w:eastAsia="Book Antiqua" w:cs="Book Antiqua"/>
          <w:color w:val="000000"/>
        </w:rPr>
        <w:t>. In an analysis of previous reports, peripancreatic lymph nodes were found in only 18 of 309 cases (5.8%)</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while adjacent retroperitoneal structures were not involved. These features suggest that metastases occur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hematogenous route. Isolated pancreatic metastasis may be an indication of the seed and soil mechanisms. Because of high intratumoral heterogeneity, metastatic tumor cells can develop into clinically manifest metastases in the pancreas but become dormant or undergo apoptosis in other organs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The genetic mechanism responsible for this extreme organotropism remains unknown; however, it probably involves interactions between the tumor microenvironment, immune system, and altered epigenetic states. Turajlic </w:t>
      </w:r>
      <w:r>
        <w:rPr>
          <w:rFonts w:ascii="Book Antiqua" w:hAnsi="Book Antiqua" w:eastAsia="Book Antiqua" w:cs="Book Antiqua"/>
          <w:i/>
          <w:iCs/>
          <w:color w:val="000000"/>
        </w:rPr>
        <w:t>et al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showed that primary RCC with high intratumor heterogeneity and low weighted genome instability index progresses slowly, and that metastasizing clones lacking 9p or 14q loss tend to be less aggressive and more likely to establish isolated pancreatic metastasis.</w:t>
      </w:r>
      <w:r>
        <w:rPr>
          <w:rFonts w:ascii="Book Antiqua" w:hAnsi="Book Antiqua"/>
          <w:lang w:eastAsia="zh-CN"/>
        </w:rPr>
        <w:t xml:space="preserve"> </w:t>
      </w:r>
      <w:r>
        <w:rPr>
          <w:rFonts w:ascii="Book Antiqua" w:hAnsi="Book Antiqua" w:eastAsia="Book Antiqua" w:cs="Book Antiqua"/>
          <w:color w:val="000000"/>
        </w:rPr>
        <w:t>Approximately 35% of patients with isPM-RCC have no clinical symptoms, while others present with abdominal pain (20%), gastrointestinal tract bleeding due to duodenal infiltration (20%), obstructive jaundice (9%), weight loss (9%), pancreatitis (3%), or diabetes (3%)</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9]</w:t>
      </w:r>
      <w:r>
        <w:rPr>
          <w:rFonts w:ascii="Book Antiqua" w:hAnsi="Book Antiqua" w:eastAsia="Book Antiqua" w:cs="Book Antiqua"/>
          <w:color w:val="000000"/>
        </w:rPr>
        <w:t>. Tumor markers, such as CEA, CA12-5, and CA19-9 are either within normal limits or only slightly elevated, and therefore have no diagnostic value. When isPM-RCC occurs many years after the diagnosis of the primary tumor, it may not be suspected, and without careful elicitation of medical history, the tumor may be mistaken for the more common primary pancreatic tumor.</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On imaging, isPM-RCC presented as a well-circumscribed hypervascular mass (Table 1). While these tumors usually show homogeneous enhancement after contrast injection, larger tumors may show rim enhancement, which has been described as a typical feature of isPM-RCC. This imaging sign was present in our patient. Low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suggested that rim enhancement was due to the tumor parasitizing blood supply from surrounding structures and therefore having greater perfusion at the periphery. Invasion of the common bile duct or main pancreatic duct is rare in isPM-RCC</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12]</w:t>
      </w:r>
      <w:r>
        <w:rPr>
          <w:rFonts w:ascii="Book Antiqua" w:hAnsi="Book Antiqua" w:eastAsia="Book Antiqua" w:cs="Book Antiqua"/>
          <w:color w:val="000000"/>
        </w:rPr>
        <w:t>. In our patient, the bile duct was dilated owing to distal compression by the mass, but there was no invasion. These features can help distinguish isPM-RCC from clear cell carcinoma of the pancreas, which is a variant of pancreatic ductal carcinoma. It is usually hypovascular and is more likely to invade adjacent structures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r>
        <w:rPr>
          <w:rFonts w:ascii="Book Antiqua" w:hAnsi="Book Antiqua"/>
          <w:lang w:eastAsia="zh-CN"/>
        </w:rPr>
        <w:t xml:space="preserve"> </w:t>
      </w:r>
      <w:r>
        <w:rPr>
          <w:rFonts w:ascii="Book Antiqua" w:hAnsi="Book Antiqua" w:eastAsia="Book Antiqua" w:cs="Book Antiqua"/>
          <w:color w:val="000000"/>
        </w:rPr>
        <w:t>Differentiation of isPM-RCC from pNET, a rare neoplasm that develops from endocrine tissues of the pancreas, can be challenging</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5]</w:t>
      </w:r>
      <w:r>
        <w:rPr>
          <w:rFonts w:ascii="Book Antiqua" w:hAnsi="Book Antiqua" w:eastAsia="Book Antiqua" w:cs="Book Antiqua"/>
          <w:color w:val="000000"/>
        </w:rPr>
        <w:t>. Both tumors were hypervascular and did not invade adjacent structures. However, although 20%–45% of isPM-RCCs are multifocal, pNET usually present as a single mass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14,15]</w:t>
      </w:r>
      <w:r>
        <w:rPr>
          <w:rFonts w:ascii="Book Antiqua" w:hAnsi="Book Antiqua" w:eastAsia="Book Antiqua" w:cs="Book Antiqua"/>
          <w:color w:val="000000"/>
        </w:rPr>
        <w:t>. When a tumor is associated with one of the hereditary cancer syndromes (</w:t>
      </w:r>
      <w:r>
        <w:rPr>
          <w:rFonts w:ascii="Book Antiqua" w:hAnsi="Book Antiqua" w:eastAsia="Book Antiqua" w:cs="Book Antiqua"/>
          <w:i/>
          <w:color w:val="000000"/>
        </w:rPr>
        <w:t>e.g.</w:t>
      </w:r>
      <w:r>
        <w:rPr>
          <w:rFonts w:ascii="Book Antiqua" w:hAnsi="Book Antiqua" w:eastAsia="Book Antiqua" w:cs="Book Antiqua"/>
          <w:color w:val="000000"/>
        </w:rPr>
        <w:t>, von Hippel–Lindau disease), pNET is the most probable diagnosis</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16]</w:t>
      </w:r>
      <w:r>
        <w:rPr>
          <w:rFonts w:ascii="Book Antiqua" w:hAnsi="Book Antiqua" w:eastAsia="Book Antiqua" w:cs="Book Antiqua"/>
          <w:color w:val="000000"/>
        </w:rPr>
        <w:t>. A drop in signal on chemical-shift MRI sequence, as observed in our patient, favors a diagnosis of isPM-RCC, since 80% of ccRCC metastases contain intracellular lipids similar to the primary tumor</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Another imaging feature that could help differentiate these two tumor types is the mean relative percentage washout on CT. Tae </w:t>
      </w:r>
      <w:r>
        <w:rPr>
          <w:rFonts w:ascii="Book Antiqua" w:hAnsi="Book Antiqua" w:eastAsia="Book Antiqua" w:cs="Book Antiqua"/>
          <w:i/>
          <w:iCs/>
          <w:color w:val="000000"/>
        </w:rPr>
        <w:t>et al.</w:t>
      </w:r>
      <w:r>
        <w:rPr>
          <w:rFonts w:ascii="Book Antiqua" w:hAnsi="Book Antiqua" w:eastAsia="Book Antiqua" w:cs="Book Antiqua"/>
          <w:color w:val="000000"/>
        </w:rPr>
        <w:t xml:space="preserve"> found that the relative percentage washout was significantly higher in isPM-RCC than in pNET (29.4% </w:t>
      </w:r>
      <w:r>
        <w:rPr>
          <w:rFonts w:ascii="Book Antiqua" w:hAnsi="Book Antiqua" w:eastAsia="Book Antiqua" w:cs="Book Antiqua"/>
          <w:i/>
          <w:color w:val="000000"/>
        </w:rPr>
        <w:t>vs</w:t>
      </w:r>
      <w:r>
        <w:rPr>
          <w:rFonts w:ascii="Book Antiqua" w:hAnsi="Book Antiqua" w:eastAsia="Book Antiqua" w:cs="Book Antiqua"/>
          <w:color w:val="000000"/>
        </w:rPr>
        <w:t xml:space="preserve"> 3.2%, </w:t>
      </w:r>
      <w:r>
        <w:rPr>
          <w:rFonts w:ascii="Book Antiqua" w:hAnsi="Book Antiqua" w:cs="Book Antiqua"/>
          <w:i/>
          <w:iCs/>
          <w:color w:val="000000"/>
          <w:lang w:eastAsia="zh-CN"/>
        </w:rPr>
        <w:t>P</w:t>
      </w:r>
      <w:r>
        <w:rPr>
          <w:rFonts w:ascii="Book Antiqua" w:hAnsi="Book Antiqua" w:eastAsia="Book Antiqua" w:cs="Book Antiqua"/>
          <w:color w:val="000000"/>
        </w:rPr>
        <w:t xml:space="preserve"> &lt; 0.001) </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r>
        <w:rPr>
          <w:rFonts w:ascii="Book Antiqua" w:hAnsi="Book Antiqua"/>
          <w:lang w:eastAsia="zh-CN"/>
        </w:rPr>
        <w:t xml:space="preserve"> </w:t>
      </w:r>
      <w:r>
        <w:rPr>
          <w:rFonts w:ascii="Book Antiqua" w:hAnsi="Book Antiqua" w:eastAsia="Book Antiqua" w:cs="Book Antiqua"/>
          <w:color w:val="000000"/>
        </w:rPr>
        <w:t xml:space="preserve">When the diagnosis is uncertain, EUS-guided biopsy can be useful, with a diagnostic accuracy of 90% </w:t>
      </w:r>
      <w:r>
        <w:rPr>
          <w:rFonts w:ascii="Book Antiqua" w:hAnsi="Book Antiqua" w:eastAsia="Book Antiqua" w:cs="Book Antiqua"/>
          <w:color w:val="000000"/>
          <w:vertAlign w:val="superscript"/>
        </w:rPr>
        <w:t>[19]</w:t>
      </w:r>
      <w:r>
        <w:rPr>
          <w:rFonts w:ascii="Book Antiqua" w:hAnsi="Book Antiqua" w:eastAsia="Book Antiqua" w:cs="Book Antiqua"/>
          <w:color w:val="000000"/>
        </w:rPr>
        <w:t>. Histologically, metastasis is similar to that in primary RCC. The nests of polygonal cells are associated with a rich vascular network. The Fuhrman nuclear grade tends to be higher in primary renal neoplasms than in pancreatic metastases. Immunohistochemistry showed that the tumor was diffusely positive for PAX8, CD10, CK8/18, vimentin, and PAX-8 and negative for synaptophysin, CgA, CD56, CK7, and CK20</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Surgical resection remains the most effective treatment for primary RCC and its metastases. The type of surgery mainly depends on whether the metastasis is solitary or diffuse and on the location of the pancreatic lesion. Whipple’s procedure is performed for proximal lesions that are limited to the head or uncinate process of the pancreas, whereas distal pancreatectomy is performed for lesions in the pancreatic body or tail</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21]</w:t>
      </w:r>
      <w:r>
        <w:rPr>
          <w:rFonts w:ascii="Book Antiqua" w:hAnsi="Book Antiqua" w:eastAsia="Book Antiqua" w:cs="Book Antiqua"/>
          <w:color w:val="000000"/>
        </w:rPr>
        <w:t>. In a study with long-term follow-up, the cumulative 3-year and 5-year OS rates after pancreatic resection for RCC metastases were 72% and 63%, respectively. However, lymph node involvement and extrapancreatic metastases are associated with poor OS</w:t>
      </w:r>
      <w:r>
        <w:rPr>
          <w:rFonts w:ascii="Book Antiqua" w:hAnsi="Book Antiqua" w:eastAsia="Book Antiqua" w:cs="Book Antiqua"/>
          <w:color w:val="000000"/>
          <w:vertAlign w:val="superscript"/>
        </w:rPr>
        <w:t>[22,23]</w:t>
      </w:r>
      <w:r>
        <w:rPr>
          <w:rFonts w:ascii="Book Antiqua" w:hAnsi="Book Antiqua" w:eastAsia="Book Antiqua" w:cs="Book Antiqua"/>
          <w:color w:val="000000"/>
        </w:rPr>
        <w:t>. Over the last decade, the medical treatment of metastatic RCC has been revolutionized by the introduction of highly effective targeted therapies with tyrosine kinase inhibitors, mammalian target of rapamycin inhibitors, and monoclonal antibodies, such as angiogenesis and immune checkpoint inhibitors</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24,25, 26]</w:t>
      </w:r>
      <w:r>
        <w:rPr>
          <w:rFonts w:ascii="Book Antiqua" w:hAnsi="Book Antiqua" w:eastAsia="Book Antiqua" w:cs="Book Antiqua"/>
          <w:color w:val="000000"/>
        </w:rPr>
        <w:t>.</w:t>
      </w:r>
      <w:r>
        <w:rPr>
          <w:rFonts w:ascii="Book Antiqua" w:hAnsi="Book Antiqua"/>
          <w:lang w:eastAsia="zh-CN"/>
        </w:rPr>
        <w:t xml:space="preserve"> </w:t>
      </w:r>
      <w:r>
        <w:rPr>
          <w:rFonts w:ascii="Book Antiqua" w:hAnsi="Book Antiqua" w:eastAsia="Book Antiqua" w:cs="Book Antiqua"/>
          <w:color w:val="000000"/>
        </w:rPr>
        <w:t>The Memorial Sloan Kettering Cancer Center has suggested that, for risk stratification of cancer, the selection of treatment should be based on the type of malignancy</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27]</w:t>
      </w:r>
      <w:r>
        <w:rPr>
          <w:rFonts w:ascii="Book Antiqua" w:hAnsi="Book Antiqua" w:eastAsia="Book Antiqua" w:cs="Book Antiqua"/>
          <w:color w:val="000000"/>
        </w:rPr>
        <w:t>. The first-line treatment for initial patients with favorable or intermediate prognosis is bevacizumab or sunitinib plus interferon a, while those who fail the first-line treatment can receive a high dose of IL-2</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27]</w:t>
      </w:r>
      <w:r>
        <w:rPr>
          <w:rFonts w:ascii="Book Antiqua" w:hAnsi="Book Antiqua" w:eastAsia="Book Antiqua" w:cs="Book Antiqua"/>
          <w:color w:val="000000"/>
        </w:rPr>
        <w:t>. Patients with poor prognosis can receive temsirolimus or sunitinib as first-line therapy, respectively. Those who had multitargeted therapy can have everolimus as first-line therapy and tyrosine kinase inhibitors as second-line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isPM-RCC is extremely rare and usually manifests many years after the resection of the primary tumor. Misdiagnosis is possible without meticulous elicitation of medical history and careful evaluation of the imaging findings. EUS-guided needle biopsy can help establish a diagnosis, and surgical resection can prolong survival.</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 </w:t>
      </w:r>
      <w:r>
        <w:rPr>
          <w:rFonts w:ascii="Book Antiqua" w:hAnsi="Book Antiqua" w:eastAsia="宋体" w:cs="宋体"/>
          <w:b/>
          <w:bCs/>
          <w:lang w:eastAsia="zh-CN"/>
        </w:rPr>
        <w:t>Karimi KM</w:t>
      </w:r>
      <w:r>
        <w:rPr>
          <w:rFonts w:ascii="Book Antiqua" w:hAnsi="Book Antiqua" w:eastAsia="宋体" w:cs="宋体"/>
          <w:lang w:eastAsia="zh-CN"/>
        </w:rPr>
        <w:t xml:space="preserve">, McFadden DW. Pancreatic resection for metastatic renal cell carcinoma to the pancreas. </w:t>
      </w:r>
      <w:r>
        <w:rPr>
          <w:rFonts w:ascii="Book Antiqua" w:hAnsi="Book Antiqua" w:eastAsia="宋体" w:cs="宋体"/>
          <w:i/>
          <w:iCs/>
          <w:lang w:eastAsia="zh-CN"/>
        </w:rPr>
        <w:t>Am Surg</w:t>
      </w:r>
      <w:r>
        <w:rPr>
          <w:rFonts w:ascii="Book Antiqua" w:hAnsi="Book Antiqua" w:eastAsia="宋体" w:cs="宋体"/>
          <w:lang w:eastAsia="zh-CN"/>
        </w:rPr>
        <w:t xml:space="preserve"> 2007; </w:t>
      </w:r>
      <w:r>
        <w:rPr>
          <w:rFonts w:ascii="Book Antiqua" w:hAnsi="Book Antiqua" w:eastAsia="宋体" w:cs="宋体"/>
          <w:b/>
          <w:bCs/>
          <w:lang w:eastAsia="zh-CN"/>
        </w:rPr>
        <w:t>73</w:t>
      </w:r>
      <w:r>
        <w:rPr>
          <w:rFonts w:ascii="Book Antiqua" w:hAnsi="Book Antiqua" w:eastAsia="宋体" w:cs="宋体"/>
          <w:lang w:eastAsia="zh-CN"/>
        </w:rPr>
        <w:t>: 1158-1160 [PMID: 18092654 DOI: 10.1177/000313480707301117]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Sperti C</w:t>
      </w:r>
      <w:r>
        <w:rPr>
          <w:rFonts w:ascii="Book Antiqua" w:hAnsi="Book Antiqua" w:eastAsia="宋体" w:cs="宋体"/>
          <w:lang w:eastAsia="zh-CN"/>
        </w:rPr>
        <w:t xml:space="preserve">, Moletta L, Patanè G. Metastatic tumors to the pancreas: The role of surgery. </w:t>
      </w:r>
      <w:r>
        <w:rPr>
          <w:rFonts w:ascii="Book Antiqua" w:hAnsi="Book Antiqua" w:eastAsia="宋体" w:cs="宋体"/>
          <w:i/>
          <w:iCs/>
          <w:lang w:eastAsia="zh-CN"/>
        </w:rPr>
        <w:t>World J Gastrointest Oncol</w:t>
      </w:r>
      <w:r>
        <w:rPr>
          <w:rFonts w:ascii="Book Antiqua" w:hAnsi="Book Antiqua" w:eastAsia="宋体" w:cs="宋体"/>
          <w:lang w:eastAsia="zh-CN"/>
        </w:rPr>
        <w:t xml:space="preserve"> 2014; </w:t>
      </w:r>
      <w:r>
        <w:rPr>
          <w:rFonts w:ascii="Book Antiqua" w:hAnsi="Book Antiqua" w:eastAsia="宋体" w:cs="宋体"/>
          <w:b/>
          <w:bCs/>
          <w:lang w:eastAsia="zh-CN"/>
        </w:rPr>
        <w:t>6</w:t>
      </w:r>
      <w:r>
        <w:rPr>
          <w:rFonts w:ascii="Book Antiqua" w:hAnsi="Book Antiqua" w:eastAsia="宋体" w:cs="宋体"/>
          <w:lang w:eastAsia="zh-CN"/>
        </w:rPr>
        <w:t>: 381-392 [PMID: 25320654 DOI: 10.4251/wjgo.v6.i10.381]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 </w:t>
      </w:r>
      <w:r>
        <w:rPr>
          <w:rFonts w:ascii="Book Antiqua" w:hAnsi="Book Antiqua" w:eastAsia="宋体" w:cs="宋体"/>
          <w:b/>
          <w:bCs/>
          <w:lang w:eastAsia="zh-CN"/>
        </w:rPr>
        <w:t>Sellner F</w:t>
      </w:r>
      <w:r>
        <w:rPr>
          <w:rFonts w:ascii="Book Antiqua" w:hAnsi="Book Antiqua" w:eastAsia="宋体" w:cs="宋体"/>
          <w:lang w:eastAsia="zh-CN"/>
        </w:rPr>
        <w:t xml:space="preserve">. Observations on Solitary Versus Multiple Isolated Pancreatic Metastases of Renal Cell Carcinoma: Another Indication of a Seed and Soil Mechanism? </w:t>
      </w:r>
      <w:r>
        <w:rPr>
          <w:rFonts w:ascii="Book Antiqua" w:hAnsi="Book Antiqua" w:eastAsia="宋体" w:cs="宋体"/>
          <w:i/>
          <w:iCs/>
          <w:lang w:eastAsia="zh-CN"/>
        </w:rPr>
        <w:t>Cancers (Basel)</w:t>
      </w:r>
      <w:r>
        <w:rPr>
          <w:rFonts w:ascii="Book Antiqua" w:hAnsi="Book Antiqua" w:eastAsia="宋体" w:cs="宋体"/>
          <w:lang w:eastAsia="zh-CN"/>
        </w:rPr>
        <w:t xml:space="preserve"> 2019; </w:t>
      </w:r>
      <w:r>
        <w:rPr>
          <w:rFonts w:ascii="Book Antiqua" w:hAnsi="Book Antiqua" w:eastAsia="宋体" w:cs="宋体"/>
          <w:b/>
          <w:bCs/>
          <w:lang w:eastAsia="zh-CN"/>
        </w:rPr>
        <w:t>11</w:t>
      </w:r>
      <w:r>
        <w:rPr>
          <w:rFonts w:ascii="Book Antiqua" w:hAnsi="Book Antiqua" w:eastAsia="宋体" w:cs="宋体"/>
          <w:lang w:eastAsia="zh-CN"/>
        </w:rPr>
        <w:t xml:space="preserve"> [PMID: 31533220 DOI: 10.3390/cancers11091379]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 </w:t>
      </w:r>
      <w:r>
        <w:rPr>
          <w:rFonts w:ascii="Book Antiqua" w:hAnsi="Book Antiqua" w:eastAsia="宋体" w:cs="宋体"/>
          <w:b/>
          <w:bCs/>
          <w:lang w:eastAsia="zh-CN"/>
        </w:rPr>
        <w:t>Sellner F</w:t>
      </w:r>
      <w:r>
        <w:rPr>
          <w:rFonts w:ascii="Book Antiqua" w:hAnsi="Book Antiqua" w:eastAsia="宋体" w:cs="宋体"/>
          <w:lang w:eastAsia="zh-CN"/>
        </w:rPr>
        <w:t xml:space="preserve">. Isolated Pancreatic Metastases of Renal Cell Carcinoma-A Paradigm of a Seed and Soil Mechanism: A Literature Analysis of 1,034 Observations. </w:t>
      </w:r>
      <w:r>
        <w:rPr>
          <w:rFonts w:ascii="Book Antiqua" w:hAnsi="Book Antiqua" w:eastAsia="宋体" w:cs="宋体"/>
          <w:i/>
          <w:iCs/>
          <w:lang w:eastAsia="zh-CN"/>
        </w:rPr>
        <w:t>Front Oncol</w:t>
      </w:r>
      <w:r>
        <w:rPr>
          <w:rFonts w:ascii="Book Antiqua" w:hAnsi="Book Antiqua" w:eastAsia="宋体" w:cs="宋体"/>
          <w:lang w:eastAsia="zh-CN"/>
        </w:rPr>
        <w:t xml:space="preserve"> 2020; </w:t>
      </w:r>
      <w:r>
        <w:rPr>
          <w:rFonts w:ascii="Book Antiqua" w:hAnsi="Book Antiqua" w:eastAsia="宋体" w:cs="宋体"/>
          <w:b/>
          <w:bCs/>
          <w:lang w:eastAsia="zh-CN"/>
        </w:rPr>
        <w:t>10</w:t>
      </w:r>
      <w:r>
        <w:rPr>
          <w:rFonts w:ascii="Book Antiqua" w:hAnsi="Book Antiqua" w:eastAsia="宋体" w:cs="宋体"/>
          <w:lang w:eastAsia="zh-CN"/>
        </w:rPr>
        <w:t>: 709 [PMID: 32547940 DOI: 10.3389/fonc.2020.00709]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 </w:t>
      </w:r>
      <w:r>
        <w:rPr>
          <w:rFonts w:ascii="Book Antiqua" w:hAnsi="Book Antiqua" w:eastAsia="宋体" w:cs="宋体"/>
          <w:b/>
          <w:bCs/>
          <w:lang w:eastAsia="zh-CN"/>
        </w:rPr>
        <w:t>Ma Y</w:t>
      </w:r>
      <w:r>
        <w:rPr>
          <w:rFonts w:ascii="Book Antiqua" w:hAnsi="Book Antiqua" w:eastAsia="宋体" w:cs="宋体"/>
          <w:lang w:eastAsia="zh-CN"/>
        </w:rPr>
        <w:t xml:space="preserve">, Yang J, Qin K, Zhou Y, Ying X, Yuan F, Shi M, Jin J, Wang D, Gu J, Cheng D. Resection of pancreatic metastatic renal cell carcinoma: experience and long-term survival outcome from a large center in China. </w:t>
      </w:r>
      <w:r>
        <w:rPr>
          <w:rFonts w:ascii="Book Antiqua" w:hAnsi="Book Antiqua" w:eastAsia="宋体" w:cs="宋体"/>
          <w:i/>
          <w:iCs/>
          <w:lang w:eastAsia="zh-CN"/>
        </w:rPr>
        <w:t>Int J Clin Oncol</w:t>
      </w:r>
      <w:r>
        <w:rPr>
          <w:rFonts w:ascii="Book Antiqua" w:hAnsi="Book Antiqua" w:eastAsia="宋体" w:cs="宋体"/>
          <w:lang w:eastAsia="zh-CN"/>
        </w:rPr>
        <w:t xml:space="preserve"> 2019; </w:t>
      </w:r>
      <w:r>
        <w:rPr>
          <w:rFonts w:ascii="Book Antiqua" w:hAnsi="Book Antiqua" w:eastAsia="宋体" w:cs="宋体"/>
          <w:b/>
          <w:bCs/>
          <w:lang w:eastAsia="zh-CN"/>
        </w:rPr>
        <w:t>24</w:t>
      </w:r>
      <w:r>
        <w:rPr>
          <w:rFonts w:ascii="Book Antiqua" w:hAnsi="Book Antiqua" w:eastAsia="宋体" w:cs="宋体"/>
          <w:lang w:eastAsia="zh-CN"/>
        </w:rPr>
        <w:t>: 686-693 [PMID: 30847618 DOI: 10.1007/s10147-019-01399-w]</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 </w:t>
      </w:r>
      <w:r>
        <w:rPr>
          <w:rFonts w:ascii="Book Antiqua" w:hAnsi="Book Antiqua" w:eastAsia="宋体" w:cs="宋体"/>
          <w:b/>
          <w:bCs/>
          <w:lang w:eastAsia="zh-CN"/>
        </w:rPr>
        <w:t>Thompson LD</w:t>
      </w:r>
      <w:r>
        <w:rPr>
          <w:rFonts w:ascii="Book Antiqua" w:hAnsi="Book Antiqua" w:eastAsia="宋体" w:cs="宋体"/>
          <w:lang w:eastAsia="zh-CN"/>
        </w:rPr>
        <w:t xml:space="preserve">, Heffess CS. Renal cell carcinoma to the pancreas in surgical pathology material. </w:t>
      </w:r>
      <w:r>
        <w:rPr>
          <w:rFonts w:ascii="Book Antiqua" w:hAnsi="Book Antiqua" w:eastAsia="宋体" w:cs="宋体"/>
          <w:i/>
          <w:iCs/>
          <w:lang w:eastAsia="zh-CN"/>
        </w:rPr>
        <w:t>Cancer</w:t>
      </w:r>
      <w:r>
        <w:rPr>
          <w:rFonts w:ascii="Book Antiqua" w:hAnsi="Book Antiqua" w:eastAsia="宋体" w:cs="宋体"/>
          <w:lang w:eastAsia="zh-CN"/>
        </w:rPr>
        <w:t xml:space="preserve"> 2000; </w:t>
      </w:r>
      <w:r>
        <w:rPr>
          <w:rFonts w:ascii="Book Antiqua" w:hAnsi="Book Antiqua" w:eastAsia="宋体" w:cs="宋体"/>
          <w:b/>
          <w:bCs/>
          <w:lang w:eastAsia="zh-CN"/>
        </w:rPr>
        <w:t>89</w:t>
      </w:r>
      <w:r>
        <w:rPr>
          <w:rFonts w:ascii="Book Antiqua" w:hAnsi="Book Antiqua" w:eastAsia="宋体" w:cs="宋体"/>
          <w:lang w:eastAsia="zh-CN"/>
        </w:rPr>
        <w:t>: 1076-1088 [PMID: 10964338 DOI: 10.1002/1097-0142(20000901)89:5&lt;1076::aid-cncr17&gt;3.0.co;2-m]</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 </w:t>
      </w:r>
      <w:r>
        <w:rPr>
          <w:rFonts w:ascii="Book Antiqua" w:hAnsi="Book Antiqua" w:eastAsia="宋体" w:cs="宋体"/>
          <w:b/>
          <w:bCs/>
          <w:lang w:eastAsia="zh-CN"/>
        </w:rPr>
        <w:t>Konstantinidis IT</w:t>
      </w:r>
      <w:r>
        <w:rPr>
          <w:rFonts w:ascii="Book Antiqua" w:hAnsi="Book Antiqua" w:eastAsia="宋体" w:cs="宋体"/>
          <w:lang w:eastAsia="zh-CN"/>
        </w:rPr>
        <w:t xml:space="preserve">, Dursun A, Zheng H, Wargo JA, Thayer SP, Fernandez-del Castillo C, Warshaw AL, Ferrone CR. Metastatic tumors in the pancreas in the modern era. </w:t>
      </w:r>
      <w:r>
        <w:rPr>
          <w:rFonts w:ascii="Book Antiqua" w:hAnsi="Book Antiqua" w:eastAsia="宋体" w:cs="宋体"/>
          <w:i/>
          <w:iCs/>
          <w:lang w:eastAsia="zh-CN"/>
        </w:rPr>
        <w:t>J Am Coll Surg</w:t>
      </w:r>
      <w:r>
        <w:rPr>
          <w:rFonts w:ascii="Book Antiqua" w:hAnsi="Book Antiqua" w:eastAsia="宋体" w:cs="宋体"/>
          <w:lang w:eastAsia="zh-CN"/>
        </w:rPr>
        <w:t xml:space="preserve"> 2010; </w:t>
      </w:r>
      <w:r>
        <w:rPr>
          <w:rFonts w:ascii="Book Antiqua" w:hAnsi="Book Antiqua" w:eastAsia="宋体" w:cs="宋体"/>
          <w:b/>
          <w:bCs/>
          <w:lang w:eastAsia="zh-CN"/>
        </w:rPr>
        <w:t>211</w:t>
      </w:r>
      <w:r>
        <w:rPr>
          <w:rFonts w:ascii="Book Antiqua" w:hAnsi="Book Antiqua" w:eastAsia="宋体" w:cs="宋体"/>
          <w:lang w:eastAsia="zh-CN"/>
        </w:rPr>
        <w:t>: 749-753 [PMID: 21109158 DOI: 10.1016/j.jamcollsurg.2010.08.017]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 </w:t>
      </w:r>
      <w:r>
        <w:rPr>
          <w:rFonts w:ascii="Book Antiqua" w:hAnsi="Book Antiqua" w:eastAsia="宋体" w:cs="宋体"/>
          <w:b/>
          <w:bCs/>
          <w:lang w:eastAsia="zh-CN"/>
        </w:rPr>
        <w:t>Volk A</w:t>
      </w:r>
      <w:r>
        <w:rPr>
          <w:rFonts w:ascii="Book Antiqua" w:hAnsi="Book Antiqua" w:eastAsia="宋体" w:cs="宋体"/>
          <w:lang w:eastAsia="zh-CN"/>
        </w:rPr>
        <w:t xml:space="preserve">, Kersting S, Konopke R, Dobrowolski F, Franzen S, Ockert D, Grutzmann R, Saeger HD, Bergert H. Surgical therapy of intrapancreatic metastasis from renal cell carcinoma. </w:t>
      </w:r>
      <w:r>
        <w:rPr>
          <w:rFonts w:ascii="Book Antiqua" w:hAnsi="Book Antiqua" w:eastAsia="宋体" w:cs="宋体"/>
          <w:i/>
          <w:iCs/>
          <w:lang w:eastAsia="zh-CN"/>
        </w:rPr>
        <w:t>Pancreatology</w:t>
      </w:r>
      <w:r>
        <w:rPr>
          <w:rFonts w:ascii="Book Antiqua" w:hAnsi="Book Antiqua" w:eastAsia="宋体" w:cs="宋体"/>
          <w:lang w:eastAsia="zh-CN"/>
        </w:rPr>
        <w:t xml:space="preserve"> 2009; </w:t>
      </w:r>
      <w:r>
        <w:rPr>
          <w:rFonts w:ascii="Book Antiqua" w:hAnsi="Book Antiqua" w:eastAsia="宋体" w:cs="宋体"/>
          <w:b/>
          <w:bCs/>
          <w:lang w:eastAsia="zh-CN"/>
        </w:rPr>
        <w:t>9</w:t>
      </w:r>
      <w:r>
        <w:rPr>
          <w:rFonts w:ascii="Book Antiqua" w:hAnsi="Book Antiqua" w:eastAsia="宋体" w:cs="宋体"/>
          <w:lang w:eastAsia="zh-CN"/>
        </w:rPr>
        <w:t>: 392-397 [PMID: 19468247 DOI: 10.1159/000181174]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 </w:t>
      </w:r>
      <w:r>
        <w:rPr>
          <w:rFonts w:ascii="Book Antiqua" w:hAnsi="Book Antiqua" w:eastAsia="宋体" w:cs="宋体"/>
          <w:b/>
          <w:bCs/>
          <w:lang w:eastAsia="zh-CN"/>
        </w:rPr>
        <w:t>Sellner F</w:t>
      </w:r>
      <w:r>
        <w:rPr>
          <w:rFonts w:ascii="Book Antiqua" w:hAnsi="Book Antiqua" w:eastAsia="宋体" w:cs="宋体"/>
          <w:lang w:eastAsia="zh-CN"/>
        </w:rPr>
        <w:t xml:space="preserve">, Tykalsky N, De Santis M, Pont J, Klimpfinger M. Solitary and multiple isolated metastases of clear cell renal carcinoma to the pancreas: an indication for pancreatic surgery. </w:t>
      </w:r>
      <w:r>
        <w:rPr>
          <w:rFonts w:ascii="Book Antiqua" w:hAnsi="Book Antiqua" w:eastAsia="宋体" w:cs="宋体"/>
          <w:i/>
          <w:iCs/>
          <w:lang w:eastAsia="zh-CN"/>
        </w:rPr>
        <w:t>Ann Surg Oncol</w:t>
      </w:r>
      <w:r>
        <w:rPr>
          <w:rFonts w:ascii="Book Antiqua" w:hAnsi="Book Antiqua" w:eastAsia="宋体" w:cs="宋体"/>
          <w:lang w:eastAsia="zh-CN"/>
        </w:rPr>
        <w:t xml:space="preserve"> 2006; </w:t>
      </w:r>
      <w:r>
        <w:rPr>
          <w:rFonts w:ascii="Book Antiqua" w:hAnsi="Book Antiqua" w:eastAsia="宋体" w:cs="宋体"/>
          <w:b/>
          <w:bCs/>
          <w:lang w:eastAsia="zh-CN"/>
        </w:rPr>
        <w:t>13</w:t>
      </w:r>
      <w:r>
        <w:rPr>
          <w:rFonts w:ascii="Book Antiqua" w:hAnsi="Book Antiqua" w:eastAsia="宋体" w:cs="宋体"/>
          <w:lang w:eastAsia="zh-CN"/>
        </w:rPr>
        <w:t>: 75-85 [PMID: 16372157 DOI: 10.1245/ASO.2006.03.064]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10 </w:t>
      </w:r>
      <w:r>
        <w:rPr>
          <w:rFonts w:ascii="Book Antiqua" w:hAnsi="Book Antiqua" w:eastAsia="宋体" w:cs="宋体"/>
          <w:b/>
          <w:bCs/>
          <w:lang w:eastAsia="zh-CN"/>
        </w:rPr>
        <w:t>Turajlic S</w:t>
      </w:r>
      <w:r>
        <w:rPr>
          <w:rFonts w:ascii="Book Antiqua" w:hAnsi="Book Antiqua" w:eastAsia="宋体" w:cs="宋体"/>
          <w:lang w:eastAsia="zh-CN"/>
        </w:rPr>
        <w:t xml:space="preserve">, Xu H, Litchfield K, Rowan A, Chambers T, Lopez JI, Nicol D, O'Brien T, Larkin J, Horswell S, Stares M, Au L, Jamal-Hanjani M, Challacombe B, Chandra A, Hazell S, Eichler-Jonsson C, Soultati A, Chowdhury S, Rudman S, Lynch J, Fernando A, Stamp G, Nye E, Jabbar F, Spain L, Lall S, Guarch R, Falzon M, Proctor I, Pickering L, Gore M, Watkins TBK, Ward S, Stewart A, DiNatale R, Becerra MF, Reznik E, Hsieh JJ, Richmond TA, Mayhew GF, Hill SM, McNally CD, Jones C, Rosenbaum H, Stanislaw S, Burgess DL, Alexander NR, Swanton C; PEACE; TRACERx Renal Consortium. Tracking Cancer Evolution Reveals Constrained Routes to Metastases: TRACERx Renal. </w:t>
      </w:r>
      <w:r>
        <w:rPr>
          <w:rFonts w:ascii="Book Antiqua" w:hAnsi="Book Antiqua" w:eastAsia="宋体" w:cs="宋体"/>
          <w:i/>
          <w:iCs/>
          <w:lang w:eastAsia="zh-CN"/>
        </w:rPr>
        <w:t>Cell</w:t>
      </w:r>
      <w:r>
        <w:rPr>
          <w:rFonts w:ascii="Book Antiqua" w:hAnsi="Book Antiqua" w:eastAsia="宋体" w:cs="宋体"/>
          <w:lang w:eastAsia="zh-CN"/>
        </w:rPr>
        <w:t xml:space="preserve"> 2018; </w:t>
      </w:r>
      <w:r>
        <w:rPr>
          <w:rFonts w:ascii="Book Antiqua" w:hAnsi="Book Antiqua" w:eastAsia="宋体" w:cs="宋体"/>
          <w:b/>
          <w:bCs/>
          <w:lang w:eastAsia="zh-CN"/>
        </w:rPr>
        <w:t>173</w:t>
      </w:r>
      <w:r>
        <w:rPr>
          <w:rFonts w:ascii="Book Antiqua" w:hAnsi="Book Antiqua" w:eastAsia="宋体" w:cs="宋体"/>
          <w:lang w:eastAsia="zh-CN"/>
        </w:rPr>
        <w:t>: 581-594.e12 [PMID: 29656895 DOI: 10.1016/j.cell.2018.03.057]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11 </w:t>
      </w:r>
      <w:r>
        <w:rPr>
          <w:rFonts w:ascii="Book Antiqua" w:hAnsi="Book Antiqua" w:eastAsia="宋体" w:cs="宋体"/>
          <w:b/>
          <w:bCs/>
          <w:lang w:eastAsia="zh-CN"/>
        </w:rPr>
        <w:t>Low G</w:t>
      </w:r>
      <w:r>
        <w:rPr>
          <w:rFonts w:ascii="Book Antiqua" w:hAnsi="Book Antiqua" w:eastAsia="宋体" w:cs="宋体"/>
          <w:lang w:eastAsia="zh-CN"/>
        </w:rPr>
        <w:t xml:space="preserve">, Panu A, Millo N, Leen E. Multimodality imaging of neoplastic and nonneoplastic solid lesions of the pancreas. </w:t>
      </w:r>
      <w:r>
        <w:rPr>
          <w:rFonts w:ascii="Book Antiqua" w:hAnsi="Book Antiqua" w:eastAsia="宋体" w:cs="宋体"/>
          <w:i/>
          <w:iCs/>
          <w:lang w:eastAsia="zh-CN"/>
        </w:rPr>
        <w:t>Radiographics</w:t>
      </w:r>
      <w:r>
        <w:rPr>
          <w:rFonts w:ascii="Book Antiqua" w:hAnsi="Book Antiqua" w:eastAsia="宋体" w:cs="宋体"/>
          <w:lang w:eastAsia="zh-CN"/>
        </w:rPr>
        <w:t xml:space="preserve"> 2011; </w:t>
      </w:r>
      <w:r>
        <w:rPr>
          <w:rFonts w:ascii="Book Antiqua" w:hAnsi="Book Antiqua" w:eastAsia="宋体" w:cs="宋体"/>
          <w:b/>
          <w:bCs/>
          <w:lang w:eastAsia="zh-CN"/>
        </w:rPr>
        <w:t>31</w:t>
      </w:r>
      <w:r>
        <w:rPr>
          <w:rFonts w:ascii="Book Antiqua" w:hAnsi="Book Antiqua" w:eastAsia="宋体" w:cs="宋体"/>
          <w:lang w:eastAsia="zh-CN"/>
        </w:rPr>
        <w:t>: 993-1015 [PMID: 21768235 DOI: 10.1148/rg.314105731]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12 </w:t>
      </w:r>
      <w:r>
        <w:rPr>
          <w:rFonts w:ascii="Book Antiqua" w:hAnsi="Book Antiqua" w:eastAsia="宋体" w:cs="宋体"/>
          <w:b/>
          <w:bCs/>
          <w:lang w:eastAsia="zh-CN"/>
        </w:rPr>
        <w:t>Shi HY</w:t>
      </w:r>
      <w:r>
        <w:rPr>
          <w:rFonts w:ascii="Book Antiqua" w:hAnsi="Book Antiqua" w:eastAsia="宋体" w:cs="宋体"/>
          <w:lang w:eastAsia="zh-CN"/>
        </w:rPr>
        <w:t xml:space="preserve">, Zhao XS, Miao F. Metastases to the Pancreas: Computed Tomography Imaging Spectrum and Clinical Features: A Retrospective Study of 18 Patients With 36 Metastases. </w:t>
      </w:r>
      <w:r>
        <w:rPr>
          <w:rFonts w:ascii="Book Antiqua" w:hAnsi="Book Antiqua" w:eastAsia="宋体" w:cs="宋体"/>
          <w:i/>
          <w:iCs/>
          <w:lang w:eastAsia="zh-CN"/>
        </w:rPr>
        <w:t>Medicine (Baltimore)</w:t>
      </w:r>
      <w:r>
        <w:rPr>
          <w:rFonts w:ascii="Book Antiqua" w:hAnsi="Book Antiqua" w:eastAsia="宋体" w:cs="宋体"/>
          <w:lang w:eastAsia="zh-CN"/>
        </w:rPr>
        <w:t xml:space="preserve"> 2015; </w:t>
      </w:r>
      <w:r>
        <w:rPr>
          <w:rFonts w:ascii="Book Antiqua" w:hAnsi="Book Antiqua" w:eastAsia="宋体" w:cs="宋体"/>
          <w:b/>
          <w:bCs/>
          <w:lang w:eastAsia="zh-CN"/>
        </w:rPr>
        <w:t>94</w:t>
      </w:r>
      <w:r>
        <w:rPr>
          <w:rFonts w:ascii="Book Antiqua" w:hAnsi="Book Antiqua" w:eastAsia="宋体" w:cs="宋体"/>
          <w:lang w:eastAsia="zh-CN"/>
        </w:rPr>
        <w:t>: e913 [PMID: 26061312 DOI: 10.1097/MD.0000000000000913]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13 </w:t>
      </w:r>
      <w:r>
        <w:rPr>
          <w:rFonts w:ascii="Book Antiqua" w:hAnsi="Book Antiqua" w:eastAsia="宋体" w:cs="宋体"/>
          <w:b/>
          <w:bCs/>
          <w:lang w:eastAsia="zh-CN"/>
        </w:rPr>
        <w:t>Burk KS</w:t>
      </w:r>
      <w:r>
        <w:rPr>
          <w:rFonts w:ascii="Book Antiqua" w:hAnsi="Book Antiqua" w:eastAsia="宋体" w:cs="宋体"/>
          <w:lang w:eastAsia="zh-CN"/>
        </w:rPr>
        <w:t xml:space="preserve">, Lo GC, Gee MS, Sahani DV. Imaging and Screening of Pancreatic Cancer. </w:t>
      </w:r>
      <w:r>
        <w:rPr>
          <w:rFonts w:ascii="Book Antiqua" w:hAnsi="Book Antiqua" w:eastAsia="宋体" w:cs="宋体"/>
          <w:i/>
          <w:iCs/>
          <w:lang w:eastAsia="zh-CN"/>
        </w:rPr>
        <w:t>Radiol Clin North Am</w:t>
      </w:r>
      <w:r>
        <w:rPr>
          <w:rFonts w:ascii="Book Antiqua" w:hAnsi="Book Antiqua" w:eastAsia="宋体" w:cs="宋体"/>
          <w:lang w:eastAsia="zh-CN"/>
        </w:rPr>
        <w:t xml:space="preserve"> 2017; </w:t>
      </w:r>
      <w:r>
        <w:rPr>
          <w:rFonts w:ascii="Book Antiqua" w:hAnsi="Book Antiqua" w:eastAsia="宋体" w:cs="宋体"/>
          <w:b/>
          <w:bCs/>
          <w:lang w:eastAsia="zh-CN"/>
        </w:rPr>
        <w:t>55</w:t>
      </w:r>
      <w:r>
        <w:rPr>
          <w:rFonts w:ascii="Book Antiqua" w:hAnsi="Book Antiqua" w:eastAsia="宋体" w:cs="宋体"/>
          <w:lang w:eastAsia="zh-CN"/>
        </w:rPr>
        <w:t>: 1223-1234 [PMID: 28991562 DOI: 10.1016/j.rcl.2017.06.006]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14 </w:t>
      </w:r>
      <w:r>
        <w:rPr>
          <w:rFonts w:ascii="Book Antiqua" w:hAnsi="Book Antiqua" w:eastAsia="宋体" w:cs="宋体"/>
          <w:b/>
          <w:bCs/>
          <w:lang w:eastAsia="zh-CN"/>
        </w:rPr>
        <w:t>Zerbi A</w:t>
      </w:r>
      <w:r>
        <w:rPr>
          <w:rFonts w:ascii="Book Antiqua" w:hAnsi="Book Antiqua" w:eastAsia="宋体" w:cs="宋体"/>
          <w:lang w:eastAsia="zh-CN"/>
        </w:rPr>
        <w:t xml:space="preserve">, Ortolano E, Balzano G, Borri A, Beneduce AA, Di Carlo V. Pancreatic metastasis from renal cell carcinoma: which patients benefit from surgical resection? </w:t>
      </w:r>
      <w:r>
        <w:rPr>
          <w:rFonts w:ascii="Book Antiqua" w:hAnsi="Book Antiqua" w:eastAsia="宋体" w:cs="宋体"/>
          <w:i/>
          <w:iCs/>
          <w:lang w:eastAsia="zh-CN"/>
        </w:rPr>
        <w:t>Ann Surg Oncol</w:t>
      </w:r>
      <w:r>
        <w:rPr>
          <w:rFonts w:ascii="Book Antiqua" w:hAnsi="Book Antiqua" w:eastAsia="宋体" w:cs="宋体"/>
          <w:lang w:eastAsia="zh-CN"/>
        </w:rPr>
        <w:t xml:space="preserve"> 2008; </w:t>
      </w:r>
      <w:r>
        <w:rPr>
          <w:rFonts w:ascii="Book Antiqua" w:hAnsi="Book Antiqua" w:eastAsia="宋体" w:cs="宋体"/>
          <w:b/>
          <w:bCs/>
          <w:lang w:eastAsia="zh-CN"/>
        </w:rPr>
        <w:t>15</w:t>
      </w:r>
      <w:r>
        <w:rPr>
          <w:rFonts w:ascii="Book Antiqua" w:hAnsi="Book Antiqua" w:eastAsia="宋体" w:cs="宋体"/>
          <w:lang w:eastAsia="zh-CN"/>
        </w:rPr>
        <w:t>: 1161-1168 [PMID: 18196343 DOI: 10.1245/s10434-007-9782-0]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15 </w:t>
      </w:r>
      <w:r>
        <w:rPr>
          <w:rFonts w:ascii="Book Antiqua" w:hAnsi="Book Antiqua" w:eastAsia="宋体" w:cs="宋体"/>
          <w:b/>
          <w:bCs/>
          <w:lang w:eastAsia="zh-CN"/>
        </w:rPr>
        <w:t>van der Pol CB</w:t>
      </w:r>
      <w:r>
        <w:rPr>
          <w:rFonts w:ascii="Book Antiqua" w:hAnsi="Book Antiqua" w:eastAsia="宋体" w:cs="宋体"/>
          <w:lang w:eastAsia="zh-CN"/>
        </w:rPr>
        <w:t xml:space="preserve">, Lee S, Tsai S, Larocque N, Alayed A, Williams P, Schieda N. Differentiation of pancreatic neuroendocrine tumors from pancreas renal cell carcinoma metastases on CT using qualitative and quantitative features. </w:t>
      </w:r>
      <w:r>
        <w:rPr>
          <w:rFonts w:ascii="Book Antiqua" w:hAnsi="Book Antiqua" w:eastAsia="宋体" w:cs="宋体"/>
          <w:i/>
          <w:iCs/>
          <w:lang w:eastAsia="zh-CN"/>
        </w:rPr>
        <w:t>Abdom Radiol (NY)</w:t>
      </w:r>
      <w:r>
        <w:rPr>
          <w:rFonts w:ascii="Book Antiqua" w:hAnsi="Book Antiqua" w:eastAsia="宋体" w:cs="宋体"/>
          <w:lang w:eastAsia="zh-CN"/>
        </w:rPr>
        <w:t xml:space="preserve"> 2019; </w:t>
      </w:r>
      <w:r>
        <w:rPr>
          <w:rFonts w:ascii="Book Antiqua" w:hAnsi="Book Antiqua" w:eastAsia="宋体" w:cs="宋体"/>
          <w:b/>
          <w:bCs/>
          <w:lang w:eastAsia="zh-CN"/>
        </w:rPr>
        <w:t>44</w:t>
      </w:r>
      <w:r>
        <w:rPr>
          <w:rFonts w:ascii="Book Antiqua" w:hAnsi="Book Antiqua" w:eastAsia="宋体" w:cs="宋体"/>
          <w:lang w:eastAsia="zh-CN"/>
        </w:rPr>
        <w:t>: 992-999 [PMID: 30603880 DOI: 10.1007/s00261-018-01889-x]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16 </w:t>
      </w:r>
      <w:r>
        <w:rPr>
          <w:rFonts w:ascii="Book Antiqua" w:hAnsi="Book Antiqua" w:eastAsia="宋体" w:cs="宋体"/>
          <w:b/>
          <w:bCs/>
          <w:lang w:eastAsia="zh-CN"/>
        </w:rPr>
        <w:t>Radu EC</w:t>
      </w:r>
      <w:r>
        <w:rPr>
          <w:rFonts w:ascii="Book Antiqua" w:hAnsi="Book Antiqua" w:eastAsia="宋体" w:cs="宋体"/>
          <w:lang w:eastAsia="zh-CN"/>
        </w:rPr>
        <w:t xml:space="preserve">, Saizu AI, Grigorescu RR, Croitoru AE, Gheorghe C. Metastatic neuroendocrine pancreatic tumor - Case report. </w:t>
      </w:r>
      <w:r>
        <w:rPr>
          <w:rFonts w:ascii="Book Antiqua" w:hAnsi="Book Antiqua" w:eastAsia="宋体" w:cs="宋体"/>
          <w:i/>
          <w:iCs/>
          <w:lang w:eastAsia="zh-CN"/>
        </w:rPr>
        <w:t>J Med Life</w:t>
      </w:r>
      <w:r>
        <w:rPr>
          <w:rFonts w:ascii="Book Antiqua" w:hAnsi="Book Antiqua" w:eastAsia="宋体" w:cs="宋体"/>
          <w:lang w:eastAsia="zh-CN"/>
        </w:rPr>
        <w:t xml:space="preserve"> 2018; </w:t>
      </w:r>
      <w:r>
        <w:rPr>
          <w:rFonts w:ascii="Book Antiqua" w:hAnsi="Book Antiqua" w:eastAsia="宋体" w:cs="宋体"/>
          <w:b/>
          <w:bCs/>
          <w:lang w:eastAsia="zh-CN"/>
        </w:rPr>
        <w:t>11</w:t>
      </w:r>
      <w:r>
        <w:rPr>
          <w:rFonts w:ascii="Book Antiqua" w:hAnsi="Book Antiqua" w:eastAsia="宋体" w:cs="宋体"/>
          <w:lang w:eastAsia="zh-CN"/>
        </w:rPr>
        <w:t>: 57-61 [PMID: 29696066]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17 </w:t>
      </w:r>
      <w:r>
        <w:rPr>
          <w:rFonts w:ascii="Book Antiqua" w:hAnsi="Book Antiqua" w:eastAsia="宋体" w:cs="宋体"/>
          <w:b/>
          <w:bCs/>
          <w:lang w:eastAsia="zh-CN"/>
        </w:rPr>
        <w:t>Koyama H</w:t>
      </w:r>
      <w:r>
        <w:rPr>
          <w:rFonts w:ascii="Book Antiqua" w:hAnsi="Book Antiqua" w:eastAsia="宋体" w:cs="宋体"/>
          <w:lang w:eastAsia="zh-CN"/>
        </w:rPr>
        <w:t xml:space="preserve">, Maruta T, Kudo T, Mayahara H, Yoshida K. Multiple pancreatic metastases from clear cell renal carcinoma: diagnosis with chemical shift magnetic resonance imaging before surgery. </w:t>
      </w:r>
      <w:r>
        <w:rPr>
          <w:rFonts w:ascii="Book Antiqua" w:hAnsi="Book Antiqua" w:eastAsia="宋体" w:cs="宋体"/>
          <w:i/>
          <w:iCs/>
          <w:lang w:eastAsia="zh-CN"/>
        </w:rPr>
        <w:t>Australas Radiol</w:t>
      </w:r>
      <w:r>
        <w:rPr>
          <w:rFonts w:ascii="Book Antiqua" w:hAnsi="Book Antiqua" w:eastAsia="宋体" w:cs="宋体"/>
          <w:lang w:eastAsia="zh-CN"/>
        </w:rPr>
        <w:t xml:space="preserve"> 2005; </w:t>
      </w:r>
      <w:r>
        <w:rPr>
          <w:rFonts w:ascii="Book Antiqua" w:hAnsi="Book Antiqua" w:eastAsia="宋体" w:cs="宋体"/>
          <w:b/>
          <w:bCs/>
          <w:lang w:eastAsia="zh-CN"/>
        </w:rPr>
        <w:t>49</w:t>
      </w:r>
      <w:r>
        <w:rPr>
          <w:rFonts w:ascii="Book Antiqua" w:hAnsi="Book Antiqua" w:eastAsia="宋体" w:cs="宋体"/>
          <w:lang w:eastAsia="zh-CN"/>
        </w:rPr>
        <w:t>: 493-496 [PMID: 16351615 DOI: 10.1111/j.1440-1673.2005.01471.x]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18 </w:t>
      </w:r>
      <w:r>
        <w:rPr>
          <w:rFonts w:ascii="Book Antiqua" w:hAnsi="Book Antiqua" w:eastAsia="宋体" w:cs="宋体"/>
          <w:b/>
          <w:bCs/>
          <w:lang w:eastAsia="zh-CN"/>
        </w:rPr>
        <w:t>Kang TW</w:t>
      </w:r>
      <w:r>
        <w:rPr>
          <w:rFonts w:ascii="Book Antiqua" w:hAnsi="Book Antiqua" w:eastAsia="宋体" w:cs="宋体"/>
          <w:lang w:eastAsia="zh-CN"/>
        </w:rPr>
        <w:t xml:space="preserve">, Kim SH, Lee J, Kim AY, Jang KM, Choi D, Kim MJ. Differentiation between pancreatic metastases from renal cell carcinoma and hypervascular neuroendocrine tumour: Use of relative percentage washout value and its clinical implication. </w:t>
      </w:r>
      <w:r>
        <w:rPr>
          <w:rFonts w:ascii="Book Antiqua" w:hAnsi="Book Antiqua" w:eastAsia="宋体" w:cs="宋体"/>
          <w:i/>
          <w:iCs/>
          <w:lang w:eastAsia="zh-CN"/>
        </w:rPr>
        <w:t>Eur J Radiol</w:t>
      </w:r>
      <w:r>
        <w:rPr>
          <w:rFonts w:ascii="Book Antiqua" w:hAnsi="Book Antiqua" w:eastAsia="宋体" w:cs="宋体"/>
          <w:lang w:eastAsia="zh-CN"/>
        </w:rPr>
        <w:t xml:space="preserve"> 2015; </w:t>
      </w:r>
      <w:r>
        <w:rPr>
          <w:rFonts w:ascii="Book Antiqua" w:hAnsi="Book Antiqua" w:eastAsia="宋体" w:cs="宋体"/>
          <w:b/>
          <w:bCs/>
          <w:lang w:eastAsia="zh-CN"/>
        </w:rPr>
        <w:t>84</w:t>
      </w:r>
      <w:r>
        <w:rPr>
          <w:rFonts w:ascii="Book Antiqua" w:hAnsi="Book Antiqua" w:eastAsia="宋体" w:cs="宋体"/>
          <w:lang w:eastAsia="zh-CN"/>
        </w:rPr>
        <w:t>: 2089-2096 [PMID: 26318820 DOI: 10.1016/j.ejrad.2015.08.007]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19 </w:t>
      </w:r>
      <w:r>
        <w:rPr>
          <w:rFonts w:ascii="Book Antiqua" w:hAnsi="Book Antiqua" w:eastAsia="宋体" w:cs="宋体"/>
          <w:b/>
          <w:bCs/>
          <w:lang w:eastAsia="zh-CN"/>
        </w:rPr>
        <w:t>Hasan MK</w:t>
      </w:r>
      <w:r>
        <w:rPr>
          <w:rFonts w:ascii="Book Antiqua" w:hAnsi="Book Antiqua" w:eastAsia="宋体" w:cs="宋体"/>
          <w:lang w:eastAsia="zh-CN"/>
        </w:rPr>
        <w:t xml:space="preserve">, Hawes RH. EUS-guided FNA of solid pancreas tumors. </w:t>
      </w:r>
      <w:r>
        <w:rPr>
          <w:rFonts w:ascii="Book Antiqua" w:hAnsi="Book Antiqua" w:eastAsia="宋体" w:cs="宋体"/>
          <w:i/>
          <w:iCs/>
          <w:lang w:eastAsia="zh-CN"/>
        </w:rPr>
        <w:t>Gastrointest Endosc Clin N Am</w:t>
      </w:r>
      <w:r>
        <w:rPr>
          <w:rFonts w:ascii="Book Antiqua" w:hAnsi="Book Antiqua" w:eastAsia="宋体" w:cs="宋体"/>
          <w:lang w:eastAsia="zh-CN"/>
        </w:rPr>
        <w:t xml:space="preserve"> 2012; </w:t>
      </w:r>
      <w:r>
        <w:rPr>
          <w:rFonts w:ascii="Book Antiqua" w:hAnsi="Book Antiqua" w:eastAsia="宋体" w:cs="宋体"/>
          <w:b/>
          <w:bCs/>
          <w:lang w:eastAsia="zh-CN"/>
        </w:rPr>
        <w:t>22</w:t>
      </w:r>
      <w:r>
        <w:rPr>
          <w:rFonts w:ascii="Book Antiqua" w:hAnsi="Book Antiqua" w:eastAsia="宋体" w:cs="宋体"/>
          <w:lang w:eastAsia="zh-CN"/>
        </w:rPr>
        <w:t>: 155-167 [PMID: 22632941 DOI: 10.1016/j.giec.2012.04.016]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20 </w:t>
      </w:r>
      <w:r>
        <w:rPr>
          <w:rFonts w:ascii="Book Antiqua" w:hAnsi="Book Antiqua" w:eastAsia="宋体" w:cs="宋体"/>
          <w:b/>
          <w:bCs/>
          <w:lang w:eastAsia="zh-CN"/>
        </w:rPr>
        <w:t>Cheng SK</w:t>
      </w:r>
      <w:r>
        <w:rPr>
          <w:rFonts w:ascii="Book Antiqua" w:hAnsi="Book Antiqua" w:eastAsia="宋体" w:cs="宋体"/>
          <w:lang w:eastAsia="zh-CN"/>
        </w:rPr>
        <w:t xml:space="preserve">, Chuah KL. Metastatic Renal Cell Carcinoma to the Pancreas: A Review. </w:t>
      </w:r>
      <w:r>
        <w:rPr>
          <w:rFonts w:ascii="Book Antiqua" w:hAnsi="Book Antiqua" w:eastAsia="宋体" w:cs="宋体"/>
          <w:i/>
          <w:iCs/>
          <w:lang w:eastAsia="zh-CN"/>
        </w:rPr>
        <w:t>Arch Pathol Lab Med</w:t>
      </w:r>
      <w:r>
        <w:rPr>
          <w:rFonts w:ascii="Book Antiqua" w:hAnsi="Book Antiqua" w:eastAsia="宋体" w:cs="宋体"/>
          <w:lang w:eastAsia="zh-CN"/>
        </w:rPr>
        <w:t xml:space="preserve"> 2016; </w:t>
      </w:r>
      <w:r>
        <w:rPr>
          <w:rFonts w:ascii="Book Antiqua" w:hAnsi="Book Antiqua" w:eastAsia="宋体" w:cs="宋体"/>
          <w:b/>
          <w:bCs/>
          <w:lang w:eastAsia="zh-CN"/>
        </w:rPr>
        <w:t>140</w:t>
      </w:r>
      <w:r>
        <w:rPr>
          <w:rFonts w:ascii="Book Antiqua" w:hAnsi="Book Antiqua" w:eastAsia="宋体" w:cs="宋体"/>
          <w:lang w:eastAsia="zh-CN"/>
        </w:rPr>
        <w:t>: 598-602 [PMID: 27232353 DOI: 10.5858/arpa.2015-0135-RS]</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21 </w:t>
      </w:r>
      <w:r>
        <w:rPr>
          <w:rFonts w:ascii="Book Antiqua" w:hAnsi="Book Antiqua" w:eastAsia="宋体" w:cs="宋体"/>
          <w:b/>
          <w:bCs/>
          <w:lang w:eastAsia="zh-CN"/>
        </w:rPr>
        <w:t>Kusnierz K</w:t>
      </w:r>
      <w:r>
        <w:rPr>
          <w:rFonts w:ascii="Book Antiqua" w:hAnsi="Book Antiqua" w:eastAsia="宋体" w:cs="宋体"/>
          <w:lang w:eastAsia="zh-CN"/>
        </w:rPr>
        <w:t xml:space="preserve">, Mrowiec S, Lampe P. Results of surgical management of renal cell carcinoma metastatic to the pancreas. </w:t>
      </w:r>
      <w:r>
        <w:rPr>
          <w:rFonts w:ascii="Book Antiqua" w:hAnsi="Book Antiqua" w:eastAsia="宋体" w:cs="宋体"/>
          <w:i/>
          <w:iCs/>
          <w:lang w:eastAsia="zh-CN"/>
        </w:rPr>
        <w:t>Contemp Oncol (Pozn)</w:t>
      </w:r>
      <w:r>
        <w:rPr>
          <w:rFonts w:ascii="Book Antiqua" w:hAnsi="Book Antiqua" w:eastAsia="宋体" w:cs="宋体"/>
          <w:lang w:eastAsia="zh-CN"/>
        </w:rPr>
        <w:t xml:space="preserve"> 2015; </w:t>
      </w:r>
      <w:r>
        <w:rPr>
          <w:rFonts w:ascii="Book Antiqua" w:hAnsi="Book Antiqua" w:eastAsia="宋体" w:cs="宋体"/>
          <w:b/>
          <w:bCs/>
          <w:lang w:eastAsia="zh-CN"/>
        </w:rPr>
        <w:t>19</w:t>
      </w:r>
      <w:r>
        <w:rPr>
          <w:rFonts w:ascii="Book Antiqua" w:hAnsi="Book Antiqua" w:eastAsia="宋体" w:cs="宋体"/>
          <w:lang w:eastAsia="zh-CN"/>
        </w:rPr>
        <w:t>: 54-59 [PMID: 26199572 DOI: 10.5114/wo.2014.45306]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22 </w:t>
      </w:r>
      <w:r>
        <w:rPr>
          <w:rFonts w:ascii="Book Antiqua" w:hAnsi="Book Antiqua" w:eastAsia="宋体" w:cs="宋体"/>
          <w:b/>
          <w:bCs/>
          <w:lang w:eastAsia="zh-CN"/>
        </w:rPr>
        <w:t>Schwarz L</w:t>
      </w:r>
      <w:r>
        <w:rPr>
          <w:rFonts w:ascii="Book Antiqua" w:hAnsi="Book Antiqua" w:eastAsia="宋体" w:cs="宋体"/>
          <w:lang w:eastAsia="zh-CN"/>
        </w:rPr>
        <w:t xml:space="preserve">, Sauvanet A, Regenet N, Mabrut JY, Gigot JF, Housseau E, Millat B, Ouaissi M, Gayet B, Fuks D, Tuech JJ. Long-term survival after pancreatic resection for renal cell carcinoma metastasis. </w:t>
      </w:r>
      <w:r>
        <w:rPr>
          <w:rFonts w:ascii="Book Antiqua" w:hAnsi="Book Antiqua" w:eastAsia="宋体" w:cs="宋体"/>
          <w:i/>
          <w:iCs/>
          <w:lang w:eastAsia="zh-CN"/>
        </w:rPr>
        <w:t>Ann Surg Oncol</w:t>
      </w:r>
      <w:r>
        <w:rPr>
          <w:rFonts w:ascii="Book Antiqua" w:hAnsi="Book Antiqua" w:eastAsia="宋体" w:cs="宋体"/>
          <w:lang w:eastAsia="zh-CN"/>
        </w:rPr>
        <w:t xml:space="preserve"> 2014; </w:t>
      </w:r>
      <w:r>
        <w:rPr>
          <w:rFonts w:ascii="Book Antiqua" w:hAnsi="Book Antiqua" w:eastAsia="宋体" w:cs="宋体"/>
          <w:b/>
          <w:bCs/>
          <w:lang w:eastAsia="zh-CN"/>
        </w:rPr>
        <w:t>21</w:t>
      </w:r>
      <w:r>
        <w:rPr>
          <w:rFonts w:ascii="Book Antiqua" w:hAnsi="Book Antiqua" w:eastAsia="宋体" w:cs="宋体"/>
          <w:lang w:eastAsia="zh-CN"/>
        </w:rPr>
        <w:t>: 4007-4013 [PMID: 24879589 DOI: 10.1245/s10434-014-3821-4]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23 </w:t>
      </w:r>
      <w:r>
        <w:rPr>
          <w:rFonts w:ascii="Book Antiqua" w:hAnsi="Book Antiqua" w:eastAsia="宋体" w:cs="宋体"/>
          <w:b/>
          <w:bCs/>
          <w:lang w:eastAsia="zh-CN"/>
        </w:rPr>
        <w:t>Adler H</w:t>
      </w:r>
      <w:r>
        <w:rPr>
          <w:rFonts w:ascii="Book Antiqua" w:hAnsi="Book Antiqua" w:eastAsia="宋体" w:cs="宋体"/>
          <w:lang w:eastAsia="zh-CN"/>
        </w:rPr>
        <w:t xml:space="preserve">, Redmond CE, Heneghan HM, Swan N, Maguire D, Traynor O, Hoti E, Geoghegan JG, Conlon KC. Pancreatectomy for metastatic disease: a systematic review. </w:t>
      </w:r>
      <w:r>
        <w:rPr>
          <w:rFonts w:ascii="Book Antiqua" w:hAnsi="Book Antiqua" w:eastAsia="宋体" w:cs="宋体"/>
          <w:i/>
          <w:iCs/>
          <w:lang w:eastAsia="zh-CN"/>
        </w:rPr>
        <w:t>Eur J Surg Oncol</w:t>
      </w:r>
      <w:r>
        <w:rPr>
          <w:rFonts w:ascii="Book Antiqua" w:hAnsi="Book Antiqua" w:eastAsia="宋体" w:cs="宋体"/>
          <w:lang w:eastAsia="zh-CN"/>
        </w:rPr>
        <w:t xml:space="preserve"> 2014; </w:t>
      </w:r>
      <w:r>
        <w:rPr>
          <w:rFonts w:ascii="Book Antiqua" w:hAnsi="Book Antiqua" w:eastAsia="宋体" w:cs="宋体"/>
          <w:b/>
          <w:bCs/>
          <w:lang w:eastAsia="zh-CN"/>
        </w:rPr>
        <w:t>40</w:t>
      </w:r>
      <w:r>
        <w:rPr>
          <w:rFonts w:ascii="Book Antiqua" w:hAnsi="Book Antiqua" w:eastAsia="宋体" w:cs="宋体"/>
          <w:lang w:eastAsia="zh-CN"/>
        </w:rPr>
        <w:t>: 379-386 [PMID: 24462547 DOI: 10.1016/j.ejso.2013.12.022]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24 </w:t>
      </w:r>
      <w:r>
        <w:rPr>
          <w:rFonts w:ascii="Book Antiqua" w:hAnsi="Book Antiqua" w:eastAsia="宋体" w:cs="宋体"/>
          <w:b/>
          <w:bCs/>
          <w:lang w:eastAsia="zh-CN"/>
        </w:rPr>
        <w:t>Lauro S</w:t>
      </w:r>
      <w:r>
        <w:rPr>
          <w:rFonts w:ascii="Book Antiqua" w:hAnsi="Book Antiqua" w:eastAsia="宋体" w:cs="宋体"/>
          <w:lang w:eastAsia="zh-CN"/>
        </w:rPr>
        <w:t xml:space="preserve">, Onesti EC, Righini R, Carbonetti F, Cremona A, Marchetti P. A Synchronous Pancreatic Metastasis from Renal Clear Cell Carcinoma, with Unusual CT Characteristics, Completely Regressed after Therapy with Sunitinib. </w:t>
      </w:r>
      <w:r>
        <w:rPr>
          <w:rFonts w:ascii="Book Antiqua" w:hAnsi="Book Antiqua" w:eastAsia="宋体" w:cs="宋体"/>
          <w:i/>
          <w:iCs/>
          <w:lang w:eastAsia="zh-CN"/>
        </w:rPr>
        <w:t>Case Rep Med</w:t>
      </w:r>
      <w:r>
        <w:rPr>
          <w:rFonts w:ascii="Book Antiqua" w:hAnsi="Book Antiqua" w:eastAsia="宋体" w:cs="宋体"/>
          <w:lang w:eastAsia="zh-CN"/>
        </w:rPr>
        <w:t xml:space="preserve"> 2014; </w:t>
      </w:r>
      <w:r>
        <w:rPr>
          <w:rFonts w:ascii="Book Antiqua" w:hAnsi="Book Antiqua" w:eastAsia="宋体" w:cs="宋体"/>
          <w:b/>
          <w:bCs/>
          <w:lang w:eastAsia="zh-CN"/>
        </w:rPr>
        <w:t>2014</w:t>
      </w:r>
      <w:r>
        <w:rPr>
          <w:rFonts w:ascii="Book Antiqua" w:hAnsi="Book Antiqua" w:eastAsia="宋体" w:cs="宋体"/>
          <w:lang w:eastAsia="zh-CN"/>
        </w:rPr>
        <w:t>: 473431 [PMID: 24707294 DOI: 10.1155/2014/473431]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25 </w:t>
      </w:r>
      <w:r>
        <w:rPr>
          <w:rFonts w:ascii="Book Antiqua" w:hAnsi="Book Antiqua" w:eastAsia="宋体" w:cs="宋体"/>
          <w:b/>
          <w:bCs/>
          <w:lang w:eastAsia="zh-CN"/>
        </w:rPr>
        <w:t>Flippot R</w:t>
      </w:r>
      <w:r>
        <w:rPr>
          <w:rFonts w:ascii="Book Antiqua" w:hAnsi="Book Antiqua" w:eastAsia="宋体" w:cs="宋体"/>
          <w:lang w:eastAsia="zh-CN"/>
        </w:rPr>
        <w:t xml:space="preserve">, Escudier B, Albiges L. Immune Checkpoint Inhibitors: Toward New Paradigms in Renal Cell Carcinoma. </w:t>
      </w:r>
      <w:r>
        <w:rPr>
          <w:rFonts w:ascii="Book Antiqua" w:hAnsi="Book Antiqua" w:eastAsia="宋体" w:cs="宋体"/>
          <w:i/>
          <w:iCs/>
          <w:lang w:eastAsia="zh-CN"/>
        </w:rPr>
        <w:t>Drugs</w:t>
      </w:r>
      <w:r>
        <w:rPr>
          <w:rFonts w:ascii="Book Antiqua" w:hAnsi="Book Antiqua" w:eastAsia="宋体" w:cs="宋体"/>
          <w:lang w:eastAsia="zh-CN"/>
        </w:rPr>
        <w:t xml:space="preserve"> 2018; </w:t>
      </w:r>
      <w:r>
        <w:rPr>
          <w:rFonts w:ascii="Book Antiqua" w:hAnsi="Book Antiqua" w:eastAsia="宋体" w:cs="宋体"/>
          <w:b/>
          <w:bCs/>
          <w:lang w:eastAsia="zh-CN"/>
        </w:rPr>
        <w:t>78</w:t>
      </w:r>
      <w:r>
        <w:rPr>
          <w:rFonts w:ascii="Book Antiqua" w:hAnsi="Book Antiqua" w:eastAsia="宋体" w:cs="宋体"/>
          <w:lang w:eastAsia="zh-CN"/>
        </w:rPr>
        <w:t>: 1443-1457 [PMID: 30187355 DOI: 10.1007/s40265-018-0970-y]</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26 </w:t>
      </w:r>
      <w:r>
        <w:rPr>
          <w:rFonts w:ascii="Book Antiqua" w:hAnsi="Book Antiqua" w:eastAsia="宋体" w:cs="宋体"/>
          <w:b/>
          <w:bCs/>
          <w:lang w:eastAsia="zh-CN"/>
        </w:rPr>
        <w:t>Kamli H</w:t>
      </w:r>
      <w:r>
        <w:rPr>
          <w:rFonts w:ascii="Book Antiqua" w:hAnsi="Book Antiqua" w:eastAsia="宋体" w:cs="宋体"/>
          <w:lang w:eastAsia="zh-CN"/>
        </w:rPr>
        <w:t xml:space="preserve">, Li L, Gobe GC. Limitations to the Therapeutic Potential of Tyrosine Kinase Inhibitors and Alternative Therapies for Kidney Cancer. </w:t>
      </w:r>
      <w:r>
        <w:rPr>
          <w:rFonts w:ascii="Book Antiqua" w:hAnsi="Book Antiqua" w:eastAsia="宋体" w:cs="宋体"/>
          <w:i/>
          <w:iCs/>
          <w:lang w:eastAsia="zh-CN"/>
        </w:rPr>
        <w:t>Ochsner J</w:t>
      </w:r>
      <w:r>
        <w:rPr>
          <w:rFonts w:ascii="Book Antiqua" w:hAnsi="Book Antiqua" w:eastAsia="宋体" w:cs="宋体"/>
          <w:lang w:eastAsia="zh-CN"/>
        </w:rPr>
        <w:t xml:space="preserve"> 2019; </w:t>
      </w:r>
      <w:r>
        <w:rPr>
          <w:rFonts w:ascii="Book Antiqua" w:hAnsi="Book Antiqua" w:eastAsia="宋体" w:cs="宋体"/>
          <w:b/>
          <w:bCs/>
          <w:lang w:eastAsia="zh-CN"/>
        </w:rPr>
        <w:t>19</w:t>
      </w:r>
      <w:r>
        <w:rPr>
          <w:rFonts w:ascii="Book Antiqua" w:hAnsi="Book Antiqua" w:eastAsia="宋体" w:cs="宋体"/>
          <w:lang w:eastAsia="zh-CN"/>
        </w:rPr>
        <w:t>: 138-151 [PMID: 31258426 DOI: 10.31486/toj.18.0015]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27 </w:t>
      </w:r>
      <w:r>
        <w:rPr>
          <w:rFonts w:ascii="Book Antiqua" w:hAnsi="Book Antiqua" w:eastAsia="宋体" w:cs="宋体"/>
          <w:b/>
          <w:bCs/>
          <w:lang w:eastAsia="zh-CN"/>
        </w:rPr>
        <w:t>Ballarin R</w:t>
      </w:r>
      <w:r>
        <w:rPr>
          <w:rFonts w:ascii="Book Antiqua" w:hAnsi="Book Antiqua" w:eastAsia="宋体" w:cs="宋体"/>
          <w:lang w:eastAsia="zh-CN"/>
        </w:rPr>
        <w:t xml:space="preserve">, Spaggiari M, Cautero N, De Ruvo N, Montalti R, Longo C, Pecchi A, Giacobazzi P, De Marco G, D'Amico G, Gerunda GE, Di Benedetto F. Pancreatic metastases from renal cell carcinoma: the state of the art. </w:t>
      </w:r>
      <w:r>
        <w:rPr>
          <w:rFonts w:ascii="Book Antiqua" w:hAnsi="Book Antiqua" w:eastAsia="宋体" w:cs="宋体"/>
          <w:i/>
          <w:iCs/>
          <w:lang w:eastAsia="zh-CN"/>
        </w:rPr>
        <w:t>World J Gastroenterol</w:t>
      </w:r>
      <w:r>
        <w:rPr>
          <w:rFonts w:ascii="Book Antiqua" w:hAnsi="Book Antiqua" w:eastAsia="宋体" w:cs="宋体"/>
          <w:lang w:eastAsia="zh-CN"/>
        </w:rPr>
        <w:t xml:space="preserve"> 2011; </w:t>
      </w:r>
      <w:r>
        <w:rPr>
          <w:rFonts w:ascii="Book Antiqua" w:hAnsi="Book Antiqua" w:eastAsia="宋体" w:cs="宋体"/>
          <w:b/>
          <w:bCs/>
          <w:lang w:eastAsia="zh-CN"/>
        </w:rPr>
        <w:t>17</w:t>
      </w:r>
      <w:r>
        <w:rPr>
          <w:rFonts w:ascii="Book Antiqua" w:hAnsi="Book Antiqua" w:eastAsia="宋体" w:cs="宋体"/>
          <w:lang w:eastAsia="zh-CN"/>
        </w:rPr>
        <w:t>: 4747-4756 [PMID: 22147975 DOI: 10.3748/wjg.v17.i43.4747]</w:t>
      </w:r>
    </w:p>
    <w:p>
      <w:pPr>
        <w:spacing w:line="360" w:lineRule="auto"/>
        <w:jc w:val="both"/>
        <w:rPr>
          <w:rFonts w:ascii="Book Antiqua" w:hAnsi="Book Antiqua" w:eastAsia="宋体" w:cs="宋体"/>
          <w:lang w:eastAsia="zh-CN"/>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Informed written consent was obtained from the patient for publication of this report and any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cs="Book Antiqua"/>
          <w:bCs/>
          <w:color w:val="000000"/>
        </w:rPr>
        <w:t>All</w:t>
      </w:r>
      <w:r>
        <w:rPr>
          <w:rFonts w:ascii="Book Antiqua" w:hAnsi="Book Antiqua" w:cs="Book Antiqua"/>
          <w:b/>
          <w:bCs/>
          <w:color w:val="000000"/>
        </w:rPr>
        <w:t xml:space="preserve"> </w:t>
      </w:r>
      <w:r>
        <w:rPr>
          <w:rFonts w:ascii="Book Antiqua" w:hAnsi="Book Antiqua" w:cs="Book Antiqua"/>
          <w:color w:val="000000"/>
          <w:shd w:val="clear" w:color="auto" w:fill="FFFFFF"/>
        </w:rPr>
        <w:t>t</w:t>
      </w:r>
      <w:r>
        <w:rPr>
          <w:rFonts w:ascii="Book Antiqua" w:hAnsi="Book Antiqua" w:eastAsia="Book Antiqua" w:cs="Book Antiqua"/>
          <w:color w:val="000000"/>
          <w:shd w:val="clear" w:color="auto" w:fill="FFFFFF"/>
        </w:rPr>
        <w:t xml:space="preserve">he authors </w:t>
      </w:r>
      <w:r>
        <w:rPr>
          <w:rFonts w:ascii="Book Antiqua" w:hAnsi="Book Antiqua" w:cs="Book Antiqua"/>
          <w:color w:val="000000"/>
          <w:shd w:val="clear" w:color="auto" w:fill="FFFFFF"/>
        </w:rPr>
        <w:t>report</w:t>
      </w:r>
      <w:r>
        <w:rPr>
          <w:rFonts w:ascii="Book Antiqua" w:hAnsi="Book Antiqua" w:eastAsia="Book Antiqua" w:cs="Book Antiqua"/>
          <w:color w:val="000000"/>
          <w:shd w:val="clear" w:color="auto" w:fill="FFFFFF"/>
        </w:rPr>
        <w:t xml:space="preserve"> </w:t>
      </w:r>
      <w:r>
        <w:rPr>
          <w:rFonts w:ascii="Book Antiqua" w:hAnsi="Book Antiqua" w:cs="Book Antiqua"/>
          <w:color w:val="000000"/>
          <w:shd w:val="clear" w:color="auto" w:fill="FFFFFF"/>
        </w:rPr>
        <w:t>no relevant conflicts of interest for this article</w:t>
      </w:r>
      <w:r>
        <w:rPr>
          <w:rFonts w:ascii="Book Antiqua" w:hAnsi="Book Antiqua" w:eastAsia="Book Antiqua" w:cs="Book Antiqua"/>
          <w:color w:val="000000"/>
          <w:shd w:val="clear" w:color="auto" w:fill="FFFFFF"/>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 xml:space="preserve">The authors have read the CARE Checklist (2016), and the manuscript was prepared and revised according to the CARE Checklist (2016).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16,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30, 2022</w:t>
      </w:r>
    </w:p>
    <w:p>
      <w:pPr>
        <w:spacing w:line="360" w:lineRule="auto"/>
        <w:jc w:val="both"/>
        <w:rPr>
          <w:rFonts w:hint="eastAsia"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21,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De Raffele E, Italy; Moez R</w:t>
      </w:r>
      <w:r>
        <w:rPr>
          <w:rFonts w:ascii="Book Antiqua" w:hAnsi="Book Antiqua" w:cs="Book Antiqua"/>
          <w:color w:val="000000"/>
          <w:lang w:eastAsia="zh-CN"/>
        </w:rPr>
        <w:t>, Tunis</w:t>
      </w:r>
      <w:r>
        <w:rPr>
          <w:rFonts w:ascii="Book Antiqua" w:hAnsi="Book Antiqua" w:eastAsia="Book Antiqua" w:cs="Book Antiqua"/>
          <w:b/>
          <w:color w:val="000000"/>
        </w:rPr>
        <w:t xml:space="preserve"> S-Editor: </w:t>
      </w:r>
      <w:r>
        <w:rPr>
          <w:rFonts w:ascii="Book Antiqua" w:hAnsi="Book Antiqua" w:eastAsia="Book Antiqua" w:cs="Book Antiqua"/>
          <w:color w:val="000000"/>
        </w:rPr>
        <w:t>Xing YX</w:t>
      </w:r>
      <w:r>
        <w:rPr>
          <w:rFonts w:ascii="Book Antiqua" w:hAnsi="Book Antiqua" w:cs="Book Antiqua"/>
          <w:b/>
          <w:color w:val="000000"/>
          <w:lang w:eastAsia="zh-CN"/>
        </w:rPr>
        <w:t xml:space="preserve"> </w:t>
      </w:r>
      <w:r>
        <w:rPr>
          <w:rFonts w:ascii="Book Antiqua" w:hAnsi="Book Antiqua" w:eastAsia="Book Antiqua" w:cs="Book Antiqua"/>
          <w:b/>
          <w:color w:val="000000"/>
        </w:rPr>
        <w:t xml:space="preserve">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 X</w:t>
      </w:r>
      <w:r>
        <w:rPr>
          <w:rFonts w:ascii="Book Antiqua" w:hAnsi="Book Antiqua" w:eastAsia="Book Antiqua" w:cs="Book Antiqua"/>
          <w:color w:val="000000"/>
        </w:rPr>
        <w:t>ing YX</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443605" cy="2745105"/>
            <wp:effectExtent l="0" t="0" r="635" b="13335"/>
            <wp:docPr id="7" name="图片 7" descr="WJCC-10-901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9012-g001"/>
                    <pic:cNvPicPr>
                      <a:picLocks noChangeAspect="1"/>
                    </pic:cNvPicPr>
                  </pic:nvPicPr>
                  <pic:blipFill>
                    <a:blip r:embed="rId5"/>
                    <a:stretch>
                      <a:fillRect/>
                    </a:stretch>
                  </pic:blipFill>
                  <pic:spPr>
                    <a:xfrm>
                      <a:off x="0" y="0"/>
                      <a:ext cx="3443605" cy="274510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Sonogram</w:t>
      </w:r>
      <w:r>
        <w:rPr>
          <w:rFonts w:ascii="Book Antiqua" w:hAnsi="Book Antiqua" w:cs="Book Antiqua"/>
          <w:b/>
          <w:color w:val="000000"/>
          <w:lang w:eastAsia="zh-CN"/>
        </w:rPr>
        <w:t xml:space="preserve"> imagine.</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 </w:t>
      </w:r>
      <w:r>
        <w:rPr>
          <w:rFonts w:ascii="Book Antiqua" w:hAnsi="Book Antiqua" w:eastAsia="Book Antiqua" w:cs="Book Antiqua"/>
          <w:color w:val="000000"/>
        </w:rPr>
        <w:t>B-mode</w:t>
      </w:r>
      <w:r>
        <w:rPr>
          <w:rFonts w:ascii="Book Antiqua" w:hAnsi="Book Antiqua" w:cs="Book Antiqua"/>
          <w:color w:val="000000"/>
          <w:lang w:eastAsia="zh-CN"/>
        </w:rPr>
        <w:t>; B:</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ontrast-enhanced ultrasound. There is a hypoechoic lesion (arrow) in the pancreatic head, with high and inhomogeneous enhancement.</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drawing>
          <wp:inline distT="0" distB="0" distL="114300" distR="114300">
            <wp:extent cx="5472430" cy="2909570"/>
            <wp:effectExtent l="0" t="0" r="13970" b="1270"/>
            <wp:docPr id="8" name="图片 8" descr="WJCC-10-901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9012-g002"/>
                    <pic:cNvPicPr>
                      <a:picLocks noChangeAspect="1"/>
                    </pic:cNvPicPr>
                  </pic:nvPicPr>
                  <pic:blipFill>
                    <a:blip r:embed="rId6"/>
                    <a:stretch>
                      <a:fillRect/>
                    </a:stretch>
                  </pic:blipFill>
                  <pic:spPr>
                    <a:xfrm>
                      <a:off x="0" y="0"/>
                      <a:ext cx="5472430" cy="290957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Abdominal computed tomography</w:t>
      </w:r>
      <w:r>
        <w:rPr>
          <w:rFonts w:ascii="Book Antiqua" w:hAnsi="Book Antiqua" w:cs="Book Antiqua"/>
          <w:b/>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bCs/>
          <w:color w:val="000000"/>
        </w:rPr>
        <w:t>A</w:t>
      </w:r>
      <w:r>
        <w:rPr>
          <w:rFonts w:ascii="Book Antiqua" w:hAnsi="Book Antiqua" w:cs="Book Antiqua"/>
          <w:color w:val="000000"/>
          <w:lang w:eastAsia="zh-CN"/>
        </w:rPr>
        <w:t xml:space="preserve">: </w:t>
      </w:r>
      <w:r>
        <w:rPr>
          <w:rFonts w:ascii="Book Antiqua" w:hAnsi="Book Antiqua" w:eastAsia="Book Antiqua" w:cs="Book Antiqua"/>
          <w:color w:val="000000"/>
        </w:rPr>
        <w:t>Plain scan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bCs/>
          <w:color w:val="000000"/>
        </w:rPr>
        <w:t>B</w:t>
      </w:r>
      <w:r>
        <w:rPr>
          <w:rFonts w:ascii="Book Antiqua" w:hAnsi="Book Antiqua" w:cs="Book Antiqua"/>
          <w:color w:val="000000"/>
          <w:lang w:eastAsia="zh-CN"/>
        </w:rPr>
        <w:t>: A</w:t>
      </w:r>
      <w:r>
        <w:rPr>
          <w:rFonts w:ascii="Book Antiqua" w:hAnsi="Book Antiqua" w:eastAsia="Book Antiqua" w:cs="Book Antiqua"/>
          <w:color w:val="000000"/>
        </w:rPr>
        <w:t>rterial phase</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bCs/>
          <w:color w:val="000000"/>
          <w:lang w:eastAsia="zh-CN"/>
        </w:rPr>
        <w:t>C</w:t>
      </w:r>
      <w:r>
        <w:rPr>
          <w:rFonts w:ascii="Book Antiqua" w:hAnsi="Book Antiqua" w:cs="Book Antiqua"/>
          <w:color w:val="000000"/>
          <w:lang w:eastAsia="zh-CN"/>
        </w:rPr>
        <w:t>: C</w:t>
      </w:r>
      <w:r>
        <w:rPr>
          <w:rFonts w:ascii="Book Antiqua" w:hAnsi="Book Antiqua" w:eastAsia="Book Antiqua" w:cs="Book Antiqua"/>
          <w:color w:val="000000"/>
        </w:rPr>
        <w:t>oronal plane</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bCs/>
          <w:color w:val="000000"/>
          <w:lang w:eastAsia="zh-CN"/>
        </w:rPr>
        <w:t>D</w:t>
      </w:r>
      <w:r>
        <w:rPr>
          <w:rFonts w:ascii="Book Antiqua" w:hAnsi="Book Antiqua" w:cs="Book Antiqua"/>
          <w:color w:val="000000"/>
          <w:lang w:eastAsia="zh-CN"/>
        </w:rPr>
        <w:t>: V</w:t>
      </w:r>
      <w:r>
        <w:rPr>
          <w:rFonts w:ascii="Book Antiqua" w:hAnsi="Book Antiqua" w:eastAsia="Book Antiqua" w:cs="Book Antiqua"/>
          <w:color w:val="000000"/>
        </w:rPr>
        <w:t>enous phase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and </w:t>
      </w:r>
      <w:r>
        <w:rPr>
          <w:rFonts w:ascii="Book Antiqua" w:hAnsi="Book Antiqua" w:cs="Book Antiqua"/>
          <w:color w:val="000000"/>
          <w:lang w:eastAsia="zh-CN"/>
        </w:rPr>
        <w:t>E: D</w:t>
      </w:r>
      <w:r>
        <w:rPr>
          <w:rFonts w:ascii="Book Antiqua" w:hAnsi="Book Antiqua" w:eastAsia="Book Antiqua" w:cs="Book Antiqua"/>
          <w:color w:val="000000"/>
        </w:rPr>
        <w:t>elayed phase. A low-density mass is seen (arrow). There is marked heterogeneous enhancement in the “fast in and fast out” mode; multiple tortuous blood vessels are present at the periphery and small patchy non-enhancing areas in the middle (indicating necrosis). There is moderately decreased enhancement in the venous and delayed phases.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472430" cy="4316095"/>
            <wp:effectExtent l="0" t="0" r="13970" b="12065"/>
            <wp:docPr id="9" name="图片 9" descr="WJCC-10-901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9012-g003"/>
                    <pic:cNvPicPr>
                      <a:picLocks noChangeAspect="1"/>
                    </pic:cNvPicPr>
                  </pic:nvPicPr>
                  <pic:blipFill>
                    <a:blip r:embed="rId7"/>
                    <a:stretch>
                      <a:fillRect/>
                    </a:stretch>
                  </pic:blipFill>
                  <pic:spPr>
                    <a:xfrm>
                      <a:off x="0" y="0"/>
                      <a:ext cx="5472430" cy="431609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Abdominal magnetic resonance imaging.</w:t>
      </w:r>
      <w:r>
        <w:rPr>
          <w:rFonts w:ascii="Book Antiqua" w:hAnsi="Book Antiqua"/>
          <w:b/>
          <w:lang w:eastAsia="zh-CN"/>
        </w:rPr>
        <w:t xml:space="preserve"> </w:t>
      </w:r>
      <w:r>
        <w:rPr>
          <w:rFonts w:ascii="Book Antiqua" w:hAnsi="Book Antiqua" w:eastAsia="Book Antiqua" w:cs="Book Antiqua"/>
          <w:bCs/>
          <w:color w:val="000000"/>
        </w:rPr>
        <w:t>A</w:t>
      </w:r>
      <w:r>
        <w:rPr>
          <w:rFonts w:ascii="Book Antiqua" w:hAnsi="Book Antiqua" w:cs="Book Antiqua"/>
          <w:color w:val="000000"/>
          <w:lang w:eastAsia="zh-CN"/>
        </w:rPr>
        <w:t xml:space="preserve">: </w:t>
      </w:r>
      <w:r>
        <w:rPr>
          <w:rFonts w:ascii="Book Antiqua" w:hAnsi="Book Antiqua" w:eastAsia="Book Antiqua" w:cs="Book Antiqua"/>
          <w:color w:val="000000"/>
        </w:rPr>
        <w:t>T1W in-phase</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bCs/>
          <w:color w:val="000000"/>
          <w:lang w:eastAsia="zh-CN"/>
        </w:rPr>
        <w:t>B</w:t>
      </w:r>
      <w:r>
        <w:rPr>
          <w:rFonts w:ascii="Book Antiqua" w:hAnsi="Book Antiqua" w:cs="Book Antiqua"/>
          <w:color w:val="000000"/>
          <w:lang w:eastAsia="zh-CN"/>
        </w:rPr>
        <w:t xml:space="preserve">: </w:t>
      </w:r>
      <w:r>
        <w:rPr>
          <w:rFonts w:ascii="Book Antiqua" w:hAnsi="Book Antiqua" w:eastAsia="Book Antiqua" w:cs="Book Antiqua"/>
          <w:color w:val="000000"/>
        </w:rPr>
        <w:t>out-of-phase</w:t>
      </w:r>
      <w:r>
        <w:rPr>
          <w:rFonts w:ascii="Book Antiqua" w:hAnsi="Book Antiqua" w:cs="Book Antiqua"/>
          <w:color w:val="000000"/>
          <w:lang w:eastAsia="zh-CN"/>
        </w:rPr>
        <w:t xml:space="preserve"> </w:t>
      </w:r>
      <w:r>
        <w:rPr>
          <w:rFonts w:ascii="Book Antiqua" w:hAnsi="Book Antiqua" w:eastAsia="Book Antiqua" w:cs="Book Antiqua"/>
          <w:color w:val="000000"/>
        </w:rPr>
        <w:t>images show a well-defined mass (arrow) in the pancreatic head, with signal loss on out-of-phase images for intracellular fat (arrow)</w:t>
      </w:r>
      <w:r>
        <w:rPr>
          <w:rFonts w:ascii="Book Antiqua" w:hAnsi="Book Antiqua" w:cs="Book Antiqua"/>
          <w:color w:val="000000"/>
          <w:lang w:eastAsia="zh-CN"/>
        </w:rPr>
        <w:t xml:space="preserve">; </w:t>
      </w:r>
      <w:r>
        <w:rPr>
          <w:rFonts w:ascii="Book Antiqua" w:hAnsi="Book Antiqua" w:cs="Book Antiqua"/>
          <w:bCs/>
          <w:color w:val="000000"/>
          <w:lang w:eastAsia="zh-CN"/>
        </w:rPr>
        <w:t>C</w:t>
      </w:r>
      <w:r>
        <w:rPr>
          <w:rFonts w:ascii="Book Antiqua" w:hAnsi="Book Antiqua" w:cs="Book Antiqua"/>
          <w:color w:val="000000"/>
          <w:lang w:eastAsia="zh-CN"/>
        </w:rPr>
        <w:t>:</w:t>
      </w:r>
      <w:r>
        <w:rPr>
          <w:rFonts w:ascii="Book Antiqua" w:hAnsi="Book Antiqua" w:eastAsia="Book Antiqua" w:cs="Book Antiqua"/>
          <w:color w:val="000000"/>
        </w:rPr>
        <w:t xml:space="preserve"> Diffusion-weighted image (b 800 s/mm</w:t>
      </w:r>
      <w:r>
        <w:rPr>
          <w:rFonts w:ascii="Book Antiqua" w:hAnsi="Book Antiqua" w:eastAsia="Book Antiqua" w:cs="Book Antiqua"/>
          <w:color w:val="000000"/>
          <w:vertAlign w:val="superscript"/>
        </w:rPr>
        <w:t>2</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cs="Book Antiqua"/>
          <w:bCs/>
          <w:color w:val="000000"/>
          <w:lang w:eastAsia="zh-CN"/>
        </w:rPr>
        <w:t>D</w:t>
      </w:r>
      <w:r>
        <w:rPr>
          <w:rFonts w:ascii="Book Antiqua" w:hAnsi="Book Antiqua" w:cs="Book Antiqua"/>
          <w:color w:val="000000"/>
          <w:lang w:eastAsia="zh-CN"/>
        </w:rPr>
        <w:t>: I</w:t>
      </w:r>
      <w:r>
        <w:rPr>
          <w:rFonts w:ascii="Book Antiqua" w:hAnsi="Book Antiqua" w:eastAsia="Book Antiqua" w:cs="Book Antiqua"/>
          <w:color w:val="000000"/>
        </w:rPr>
        <w:t>ncreased signal (arrow), with a corresponding low signal on the apparent diffusion coefficient map</w:t>
      </w:r>
      <w:r>
        <w:rPr>
          <w:rFonts w:ascii="Book Antiqua" w:hAnsi="Book Antiqua" w:cs="Book Antiqua"/>
          <w:color w:val="000000"/>
          <w:lang w:eastAsia="zh-CN"/>
        </w:rPr>
        <w:t xml:space="preserve">; </w:t>
      </w:r>
      <w:r>
        <w:rPr>
          <w:rFonts w:ascii="Book Antiqua" w:hAnsi="Book Antiqua" w:cs="Book Antiqua"/>
          <w:bCs/>
          <w:color w:val="000000"/>
          <w:lang w:eastAsia="zh-CN"/>
        </w:rPr>
        <w:t>E and F</w:t>
      </w:r>
      <w:r>
        <w:rPr>
          <w:rFonts w:ascii="Book Antiqua" w:hAnsi="Book Antiqua" w:cs="Book Antiqua"/>
          <w:color w:val="000000"/>
          <w:lang w:eastAsia="zh-CN"/>
        </w:rPr>
        <w:t xml:space="preserve">: </w:t>
      </w:r>
      <w:r>
        <w:rPr>
          <w:rFonts w:ascii="Book Antiqua" w:hAnsi="Book Antiqua" w:eastAsia="Book Antiqua" w:cs="Book Antiqua"/>
          <w:color w:val="000000"/>
        </w:rPr>
        <w:t>T1W FS contrast-enhanced images</w:t>
      </w:r>
      <w:r>
        <w:rPr>
          <w:rFonts w:ascii="Book Antiqua" w:hAnsi="Book Antiqua" w:cs="Book Antiqua"/>
          <w:color w:val="000000"/>
          <w:lang w:eastAsia="zh-CN"/>
        </w:rPr>
        <w:t xml:space="preserve"> </w:t>
      </w:r>
      <w:r>
        <w:rPr>
          <w:rFonts w:ascii="Book Antiqua" w:hAnsi="Book Antiqua" w:eastAsia="Book Antiqua" w:cs="Book Antiqua"/>
          <w:color w:val="000000"/>
        </w:rPr>
        <w:t>show marked heterogeneous enhancement in the arterial phase, with wash out in venous phase (though the thin hyperintense rim persists)</w:t>
      </w:r>
      <w:r>
        <w:rPr>
          <w:rFonts w:ascii="Book Antiqua" w:hAnsi="Book Antiqua" w:cs="Book Antiqua"/>
          <w:color w:val="000000"/>
          <w:lang w:eastAsia="zh-CN"/>
        </w:rPr>
        <w:t>; and G:</w:t>
      </w:r>
      <w:r>
        <w:rPr>
          <w:rFonts w:ascii="Book Antiqua" w:hAnsi="Book Antiqua" w:eastAsia="Book Antiqua" w:cs="Book Antiqua"/>
          <w:color w:val="000000"/>
        </w:rPr>
        <w:t xml:space="preserve"> </w:t>
      </w:r>
      <w:r>
        <w:rPr>
          <w:rFonts w:ascii="Book Antiqua" w:hAnsi="Book Antiqua" w:cs="Book Antiqua"/>
          <w:color w:val="000000"/>
          <w:lang w:eastAsia="zh-CN"/>
        </w:rPr>
        <w:t>M</w:t>
      </w:r>
      <w:r>
        <w:rPr>
          <w:rFonts w:ascii="Book Antiqua" w:hAnsi="Book Antiqua" w:eastAsia="Book Antiqua" w:cs="Book Antiqua"/>
          <w:color w:val="000000"/>
        </w:rPr>
        <w:t>agnetic resonance cholangiogram shows a dilated common bile duct and main pancreatic duct.</w:t>
      </w:r>
    </w:p>
    <w:p>
      <w:pPr>
        <w:spacing w:line="360" w:lineRule="auto"/>
        <w:jc w:val="both"/>
        <w:rPr>
          <w:rFonts w:ascii="Book Antiqua" w:hAnsi="Book Antiqua"/>
          <w:b/>
          <w:lang w:eastAsia="zh-CN"/>
        </w:rPr>
      </w:pPr>
      <w:bookmarkStart w:id="18" w:name="_GoBack"/>
      <w:r>
        <w:rPr>
          <w:rFonts w:ascii="Book Antiqua" w:hAnsi="Book Antiqua"/>
          <w:b/>
          <w:lang w:eastAsia="zh-CN"/>
        </w:rPr>
        <w:drawing>
          <wp:inline distT="0" distB="0" distL="114300" distR="114300">
            <wp:extent cx="3950335" cy="3133090"/>
            <wp:effectExtent l="0" t="0" r="12065" b="6350"/>
            <wp:docPr id="10" name="图片 10" descr="WJCC-10-901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9012-g004"/>
                    <pic:cNvPicPr>
                      <a:picLocks noChangeAspect="1"/>
                    </pic:cNvPicPr>
                  </pic:nvPicPr>
                  <pic:blipFill>
                    <a:blip r:embed="rId8"/>
                    <a:stretch>
                      <a:fillRect/>
                    </a:stretch>
                  </pic:blipFill>
                  <pic:spPr>
                    <a:xfrm>
                      <a:off x="0" y="0"/>
                      <a:ext cx="3950335" cy="3133090"/>
                    </a:xfrm>
                    <a:prstGeom prst="rect">
                      <a:avLst/>
                    </a:prstGeom>
                  </pic:spPr>
                </pic:pic>
              </a:graphicData>
            </a:graphic>
          </wp:inline>
        </w:drawing>
      </w:r>
      <w:bookmarkEnd w:id="18"/>
    </w:p>
    <w:p>
      <w:pPr>
        <w:spacing w:line="360" w:lineRule="auto"/>
        <w:jc w:val="both"/>
        <w:rPr>
          <w:rFonts w:ascii="Book Antiqua" w:hAnsi="Book Antiqua"/>
        </w:rPr>
      </w:pPr>
      <w:r>
        <w:rPr>
          <w:rFonts w:ascii="Book Antiqua" w:hAnsi="Book Antiqua" w:eastAsia="Book Antiqua" w:cs="Book Antiqua"/>
          <w:b/>
          <w:bCs/>
          <w:color w:val="000000"/>
        </w:rPr>
        <w:t>Figure 4</w:t>
      </w:r>
      <w:r>
        <w:rPr>
          <w:rFonts w:ascii="Book Antiqua" w:hAnsi="Book Antiqua" w:eastAsia="Book Antiqua" w:cs="Book Antiqua"/>
          <w:b/>
          <w:color w:val="000000"/>
        </w:rPr>
        <w:t xml:space="preserve"> Postoperative histopathology of the resected specimen. </w:t>
      </w:r>
      <w:r>
        <w:rPr>
          <w:rFonts w:ascii="Book Antiqua" w:hAnsi="Book Antiqua" w:eastAsia="Book Antiqua" w:cs="Book Antiqua"/>
          <w:bCs/>
          <w:color w:val="000000"/>
        </w:rPr>
        <w:t>A</w:t>
      </w:r>
      <w:r>
        <w:rPr>
          <w:rFonts w:ascii="Book Antiqua" w:hAnsi="Book Antiqua" w:cs="Book Antiqua"/>
          <w:color w:val="000000"/>
          <w:lang w:eastAsia="zh-CN"/>
        </w:rPr>
        <w:t>:</w:t>
      </w:r>
      <w:r>
        <w:rPr>
          <w:rFonts w:ascii="Book Antiqua" w:hAnsi="Book Antiqua"/>
          <w:lang w:eastAsia="zh-CN"/>
        </w:rPr>
        <w:t xml:space="preserve"> </w:t>
      </w:r>
      <w:r>
        <w:rPr>
          <w:rFonts w:ascii="Book Antiqua" w:hAnsi="Book Antiqua" w:eastAsia="Book Antiqua" w:cs="Book Antiqua"/>
          <w:color w:val="000000"/>
        </w:rPr>
        <w:t>The pancreatic mass shows hemorrhagic and necrotic changes; there is a thin fibrous capsule (arrow)</w:t>
      </w:r>
      <w:r>
        <w:rPr>
          <w:rFonts w:ascii="Book Antiqua" w:hAnsi="Book Antiqua" w:cs="Book Antiqua"/>
          <w:color w:val="000000"/>
          <w:lang w:eastAsia="zh-CN"/>
        </w:rPr>
        <w:t xml:space="preserve">; </w:t>
      </w:r>
      <w:r>
        <w:rPr>
          <w:rFonts w:ascii="Book Antiqua" w:hAnsi="Book Antiqua" w:cs="Book Antiqua"/>
          <w:bCs/>
          <w:color w:val="000000"/>
          <w:lang w:eastAsia="zh-CN"/>
        </w:rPr>
        <w:t>B</w:t>
      </w:r>
      <w:r>
        <w:rPr>
          <w:rFonts w:ascii="Book Antiqua" w:hAnsi="Book Antiqua" w:cs="Book Antiqua"/>
          <w:color w:val="000000"/>
          <w:lang w:eastAsia="zh-CN"/>
        </w:rPr>
        <w:t xml:space="preserve">: </w:t>
      </w:r>
      <w:r>
        <w:rPr>
          <w:rFonts w:ascii="Book Antiqua" w:hAnsi="Book Antiqua" w:eastAsia="Book Antiqua" w:cs="Book Antiqua"/>
          <w:color w:val="000000"/>
        </w:rPr>
        <w:t>Stained section shows large polygonal cells with clear cytoplasm, arranged in an alveolar pattern; the cells have uniform round nuclei with inconspicuous nucleoli (hematoxylin and eosin, ×</w:t>
      </w:r>
      <w:r>
        <w:rPr>
          <w:rFonts w:ascii="Book Antiqua" w:hAnsi="Book Antiqua" w:cs="Book Antiqua"/>
          <w:color w:val="000000"/>
          <w:lang w:eastAsia="zh-CN"/>
        </w:rPr>
        <w:t xml:space="preserve"> </w:t>
      </w:r>
      <w:r>
        <w:rPr>
          <w:rFonts w:ascii="Book Antiqua" w:hAnsi="Book Antiqua" w:eastAsia="Book Antiqua" w:cs="Book Antiqua"/>
          <w:color w:val="000000"/>
        </w:rPr>
        <w:t>100, inset ×</w:t>
      </w:r>
      <w:r>
        <w:rPr>
          <w:rFonts w:ascii="Book Antiqua" w:hAnsi="Book Antiqua" w:cs="Book Antiqua"/>
          <w:color w:val="000000"/>
          <w:lang w:eastAsia="zh-CN"/>
        </w:rPr>
        <w:t xml:space="preserve"> </w:t>
      </w:r>
      <w:r>
        <w:rPr>
          <w:rFonts w:ascii="Book Antiqua" w:hAnsi="Book Antiqua" w:eastAsia="Book Antiqua" w:cs="Book Antiqua"/>
          <w:color w:val="000000"/>
        </w:rPr>
        <w:t>400)</w:t>
      </w:r>
      <w:r>
        <w:rPr>
          <w:rFonts w:ascii="Book Antiqua" w:hAnsi="Book Antiqua" w:cs="Book Antiqua"/>
          <w:color w:val="000000"/>
          <w:lang w:eastAsia="zh-CN"/>
        </w:rPr>
        <w:t>; and C:</w:t>
      </w:r>
      <w:r>
        <w:rPr>
          <w:rFonts w:ascii="Book Antiqua" w:hAnsi="Book Antiqua" w:eastAsia="Book Antiqua" w:cs="Book Antiqua"/>
          <w:color w:val="000000"/>
        </w:rPr>
        <w:t xml:space="preserve"> Immunohistochemistry</w:t>
      </w:r>
      <w:r>
        <w:rPr>
          <w:rFonts w:ascii="Book Antiqua" w:hAnsi="Book Antiqua" w:cs="Book Antiqua"/>
          <w:color w:val="000000"/>
          <w:lang w:eastAsia="zh-CN"/>
        </w:rPr>
        <w:t xml:space="preserve"> </w:t>
      </w:r>
      <w:r>
        <w:rPr>
          <w:rFonts w:ascii="Book Antiqua" w:hAnsi="Book Antiqua" w:eastAsia="Book Antiqua" w:cs="Book Antiqua"/>
          <w:color w:val="000000"/>
        </w:rPr>
        <w:t>shows the tumor cells to be positive for vimentin, CD10, and PAX-8, and negative for CK7.</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rPr>
          <w:rFonts w:ascii="Book Antiqua" w:hAnsi="Book Antiqua" w:eastAsia="宋体" w:cs="宋体"/>
          <w:b/>
        </w:rPr>
      </w:pPr>
      <w:bookmarkStart w:id="0" w:name="OLE_LINK4"/>
      <w:bookmarkStart w:id="1" w:name="OLE_LINK3"/>
      <w:r>
        <w:rPr>
          <w:rFonts w:ascii="Book Antiqua" w:hAnsi="Book Antiqua" w:eastAsia="宋体" w:cs="宋体"/>
          <w:b/>
        </w:rPr>
        <w:t>Table 1 Differential diagnosis of isolated pancreatic metastasis from renal cell cancer and similar diseases</w:t>
      </w:r>
      <w:r>
        <w:rPr>
          <w:rFonts w:ascii="Book Antiqua" w:hAnsi="Book Antiqua" w:eastAsia="宋体" w:cs="宋体"/>
          <w:b/>
          <w:vertAlign w:val="superscript"/>
        </w:rPr>
        <w:t>[3,12]</w:t>
      </w:r>
    </w:p>
    <w:bookmarkEnd w:id="0"/>
    <w:bookmarkEnd w:id="1"/>
    <w:tbl>
      <w:tblPr>
        <w:tblStyle w:val="7"/>
        <w:tblpPr w:leftFromText="180" w:rightFromText="180" w:vertAnchor="text" w:horzAnchor="margin" w:tblpY="124"/>
        <w:tblW w:w="109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6"/>
        <w:gridCol w:w="1418"/>
        <w:gridCol w:w="1808"/>
        <w:gridCol w:w="1480"/>
        <w:gridCol w:w="1390"/>
        <w:gridCol w:w="1559"/>
        <w:gridCol w:w="1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276" w:type="dxa"/>
            <w:tcBorders>
              <w:top w:val="single" w:color="auto" w:sz="4" w:space="0"/>
              <w:bottom w:val="single" w:color="auto" w:sz="4" w:space="0"/>
            </w:tcBorders>
          </w:tcPr>
          <w:p>
            <w:pPr>
              <w:spacing w:line="360" w:lineRule="auto"/>
              <w:rPr>
                <w:rFonts w:ascii="Book Antiqua" w:hAnsi="Book Antiqua" w:eastAsia="宋体" w:cs="宋体"/>
                <w:kern w:val="0"/>
                <w:lang w:eastAsia="zh-CN"/>
              </w:rPr>
            </w:pPr>
          </w:p>
        </w:tc>
        <w:tc>
          <w:tcPr>
            <w:tcW w:w="1418" w:type="dxa"/>
            <w:tcBorders>
              <w:top w:val="single" w:color="auto" w:sz="4" w:space="0"/>
              <w:bottom w:val="single" w:color="auto" w:sz="4" w:space="0"/>
            </w:tcBorders>
          </w:tcPr>
          <w:p>
            <w:pPr>
              <w:spacing w:line="360" w:lineRule="auto"/>
              <w:jc w:val="center"/>
              <w:rPr>
                <w:rFonts w:ascii="Book Antiqua" w:hAnsi="Book Antiqua" w:eastAsia="宋体" w:cs="宋体"/>
                <w:b/>
                <w:kern w:val="0"/>
                <w:lang w:eastAsia="zh-CN"/>
              </w:rPr>
            </w:pPr>
            <w:r>
              <w:rPr>
                <w:rFonts w:ascii="Book Antiqua" w:hAnsi="Book Antiqua" w:eastAsia="宋体" w:cs="宋体"/>
                <w:b/>
                <w:kern w:val="0"/>
                <w:lang w:eastAsia="zh-CN"/>
              </w:rPr>
              <w:t>Symptoms</w:t>
            </w:r>
          </w:p>
        </w:tc>
        <w:tc>
          <w:tcPr>
            <w:tcW w:w="1808" w:type="dxa"/>
            <w:tcBorders>
              <w:top w:val="single" w:color="auto" w:sz="4" w:space="0"/>
              <w:bottom w:val="single" w:color="auto" w:sz="4" w:space="0"/>
            </w:tcBorders>
          </w:tcPr>
          <w:p>
            <w:pPr>
              <w:spacing w:line="360" w:lineRule="auto"/>
              <w:jc w:val="center"/>
              <w:rPr>
                <w:rFonts w:ascii="Book Antiqua" w:hAnsi="Book Antiqua" w:eastAsia="宋体" w:cs="宋体"/>
                <w:b/>
                <w:kern w:val="0"/>
                <w:lang w:eastAsia="zh-CN"/>
              </w:rPr>
            </w:pPr>
            <w:r>
              <w:rPr>
                <w:rFonts w:ascii="Book Antiqua" w:hAnsi="Book Antiqua" w:eastAsia="宋体" w:cs="宋体"/>
                <w:b/>
                <w:kern w:val="0"/>
                <w:lang w:eastAsia="zh-CN"/>
              </w:rPr>
              <w:t>Number, location, and size</w:t>
            </w:r>
          </w:p>
        </w:tc>
        <w:tc>
          <w:tcPr>
            <w:tcW w:w="1480" w:type="dxa"/>
            <w:tcBorders>
              <w:top w:val="single" w:color="auto" w:sz="4" w:space="0"/>
              <w:bottom w:val="single" w:color="auto" w:sz="4" w:space="0"/>
            </w:tcBorders>
          </w:tcPr>
          <w:p>
            <w:pPr>
              <w:spacing w:line="360" w:lineRule="auto"/>
              <w:jc w:val="center"/>
              <w:rPr>
                <w:rFonts w:ascii="Book Antiqua" w:hAnsi="Book Antiqua" w:eastAsia="宋体" w:cs="宋体"/>
                <w:b/>
                <w:kern w:val="0"/>
                <w:lang w:eastAsia="zh-CN"/>
              </w:rPr>
            </w:pPr>
            <w:r>
              <w:rPr>
                <w:rFonts w:ascii="Book Antiqua" w:hAnsi="Book Antiqua" w:eastAsia="宋体" w:cs="宋体"/>
                <w:b/>
                <w:kern w:val="0"/>
                <w:lang w:eastAsia="zh-CN"/>
              </w:rPr>
              <w:t>Unenhanced CT</w:t>
            </w:r>
          </w:p>
        </w:tc>
        <w:tc>
          <w:tcPr>
            <w:tcW w:w="1390" w:type="dxa"/>
            <w:tcBorders>
              <w:top w:val="single" w:color="auto" w:sz="4" w:space="0"/>
              <w:bottom w:val="single" w:color="auto" w:sz="4" w:space="0"/>
            </w:tcBorders>
          </w:tcPr>
          <w:p>
            <w:pPr>
              <w:spacing w:line="360" w:lineRule="auto"/>
              <w:jc w:val="center"/>
              <w:rPr>
                <w:rFonts w:ascii="Book Antiqua" w:hAnsi="Book Antiqua" w:eastAsia="宋体" w:cs="宋体"/>
                <w:b/>
                <w:kern w:val="0"/>
                <w:lang w:eastAsia="zh-CN"/>
              </w:rPr>
            </w:pPr>
            <w:r>
              <w:rPr>
                <w:rFonts w:ascii="Book Antiqua" w:hAnsi="Book Antiqua" w:eastAsia="宋体" w:cs="宋体"/>
                <w:b/>
                <w:kern w:val="0"/>
                <w:lang w:eastAsia="zh-CN"/>
              </w:rPr>
              <w:t>Enhanced CT</w:t>
            </w:r>
          </w:p>
        </w:tc>
        <w:tc>
          <w:tcPr>
            <w:tcW w:w="1559" w:type="dxa"/>
            <w:tcBorders>
              <w:top w:val="single" w:color="auto" w:sz="4" w:space="0"/>
              <w:bottom w:val="single" w:color="auto" w:sz="4" w:space="0"/>
            </w:tcBorders>
          </w:tcPr>
          <w:p>
            <w:pPr>
              <w:spacing w:line="360" w:lineRule="auto"/>
              <w:jc w:val="center"/>
              <w:rPr>
                <w:rFonts w:ascii="Book Antiqua" w:hAnsi="Book Antiqua" w:eastAsia="宋体" w:cs="宋体"/>
                <w:b/>
                <w:kern w:val="0"/>
                <w:lang w:eastAsia="zh-CN"/>
              </w:rPr>
            </w:pPr>
            <w:r>
              <w:rPr>
                <w:rFonts w:ascii="Book Antiqua" w:hAnsi="Book Antiqua" w:eastAsia="宋体" w:cs="宋体"/>
                <w:b/>
                <w:kern w:val="0"/>
                <w:lang w:eastAsia="zh-CN"/>
              </w:rPr>
              <w:t>Indirect sign</w:t>
            </w:r>
          </w:p>
        </w:tc>
        <w:tc>
          <w:tcPr>
            <w:tcW w:w="1984" w:type="dxa"/>
            <w:tcBorders>
              <w:top w:val="single" w:color="auto" w:sz="4" w:space="0"/>
              <w:bottom w:val="single" w:color="auto" w:sz="4" w:space="0"/>
            </w:tcBorders>
          </w:tcPr>
          <w:p>
            <w:pPr>
              <w:spacing w:line="360" w:lineRule="auto"/>
              <w:jc w:val="center"/>
              <w:rPr>
                <w:rFonts w:ascii="Book Antiqua" w:hAnsi="Book Antiqua" w:eastAsia="宋体" w:cs="宋体"/>
                <w:b/>
                <w:kern w:val="0"/>
                <w:lang w:eastAsia="zh-CN"/>
              </w:rPr>
            </w:pPr>
            <w:r>
              <w:rPr>
                <w:rFonts w:ascii="Book Antiqua" w:hAnsi="Book Antiqua" w:eastAsia="宋体" w:cs="宋体"/>
                <w:b/>
                <w:kern w:val="0"/>
                <w:lang w:eastAsia="zh-CN"/>
              </w:rPr>
              <w:t>Histology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1276" w:type="dxa"/>
            <w:tcBorders>
              <w:top w:val="single" w:color="auto" w:sz="4" w:space="0"/>
            </w:tcBorders>
          </w:tcPr>
          <w:p>
            <w:pPr>
              <w:spacing w:line="360" w:lineRule="auto"/>
              <w:rPr>
                <w:rFonts w:ascii="Book Antiqua" w:hAnsi="Book Antiqua" w:eastAsia="宋体" w:cs="宋体"/>
                <w:kern w:val="0"/>
                <w:lang w:eastAsia="zh-CN"/>
              </w:rPr>
            </w:pPr>
            <w:r>
              <w:rPr>
                <w:rFonts w:ascii="Book Antiqua" w:hAnsi="Book Antiqua" w:eastAsia="宋体" w:cs="宋体"/>
                <w:kern w:val="0"/>
                <w:lang w:eastAsia="zh-CN"/>
              </w:rPr>
              <w:t>isPM-RCC</w:t>
            </w:r>
          </w:p>
        </w:tc>
        <w:tc>
          <w:tcPr>
            <w:tcW w:w="1418" w:type="dxa"/>
            <w:tcBorders>
              <w:top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Asymptomatic, non-specific</w:t>
            </w:r>
          </w:p>
        </w:tc>
        <w:tc>
          <w:tcPr>
            <w:tcW w:w="1808" w:type="dxa"/>
            <w:tcBorders>
              <w:top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Solitary/ multiple; No special location;37.0 ± 21.4 mm</w:t>
            </w:r>
          </w:p>
          <w:p>
            <w:pPr>
              <w:spacing w:line="360" w:lineRule="auto"/>
              <w:jc w:val="center"/>
              <w:rPr>
                <w:rFonts w:ascii="Book Antiqua" w:hAnsi="Book Antiqua" w:eastAsia="宋体" w:cs="宋体"/>
                <w:kern w:val="0"/>
                <w:lang w:eastAsia="zh-CN"/>
              </w:rPr>
            </w:pPr>
          </w:p>
        </w:tc>
        <w:tc>
          <w:tcPr>
            <w:tcW w:w="1480" w:type="dxa"/>
            <w:tcBorders>
              <w:top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 xml:space="preserve">Lower or equal density; Clear boundary; </w:t>
            </w:r>
          </w:p>
          <w:p>
            <w:pPr>
              <w:spacing w:line="360" w:lineRule="auto"/>
              <w:jc w:val="center"/>
              <w:rPr>
                <w:rFonts w:ascii="Book Antiqua" w:hAnsi="Book Antiqua" w:eastAsia="宋体" w:cs="宋体"/>
                <w:kern w:val="0"/>
                <w:lang w:eastAsia="zh-CN"/>
              </w:rPr>
            </w:pPr>
            <w:bookmarkStart w:id="2" w:name="OLE_LINK191"/>
            <w:bookmarkStart w:id="3" w:name="OLE_LINK190"/>
            <w:r>
              <w:rPr>
                <w:rFonts w:ascii="Book Antiqua" w:hAnsi="Book Antiqua" w:eastAsia="宋体" w:cs="宋体"/>
                <w:kern w:val="0"/>
                <w:lang w:eastAsia="zh-CN"/>
              </w:rPr>
              <w:t>Homogeneous</w:t>
            </w:r>
            <w:bookmarkEnd w:id="2"/>
            <w:bookmarkEnd w:id="3"/>
          </w:p>
        </w:tc>
        <w:tc>
          <w:tcPr>
            <w:tcW w:w="1390" w:type="dxa"/>
            <w:tcBorders>
              <w:top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cs="Times New Roman"/>
                <w:kern w:val="2"/>
                <w:lang w:eastAsia="zh-CN"/>
              </w:rPr>
              <w:t>Hypervascular</w:t>
            </w:r>
            <w:r>
              <w:rPr>
                <w:rFonts w:ascii="Book Antiqua" w:hAnsi="Book Antiqua" w:eastAsia="宋体" w:cs="宋体"/>
                <w:kern w:val="0"/>
                <w:lang w:eastAsia="zh-CN"/>
              </w:rPr>
              <w:t xml:space="preserve">; Fast in fast out; Homogeneous; Rim enhancement  </w:t>
            </w:r>
          </w:p>
        </w:tc>
        <w:tc>
          <w:tcPr>
            <w:tcW w:w="1559" w:type="dxa"/>
            <w:tcBorders>
              <w:top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Rare</w:t>
            </w:r>
            <w:r>
              <w:rPr>
                <w:rFonts w:ascii="Book Antiqua" w:hAnsi="Book Antiqua" w:cstheme="minorBidi"/>
                <w:kern w:val="2"/>
                <w:lang w:eastAsia="zh-CN"/>
              </w:rPr>
              <w:t xml:space="preserve"> </w:t>
            </w:r>
            <w:r>
              <w:rPr>
                <w:rFonts w:ascii="Book Antiqua" w:hAnsi="Book Antiqua" w:eastAsia="宋体" w:cs="宋体"/>
                <w:kern w:val="0"/>
                <w:lang w:eastAsia="zh-CN"/>
              </w:rPr>
              <w:t>Infringement of bile duct or</w:t>
            </w:r>
            <w:r>
              <w:rPr>
                <w:rFonts w:ascii="Book Antiqua" w:hAnsi="Book Antiqua" w:cstheme="minorBidi"/>
                <w:kern w:val="2"/>
                <w:lang w:eastAsia="zh-CN"/>
              </w:rPr>
              <w:t xml:space="preserve"> </w:t>
            </w:r>
            <w:r>
              <w:rPr>
                <w:rFonts w:ascii="Book Antiqua" w:hAnsi="Book Antiqua" w:eastAsia="宋体" w:cs="宋体"/>
                <w:kern w:val="0"/>
                <w:lang w:eastAsia="zh-CN"/>
              </w:rPr>
              <w:t xml:space="preserve">main pancreatic duct; No parenchymal atrophy, </w:t>
            </w:r>
            <w:bookmarkStart w:id="4" w:name="OLE_LINK178"/>
            <w:bookmarkStart w:id="5" w:name="OLE_LINK177"/>
            <w:r>
              <w:rPr>
                <w:rFonts w:ascii="Book Antiqua" w:hAnsi="Book Antiqua" w:eastAsia="宋体" w:cs="宋体"/>
                <w:kern w:val="0"/>
                <w:lang w:eastAsia="zh-CN"/>
              </w:rPr>
              <w:t xml:space="preserve">clear </w:t>
            </w:r>
            <w:bookmarkStart w:id="6" w:name="OLE_LINK175"/>
            <w:bookmarkStart w:id="7" w:name="OLE_LINK176"/>
            <w:r>
              <w:rPr>
                <w:rFonts w:ascii="Book Antiqua" w:hAnsi="Book Antiqua" w:eastAsia="宋体" w:cs="宋体"/>
                <w:kern w:val="0"/>
                <w:lang w:eastAsia="zh-CN"/>
              </w:rPr>
              <w:t>retroperitoneal structure</w:t>
            </w:r>
            <w:bookmarkEnd w:id="4"/>
            <w:bookmarkEnd w:id="5"/>
            <w:r>
              <w:rPr>
                <w:rFonts w:ascii="Book Antiqua" w:hAnsi="Book Antiqua" w:eastAsia="宋体" w:cs="宋体"/>
                <w:kern w:val="0"/>
                <w:lang w:eastAsia="zh-CN"/>
              </w:rPr>
              <w:t xml:space="preserve"> </w:t>
            </w:r>
            <w:bookmarkEnd w:id="6"/>
            <w:bookmarkEnd w:id="7"/>
          </w:p>
          <w:p>
            <w:pPr>
              <w:spacing w:line="360" w:lineRule="auto"/>
              <w:jc w:val="center"/>
              <w:rPr>
                <w:rFonts w:ascii="Book Antiqua" w:hAnsi="Book Antiqua" w:eastAsia="宋体" w:cs="宋体"/>
                <w:kern w:val="0"/>
                <w:lang w:eastAsia="zh-CN"/>
              </w:rPr>
            </w:pPr>
          </w:p>
        </w:tc>
        <w:tc>
          <w:tcPr>
            <w:tcW w:w="1984" w:type="dxa"/>
            <w:tcBorders>
              <w:top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cs="Times New Roman"/>
                <w:kern w:val="2"/>
                <w:lang w:eastAsia="zh-CN"/>
              </w:rPr>
              <w:t xml:space="preserve">Similar to the primary RCC, nests of polygonal cells with a rich vascular network. </w:t>
            </w:r>
            <w:r>
              <w:rPr>
                <w:rFonts w:ascii="Book Antiqua" w:hAnsi="Book Antiqua" w:eastAsia="宋体" w:cs="宋体"/>
                <w:kern w:val="0"/>
                <w:lang w:eastAsia="zh-CN"/>
              </w:rPr>
              <w:t>Pseudocapasule.</w:t>
            </w:r>
            <w:r>
              <w:rPr>
                <w:rFonts w:ascii="Book Antiqua" w:hAnsi="Book Antiqua" w:cstheme="minorBidi"/>
                <w:kern w:val="2"/>
                <w:lang w:eastAsia="zh-CN"/>
              </w:rPr>
              <w:t xml:space="preserve"> </w:t>
            </w:r>
            <w:r>
              <w:rPr>
                <w:rFonts w:ascii="Book Antiqua" w:hAnsi="Book Antiqua" w:eastAsia="宋体" w:cs="宋体"/>
                <w:kern w:val="0"/>
                <w:lang w:eastAsia="zh-CN"/>
              </w:rPr>
              <w:t>CD10+, PAX8+, c-kit/CD117+, CK7-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276" w:type="dxa"/>
          </w:tcPr>
          <w:p>
            <w:pPr>
              <w:spacing w:line="360" w:lineRule="auto"/>
              <w:rPr>
                <w:rFonts w:ascii="Book Antiqua" w:hAnsi="Book Antiqua" w:eastAsia="宋体" w:cs="宋体"/>
                <w:kern w:val="0"/>
                <w:lang w:eastAsia="zh-CN"/>
              </w:rPr>
            </w:pPr>
            <w:r>
              <w:rPr>
                <w:rFonts w:ascii="Book Antiqua" w:hAnsi="Book Antiqua" w:eastAsia="宋体" w:cs="宋体"/>
                <w:kern w:val="0"/>
                <w:lang w:eastAsia="zh-CN"/>
              </w:rPr>
              <w:t>pNET</w:t>
            </w:r>
          </w:p>
        </w:tc>
        <w:tc>
          <w:tcPr>
            <w:tcW w:w="1418" w:type="dxa"/>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 xml:space="preserve">Hormone-related symptoms in functional tumor </w:t>
            </w:r>
          </w:p>
        </w:tc>
        <w:tc>
          <w:tcPr>
            <w:tcW w:w="1808" w:type="dxa"/>
          </w:tcPr>
          <w:p>
            <w:pPr>
              <w:spacing w:line="360" w:lineRule="auto"/>
              <w:rPr>
                <w:rFonts w:ascii="Book Antiqua" w:hAnsi="Book Antiqua" w:eastAsia="宋体" w:cs="宋体"/>
                <w:kern w:val="0"/>
                <w:lang w:eastAsia="zh-CN"/>
              </w:rPr>
            </w:pPr>
            <w:bookmarkStart w:id="8" w:name="OLE_LINK182"/>
            <w:bookmarkStart w:id="9" w:name="OLE_LINK181"/>
            <w:r>
              <w:rPr>
                <w:rFonts w:ascii="Book Antiqua" w:hAnsi="Book Antiqua" w:eastAsia="宋体" w:cs="宋体"/>
                <w:kern w:val="0"/>
                <w:lang w:eastAsia="zh-CN"/>
              </w:rPr>
              <w:t>Solitary;</w:t>
            </w:r>
            <w:bookmarkEnd w:id="8"/>
            <w:bookmarkEnd w:id="9"/>
            <w:r>
              <w:rPr>
                <w:rFonts w:ascii="Book Antiqua" w:hAnsi="Book Antiqua" w:eastAsia="宋体" w:cs="宋体"/>
                <w:kern w:val="0"/>
                <w:lang w:eastAsia="zh-CN"/>
              </w:rPr>
              <w:t xml:space="preserve"> More in tail; Small in Functional tumor (&lt; 20 mm); Large in nonfunctional tumor (&gt; 50 mm) </w:t>
            </w:r>
          </w:p>
        </w:tc>
        <w:tc>
          <w:tcPr>
            <w:tcW w:w="1480" w:type="dxa"/>
          </w:tcPr>
          <w:p>
            <w:pPr>
              <w:spacing w:line="360" w:lineRule="auto"/>
              <w:rPr>
                <w:rFonts w:ascii="Book Antiqua" w:hAnsi="Book Antiqua" w:eastAsia="宋体" w:cs="宋体"/>
                <w:kern w:val="0"/>
                <w:lang w:eastAsia="zh-CN"/>
              </w:rPr>
            </w:pPr>
            <w:r>
              <w:rPr>
                <w:rFonts w:ascii="Book Antiqua" w:hAnsi="Book Antiqua" w:eastAsia="宋体" w:cs="宋体"/>
                <w:kern w:val="0"/>
                <w:lang w:eastAsia="zh-CN"/>
              </w:rPr>
              <w:t>Lower density; Clear boundary;</w:t>
            </w:r>
            <w:r>
              <w:rPr>
                <w:rFonts w:hint="eastAsia" w:ascii="Book Antiqua" w:hAnsi="Book Antiqua" w:eastAsia="宋体" w:cs="宋体"/>
                <w:kern w:val="0"/>
                <w:lang w:eastAsia="zh-CN"/>
              </w:rPr>
              <w:t xml:space="preserve"> </w:t>
            </w:r>
          </w:p>
          <w:p>
            <w:pPr>
              <w:spacing w:line="360" w:lineRule="auto"/>
              <w:rPr>
                <w:rFonts w:ascii="Book Antiqua" w:hAnsi="Book Antiqua" w:eastAsia="宋体" w:cs="宋体"/>
                <w:kern w:val="0"/>
                <w:lang w:eastAsia="zh-CN"/>
              </w:rPr>
            </w:pPr>
            <w:bookmarkStart w:id="10" w:name="OLE_LINK172"/>
            <w:bookmarkStart w:id="11" w:name="OLE_LINK171"/>
            <w:r>
              <w:rPr>
                <w:rFonts w:ascii="Book Antiqua" w:hAnsi="Book Antiqua" w:eastAsia="宋体" w:cs="宋体"/>
                <w:kern w:val="0"/>
                <w:lang w:eastAsia="zh-CN"/>
              </w:rPr>
              <w:t>Heterogeneous</w:t>
            </w:r>
            <w:bookmarkEnd w:id="10"/>
            <w:bookmarkEnd w:id="11"/>
            <w:r>
              <w:rPr>
                <w:rFonts w:ascii="Book Antiqua" w:hAnsi="Book Antiqua" w:eastAsia="宋体" w:cs="宋体"/>
                <w:kern w:val="0"/>
                <w:lang w:eastAsia="zh-CN"/>
              </w:rPr>
              <w:t>; Calcification</w:t>
            </w:r>
          </w:p>
        </w:tc>
        <w:tc>
          <w:tcPr>
            <w:tcW w:w="1390" w:type="dxa"/>
          </w:tcPr>
          <w:p>
            <w:pPr>
              <w:spacing w:line="360" w:lineRule="auto"/>
              <w:jc w:val="center"/>
              <w:rPr>
                <w:rFonts w:ascii="Book Antiqua" w:hAnsi="Book Antiqua" w:eastAsia="宋体" w:cs="宋体"/>
                <w:kern w:val="0"/>
                <w:lang w:eastAsia="zh-CN"/>
              </w:rPr>
            </w:pPr>
            <w:r>
              <w:rPr>
                <w:rFonts w:ascii="Book Antiqua" w:hAnsi="Book Antiqua" w:cs="Times New Roman"/>
                <w:kern w:val="2"/>
                <w:lang w:eastAsia="zh-CN"/>
              </w:rPr>
              <w:t>Hypervascular</w:t>
            </w:r>
            <w:r>
              <w:rPr>
                <w:rFonts w:ascii="Book Antiqua" w:hAnsi="Book Antiqua" w:eastAsia="宋体" w:cs="宋体"/>
                <w:kern w:val="0"/>
                <w:lang w:eastAsia="zh-CN"/>
              </w:rPr>
              <w:t xml:space="preserve">; Obvious and continuous; </w:t>
            </w:r>
          </w:p>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Heterogeneous</w:t>
            </w:r>
          </w:p>
        </w:tc>
        <w:tc>
          <w:tcPr>
            <w:tcW w:w="1559" w:type="dxa"/>
          </w:tcPr>
          <w:p>
            <w:pPr>
              <w:pStyle w:val="5"/>
              <w:spacing w:before="0" w:beforeAutospacing="0" w:after="0" w:afterAutospacing="0" w:line="360" w:lineRule="auto"/>
              <w:rPr>
                <w:rFonts w:ascii="Book Antiqua" w:hAnsi="Book Antiqua"/>
                <w:kern w:val="2"/>
              </w:rPr>
            </w:pPr>
            <w:bookmarkStart w:id="12" w:name="OLE_LINK179"/>
            <w:bookmarkStart w:id="13" w:name="OLE_LINK180"/>
            <w:r>
              <w:rPr>
                <w:rFonts w:ascii="Book Antiqua" w:hAnsi="Book Antiqua"/>
                <w:kern w:val="2"/>
              </w:rPr>
              <w:t>Main pancreatic duct</w:t>
            </w:r>
            <w:bookmarkEnd w:id="12"/>
            <w:bookmarkEnd w:id="13"/>
            <w:r>
              <w:rPr>
                <w:rFonts w:ascii="Book Antiqua" w:hAnsi="Book Antiqua"/>
                <w:kern w:val="2"/>
              </w:rPr>
              <w:t xml:space="preserve"> dilation;  No parenchymal atrophy, clear retroperitoneal structure</w:t>
            </w:r>
          </w:p>
          <w:p>
            <w:pPr>
              <w:pStyle w:val="5"/>
              <w:spacing w:before="0" w:beforeAutospacing="0" w:after="0" w:afterAutospacing="0" w:line="360" w:lineRule="auto"/>
              <w:rPr>
                <w:rFonts w:ascii="Book Antiqua" w:hAnsi="Book Antiqua"/>
                <w:kern w:val="2"/>
              </w:rPr>
            </w:pPr>
          </w:p>
        </w:tc>
        <w:tc>
          <w:tcPr>
            <w:tcW w:w="1984" w:type="dxa"/>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Reveals cords, gyriform patterns of tumor cell arrangement, central hemorrhage,</w:t>
            </w:r>
          </w:p>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CgA+, Synaptophysin+, PAX8-</w:t>
            </w:r>
          </w:p>
          <w:p>
            <w:pPr>
              <w:spacing w:line="360" w:lineRule="auto"/>
              <w:jc w:val="center"/>
              <w:rPr>
                <w:rFonts w:ascii="Book Antiqua" w:hAnsi="Book Antiqua" w:eastAsia="宋体" w:cs="宋体"/>
                <w:kern w:val="0"/>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276" w:type="dxa"/>
            <w:tcBorders>
              <w:bottom w:val="single" w:color="auto" w:sz="4" w:space="0"/>
            </w:tcBorders>
          </w:tcPr>
          <w:p>
            <w:pPr>
              <w:spacing w:line="360" w:lineRule="auto"/>
              <w:rPr>
                <w:rFonts w:ascii="Book Antiqua" w:hAnsi="Book Antiqua" w:eastAsia="宋体" w:cs="宋体"/>
                <w:kern w:val="0"/>
                <w:lang w:eastAsia="zh-CN"/>
              </w:rPr>
            </w:pPr>
            <w:r>
              <w:rPr>
                <w:rFonts w:ascii="Book Antiqua" w:hAnsi="Book Antiqua" w:cs="Times New Roman"/>
                <w:kern w:val="2"/>
                <w:lang w:eastAsia="zh-CN"/>
              </w:rPr>
              <w:t>Clear cell carcinoma of the pancreas</w:t>
            </w:r>
          </w:p>
        </w:tc>
        <w:tc>
          <w:tcPr>
            <w:tcW w:w="1418" w:type="dxa"/>
            <w:tcBorders>
              <w:bottom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Subxiphoid abdominal pain,</w:t>
            </w:r>
            <w:r>
              <w:rPr>
                <w:rFonts w:ascii="Book Antiqua" w:hAnsi="Book Antiqua" w:cstheme="minorBidi"/>
                <w:kern w:val="2"/>
                <w:lang w:eastAsia="zh-CN"/>
              </w:rPr>
              <w:t xml:space="preserve"> </w:t>
            </w:r>
            <w:r>
              <w:rPr>
                <w:rFonts w:ascii="Book Antiqua" w:hAnsi="Book Antiqua" w:eastAsia="宋体" w:cs="宋体"/>
                <w:kern w:val="0"/>
                <w:lang w:eastAsia="zh-CN"/>
              </w:rPr>
              <w:t>jaundice,</w:t>
            </w:r>
            <w:r>
              <w:rPr>
                <w:rFonts w:ascii="Book Antiqua" w:hAnsi="Book Antiqua" w:cstheme="minorBidi"/>
                <w:kern w:val="2"/>
                <w:lang w:eastAsia="zh-CN"/>
              </w:rPr>
              <w:t xml:space="preserve"> </w:t>
            </w:r>
            <w:r>
              <w:rPr>
                <w:rFonts w:ascii="Book Antiqua" w:hAnsi="Book Antiqua" w:eastAsia="宋体" w:cs="宋体"/>
                <w:kern w:val="0"/>
                <w:lang w:eastAsia="zh-CN"/>
              </w:rPr>
              <w:t>athrepsy</w:t>
            </w:r>
          </w:p>
        </w:tc>
        <w:tc>
          <w:tcPr>
            <w:tcW w:w="1808" w:type="dxa"/>
            <w:tcBorders>
              <w:bottom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 xml:space="preserve">Solitary; More in head; 10 mm to 100 mm </w:t>
            </w:r>
          </w:p>
          <w:p>
            <w:pPr>
              <w:spacing w:line="360" w:lineRule="auto"/>
              <w:jc w:val="center"/>
              <w:rPr>
                <w:rFonts w:ascii="Book Antiqua" w:hAnsi="Book Antiqua" w:eastAsia="宋体" w:cs="宋体"/>
                <w:kern w:val="0"/>
                <w:lang w:eastAsia="zh-CN"/>
              </w:rPr>
            </w:pPr>
          </w:p>
        </w:tc>
        <w:tc>
          <w:tcPr>
            <w:tcW w:w="1480" w:type="dxa"/>
            <w:tcBorders>
              <w:bottom w:val="single" w:color="auto" w:sz="4" w:space="0"/>
            </w:tcBorders>
          </w:tcPr>
          <w:p>
            <w:pPr>
              <w:spacing w:line="360" w:lineRule="auto"/>
              <w:rPr>
                <w:rFonts w:ascii="Book Antiqua" w:hAnsi="Book Antiqua" w:eastAsia="宋体" w:cs="宋体"/>
                <w:kern w:val="0"/>
                <w:lang w:eastAsia="zh-CN"/>
              </w:rPr>
            </w:pPr>
            <w:r>
              <w:rPr>
                <w:rFonts w:ascii="Book Antiqua" w:hAnsi="Book Antiqua" w:eastAsia="宋体" w:cs="宋体"/>
                <w:kern w:val="0"/>
                <w:lang w:eastAsia="zh-CN"/>
              </w:rPr>
              <w:t>Lower density;  Unclear boundary; Heterogeneous;</w:t>
            </w:r>
          </w:p>
        </w:tc>
        <w:tc>
          <w:tcPr>
            <w:tcW w:w="1390" w:type="dxa"/>
            <w:tcBorders>
              <w:bottom w:val="single" w:color="auto" w:sz="4" w:space="0"/>
            </w:tcBorders>
          </w:tcPr>
          <w:p>
            <w:pPr>
              <w:spacing w:line="360" w:lineRule="auto"/>
              <w:jc w:val="center"/>
              <w:rPr>
                <w:rFonts w:ascii="Book Antiqua" w:hAnsi="Book Antiqua" w:eastAsia="宋体" w:cs="宋体"/>
                <w:kern w:val="0"/>
                <w:lang w:eastAsia="zh-CN"/>
              </w:rPr>
            </w:pPr>
            <w:bookmarkStart w:id="14" w:name="OLE_LINK188"/>
            <w:bookmarkStart w:id="15" w:name="OLE_LINK189"/>
            <w:r>
              <w:rPr>
                <w:rFonts w:ascii="Book Antiqua" w:hAnsi="Book Antiqua" w:eastAsia="宋体" w:cs="宋体"/>
                <w:kern w:val="0"/>
                <w:lang w:eastAsia="zh-CN"/>
              </w:rPr>
              <w:t xml:space="preserve">Hypovascular; </w:t>
            </w:r>
            <w:bookmarkEnd w:id="14"/>
            <w:bookmarkEnd w:id="15"/>
            <w:r>
              <w:rPr>
                <w:rFonts w:ascii="Book Antiqua" w:hAnsi="Book Antiqua" w:eastAsia="宋体" w:cs="宋体"/>
                <w:kern w:val="0"/>
                <w:lang w:eastAsia="zh-CN"/>
              </w:rPr>
              <w:t>Mild in arterial phase but delayed in venous phase</w:t>
            </w:r>
          </w:p>
        </w:tc>
        <w:tc>
          <w:tcPr>
            <w:tcW w:w="1559" w:type="dxa"/>
            <w:tcBorders>
              <w:bottom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Parenchymal atrophy and pancreatic and bile duct cutoff and dilatation; early metastasis</w:t>
            </w:r>
          </w:p>
        </w:tc>
        <w:tc>
          <w:tcPr>
            <w:tcW w:w="1984" w:type="dxa"/>
            <w:tcBorders>
              <w:bottom w:val="single" w:color="auto" w:sz="4" w:space="0"/>
            </w:tcBorders>
          </w:tcPr>
          <w:p>
            <w:pPr>
              <w:spacing w:line="360" w:lineRule="auto"/>
              <w:jc w:val="center"/>
              <w:rPr>
                <w:rFonts w:ascii="Book Antiqua" w:hAnsi="Book Antiqua" w:eastAsia="宋体" w:cs="宋体"/>
                <w:kern w:val="0"/>
                <w:lang w:eastAsia="zh-CN"/>
              </w:rPr>
            </w:pPr>
            <w:r>
              <w:rPr>
                <w:rFonts w:ascii="Book Antiqua" w:hAnsi="Book Antiqua" w:eastAsia="宋体" w:cs="宋体"/>
                <w:kern w:val="0"/>
                <w:lang w:eastAsia="zh-CN"/>
              </w:rPr>
              <w:t>Virtue of tubular/glandular structures lined by clear cells with varying degrees of nuclear atypia; areas of conventional pancreatic ductal adenocarcinoma are present; CD10-, PAX8-</w:t>
            </w:r>
          </w:p>
        </w:tc>
      </w:tr>
    </w:tbl>
    <w:p>
      <w:pPr>
        <w:spacing w:line="360" w:lineRule="auto"/>
        <w:rPr>
          <w:rFonts w:ascii="Book Antiqua" w:hAnsi="Book Antiqua" w:eastAsia="宋体" w:cs="宋体"/>
        </w:rPr>
      </w:pPr>
      <w:r>
        <w:rPr>
          <w:rFonts w:ascii="Book Antiqua" w:hAnsi="Book Antiqua" w:eastAsia="宋体" w:cs="宋体"/>
        </w:rPr>
        <w:t>CT: Computed tomography; isPM-RCC</w:t>
      </w:r>
      <w:r>
        <w:rPr>
          <w:rFonts w:hint="eastAsia" w:ascii="Book Antiqua" w:hAnsi="Book Antiqua" w:eastAsia="宋体" w:cs="宋体"/>
          <w:lang w:val="en-US" w:eastAsia="zh-CN"/>
        </w:rPr>
        <w:t xml:space="preserve">: </w:t>
      </w:r>
      <w:r>
        <w:rPr>
          <w:rFonts w:ascii="Book Antiqua" w:hAnsi="Book Antiqua" w:eastAsia="宋体" w:cs="宋体"/>
        </w:rPr>
        <w:t xml:space="preserve">Isolated </w:t>
      </w:r>
      <w:bookmarkStart w:id="16" w:name="OLE_LINK56"/>
      <w:bookmarkStart w:id="17" w:name="OLE_LINK57"/>
      <w:r>
        <w:rPr>
          <w:rFonts w:ascii="Book Antiqua" w:hAnsi="Book Antiqua" w:eastAsia="宋体" w:cs="宋体"/>
        </w:rPr>
        <w:t>pancreatic metastasis from renal cell cancer</w:t>
      </w:r>
      <w:bookmarkEnd w:id="16"/>
      <w:bookmarkEnd w:id="17"/>
      <w:r>
        <w:rPr>
          <w:rFonts w:ascii="Book Antiqua" w:hAnsi="Book Antiqua" w:eastAsia="宋体" w:cs="宋体"/>
        </w:rPr>
        <w:t>; pNET: Pancreatic neuroendocrine tumor.</w:t>
      </w:r>
    </w:p>
    <w:p>
      <w:pPr>
        <w:spacing w:line="360" w:lineRule="auto"/>
        <w:rPr>
          <w:rFonts w:ascii="Book Antiqua" w:hAnsi="Book Antiqua" w:eastAsia="宋体" w:cs="宋体"/>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color w:val="4F81BD" w:themeColor="accent1"/>
        <w:lang w:val="zh-CN" w:eastAsia="zh-CN"/>
        <w14:textFill>
          <w14:solidFill>
            <w14:schemeClr w14:val="accent1"/>
          </w14:solidFill>
        </w14:textFill>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19</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56B7D"/>
    <w:rsid w:val="000B7D4D"/>
    <w:rsid w:val="000C2391"/>
    <w:rsid w:val="000D5688"/>
    <w:rsid w:val="00110D79"/>
    <w:rsid w:val="00124D31"/>
    <w:rsid w:val="002634F2"/>
    <w:rsid w:val="002B3605"/>
    <w:rsid w:val="002C6155"/>
    <w:rsid w:val="002E78D7"/>
    <w:rsid w:val="003269E1"/>
    <w:rsid w:val="0033783D"/>
    <w:rsid w:val="003A0ABB"/>
    <w:rsid w:val="00424F64"/>
    <w:rsid w:val="004320AB"/>
    <w:rsid w:val="00510ECF"/>
    <w:rsid w:val="00547B18"/>
    <w:rsid w:val="006C3468"/>
    <w:rsid w:val="00704A0B"/>
    <w:rsid w:val="007063EE"/>
    <w:rsid w:val="00713D0E"/>
    <w:rsid w:val="0079323A"/>
    <w:rsid w:val="007B3A68"/>
    <w:rsid w:val="007B7834"/>
    <w:rsid w:val="007D6506"/>
    <w:rsid w:val="007F04C2"/>
    <w:rsid w:val="00811E14"/>
    <w:rsid w:val="009006B8"/>
    <w:rsid w:val="00910332"/>
    <w:rsid w:val="00982263"/>
    <w:rsid w:val="00A14F27"/>
    <w:rsid w:val="00A16F90"/>
    <w:rsid w:val="00A77B3E"/>
    <w:rsid w:val="00B117A0"/>
    <w:rsid w:val="00B25A14"/>
    <w:rsid w:val="00B8118A"/>
    <w:rsid w:val="00B96B8C"/>
    <w:rsid w:val="00C55C99"/>
    <w:rsid w:val="00CA2A55"/>
    <w:rsid w:val="00D00BB3"/>
    <w:rsid w:val="00D75A8C"/>
    <w:rsid w:val="00DD0181"/>
    <w:rsid w:val="00DE67D5"/>
    <w:rsid w:val="00E038B5"/>
    <w:rsid w:val="00E37B51"/>
    <w:rsid w:val="00E52489"/>
    <w:rsid w:val="00E7512C"/>
    <w:rsid w:val="00E9394F"/>
    <w:rsid w:val="00EF5FD1"/>
    <w:rsid w:val="00F279D4"/>
    <w:rsid w:val="00F72B8E"/>
    <w:rsid w:val="00FB726E"/>
    <w:rsid w:val="09171A72"/>
    <w:rsid w:val="3F031ABB"/>
    <w:rsid w:val="4FFD0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link w:val="12"/>
    <w:unhideWhenUsed/>
    <w:qFormat/>
    <w:uiPriority w:val="99"/>
    <w:pPr>
      <w:spacing w:before="100" w:beforeAutospacing="1" w:after="100" w:afterAutospacing="1"/>
    </w:pPr>
    <w:rPr>
      <w:rFonts w:ascii="宋体" w:hAnsi="宋体" w:eastAsia="宋体" w:cs="宋体"/>
      <w:lang w:eastAsia="zh-CN"/>
    </w:rPr>
  </w:style>
  <w:style w:type="table" w:styleId="7">
    <w:name w:val="Table Grid"/>
    <w:basedOn w:val="6"/>
    <w:qFormat/>
    <w:uiPriority w:val="39"/>
    <w:rPr>
      <w:rFonts w:asciiTheme="minorHAnsi" w:hAnsiTheme="minorHAnsi" w:cstheme="minorBidi"/>
      <w:kern w:val="2"/>
      <w:sz w:val="21"/>
      <w:szCs w:val="24"/>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qFormat/>
    <w:uiPriority w:val="0"/>
    <w:rPr>
      <w:sz w:val="18"/>
      <w:szCs w:val="18"/>
    </w:rPr>
  </w:style>
  <w:style w:type="character" w:customStyle="1" w:styleId="10">
    <w:name w:val="页脚 Char"/>
    <w:basedOn w:val="8"/>
    <w:link w:val="3"/>
    <w:qFormat/>
    <w:uiPriority w:val="99"/>
    <w:rPr>
      <w:sz w:val="18"/>
      <w:szCs w:val="18"/>
    </w:rPr>
  </w:style>
  <w:style w:type="character" w:customStyle="1" w:styleId="11">
    <w:name w:val="批注框文本 Char"/>
    <w:basedOn w:val="8"/>
    <w:link w:val="2"/>
    <w:qFormat/>
    <w:uiPriority w:val="0"/>
    <w:rPr>
      <w:sz w:val="18"/>
      <w:szCs w:val="18"/>
    </w:rPr>
  </w:style>
  <w:style w:type="character" w:customStyle="1" w:styleId="12">
    <w:name w:val="普通(网站) Char"/>
    <w:basedOn w:val="8"/>
    <w:link w:val="5"/>
    <w:qFormat/>
    <w:uiPriority w:val="99"/>
    <w:rPr>
      <w:rFonts w:ascii="宋体" w:hAnsi="宋体" w:eastAsia="宋体" w:cs="宋体"/>
      <w:sz w:val="24"/>
      <w:szCs w:val="24"/>
      <w:lang w:eastAsia="zh-CN"/>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4199</Words>
  <Characters>24575</Characters>
  <Lines>201</Lines>
  <Paragraphs>56</Paragraphs>
  <TotalTime>0</TotalTime>
  <ScaleCrop>false</ScaleCrop>
  <LinksUpToDate>false</LinksUpToDate>
  <CharactersWithSpaces>28645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2022-07-21T17:52:00Z</dcterms:created>
  <dc:creator>梅长苏</dc:creator>
  <cp:lastModifiedBy>晓晨</cp:lastModifiedBy>
  <dcterms:modified xsi:type="dcterms:W3CDTF">2022-08-26T06:04:54Z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47EFCDC5A3054A6A8779DD3FD0E05838</vt:lpwstr>
  </property>
</Properties>
</file>