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39" w:rsidRDefault="0021728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rsidR="00EE3239" w:rsidRDefault="0021728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76486</w:t>
      </w:r>
    </w:p>
    <w:p w:rsidR="00EE3239" w:rsidRDefault="0021728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EE3239" w:rsidRDefault="00EE3239">
      <w:pPr>
        <w:spacing w:line="360" w:lineRule="auto"/>
        <w:jc w:val="both"/>
      </w:pPr>
    </w:p>
    <w:p w:rsidR="00EE3239" w:rsidRDefault="0021728D">
      <w:pPr>
        <w:spacing w:line="360" w:lineRule="auto"/>
        <w:jc w:val="both"/>
      </w:pPr>
      <w:r>
        <w:rPr>
          <w:rFonts w:ascii="Book Antiqua" w:hAnsi="Book Antiqua" w:cs="Book Antiqua" w:hint="eastAsia"/>
          <w:b/>
          <w:bCs/>
          <w:color w:val="000000"/>
          <w:lang w:eastAsia="zh-CN"/>
        </w:rPr>
        <w:t>M</w:t>
      </w:r>
      <w:r>
        <w:rPr>
          <w:rFonts w:ascii="Book Antiqua" w:eastAsia="Book Antiqua" w:hAnsi="Book Antiqua" w:cs="Book Antiqua"/>
          <w:b/>
          <w:bCs/>
          <w:color w:val="000000"/>
        </w:rPr>
        <w:t>etabolic</w:t>
      </w:r>
      <w:r>
        <w:rPr>
          <w:rFonts w:ascii="Book Antiqua" w:hAnsi="Book Antiqua" w:cs="Book Antiqua" w:hint="eastAsia"/>
          <w:b/>
          <w:bCs/>
          <w:color w:val="000000"/>
          <w:lang w:eastAsia="zh-CN"/>
        </w:rPr>
        <w:t>-</w:t>
      </w:r>
      <w:r>
        <w:rPr>
          <w:rFonts w:ascii="Book Antiqua" w:eastAsia="Book Antiqua" w:hAnsi="Book Antiqua" w:cs="Book Antiqua"/>
          <w:b/>
          <w:bCs/>
          <w:color w:val="000000"/>
        </w:rPr>
        <w:t>epigenetic nexus in regulation of stem cell fate</w:t>
      </w:r>
    </w:p>
    <w:p w:rsidR="00EE3239" w:rsidRDefault="00EE3239">
      <w:pPr>
        <w:spacing w:line="360" w:lineRule="auto"/>
        <w:jc w:val="both"/>
      </w:pPr>
    </w:p>
    <w:p w:rsidR="00EE3239" w:rsidRDefault="0021728D">
      <w:pPr>
        <w:spacing w:line="360" w:lineRule="auto"/>
        <w:jc w:val="both"/>
      </w:pPr>
      <w:r>
        <w:rPr>
          <w:rFonts w:ascii="Book Antiqua" w:eastAsia="Book Antiqua" w:hAnsi="Book Antiqua" w:cs="Book Antiqua"/>
          <w:color w:val="000000"/>
        </w:rPr>
        <w:t xml:space="preserve">Liu </w:t>
      </w:r>
      <w:r>
        <w:rPr>
          <w:rFonts w:ascii="Book Antiqua" w:hAnsi="Book Antiqua" w:cs="Book Antiqua" w:hint="eastAsia"/>
          <w:color w:val="000000"/>
          <w:lang w:eastAsia="zh-CN"/>
        </w:rPr>
        <w:t xml:space="preserve">Y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Metabolic-epigenetic nexus effect</w:t>
      </w:r>
    </w:p>
    <w:p w:rsidR="00EE3239" w:rsidRDefault="00EE3239">
      <w:pPr>
        <w:spacing w:line="360" w:lineRule="auto"/>
        <w:jc w:val="both"/>
      </w:pPr>
    </w:p>
    <w:p w:rsidR="00EE3239" w:rsidRDefault="0021728D">
      <w:pPr>
        <w:spacing w:line="360" w:lineRule="auto"/>
        <w:jc w:val="both"/>
      </w:pPr>
      <w:r>
        <w:rPr>
          <w:rFonts w:ascii="Book Antiqua" w:eastAsia="Book Antiqua" w:hAnsi="Book Antiqua" w:cs="Book Antiqua"/>
          <w:color w:val="000000"/>
        </w:rPr>
        <w:t xml:space="preserve">Yi </w:t>
      </w:r>
      <w:bookmarkStart w:id="0" w:name="OLE_LINK2"/>
      <w:bookmarkStart w:id="1" w:name="OLE_LINK3"/>
      <w:bookmarkStart w:id="2" w:name="OLE_LINK1"/>
      <w:r>
        <w:rPr>
          <w:rFonts w:ascii="Book Antiqua" w:eastAsia="Book Antiqua" w:hAnsi="Book Antiqua" w:cs="Book Antiqua"/>
          <w:color w:val="000000"/>
        </w:rPr>
        <w:t>Liu</w:t>
      </w:r>
      <w:bookmarkEnd w:id="0"/>
      <w:bookmarkEnd w:id="1"/>
      <w:bookmarkEnd w:id="2"/>
      <w:r>
        <w:rPr>
          <w:rFonts w:ascii="Book Antiqua" w:eastAsia="Book Antiqua" w:hAnsi="Book Antiqua" w:cs="Book Antiqua"/>
          <w:color w:val="000000"/>
        </w:rPr>
        <w:t xml:space="preserve">, Di-Xin Cui, Yue Pan, Si-Han Yu, Li-Wei Zheng, </w:t>
      </w:r>
      <w:r>
        <w:rPr>
          <w:rFonts w:ascii="Book Antiqua" w:eastAsia="Book Antiqua" w:hAnsi="Book Antiqua" w:cs="Book Antiqua"/>
          <w:color w:val="000000"/>
        </w:rPr>
        <w:t>Mian Wan</w:t>
      </w:r>
    </w:p>
    <w:p w:rsidR="00EE3239" w:rsidRDefault="00EE3239">
      <w:pPr>
        <w:spacing w:line="360" w:lineRule="auto"/>
        <w:jc w:val="both"/>
      </w:pPr>
    </w:p>
    <w:p w:rsidR="00EE3239" w:rsidRDefault="0021728D">
      <w:pPr>
        <w:spacing w:line="360" w:lineRule="auto"/>
        <w:jc w:val="both"/>
      </w:pPr>
      <w:r>
        <w:rPr>
          <w:rFonts w:ascii="Book Antiqua" w:eastAsia="Book Antiqua" w:hAnsi="Book Antiqua" w:cs="Book Antiqua"/>
          <w:b/>
          <w:bCs/>
          <w:color w:val="000000"/>
        </w:rPr>
        <w:t xml:space="preserve">Yi Liu, Di-Xin Cui, Yue Pan, Si-Han Yu, Li-Wei Zheng, </w:t>
      </w:r>
      <w:r>
        <w:rPr>
          <w:rFonts w:ascii="Book Antiqua" w:eastAsia="Book Antiqua" w:hAnsi="Book Antiqua" w:cs="Book Antiqua"/>
          <w:color w:val="000000"/>
        </w:rPr>
        <w:t>State Key Laboratory of Oral Diseases, National Clinical Research Center for Oral Diseases, Department of Pediatric Dentistry, West China Hospital of Stomatology, Sichuan University, Chengdu 6</w:t>
      </w:r>
      <w:r>
        <w:rPr>
          <w:rFonts w:ascii="Book Antiqua" w:eastAsia="Book Antiqua" w:hAnsi="Book Antiqua" w:cs="Book Antiqua"/>
          <w:color w:val="000000"/>
        </w:rPr>
        <w:t>10041, Sichuan</w:t>
      </w:r>
      <w:r>
        <w:rPr>
          <w:rFonts w:ascii="Book Antiqua" w:hAnsi="Book Antiqua" w:cs="Book Antiqua" w:hint="eastAsia"/>
          <w:color w:val="000000"/>
          <w:lang w:eastAsia="zh-CN"/>
        </w:rPr>
        <w:t xml:space="preserve"> </w:t>
      </w:r>
      <w:bookmarkStart w:id="3" w:name="OLE_LINK5"/>
      <w:bookmarkStart w:id="4" w:name="OLE_LINK4"/>
      <w:r>
        <w:rPr>
          <w:rFonts w:ascii="Book Antiqua" w:hAnsi="Book Antiqua" w:cs="Book Antiqua" w:hint="eastAsia"/>
          <w:color w:val="000000"/>
          <w:lang w:eastAsia="zh-CN"/>
        </w:rPr>
        <w:t>Province</w:t>
      </w:r>
      <w:bookmarkEnd w:id="3"/>
      <w:bookmarkEnd w:id="4"/>
      <w:r>
        <w:rPr>
          <w:rFonts w:ascii="Book Antiqua" w:eastAsia="Book Antiqua" w:hAnsi="Book Antiqua" w:cs="Book Antiqua"/>
          <w:color w:val="000000"/>
        </w:rPr>
        <w:t>, China</w:t>
      </w:r>
    </w:p>
    <w:p w:rsidR="00EE3239" w:rsidRDefault="00EE3239">
      <w:pPr>
        <w:spacing w:line="360" w:lineRule="auto"/>
        <w:jc w:val="both"/>
      </w:pPr>
    </w:p>
    <w:p w:rsidR="00EE3239" w:rsidRDefault="0021728D">
      <w:pPr>
        <w:spacing w:line="360" w:lineRule="auto"/>
        <w:jc w:val="both"/>
      </w:pPr>
      <w:r>
        <w:rPr>
          <w:rFonts w:ascii="Book Antiqua" w:eastAsia="Book Antiqua" w:hAnsi="Book Antiqua" w:cs="Book Antiqua"/>
          <w:b/>
          <w:bCs/>
          <w:color w:val="000000"/>
        </w:rPr>
        <w:t xml:space="preserve">Mian Wan, </w:t>
      </w:r>
      <w:r>
        <w:rPr>
          <w:rFonts w:ascii="Book Antiqua" w:eastAsia="Book Antiqua" w:hAnsi="Book Antiqua" w:cs="Book Antiqua"/>
          <w:color w:val="000000"/>
        </w:rPr>
        <w:t>State Key Laboratory of Oral Diseases, National Clinical Research Center for Oral Diseases, Department of Cariology and Endodontics, West China Hospital of Stomatology, Sichuan University, Chengdu 610041, Sichuan</w:t>
      </w:r>
      <w:r>
        <w:rPr>
          <w:rFonts w:ascii="Book Antiqua" w:hAnsi="Book Antiqua" w:cs="Book Antiqua" w:hint="eastAsia"/>
          <w:color w:val="000000"/>
          <w:lang w:eastAsia="zh-CN"/>
        </w:rPr>
        <w:t xml:space="preserve"> </w:t>
      </w:r>
      <w:bookmarkStart w:id="5" w:name="OLE_LINK7"/>
      <w:bookmarkStart w:id="6" w:name="OLE_LINK6"/>
      <w:r>
        <w:rPr>
          <w:rFonts w:ascii="Book Antiqua" w:hAnsi="Book Antiqua" w:cs="Book Antiqua" w:hint="eastAsia"/>
          <w:color w:val="000000"/>
          <w:lang w:eastAsia="zh-CN"/>
        </w:rPr>
        <w:t>P</w:t>
      </w:r>
      <w:r>
        <w:rPr>
          <w:rFonts w:ascii="Book Antiqua" w:hAnsi="Book Antiqua" w:cs="Book Antiqua" w:hint="eastAsia"/>
          <w:color w:val="000000"/>
          <w:lang w:eastAsia="zh-CN"/>
        </w:rPr>
        <w:t>rovince</w:t>
      </w:r>
      <w:bookmarkEnd w:id="5"/>
      <w:bookmarkEnd w:id="6"/>
      <w:r>
        <w:rPr>
          <w:rFonts w:ascii="Book Antiqua" w:eastAsia="Book Antiqua" w:hAnsi="Book Antiqua" w:cs="Book Antiqua"/>
          <w:color w:val="000000"/>
        </w:rPr>
        <w:t>, China</w:t>
      </w:r>
    </w:p>
    <w:p w:rsidR="00EE3239" w:rsidRDefault="00EE3239">
      <w:pPr>
        <w:spacing w:line="360" w:lineRule="auto"/>
        <w:jc w:val="both"/>
      </w:pPr>
    </w:p>
    <w:p w:rsidR="00EE3239" w:rsidRDefault="0021728D">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hd w:val="clear" w:color="auto" w:fill="FFFFFF"/>
        </w:rPr>
        <w:t>Liu Y and Wan M conceived and designed the study</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Cui DX, Pan Y and Yu SH collected materials; Liu Y wrote the paper; Zheng LW and Wan M revised the manuscript critically; all authors have read and approved the final </w:t>
      </w:r>
      <w:r>
        <w:rPr>
          <w:rFonts w:ascii="Book Antiqua" w:eastAsia="Book Antiqua" w:hAnsi="Book Antiqua" w:cs="Book Antiqua"/>
          <w:color w:val="000000"/>
          <w:shd w:val="clear" w:color="auto" w:fill="FFFFFF"/>
        </w:rPr>
        <w:t>manuscript.</w:t>
      </w:r>
    </w:p>
    <w:p w:rsidR="00EE3239" w:rsidRDefault="00EE3239">
      <w:pPr>
        <w:spacing w:line="360" w:lineRule="auto"/>
        <w:jc w:val="both"/>
      </w:pPr>
    </w:p>
    <w:p w:rsidR="00EE3239" w:rsidRDefault="0021728D">
      <w:pPr>
        <w:spacing w:line="360" w:lineRule="auto"/>
        <w:jc w:val="both"/>
        <w:rPr>
          <w:rFonts w:ascii="Book Antiqua" w:hAnsi="Book Antiqua" w:cs="Book Antiqua"/>
          <w:b/>
          <w:bCs/>
          <w:color w:val="000000"/>
          <w:lang w:eastAsia="zh-CN"/>
        </w:rPr>
      </w:pPr>
      <w:r>
        <w:rPr>
          <w:rFonts w:ascii="Book Antiqua" w:hAnsi="Book Antiqua" w:cs="Book Antiqua" w:hint="eastAsia"/>
          <w:b/>
          <w:bCs/>
          <w:color w:val="000000"/>
          <w:lang w:eastAsia="zh-CN"/>
        </w:rPr>
        <w:t xml:space="preserve">Supported by </w:t>
      </w:r>
      <w:r>
        <w:rPr>
          <w:rFonts w:ascii="Book Antiqua" w:hAnsi="Book Antiqua" w:cs="Book Antiqua" w:hint="eastAsia"/>
          <w:bCs/>
          <w:color w:val="000000"/>
          <w:lang w:eastAsia="zh-CN"/>
        </w:rPr>
        <w:t xml:space="preserve">the </w:t>
      </w:r>
      <w:r>
        <w:rPr>
          <w:rFonts w:ascii="Book Antiqua" w:hAnsi="Book Antiqua" w:cs="Book Antiqua"/>
          <w:bCs/>
          <w:color w:val="000000"/>
          <w:lang w:eastAsia="zh-CN"/>
        </w:rPr>
        <w:t>National Natural Science Foundation of China (General Program)</w:t>
      </w:r>
      <w:r>
        <w:rPr>
          <w:rFonts w:ascii="Book Antiqua" w:hAnsi="Book Antiqua" w:cs="Book Antiqua" w:hint="eastAsia"/>
          <w:bCs/>
          <w:color w:val="000000"/>
          <w:lang w:eastAsia="zh-CN"/>
        </w:rPr>
        <w:t xml:space="preserve">, No. </w:t>
      </w:r>
      <w:r>
        <w:rPr>
          <w:rFonts w:ascii="Book Antiqua" w:hAnsi="Book Antiqua" w:cs="Book Antiqua"/>
          <w:bCs/>
          <w:color w:val="000000"/>
          <w:lang w:eastAsia="zh-CN"/>
        </w:rPr>
        <w:t>82170921</w:t>
      </w:r>
      <w:r>
        <w:rPr>
          <w:rFonts w:ascii="Book Antiqua" w:hAnsi="Book Antiqua" w:cs="Book Antiqua" w:hint="eastAsia"/>
          <w:bCs/>
          <w:color w:val="000000"/>
          <w:lang w:eastAsia="zh-CN"/>
        </w:rPr>
        <w:t xml:space="preserve">; the </w:t>
      </w:r>
      <w:r>
        <w:rPr>
          <w:rFonts w:ascii="Book Antiqua" w:hAnsi="Book Antiqua" w:cs="Book Antiqua"/>
          <w:bCs/>
          <w:color w:val="000000"/>
          <w:lang w:eastAsia="zh-CN"/>
        </w:rPr>
        <w:t>Sichuan Science and Technology Program</w:t>
      </w:r>
      <w:r>
        <w:rPr>
          <w:rFonts w:ascii="Book Antiqua" w:hAnsi="Book Antiqua" w:cs="Book Antiqua" w:hint="eastAsia"/>
          <w:bCs/>
          <w:color w:val="000000"/>
          <w:lang w:eastAsia="zh-CN"/>
        </w:rPr>
        <w:t xml:space="preserve">, No. </w:t>
      </w:r>
      <w:r>
        <w:rPr>
          <w:rFonts w:ascii="Book Antiqua" w:hAnsi="Book Antiqua" w:cs="Book Antiqua"/>
          <w:bCs/>
          <w:color w:val="000000"/>
          <w:lang w:eastAsia="zh-CN"/>
        </w:rPr>
        <w:t>2022YFS0284</w:t>
      </w:r>
      <w:r>
        <w:rPr>
          <w:rFonts w:ascii="Book Antiqua" w:hAnsi="Book Antiqua" w:cs="Book Antiqua" w:hint="eastAsia"/>
          <w:bCs/>
          <w:color w:val="000000"/>
          <w:lang w:eastAsia="zh-CN"/>
        </w:rPr>
        <w:t xml:space="preserve">; and the </w:t>
      </w:r>
      <w:r>
        <w:rPr>
          <w:rFonts w:ascii="Book Antiqua" w:hAnsi="Book Antiqua" w:cs="Book Antiqua"/>
          <w:bCs/>
          <w:color w:val="000000"/>
          <w:lang w:eastAsia="zh-CN"/>
        </w:rPr>
        <w:t>Research and Develop Program, West China Hospital of Stomatology Sichuan Univer</w:t>
      </w:r>
      <w:r>
        <w:rPr>
          <w:rFonts w:ascii="Book Antiqua" w:hAnsi="Book Antiqua" w:cs="Book Antiqua"/>
          <w:bCs/>
          <w:color w:val="000000"/>
          <w:lang w:eastAsia="zh-CN"/>
        </w:rPr>
        <w:t>sity</w:t>
      </w:r>
      <w:r>
        <w:rPr>
          <w:rFonts w:ascii="Book Antiqua" w:hAnsi="Book Antiqua" w:cs="Book Antiqua" w:hint="eastAsia"/>
          <w:bCs/>
          <w:color w:val="000000"/>
          <w:lang w:eastAsia="zh-CN"/>
        </w:rPr>
        <w:t xml:space="preserve">, No. </w:t>
      </w:r>
      <w:r>
        <w:rPr>
          <w:rFonts w:ascii="Book Antiqua" w:hAnsi="Book Antiqua" w:cs="Book Antiqua"/>
          <w:bCs/>
          <w:color w:val="000000"/>
          <w:lang w:eastAsia="zh-CN"/>
        </w:rPr>
        <w:t>LCYJ2019-24</w:t>
      </w:r>
      <w:r>
        <w:rPr>
          <w:rFonts w:ascii="Book Antiqua" w:hAnsi="Book Antiqua" w:cs="Book Antiqua" w:hint="eastAsia"/>
          <w:bCs/>
          <w:color w:val="000000"/>
          <w:lang w:eastAsia="zh-CN"/>
        </w:rPr>
        <w:t>.</w:t>
      </w:r>
    </w:p>
    <w:p w:rsidR="00EE3239" w:rsidRDefault="00EE3239">
      <w:pPr>
        <w:spacing w:line="360" w:lineRule="auto"/>
        <w:jc w:val="both"/>
        <w:rPr>
          <w:rFonts w:ascii="Book Antiqua" w:hAnsi="Book Antiqua" w:cs="Book Antiqua"/>
          <w:b/>
          <w:bCs/>
          <w:color w:val="000000"/>
          <w:lang w:eastAsia="zh-CN"/>
        </w:rPr>
      </w:pPr>
    </w:p>
    <w:p w:rsidR="00EE3239" w:rsidRDefault="0021728D">
      <w:pPr>
        <w:spacing w:line="360" w:lineRule="auto"/>
        <w:jc w:val="both"/>
      </w:pPr>
      <w:r>
        <w:rPr>
          <w:rFonts w:ascii="Book Antiqua" w:eastAsia="Book Antiqua" w:hAnsi="Book Antiqua" w:cs="Book Antiqua"/>
          <w:b/>
          <w:bCs/>
          <w:color w:val="000000"/>
        </w:rPr>
        <w:lastRenderedPageBreak/>
        <w:t xml:space="preserve">Corresponding author: Mian Wan, DDS, PhD, Academic Research, Attending Doctor, Lecturer, Postdoctoral Fellow, </w:t>
      </w:r>
      <w:r>
        <w:rPr>
          <w:rFonts w:ascii="Book Antiqua" w:eastAsia="Book Antiqua" w:hAnsi="Book Antiqua" w:cs="Book Antiqua"/>
          <w:color w:val="000000"/>
        </w:rPr>
        <w:t>State Key Laboratory of Oral Diseases, National Clinical Research Center for Oral Diseases, Department of Cariology and En</w:t>
      </w:r>
      <w:r>
        <w:rPr>
          <w:rFonts w:ascii="Book Antiqua" w:eastAsia="Book Antiqua" w:hAnsi="Book Antiqua" w:cs="Book Antiqua"/>
          <w:color w:val="000000"/>
        </w:rPr>
        <w:t>dodontics, West China Hospital of Stomatology, Sichuan University, No.</w:t>
      </w:r>
      <w:r>
        <w:rPr>
          <w:rFonts w:ascii="Book Antiqua" w:hAnsi="Book Antiqua" w:cs="Book Antiqua" w:hint="eastAsia"/>
          <w:color w:val="000000"/>
          <w:lang w:eastAsia="zh-CN"/>
        </w:rPr>
        <w:t xml:space="preserve"> </w:t>
      </w:r>
      <w:r>
        <w:rPr>
          <w:rFonts w:ascii="Book Antiqua" w:eastAsia="Book Antiqua" w:hAnsi="Book Antiqua" w:cs="Book Antiqua"/>
          <w:color w:val="000000"/>
        </w:rPr>
        <w:t>14 People's South Road,</w:t>
      </w:r>
      <w:r>
        <w:rPr>
          <w:rFonts w:ascii="Book Antiqua" w:hAnsi="Book Antiqua" w:cs="Book Antiqua" w:hint="eastAsia"/>
          <w:color w:val="000000"/>
          <w:lang w:eastAsia="zh-CN"/>
        </w:rPr>
        <w:t xml:space="preserve"> </w:t>
      </w:r>
      <w:r>
        <w:rPr>
          <w:rFonts w:ascii="Book Antiqua" w:eastAsia="Book Antiqua" w:hAnsi="Book Antiqua" w:cs="Book Antiqua"/>
          <w:color w:val="000000"/>
        </w:rPr>
        <w:t>Chengdu 610041, Sichuan</w:t>
      </w:r>
      <w:r>
        <w:rPr>
          <w:rFonts w:ascii="Book Antiqua" w:hAnsi="Book Antiqua" w:cs="Book Antiqua"/>
          <w:color w:val="000000"/>
          <w:lang w:eastAsia="zh-CN"/>
        </w:rPr>
        <w:t xml:space="preserve"> Province</w:t>
      </w:r>
      <w:r>
        <w:rPr>
          <w:rFonts w:ascii="Book Antiqua" w:eastAsia="Book Antiqua" w:hAnsi="Book Antiqua" w:cs="Book Antiqua"/>
          <w:color w:val="000000"/>
        </w:rPr>
        <w:t>, China. mianwan@scu.edu.cn</w:t>
      </w:r>
    </w:p>
    <w:p w:rsidR="00EE3239" w:rsidRDefault="00EE3239">
      <w:pPr>
        <w:spacing w:line="360" w:lineRule="auto"/>
        <w:jc w:val="both"/>
      </w:pPr>
    </w:p>
    <w:p w:rsidR="00EE3239" w:rsidRDefault="0021728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18, 2022</w:t>
      </w:r>
    </w:p>
    <w:p w:rsidR="00EE3239" w:rsidRDefault="0021728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31, 2022</w:t>
      </w:r>
    </w:p>
    <w:p w:rsidR="00EE3239" w:rsidRDefault="0021728D">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July 8, 2022</w:t>
      </w:r>
    </w:p>
    <w:p w:rsidR="00EE3239" w:rsidRDefault="0021728D">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 xml:space="preserve">July 26, </w:t>
      </w:r>
      <w:r>
        <w:rPr>
          <w:rFonts w:ascii="Book Antiqua" w:eastAsia="Book Antiqua" w:hAnsi="Book Antiqua" w:cs="Book Antiqua"/>
          <w:color w:val="000000"/>
        </w:rPr>
        <w:t>2022</w:t>
      </w:r>
    </w:p>
    <w:p w:rsidR="00EE3239" w:rsidRDefault="00EE3239">
      <w:pPr>
        <w:spacing w:line="360" w:lineRule="auto"/>
        <w:jc w:val="both"/>
        <w:sectPr w:rsidR="00EE3239">
          <w:footerReference w:type="default" r:id="rId8"/>
          <w:pgSz w:w="12240" w:h="15840"/>
          <w:pgMar w:top="1440" w:right="1440" w:bottom="1440" w:left="1440" w:header="720" w:footer="720" w:gutter="0"/>
          <w:cols w:space="720"/>
          <w:docGrid w:linePitch="360"/>
        </w:sectPr>
      </w:pPr>
    </w:p>
    <w:p w:rsidR="00EE3239" w:rsidRDefault="0021728D">
      <w:pPr>
        <w:spacing w:line="360" w:lineRule="auto"/>
        <w:jc w:val="both"/>
      </w:pPr>
      <w:r>
        <w:rPr>
          <w:rFonts w:ascii="Book Antiqua" w:eastAsia="Book Antiqua" w:hAnsi="Book Antiqua" w:cs="Book Antiqua"/>
          <w:b/>
          <w:color w:val="000000"/>
        </w:rPr>
        <w:lastRenderedPageBreak/>
        <w:t>Abstract</w:t>
      </w:r>
    </w:p>
    <w:p w:rsidR="00EE3239" w:rsidRDefault="0021728D">
      <w:pPr>
        <w:spacing w:line="360" w:lineRule="auto"/>
        <w:jc w:val="both"/>
      </w:pPr>
      <w:r>
        <w:rPr>
          <w:rFonts w:ascii="Book Antiqua" w:eastAsia="Book Antiqua" w:hAnsi="Book Antiqua" w:cs="Book Antiqua"/>
          <w:color w:val="000000"/>
          <w:shd w:val="clear" w:color="auto" w:fill="FFFFFF"/>
        </w:rPr>
        <w:t xml:space="preserve">Stem cell fate determination is one of the central questions in stem cell biology, and although its regulation has been studied at </w:t>
      </w:r>
      <w:r>
        <w:rPr>
          <w:rFonts w:ascii="Book Antiqua" w:eastAsia="Book Antiqua" w:hAnsi="Book Antiqua" w:cs="Book Antiqua"/>
          <w:color w:val="000000"/>
          <w:shd w:val="clear" w:color="auto" w:fill="FFFFFF"/>
        </w:rPr>
        <w:t>genomic and proteomic levels, a variety of biological activities in cells occur at the metabolic level. Metabolomics studies have established the metabolome during stem cell differentiation and have revealed the role of metabolites in stem cell fate determ</w:t>
      </w:r>
      <w:r>
        <w:rPr>
          <w:rFonts w:ascii="Book Antiqua" w:eastAsia="Book Antiqua" w:hAnsi="Book Antiqua" w:cs="Book Antiqua"/>
          <w:color w:val="000000"/>
          <w:shd w:val="clear" w:color="auto" w:fill="FFFFFF"/>
        </w:rPr>
        <w:t>ination. While metabolism is considered to play a biological regulatory role as an energy source, recent studies have suggested the nexus between metabolism and epigenetics because several metabolites function as cofactors and substrates in epigenetic mech</w:t>
      </w:r>
      <w:r>
        <w:rPr>
          <w:rFonts w:ascii="Book Antiqua" w:eastAsia="Book Antiqua" w:hAnsi="Book Antiqua" w:cs="Book Antiqua"/>
          <w:color w:val="000000"/>
          <w:shd w:val="clear" w:color="auto" w:fill="FFFFFF"/>
        </w:rPr>
        <w:t>anisms, including histone modification, DNA methylation, and mi</w:t>
      </w:r>
      <w:r>
        <w:rPr>
          <w:rFonts w:ascii="Book Antiqua" w:hAnsi="Book Antiqua" w:cs="Book Antiqua" w:hint="eastAsia"/>
          <w:color w:val="000000"/>
          <w:shd w:val="clear" w:color="auto" w:fill="FFFFFF"/>
          <w:lang w:eastAsia="zh-CN"/>
        </w:rPr>
        <w:t>cro</w:t>
      </w:r>
      <w:r>
        <w:rPr>
          <w:rFonts w:ascii="Book Antiqua" w:eastAsia="Book Antiqua" w:hAnsi="Book Antiqua" w:cs="Book Antiqua"/>
          <w:color w:val="000000"/>
          <w:shd w:val="clear" w:color="auto" w:fill="FFFFFF"/>
        </w:rPr>
        <w:t>RNAs. Additionally, the epigenetic modification is sensitive to the dynamic metabolites and consequently leads to changes in transcription. The nexus between metabolism and epigenetics propo</w:t>
      </w:r>
      <w:r>
        <w:rPr>
          <w:rFonts w:ascii="Book Antiqua" w:eastAsia="Book Antiqua" w:hAnsi="Book Antiqua" w:cs="Book Antiqua"/>
          <w:color w:val="000000"/>
          <w:shd w:val="clear" w:color="auto" w:fill="FFFFFF"/>
        </w:rPr>
        <w:t>ses a novel stem</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cell-based therapeutic strategy through manipulating metabolites. In the present review, we summarize the possible nexus between metabolic and epigenetic regulation in stem cell fate determination, and discuss the potential preventive and </w:t>
      </w:r>
      <w:r>
        <w:rPr>
          <w:rFonts w:ascii="Book Antiqua" w:eastAsia="Book Antiqua" w:hAnsi="Book Antiqua" w:cs="Book Antiqua"/>
          <w:color w:val="000000"/>
          <w:shd w:val="clear" w:color="auto" w:fill="FFFFFF"/>
        </w:rPr>
        <w:t xml:space="preserve">therapeutic strategies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targeting metabolites.</w:t>
      </w:r>
    </w:p>
    <w:p w:rsidR="00EE3239" w:rsidRDefault="00EE3239">
      <w:pPr>
        <w:spacing w:line="360" w:lineRule="auto"/>
        <w:jc w:val="both"/>
      </w:pPr>
    </w:p>
    <w:p w:rsidR="00EE3239" w:rsidRDefault="0021728D">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shd w:val="clear" w:color="auto" w:fill="FFFFFF"/>
        </w:rPr>
        <w:t>Metabolism; Epigenetic regulation; Stem cell fate; Nexus effect</w:t>
      </w:r>
    </w:p>
    <w:p w:rsidR="00EE3239" w:rsidRDefault="00EE3239">
      <w:pPr>
        <w:spacing w:line="360" w:lineRule="auto"/>
        <w:jc w:val="both"/>
        <w:rPr>
          <w:rFonts w:hint="eastAsia"/>
          <w:lang w:eastAsia="zh-CN"/>
        </w:rPr>
      </w:pPr>
    </w:p>
    <w:p w:rsidR="00E77ED5" w:rsidRPr="00C92352" w:rsidRDefault="00E77ED5" w:rsidP="00E77ED5">
      <w:pPr>
        <w:spacing w:line="360" w:lineRule="auto"/>
        <w:jc w:val="both"/>
        <w:rPr>
          <w:rFonts w:ascii="Book Antiqua" w:hAnsi="Book Antiqua" w:cs="Book Antiqua"/>
          <w:color w:val="000000"/>
          <w:lang w:eastAsia="zh-CN"/>
        </w:rPr>
      </w:pPr>
      <w:r w:rsidRPr="00C92352">
        <w:rPr>
          <w:rFonts w:ascii="Book Antiqua" w:eastAsia="Book Antiqua" w:hAnsi="Book Antiqua" w:cs="Book Antiqua" w:hint="eastAsia"/>
          <w:b/>
          <w:color w:val="000000"/>
        </w:rPr>
        <w:t>©</w:t>
      </w:r>
      <w:r w:rsidRPr="00C92352">
        <w:rPr>
          <w:rFonts w:ascii="Book Antiqua" w:eastAsia="Book Antiqua" w:hAnsi="Book Antiqua" w:cs="Book Antiqua"/>
          <w:b/>
          <w:color w:val="000000"/>
        </w:rPr>
        <w:t>The</w:t>
      </w:r>
      <w:r w:rsidRPr="00C92352">
        <w:rPr>
          <w:rFonts w:ascii="Book Antiqua" w:eastAsia="Book Antiqua" w:hAnsi="Book Antiqua" w:cs="Book Antiqua"/>
          <w:color w:val="000000"/>
        </w:rPr>
        <w:t xml:space="preserve"> </w:t>
      </w:r>
      <w:r w:rsidRPr="00C92352">
        <w:rPr>
          <w:rFonts w:ascii="Book Antiqua" w:eastAsia="Book Antiqua" w:hAnsi="Book Antiqua" w:cs="Book Antiqua"/>
          <w:b/>
          <w:color w:val="000000"/>
        </w:rPr>
        <w:t>Author(s) 202</w:t>
      </w:r>
      <w:r w:rsidRPr="00C92352">
        <w:rPr>
          <w:rFonts w:ascii="Book Antiqua" w:hAnsi="Book Antiqua" w:cs="Book Antiqua" w:hint="eastAsia"/>
          <w:b/>
          <w:color w:val="000000"/>
        </w:rPr>
        <w:t>2</w:t>
      </w:r>
      <w:r w:rsidRPr="00C92352">
        <w:rPr>
          <w:rFonts w:ascii="Book Antiqua" w:eastAsia="Book Antiqua" w:hAnsi="Book Antiqua" w:cs="Book Antiqua"/>
          <w:b/>
          <w:color w:val="000000"/>
        </w:rPr>
        <w:t xml:space="preserve">. </w:t>
      </w:r>
      <w:r w:rsidRPr="00C92352">
        <w:rPr>
          <w:rFonts w:ascii="Book Antiqua" w:eastAsia="Book Antiqua" w:hAnsi="Book Antiqua" w:cs="Book Antiqua"/>
          <w:color w:val="000000"/>
        </w:rPr>
        <w:t>Published by Baishideng Publishing Group Inc. All rights reserved.</w:t>
      </w:r>
    </w:p>
    <w:p w:rsidR="00E77ED5" w:rsidRPr="00E77ED5" w:rsidRDefault="00E77ED5">
      <w:pPr>
        <w:spacing w:line="360" w:lineRule="auto"/>
        <w:jc w:val="both"/>
        <w:rPr>
          <w:rFonts w:hint="eastAsia"/>
          <w:lang w:eastAsia="zh-CN"/>
        </w:rPr>
      </w:pPr>
    </w:p>
    <w:p w:rsidR="00E77ED5" w:rsidRDefault="00E77ED5">
      <w:pPr>
        <w:spacing w:line="360" w:lineRule="auto"/>
        <w:jc w:val="both"/>
        <w:rPr>
          <w:rFonts w:ascii="Book Antiqua" w:hAnsi="Book Antiqua" w:cs="Book Antiqua" w:hint="eastAsia"/>
          <w:color w:val="000000"/>
          <w:lang w:eastAsia="zh-CN"/>
        </w:rPr>
      </w:pPr>
      <w:r w:rsidRPr="00C92352">
        <w:rPr>
          <w:rFonts w:ascii="Book Antiqua" w:hAnsi="Book Antiqua" w:cs="Book Antiqua" w:hint="eastAsia"/>
          <w:b/>
          <w:color w:val="000000"/>
          <w:lang w:eastAsia="zh-CN"/>
        </w:rPr>
        <w:t>Citation</w:t>
      </w:r>
      <w:r w:rsidRPr="00C92352">
        <w:rPr>
          <w:rFonts w:ascii="Book Antiqua" w:hAnsi="Book Antiqua" w:cs="Book Antiqua" w:hint="eastAsia"/>
          <w:color w:val="000000"/>
          <w:lang w:eastAsia="zh-CN"/>
        </w:rPr>
        <w:t xml:space="preserve">: </w:t>
      </w:r>
      <w:r w:rsidR="0021728D">
        <w:rPr>
          <w:rFonts w:ascii="Book Antiqua" w:eastAsia="Book Antiqua" w:hAnsi="Book Antiqua" w:cs="Book Antiqua"/>
          <w:color w:val="000000"/>
        </w:rPr>
        <w:t xml:space="preserve">Liu Y, Cui DX, Pan Y, Yu SH, Zheng LW, Wan M. </w:t>
      </w:r>
      <w:r w:rsidR="0021728D">
        <w:rPr>
          <w:rFonts w:ascii="Book Antiqua" w:hAnsi="Book Antiqua" w:cs="Book Antiqua" w:hint="eastAsia"/>
          <w:color w:val="000000"/>
          <w:lang w:eastAsia="zh-CN"/>
        </w:rPr>
        <w:t>M</w:t>
      </w:r>
      <w:r w:rsidR="0021728D">
        <w:rPr>
          <w:rFonts w:ascii="Book Antiqua" w:eastAsia="Book Antiqua" w:hAnsi="Book Antiqua" w:cs="Book Antiqua"/>
          <w:color w:val="000000"/>
        </w:rPr>
        <w:t>etabolic</w:t>
      </w:r>
      <w:r w:rsidR="0021728D">
        <w:rPr>
          <w:rFonts w:ascii="Book Antiqua" w:hAnsi="Book Antiqua" w:cs="Book Antiqua" w:hint="eastAsia"/>
          <w:color w:val="000000"/>
          <w:lang w:eastAsia="zh-CN"/>
        </w:rPr>
        <w:t>-</w:t>
      </w:r>
      <w:r w:rsidR="0021728D">
        <w:rPr>
          <w:rFonts w:ascii="Book Antiqua" w:eastAsia="Book Antiqua" w:hAnsi="Book Antiqua" w:cs="Book Antiqua"/>
          <w:color w:val="000000"/>
        </w:rPr>
        <w:t xml:space="preserve">epigenetic nexus in regulation of stem cell fate. </w:t>
      </w:r>
      <w:r w:rsidR="0021728D">
        <w:rPr>
          <w:rFonts w:ascii="Book Antiqua" w:eastAsia="Book Antiqua" w:hAnsi="Book Antiqua" w:cs="Book Antiqua"/>
          <w:i/>
          <w:iCs/>
          <w:color w:val="000000"/>
        </w:rPr>
        <w:t>World J Stem Cells</w:t>
      </w:r>
      <w:r w:rsidR="0021728D">
        <w:rPr>
          <w:rFonts w:ascii="Book Antiqua" w:eastAsia="Book Antiqua" w:hAnsi="Book Antiqua" w:cs="Book Antiqua"/>
          <w:color w:val="000000"/>
        </w:rPr>
        <w:t xml:space="preserve"> 2022; </w:t>
      </w:r>
      <w:r w:rsidR="0021728D">
        <w:rPr>
          <w:rFonts w:ascii="Book Antiqua" w:eastAsia="Book Antiqua" w:hAnsi="Book Antiqua" w:cs="Book Antiqua" w:hint="eastAsia"/>
          <w:color w:val="000000"/>
        </w:rPr>
        <w:t>1</w:t>
      </w:r>
      <w:r w:rsidR="0021728D">
        <w:rPr>
          <w:rFonts w:ascii="Book Antiqua" w:eastAsia="宋体" w:hAnsi="Book Antiqua" w:cs="Book Antiqua" w:hint="eastAsia"/>
          <w:color w:val="000000"/>
          <w:lang w:eastAsia="zh-CN"/>
        </w:rPr>
        <w:t>4</w:t>
      </w:r>
      <w:r w:rsidR="0021728D">
        <w:rPr>
          <w:rFonts w:ascii="Book Antiqua" w:eastAsia="Book Antiqua" w:hAnsi="Book Antiqua" w:cs="Book Antiqua" w:hint="eastAsia"/>
          <w:color w:val="000000"/>
        </w:rPr>
        <w:t>(</w:t>
      </w:r>
      <w:r w:rsidR="0021728D">
        <w:rPr>
          <w:rFonts w:ascii="Book Antiqua" w:eastAsia="宋体" w:hAnsi="Book Antiqua" w:cs="Book Antiqua" w:hint="eastAsia"/>
          <w:color w:val="000000"/>
          <w:lang w:eastAsia="zh-CN"/>
        </w:rPr>
        <w:t>7</w:t>
      </w:r>
      <w:r w:rsidR="0021728D">
        <w:rPr>
          <w:rFonts w:ascii="Book Antiqua" w:eastAsia="Book Antiqua" w:hAnsi="Book Antiqua" w:cs="Book Antiqua" w:hint="eastAsia"/>
          <w:color w:val="000000"/>
        </w:rPr>
        <w:t xml:space="preserve">): </w:t>
      </w:r>
      <w:r>
        <w:rPr>
          <w:rFonts w:ascii="Book Antiqua" w:hAnsi="Book Antiqua" w:cs="Book Antiqua" w:hint="eastAsia"/>
          <w:color w:val="000000"/>
          <w:lang w:eastAsia="zh-CN"/>
        </w:rPr>
        <w:t>490</w:t>
      </w:r>
      <w:r w:rsidR="0021728D">
        <w:rPr>
          <w:rFonts w:ascii="Book Antiqua" w:eastAsia="Book Antiqua" w:hAnsi="Book Antiqua" w:cs="Book Antiqua" w:hint="eastAsia"/>
          <w:color w:val="000000"/>
        </w:rPr>
        <w:t>-</w:t>
      </w:r>
      <w:r>
        <w:rPr>
          <w:rFonts w:ascii="Book Antiqua" w:hAnsi="Book Antiqua" w:cs="Book Antiqua" w:hint="eastAsia"/>
          <w:color w:val="000000"/>
          <w:lang w:eastAsia="zh-CN"/>
        </w:rPr>
        <w:t>502</w:t>
      </w:r>
      <w:r w:rsidR="0021728D">
        <w:rPr>
          <w:rFonts w:ascii="Book Antiqua" w:eastAsia="Book Antiqua" w:hAnsi="Book Antiqua" w:cs="Book Antiqua" w:hint="eastAsia"/>
          <w:color w:val="000000"/>
        </w:rPr>
        <w:t xml:space="preserve"> </w:t>
      </w:r>
    </w:p>
    <w:p w:rsidR="00E77ED5" w:rsidRDefault="0021728D">
      <w:pPr>
        <w:spacing w:line="360" w:lineRule="auto"/>
        <w:jc w:val="both"/>
        <w:rPr>
          <w:rFonts w:ascii="Book Antiqua" w:hAnsi="Book Antiqua" w:cs="Book Antiqua" w:hint="eastAsia"/>
          <w:color w:val="000000"/>
          <w:lang w:eastAsia="zh-CN"/>
        </w:rPr>
      </w:pPr>
      <w:r w:rsidRPr="00E77ED5">
        <w:rPr>
          <w:rFonts w:ascii="Book Antiqua" w:eastAsia="Book Antiqua" w:hAnsi="Book Antiqua" w:cs="Book Antiqua" w:hint="eastAsia"/>
          <w:b/>
          <w:color w:val="000000"/>
        </w:rPr>
        <w:t>URL</w:t>
      </w:r>
      <w:r>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https://www.wjgnet.com/1948-0210/full/v1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7</w:t>
      </w:r>
      <w:r>
        <w:rPr>
          <w:rFonts w:ascii="Book Antiqua" w:eastAsia="Book Antiqua" w:hAnsi="Book Antiqua" w:cs="Book Antiqua" w:hint="eastAsia"/>
          <w:color w:val="000000"/>
        </w:rPr>
        <w:t>/</w:t>
      </w:r>
      <w:r w:rsidR="00E77ED5">
        <w:rPr>
          <w:rFonts w:ascii="Book Antiqua" w:hAnsi="Book Antiqua" w:cs="Book Antiqua" w:hint="eastAsia"/>
          <w:color w:val="000000"/>
          <w:lang w:eastAsia="zh-CN"/>
        </w:rPr>
        <w:t>490</w:t>
      </w:r>
      <w:r>
        <w:rPr>
          <w:rFonts w:ascii="Book Antiqua" w:eastAsia="Book Antiqua" w:hAnsi="Book Antiqua" w:cs="Book Antiqua" w:hint="eastAsia"/>
          <w:color w:val="000000"/>
        </w:rPr>
        <w:t>.htm</w:t>
      </w:r>
      <w:r>
        <w:rPr>
          <w:rFonts w:ascii="Book Antiqua" w:eastAsia="Book Antiqua" w:hAnsi="Book Antiqua" w:cs="Book Antiqua" w:hint="eastAsia"/>
          <w:color w:val="000000"/>
        </w:rPr>
        <w:t xml:space="preserve"> </w:t>
      </w:r>
    </w:p>
    <w:p w:rsidR="00EE3239" w:rsidRPr="00E77ED5" w:rsidRDefault="0021728D">
      <w:pPr>
        <w:spacing w:line="360" w:lineRule="auto"/>
        <w:jc w:val="both"/>
        <w:rPr>
          <w:lang w:eastAsia="zh-CN"/>
        </w:rPr>
      </w:pPr>
      <w:r w:rsidRPr="00E77ED5">
        <w:rPr>
          <w:rFonts w:ascii="Book Antiqua" w:eastAsia="Book Antiqua" w:hAnsi="Book Antiqua" w:cs="Book Antiqua" w:hint="eastAsia"/>
          <w:b/>
          <w:color w:val="000000"/>
        </w:rPr>
        <w:t>DOI</w:t>
      </w:r>
      <w:r>
        <w:rPr>
          <w:rFonts w:ascii="Book Antiqua" w:eastAsia="Book Antiqua" w:hAnsi="Book Antiqua" w:cs="Book Antiqua" w:hint="eastAsia"/>
          <w:color w:val="000000"/>
        </w:rPr>
        <w:t>: https://dx.doi.org/10.4252/wjsc.v1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7</w:t>
      </w:r>
      <w:r>
        <w:rPr>
          <w:rFonts w:ascii="Book Antiqua" w:eastAsia="Book Antiqua" w:hAnsi="Book Antiqua" w:cs="Book Antiqua" w:hint="eastAsia"/>
          <w:color w:val="000000"/>
        </w:rPr>
        <w:t>.</w:t>
      </w:r>
      <w:r w:rsidR="00E77ED5">
        <w:rPr>
          <w:rFonts w:ascii="Book Antiqua" w:hAnsi="Book Antiqua" w:cs="Book Antiqua" w:hint="eastAsia"/>
          <w:color w:val="000000"/>
          <w:lang w:eastAsia="zh-CN"/>
        </w:rPr>
        <w:t>490</w:t>
      </w:r>
    </w:p>
    <w:p w:rsidR="00EE3239" w:rsidRDefault="00EE3239">
      <w:pPr>
        <w:spacing w:line="360" w:lineRule="auto"/>
        <w:jc w:val="both"/>
      </w:pPr>
    </w:p>
    <w:p w:rsidR="00EE3239" w:rsidRDefault="0021728D">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hd w:val="clear" w:color="auto" w:fill="FFFFFF"/>
        </w:rPr>
        <w:t>Stem cell fate can be regulated by metabolites. Recent studies have suggested that there is a nexus between metab</w:t>
      </w:r>
      <w:r>
        <w:rPr>
          <w:rFonts w:ascii="Book Antiqua" w:eastAsia="Book Antiqua" w:hAnsi="Book Antiqua" w:cs="Book Antiqua"/>
          <w:color w:val="000000"/>
          <w:shd w:val="clear" w:color="auto" w:fill="FFFFFF"/>
        </w:rPr>
        <w:t xml:space="preserve">olism and epigenetics, as several metabolites could </w:t>
      </w:r>
      <w:r>
        <w:rPr>
          <w:rFonts w:ascii="Book Antiqua" w:eastAsia="Book Antiqua" w:hAnsi="Book Antiqua" w:cs="Book Antiqua"/>
          <w:color w:val="000000"/>
          <w:shd w:val="clear" w:color="auto" w:fill="FFFFFF"/>
        </w:rPr>
        <w:lastRenderedPageBreak/>
        <w:t>function as cofactors and substrates in epigenetic mechanisms. We review many basic and preclinical studies, and the results support this view. This finding may provide a clue to further studies on the co</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effects of metabolism and epigenetics in cell fate determination.</w:t>
      </w:r>
    </w:p>
    <w:p w:rsidR="00EE3239" w:rsidRDefault="0021728D">
      <w:pPr>
        <w:spacing w:line="360" w:lineRule="auto"/>
        <w:jc w:val="both"/>
      </w:pPr>
      <w:r>
        <w:br w:type="page"/>
      </w:r>
      <w:r>
        <w:rPr>
          <w:rFonts w:ascii="Book Antiqua" w:eastAsia="Book Antiqua" w:hAnsi="Book Antiqua" w:cs="Book Antiqua"/>
          <w:b/>
          <w:caps/>
          <w:color w:val="000000"/>
          <w:u w:val="single"/>
        </w:rPr>
        <w:lastRenderedPageBreak/>
        <w:t>INTRODUCTION</w:t>
      </w:r>
    </w:p>
    <w:p w:rsidR="00EE3239" w:rsidRDefault="0021728D">
      <w:pPr>
        <w:spacing w:line="360" w:lineRule="auto"/>
        <w:jc w:val="both"/>
      </w:pPr>
      <w:r>
        <w:rPr>
          <w:rFonts w:ascii="Book Antiqua" w:eastAsia="Book Antiqua" w:hAnsi="Book Antiqua" w:cs="Book Antiqua"/>
          <w:color w:val="000000"/>
          <w:shd w:val="clear" w:color="auto" w:fill="FFFFFF"/>
        </w:rPr>
        <w:t>Stem cells are specialized cells with a capacity for prolonged self-renewal and production of various lineage cells, which contribute to the development, maintenance and repai</w:t>
      </w:r>
      <w:r>
        <w:rPr>
          <w:rFonts w:ascii="Book Antiqua" w:eastAsia="Book Antiqua" w:hAnsi="Book Antiqua" w:cs="Book Antiqua"/>
          <w:color w:val="000000"/>
          <w:shd w:val="clear" w:color="auto" w:fill="FFFFFF"/>
        </w:rPr>
        <w:t>r of organs, such as teeth, hair follicles, and liver. These long-lived cells produce proliferating progenitors that differentiate into functional cells. Disorder of this procedure results in hyperplasia, hypoplasia or dysfunction of the organs</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How </w:t>
      </w:r>
      <w:r>
        <w:rPr>
          <w:rFonts w:ascii="Book Antiqua" w:eastAsia="Book Antiqua" w:hAnsi="Book Antiqua" w:cs="Book Antiqua"/>
          <w:color w:val="000000"/>
          <w:shd w:val="clear" w:color="auto" w:fill="FFFFFF"/>
        </w:rPr>
        <w:t>such cell fate determination is regulated is one of the central questions in stem cell biology. High-throughput sequencing has been conducted to establish gene expression profiles of both embryonic and adult stem cells, which helps address the crucial gene</w:t>
      </w:r>
      <w:r>
        <w:rPr>
          <w:rFonts w:ascii="Book Antiqua" w:eastAsia="Book Antiqua" w:hAnsi="Book Antiqua" w:cs="Book Antiqua"/>
          <w:color w:val="000000"/>
          <w:shd w:val="clear" w:color="auto" w:fill="FFFFFF"/>
        </w:rPr>
        <w:t>s in stem cell fate regulation</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Epigenetic mechanisms, including histone modification, DNA methylation, and </w:t>
      </w:r>
      <w:bookmarkStart w:id="7" w:name="OLE_LINK8"/>
      <w:r>
        <w:rPr>
          <w:rFonts w:ascii="Book Antiqua" w:eastAsia="Book Antiqua" w:hAnsi="Book Antiqua" w:cs="Book Antiqua"/>
          <w:color w:val="000000"/>
          <w:shd w:val="clear" w:color="auto" w:fill="FFFFFF"/>
        </w:rPr>
        <w:t>microRNAs</w:t>
      </w:r>
      <w:bookmarkEnd w:id="7"/>
      <w:r>
        <w:rPr>
          <w:rFonts w:ascii="Book Antiqua" w:hAnsi="Book Antiqua" w:cs="Book Antiqua" w:hint="eastAsia"/>
          <w:color w:val="000000"/>
          <w:shd w:val="clear" w:color="auto" w:fill="FFFFFF"/>
          <w:lang w:eastAsia="zh-CN"/>
        </w:rPr>
        <w:t xml:space="preserve"> (</w:t>
      </w:r>
      <w:bookmarkStart w:id="8" w:name="OLE_LINK9"/>
      <w:bookmarkStart w:id="9" w:name="OLE_LINK10"/>
      <w:r>
        <w:rPr>
          <w:rFonts w:ascii="Book Antiqua" w:eastAsia="Book Antiqua" w:hAnsi="Book Antiqua" w:cs="Book Antiqua"/>
          <w:color w:val="000000"/>
          <w:shd w:val="clear" w:color="auto" w:fill="FFFFFF"/>
        </w:rPr>
        <w:t>miRNAs</w:t>
      </w:r>
      <w:bookmarkEnd w:id="8"/>
      <w:bookmarkEnd w:id="9"/>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have uncovered the post-transcriptional regulation associated with stem cell fate</w:t>
      </w:r>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Parallel proteomics studies have expand</w:t>
      </w:r>
      <w:r>
        <w:rPr>
          <w:rFonts w:ascii="Book Antiqua" w:eastAsia="Book Antiqua" w:hAnsi="Book Antiqua" w:cs="Book Antiqua"/>
          <w:color w:val="000000"/>
          <w:shd w:val="clear" w:color="auto" w:fill="FFFFFF"/>
        </w:rPr>
        <w:t>ed our understanding of stem cell biology through constructing protein expression profiles of various stem cell populations. Despite these findings, the molecular network that regulates stem cell fate, maintaining pluripotency or initiating differentiation</w:t>
      </w:r>
      <w:r>
        <w:rPr>
          <w:rFonts w:ascii="Book Antiqua" w:eastAsia="Book Antiqua" w:hAnsi="Book Antiqua" w:cs="Book Antiqua"/>
          <w:color w:val="000000"/>
          <w:shd w:val="clear" w:color="auto" w:fill="FFFFFF"/>
        </w:rPr>
        <w:t>, is not completely understood due to the expression differences between mRNA and protein, the inconsistency between protein expression and its function, or the discordance between gene expression and cellular phenotype</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xml:space="preserve">. </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Although genomics and proteomic</w:t>
      </w:r>
      <w:r>
        <w:rPr>
          <w:rFonts w:ascii="Book Antiqua" w:eastAsia="Book Antiqua" w:hAnsi="Book Antiqua" w:cs="Book Antiqua"/>
          <w:color w:val="000000"/>
          <w:shd w:val="clear" w:color="auto" w:fill="FFFFFF"/>
        </w:rPr>
        <w:t>s discuss the biological events at the gene and protein levels, respectively, several biological activities in cells occur at the metabolic level, including cell signaling, energy transfer, and intercellular communication</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To establish the metabolome, t</w:t>
      </w:r>
      <w:r>
        <w:rPr>
          <w:rFonts w:ascii="Book Antiqua" w:eastAsia="Book Antiqua" w:hAnsi="Book Antiqua" w:cs="Book Antiqua"/>
          <w:color w:val="000000"/>
          <w:shd w:val="clear" w:color="auto" w:fill="FFFFFF"/>
        </w:rPr>
        <w:t>he collection of all metabolites at a specific time, metabolomics has been developed as one of the important components in system biology. Metabolomics is considered to be a prospective approach in various areas of researches, such as development, patholog</w:t>
      </w:r>
      <w:r>
        <w:rPr>
          <w:rFonts w:ascii="Book Antiqua" w:eastAsia="Book Antiqua" w:hAnsi="Book Antiqua" w:cs="Book Antiqua"/>
          <w:color w:val="000000"/>
          <w:shd w:val="clear" w:color="auto" w:fill="FFFFFF"/>
        </w:rPr>
        <w:t>y, diagnosis, and environmental science, since it elaborates what happens in cells</w:t>
      </w:r>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To address what occurs during regulation of stem cell fate determination, metabolomic research has been conducted to construct metabolic profiles of embryonic stem cells</w:t>
      </w:r>
      <w:r>
        <w:rPr>
          <w:rFonts w:ascii="Book Antiqua" w:eastAsia="Book Antiqua" w:hAnsi="Book Antiqua" w:cs="Book Antiqua"/>
          <w:color w:val="000000"/>
          <w:shd w:val="clear" w:color="auto" w:fill="FFFFFF"/>
        </w:rPr>
        <w:t xml:space="preserve"> and differentiated neurons and cardiomyocytes in mice. Stem cells are characterized by highly unsaturated metabolites </w:t>
      </w:r>
      <w:r>
        <w:rPr>
          <w:rFonts w:ascii="Book Antiqua" w:eastAsia="Book Antiqua" w:hAnsi="Book Antiqua" w:cs="Book Antiqua"/>
          <w:color w:val="000000"/>
          <w:shd w:val="clear" w:color="auto" w:fill="FFFFFF"/>
        </w:rPr>
        <w:lastRenderedPageBreak/>
        <w:t xml:space="preserve">that regulate cell differentiation through oxidative reactions, suggesting the vital role of metabolism in stem cell fate determination. </w:t>
      </w:r>
      <w:r>
        <w:rPr>
          <w:rFonts w:ascii="Book Antiqua" w:eastAsia="Book Antiqua" w:hAnsi="Book Antiqua" w:cs="Book Antiqua"/>
          <w:color w:val="000000"/>
          <w:shd w:val="clear" w:color="auto" w:fill="FFFFFF"/>
        </w:rPr>
        <w:t>Metabolism is considered to function as a major energy source during the process</w:t>
      </w:r>
      <w:r>
        <w:rPr>
          <w:rFonts w:ascii="Book Antiqua" w:eastAsia="Book Antiqua" w:hAnsi="Book Antiqua" w:cs="Book Antiqua"/>
          <w:color w:val="000000"/>
          <w:szCs w:val="30"/>
          <w:shd w:val="clear" w:color="auto" w:fill="FFFFFF"/>
          <w:vertAlign w:val="superscript"/>
        </w:rPr>
        <w:t>[5,7,8]</w:t>
      </w:r>
      <w:r>
        <w:rPr>
          <w:rFonts w:ascii="Book Antiqua" w:eastAsia="Book Antiqua" w:hAnsi="Book Antiqua" w:cs="Book Antiqua"/>
          <w:color w:val="000000"/>
          <w:shd w:val="clear" w:color="auto" w:fill="FFFFFF"/>
        </w:rPr>
        <w:t xml:space="preserve">. Recent studies have demonstrated that lipid metabolism provided 90% of acetyl-CoA in histone acetylation. S-adenosylmethionine (SAM), one of the methionine metabolism </w:t>
      </w:r>
      <w:r>
        <w:rPr>
          <w:rFonts w:ascii="Book Antiqua" w:eastAsia="Book Antiqua" w:hAnsi="Book Antiqua" w:cs="Book Antiqua"/>
          <w:color w:val="000000"/>
          <w:shd w:val="clear" w:color="auto" w:fill="FFFFFF"/>
        </w:rPr>
        <w:t>metabolites, functions as a methyl donor in histone as well as DNA methylation</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Additionally, the epigenetic modification could be sensitive to the dynamic change in the metabolites, leading to changes in transcription. These findings provide compelling</w:t>
      </w:r>
      <w:r>
        <w:rPr>
          <w:rFonts w:ascii="Book Antiqua" w:eastAsia="Book Antiqua" w:hAnsi="Book Antiqua" w:cs="Book Antiqua"/>
          <w:color w:val="000000"/>
          <w:shd w:val="clear" w:color="auto" w:fill="FFFFFF"/>
        </w:rPr>
        <w:t xml:space="preserve"> evidence that establishes the nexus exists between metabolism and epigenetics and propose a novel stem</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cell-based therapeutic strategy through manipulating metabolites</w:t>
      </w:r>
      <w:r>
        <w:rPr>
          <w:rFonts w:ascii="Book Antiqua" w:eastAsia="Book Antiqua" w:hAnsi="Book Antiqua" w:cs="Book Antiqua"/>
          <w:color w:val="000000"/>
          <w:szCs w:val="30"/>
          <w:shd w:val="clear" w:color="auto" w:fill="FFFFFF"/>
          <w:vertAlign w:val="superscript"/>
        </w:rPr>
        <w:t>[10-12]</w:t>
      </w:r>
      <w:r>
        <w:rPr>
          <w:rFonts w:ascii="Book Antiqua" w:eastAsia="Book Antiqua" w:hAnsi="Book Antiqua" w:cs="Book Antiqua"/>
          <w:color w:val="000000"/>
          <w:shd w:val="clear" w:color="auto" w:fill="FFFFFF"/>
        </w:rPr>
        <w:t>.</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 xml:space="preserve">In the present review, we summarize the nexus between metabolic and epigenetic </w:t>
      </w:r>
      <w:r>
        <w:rPr>
          <w:rFonts w:ascii="Book Antiqua" w:eastAsia="Book Antiqua" w:hAnsi="Book Antiqua" w:cs="Book Antiqua"/>
          <w:color w:val="000000"/>
          <w:shd w:val="clear" w:color="auto" w:fill="FFFFFF"/>
        </w:rPr>
        <w:t>regulation in stem cell fate determination, along with potential preventive and therapeutic strategies targeting metabolites</w:t>
      </w:r>
      <w:r>
        <w:rPr>
          <w:rFonts w:ascii="Book Antiqua" w:hAnsi="Book Antiqua" w:cs="Book Antiqua" w:hint="eastAsia"/>
          <w:color w:val="000000"/>
          <w:shd w:val="clear" w:color="auto" w:fill="FFFFFF"/>
          <w:lang w:eastAsia="zh-CN"/>
        </w:rPr>
        <w:t xml:space="preserve"> (Figures 1 and 2)</w:t>
      </w:r>
      <w:r>
        <w:rPr>
          <w:rFonts w:ascii="Book Antiqua" w:eastAsia="Book Antiqua" w:hAnsi="Book Antiqua" w:cs="Book Antiqua"/>
          <w:color w:val="000000"/>
          <w:shd w:val="clear" w:color="auto" w:fill="FFFFFF"/>
        </w:rPr>
        <w:t xml:space="preserve">. </w:t>
      </w:r>
    </w:p>
    <w:p w:rsidR="00EE3239" w:rsidRDefault="00EE3239">
      <w:pPr>
        <w:spacing w:line="360" w:lineRule="auto"/>
        <w:ind w:firstLine="480"/>
        <w:jc w:val="both"/>
      </w:pPr>
    </w:p>
    <w:p w:rsidR="00EE3239" w:rsidRDefault="0021728D">
      <w:pPr>
        <w:spacing w:line="360" w:lineRule="auto"/>
        <w:jc w:val="both"/>
      </w:pPr>
      <w:r>
        <w:rPr>
          <w:rFonts w:ascii="Book Antiqua" w:eastAsia="Book Antiqua" w:hAnsi="Book Antiqua" w:cs="Book Antiqua"/>
          <w:b/>
          <w:bCs/>
          <w:caps/>
          <w:color w:val="000000"/>
          <w:u w:val="single"/>
        </w:rPr>
        <w:t>LIPID METABOLISM</w:t>
      </w:r>
    </w:p>
    <w:p w:rsidR="00EE3239" w:rsidRDefault="0021728D">
      <w:pPr>
        <w:spacing w:line="360" w:lineRule="auto"/>
        <w:jc w:val="both"/>
      </w:pPr>
      <w:r>
        <w:rPr>
          <w:rFonts w:ascii="Book Antiqua" w:eastAsia="Book Antiqua" w:hAnsi="Book Antiqua" w:cs="Book Antiqua"/>
          <w:color w:val="000000"/>
          <w:shd w:val="clear" w:color="auto" w:fill="FFFFFF"/>
        </w:rPr>
        <w:t xml:space="preserve">Lipids, crucial in maintaining cellular homeostasis, is attached to epigenetic reprogramming </w:t>
      </w:r>
      <w:r>
        <w:rPr>
          <w:rFonts w:ascii="Book Antiqua" w:eastAsia="Book Antiqua" w:hAnsi="Book Antiqua" w:cs="Book Antiqua"/>
          <w:color w:val="000000"/>
          <w:shd w:val="clear" w:color="auto" w:fill="FFFFFF"/>
        </w:rPr>
        <w:t>of homeostasis</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Acetyl-CoA from lipid metabolism could promote histone acetylation and drive cellular growth. Hence, acetyl-CoA is a crucial indicator for cell growth and development. Furthermore, acetyl-CoA reduces the production of b-hydroxybutyrate,</w:t>
      </w:r>
      <w:r>
        <w:rPr>
          <w:rFonts w:ascii="Book Antiqua" w:eastAsia="Book Antiqua" w:hAnsi="Book Antiqua" w:cs="Book Antiqua"/>
          <w:color w:val="000000"/>
          <w:shd w:val="clear" w:color="auto" w:fill="FFFFFF"/>
        </w:rPr>
        <w:t xml:space="preserve"> an inhibitor of histone deacetylases (HDACs),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which functions as antiproliferative and prodifferentiative properties</w:t>
      </w:r>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The relation between lipid metabolism and epigenetic modification of gene expression in different stem cells has been reported by sev</w:t>
      </w:r>
      <w:r>
        <w:rPr>
          <w:rFonts w:ascii="Book Antiqua" w:eastAsia="Book Antiqua" w:hAnsi="Book Antiqua" w:cs="Book Antiqua"/>
          <w:color w:val="000000"/>
          <w:shd w:val="clear" w:color="auto" w:fill="FFFFFF"/>
        </w:rPr>
        <w:t>eral studies</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w:t>
      </w:r>
    </w:p>
    <w:p w:rsidR="00EE3239" w:rsidRDefault="0021728D">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Lipid metabolism contributes 90% of acetyl. Chromatin structure opening occurs when histone acetylation is present,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activating stem cell transcription</w:t>
      </w:r>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hd w:val="clear" w:color="auto" w:fill="FFFFFF"/>
        </w:rPr>
        <w:t>. This suggests that lipid availability regulates the pluripotency of stem cells and</w:t>
      </w:r>
      <w:r>
        <w:rPr>
          <w:rFonts w:ascii="Book Antiqua" w:eastAsia="Book Antiqua" w:hAnsi="Book Antiqua" w:cs="Book Antiqua"/>
          <w:color w:val="000000"/>
          <w:shd w:val="clear" w:color="auto" w:fill="FFFFFF"/>
        </w:rPr>
        <w:t xml:space="preserve"> promotes cell differentiation</w:t>
      </w:r>
      <w:r>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 xml:space="preserve">. Itokazu group’s research on the importance of gangliosides in neural stem cells (NSCs) found that when the cellular histone deacetylase activity was inhibited by fatty acids, the levels of </w:t>
      </w:r>
      <w:r>
        <w:rPr>
          <w:rFonts w:ascii="Book Antiqua" w:eastAsia="Book Antiqua" w:hAnsi="Book Antiqua" w:cs="Book Antiqua" w:hint="eastAsia"/>
          <w:color w:val="000000"/>
          <w:shd w:val="clear" w:color="auto" w:fill="FFFFFF"/>
        </w:rPr>
        <w:t>acetylated histone H3</w:t>
      </w:r>
      <w:r>
        <w:rPr>
          <w:rFonts w:ascii="Book Antiqua" w:eastAsia="Book Antiqua" w:hAnsi="Book Antiqua" w:cs="Book Antiqua"/>
          <w:color w:val="000000"/>
          <w:shd w:val="clear" w:color="auto" w:fill="FFFFFF"/>
        </w:rPr>
        <w:t xml:space="preserve"> and H4 on the</w:t>
      </w:r>
      <w:r>
        <w:rPr>
          <w:rFonts w:ascii="Book Antiqua" w:hAnsi="Book Antiqua" w:cs="Book Antiqua" w:hint="eastAsia"/>
          <w:color w:val="000000"/>
          <w:shd w:val="clear" w:color="auto" w:fill="FFFFFF"/>
          <w:lang w:eastAsia="zh-CN"/>
        </w:rPr>
        <w:t xml:space="preserve"> </w:t>
      </w:r>
      <w:r>
        <w:rPr>
          <w:rFonts w:ascii="Book Antiqua" w:hAnsi="Book Antiqua" w:cs="Book Antiqua"/>
          <w:i/>
          <w:color w:val="000000"/>
          <w:shd w:val="clear" w:color="auto" w:fill="FFFFFF"/>
          <w:lang w:eastAsia="zh-CN"/>
        </w:rPr>
        <w:t>GM2/GD2</w:t>
      </w:r>
      <w:r>
        <w:rPr>
          <w:rFonts w:ascii="Book Antiqua" w:hAnsi="Book Antiqua" w:cs="Book Antiqua"/>
          <w:color w:val="000000"/>
          <w:shd w:val="clear" w:color="auto" w:fill="FFFFFF"/>
          <w:lang w:eastAsia="zh-CN"/>
        </w:rPr>
        <w:t xml:space="preserve"> </w:t>
      </w:r>
      <w:r>
        <w:rPr>
          <w:rFonts w:ascii="Book Antiqua" w:hAnsi="Book Antiqua" w:cs="Book Antiqua" w:hint="eastAsia"/>
          <w:color w:val="000000"/>
          <w:shd w:val="clear" w:color="auto" w:fill="FFFFFF"/>
          <w:lang w:eastAsia="zh-CN"/>
        </w:rPr>
        <w:lastRenderedPageBreak/>
        <w:t>s</w:t>
      </w:r>
      <w:r>
        <w:rPr>
          <w:rFonts w:ascii="Book Antiqua" w:hAnsi="Book Antiqua" w:cs="Book Antiqua"/>
          <w:color w:val="000000"/>
          <w:shd w:val="clear" w:color="auto" w:fill="FFFFFF"/>
          <w:lang w:eastAsia="zh-CN"/>
        </w:rPr>
        <w:t>ynthase gene</w:t>
      </w:r>
      <w:r>
        <w:rPr>
          <w:rFonts w:ascii="Book Antiqua" w:eastAsia="Book Antiqua" w:hAnsi="Book Antiqua" w:cs="Book Antiqua"/>
          <w:color w:val="000000"/>
          <w:shd w:val="clear" w:color="auto" w:fill="FFFFFF"/>
        </w:rPr>
        <w:t xml:space="preserve"> increased, promoting neuronal differentiation of NSCs</w:t>
      </w:r>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Ardah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and Boddeke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also showed that the increased level of saturated fatty acids promoted NSC differentiation into neurons.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Murray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reported that butyrate promoted myogenic differentiation of satellite cells.</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 xml:space="preserve">Cornacchia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showed that the level of </w:t>
      </w:r>
      <w:bookmarkStart w:id="10" w:name="OLE_LINK11"/>
      <w:bookmarkStart w:id="11" w:name="OLE_LINK12"/>
      <w:r>
        <w:rPr>
          <w:rFonts w:ascii="Book Antiqua" w:eastAsia="Book Antiqua" w:hAnsi="Book Antiqua" w:cs="Book Antiqua"/>
          <w:color w:val="000000"/>
          <w:shd w:val="clear" w:color="auto" w:fill="FFFFFF"/>
        </w:rPr>
        <w:t>H3K27Ac</w:t>
      </w:r>
      <w:bookmarkEnd w:id="10"/>
      <w:bookmarkEnd w:id="11"/>
      <w:r>
        <w:rPr>
          <w:rFonts w:ascii="Book Antiqua" w:eastAsia="Book Antiqua" w:hAnsi="Book Antiqua" w:cs="Book Antiqua"/>
          <w:color w:val="000000"/>
          <w:shd w:val="clear" w:color="auto" w:fill="FFFFFF"/>
        </w:rPr>
        <w:t xml:space="preserve">, H3K9Ac and H4K8Ac was elevated by activation of histone acetylation in human </w:t>
      </w:r>
      <w:r>
        <w:rPr>
          <w:rFonts w:ascii="Book Antiqua" w:eastAsia="Book Antiqua" w:hAnsi="Book Antiqua" w:cs="Book Antiqua"/>
          <w:color w:val="000000"/>
        </w:rPr>
        <w:t>pluripotent stem cells</w:t>
      </w:r>
      <w:r>
        <w:rPr>
          <w:rFonts w:ascii="Book Antiqua" w:eastAsia="Book Antiqua" w:hAnsi="Book Antiqua" w:cs="Book Antiqua"/>
          <w:color w:val="000000"/>
          <w:shd w:val="clear" w:color="auto" w:fill="FFFFFF"/>
        </w:rPr>
        <w:t>, while histone deacetyla</w:t>
      </w:r>
      <w:r>
        <w:rPr>
          <w:rFonts w:ascii="Book Antiqua" w:eastAsia="Book Antiqua" w:hAnsi="Book Antiqua" w:cs="Book Antiqua"/>
          <w:color w:val="000000"/>
          <w:shd w:val="clear" w:color="auto" w:fill="FFFFFF"/>
        </w:rPr>
        <w:t>ses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(HDAC</w:t>
      </w:r>
      <w:r>
        <w:rPr>
          <w:rFonts w:ascii="Book Antiqua" w:eastAsia="宋体" w:hAnsi="Book Antiqua" w:cs="宋体" w:hint="eastAsia"/>
          <w:color w:val="000000"/>
          <w:shd w:val="clear" w:color="auto" w:fill="FFFFFF"/>
          <w:lang w:eastAsia="zh-CN"/>
        </w:rPr>
        <w:t>)</w:t>
      </w:r>
      <w:r>
        <w:rPr>
          <w:rFonts w:ascii="Book Antiqua" w:eastAsia="Book Antiqua" w:hAnsi="Book Antiqua" w:cs="Book Antiqua"/>
          <w:color w:val="000000"/>
          <w:shd w:val="clear" w:color="auto" w:fill="FFFFFF"/>
        </w:rPr>
        <w:t>, sirtuin</w:t>
      </w:r>
      <w:bookmarkStart w:id="12" w:name="_Hlk107010420"/>
      <w:r>
        <w:rPr>
          <w:rFonts w:ascii="Book Antiqua" w:eastAsia="宋体" w:hAnsi="Book Antiqua" w:cs="宋体" w:hint="eastAsia"/>
          <w:color w:val="000000"/>
          <w:shd w:val="clear" w:color="auto" w:fill="FFFFFF"/>
          <w:lang w:eastAsia="zh-CN"/>
        </w:rPr>
        <w:t xml:space="preserve"> 1 (</w:t>
      </w:r>
      <w:r>
        <w:rPr>
          <w:rFonts w:ascii="Book Antiqua" w:eastAsia="Book Antiqua" w:hAnsi="Book Antiqua" w:cs="Book Antiqua"/>
          <w:color w:val="000000"/>
          <w:shd w:val="clear" w:color="auto" w:fill="FFFFFF"/>
        </w:rPr>
        <w:t>SIRT</w:t>
      </w:r>
      <w:bookmarkEnd w:id="12"/>
      <w:r>
        <w:rPr>
          <w:rFonts w:ascii="Book Antiqua" w:eastAsia="Book Antiqua" w:hAnsi="Book Antiqua" w:cs="Book Antiqua"/>
          <w:color w:val="000000"/>
          <w:shd w:val="clear" w:color="auto" w:fill="FFFFFF"/>
        </w:rPr>
        <w:t>1</w:t>
      </w:r>
      <w:r>
        <w:rPr>
          <w:rFonts w:ascii="Book Antiqua" w:hAnsi="Book Antiqua" w:cs="Book Antiqua" w:hint="eastAsia"/>
          <w:color w:val="000000"/>
          <w:shd w:val="clear" w:color="auto" w:fill="FFFFFF"/>
          <w:lang w:eastAsia="zh-CN"/>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and</w:t>
      </w:r>
      <w:r>
        <w:rPr>
          <w:rFonts w:ascii="Book Antiqua" w:hAnsi="Book Antiqua" w:cs="Book Antiqua"/>
          <w:color w:val="000000"/>
          <w:shd w:val="clear" w:color="auto" w:fill="FFFFFF"/>
          <w:lang w:eastAsia="zh-CN"/>
        </w:rPr>
        <w:t xml:space="preserve"> </w:t>
      </w:r>
      <w:r>
        <w:rPr>
          <w:rFonts w:ascii="Book Antiqua" w:hAnsi="Book Antiqua" w:cs="Book Antiqua" w:hint="eastAsia"/>
          <w:color w:val="000000"/>
          <w:shd w:val="clear" w:color="auto" w:fill="FFFFFF"/>
          <w:lang w:eastAsia="zh-CN"/>
        </w:rPr>
        <w:t>H</w:t>
      </w:r>
      <w:r>
        <w:rPr>
          <w:rFonts w:ascii="Book Antiqua" w:hAnsi="Book Antiqua" w:cs="Book Antiqua"/>
          <w:color w:val="000000"/>
          <w:shd w:val="clear" w:color="auto" w:fill="FFFFFF"/>
          <w:lang w:eastAsia="zh-CN"/>
        </w:rPr>
        <w:t>DAC1</w:t>
      </w:r>
      <w:r>
        <w:rPr>
          <w:rFonts w:ascii="Book Antiqua" w:eastAsia="Book Antiqua" w:hAnsi="Book Antiqua" w:cs="Book Antiqua"/>
          <w:color w:val="000000"/>
          <w:shd w:val="clear" w:color="auto" w:fill="FFFFFF"/>
        </w:rPr>
        <w:t>were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limited. Similar evidence has also been reported in animal studies</w:t>
      </w:r>
      <w:r>
        <w:rPr>
          <w:rFonts w:ascii="Book Antiqua" w:eastAsia="Book Antiqua" w:hAnsi="Book Antiqua" w:cs="Book Antiqua"/>
          <w:color w:val="000000"/>
          <w:szCs w:val="30"/>
          <w:shd w:val="clear" w:color="auto" w:fill="FFFFFF"/>
          <w:vertAlign w:val="superscript"/>
        </w:rPr>
        <w:t>[23,24]</w:t>
      </w:r>
      <w:r>
        <w:rPr>
          <w:rFonts w:ascii="Book Antiqua" w:eastAsia="Book Antiqua" w:hAnsi="Book Antiqua" w:cs="Book Antiqua"/>
          <w:color w:val="000000"/>
          <w:shd w:val="clear" w:color="auto" w:fill="FFFFFF"/>
        </w:rPr>
        <w:t xml:space="preserve">. The level of H3K27ac decreased in the presence of low fatty acid metabolism in the gonads, leading to male differentiation-specific </w:t>
      </w:r>
      <w:r>
        <w:rPr>
          <w:rFonts w:ascii="Book Antiqua" w:eastAsia="Book Antiqua" w:hAnsi="Book Antiqua" w:cs="Book Antiqua"/>
          <w:color w:val="000000"/>
          <w:shd w:val="clear" w:color="auto" w:fill="FFFFFF"/>
        </w:rPr>
        <w:t>signal inhibition</w:t>
      </w:r>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Acetyl-CoA production can be regulated by acetyl-CoA carboxylase , a rate-limiting enzyme whose activation limits the production of acetyl-CoA, thus promoting stem cell pluripotency. This is a traditional pathway in human as well as </w:t>
      </w:r>
      <w:r>
        <w:rPr>
          <w:rFonts w:ascii="Book Antiqua" w:eastAsia="Book Antiqua" w:hAnsi="Book Antiqua" w:cs="Book Antiqua"/>
          <w:color w:val="000000"/>
          <w:shd w:val="clear" w:color="auto" w:fill="FFFFFF"/>
        </w:rPr>
        <w:t xml:space="preserve">mouse embryonic stem cells </w:t>
      </w:r>
      <w:bookmarkStart w:id="13" w:name="OLE_LINK13"/>
      <w:r>
        <w:rPr>
          <w:rFonts w:ascii="Book Antiqua" w:eastAsia="Book Antiqua" w:hAnsi="Book Antiqua" w:cs="Book Antiqua"/>
          <w:color w:val="000000"/>
          <w:shd w:val="clear" w:color="auto" w:fill="FFFFFF"/>
        </w:rPr>
        <w:t>(</w:t>
      </w:r>
      <w:bookmarkEnd w:id="13"/>
      <w:r>
        <w:rPr>
          <w:rFonts w:ascii="Book Antiqua" w:eastAsia="Book Antiqua" w:hAnsi="Book Antiqua" w:cs="Book Antiqua"/>
          <w:color w:val="000000"/>
          <w:shd w:val="clear" w:color="auto" w:fill="FFFFFF"/>
        </w:rPr>
        <w:t>ESCs)</w:t>
      </w:r>
      <w:r>
        <w:rPr>
          <w:rFonts w:ascii="Book Antiqua" w:eastAsia="Book Antiqua" w:hAnsi="Book Antiqua" w:cs="Book Antiqua"/>
          <w:color w:val="000000"/>
          <w:szCs w:val="30"/>
          <w:shd w:val="clear" w:color="auto" w:fill="FFFFFF"/>
          <w:vertAlign w:val="superscript"/>
        </w:rPr>
        <w:t>[26,27]</w:t>
      </w:r>
      <w:r>
        <w:rPr>
          <w:rFonts w:ascii="Book Antiqua" w:eastAsia="Book Antiqua" w:hAnsi="Book Antiqua" w:cs="Book Antiqua"/>
          <w:color w:val="000000"/>
          <w:shd w:val="clear" w:color="auto" w:fill="FFFFFF"/>
        </w:rPr>
        <w:t>. These results show that lipid metabolism affects stem cell differentiation through histone acetylation modification.</w:t>
      </w:r>
    </w:p>
    <w:p w:rsidR="00EE3239" w:rsidRDefault="00EE3239">
      <w:pPr>
        <w:spacing w:line="360" w:lineRule="auto"/>
        <w:jc w:val="both"/>
        <w:rPr>
          <w:rFonts w:ascii="Book Antiqua" w:hAnsi="Book Antiqua" w:cs="Book Antiqua"/>
          <w:color w:val="000000"/>
          <w:shd w:val="clear" w:color="auto" w:fill="FFFFFF"/>
          <w:lang w:eastAsia="zh-CN"/>
        </w:rPr>
      </w:pPr>
    </w:p>
    <w:p w:rsidR="00EE3239" w:rsidRDefault="0021728D">
      <w:pPr>
        <w:spacing w:line="360" w:lineRule="auto"/>
        <w:jc w:val="both"/>
      </w:pPr>
      <w:r>
        <w:rPr>
          <w:rFonts w:ascii="Book Antiqua" w:eastAsia="Book Antiqua" w:hAnsi="Book Antiqua" w:cs="Book Antiqua"/>
          <w:b/>
          <w:bCs/>
          <w:caps/>
          <w:color w:val="000000"/>
          <w:u w:val="single"/>
        </w:rPr>
        <w:t>AMINO ACID METABOLISM</w:t>
      </w:r>
    </w:p>
    <w:p w:rsidR="00EE3239" w:rsidRDefault="0021728D">
      <w:pPr>
        <w:spacing w:line="360" w:lineRule="auto"/>
        <w:jc w:val="both"/>
      </w:pPr>
      <w:r>
        <w:rPr>
          <w:rFonts w:ascii="Book Antiqua" w:eastAsia="Book Antiqua" w:hAnsi="Book Antiqua" w:cs="Book Antiqua"/>
          <w:color w:val="000000"/>
          <w:shd w:val="clear" w:color="auto" w:fill="FFFFFF"/>
        </w:rPr>
        <w:t xml:space="preserve">Amino acids are one of the most fundamental substrates in cells, and are </w:t>
      </w:r>
      <w:r>
        <w:rPr>
          <w:rFonts w:ascii="Book Antiqua" w:eastAsia="Book Antiqua" w:hAnsi="Book Antiqua" w:cs="Book Antiqua"/>
          <w:color w:val="000000"/>
          <w:shd w:val="clear" w:color="auto" w:fill="FFFFFF"/>
        </w:rPr>
        <w:t>essential for metabolism of proteins, lipids and nucleotides. Previous reports have demonstrated that amino acid metabolism affected maintenance of stem cell pluripotency. In this review, we highlight the amino acids that influence stem cells critically.</w:t>
      </w:r>
    </w:p>
    <w:p w:rsidR="00EE3239" w:rsidRDefault="00EE3239">
      <w:pPr>
        <w:spacing w:line="360" w:lineRule="auto"/>
        <w:jc w:val="both"/>
      </w:pPr>
    </w:p>
    <w:p w:rsidR="00EE3239" w:rsidRDefault="0021728D">
      <w:pPr>
        <w:spacing w:line="360" w:lineRule="auto"/>
        <w:jc w:val="both"/>
        <w:rPr>
          <w:i/>
          <w:lang w:eastAsia="zh-CN"/>
        </w:rPr>
      </w:pPr>
      <w:r>
        <w:rPr>
          <w:rFonts w:ascii="Book Antiqua" w:eastAsia="Book Antiqua" w:hAnsi="Book Antiqua" w:cs="Book Antiqua"/>
          <w:b/>
          <w:bCs/>
          <w:i/>
          <w:color w:val="000000"/>
          <w:shd w:val="clear" w:color="auto" w:fill="FFFFFF"/>
        </w:rPr>
        <w:t>Glutamine</w:t>
      </w:r>
    </w:p>
    <w:p w:rsidR="00EE3239" w:rsidRDefault="0021728D">
      <w:pPr>
        <w:spacing w:line="360" w:lineRule="auto"/>
        <w:jc w:val="both"/>
      </w:pPr>
      <w:r>
        <w:rPr>
          <w:rFonts w:ascii="Book Antiqua" w:eastAsia="Book Antiqua" w:hAnsi="Book Antiqua" w:cs="Book Antiqua"/>
          <w:color w:val="000000"/>
          <w:shd w:val="clear" w:color="auto" w:fill="FFFFFF"/>
        </w:rPr>
        <w:t>Glutamine is the most abundant amino acid in metabolism, and is especially active in synthesis of nucleotides and fatty acids</w:t>
      </w:r>
      <w:r>
        <w:rPr>
          <w:rFonts w:ascii="Book Antiqua" w:eastAsia="Book Antiqua" w:hAnsi="Book Antiqua" w:cs="Book Antiqua"/>
          <w:color w:val="000000"/>
          <w:szCs w:val="30"/>
          <w:shd w:val="clear" w:color="auto" w:fill="FFFFFF"/>
          <w:vertAlign w:val="superscript"/>
        </w:rPr>
        <w:t>[28,29]</w:t>
      </w:r>
      <w:r>
        <w:rPr>
          <w:rFonts w:ascii="Book Antiqua" w:eastAsia="Book Antiqua" w:hAnsi="Book Antiqua" w:cs="Book Antiqua"/>
          <w:color w:val="000000"/>
          <w:shd w:val="clear" w:color="auto" w:fill="FFFFFF"/>
        </w:rPr>
        <w:t>. Glutamine changes α-ketoglutarate (α-KG) through deamination</w:t>
      </w:r>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xml:space="preserve">, which is a critical substrate for modification of proteins and DNA by demethylases. The mechanism is that α-KG acts as a substrate for </w:t>
      </w:r>
      <w:bookmarkStart w:id="14" w:name="_Hlk107012351"/>
      <w:r>
        <w:rPr>
          <w:rFonts w:ascii="Book Antiqua" w:eastAsia="Book Antiqua" w:hAnsi="Book Antiqua" w:cs="Book Antiqua"/>
          <w:color w:val="000000"/>
          <w:shd w:val="clear" w:color="auto" w:fill="FFFFFF"/>
        </w:rPr>
        <w:t>Jumonji-C</w:t>
      </w:r>
      <w:bookmarkEnd w:id="14"/>
      <w:r>
        <w:rPr>
          <w:rFonts w:ascii="Book Antiqua" w:eastAsia="Book Antiqua" w:hAnsi="Book Antiqua" w:cs="Book Antiqua"/>
          <w:color w:val="000000"/>
          <w:shd w:val="clear" w:color="auto" w:fill="FFFFFF"/>
        </w:rPr>
        <w:t xml:space="preserve"> and ten-eleven translocation (TET</w:t>
      </w:r>
      <w:r>
        <w:rPr>
          <w:rFonts w:ascii="Book Antiqua" w:eastAsia="宋体" w:hAnsi="Book Antiqua" w:cs="宋体" w:hint="eastAsia"/>
          <w:color w:val="000000"/>
          <w:shd w:val="clear" w:color="auto" w:fill="FFFFFF"/>
          <w:lang w:eastAsia="zh-CN"/>
        </w:rPr>
        <w:t>)</w:t>
      </w:r>
      <w:r>
        <w:rPr>
          <w:rFonts w:ascii="Book Antiqua" w:eastAsia="Book Antiqua" w:hAnsi="Book Antiqua" w:cs="Book Antiqua"/>
          <w:color w:val="000000"/>
          <w:shd w:val="clear" w:color="auto" w:fill="FFFFFF"/>
        </w:rPr>
        <w:t>, which regulate demethylase interaction with histone and DNA, respectively</w:t>
      </w:r>
      <w:r>
        <w:rPr>
          <w:rFonts w:ascii="Book Antiqua" w:eastAsia="Book Antiqua" w:hAnsi="Book Antiqua" w:cs="Book Antiqua"/>
          <w:color w:val="000000"/>
          <w:shd w:val="clear" w:color="auto" w:fill="FFFFFF"/>
        </w:rPr>
        <w:t xml:space="preserve">. Demethylases are essential for stem cell pluripotency </w:t>
      </w:r>
      <w:r>
        <w:rPr>
          <w:rFonts w:ascii="Book Antiqua" w:eastAsia="Book Antiqua" w:hAnsi="Book Antiqua" w:cs="Book Antiqua"/>
          <w:color w:val="000000"/>
          <w:shd w:val="clear" w:color="auto" w:fill="FFFFFF"/>
        </w:rPr>
        <w:lastRenderedPageBreak/>
        <w:t>acquisition and maintenance. Many studies have highlighted the role of glutamine metabolism in the maintenance and differentiation of stem cells.</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DNA methylation correlates with the repression of expr</w:t>
      </w:r>
      <w:r>
        <w:rPr>
          <w:rFonts w:ascii="Book Antiqua" w:eastAsia="Book Antiqua" w:hAnsi="Book Antiqua" w:cs="Book Antiqua"/>
          <w:color w:val="000000"/>
          <w:shd w:val="clear" w:color="auto" w:fill="FFFFFF"/>
        </w:rPr>
        <w:t>ession. α-KG positively regulates demethylation of DNA and promotes stem cell differentiation</w:t>
      </w:r>
      <w:r>
        <w:rPr>
          <w:rFonts w:ascii="Book Antiqua" w:eastAsia="Book Antiqua" w:hAnsi="Book Antiqua" w:cs="Book Antiqua"/>
          <w:color w:val="000000"/>
          <w:szCs w:val="30"/>
          <w:shd w:val="clear" w:color="auto" w:fill="FFFFFF"/>
          <w:vertAlign w:val="superscript"/>
        </w:rPr>
        <w:t>[31,32]</w:t>
      </w:r>
      <w:r>
        <w:rPr>
          <w:rFonts w:ascii="Book Antiqua" w:eastAsia="Book Antiqua" w:hAnsi="Book Antiqua" w:cs="Book Antiqua"/>
          <w:color w:val="000000"/>
          <w:shd w:val="clear" w:color="auto" w:fill="FFFFFF"/>
        </w:rPr>
        <w:t xml:space="preserve">, and is key to the determination of stem cells fate as an appropriate balance between </w:t>
      </w:r>
      <w:bookmarkStart w:id="15" w:name="_Hlk107011071"/>
      <w:r>
        <w:rPr>
          <w:rFonts w:ascii="Book Antiqua" w:eastAsia="Book Antiqua" w:hAnsi="Book Antiqua" w:cs="Book Antiqua"/>
          <w:color w:val="000000"/>
          <w:shd w:val="clear" w:color="auto" w:fill="FFFFFF"/>
        </w:rPr>
        <w:t>H3K9me2</w:t>
      </w:r>
      <w:bookmarkEnd w:id="15"/>
      <w:r>
        <w:rPr>
          <w:rFonts w:ascii="Book Antiqua" w:eastAsia="Book Antiqua" w:hAnsi="Book Antiqua" w:cs="Book Antiqua"/>
          <w:color w:val="000000"/>
          <w:shd w:val="clear" w:color="auto" w:fill="FFFFFF"/>
        </w:rPr>
        <w:t xml:space="preserve"> acquisition and </w:t>
      </w:r>
      <w:bookmarkStart w:id="16" w:name="_Hlk107010698"/>
      <w:r>
        <w:rPr>
          <w:rFonts w:ascii="Book Antiqua" w:eastAsia="Book Antiqua" w:hAnsi="Book Antiqua" w:cs="Book Antiqua"/>
          <w:color w:val="000000"/>
          <w:shd w:val="clear" w:color="auto" w:fill="FFFFFF"/>
        </w:rPr>
        <w:t>H3K27me3</w:t>
      </w:r>
      <w:bookmarkEnd w:id="16"/>
      <w:r>
        <w:rPr>
          <w:rFonts w:ascii="Book Antiqua" w:eastAsia="Book Antiqua" w:hAnsi="Book Antiqua" w:cs="Book Antiqua"/>
          <w:color w:val="000000"/>
          <w:shd w:val="clear" w:color="auto" w:fill="FFFFFF"/>
        </w:rPr>
        <w:t xml:space="preserve"> depletion. Tischler </w:t>
      </w:r>
      <w:bookmarkStart w:id="17" w:name="OLE_LINK15"/>
      <w:bookmarkStart w:id="18" w:name="OLE_LINK14"/>
      <w:r>
        <w:rPr>
          <w:rFonts w:ascii="Book Antiqua" w:eastAsia="Book Antiqua" w:hAnsi="Book Antiqua" w:cs="Book Antiqua"/>
          <w:i/>
          <w:iCs/>
          <w:color w:val="000000"/>
          <w:shd w:val="clear" w:color="auto" w:fill="FFFFFF"/>
        </w:rPr>
        <w:t>et al</w:t>
      </w:r>
      <w:bookmarkEnd w:id="17"/>
      <w:bookmarkEnd w:id="18"/>
      <w:r>
        <w:rPr>
          <w:rFonts w:ascii="Book Antiqua" w:eastAsia="Book Antiqua" w:hAnsi="Book Antiqua" w:cs="Book Antiqua"/>
          <w:color w:val="000000"/>
          <w:szCs w:val="30"/>
          <w:shd w:val="clear" w:color="auto" w:fill="FFFFFF"/>
          <w:vertAlign w:val="superscript"/>
        </w:rPr>
        <w:t>[33]</w:t>
      </w:r>
      <w:r>
        <w:rPr>
          <w:rFonts w:ascii="Book Antiqua" w:hAnsi="Book Antiqua" w:cs="Book Antiqua" w:hint="eastAsia"/>
          <w:iCs/>
          <w:color w:val="000000"/>
          <w:shd w:val="clear" w:color="auto" w:fill="FFFFFF"/>
          <w:lang w:eastAsia="zh-CN"/>
        </w:rPr>
        <w:t xml:space="preserve">, </w:t>
      </w:r>
      <w:r>
        <w:rPr>
          <w:rFonts w:ascii="Book Antiqua" w:eastAsia="Book Antiqua" w:hAnsi="Book Antiqua" w:cs="Book Antiqua"/>
          <w:bCs/>
          <w:color w:val="000000"/>
        </w:rPr>
        <w:t>Xing</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[3</w:t>
      </w:r>
      <w:r>
        <w:rPr>
          <w:rFonts w:ascii="Book Antiqua" w:hAnsi="Book Antiqua" w:cs="Book Antiqua" w:hint="eastAsia"/>
          <w:color w:val="000000"/>
          <w:szCs w:val="30"/>
          <w:shd w:val="clear" w:color="auto" w:fill="FFFFFF"/>
          <w:vertAlign w:val="superscript"/>
          <w:lang w:eastAsia="zh-CN"/>
        </w:rPr>
        <w:t>4</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and Zylicz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[3</w:t>
      </w:r>
      <w:r>
        <w:rPr>
          <w:rFonts w:ascii="Book Antiqua" w:hAnsi="Book Antiqua" w:cs="Book Antiqua" w:hint="eastAsia"/>
          <w:color w:val="000000"/>
          <w:szCs w:val="30"/>
          <w:shd w:val="clear" w:color="auto" w:fill="FFFFFF"/>
          <w:vertAlign w:val="superscript"/>
          <w:lang w:eastAsia="zh-CN"/>
        </w:rPr>
        <w:t>5</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came to similar conclusions in experiment on mouse primordial germ cell–like cells (PGCLCs).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Okabe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have reported that </w:t>
      </w:r>
      <w:bookmarkStart w:id="19" w:name="_Hlk107010880"/>
      <w:r>
        <w:rPr>
          <w:rFonts w:ascii="Book Antiqua" w:eastAsia="Book Antiqua" w:hAnsi="Book Antiqua" w:cs="Book Antiqua"/>
          <w:color w:val="000000"/>
          <w:shd w:val="clear" w:color="auto" w:fill="FFFFFF"/>
        </w:rPr>
        <w:t>histone H3K9me3</w:t>
      </w:r>
      <w:bookmarkEnd w:id="19"/>
      <w:r>
        <w:rPr>
          <w:rFonts w:ascii="Book Antiqua" w:eastAsia="Book Antiqua" w:hAnsi="Book Antiqua" w:cs="Book Antiqua"/>
          <w:color w:val="000000"/>
          <w:shd w:val="clear" w:color="auto" w:fill="FFFFFF"/>
        </w:rPr>
        <w:t xml:space="preserve"> demethylation induced by an increase in α-KG activates transcription, leading to steatoblast cellular differentiation. Glutamine also regulates fetal oocyte differentiation through DNA demethylation enzyme TET1</w:t>
      </w:r>
      <w:r>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As DNA demethylation can lead to higher</w:t>
      </w:r>
      <w:r>
        <w:rPr>
          <w:rFonts w:ascii="Book Antiqua" w:eastAsia="Book Antiqua" w:hAnsi="Book Antiqua" w:cs="Book Antiqua"/>
          <w:color w:val="000000"/>
          <w:shd w:val="clear" w:color="auto" w:fill="FFFFFF"/>
        </w:rPr>
        <w:t xml:space="preserve"> levels of 5-hydroxymethylcytosine, several recent studies have reported that α-KG fluctuations influence ESC differentiation</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The self-renewal of ESCs decreases with deficiency of glutamine, but can recover with α-KG supplementation</w:t>
      </w:r>
      <w:r>
        <w:rPr>
          <w:rFonts w:ascii="Book Antiqua" w:eastAsia="Book Antiqua" w:hAnsi="Book Antiqua" w:cs="Book Antiqua"/>
          <w:color w:val="000000"/>
          <w:szCs w:val="30"/>
          <w:shd w:val="clear" w:color="auto" w:fill="FFFFFF"/>
          <w:vertAlign w:val="superscript"/>
        </w:rPr>
        <w:t>[39]</w:t>
      </w:r>
      <w:r>
        <w:rPr>
          <w:rFonts w:ascii="Book Antiqua" w:eastAsia="Book Antiqua" w:hAnsi="Book Antiqua" w:cs="Book Antiqua"/>
          <w:color w:val="000000"/>
          <w:shd w:val="clear" w:color="auto" w:fill="FFFFFF"/>
        </w:rPr>
        <w:t>. Hepatic stell</w:t>
      </w:r>
      <w:r>
        <w:rPr>
          <w:rFonts w:ascii="Book Antiqua" w:eastAsia="Book Antiqua" w:hAnsi="Book Antiqua" w:cs="Book Antiqua"/>
          <w:color w:val="000000"/>
          <w:shd w:val="clear" w:color="auto" w:fill="FFFFFF"/>
        </w:rPr>
        <w:t xml:space="preserve">ate cell (HSC) and effector T cell differentiation is also promoted by α-KG. A surprising finding is that α-KG can suppress tumor initiation and influence progression. These effects are inhibited by succinate and fumarate, providing a possible therapy for </w:t>
      </w:r>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 xml:space="preserve">Singh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[41]</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have suggested that α-KG induced cell death, with degradation of hypoxia-inducible facor-1α and suppression of histone H3 (Lys 27) acetylation. The exact mechanism of histone acetylation regulated by α-KG still needs to be explo</w:t>
      </w:r>
      <w:r>
        <w:rPr>
          <w:rFonts w:ascii="Book Antiqua" w:eastAsia="Book Antiqua" w:hAnsi="Book Antiqua" w:cs="Book Antiqua"/>
          <w:color w:val="000000"/>
          <w:shd w:val="clear" w:color="auto" w:fill="FFFFFF"/>
        </w:rPr>
        <w:t xml:space="preserve">red. Morris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has shown that α-KG was an effector of </w:t>
      </w:r>
      <w:r>
        <w:rPr>
          <w:rFonts w:ascii="Book Antiqua" w:eastAsia="Book Antiqua" w:hAnsi="Book Antiqua" w:cs="Book Antiqua"/>
          <w:i/>
          <w:color w:val="000000"/>
          <w:shd w:val="clear" w:color="auto" w:fill="FFFFFF"/>
        </w:rPr>
        <w:t>p53</w:t>
      </w:r>
      <w:r>
        <w:rPr>
          <w:rFonts w:ascii="Book Antiqua" w:eastAsia="Book Antiqua" w:hAnsi="Book Antiqua" w:cs="Book Antiqua"/>
          <w:color w:val="000000"/>
          <w:shd w:val="clear" w:color="auto" w:fill="FFFFFF"/>
        </w:rPr>
        <w:t xml:space="preserve">-mediated tumor suppression, whose accumulation in </w:t>
      </w:r>
      <w:r>
        <w:rPr>
          <w:rFonts w:ascii="Book Antiqua" w:eastAsia="Book Antiqua" w:hAnsi="Book Antiqua" w:cs="Book Antiqua"/>
          <w:i/>
          <w:color w:val="000000"/>
          <w:shd w:val="clear" w:color="auto" w:fill="FFFFFF"/>
        </w:rPr>
        <w:t>p53</w:t>
      </w:r>
      <w:r>
        <w:rPr>
          <w:rFonts w:ascii="Book Antiqua" w:eastAsia="Book Antiqua" w:hAnsi="Book Antiqua" w:cs="Book Antiqua"/>
          <w:color w:val="000000"/>
          <w:shd w:val="clear" w:color="auto" w:fill="FFFFFF"/>
        </w:rPr>
        <w:t>-deficient tumors can drive tumor cell differentiation and inhibit malignant progression. Ascorbate has a positive effect on HSC different</w:t>
      </w:r>
      <w:r>
        <w:rPr>
          <w:rFonts w:ascii="Book Antiqua" w:eastAsia="Book Antiqua" w:hAnsi="Book Antiqua" w:cs="Book Antiqua"/>
          <w:color w:val="000000"/>
          <w:shd w:val="clear" w:color="auto" w:fill="FFFFFF"/>
        </w:rPr>
        <w:t>iation and suppresses leukemogenesis</w:t>
      </w:r>
      <w:r>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rPr>
        <w:t>.</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All these studies above highlight the importance of glutamine in cell fate determination.</w:t>
      </w:r>
    </w:p>
    <w:p w:rsidR="00EE3239" w:rsidRDefault="00EE3239">
      <w:pPr>
        <w:spacing w:line="360" w:lineRule="auto"/>
        <w:ind w:firstLine="480"/>
        <w:jc w:val="both"/>
      </w:pPr>
    </w:p>
    <w:p w:rsidR="00EE3239" w:rsidRDefault="0021728D">
      <w:pPr>
        <w:spacing w:line="360" w:lineRule="auto"/>
        <w:jc w:val="both"/>
        <w:rPr>
          <w:i/>
        </w:rPr>
      </w:pPr>
      <w:r>
        <w:rPr>
          <w:rFonts w:ascii="Book Antiqua" w:eastAsia="Book Antiqua" w:hAnsi="Book Antiqua" w:cs="Book Antiqua"/>
          <w:b/>
          <w:bCs/>
          <w:i/>
          <w:color w:val="000000"/>
          <w:shd w:val="clear" w:color="auto" w:fill="FFFFFF"/>
        </w:rPr>
        <w:t>Methionine</w:t>
      </w:r>
    </w:p>
    <w:p w:rsidR="00EE3239" w:rsidRDefault="0021728D">
      <w:pPr>
        <w:spacing w:line="360" w:lineRule="auto"/>
        <w:jc w:val="both"/>
      </w:pPr>
      <w:r>
        <w:rPr>
          <w:rFonts w:ascii="Book Antiqua" w:eastAsia="Book Antiqua" w:hAnsi="Book Antiqua" w:cs="Book Antiqua"/>
          <w:color w:val="000000"/>
          <w:shd w:val="clear" w:color="auto" w:fill="FFFFFF"/>
        </w:rPr>
        <w:lastRenderedPageBreak/>
        <w:t>Methionine is an essential amino acid that plays an irreplaceable role in the synthesis of SAM. Methionine in th</w:t>
      </w:r>
      <w:r>
        <w:rPr>
          <w:rFonts w:ascii="Book Antiqua" w:eastAsia="Book Antiqua" w:hAnsi="Book Antiqua" w:cs="Book Antiqua"/>
          <w:color w:val="000000"/>
          <w:shd w:val="clear" w:color="auto" w:fill="FFFFFF"/>
        </w:rPr>
        <w:t>e normal diet promotes production of SAM, which serves as a methyl donor for methyltransferases of histones and DNA</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The fluctuation of methionine and SAM levels regulates H3K4me3 formation and maintains the undifferentiated state of human ESCs/induced</w:t>
      </w:r>
      <w:r>
        <w:rPr>
          <w:rFonts w:ascii="Book Antiqua" w:eastAsia="Book Antiqua" w:hAnsi="Book Antiqua" w:cs="Book Antiqua"/>
          <w:color w:val="000000"/>
          <w:shd w:val="clear" w:color="auto" w:fill="FFFFFF"/>
        </w:rPr>
        <w:t xml:space="preserve"> pluripotent stem cells (iPSCs)</w:t>
      </w:r>
      <w:r>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hd w:val="clear" w:color="auto" w:fill="FFFFFF"/>
        </w:rPr>
        <w:t xml:space="preserve">. Kosti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have reported that limited methionine level was associated with neuronal differentiation, along with reduction of H3K27me3. Tang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[47]</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have also provided evidence that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reduced conversion of methionine to SAM lead to reduced ESC pluripotency. Zhang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[48]</w:t>
      </w:r>
      <w:r>
        <w:rPr>
          <w:rFonts w:ascii="Book Antiqua" w:eastAsia="Book Antiqua" w:hAnsi="Book Antiqua" w:cs="Book Antiqua"/>
          <w:color w:val="000000"/>
          <w:shd w:val="clear" w:color="auto" w:fill="FFFFFF"/>
        </w:rPr>
        <w:t xml:space="preserve"> have also found similar evidence that SAM played an important role in the differentiation of B cells into plasmablasts, and SAM deficiency was accompanied by inductio</w:t>
      </w:r>
      <w:r>
        <w:rPr>
          <w:rFonts w:ascii="Book Antiqua" w:eastAsia="Book Antiqua" w:hAnsi="Book Antiqua" w:cs="Book Antiqua"/>
          <w:color w:val="000000"/>
          <w:shd w:val="clear" w:color="auto" w:fill="FFFFFF"/>
        </w:rPr>
        <w:t>n of H3K27me3. The theory may be an attractive option for improving therapeutic effectiveness in patients with systemic lupus erythematosus.</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Fluctuation in the methionine cycle is related to cancer epigenetics. The increase in H3K4me3 and H3K27me3 level in</w:t>
      </w:r>
      <w:r>
        <w:rPr>
          <w:rFonts w:ascii="Book Antiqua" w:eastAsia="Book Antiqua" w:hAnsi="Book Antiqua" w:cs="Book Antiqua"/>
          <w:color w:val="000000"/>
          <w:shd w:val="clear" w:color="auto" w:fill="FFFFFF"/>
        </w:rPr>
        <w:t xml:space="preserve"> cells treated with methionine in cancer stem cells parallels the increase in SAM to some extent</w:t>
      </w:r>
      <w:r>
        <w:rPr>
          <w:rFonts w:ascii="Book Antiqua" w:eastAsia="Book Antiqua" w:hAnsi="Book Antiqua" w:cs="Book Antiqua"/>
          <w:color w:val="000000"/>
          <w:szCs w:val="30"/>
          <w:shd w:val="clear" w:color="auto" w:fill="FFFFFF"/>
          <w:vertAlign w:val="superscript"/>
        </w:rPr>
        <w:t>[49,50]</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This may provide a new therapy for cancer</w:t>
      </w:r>
      <w:r>
        <w:rPr>
          <w:rFonts w:ascii="Book Antiqua" w:eastAsia="Book Antiqua" w:hAnsi="Book Antiqua" w:cs="Book Antiqua"/>
          <w:color w:val="000000"/>
          <w:szCs w:val="30"/>
          <w:shd w:val="clear" w:color="auto" w:fill="FFFFFF"/>
          <w:vertAlign w:val="superscript"/>
        </w:rPr>
        <w:t>[51]</w:t>
      </w:r>
      <w:r>
        <w:rPr>
          <w:rFonts w:ascii="Book Antiqua" w:eastAsia="Book Antiqua" w:hAnsi="Book Antiqua" w:cs="Book Antiqua"/>
          <w:color w:val="000000"/>
          <w:shd w:val="clear" w:color="auto" w:fill="FFFFFF"/>
        </w:rPr>
        <w:t>.</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Taken together, these findings show that methionine has an important influence on stem cell fates.</w:t>
      </w:r>
    </w:p>
    <w:p w:rsidR="00EE3239" w:rsidRDefault="00EE3239">
      <w:pPr>
        <w:spacing w:line="360" w:lineRule="auto"/>
        <w:ind w:firstLine="480"/>
        <w:jc w:val="both"/>
      </w:pPr>
    </w:p>
    <w:p w:rsidR="00EE3239" w:rsidRDefault="0021728D">
      <w:pPr>
        <w:spacing w:line="360" w:lineRule="auto"/>
        <w:jc w:val="both"/>
        <w:rPr>
          <w:i/>
        </w:rPr>
      </w:pPr>
      <w:r>
        <w:rPr>
          <w:rFonts w:ascii="Book Antiqua" w:eastAsia="Book Antiqua" w:hAnsi="Book Antiqua" w:cs="Book Antiqua"/>
          <w:b/>
          <w:bCs/>
          <w:i/>
          <w:color w:val="000000"/>
          <w:shd w:val="clear" w:color="auto" w:fill="FFFFFF"/>
        </w:rPr>
        <w:t>Prol</w:t>
      </w:r>
      <w:r>
        <w:rPr>
          <w:rFonts w:ascii="Book Antiqua" w:eastAsia="Book Antiqua" w:hAnsi="Book Antiqua" w:cs="Book Antiqua"/>
          <w:b/>
          <w:bCs/>
          <w:i/>
          <w:color w:val="000000"/>
          <w:shd w:val="clear" w:color="auto" w:fill="FFFFFF"/>
        </w:rPr>
        <w:t>ine</w:t>
      </w:r>
    </w:p>
    <w:p w:rsidR="00EE3239" w:rsidRDefault="0021728D">
      <w:pPr>
        <w:spacing w:line="360" w:lineRule="auto"/>
        <w:jc w:val="both"/>
      </w:pPr>
      <w:r>
        <w:rPr>
          <w:rFonts w:ascii="Book Antiqua" w:eastAsia="Book Antiqua" w:hAnsi="Book Antiqua" w:cs="Book Antiqua"/>
          <w:color w:val="000000"/>
          <w:shd w:val="clear" w:color="auto" w:fill="FFFFFF"/>
        </w:rPr>
        <w:t>Proline is a nonessential amino acid derived from glutamine metabolism. Pyrroline-5-carboxylate (P5C) is an intermediate product of both proline biosynthesis and catabolism. P5C is converted to proline by P5C reductase (Pycr1). Emerging evidence indica</w:t>
      </w:r>
      <w:r>
        <w:rPr>
          <w:rFonts w:ascii="Book Antiqua" w:eastAsia="Book Antiqua" w:hAnsi="Book Antiqua" w:cs="Book Antiqua"/>
          <w:color w:val="000000"/>
          <w:shd w:val="clear" w:color="auto" w:fill="FFFFFF"/>
        </w:rPr>
        <w:t>tes that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L-proline influences the epigenetic landscape of stem cells by regulating histones and DNA methylation</w:t>
      </w:r>
      <w:r>
        <w:rPr>
          <w:rFonts w:ascii="Book Antiqua" w:eastAsia="Book Antiqua" w:hAnsi="Book Antiqua" w:cs="Book Antiqua"/>
          <w:color w:val="000000"/>
          <w:szCs w:val="30"/>
          <w:shd w:val="clear" w:color="auto" w:fill="FFFFFF"/>
          <w:vertAlign w:val="superscript"/>
        </w:rPr>
        <w:t>[52,53]</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L-Proline regulates H3K9 methylation and activates reprogramming of stem cells. Supplementation with L-proline increases DNA 5-methylcyt</w:t>
      </w:r>
      <w:r>
        <w:rPr>
          <w:rFonts w:ascii="Book Antiqua" w:eastAsia="Book Antiqua" w:hAnsi="Book Antiqua" w:cs="Book Antiqua"/>
          <w:color w:val="000000"/>
          <w:shd w:val="clear" w:color="auto" w:fill="FFFFFF"/>
        </w:rPr>
        <w:t xml:space="preserve">osine and reduces of 5-hydroxy-methylcytosine, which promotes DNA methylation. It has recently emerged that hypermethylation lead to α-KG depletion, limiting the activity of TETs and Jumonji, and resulting in increased DNA and histone </w:t>
      </w:r>
      <w:r>
        <w:rPr>
          <w:rFonts w:ascii="Book Antiqua" w:eastAsia="Book Antiqua" w:hAnsi="Book Antiqua" w:cs="Book Antiqua"/>
          <w:color w:val="000000"/>
          <w:shd w:val="clear" w:color="auto" w:fill="FFFFFF"/>
        </w:rPr>
        <w:lastRenderedPageBreak/>
        <w:t xml:space="preserve">methylation .A study </w:t>
      </w:r>
      <w:r>
        <w:rPr>
          <w:rFonts w:ascii="Book Antiqua" w:eastAsia="Book Antiqua" w:hAnsi="Book Antiqua" w:cs="Book Antiqua"/>
          <w:color w:val="000000"/>
          <w:shd w:val="clear" w:color="auto" w:fill="FFFFFF"/>
        </w:rPr>
        <w:t xml:space="preserve">on mouse </w:t>
      </w:r>
      <w:r>
        <w:rPr>
          <w:rFonts w:ascii="Book Antiqua" w:eastAsia="Book Antiqua" w:hAnsi="Book Antiqua" w:cs="Book Antiqua"/>
          <w:color w:val="000000"/>
        </w:rPr>
        <w:t>embryonic</w:t>
      </w:r>
      <w:r>
        <w:rPr>
          <w:rFonts w:ascii="Book Antiqua" w:hAnsi="Book Antiqua" w:cs="Book Antiqua" w:hint="eastAsia"/>
          <w:color w:val="000000"/>
          <w:lang w:eastAsia="zh-CN"/>
        </w:rPr>
        <w:t xml:space="preserve"> </w:t>
      </w:r>
      <w:r>
        <w:rPr>
          <w:rFonts w:ascii="Book Antiqua" w:eastAsia="Book Antiqua" w:hAnsi="Book Antiqua" w:cs="Book Antiqua"/>
          <w:color w:val="000000"/>
        </w:rPr>
        <w:t>stem cell</w:t>
      </w:r>
      <w:r>
        <w:rPr>
          <w:rFonts w:ascii="Book Antiqua" w:eastAsia="Book Antiqua" w:hAnsi="Book Antiqua" w:cs="Book Antiqua"/>
          <w:color w:val="000000"/>
          <w:shd w:val="clear" w:color="auto" w:fill="FFFFFF"/>
        </w:rPr>
        <w:t xml:space="preserve"> has shown that L-proline influenced the balance between self-renewal and differentiation</w:t>
      </w:r>
      <w:r>
        <w:rPr>
          <w:rFonts w:ascii="Book Antiqua" w:eastAsia="Book Antiqua" w:hAnsi="Book Antiqua" w:cs="Book Antiqua"/>
          <w:color w:val="000000"/>
          <w:szCs w:val="30"/>
          <w:shd w:val="clear" w:color="auto" w:fill="FFFFFF"/>
          <w:vertAlign w:val="superscript"/>
        </w:rPr>
        <w:t>[54]</w:t>
      </w:r>
      <w:r>
        <w:rPr>
          <w:rFonts w:ascii="Book Antiqua" w:eastAsia="Book Antiqua" w:hAnsi="Book Antiqua" w:cs="Book Antiqua"/>
          <w:color w:val="000000"/>
          <w:shd w:val="clear" w:color="auto" w:fill="FFFFFF"/>
        </w:rPr>
        <w:t>. Proline availability increases DNA and histone methylation, and is an essential procedure in embryonic-stem-to-mesenchymal like trans</w:t>
      </w:r>
      <w:r>
        <w:rPr>
          <w:rFonts w:ascii="Book Antiqua" w:eastAsia="Book Antiqua" w:hAnsi="Book Antiqua" w:cs="Book Antiqua"/>
          <w:color w:val="000000"/>
          <w:shd w:val="clear" w:color="auto" w:fill="FFFFFF"/>
        </w:rPr>
        <w:t>ition</w:t>
      </w:r>
      <w:r>
        <w:rPr>
          <w:rFonts w:ascii="Book Antiqua" w:eastAsia="Book Antiqua" w:hAnsi="Book Antiqua" w:cs="Book Antiqua"/>
          <w:color w:val="000000"/>
          <w:szCs w:val="30"/>
          <w:shd w:val="clear" w:color="auto" w:fill="FFFFFF"/>
          <w:vertAlign w:val="superscript"/>
        </w:rPr>
        <w:t>[55]</w:t>
      </w:r>
      <w:r>
        <w:rPr>
          <w:rFonts w:ascii="Book Antiqua" w:eastAsia="Book Antiqua" w:hAnsi="Book Antiqua" w:cs="Book Antiqua"/>
          <w:color w:val="000000"/>
          <w:shd w:val="clear" w:color="auto" w:fill="FFFFFF"/>
        </w:rPr>
        <w:t>.</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Proline is one of the most important amino acids in stem cell fate determination because of its epigenetic effects.</w:t>
      </w:r>
    </w:p>
    <w:p w:rsidR="00EE3239" w:rsidRDefault="00EE3239">
      <w:pPr>
        <w:spacing w:line="360" w:lineRule="auto"/>
        <w:ind w:firstLine="480"/>
        <w:jc w:val="both"/>
      </w:pPr>
    </w:p>
    <w:p w:rsidR="00EE3239" w:rsidRDefault="0021728D">
      <w:pPr>
        <w:spacing w:line="360" w:lineRule="auto"/>
        <w:jc w:val="both"/>
        <w:rPr>
          <w:i/>
        </w:rPr>
      </w:pPr>
      <w:r>
        <w:rPr>
          <w:rFonts w:ascii="Book Antiqua" w:eastAsia="Book Antiqua" w:hAnsi="Book Antiqua" w:cs="Book Antiqua"/>
          <w:b/>
          <w:bCs/>
          <w:i/>
          <w:color w:val="000000"/>
          <w:shd w:val="clear" w:color="auto" w:fill="FFFFFF"/>
        </w:rPr>
        <w:t>Glycine</w:t>
      </w:r>
    </w:p>
    <w:p w:rsidR="00EE3239" w:rsidRDefault="0021728D">
      <w:pPr>
        <w:spacing w:line="360" w:lineRule="auto"/>
        <w:jc w:val="both"/>
      </w:pPr>
      <w:r>
        <w:rPr>
          <w:rFonts w:ascii="Book Antiqua" w:eastAsia="Book Antiqua" w:hAnsi="Book Antiqua" w:cs="Book Antiqua"/>
          <w:color w:val="000000"/>
          <w:shd w:val="clear" w:color="auto" w:fill="FFFFFF"/>
        </w:rPr>
        <w:t>Glycine takes part in one-carbon metabolism as a methyl group provider through the glycine cleavage system</w:t>
      </w:r>
      <w:r>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 xml:space="preserve">. The </w:t>
      </w:r>
      <w:r>
        <w:rPr>
          <w:rFonts w:ascii="Book Antiqua" w:eastAsia="Book Antiqua" w:hAnsi="Book Antiqua" w:cs="Book Antiqua"/>
          <w:color w:val="000000"/>
          <w:shd w:val="clear" w:color="auto" w:fill="FFFFFF"/>
        </w:rPr>
        <w:t>glycine cleavage system is a multienzyme complex consisting of four individual components: glycine decarboxylase, amino methyltransferase, glycine cleavage system protein H, and dihydrolipoamide dehydrogenase</w:t>
      </w:r>
      <w:r>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 It has been revealed that glycine influenc</w:t>
      </w:r>
      <w:r>
        <w:rPr>
          <w:rFonts w:ascii="Book Antiqua" w:eastAsia="Book Antiqua" w:hAnsi="Book Antiqua" w:cs="Book Antiqua"/>
          <w:color w:val="000000"/>
          <w:shd w:val="clear" w:color="auto" w:fill="FFFFFF"/>
        </w:rPr>
        <w:t>ed stem cell pluripotency by controlling the synthesis of SAM, thus promoting H3K4me3 modification, and open euchromatin</w:t>
      </w:r>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 This process is present in human and mouse PSCs</w:t>
      </w:r>
      <w:r>
        <w:rPr>
          <w:rFonts w:ascii="Book Antiqua" w:eastAsia="Book Antiqua" w:hAnsi="Book Antiqua" w:cs="Book Antiqua"/>
          <w:color w:val="000000"/>
          <w:szCs w:val="30"/>
          <w:shd w:val="clear" w:color="auto" w:fill="FFFFFF"/>
          <w:vertAlign w:val="superscript"/>
        </w:rPr>
        <w:t>[59]</w:t>
      </w:r>
      <w:r>
        <w:rPr>
          <w:rFonts w:ascii="Book Antiqua" w:eastAsia="Book Antiqua" w:hAnsi="Book Antiqua" w:cs="Book Antiqua"/>
          <w:color w:val="000000"/>
          <w:shd w:val="clear" w:color="auto" w:fill="FFFFFF"/>
        </w:rPr>
        <w:t>.</w:t>
      </w:r>
    </w:p>
    <w:p w:rsidR="00EE3239" w:rsidRDefault="00EE3239">
      <w:pPr>
        <w:spacing w:line="360" w:lineRule="auto"/>
        <w:ind w:firstLine="480"/>
        <w:jc w:val="both"/>
      </w:pPr>
    </w:p>
    <w:p w:rsidR="00EE3239" w:rsidRDefault="0021728D">
      <w:pPr>
        <w:spacing w:line="360" w:lineRule="auto"/>
        <w:jc w:val="both"/>
      </w:pPr>
      <w:r>
        <w:rPr>
          <w:rFonts w:ascii="Book Antiqua" w:eastAsia="Book Antiqua" w:hAnsi="Book Antiqua" w:cs="Book Antiqua"/>
          <w:b/>
          <w:bCs/>
          <w:caps/>
          <w:color w:val="000000"/>
          <w:u w:val="single"/>
        </w:rPr>
        <w:t>NUCLEOTIDE METABOLISM</w:t>
      </w:r>
    </w:p>
    <w:p w:rsidR="00EE3239" w:rsidRDefault="0021728D">
      <w:pPr>
        <w:spacing w:line="360" w:lineRule="auto"/>
        <w:jc w:val="both"/>
      </w:pPr>
      <w:bookmarkStart w:id="20" w:name="_Hlk107011486"/>
      <w:r>
        <w:rPr>
          <w:rFonts w:ascii="Book Antiqua" w:eastAsia="Book Antiqua" w:hAnsi="Book Antiqua" w:cs="Book Antiqua"/>
          <w:color w:val="000000"/>
          <w:shd w:val="clear" w:color="auto" w:fill="FFFFFF"/>
        </w:rPr>
        <w:t>Noncoding RNA</w:t>
      </w:r>
      <w:bookmarkEnd w:id="20"/>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(ncRNA) is RNA that does not encode a pr</w:t>
      </w:r>
      <w:r>
        <w:rPr>
          <w:rFonts w:ascii="Book Antiqua" w:eastAsia="Book Antiqua" w:hAnsi="Book Antiqua" w:cs="Book Antiqua"/>
          <w:color w:val="000000"/>
          <w:shd w:val="clear" w:color="auto" w:fill="FFFFFF"/>
        </w:rPr>
        <w:t xml:space="preserve">otein. </w:t>
      </w:r>
      <w:bookmarkStart w:id="21" w:name="OLE_LINK16"/>
      <w:bookmarkStart w:id="22" w:name="OLE_LINK17"/>
      <w:r>
        <w:rPr>
          <w:rFonts w:ascii="Book Antiqua" w:hAnsi="Book Antiqua" w:cs="Book Antiqua" w:hint="eastAsia"/>
          <w:color w:val="000000"/>
          <w:shd w:val="clear" w:color="auto" w:fill="FFFFFF"/>
          <w:lang w:eastAsia="zh-CN"/>
        </w:rPr>
        <w:t>n</w:t>
      </w:r>
      <w:r>
        <w:rPr>
          <w:rFonts w:ascii="Book Antiqua" w:eastAsia="Book Antiqua" w:hAnsi="Book Antiqua" w:cs="Book Antiqua"/>
          <w:color w:val="000000"/>
          <w:shd w:val="clear" w:color="auto" w:fill="FFFFFF"/>
        </w:rPr>
        <w:t>cRNA</w:t>
      </w:r>
      <w:bookmarkEnd w:id="21"/>
      <w:bookmarkEnd w:id="22"/>
      <w:r>
        <w:rPr>
          <w:rFonts w:ascii="Book Antiqua" w:eastAsia="Book Antiqua" w:hAnsi="Book Antiqua" w:cs="Book Antiqua"/>
          <w:color w:val="000000"/>
          <w:shd w:val="clear" w:color="auto" w:fill="FFFFFF"/>
        </w:rPr>
        <w:t xml:space="preserve"> is transcribed from the genome and exerts its effects at the RNA level. Global ncRNA abundance influences cell fate determination and differentiation, and is important in embryonic development and its dysregulation causes cancer</w:t>
      </w:r>
      <w:r>
        <w:rPr>
          <w:rFonts w:ascii="Book Antiqua" w:eastAsia="Book Antiqua" w:hAnsi="Book Antiqua" w:cs="Book Antiqua"/>
          <w:color w:val="000000"/>
          <w:szCs w:val="30"/>
          <w:shd w:val="clear" w:color="auto" w:fill="FFFFFF"/>
          <w:vertAlign w:val="superscript"/>
        </w:rPr>
        <w:t>[60-62]</w:t>
      </w:r>
      <w:r>
        <w:rPr>
          <w:rFonts w:ascii="Book Antiqua" w:eastAsia="Book Antiqua" w:hAnsi="Book Antiqua" w:cs="Book Antiqua"/>
          <w:color w:val="000000"/>
          <w:shd w:val="clear" w:color="auto" w:fill="FFFFFF"/>
        </w:rPr>
        <w:t>.</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 xml:space="preserve">There </w:t>
      </w:r>
      <w:r>
        <w:rPr>
          <w:rFonts w:ascii="Book Antiqua" w:eastAsia="Book Antiqua" w:hAnsi="Book Antiqua" w:cs="Book Antiqua"/>
          <w:color w:val="000000"/>
          <w:shd w:val="clear" w:color="auto" w:fill="FFFFFF"/>
        </w:rPr>
        <w:t>are reports suggesting that long noncoding RNA (lncRNA) lnc13728 positively regulates expression of zinc finger BED-type containing 3 to promote the adipo-genic differentiation of human adipose-derived mesenchymal stem cells</w:t>
      </w:r>
      <w:r>
        <w:rPr>
          <w:rFonts w:ascii="Book Antiqua" w:eastAsia="Book Antiqua" w:hAnsi="Book Antiqua" w:cs="Book Antiqua"/>
          <w:color w:val="000000"/>
          <w:szCs w:val="30"/>
          <w:shd w:val="clear" w:color="auto" w:fill="FFFFFF"/>
          <w:vertAlign w:val="superscript"/>
        </w:rPr>
        <w:t>[63]</w:t>
      </w:r>
      <w:r>
        <w:rPr>
          <w:rFonts w:ascii="Book Antiqua" w:eastAsia="Book Antiqua" w:hAnsi="Book Antiqua" w:cs="Book Antiqua"/>
          <w:color w:val="000000"/>
          <w:shd w:val="clear" w:color="auto" w:fill="FFFFFF"/>
        </w:rPr>
        <w:t>. lncRNA has effects on hema</w:t>
      </w:r>
      <w:r>
        <w:rPr>
          <w:rFonts w:ascii="Book Antiqua" w:eastAsia="Book Antiqua" w:hAnsi="Book Antiqua" w:cs="Book Antiqua"/>
          <w:color w:val="000000"/>
          <w:shd w:val="clear" w:color="auto" w:fill="FFFFFF"/>
        </w:rPr>
        <w:t xml:space="preserve">topoietic cells in hematopoiesis regulation and the early stage of cell fate determination. Wu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[64]</w:t>
      </w:r>
      <w:r>
        <w:rPr>
          <w:rFonts w:ascii="Book Antiqua" w:eastAsia="Book Antiqua" w:hAnsi="Book Antiqua" w:cs="Book Antiqua"/>
          <w:color w:val="000000"/>
          <w:shd w:val="clear" w:color="auto" w:fill="FFFFFF"/>
        </w:rPr>
        <w:t xml:space="preserve"> have reported that, in hematopoietic stem cells and in differentiated lineage progenitors, lncRNA expression is given priority.</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Griffiths and his colle</w:t>
      </w:r>
      <w:r>
        <w:rPr>
          <w:rFonts w:ascii="Book Antiqua" w:eastAsia="Book Antiqua" w:hAnsi="Book Antiqua" w:cs="Book Antiqua"/>
          <w:color w:val="000000"/>
          <w:shd w:val="clear" w:color="auto" w:fill="FFFFFF"/>
        </w:rPr>
        <w:t xml:space="preserve">agues have demonstrated that miRNA181a inhibition activated the early latent neurogenic gene to restore CA1 neurons, providing a positive clinical </w:t>
      </w:r>
      <w:r>
        <w:rPr>
          <w:rFonts w:ascii="Book Antiqua" w:eastAsia="Book Antiqua" w:hAnsi="Book Antiqua" w:cs="Book Antiqua"/>
          <w:color w:val="000000"/>
          <w:shd w:val="clear" w:color="auto" w:fill="FFFFFF"/>
        </w:rPr>
        <w:lastRenderedPageBreak/>
        <w:t>outcome in survivors of forebrain ischemia</w:t>
      </w:r>
      <w:r>
        <w:rPr>
          <w:rFonts w:ascii="Book Antiqua" w:eastAsia="Book Antiqua" w:hAnsi="Book Antiqua" w:cs="Book Antiqua"/>
          <w:color w:val="000000"/>
          <w:szCs w:val="30"/>
          <w:shd w:val="clear" w:color="auto" w:fill="FFFFFF"/>
          <w:vertAlign w:val="superscript"/>
        </w:rPr>
        <w:t>[65]</w:t>
      </w:r>
      <w:r>
        <w:rPr>
          <w:rFonts w:ascii="Book Antiqua" w:eastAsia="Book Antiqua" w:hAnsi="Book Antiqua" w:cs="Book Antiqua"/>
          <w:color w:val="000000"/>
          <w:shd w:val="clear" w:color="auto" w:fill="FFFFFF"/>
        </w:rPr>
        <w:t xml:space="preserve">. Zhang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[66]</w:t>
      </w:r>
      <w:r>
        <w:rPr>
          <w:rFonts w:ascii="Book Antiqua" w:eastAsia="Book Antiqua" w:hAnsi="Book Antiqua" w:cs="Book Antiqua"/>
          <w:color w:val="000000"/>
          <w:shd w:val="clear" w:color="auto" w:fill="FFFFFF"/>
        </w:rPr>
        <w:t xml:space="preserve"> have shown that miR-124 inhibited pancreatic </w:t>
      </w:r>
      <w:r>
        <w:rPr>
          <w:rFonts w:ascii="Book Antiqua" w:eastAsia="Book Antiqua" w:hAnsi="Book Antiqua" w:cs="Book Antiqua"/>
          <w:color w:val="000000"/>
          <w:shd w:val="clear" w:color="auto" w:fill="FFFFFF"/>
        </w:rPr>
        <w:t xml:space="preserve">progenitor cell proliferation to maintain a quiescent state, thus determining the fate of pancreatic progenitor cells. In cancer cells, miRNA might be a preferential pathway in cell reprograming. It has been reported that </w:t>
      </w:r>
      <w:r>
        <w:rPr>
          <w:rFonts w:ascii="Book Antiqua" w:eastAsia="Book Antiqua" w:hAnsi="Book Antiqua" w:cs="Book Antiqua" w:hint="eastAsia"/>
          <w:color w:val="000000"/>
          <w:shd w:val="clear" w:color="auto" w:fill="FFFFFF"/>
        </w:rPr>
        <w:t>glucose transporter type</w:t>
      </w:r>
      <w:r>
        <w:rPr>
          <w:rFonts w:ascii="Book Antiqua" w:hAnsi="Book Antiqua" w:cs="Book Antiqua" w:hint="eastAsia"/>
          <w:color w:val="000000"/>
          <w:shd w:val="clear" w:color="auto" w:fill="FFFFFF"/>
          <w:lang w:eastAsia="zh-CN"/>
        </w:rPr>
        <w:t xml:space="preserve"> 1</w:t>
      </w:r>
      <w:r>
        <w:rPr>
          <w:rFonts w:ascii="Book Antiqua" w:eastAsia="Book Antiqua" w:hAnsi="Book Antiqua" w:cs="Book Antiqua" w:hint="eastAsia"/>
          <w:color w:val="000000"/>
          <w:shd w:val="clear" w:color="auto" w:fill="FFFFFF"/>
        </w:rPr>
        <w:t xml:space="preserve"> </w:t>
      </w:r>
      <w:r>
        <w:rPr>
          <w:rFonts w:ascii="Book Antiqua" w:eastAsia="Book Antiqua" w:hAnsi="Book Antiqua" w:cs="Book Antiqua"/>
          <w:color w:val="000000"/>
          <w:shd w:val="clear" w:color="auto" w:fill="FFFFFF"/>
        </w:rPr>
        <w:t>(GLUT1)</w:t>
      </w:r>
      <w:r>
        <w:rPr>
          <w:rFonts w:ascii="Book Antiqua" w:eastAsia="Book Antiqua" w:hAnsi="Book Antiqua" w:cs="Book Antiqua"/>
          <w:color w:val="000000"/>
          <w:shd w:val="clear" w:color="auto" w:fill="FFFFFF"/>
        </w:rPr>
        <w:t>, GLUT3 and GLUT4 were overexpressed in most cancers. miR-122 regulates lipid levels in liver. miR-185 and miR-342 inhibit migration and invasion of prostate cancer cells, which could be a therapeutic option for prostate cancer</w:t>
      </w:r>
      <w:r>
        <w:rPr>
          <w:rFonts w:ascii="Book Antiqua" w:eastAsia="Book Antiqua" w:hAnsi="Book Antiqua" w:cs="Book Antiqua"/>
          <w:color w:val="000000"/>
          <w:szCs w:val="30"/>
          <w:shd w:val="clear" w:color="auto" w:fill="FFFFFF"/>
          <w:vertAlign w:val="superscript"/>
        </w:rPr>
        <w:t>[63]</w:t>
      </w:r>
      <w:r>
        <w:rPr>
          <w:rFonts w:ascii="Book Antiqua" w:eastAsia="Book Antiqua" w:hAnsi="Book Antiqua" w:cs="Book Antiqua"/>
          <w:color w:val="000000"/>
          <w:shd w:val="clear" w:color="auto" w:fill="FFFFFF"/>
        </w:rPr>
        <w:t xml:space="preserve">. He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[67]</w:t>
      </w:r>
      <w:r>
        <w:rPr>
          <w:rFonts w:ascii="Book Antiqua" w:eastAsia="Book Antiqua" w:hAnsi="Book Antiqua" w:cs="Book Antiqua"/>
          <w:color w:val="000000"/>
          <w:shd w:val="clear" w:color="auto" w:fill="FFFFFF"/>
        </w:rPr>
        <w:t xml:space="preserve"> have shown</w:t>
      </w:r>
      <w:r>
        <w:rPr>
          <w:rFonts w:ascii="Book Antiqua" w:eastAsia="Book Antiqua" w:hAnsi="Book Antiqua" w:cs="Book Antiqua"/>
          <w:color w:val="000000"/>
          <w:shd w:val="clear" w:color="auto" w:fill="FFFFFF"/>
        </w:rPr>
        <w:t xml:space="preserve"> that miR-146a from exosomes had an effect on β-cell dedifferentiation, which</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provide a new therapy for type 2 diabetes</w:t>
      </w:r>
      <w:r>
        <w:rPr>
          <w:rFonts w:ascii="Book Antiqua" w:eastAsia="Book Antiqua" w:hAnsi="Book Antiqua" w:cs="Book Antiqua"/>
          <w:color w:val="000000"/>
          <w:szCs w:val="30"/>
          <w:shd w:val="clear" w:color="auto" w:fill="FFFFFF"/>
          <w:vertAlign w:val="superscript"/>
        </w:rPr>
        <w:t>[68]</w:t>
      </w:r>
      <w:r>
        <w:rPr>
          <w:rFonts w:ascii="Book Antiqua" w:eastAsia="Book Antiqua" w:hAnsi="Book Antiqua" w:cs="Book Antiqua"/>
          <w:color w:val="000000"/>
          <w:shd w:val="clear" w:color="auto" w:fill="FFFFFF"/>
        </w:rPr>
        <w:t>. High expression of miR-130a can increase osteogenic differentiation of bone marrow mesenchymal stem cells, which could be a potenti</w:t>
      </w:r>
      <w:r>
        <w:rPr>
          <w:rFonts w:ascii="Book Antiqua" w:eastAsia="Book Antiqua" w:hAnsi="Book Antiqua" w:cs="Book Antiqua"/>
          <w:color w:val="000000"/>
          <w:shd w:val="clear" w:color="auto" w:fill="FFFFFF"/>
        </w:rPr>
        <w:t>al therapy for age-related bone loss</w:t>
      </w:r>
      <w:r>
        <w:rPr>
          <w:rFonts w:ascii="Book Antiqua" w:eastAsia="Book Antiqua" w:hAnsi="Book Antiqua" w:cs="Book Antiqua"/>
          <w:color w:val="000000"/>
          <w:szCs w:val="30"/>
          <w:shd w:val="clear" w:color="auto" w:fill="FFFFFF"/>
          <w:vertAlign w:val="superscript"/>
        </w:rPr>
        <w:t>[69,70]</w:t>
      </w:r>
      <w:r>
        <w:rPr>
          <w:rFonts w:ascii="Book Antiqua" w:eastAsia="Book Antiqua" w:hAnsi="Book Antiqua" w:cs="Book Antiqua"/>
          <w:color w:val="000000"/>
          <w:shd w:val="clear" w:color="auto" w:fill="FFFFFF"/>
        </w:rPr>
        <w:t xml:space="preserve">. Huang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[71]</w:t>
      </w:r>
      <w:r>
        <w:rPr>
          <w:rFonts w:ascii="Book Antiqua" w:eastAsia="Book Antiqua" w:hAnsi="Book Antiqua" w:cs="Book Antiqua"/>
          <w:color w:val="000000"/>
          <w:shd w:val="clear" w:color="auto" w:fill="FFFFFF"/>
        </w:rPr>
        <w:t xml:space="preserve"> have reported that miR-330-5p negatively regulated differentiation of mesenchymal stem cells.</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 xml:space="preserve">In summary, ncRNA plays an essential role in stem cell fate determination and could act as a </w:t>
      </w:r>
      <w:r>
        <w:rPr>
          <w:rFonts w:ascii="Book Antiqua" w:eastAsia="Book Antiqua" w:hAnsi="Book Antiqua" w:cs="Book Antiqua"/>
          <w:color w:val="000000"/>
          <w:shd w:val="clear" w:color="auto" w:fill="FFFFFF"/>
        </w:rPr>
        <w:t>breakthrough point in disease therapy. However, we still have a long way to go to understand the whole regulatory network of ncRNA.</w:t>
      </w:r>
    </w:p>
    <w:p w:rsidR="00EE3239" w:rsidRDefault="00EE3239">
      <w:pPr>
        <w:spacing w:line="360" w:lineRule="auto"/>
        <w:ind w:firstLine="480"/>
        <w:jc w:val="both"/>
      </w:pPr>
    </w:p>
    <w:p w:rsidR="00EE3239" w:rsidRDefault="0021728D">
      <w:pPr>
        <w:spacing w:line="360" w:lineRule="auto"/>
        <w:jc w:val="both"/>
      </w:pPr>
      <w:r>
        <w:rPr>
          <w:rFonts w:ascii="Book Antiqua" w:eastAsia="Book Antiqua" w:hAnsi="Book Antiqua" w:cs="Book Antiqua"/>
          <w:b/>
          <w:bCs/>
          <w:caps/>
          <w:color w:val="000000"/>
          <w:u w:val="single"/>
          <w:shd w:val="clear" w:color="auto" w:fill="FFFFFF"/>
        </w:rPr>
        <w:t>GLUCOSE METABOLISM</w:t>
      </w:r>
    </w:p>
    <w:p w:rsidR="00EE3239" w:rsidRDefault="0021728D">
      <w:pPr>
        <w:spacing w:line="360" w:lineRule="auto"/>
        <w:jc w:val="both"/>
      </w:pPr>
      <w:r>
        <w:rPr>
          <w:rFonts w:ascii="Book Antiqua" w:eastAsia="Book Antiqua" w:hAnsi="Book Antiqua" w:cs="Book Antiqua"/>
          <w:color w:val="000000"/>
          <w:shd w:val="clear" w:color="auto" w:fill="FFFFFF"/>
        </w:rPr>
        <w:t>Glucose and oxygen are important regulatory elements that help direct stem cell fate. In the undifferent</w:t>
      </w:r>
      <w:r>
        <w:rPr>
          <w:rFonts w:ascii="Book Antiqua" w:eastAsia="Book Antiqua" w:hAnsi="Book Antiqua" w:cs="Book Antiqua"/>
          <w:color w:val="000000"/>
          <w:shd w:val="clear" w:color="auto" w:fill="FFFFFF"/>
        </w:rPr>
        <w:t>iated state, stem cells, and their artificially reprogrammed equivalent iPSCs, are characterized by limited oxidative capacity and active anaerobic glycolysis.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 importance of optimizing glucose metabolism during nuclear reprogramming by epigenetic regul</w:t>
      </w:r>
      <w:r>
        <w:rPr>
          <w:rFonts w:ascii="Book Antiqua" w:eastAsia="Book Antiqua" w:hAnsi="Book Antiqua" w:cs="Book Antiqua"/>
          <w:color w:val="000000"/>
          <w:shd w:val="clear" w:color="auto" w:fill="FFFFFF"/>
        </w:rPr>
        <w:t>ation has been demonstrated in several studies.</w:t>
      </w:r>
    </w:p>
    <w:p w:rsidR="00EE3239" w:rsidRDefault="00EE3239">
      <w:pPr>
        <w:spacing w:line="360" w:lineRule="auto"/>
        <w:jc w:val="both"/>
      </w:pPr>
    </w:p>
    <w:p w:rsidR="00EE3239" w:rsidRDefault="0021728D">
      <w:pPr>
        <w:spacing w:line="360" w:lineRule="auto"/>
        <w:jc w:val="both"/>
        <w:rPr>
          <w:i/>
        </w:rPr>
      </w:pPr>
      <w:r>
        <w:rPr>
          <w:rFonts w:ascii="Book Antiqua" w:eastAsia="Book Antiqua" w:hAnsi="Book Antiqua" w:cs="Book Antiqua"/>
          <w:b/>
          <w:bCs/>
          <w:i/>
          <w:color w:val="000000"/>
          <w:shd w:val="clear" w:color="auto" w:fill="FFFFFF"/>
        </w:rPr>
        <w:t>Glycolysis</w:t>
      </w:r>
    </w:p>
    <w:p w:rsidR="00EE3239" w:rsidRDefault="0021728D">
      <w:pPr>
        <w:spacing w:line="360" w:lineRule="auto"/>
        <w:jc w:val="both"/>
      </w:pPr>
      <w:r>
        <w:rPr>
          <w:rFonts w:ascii="Book Antiqua" w:eastAsia="Book Antiqua" w:hAnsi="Book Antiqua" w:cs="Book Antiqua"/>
          <w:color w:val="000000"/>
          <w:shd w:val="clear" w:color="auto" w:fill="FFFFFF"/>
        </w:rPr>
        <w:t>Glycolysis is defined as a cytosolic redox reaction that transform a single glucose molecule into two pyruvate molecules accompanied by generation of two net ATP and two reduced NADH molecules. Al</w:t>
      </w:r>
      <w:r>
        <w:rPr>
          <w:rFonts w:ascii="Book Antiqua" w:eastAsia="Book Antiqua" w:hAnsi="Book Antiqua" w:cs="Book Antiqua"/>
          <w:color w:val="000000"/>
          <w:shd w:val="clear" w:color="auto" w:fill="FFFFFF"/>
        </w:rPr>
        <w:t xml:space="preserve">though glycolysis is not as energetically efficient as complete oxidation, this pathway can occur in the absence of oxygen and enables a fast </w:t>
      </w:r>
      <w:r>
        <w:rPr>
          <w:rFonts w:ascii="Book Antiqua" w:eastAsia="Book Antiqua" w:hAnsi="Book Antiqua" w:cs="Book Antiqua"/>
          <w:color w:val="000000"/>
          <w:shd w:val="clear" w:color="auto" w:fill="FFFFFF"/>
        </w:rPr>
        <w:lastRenderedPageBreak/>
        <w:t>rate of ATP production, which may also be the reason why some highly proliferating cell types typically utilize gl</w:t>
      </w:r>
      <w:r>
        <w:rPr>
          <w:rFonts w:ascii="Book Antiqua" w:eastAsia="Book Antiqua" w:hAnsi="Book Antiqua" w:cs="Book Antiqua"/>
          <w:color w:val="000000"/>
          <w:shd w:val="clear" w:color="auto" w:fill="FFFFFF"/>
        </w:rPr>
        <w:t xml:space="preserve">ycolysis. </w:t>
      </w:r>
    </w:p>
    <w:p w:rsidR="00EE3239" w:rsidRDefault="0021728D">
      <w:pPr>
        <w:spacing w:line="360" w:lineRule="auto"/>
        <w:ind w:firstLineChars="100" w:firstLine="240"/>
        <w:jc w:val="both"/>
        <w:rPr>
          <w:rFonts w:ascii="Book Antiqua" w:hAnsi="Book Antiqua" w:cs="Book Antiqua"/>
          <w:color w:val="000000"/>
          <w:szCs w:val="30"/>
          <w:shd w:val="clear" w:color="auto" w:fill="FFFFFF"/>
          <w:vertAlign w:val="superscript"/>
          <w:lang w:eastAsia="zh-CN"/>
        </w:rPr>
      </w:pPr>
      <w:r>
        <w:rPr>
          <w:rFonts w:ascii="Book Antiqua" w:eastAsia="Book Antiqua" w:hAnsi="Book Antiqua" w:cs="Book Antiqua"/>
          <w:color w:val="000000"/>
          <w:shd w:val="clear" w:color="auto" w:fill="FFFFFF"/>
        </w:rPr>
        <w:t>High glycolytic flux could be frequently observed in various stem cell populations and is critical for the acquisition and maintenance of cell pluripotency</w:t>
      </w:r>
      <w:r>
        <w:rPr>
          <w:rFonts w:ascii="Book Antiqua" w:eastAsia="Book Antiqua" w:hAnsi="Book Antiqua" w:cs="Book Antiqua"/>
          <w:color w:val="000000"/>
          <w:szCs w:val="30"/>
          <w:shd w:val="clear" w:color="auto" w:fill="FFFFFF"/>
          <w:vertAlign w:val="superscript"/>
        </w:rPr>
        <w:t>[72]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Li</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[73]</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have shown that GLIS family zinc finger 1 could directly bind to and op</w:t>
      </w:r>
      <w:r>
        <w:rPr>
          <w:rFonts w:ascii="Book Antiqua" w:eastAsia="Book Antiqua" w:hAnsi="Book Antiqua" w:cs="Book Antiqua"/>
          <w:color w:val="000000"/>
          <w:shd w:val="clear" w:color="auto" w:fill="FFFFFF"/>
        </w:rPr>
        <w:t>en chromatin structure at glycolysis-related genes to promote glycolysis. Higher glycolytic flux subsequently upregulates cellular acetyl-CoA and lactate levels, leading to increased acetylation of H3K27 and pluripotency gene loci.</w:t>
      </w:r>
    </w:p>
    <w:p w:rsidR="00EE3239" w:rsidRDefault="0021728D">
      <w:pPr>
        <w:spacing w:line="360" w:lineRule="auto"/>
        <w:ind w:firstLine="480"/>
        <w:jc w:val="both"/>
      </w:pPr>
      <w:r>
        <w:rPr>
          <w:rFonts w:ascii="Book Antiqua" w:eastAsia="Book Antiqua" w:hAnsi="Book Antiqua" w:cs="Book Antiqua"/>
          <w:color w:val="000000"/>
          <w:shd w:val="clear" w:color="auto" w:fill="FFFFFF"/>
        </w:rPr>
        <w:t xml:space="preserve">Glycolytic flux can be </w:t>
      </w:r>
      <w:r>
        <w:rPr>
          <w:rFonts w:ascii="Book Antiqua" w:eastAsia="Book Antiqua" w:hAnsi="Book Antiqua" w:cs="Book Antiqua"/>
          <w:color w:val="000000"/>
          <w:shd w:val="clear" w:color="auto" w:fill="FFFFFF"/>
        </w:rPr>
        <w:t>influenced by several factors, including epigenetic regulators and environmental conditions. For example, NAD-dependent histone deacetylase SIRT6 has been proved to act as a key regulator of glucose homeostasis, and its absence favors the metabolic profile</w:t>
      </w:r>
      <w:r>
        <w:rPr>
          <w:rFonts w:ascii="Book Antiqua" w:eastAsia="Book Antiqua" w:hAnsi="Book Antiqua" w:cs="Book Antiqua"/>
          <w:color w:val="000000"/>
          <w:shd w:val="clear" w:color="auto" w:fill="FFFFFF"/>
        </w:rPr>
        <w:t xml:space="preserve"> of anaerobic glycolysis, which may activate gene reprogramming and pluripotency maintenance</w:t>
      </w:r>
      <w:r>
        <w:rPr>
          <w:rFonts w:ascii="Book Antiqua" w:eastAsia="Book Antiqua" w:hAnsi="Book Antiqua" w:cs="Book Antiqua"/>
          <w:color w:val="000000"/>
          <w:szCs w:val="30"/>
          <w:shd w:val="clear" w:color="auto" w:fill="FFFFFF"/>
          <w:vertAlign w:val="superscript"/>
        </w:rPr>
        <w:t>[74]</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 epigenetic modifications are essential for the cell fate decisions in NSCs as well. High glucose levels increase H3K14 acetylation level, which can lead t</w:t>
      </w:r>
      <w:r>
        <w:rPr>
          <w:rFonts w:ascii="Book Antiqua" w:eastAsia="Book Antiqua" w:hAnsi="Book Antiqua" w:cs="Book Antiqua"/>
          <w:color w:val="000000"/>
          <w:shd w:val="clear" w:color="auto" w:fill="FFFFFF"/>
        </w:rPr>
        <w:t>o premature neurogenetic differentiation of NSCs, providing a promising target for intervention in fetal neurodevelopment deficits</w:t>
      </w:r>
      <w:r>
        <w:rPr>
          <w:rFonts w:ascii="Book Antiqua" w:eastAsia="Book Antiqua" w:hAnsi="Book Antiqua" w:cs="Book Antiqua"/>
          <w:color w:val="000000"/>
          <w:szCs w:val="30"/>
          <w:shd w:val="clear" w:color="auto" w:fill="FFFFFF"/>
          <w:vertAlign w:val="superscript"/>
        </w:rPr>
        <w:t>[75]</w:t>
      </w:r>
      <w:r>
        <w:rPr>
          <w:rFonts w:ascii="Book Antiqua" w:eastAsia="Book Antiqua" w:hAnsi="Book Antiqua" w:cs="Book Antiqua"/>
          <w:color w:val="000000"/>
          <w:shd w:val="clear" w:color="auto" w:fill="FFFFFF"/>
        </w:rPr>
        <w:t>. Protein glycosylation is one of the most diverse and complicated co- and post-translational modifications, regulating se</w:t>
      </w:r>
      <w:r>
        <w:rPr>
          <w:rFonts w:ascii="Book Antiqua" w:eastAsia="Book Antiqua" w:hAnsi="Book Antiqua" w:cs="Book Antiqua"/>
          <w:color w:val="000000"/>
          <w:shd w:val="clear" w:color="auto" w:fill="FFFFFF"/>
        </w:rPr>
        <w:t>lf-renewal, pluripotency, and differentiation of stem cells through epigenetic mechanisms by histone modification and DNA methylation</w:t>
      </w:r>
      <w:r>
        <w:rPr>
          <w:rFonts w:ascii="Book Antiqua" w:eastAsia="Book Antiqua" w:hAnsi="Book Antiqua" w:cs="Book Antiqua"/>
          <w:color w:val="000000"/>
          <w:szCs w:val="30"/>
          <w:shd w:val="clear" w:color="auto" w:fill="FFFFFF"/>
          <w:vertAlign w:val="superscript"/>
        </w:rPr>
        <w:t>[76]</w:t>
      </w:r>
      <w:r>
        <w:rPr>
          <w:rFonts w:ascii="Book Antiqua" w:eastAsia="Book Antiqua" w:hAnsi="Book Antiqua" w:cs="Book Antiqua"/>
          <w:color w:val="000000"/>
          <w:shd w:val="clear" w:color="auto" w:fill="FFFFFF"/>
        </w:rPr>
        <w:t xml:space="preserve">. Glycolytic flux can also be regulated by oxygen. Glycolysis increases at 5% oxygen and acetylation of H3K9 and H3K27 </w:t>
      </w:r>
      <w:r>
        <w:rPr>
          <w:rFonts w:ascii="Book Antiqua" w:eastAsia="Book Antiqua" w:hAnsi="Book Antiqua" w:cs="Book Antiqua"/>
          <w:color w:val="000000"/>
          <w:shd w:val="clear" w:color="auto" w:fill="FFFFFF"/>
        </w:rPr>
        <w:t>is elevated, while H3K27 trimethylation is downregulated, leading to a more open chromatin structure and altered fate of human PSCs</w:t>
      </w:r>
      <w:r>
        <w:rPr>
          <w:rFonts w:ascii="Book Antiqua" w:eastAsia="Book Antiqua" w:hAnsi="Book Antiqua" w:cs="Book Antiqua"/>
          <w:color w:val="000000"/>
          <w:szCs w:val="30"/>
          <w:shd w:val="clear" w:color="auto" w:fill="FFFFFF"/>
          <w:vertAlign w:val="superscript"/>
        </w:rPr>
        <w:t>[77,78]</w:t>
      </w:r>
      <w:r>
        <w:rPr>
          <w:rFonts w:ascii="Book Antiqua" w:eastAsia="Book Antiqua" w:hAnsi="Book Antiqua" w:cs="Book Antiqua"/>
          <w:color w:val="000000"/>
          <w:shd w:val="clear" w:color="auto" w:fill="FFFFFF"/>
        </w:rPr>
        <w:t xml:space="preserve">. </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In summary, glycolysis is the dominant metabolic phenotype that controls stem cell fate.</w:t>
      </w:r>
    </w:p>
    <w:p w:rsidR="00EE3239" w:rsidRDefault="00EE3239">
      <w:pPr>
        <w:spacing w:line="360" w:lineRule="auto"/>
        <w:ind w:firstLine="480"/>
        <w:jc w:val="both"/>
      </w:pPr>
    </w:p>
    <w:p w:rsidR="00EE3239" w:rsidRDefault="0021728D">
      <w:pPr>
        <w:spacing w:line="360" w:lineRule="auto"/>
        <w:jc w:val="both"/>
        <w:rPr>
          <w:i/>
        </w:rPr>
      </w:pPr>
      <w:r>
        <w:rPr>
          <w:rFonts w:ascii="Book Antiqua" w:eastAsia="Book Antiqua" w:hAnsi="Book Antiqua" w:cs="Book Antiqua"/>
          <w:b/>
          <w:bCs/>
          <w:i/>
          <w:color w:val="000000"/>
          <w:shd w:val="clear" w:color="auto" w:fill="FFFFFF"/>
        </w:rPr>
        <w:t>Glucose oxidative phospho</w:t>
      </w:r>
      <w:r>
        <w:rPr>
          <w:rFonts w:ascii="Book Antiqua" w:eastAsia="Book Antiqua" w:hAnsi="Book Antiqua" w:cs="Book Antiqua"/>
          <w:b/>
          <w:bCs/>
          <w:i/>
          <w:color w:val="000000"/>
          <w:shd w:val="clear" w:color="auto" w:fill="FFFFFF"/>
        </w:rPr>
        <w:t>rylation</w:t>
      </w:r>
    </w:p>
    <w:p w:rsidR="00EE3239" w:rsidRDefault="0021728D">
      <w:pPr>
        <w:spacing w:line="360" w:lineRule="auto"/>
        <w:jc w:val="both"/>
      </w:pPr>
      <w:r>
        <w:rPr>
          <w:rFonts w:ascii="Book Antiqua" w:eastAsia="Book Antiqua" w:hAnsi="Book Antiqua" w:cs="Book Antiqua"/>
          <w:color w:val="000000"/>
          <w:shd w:val="clear" w:color="auto" w:fill="FFFFFF"/>
        </w:rPr>
        <w:t xml:space="preserve">Glucose oxidative phosphorylation is another critical pathway for maintaining bioenergetic homeostasis as a bridge between the tricarboxylic acid (TCA) cycle and </w:t>
      </w:r>
      <w:r>
        <w:rPr>
          <w:rFonts w:ascii="Book Antiqua" w:eastAsia="Book Antiqua" w:hAnsi="Book Antiqua" w:cs="Book Antiqua"/>
          <w:color w:val="000000"/>
          <w:shd w:val="clear" w:color="auto" w:fill="FFFFFF"/>
        </w:rPr>
        <w:lastRenderedPageBreak/>
        <w:t>ATP synthesis. Oxidative phosphorylation is a more efficient pathway for ATP producti</w:t>
      </w:r>
      <w:r>
        <w:rPr>
          <w:rFonts w:ascii="Book Antiqua" w:eastAsia="Book Antiqua" w:hAnsi="Book Antiqua" w:cs="Book Antiqua"/>
          <w:color w:val="000000"/>
          <w:shd w:val="clear" w:color="auto" w:fill="FFFFFF"/>
        </w:rPr>
        <w:t>on compared to glycolysis, producing 36 ATP molecules per glucose. Oxidative phosphorylation promotes stem cell differentiation.</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Uittenbogaard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[79]</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have provided evidence that enhancing oxidative phosphorylation can trigger neuronal differentiation by</w:t>
      </w:r>
      <w:r>
        <w:rPr>
          <w:rFonts w:ascii="Book Antiqua" w:eastAsia="Book Antiqua" w:hAnsi="Book Antiqua" w:cs="Book Antiqua"/>
          <w:color w:val="000000"/>
          <w:shd w:val="clear" w:color="auto" w:fill="FFFFFF"/>
        </w:rPr>
        <w:t xml:space="preserve"> generating H3K27ac. Oxidative phosphorylation also mediates hematopoiesis stem cell differentiation toward definitive hematopoiesis through actyl-CoA metabolism</w:t>
      </w:r>
      <w:r>
        <w:rPr>
          <w:rFonts w:ascii="Book Antiqua" w:eastAsia="Book Antiqua" w:hAnsi="Book Antiqua" w:cs="Book Antiqua"/>
          <w:color w:val="000000"/>
          <w:szCs w:val="30"/>
          <w:shd w:val="clear" w:color="auto" w:fill="FFFFFF"/>
          <w:vertAlign w:val="superscript"/>
        </w:rPr>
        <w:t>[80]</w:t>
      </w:r>
      <w:r>
        <w:rPr>
          <w:rFonts w:ascii="Book Antiqua" w:eastAsia="Book Antiqua" w:hAnsi="Book Antiqua" w:cs="Book Antiqua"/>
          <w:color w:val="000000"/>
          <w:shd w:val="clear" w:color="auto" w:fill="FFFFFF"/>
        </w:rPr>
        <w:t>.</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 xml:space="preserve">Several TCA-cycle-related metabolic intermediates like </w:t>
      </w:r>
      <w:bookmarkStart w:id="23" w:name="OLE_LINK22"/>
      <w:bookmarkStart w:id="24" w:name="OLE_LINK21"/>
      <w:r>
        <w:rPr>
          <w:rFonts w:ascii="Book Antiqua" w:eastAsia="Book Antiqua" w:hAnsi="Book Antiqua" w:cs="Book Antiqua"/>
          <w:color w:val="000000"/>
          <w:shd w:val="clear" w:color="auto" w:fill="FFFFFF"/>
        </w:rPr>
        <w:t>NADH, FADH</w:t>
      </w:r>
      <w:bookmarkEnd w:id="23"/>
      <w:bookmarkEnd w:id="24"/>
      <w:r>
        <w:rPr>
          <w:rFonts w:ascii="Book Antiqua" w:eastAsia="Book Antiqua" w:hAnsi="Book Antiqua" w:cs="Book Antiqua"/>
          <w:color w:val="000000"/>
          <w:shd w:val="clear" w:color="auto" w:fill="FFFFFF"/>
        </w:rPr>
        <w:t>, fumarate and succinate</w:t>
      </w:r>
      <w:r>
        <w:rPr>
          <w:rFonts w:ascii="Book Antiqua" w:eastAsia="Book Antiqua" w:hAnsi="Book Antiqua" w:cs="Book Antiqua"/>
          <w:color w:val="000000"/>
          <w:shd w:val="clear" w:color="auto" w:fill="FFFFFF"/>
        </w:rPr>
        <w:t xml:space="preserve"> are reported to contribute to epigenetic regulation of transcription and be connected with stem cell fate. </w:t>
      </w:r>
    </w:p>
    <w:p w:rsidR="00EE3239" w:rsidRDefault="00EE3239">
      <w:pPr>
        <w:spacing w:line="360" w:lineRule="auto"/>
        <w:ind w:firstLine="480"/>
        <w:jc w:val="both"/>
      </w:pPr>
    </w:p>
    <w:p w:rsidR="00EE3239" w:rsidRDefault="0021728D">
      <w:pPr>
        <w:spacing w:line="360" w:lineRule="auto"/>
        <w:jc w:val="both"/>
        <w:rPr>
          <w:b/>
          <w:lang w:eastAsia="zh-CN"/>
        </w:rPr>
      </w:pPr>
      <w:r>
        <w:rPr>
          <w:rFonts w:ascii="Book Antiqua" w:eastAsia="Book Antiqua" w:hAnsi="Book Antiqua" w:cs="Book Antiqua"/>
          <w:b/>
          <w:iCs/>
          <w:color w:val="000000"/>
          <w:shd w:val="clear" w:color="auto" w:fill="FFFFFF"/>
        </w:rPr>
        <w:t>NADH</w:t>
      </w:r>
      <w:r>
        <w:rPr>
          <w:rFonts w:ascii="Book Antiqua" w:hAnsi="Book Antiqua" w:cs="Book Antiqua" w:hint="eastAsia"/>
          <w:b/>
          <w:iCs/>
          <w:color w:val="000000"/>
          <w:shd w:val="clear" w:color="auto" w:fill="FFFFFF"/>
          <w:lang w:eastAsia="zh-CN"/>
        </w:rPr>
        <w:t>:</w:t>
      </w:r>
      <w:r>
        <w:rPr>
          <w:rFonts w:hint="eastAsia"/>
          <w:b/>
          <w:lang w:eastAsia="zh-CN"/>
        </w:rPr>
        <w:t xml:space="preserve"> </w:t>
      </w:r>
      <w:r>
        <w:rPr>
          <w:rFonts w:ascii="Book Antiqua" w:eastAsia="Book Antiqua" w:hAnsi="Book Antiqua" w:cs="Book Antiqua"/>
          <w:color w:val="000000"/>
          <w:shd w:val="clear" w:color="auto" w:fill="FFFFFF"/>
        </w:rPr>
        <w:t>NAD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is a coenzyme that serves as a co-substrate for sirtuins, an HDAC family, and catalyzes deacetylation of histone lysine; a crucial protein post-translational modification</w:t>
      </w:r>
      <w:r>
        <w:rPr>
          <w:rFonts w:ascii="Book Antiqua" w:eastAsia="Book Antiqua" w:hAnsi="Book Antiqua" w:cs="Book Antiqua"/>
          <w:color w:val="000000"/>
          <w:szCs w:val="30"/>
          <w:shd w:val="clear" w:color="auto" w:fill="FFFFFF"/>
          <w:vertAlign w:val="superscript"/>
        </w:rPr>
        <w:t>[81-83]</w:t>
      </w:r>
      <w:r>
        <w:rPr>
          <w:rFonts w:ascii="Book Antiqua" w:eastAsia="Book Antiqua" w:hAnsi="Book Antiqua" w:cs="Book Antiqua"/>
          <w:color w:val="000000"/>
          <w:shd w:val="clear" w:color="auto" w:fill="FFFFFF"/>
        </w:rPr>
        <w:t xml:space="preserve">. </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NAD/NADH ratio can dictate the fate and function of different cell types. I</w:t>
      </w:r>
      <w:r>
        <w:rPr>
          <w:rFonts w:ascii="Book Antiqua" w:eastAsia="Book Antiqua" w:hAnsi="Book Antiqua" w:cs="Book Antiqua"/>
          <w:color w:val="000000"/>
          <w:shd w:val="clear" w:color="auto" w:fill="FFFFFF"/>
        </w:rPr>
        <w:t>ncreased NAD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production is required for cell differentiation</w:t>
      </w:r>
      <w:r>
        <w:rPr>
          <w:rFonts w:ascii="Book Antiqua" w:eastAsia="Book Antiqua" w:hAnsi="Book Antiqua" w:cs="Book Antiqua"/>
          <w:color w:val="000000"/>
          <w:szCs w:val="30"/>
          <w:shd w:val="clear" w:color="auto" w:fill="FFFFFF"/>
          <w:vertAlign w:val="superscript"/>
        </w:rPr>
        <w:t>[84]</w:t>
      </w:r>
      <w:r>
        <w:rPr>
          <w:rFonts w:ascii="Book Antiqua" w:eastAsia="Book Antiqua" w:hAnsi="Book Antiqua" w:cs="Book Antiqua"/>
          <w:color w:val="000000"/>
          <w:shd w:val="clear" w:color="auto" w:fill="FFFFFF"/>
        </w:rPr>
        <w:t>. Bmal1 regulates primary myoblast proliferation and differentiation through increasing cytosolic NAD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Reduced NAD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level prevents the differentiation of preadipocytes</w:t>
      </w:r>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 xml:space="preserve">. Okabe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xml:space="preserve"> h</w:t>
      </w:r>
      <w:r>
        <w:rPr>
          <w:rFonts w:ascii="Book Antiqua" w:eastAsia="Book Antiqua" w:hAnsi="Book Antiqua" w:cs="Book Antiqua"/>
          <w:color w:val="000000"/>
          <w:shd w:val="clear" w:color="auto" w:fill="FFFFFF"/>
        </w:rPr>
        <w:t>ave confirmed that high NAD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levels upregulated the TCA cycle, increasing α-KG and contributing to histone H3K9 demethylation and transcriptional activation. Zhu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 xml:space="preserve"> have demonstrated that increasing cytosolic NAD levels could restore hypoxic cell pr</w:t>
      </w:r>
      <w:r>
        <w:rPr>
          <w:rFonts w:ascii="Book Antiqua" w:eastAsia="Book Antiqua" w:hAnsi="Book Antiqua" w:cs="Book Antiqua"/>
          <w:color w:val="000000"/>
          <w:shd w:val="clear" w:color="auto" w:fill="FFFFFF"/>
        </w:rPr>
        <w:t xml:space="preserve">oliferation and myofiber formation in </w:t>
      </w:r>
      <w:bookmarkStart w:id="25" w:name="OLE_LINK19"/>
      <w:bookmarkStart w:id="26" w:name="OLE_LINK18"/>
      <w:r>
        <w:rPr>
          <w:rFonts w:ascii="Book Antiqua" w:eastAsia="Book Antiqua" w:hAnsi="Book Antiqua" w:cs="Book Antiqua"/>
          <w:color w:val="000000"/>
          <w:shd w:val="clear" w:color="auto" w:fill="FFFFFF"/>
        </w:rPr>
        <w:t>Bmal1</w:t>
      </w:r>
      <w:bookmarkEnd w:id="25"/>
      <w:bookmarkEnd w:id="26"/>
      <w:r>
        <w:rPr>
          <w:rFonts w:ascii="Book Antiqua" w:eastAsia="Book Antiqua" w:hAnsi="Book Antiqua" w:cs="Book Antiqua"/>
          <w:color w:val="000000"/>
          <w:shd w:val="clear" w:color="auto" w:fill="FFFFFF"/>
        </w:rPr>
        <w:t>-deficient myoblasts, influencing oxygen-dependent myoblast cell fate. The effect of NAD/NADH ratio on stem cell fate is caused by generation of L-2-hydroxyglutaric acid, an analog of α-KG that regulates histone a</w:t>
      </w:r>
      <w:r>
        <w:rPr>
          <w:rFonts w:ascii="Book Antiqua" w:eastAsia="Book Antiqua" w:hAnsi="Book Antiqua" w:cs="Book Antiqua"/>
          <w:color w:val="000000"/>
          <w:shd w:val="clear" w:color="auto" w:fill="FFFFFF"/>
        </w:rPr>
        <w:t>nd DNA methylation by competitive inhibition of Jumonji-domain histone demethylase (JHDM) and TETs. There are reports revealing that increased NAD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levels delay aging-related phenotypes, which may provide new therapeutic option for type 2 diabetes and hear</w:t>
      </w:r>
      <w:r>
        <w:rPr>
          <w:rFonts w:ascii="Book Antiqua" w:eastAsia="Book Antiqua" w:hAnsi="Book Antiqua" w:cs="Book Antiqua"/>
          <w:color w:val="000000"/>
          <w:shd w:val="clear" w:color="auto" w:fill="FFFFFF"/>
        </w:rPr>
        <w:t>t failure</w:t>
      </w:r>
      <w:r>
        <w:rPr>
          <w:rFonts w:ascii="Book Antiqua" w:eastAsia="Book Antiqua" w:hAnsi="Book Antiqua" w:cs="Book Antiqua"/>
          <w:color w:val="000000"/>
          <w:szCs w:val="30"/>
          <w:shd w:val="clear" w:color="auto" w:fill="FFFFFF"/>
          <w:vertAlign w:val="superscript"/>
        </w:rPr>
        <w:t>[86,87]</w:t>
      </w:r>
      <w:r>
        <w:rPr>
          <w:rFonts w:ascii="Book Antiqua" w:eastAsia="Book Antiqua" w:hAnsi="Book Antiqua" w:cs="Book Antiqua"/>
          <w:color w:val="000000"/>
          <w:shd w:val="clear" w:color="auto" w:fill="FFFFFF"/>
        </w:rPr>
        <w:t>. Besides, NAD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is a cosubstrate of Sirtuins, potentially </w:t>
      </w:r>
      <w:r>
        <w:rPr>
          <w:rFonts w:ascii="Book Antiqua" w:eastAsia="Book Antiqua" w:hAnsi="Book Antiqua" w:cs="Book Antiqua"/>
          <w:color w:val="000000"/>
          <w:shd w:val="clear" w:color="auto" w:fill="FFFFFF"/>
        </w:rPr>
        <w:lastRenderedPageBreak/>
        <w:t>regulating T cells, and could provide a therapeutic option for immune-related diseases</w:t>
      </w:r>
      <w:r>
        <w:rPr>
          <w:rFonts w:ascii="Book Antiqua" w:eastAsia="Book Antiqua" w:hAnsi="Book Antiqua" w:cs="Book Antiqua"/>
          <w:color w:val="000000"/>
          <w:szCs w:val="30"/>
          <w:shd w:val="clear" w:color="auto" w:fill="FFFFFF"/>
          <w:vertAlign w:val="superscript"/>
        </w:rPr>
        <w:t>[88]</w:t>
      </w:r>
      <w:r>
        <w:rPr>
          <w:rFonts w:ascii="Book Antiqua" w:eastAsia="Book Antiqua" w:hAnsi="Book Antiqua" w:cs="Book Antiqua"/>
          <w:color w:val="000000"/>
          <w:shd w:val="clear" w:color="auto" w:fill="FFFFFF"/>
        </w:rPr>
        <w:t>.</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In summary, NAD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plays a key role in a diverse array of biological processes. </w:t>
      </w:r>
    </w:p>
    <w:p w:rsidR="00EE3239" w:rsidRDefault="00EE3239">
      <w:pPr>
        <w:spacing w:line="360" w:lineRule="auto"/>
        <w:ind w:firstLine="480"/>
        <w:jc w:val="both"/>
      </w:pPr>
    </w:p>
    <w:p w:rsidR="00EE3239" w:rsidRDefault="0021728D">
      <w:pPr>
        <w:spacing w:line="360" w:lineRule="auto"/>
        <w:jc w:val="both"/>
        <w:rPr>
          <w:b/>
          <w:lang w:eastAsia="zh-CN"/>
        </w:rPr>
      </w:pPr>
      <w:r>
        <w:rPr>
          <w:rFonts w:ascii="Book Antiqua" w:eastAsia="Book Antiqua" w:hAnsi="Book Antiqua" w:cs="Book Antiqua"/>
          <w:b/>
          <w:iCs/>
          <w:color w:val="000000"/>
          <w:shd w:val="clear" w:color="auto" w:fill="FFFFFF"/>
        </w:rPr>
        <w:t>FADH</w:t>
      </w:r>
      <w:r>
        <w:rPr>
          <w:rFonts w:ascii="Book Antiqua" w:hAnsi="Book Antiqua" w:cs="Book Antiqua" w:hint="eastAsia"/>
          <w:b/>
          <w:iCs/>
          <w:color w:val="000000"/>
          <w:shd w:val="clear" w:color="auto" w:fill="FFFFFF"/>
          <w:lang w:eastAsia="zh-CN"/>
        </w:rPr>
        <w:t>:</w:t>
      </w:r>
      <w:r>
        <w:rPr>
          <w:rFonts w:hint="eastAsia"/>
          <w:b/>
          <w:lang w:eastAsia="zh-CN"/>
        </w:rPr>
        <w:t xml:space="preserve"> </w:t>
      </w:r>
      <w:r>
        <w:rPr>
          <w:rFonts w:ascii="Book Antiqua" w:eastAsia="Book Antiqua" w:hAnsi="Book Antiqua" w:cs="Book Antiqua"/>
          <w:color w:val="000000"/>
          <w:shd w:val="clear" w:color="auto" w:fill="FFFFFF"/>
        </w:rPr>
        <w:t>FAD,</w:t>
      </w:r>
      <w:r>
        <w:rPr>
          <w:rFonts w:ascii="Book Antiqua" w:eastAsia="Book Antiqua" w:hAnsi="Book Antiqua" w:cs="Book Antiqua"/>
          <w:color w:val="000000"/>
          <w:shd w:val="clear" w:color="auto" w:fill="FFFFFF"/>
        </w:rPr>
        <w:t xml:space="preserve"> the oxidized form of FADH2, is a cofactor of human lysine-specific demethylase-1 (LSD1), and plays a pivotal role during early embryonic development and differentiation of ESCs and cancer stem cells</w:t>
      </w:r>
      <w:r>
        <w:rPr>
          <w:rFonts w:ascii="Book Antiqua" w:eastAsia="Book Antiqua" w:hAnsi="Book Antiqua" w:cs="Book Antiqua"/>
          <w:color w:val="000000"/>
          <w:szCs w:val="30"/>
          <w:shd w:val="clear" w:color="auto" w:fill="FFFFFF"/>
          <w:vertAlign w:val="superscript"/>
        </w:rPr>
        <w:t>[89-92]</w:t>
      </w:r>
      <w:r>
        <w:rPr>
          <w:rFonts w:ascii="Book Antiqua" w:eastAsia="Book Antiqua" w:hAnsi="Book Antiqua" w:cs="Book Antiqua"/>
          <w:color w:val="000000"/>
          <w:shd w:val="clear" w:color="auto" w:fill="FFFFFF"/>
        </w:rPr>
        <w:t>. LSD1 catalyzes the demethylation of mono- and di</w:t>
      </w:r>
      <w:r>
        <w:rPr>
          <w:rFonts w:ascii="Book Antiqua" w:eastAsia="Book Antiqua" w:hAnsi="Book Antiqua" w:cs="Book Antiqua"/>
          <w:color w:val="000000"/>
          <w:shd w:val="clear" w:color="auto" w:fill="FFFFFF"/>
        </w:rPr>
        <w:t xml:space="preserve">methylated K4 or K9 on histone H3 </w:t>
      </w:r>
      <w:r>
        <w:rPr>
          <w:rFonts w:ascii="Book Antiqua" w:eastAsia="Book Antiqua" w:hAnsi="Book Antiqua" w:cs="Book Antiqua"/>
          <w:i/>
          <w:color w:val="000000"/>
          <w:shd w:val="clear" w:color="auto" w:fill="FFFFFF"/>
        </w:rPr>
        <w:t>via</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 FAD-dependent enzymatic oxidation</w:t>
      </w:r>
      <w:r>
        <w:rPr>
          <w:rFonts w:ascii="Book Antiqua" w:eastAsia="Book Antiqua" w:hAnsi="Book Antiqua" w:cs="Book Antiqua"/>
          <w:color w:val="000000"/>
          <w:szCs w:val="30"/>
          <w:shd w:val="clear" w:color="auto" w:fill="FFFFFF"/>
          <w:vertAlign w:val="superscript"/>
        </w:rPr>
        <w:t>[93]</w:t>
      </w:r>
      <w:r>
        <w:rPr>
          <w:rFonts w:ascii="Book Antiqua" w:eastAsia="Book Antiqua" w:hAnsi="Book Antiqua" w:cs="Book Antiqua"/>
          <w:color w:val="000000"/>
          <w:shd w:val="clear" w:color="auto" w:fill="FFFFFF"/>
        </w:rPr>
        <w:t>. Recent studies have found that LSD1 inhibition can enhance death in rhabdomyosarcoma cells</w:t>
      </w:r>
      <w:r>
        <w:rPr>
          <w:rFonts w:ascii="Book Antiqua" w:eastAsia="Book Antiqua" w:hAnsi="Book Antiqua" w:cs="Book Antiqua"/>
          <w:color w:val="000000"/>
          <w:szCs w:val="30"/>
          <w:shd w:val="clear" w:color="auto" w:fill="FFFFFF"/>
          <w:vertAlign w:val="superscript"/>
        </w:rPr>
        <w:t>[94]</w:t>
      </w:r>
      <w:r>
        <w:rPr>
          <w:rFonts w:ascii="Book Antiqua" w:eastAsia="Book Antiqua" w:hAnsi="Book Antiqua" w:cs="Book Antiqua"/>
          <w:color w:val="000000"/>
          <w:shd w:val="clear" w:color="auto" w:fill="FFFFFF"/>
        </w:rPr>
        <w:t xml:space="preserve">. Decreased expression of LSD1 is involved in the programmed oocyte death by </w:t>
      </w:r>
      <w:r>
        <w:rPr>
          <w:rFonts w:ascii="Book Antiqua" w:eastAsia="Book Antiqua" w:hAnsi="Book Antiqua" w:cs="Book Antiqua"/>
          <w:color w:val="000000"/>
          <w:shd w:val="clear" w:color="auto" w:fill="FFFFFF"/>
        </w:rPr>
        <w:t>autophagy in perinatal mice through promotion of H3K4me2 expression</w:t>
      </w:r>
      <w:r>
        <w:rPr>
          <w:rFonts w:ascii="Book Antiqua" w:eastAsia="Book Antiqua" w:hAnsi="Book Antiqua" w:cs="Book Antiqua"/>
          <w:color w:val="000000"/>
          <w:szCs w:val="30"/>
          <w:shd w:val="clear" w:color="auto" w:fill="FFFFFF"/>
          <w:vertAlign w:val="superscript"/>
        </w:rPr>
        <w:t>[95]</w:t>
      </w:r>
      <w:r>
        <w:rPr>
          <w:rFonts w:ascii="Book Antiqua" w:eastAsia="Book Antiqua" w:hAnsi="Book Antiqua" w:cs="Book Antiqua"/>
          <w:color w:val="000000"/>
          <w:shd w:val="clear" w:color="auto" w:fill="FFFFFF"/>
        </w:rPr>
        <w:t xml:space="preserve">. FAD also regulates NSC proliferation through modulation of histone methylation by affecting the action of LSD1. In addition, LSD1 is highly expressed in a few aggressive cancer types </w:t>
      </w:r>
      <w:r>
        <w:rPr>
          <w:rFonts w:ascii="Book Antiqua" w:eastAsia="Book Antiqua" w:hAnsi="Book Antiqua" w:cs="Book Antiqua"/>
          <w:color w:val="000000"/>
          <w:shd w:val="clear" w:color="auto" w:fill="FFFFFF"/>
        </w:rPr>
        <w:t>and is closely related with differentiation, proliferation, migration and invasion of cancer cells and poor prognosis.</w:t>
      </w:r>
    </w:p>
    <w:p w:rsidR="00EE3239" w:rsidRDefault="00EE3239">
      <w:pPr>
        <w:spacing w:line="360" w:lineRule="auto"/>
        <w:jc w:val="both"/>
      </w:pPr>
    </w:p>
    <w:p w:rsidR="00EE3239" w:rsidRDefault="0021728D">
      <w:pPr>
        <w:spacing w:line="360" w:lineRule="auto"/>
        <w:jc w:val="both"/>
        <w:rPr>
          <w:b/>
          <w:lang w:eastAsia="zh-CN"/>
        </w:rPr>
      </w:pPr>
      <w:r>
        <w:rPr>
          <w:rFonts w:ascii="Book Antiqua" w:eastAsia="Book Antiqua" w:hAnsi="Book Antiqua" w:cs="Book Antiqua"/>
          <w:b/>
          <w:iCs/>
          <w:color w:val="000000"/>
          <w:shd w:val="clear" w:color="auto" w:fill="FFFFFF"/>
        </w:rPr>
        <w:t>Succinate</w:t>
      </w:r>
      <w:r>
        <w:rPr>
          <w:rFonts w:ascii="Book Antiqua" w:hAnsi="Book Antiqua" w:cs="Book Antiqua" w:hint="eastAsia"/>
          <w:b/>
          <w:iCs/>
          <w:color w:val="000000"/>
          <w:shd w:val="clear" w:color="auto" w:fill="FFFFFF"/>
          <w:lang w:eastAsia="zh-CN"/>
        </w:rPr>
        <w:t>:</w:t>
      </w:r>
      <w:r>
        <w:rPr>
          <w:rFonts w:hint="eastAsia"/>
          <w:b/>
          <w:lang w:eastAsia="zh-CN"/>
        </w:rPr>
        <w:t xml:space="preserve"> </w:t>
      </w:r>
      <w:r>
        <w:rPr>
          <w:rFonts w:ascii="Book Antiqua" w:eastAsia="Book Antiqua" w:hAnsi="Book Antiqua" w:cs="Book Antiqua"/>
          <w:color w:val="000000"/>
          <w:shd w:val="clear" w:color="auto" w:fill="FFFFFF"/>
        </w:rPr>
        <w:t>Succinate accumulation can decrease α-KG/succinate ratio, leading to inhibition of TET and JHDM enzymes and delayed different</w:t>
      </w:r>
      <w:r>
        <w:rPr>
          <w:rFonts w:ascii="Book Antiqua" w:eastAsia="Book Antiqua" w:hAnsi="Book Antiqua" w:cs="Book Antiqua"/>
          <w:color w:val="000000"/>
          <w:shd w:val="clear" w:color="auto" w:fill="FFFFFF"/>
        </w:rPr>
        <w:t>iation of primed human PSCs. This effect can be reversed when the α-KG/succinate ratio increases</w:t>
      </w:r>
      <w:r>
        <w:rPr>
          <w:rFonts w:ascii="Book Antiqua" w:eastAsia="Book Antiqua" w:hAnsi="Book Antiqua" w:cs="Book Antiqua"/>
          <w:color w:val="000000"/>
          <w:szCs w:val="30"/>
          <w:shd w:val="clear" w:color="auto" w:fill="FFFFFF"/>
          <w:vertAlign w:val="superscript"/>
        </w:rPr>
        <w:t>[32,86]</w:t>
      </w:r>
      <w:r>
        <w:rPr>
          <w:rFonts w:ascii="Book Antiqua" w:eastAsia="Book Antiqua" w:hAnsi="Book Antiqua" w:cs="Book Antiqua"/>
          <w:color w:val="000000"/>
          <w:shd w:val="clear" w:color="auto" w:fill="FFFFFF"/>
        </w:rPr>
        <w:t>. Accumulation of succinate, resulting in genetic and epigenetic changes like histone hypermethylation, may lead to transformation of normal cells to can</w:t>
      </w:r>
      <w:r>
        <w:rPr>
          <w:rFonts w:ascii="Book Antiqua" w:eastAsia="Book Antiqua" w:hAnsi="Book Antiqua" w:cs="Book Antiqua"/>
          <w:color w:val="000000"/>
          <w:shd w:val="clear" w:color="auto" w:fill="FFFFFF"/>
        </w:rPr>
        <w:t>cerous cells</w:t>
      </w:r>
      <w:r>
        <w:rPr>
          <w:rFonts w:ascii="Book Antiqua" w:eastAsia="Book Antiqua" w:hAnsi="Book Antiqua" w:cs="Book Antiqua"/>
          <w:color w:val="000000"/>
          <w:szCs w:val="30"/>
          <w:shd w:val="clear" w:color="auto" w:fill="FFFFFF"/>
          <w:vertAlign w:val="superscript"/>
        </w:rPr>
        <w:t>[96,97]</w:t>
      </w:r>
      <w:r>
        <w:rPr>
          <w:rFonts w:ascii="Book Antiqua" w:eastAsia="Book Antiqua" w:hAnsi="Book Antiqua" w:cs="Book Antiqua"/>
          <w:color w:val="000000"/>
          <w:shd w:val="clear" w:color="auto" w:fill="FFFFFF"/>
        </w:rPr>
        <w:t xml:space="preserve"> . Wong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rPr>
        <w:t>’s study in colorectal cancer cells showed that promoting accumulation of succinate upregulated DNA methylation and stem cell features</w:t>
      </w:r>
      <w:r>
        <w:rPr>
          <w:rFonts w:ascii="Book Antiqua" w:eastAsia="Book Antiqua" w:hAnsi="Book Antiqua" w:cs="Book Antiqua"/>
          <w:color w:val="000000"/>
          <w:szCs w:val="30"/>
          <w:shd w:val="clear" w:color="auto" w:fill="FFFFFF"/>
          <w:vertAlign w:val="superscript"/>
        </w:rPr>
        <w:t>[98]</w:t>
      </w:r>
      <w:r>
        <w:rPr>
          <w:rFonts w:ascii="Book Antiqua" w:eastAsia="Book Antiqua" w:hAnsi="Book Antiqua" w:cs="Book Antiqua"/>
          <w:color w:val="000000"/>
          <w:shd w:val="clear" w:color="auto" w:fill="FFFFFF"/>
        </w:rPr>
        <w:t>. AA6 is a novel compound</w:t>
      </w:r>
      <w:r>
        <w:rPr>
          <w:rFonts w:ascii="Book Antiqua" w:eastAsia="Book Antiqua" w:hAnsi="Book Antiqua" w:cs="Book Antiqua"/>
          <w:color w:val="000000"/>
          <w:szCs w:val="21"/>
        </w:rPr>
        <w:t xml:space="preserve"> </w:t>
      </w:r>
      <w:r>
        <w:rPr>
          <w:rFonts w:ascii="Book Antiqua" w:eastAsia="Book Antiqua" w:hAnsi="Book Antiqua" w:cs="Book Antiqua"/>
          <w:color w:val="000000"/>
          <w:shd w:val="clear" w:color="auto" w:fill="FFFFFF"/>
        </w:rPr>
        <w:t>succinic acid, identified as an inhibitor of α-KG dehydrogen</w:t>
      </w:r>
      <w:r>
        <w:rPr>
          <w:rFonts w:ascii="Book Antiqua" w:eastAsia="Book Antiqua" w:hAnsi="Book Antiqua" w:cs="Book Antiqua"/>
          <w:color w:val="000000"/>
          <w:shd w:val="clear" w:color="auto" w:fill="FFFFFF"/>
        </w:rPr>
        <w:t>ase, which can increase the α-KG level in diabetic human cardiac mesenchymal cells and in the heart of high-fat diet, leading to DNA demethylation, and has beneficial effects of cardiac mesenchymal stem cells protection in diabetes</w:t>
      </w:r>
      <w:r>
        <w:rPr>
          <w:rFonts w:ascii="Book Antiqua" w:eastAsia="Book Antiqua" w:hAnsi="Book Antiqua" w:cs="Book Antiqua"/>
          <w:color w:val="000000"/>
          <w:szCs w:val="30"/>
          <w:shd w:val="clear" w:color="auto" w:fill="FFFFFF"/>
          <w:vertAlign w:val="superscript"/>
        </w:rPr>
        <w:t>[99]</w:t>
      </w:r>
      <w:r>
        <w:rPr>
          <w:rFonts w:ascii="Book Antiqua" w:eastAsia="Book Antiqua" w:hAnsi="Book Antiqua" w:cs="Book Antiqua"/>
          <w:color w:val="000000"/>
          <w:shd w:val="clear" w:color="auto" w:fill="FFFFFF"/>
        </w:rPr>
        <w:t>.</w:t>
      </w:r>
    </w:p>
    <w:p w:rsidR="00EE3239" w:rsidRDefault="00EE3239">
      <w:pPr>
        <w:spacing w:line="360" w:lineRule="auto"/>
        <w:jc w:val="both"/>
      </w:pPr>
    </w:p>
    <w:p w:rsidR="00EE3239" w:rsidRDefault="0021728D">
      <w:pPr>
        <w:spacing w:line="360" w:lineRule="auto"/>
        <w:jc w:val="both"/>
        <w:rPr>
          <w:b/>
          <w:lang w:eastAsia="zh-CN"/>
        </w:rPr>
      </w:pPr>
      <w:r>
        <w:rPr>
          <w:rFonts w:ascii="Book Antiqua" w:eastAsia="Book Antiqua" w:hAnsi="Book Antiqua" w:cs="Book Antiqua"/>
          <w:b/>
          <w:iCs/>
          <w:color w:val="000000"/>
          <w:shd w:val="clear" w:color="auto" w:fill="FFFFFF"/>
        </w:rPr>
        <w:lastRenderedPageBreak/>
        <w:t>Fumarate</w:t>
      </w:r>
      <w:r>
        <w:rPr>
          <w:rFonts w:ascii="Book Antiqua" w:hAnsi="Book Antiqua" w:cs="Book Antiqua" w:hint="eastAsia"/>
          <w:b/>
          <w:iCs/>
          <w:color w:val="000000"/>
          <w:lang w:eastAsia="zh-CN"/>
        </w:rPr>
        <w:t>:</w:t>
      </w:r>
      <w:r>
        <w:rPr>
          <w:rFonts w:hint="eastAsia"/>
          <w:b/>
          <w:lang w:eastAsia="zh-CN"/>
        </w:rPr>
        <w:t xml:space="preserve"> </w:t>
      </w:r>
      <w:r>
        <w:rPr>
          <w:rFonts w:ascii="Book Antiqua" w:eastAsia="Book Antiqua" w:hAnsi="Book Antiqua" w:cs="Book Antiqua"/>
          <w:color w:val="000000"/>
          <w:shd w:val="clear" w:color="auto" w:fill="FFFFFF"/>
        </w:rPr>
        <w:t xml:space="preserve">Fumarate is reported to inhibit α-KG-dependent dioxygenases involved in DNA and histone demethylation. Laukka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[100]</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have shown that fumarate downregulates global 5-hydroxymethylcytosine level in neuroblastoma cells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TET inhibition. Furthermore, Sha</w:t>
      </w:r>
      <w:r>
        <w:rPr>
          <w:rFonts w:ascii="Book Antiqua" w:eastAsia="Book Antiqua" w:hAnsi="Book Antiqua" w:cs="Book Antiqua"/>
          <w:color w:val="000000"/>
          <w:shd w:val="clear" w:color="auto" w:fill="FFFFFF"/>
        </w:rPr>
        <w:t xml:space="preserve">rda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[101]</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have reported that fumarate promotes monomer-to-dimer transition of malic enzyme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2 to enhance mitobiogenesis, linking metabolism to mitobiogenesis. Aberrant accumulation of fumarate may mediate epigenetic reprogramming. Some studies have rep</w:t>
      </w:r>
      <w:r>
        <w:rPr>
          <w:rFonts w:ascii="Book Antiqua" w:eastAsia="Book Antiqua" w:hAnsi="Book Antiqua" w:cs="Book Antiqua"/>
          <w:color w:val="000000"/>
          <w:shd w:val="clear" w:color="auto" w:fill="FFFFFF"/>
        </w:rPr>
        <w:t>orted the link between fumarate accumulation, epigenetic changes, and tumorigenesis. Accumulation of fumarate, inhibiting Tet-mediated demethylation, induces epithelial-to-mesenchymal transition; a phenotypic switch associated with cancer initiation, invas</w:t>
      </w:r>
      <w:r>
        <w:rPr>
          <w:rFonts w:ascii="Book Antiqua" w:eastAsia="Book Antiqua" w:hAnsi="Book Antiqua" w:cs="Book Antiqua"/>
          <w:color w:val="000000"/>
          <w:shd w:val="clear" w:color="auto" w:fill="FFFFFF"/>
        </w:rPr>
        <w:t>ion and metastasis</w:t>
      </w:r>
      <w:r>
        <w:rPr>
          <w:rFonts w:ascii="Book Antiqua" w:eastAsia="Book Antiqua" w:hAnsi="Book Antiqua" w:cs="Book Antiqua"/>
          <w:color w:val="000000"/>
          <w:szCs w:val="30"/>
          <w:shd w:val="clear" w:color="auto" w:fill="FFFFFF"/>
          <w:vertAlign w:val="superscript"/>
        </w:rPr>
        <w:t>[102]</w:t>
      </w:r>
      <w:r>
        <w:rPr>
          <w:rFonts w:ascii="Book Antiqua" w:eastAsia="Book Antiqua" w:hAnsi="Book Antiqua" w:cs="Book Antiqua"/>
          <w:color w:val="000000"/>
          <w:shd w:val="clear" w:color="auto" w:fill="FFFFFF"/>
        </w:rPr>
        <w:t>. This implies that fumarate accumulation contributes to the aggressive features tumors</w:t>
      </w:r>
      <w:r>
        <w:rPr>
          <w:rFonts w:ascii="Book Antiqua" w:eastAsia="Book Antiqua" w:hAnsi="Book Antiqua" w:cs="Book Antiqua"/>
          <w:color w:val="000000"/>
          <w:szCs w:val="30"/>
          <w:shd w:val="clear" w:color="auto" w:fill="FFFFFF"/>
          <w:vertAlign w:val="superscript"/>
        </w:rPr>
        <w:t>[103]</w:t>
      </w:r>
      <w:r>
        <w:rPr>
          <w:rFonts w:ascii="Book Antiqua" w:eastAsia="Book Antiqua" w:hAnsi="Book Antiqua" w:cs="Book Antiqua"/>
          <w:color w:val="000000"/>
          <w:shd w:val="clear" w:color="auto" w:fill="FFFFFF"/>
        </w:rPr>
        <w:t>.</w:t>
      </w:r>
    </w:p>
    <w:p w:rsidR="00EE3239" w:rsidRDefault="00EE3239">
      <w:pPr>
        <w:spacing w:line="360" w:lineRule="auto"/>
        <w:jc w:val="both"/>
      </w:pPr>
    </w:p>
    <w:p w:rsidR="00EE3239" w:rsidRDefault="0021728D">
      <w:pPr>
        <w:spacing w:line="360" w:lineRule="auto"/>
        <w:jc w:val="both"/>
        <w:rPr>
          <w:i/>
        </w:rPr>
      </w:pPr>
      <w:r>
        <w:rPr>
          <w:rFonts w:ascii="Book Antiqua" w:eastAsia="Book Antiqua" w:hAnsi="Book Antiqua" w:cs="Book Antiqua"/>
          <w:b/>
          <w:bCs/>
          <w:i/>
          <w:color w:val="000000"/>
          <w:shd w:val="clear" w:color="auto" w:fill="FFFFFF"/>
        </w:rPr>
        <w:t>Pentose phosphate pathway</w:t>
      </w:r>
    </w:p>
    <w:p w:rsidR="00EE3239" w:rsidRDefault="0021728D">
      <w:pPr>
        <w:spacing w:line="360" w:lineRule="auto"/>
        <w:jc w:val="both"/>
        <w:rPr>
          <w:lang w:eastAsia="zh-CN"/>
        </w:rPr>
      </w:pPr>
      <w:r>
        <w:rPr>
          <w:rFonts w:ascii="Book Antiqua" w:eastAsia="Book Antiqua" w:hAnsi="Book Antiqua" w:cs="Book Antiqua"/>
          <w:color w:val="000000"/>
          <w:shd w:val="clear" w:color="auto" w:fill="FFFFFF"/>
        </w:rPr>
        <w:t xml:space="preserve">The pentose phosphate pathway (PPP) is another glucose metabolism pathway, divided into oxidative and </w:t>
      </w:r>
      <w:r>
        <w:rPr>
          <w:rFonts w:ascii="Book Antiqua" w:eastAsia="Book Antiqua" w:hAnsi="Book Antiqua" w:cs="Book Antiqua"/>
          <w:color w:val="000000"/>
          <w:shd w:val="clear" w:color="auto" w:fill="FFFFFF"/>
        </w:rPr>
        <w:t>nonoxidative arms, producing NADH and ribose-5-phosphate and/or xylulose-5-phosphate that influence the regulation of transcription</w:t>
      </w:r>
      <w:r>
        <w:rPr>
          <w:rFonts w:ascii="Book Antiqua" w:eastAsia="Book Antiqua" w:hAnsi="Book Antiqua" w:cs="Book Antiqua"/>
          <w:color w:val="000000"/>
          <w:szCs w:val="30"/>
          <w:shd w:val="clear" w:color="auto" w:fill="FFFFFF"/>
          <w:vertAlign w:val="superscript"/>
        </w:rPr>
        <w:t>[104]</w:t>
      </w:r>
      <w:r>
        <w:rPr>
          <w:rFonts w:ascii="Book Antiqua" w:eastAsia="Book Antiqua" w:hAnsi="Book Antiqua" w:cs="Book Antiqua"/>
          <w:color w:val="000000"/>
          <w:shd w:val="clear" w:color="auto" w:fill="FFFFFF"/>
        </w:rPr>
        <w:t>. NADPH production in the pathway is involved in folate metabolism</w:t>
      </w:r>
      <w:r>
        <w:rPr>
          <w:rFonts w:ascii="Book Antiqua" w:eastAsia="Book Antiqua" w:hAnsi="Book Antiqua" w:cs="Book Antiqua"/>
          <w:color w:val="000000"/>
          <w:szCs w:val="30"/>
          <w:shd w:val="clear" w:color="auto" w:fill="FFFFFF"/>
          <w:vertAlign w:val="superscript"/>
        </w:rPr>
        <w:t>[105]</w:t>
      </w:r>
      <w:r>
        <w:rPr>
          <w:rFonts w:ascii="Book Antiqua" w:eastAsia="Book Antiqua" w:hAnsi="Book Antiqua" w:cs="Book Antiqua"/>
          <w:color w:val="000000"/>
          <w:shd w:val="clear" w:color="auto" w:fill="FFFFFF"/>
        </w:rPr>
        <w:t xml:space="preserve">. Previous studies have reported that regulation </w:t>
      </w:r>
      <w:r>
        <w:rPr>
          <w:rFonts w:ascii="Book Antiqua" w:eastAsia="Book Antiqua" w:hAnsi="Book Antiqua" w:cs="Book Antiqua"/>
          <w:color w:val="000000"/>
          <w:shd w:val="clear" w:color="auto" w:fill="FFFFFF"/>
        </w:rPr>
        <w:t>of the PPP resulted in iPSC reprogramming</w:t>
      </w:r>
      <w:r>
        <w:rPr>
          <w:rFonts w:ascii="Book Antiqua" w:eastAsia="Book Antiqua" w:hAnsi="Book Antiqua" w:cs="Book Antiqua"/>
          <w:color w:val="000000"/>
          <w:szCs w:val="30"/>
          <w:shd w:val="clear" w:color="auto" w:fill="FFFFFF"/>
          <w:vertAlign w:val="superscript"/>
        </w:rPr>
        <w:t>[106]</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 PPP actively provides energy and metabolic intermediates for proliferation and pluripotency in cancer cells, ESCs and iPSCs</w:t>
      </w:r>
      <w:r>
        <w:rPr>
          <w:rFonts w:ascii="Book Antiqua" w:eastAsia="Book Antiqua" w:hAnsi="Book Antiqua" w:cs="Book Antiqua"/>
          <w:color w:val="000000"/>
          <w:szCs w:val="30"/>
          <w:shd w:val="clear" w:color="auto" w:fill="FFFFFF"/>
          <w:vertAlign w:val="superscript"/>
        </w:rPr>
        <w:t>[107,108]</w:t>
      </w:r>
      <w:r>
        <w:rPr>
          <w:rFonts w:ascii="Book Antiqua" w:eastAsia="Book Antiqua" w:hAnsi="Book Antiqua" w:cs="Book Antiqua"/>
          <w:color w:val="000000"/>
          <w:shd w:val="clear" w:color="auto" w:fill="FFFFFF"/>
        </w:rPr>
        <w:t>. Intracellular pH increase selectively activates catalysis, enhancing P</w:t>
      </w:r>
      <w:r>
        <w:rPr>
          <w:rFonts w:ascii="Book Antiqua" w:eastAsia="Book Antiqua" w:hAnsi="Book Antiqua" w:cs="Book Antiqua"/>
          <w:color w:val="000000"/>
          <w:shd w:val="clear" w:color="auto" w:fill="FFFFFF"/>
        </w:rPr>
        <w:t>PP flux, leading to nucleotide upregulation, increased NADPH/NADP</w:t>
      </w:r>
      <w:r>
        <w:rPr>
          <w:rFonts w:ascii="Book Antiqua" w:eastAsia="Book Antiqua" w:hAnsi="Book Antiqua" w:cs="Book Antiqua"/>
          <w:color w:val="000000"/>
          <w:szCs w:val="30"/>
          <w:shd w:val="clear" w:color="auto" w:fill="FFFFFF"/>
          <w:vertAlign w:val="superscript"/>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ratio, and cell proliferation</w:t>
      </w:r>
      <w:r>
        <w:rPr>
          <w:rFonts w:ascii="Book Antiqua" w:eastAsia="Book Antiqua" w:hAnsi="Book Antiqua" w:cs="Book Antiqua"/>
          <w:color w:val="000000"/>
          <w:szCs w:val="30"/>
          <w:shd w:val="clear" w:color="auto" w:fill="FFFFFF"/>
          <w:vertAlign w:val="superscript"/>
        </w:rPr>
        <w:t>[109]</w:t>
      </w:r>
      <w:r>
        <w:rPr>
          <w:rFonts w:ascii="Book Antiqua" w:eastAsia="Book Antiqua" w:hAnsi="Book Antiqua" w:cs="Book Antiqua"/>
          <w:color w:val="000000"/>
          <w:shd w:val="clear" w:color="auto" w:fill="FFFFFF"/>
        </w:rPr>
        <w:t>.</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It remains to be elucidated whether PPP is linked to stem cell epigenetic remodeling.</w:t>
      </w:r>
    </w:p>
    <w:p w:rsidR="00EE3239" w:rsidRDefault="00EE3239">
      <w:pPr>
        <w:spacing w:line="360" w:lineRule="auto"/>
        <w:ind w:firstLine="480"/>
        <w:jc w:val="both"/>
      </w:pPr>
    </w:p>
    <w:p w:rsidR="00EE3239" w:rsidRDefault="0021728D">
      <w:pPr>
        <w:spacing w:line="360" w:lineRule="auto"/>
        <w:jc w:val="both"/>
      </w:pPr>
      <w:r>
        <w:rPr>
          <w:rFonts w:ascii="Book Antiqua" w:eastAsia="Book Antiqua" w:hAnsi="Book Antiqua" w:cs="Book Antiqua"/>
          <w:b/>
          <w:bCs/>
          <w:caps/>
          <w:color w:val="000000"/>
          <w:u w:val="single"/>
          <w:shd w:val="clear" w:color="auto" w:fill="FFFFFF"/>
        </w:rPr>
        <w:t>OTHER POTENTIAL INFLUENTIAL FACTORS</w:t>
      </w:r>
    </w:p>
    <w:p w:rsidR="00EE3239" w:rsidRDefault="0021728D">
      <w:pPr>
        <w:spacing w:line="360" w:lineRule="auto"/>
        <w:jc w:val="both"/>
        <w:rPr>
          <w:i/>
        </w:rPr>
      </w:pPr>
      <w:r>
        <w:rPr>
          <w:rFonts w:ascii="Book Antiqua" w:eastAsia="Book Antiqua" w:hAnsi="Book Antiqua" w:cs="Book Antiqua"/>
          <w:b/>
          <w:bCs/>
          <w:i/>
          <w:color w:val="000000"/>
          <w:shd w:val="clear" w:color="auto" w:fill="FFFFFF"/>
        </w:rPr>
        <w:t>Structure</w:t>
      </w:r>
    </w:p>
    <w:p w:rsidR="00EE3239" w:rsidRDefault="0021728D">
      <w:pPr>
        <w:spacing w:line="360" w:lineRule="auto"/>
        <w:jc w:val="both"/>
        <w:rPr>
          <w:lang w:eastAsia="zh-CN"/>
        </w:rPr>
      </w:pPr>
      <w:r>
        <w:rPr>
          <w:rFonts w:ascii="Book Antiqua" w:eastAsia="Book Antiqua" w:hAnsi="Book Antiqua" w:cs="Book Antiqua"/>
          <w:color w:val="000000"/>
          <w:shd w:val="clear" w:color="auto" w:fill="FFFFFF"/>
        </w:rPr>
        <w:t>The structure of sca</w:t>
      </w:r>
      <w:r>
        <w:rPr>
          <w:rFonts w:ascii="Book Antiqua" w:eastAsia="Book Antiqua" w:hAnsi="Book Antiqua" w:cs="Book Antiqua"/>
          <w:color w:val="000000"/>
          <w:shd w:val="clear" w:color="auto" w:fill="FFFFFF"/>
        </w:rPr>
        <w:t>ffolds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can affect stem cell metabolism. Three-dimensional graphene foam has better properties than two-dimensional foam for NSC differentiation. However, the possible mechanism needs to be explored</w:t>
      </w:r>
      <w:r>
        <w:rPr>
          <w:rFonts w:ascii="Book Antiqua" w:eastAsia="Book Antiqua" w:hAnsi="Book Antiqua" w:cs="Book Antiqua"/>
          <w:color w:val="000000"/>
          <w:szCs w:val="30"/>
          <w:shd w:val="clear" w:color="auto" w:fill="FFFFFF"/>
          <w:vertAlign w:val="superscript"/>
        </w:rPr>
        <w:t>[110]</w:t>
      </w:r>
      <w:r>
        <w:rPr>
          <w:rFonts w:ascii="Book Antiqua" w:eastAsia="Book Antiqua" w:hAnsi="Book Antiqua" w:cs="Book Antiqua"/>
          <w:color w:val="000000"/>
          <w:shd w:val="clear" w:color="auto" w:fill="FFFFFF"/>
        </w:rPr>
        <w:t>.</w:t>
      </w:r>
    </w:p>
    <w:p w:rsidR="00EE3239" w:rsidRDefault="00EE3239">
      <w:pPr>
        <w:spacing w:line="360" w:lineRule="auto"/>
        <w:jc w:val="both"/>
      </w:pPr>
    </w:p>
    <w:p w:rsidR="00EE3239" w:rsidRDefault="0021728D">
      <w:pPr>
        <w:spacing w:line="360" w:lineRule="auto"/>
        <w:jc w:val="both"/>
        <w:rPr>
          <w:i/>
        </w:rPr>
      </w:pPr>
      <w:r>
        <w:rPr>
          <w:rFonts w:ascii="Book Antiqua" w:eastAsia="Book Antiqua" w:hAnsi="Book Antiqua" w:cs="Book Antiqua"/>
          <w:b/>
          <w:bCs/>
          <w:i/>
          <w:color w:val="000000"/>
          <w:shd w:val="clear" w:color="auto" w:fill="FFFFFF"/>
        </w:rPr>
        <w:t>Micronutrients</w:t>
      </w:r>
    </w:p>
    <w:p w:rsidR="00EE3239" w:rsidRDefault="0021728D">
      <w:pPr>
        <w:spacing w:line="360" w:lineRule="auto"/>
        <w:jc w:val="both"/>
        <w:rPr>
          <w:b/>
          <w:lang w:eastAsia="zh-CN"/>
        </w:rPr>
      </w:pPr>
      <w:r>
        <w:rPr>
          <w:rFonts w:ascii="Book Antiqua" w:eastAsia="Book Antiqua" w:hAnsi="Book Antiqua" w:cs="Book Antiqua"/>
          <w:b/>
          <w:iCs/>
          <w:color w:val="000000"/>
          <w:shd w:val="clear" w:color="auto" w:fill="FFFFFF"/>
        </w:rPr>
        <w:t>Vitamin C</w:t>
      </w:r>
      <w:r>
        <w:rPr>
          <w:rFonts w:ascii="Book Antiqua" w:hAnsi="Book Antiqua" w:cs="Book Antiqua" w:hint="eastAsia"/>
          <w:b/>
          <w:iCs/>
          <w:color w:val="000000"/>
          <w:shd w:val="clear" w:color="auto" w:fill="FFFFFF"/>
          <w:lang w:eastAsia="zh-CN"/>
        </w:rPr>
        <w:t>:</w:t>
      </w:r>
      <w:r>
        <w:rPr>
          <w:rFonts w:hint="eastAsia"/>
          <w:b/>
          <w:lang w:eastAsia="zh-CN"/>
        </w:rPr>
        <w:t xml:space="preserve"> </w:t>
      </w:r>
      <w:r>
        <w:rPr>
          <w:rFonts w:ascii="Book Antiqua" w:eastAsia="Book Antiqua" w:hAnsi="Book Antiqua" w:cs="Book Antiqua"/>
          <w:color w:val="000000"/>
          <w:shd w:val="clear" w:color="auto" w:fill="FFFFFF"/>
        </w:rPr>
        <w:t xml:space="preserve">Vitamin C is a crucial </w:t>
      </w:r>
      <w:r>
        <w:rPr>
          <w:rFonts w:ascii="Book Antiqua" w:eastAsia="Book Antiqua" w:hAnsi="Book Antiqua" w:cs="Book Antiqua"/>
          <w:color w:val="000000"/>
          <w:shd w:val="clear" w:color="auto" w:fill="FFFFFF"/>
        </w:rPr>
        <w:t>micronutrient that may be involved in stem cell pluripotency by activating H3K36 and H3K9 demethylases through Jumonji-C function</w:t>
      </w:r>
      <w:r>
        <w:rPr>
          <w:rFonts w:ascii="Book Antiqua" w:eastAsia="Book Antiqua" w:hAnsi="Book Antiqua" w:cs="Book Antiqua"/>
          <w:color w:val="000000"/>
          <w:szCs w:val="30"/>
          <w:shd w:val="clear" w:color="auto" w:fill="FFFFFF"/>
          <w:vertAlign w:val="superscript"/>
        </w:rPr>
        <w:t>[111]</w:t>
      </w:r>
      <w:r>
        <w:rPr>
          <w:rFonts w:ascii="Book Antiqua" w:eastAsia="Book Antiqua" w:hAnsi="Book Antiqua" w:cs="Book Antiqua"/>
          <w:color w:val="000000"/>
          <w:shd w:val="clear" w:color="auto" w:fill="FFFFFF"/>
        </w:rPr>
        <w:t>. A study using human PGCLCs also indicated the pathway</w:t>
      </w:r>
      <w:r>
        <w:rPr>
          <w:rFonts w:ascii="Book Antiqua" w:eastAsia="Book Antiqua" w:hAnsi="Book Antiqua" w:cs="Book Antiqua"/>
          <w:color w:val="000000"/>
          <w:szCs w:val="30"/>
          <w:shd w:val="clear" w:color="auto" w:fill="FFFFFF"/>
          <w:vertAlign w:val="superscript"/>
        </w:rPr>
        <w:t>[112,113]</w:t>
      </w:r>
      <w:r>
        <w:rPr>
          <w:rFonts w:ascii="Book Antiqua" w:eastAsia="Book Antiqua" w:hAnsi="Book Antiqua" w:cs="Book Antiqua"/>
          <w:color w:val="000000"/>
          <w:shd w:val="clear" w:color="auto" w:fill="FFFFFF"/>
        </w:rPr>
        <w:t>. Micronutrients influence stem cells specification.</w:t>
      </w:r>
    </w:p>
    <w:p w:rsidR="00EE3239" w:rsidRDefault="00EE3239">
      <w:pPr>
        <w:spacing w:line="360" w:lineRule="auto"/>
        <w:jc w:val="both"/>
      </w:pPr>
    </w:p>
    <w:p w:rsidR="00EE3239" w:rsidRDefault="0021728D">
      <w:pPr>
        <w:spacing w:line="360" w:lineRule="auto"/>
        <w:jc w:val="both"/>
        <w:rPr>
          <w:b/>
          <w:lang w:eastAsia="zh-CN"/>
        </w:rPr>
      </w:pPr>
      <w:r>
        <w:rPr>
          <w:rFonts w:ascii="Book Antiqua" w:eastAsia="Book Antiqua" w:hAnsi="Book Antiqua" w:cs="Book Antiqua"/>
          <w:b/>
          <w:iCs/>
          <w:color w:val="000000"/>
          <w:shd w:val="clear" w:color="auto" w:fill="FFFFFF"/>
        </w:rPr>
        <w:t>Foli</w:t>
      </w:r>
      <w:r>
        <w:rPr>
          <w:rFonts w:ascii="Book Antiqua" w:eastAsia="Book Antiqua" w:hAnsi="Book Antiqua" w:cs="Book Antiqua"/>
          <w:b/>
          <w:iCs/>
          <w:color w:val="000000"/>
          <w:shd w:val="clear" w:color="auto" w:fill="FFFFFF"/>
        </w:rPr>
        <w:t>c acid</w:t>
      </w:r>
      <w:r>
        <w:rPr>
          <w:rFonts w:ascii="Book Antiqua" w:hAnsi="Book Antiqua" w:cs="Book Antiqua" w:hint="eastAsia"/>
          <w:b/>
          <w:iCs/>
          <w:color w:val="000000"/>
          <w:shd w:val="clear" w:color="auto" w:fill="FFFFFF"/>
          <w:lang w:eastAsia="zh-CN"/>
        </w:rPr>
        <w:t>:</w:t>
      </w:r>
      <w:r>
        <w:rPr>
          <w:rFonts w:hint="eastAsia"/>
          <w:b/>
          <w:lang w:eastAsia="zh-CN"/>
        </w:rPr>
        <w:t xml:space="preserve"> </w:t>
      </w:r>
      <w:r>
        <w:rPr>
          <w:rFonts w:ascii="Book Antiqua" w:eastAsia="Book Antiqua" w:hAnsi="Book Antiqua" w:cs="Book Antiqua"/>
          <w:color w:val="000000"/>
          <w:shd w:val="clear" w:color="auto" w:fill="FFFFFF"/>
        </w:rPr>
        <w:t>Folic acid is first metabolized to dihydrofolate and then to tetrahydrofolate, taking part in DNA synthesis, influencing DNA and histone methylation</w:t>
      </w:r>
      <w:r>
        <w:rPr>
          <w:rFonts w:ascii="Book Antiqua" w:eastAsia="Book Antiqua" w:hAnsi="Book Antiqua" w:cs="Book Antiqua"/>
          <w:color w:val="000000"/>
          <w:szCs w:val="30"/>
          <w:shd w:val="clear" w:color="auto" w:fill="FFFFFF"/>
          <w:vertAlign w:val="superscript"/>
        </w:rPr>
        <w:t>[105]</w:t>
      </w:r>
      <w:r>
        <w:rPr>
          <w:rFonts w:ascii="Book Antiqua" w:eastAsia="Book Antiqua" w:hAnsi="Book Antiqua" w:cs="Book Antiqua"/>
          <w:color w:val="000000"/>
          <w:shd w:val="clear" w:color="auto" w:fill="FFFFFF"/>
        </w:rPr>
        <w:t>. Several studies have elucidated the role of folate metabolism in regulating of the epigenetic</w:t>
      </w:r>
      <w:r>
        <w:rPr>
          <w:rFonts w:ascii="Book Antiqua" w:eastAsia="Book Antiqua" w:hAnsi="Book Antiqua" w:cs="Book Antiqua"/>
          <w:color w:val="000000"/>
          <w:shd w:val="clear" w:color="auto" w:fill="FFFFFF"/>
        </w:rPr>
        <w:t xml:space="preserve"> landscape of stem cells</w:t>
      </w:r>
      <w:r>
        <w:rPr>
          <w:rFonts w:ascii="Book Antiqua" w:eastAsia="Book Antiqua" w:hAnsi="Book Antiqua" w:cs="Book Antiqua"/>
          <w:color w:val="000000"/>
          <w:szCs w:val="30"/>
          <w:shd w:val="clear" w:color="auto" w:fill="FFFFFF"/>
          <w:vertAlign w:val="superscript"/>
        </w:rPr>
        <w:t>[114,115]</w:t>
      </w:r>
      <w:r>
        <w:rPr>
          <w:rFonts w:ascii="Book Antiqua" w:eastAsia="Book Antiqua" w:hAnsi="Book Antiqua" w:cs="Book Antiqua"/>
          <w:color w:val="000000"/>
          <w:shd w:val="clear" w:color="auto" w:fill="FFFFFF"/>
        </w:rPr>
        <w:t xml:space="preserve">. Li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[116]</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have shown that folic acid deficiency in NSCs decreased cell proliferative capacity but increased apoptosis. Kasulanati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[117]</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in a study of ESCs have provided more evidence for the effect of folic acid </w:t>
      </w:r>
      <w:r>
        <w:rPr>
          <w:rFonts w:ascii="Book Antiqua" w:eastAsia="Book Antiqua" w:hAnsi="Book Antiqua" w:cs="Book Antiqua"/>
          <w:color w:val="000000"/>
          <w:shd w:val="clear" w:color="auto" w:fill="FFFFFF"/>
        </w:rPr>
        <w:t xml:space="preserve">on PSC pluripotency. </w:t>
      </w:r>
      <w:r>
        <w:rPr>
          <w:rFonts w:ascii="Book Antiqua" w:hAnsi="Book Antiqua" w:cs="Book Antiqua" w:hint="eastAsia"/>
          <w:color w:val="000000"/>
          <w:shd w:val="clear" w:color="auto" w:fill="FFFFFF"/>
          <w:lang w:eastAsia="zh-CN"/>
        </w:rPr>
        <w:t>Pei</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[118]</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in a study of mouse ESCs have demonstrated that under folate deficiency conditions, H2AK119ub1 increases, and expression of neural tube closure-associated genes decreases. This suggests a possible mechanism for neural tu</w:t>
      </w:r>
      <w:r>
        <w:rPr>
          <w:rFonts w:ascii="Book Antiqua" w:eastAsia="Book Antiqua" w:hAnsi="Book Antiqua" w:cs="Book Antiqua"/>
          <w:color w:val="000000"/>
          <w:shd w:val="clear" w:color="auto" w:fill="FFFFFF"/>
        </w:rPr>
        <w:t xml:space="preserve">be defects. Xie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[119]</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have shown that folate inhibition can activate histone modification of monomethylation at lysine 4 of histone H3 transcription, suggesting that epigenetic regulation varies for different histone modifications.</w:t>
      </w:r>
    </w:p>
    <w:p w:rsidR="00EE3239" w:rsidRDefault="00EE3239">
      <w:pPr>
        <w:spacing w:line="360" w:lineRule="auto"/>
        <w:ind w:firstLine="480"/>
        <w:jc w:val="both"/>
      </w:pPr>
    </w:p>
    <w:p w:rsidR="00EE3239" w:rsidRDefault="0021728D">
      <w:pPr>
        <w:spacing w:line="360" w:lineRule="auto"/>
        <w:jc w:val="both"/>
        <w:rPr>
          <w:b/>
          <w:lang w:eastAsia="zh-CN"/>
        </w:rPr>
      </w:pPr>
      <w:r>
        <w:rPr>
          <w:rFonts w:ascii="Book Antiqua" w:eastAsia="Book Antiqua" w:hAnsi="Book Antiqua" w:cs="Book Antiqua"/>
          <w:b/>
          <w:iCs/>
          <w:color w:val="000000"/>
          <w:shd w:val="clear" w:color="auto" w:fill="FFFFFF"/>
        </w:rPr>
        <w:t>Crosslinking</w:t>
      </w:r>
      <w:r>
        <w:rPr>
          <w:rFonts w:ascii="Book Antiqua" w:hAnsi="Book Antiqua" w:cs="Book Antiqua" w:hint="eastAsia"/>
          <w:b/>
          <w:iCs/>
          <w:color w:val="000000"/>
          <w:shd w:val="clear" w:color="auto" w:fill="FFFFFF"/>
          <w:lang w:eastAsia="zh-CN"/>
        </w:rPr>
        <w:t>:</w:t>
      </w:r>
      <w:r>
        <w:rPr>
          <w:rFonts w:hint="eastAsia"/>
          <w:b/>
          <w:lang w:eastAsia="zh-CN"/>
        </w:rPr>
        <w:t xml:space="preserve"> </w:t>
      </w:r>
      <w:r>
        <w:rPr>
          <w:rFonts w:ascii="Book Antiqua" w:eastAsia="Book Antiqua" w:hAnsi="Book Antiqua" w:cs="Book Antiqua"/>
          <w:color w:val="000000"/>
          <w:shd w:val="clear" w:color="auto" w:fill="FFFFFF"/>
        </w:rPr>
        <w:t>Hori</w:t>
      </w:r>
      <w:r>
        <w:rPr>
          <w:rFonts w:ascii="Book Antiqua" w:eastAsia="Book Antiqua" w:hAnsi="Book Antiqua" w:cs="Book Antiqua"/>
          <w:color w:val="000000"/>
          <w:shd w:val="clear" w:color="auto" w:fill="FFFFFF"/>
        </w:rPr>
        <w:t>tani</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color w:val="000000"/>
          <w:shd w:val="clear" w:color="auto" w:fill="FFFFFF"/>
        </w:rPr>
        <w:t>et al</w:t>
      </w:r>
      <w:r>
        <w:rPr>
          <w:rFonts w:ascii="Book Antiqua" w:eastAsia="Book Antiqua" w:hAnsi="Book Antiqua" w:cs="Book Antiqua"/>
          <w:color w:val="000000"/>
          <w:szCs w:val="30"/>
          <w:shd w:val="clear" w:color="auto" w:fill="FFFFFF"/>
          <w:vertAlign w:val="superscript"/>
        </w:rPr>
        <w:t>[120]</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have reported that glucose along with triglyceride increased metabolic stress spikes in mice, resulting in demethylation of H3K27me3, and expression of senescence-like phenotypes in bone marrow stem/progenitor cells. This could provide a </w:t>
      </w:r>
      <w:r>
        <w:rPr>
          <w:rFonts w:ascii="Book Antiqua" w:eastAsia="Book Antiqua" w:hAnsi="Book Antiqua" w:cs="Book Antiqua"/>
          <w:color w:val="000000"/>
          <w:shd w:val="clear" w:color="auto" w:fill="FFFFFF"/>
        </w:rPr>
        <w:t>therapeutic method for patients with cardiovascular disease and type 2 diabetes.</w:t>
      </w:r>
    </w:p>
    <w:p w:rsidR="00EE3239" w:rsidRDefault="00EE3239">
      <w:pPr>
        <w:spacing w:line="360" w:lineRule="auto"/>
        <w:jc w:val="both"/>
      </w:pPr>
    </w:p>
    <w:p w:rsidR="00EE3239" w:rsidRDefault="0021728D">
      <w:pPr>
        <w:spacing w:line="360" w:lineRule="auto"/>
        <w:jc w:val="both"/>
      </w:pPr>
      <w:r>
        <w:rPr>
          <w:rFonts w:ascii="Book Antiqua" w:eastAsia="Book Antiqua" w:hAnsi="Book Antiqua" w:cs="Book Antiqua"/>
          <w:b/>
          <w:caps/>
          <w:color w:val="000000"/>
          <w:u w:val="single"/>
        </w:rPr>
        <w:t>CONCLUSION</w:t>
      </w:r>
    </w:p>
    <w:p w:rsidR="00EE3239" w:rsidRDefault="0021728D">
      <w:pPr>
        <w:spacing w:line="360" w:lineRule="auto"/>
        <w:jc w:val="both"/>
      </w:pPr>
      <w:r>
        <w:rPr>
          <w:rFonts w:ascii="Book Antiqua" w:eastAsia="Book Antiqua" w:hAnsi="Book Antiqua" w:cs="Book Antiqua"/>
          <w:color w:val="000000"/>
          <w:shd w:val="clear" w:color="auto" w:fill="FFFFFF"/>
        </w:rPr>
        <w:t>This review summarizes the recent studies about the metabolic–epigenetic nexus and provides compelling evidence that metabolism regulates stem cell fate determinat</w:t>
      </w:r>
      <w:r>
        <w:rPr>
          <w:rFonts w:ascii="Book Antiqua" w:eastAsia="Book Antiqua" w:hAnsi="Book Antiqua" w:cs="Book Antiqua"/>
          <w:color w:val="000000"/>
          <w:shd w:val="clear" w:color="auto" w:fill="FFFFFF"/>
        </w:rPr>
        <w:t xml:space="preserve">ion </w:t>
      </w:r>
      <w:r>
        <w:rPr>
          <w:rFonts w:ascii="Book Antiqua" w:eastAsia="Book Antiqua" w:hAnsi="Book Antiqua" w:cs="Book Antiqua"/>
          <w:color w:val="000000"/>
          <w:shd w:val="clear" w:color="auto" w:fill="FFFFFF"/>
        </w:rPr>
        <w:lastRenderedPageBreak/>
        <w:t>through epigenetic mechanisms, such as histone acetylation, histone methylation and DNA methylation, in a variety of physical and pathological phenomena. The latest studies have also suggested that potential manipulation of metabolites held great promi</w:t>
      </w:r>
      <w:r>
        <w:rPr>
          <w:rFonts w:ascii="Book Antiqua" w:eastAsia="Book Antiqua" w:hAnsi="Book Antiqua" w:cs="Book Antiqua"/>
          <w:color w:val="000000"/>
          <w:shd w:val="clear" w:color="auto" w:fill="FFFFFF"/>
        </w:rPr>
        <w:t xml:space="preserve">se in developing novel preventive, diagnostic and therapeutic strategies for a variety of diseases, which still requires further study prior to application in clinic settings. </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There are still some essential questions. For example, what is the outcome of t</w:t>
      </w:r>
      <w:r>
        <w:rPr>
          <w:rFonts w:ascii="Book Antiqua" w:eastAsia="Book Antiqua" w:hAnsi="Book Antiqua" w:cs="Book Antiqua"/>
          <w:color w:val="000000"/>
          <w:shd w:val="clear" w:color="auto" w:fill="FFFFFF"/>
        </w:rPr>
        <w:t>he regulation of metabolism on the epigenetic and transcriptional procedures of stem cells. The interplay of metabolism and epigenetics also brings out the complexity in environmental exposures studies, as the method of cell metabolism and potential transg</w:t>
      </w:r>
      <w:r>
        <w:rPr>
          <w:rFonts w:ascii="Book Antiqua" w:eastAsia="Book Antiqua" w:hAnsi="Book Antiqua" w:cs="Book Antiqua"/>
          <w:color w:val="000000"/>
          <w:shd w:val="clear" w:color="auto" w:fill="FFFFFF"/>
        </w:rPr>
        <w:t>enerational inheritance has been changed</w:t>
      </w:r>
      <w:r>
        <w:rPr>
          <w:rFonts w:ascii="Book Antiqua" w:eastAsia="Book Antiqua" w:hAnsi="Book Antiqua" w:cs="Book Antiqua"/>
          <w:color w:val="000000"/>
          <w:szCs w:val="30"/>
          <w:shd w:val="clear" w:color="auto" w:fill="FFFFFF"/>
          <w:vertAlign w:val="superscript"/>
        </w:rPr>
        <w:t>[15,121]</w:t>
      </w:r>
      <w:r>
        <w:rPr>
          <w:rFonts w:ascii="Book Antiqua" w:eastAsia="Book Antiqua" w:hAnsi="Book Antiqua" w:cs="Book Antiqua"/>
          <w:color w:val="000000"/>
          <w:shd w:val="clear" w:color="auto" w:fill="FFFFFF"/>
        </w:rPr>
        <w:t>.</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Furthermore, there were still some limitations. Most studies have attached importance to the level of enzymatic activity in cells, and we must accept that there is a difference between the measured and actu</w:t>
      </w:r>
      <w:r>
        <w:rPr>
          <w:rFonts w:ascii="Book Antiqua" w:eastAsia="Book Antiqua" w:hAnsi="Book Antiqua" w:cs="Book Antiqua"/>
          <w:color w:val="000000"/>
          <w:shd w:val="clear" w:color="auto" w:fill="FFFFFF"/>
        </w:rPr>
        <w:t>al values</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All researches were conducted under experimental and not physiological conditions, and it is not hard to conclude that there might be some variation. </w:t>
      </w:r>
    </w:p>
    <w:p w:rsidR="00EE3239" w:rsidRDefault="0021728D">
      <w:pPr>
        <w:spacing w:line="360" w:lineRule="auto"/>
        <w:ind w:firstLineChars="100" w:firstLine="240"/>
        <w:jc w:val="both"/>
      </w:pPr>
      <w:r>
        <w:rPr>
          <w:rFonts w:ascii="Book Antiqua" w:eastAsia="Book Antiqua" w:hAnsi="Book Antiqua" w:cs="Book Antiqua"/>
          <w:color w:val="000000"/>
          <w:shd w:val="clear" w:color="auto" w:fill="FFFFFF"/>
        </w:rPr>
        <w:t>In summary, when it comes to the mechanism of stem cell fate determination, there is indee</w:t>
      </w:r>
      <w:r>
        <w:rPr>
          <w:rFonts w:ascii="Book Antiqua" w:eastAsia="Book Antiqua" w:hAnsi="Book Antiqua" w:cs="Book Antiqua"/>
          <w:color w:val="000000"/>
          <w:shd w:val="clear" w:color="auto" w:fill="FFFFFF"/>
        </w:rPr>
        <w:t>d interplay between metabolism and epigenetics. We need more accurate data acquisition and more realistic simulation as well as more specific mechanisms. The development of new technologies makes it easier to measure cellular metabolic status, and the accu</w:t>
      </w:r>
      <w:r>
        <w:rPr>
          <w:rFonts w:ascii="Book Antiqua" w:eastAsia="Book Antiqua" w:hAnsi="Book Antiqua" w:cs="Book Antiqua"/>
          <w:color w:val="000000"/>
          <w:shd w:val="clear" w:color="auto" w:fill="FFFFFF"/>
        </w:rPr>
        <w:t>mulation of past studies supports our further exploration in this field.</w:t>
      </w:r>
    </w:p>
    <w:p w:rsidR="00EE3239" w:rsidRDefault="00EE3239">
      <w:pPr>
        <w:spacing w:line="360" w:lineRule="auto"/>
        <w:ind w:firstLine="480"/>
        <w:jc w:val="both"/>
      </w:pPr>
    </w:p>
    <w:p w:rsidR="00EE3239" w:rsidRDefault="0021728D">
      <w:pPr>
        <w:spacing w:line="360" w:lineRule="auto"/>
        <w:jc w:val="both"/>
      </w:pPr>
      <w:r>
        <w:rPr>
          <w:rFonts w:ascii="Book Antiqua" w:eastAsia="Book Antiqua" w:hAnsi="Book Antiqua" w:cs="Book Antiqua"/>
          <w:b/>
          <w:color w:val="000000"/>
        </w:rPr>
        <w:t>REFERENCES</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Ohara TE</w:t>
      </w:r>
      <w:r>
        <w:rPr>
          <w:rFonts w:ascii="Book Antiqua" w:hAnsi="Book Antiqua"/>
        </w:rPr>
        <w:t xml:space="preserve">, Colonna M, Stappenbeck TS. Adaptive differentiation promotes intestinal villus recovery. </w:t>
      </w:r>
      <w:r>
        <w:rPr>
          <w:rFonts w:ascii="Book Antiqua" w:hAnsi="Book Antiqua"/>
          <w:i/>
          <w:iCs/>
        </w:rPr>
        <w:t>Dev Cell</w:t>
      </w:r>
      <w:r>
        <w:rPr>
          <w:rFonts w:ascii="Book Antiqua" w:hAnsi="Book Antiqua"/>
        </w:rPr>
        <w:t xml:space="preserve"> 2022; </w:t>
      </w:r>
      <w:r>
        <w:rPr>
          <w:rFonts w:ascii="Book Antiqua" w:hAnsi="Book Antiqua"/>
          <w:b/>
          <w:bCs/>
        </w:rPr>
        <w:t>57</w:t>
      </w:r>
      <w:r>
        <w:rPr>
          <w:rFonts w:ascii="Book Antiqua" w:hAnsi="Book Antiqua"/>
        </w:rPr>
        <w:t xml:space="preserve">: 166-179.e6 [PMID: 35016013 DOI: </w:t>
      </w:r>
      <w:r>
        <w:rPr>
          <w:rFonts w:ascii="Book Antiqua" w:hAnsi="Book Antiqua"/>
        </w:rPr>
        <w:t>10.1016/j.devcel.2021.12.012]</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Neves de Oliveira BH</w:t>
      </w:r>
      <w:r>
        <w:rPr>
          <w:rFonts w:ascii="Book Antiqua" w:hAnsi="Book Antiqua"/>
        </w:rPr>
        <w:t xml:space="preserve">, Dalmaz C, Zeidán-Chuliá F. Network-Based Identification of Altered Stem Cell Pluripotency and Calcium Signaling Pathways in Metastatic Melanoma. </w:t>
      </w:r>
      <w:r>
        <w:rPr>
          <w:rFonts w:ascii="Book Antiqua" w:hAnsi="Book Antiqua"/>
          <w:i/>
          <w:iCs/>
        </w:rPr>
        <w:t>Med Sci (Basel)</w:t>
      </w:r>
      <w:r>
        <w:rPr>
          <w:rFonts w:ascii="Book Antiqua" w:hAnsi="Book Antiqua"/>
        </w:rPr>
        <w:t xml:space="preserve"> 2018; </w:t>
      </w:r>
      <w:r>
        <w:rPr>
          <w:rFonts w:ascii="Book Antiqua" w:hAnsi="Book Antiqua"/>
          <w:b/>
          <w:bCs/>
        </w:rPr>
        <w:t>6</w:t>
      </w:r>
      <w:r>
        <w:rPr>
          <w:rFonts w:ascii="Book Antiqua" w:hAnsi="Book Antiqua"/>
        </w:rPr>
        <w:t xml:space="preserve"> [PMID: 29518019 DOI: 10.3390/medsci6010023]</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3 </w:t>
      </w:r>
      <w:r>
        <w:rPr>
          <w:rFonts w:ascii="Book Antiqua" w:hAnsi="Book Antiqua"/>
          <w:b/>
          <w:bCs/>
        </w:rPr>
        <w:t>Tian Q</w:t>
      </w:r>
      <w:r>
        <w:rPr>
          <w:rFonts w:ascii="Book Antiqua" w:hAnsi="Book Antiqua"/>
        </w:rPr>
        <w:t xml:space="preserve">, Gao S, Zhou X, Zheng L, Zhou Y. Histone Acetylation in the Epigenetic Regulation of Bone Metabolism and Related Diseases. </w:t>
      </w:r>
      <w:r>
        <w:rPr>
          <w:rFonts w:ascii="Book Antiqua" w:hAnsi="Book Antiqua"/>
          <w:i/>
          <w:iCs/>
        </w:rPr>
        <w:t>Stem Cells Int</w:t>
      </w:r>
      <w:r>
        <w:rPr>
          <w:rFonts w:ascii="Book Antiqua" w:hAnsi="Book Antiqua"/>
        </w:rPr>
        <w:t xml:space="preserve"> 2021; </w:t>
      </w:r>
      <w:r>
        <w:rPr>
          <w:rFonts w:ascii="Book Antiqua" w:hAnsi="Book Antiqua"/>
          <w:b/>
          <w:bCs/>
        </w:rPr>
        <w:t>2021</w:t>
      </w:r>
      <w:r>
        <w:rPr>
          <w:rFonts w:ascii="Book Antiqua" w:hAnsi="Book Antiqua"/>
        </w:rPr>
        <w:t>: 8043346 [PMID: 34326880 DOI: 10.1155/2021/8043346]</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Fonts w:ascii="Book Antiqua" w:hAnsi="Book Antiqua"/>
        </w:rPr>
        <w:t xml:space="preserve"> </w:t>
      </w:r>
      <w:r>
        <w:rPr>
          <w:rFonts w:ascii="Book Antiqua" w:hAnsi="Book Antiqua"/>
          <w:b/>
          <w:bCs/>
        </w:rPr>
        <w:t>Dvir S</w:t>
      </w:r>
      <w:r>
        <w:rPr>
          <w:rFonts w:ascii="Book Antiqua" w:hAnsi="Book Antiqua"/>
        </w:rPr>
        <w:t xml:space="preserve">, Argoetti A, Lesnik C, Roytblat M, Shriki K, Amit M, Hashimshony T, Mandel-Gutfreund Y. Uncovering the RNA-binding protein landscape in the pluripotency network of human embryonic stem cells. </w:t>
      </w:r>
      <w:r>
        <w:rPr>
          <w:rFonts w:ascii="Book Antiqua" w:hAnsi="Book Antiqua"/>
          <w:i/>
          <w:iCs/>
        </w:rPr>
        <w:t>Cell Rep</w:t>
      </w:r>
      <w:r>
        <w:rPr>
          <w:rFonts w:ascii="Book Antiqua" w:hAnsi="Book Antiqua"/>
        </w:rPr>
        <w:t xml:space="preserve"> 2021; </w:t>
      </w:r>
      <w:r>
        <w:rPr>
          <w:rFonts w:ascii="Book Antiqua" w:hAnsi="Book Antiqua"/>
          <w:b/>
          <w:bCs/>
        </w:rPr>
        <w:t>35</w:t>
      </w:r>
      <w:r>
        <w:rPr>
          <w:rFonts w:ascii="Book Antiqua" w:hAnsi="Book Antiqua"/>
        </w:rPr>
        <w:t>: 109198 [PMID: 34077720 DOI: 10.1016/j</w:t>
      </w:r>
      <w:r>
        <w:rPr>
          <w:rFonts w:ascii="Book Antiqua" w:hAnsi="Book Antiqua"/>
        </w:rPr>
        <w:t>.celrep.2021.109198]</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Döhla J</w:t>
      </w:r>
      <w:r>
        <w:rPr>
          <w:rFonts w:ascii="Book Antiqua" w:hAnsi="Book Antiqua"/>
        </w:rPr>
        <w:t>, Kuuluvainen E, Gebert N, Amaral A, Englund JI, Gopalakrishnan S, Konovalova S, Nieminen AI, Salminen ES, Torregrosa Muñumer R, Ahlqvist K, Yang Y, Bui H, Otonkoski T, Käkelä R, Hietakangas V, Tyynismaa H, Ori A, Katajisto P.</w:t>
      </w:r>
      <w:r>
        <w:rPr>
          <w:rFonts w:ascii="Book Antiqua" w:hAnsi="Book Antiqua"/>
        </w:rPr>
        <w:t xml:space="preserve"> Metabolic determination of cell fate through selective inheritance of mitochondria. </w:t>
      </w:r>
      <w:r>
        <w:rPr>
          <w:rFonts w:ascii="Book Antiqua" w:hAnsi="Book Antiqua"/>
          <w:i/>
          <w:iCs/>
        </w:rPr>
        <w:t>Nat Cell Biol</w:t>
      </w:r>
      <w:r>
        <w:rPr>
          <w:rFonts w:ascii="Book Antiqua" w:hAnsi="Book Antiqua"/>
        </w:rPr>
        <w:t xml:space="preserve"> 2022; </w:t>
      </w:r>
      <w:r>
        <w:rPr>
          <w:rFonts w:ascii="Book Antiqua" w:hAnsi="Book Antiqua"/>
          <w:b/>
          <w:bCs/>
        </w:rPr>
        <w:t>24</w:t>
      </w:r>
      <w:r>
        <w:rPr>
          <w:rFonts w:ascii="Book Antiqua" w:hAnsi="Book Antiqua"/>
        </w:rPr>
        <w:t>: 148-154 [PMID: 35165416 DOI: 10.1038/s41556-021-00837-0]</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Yang Y</w:t>
      </w:r>
      <w:r>
        <w:rPr>
          <w:rFonts w:ascii="Book Antiqua" w:hAnsi="Book Antiqua"/>
        </w:rPr>
        <w:t>, Fan TW, Lane AN, Higashi RM. Chloroformate derivatization for tracing the fate o</w:t>
      </w:r>
      <w:r>
        <w:rPr>
          <w:rFonts w:ascii="Book Antiqua" w:hAnsi="Book Antiqua"/>
        </w:rPr>
        <w:t xml:space="preserve">f Amino acids in cells and tissues by multiple stable isotope resolved metabolomics (mSIRM). </w:t>
      </w:r>
      <w:r>
        <w:rPr>
          <w:rFonts w:ascii="Book Antiqua" w:hAnsi="Book Antiqua"/>
          <w:i/>
          <w:iCs/>
        </w:rPr>
        <w:t>Anal Chim Acta</w:t>
      </w:r>
      <w:r>
        <w:rPr>
          <w:rFonts w:ascii="Book Antiqua" w:hAnsi="Book Antiqua"/>
        </w:rPr>
        <w:t xml:space="preserve"> 2017; </w:t>
      </w:r>
      <w:r>
        <w:rPr>
          <w:rFonts w:ascii="Book Antiqua" w:hAnsi="Book Antiqua"/>
          <w:b/>
          <w:bCs/>
        </w:rPr>
        <w:t>976</w:t>
      </w:r>
      <w:r>
        <w:rPr>
          <w:rFonts w:ascii="Book Antiqua" w:hAnsi="Book Antiqua"/>
        </w:rPr>
        <w:t>: 63-73 [PMID: 28576319 DOI: 10.1016/j.aca.2017.04.014]</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Sun Z</w:t>
      </w:r>
      <w:r>
        <w:rPr>
          <w:rFonts w:ascii="Book Antiqua" w:hAnsi="Book Antiqua"/>
        </w:rPr>
        <w:t>, Zhao J, Yu H, Zhang C, Li H, Zeng Z, Zhang J. Metabolomics in Stem Cell Bi</w:t>
      </w:r>
      <w:r>
        <w:rPr>
          <w:rFonts w:ascii="Book Antiqua" w:hAnsi="Book Antiqua"/>
        </w:rPr>
        <w:t xml:space="preserve">ology Research. </w:t>
      </w:r>
      <w:r>
        <w:rPr>
          <w:rFonts w:ascii="Book Antiqua" w:hAnsi="Book Antiqua"/>
          <w:i/>
          <w:iCs/>
        </w:rPr>
        <w:t>Methods Mol Biol</w:t>
      </w:r>
      <w:r>
        <w:rPr>
          <w:rFonts w:ascii="Book Antiqua" w:hAnsi="Book Antiqua"/>
        </w:rPr>
        <w:t xml:space="preserve"> 2019; </w:t>
      </w:r>
      <w:r>
        <w:rPr>
          <w:rFonts w:ascii="Book Antiqua" w:hAnsi="Book Antiqua"/>
          <w:b/>
          <w:bCs/>
        </w:rPr>
        <w:t>1975</w:t>
      </w:r>
      <w:r>
        <w:rPr>
          <w:rFonts w:ascii="Book Antiqua" w:hAnsi="Book Antiqua"/>
        </w:rPr>
        <w:t>: 321-330 [PMID: 31062317 DOI: 10.1007/978-1-4939-9224-9_15]</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Tencerova M</w:t>
      </w:r>
      <w:r>
        <w:rPr>
          <w:rFonts w:ascii="Book Antiqua" w:hAnsi="Book Antiqua"/>
        </w:rPr>
        <w:t>, Rendina-Ruedy E, Neess D, Færgeman N, Figeac F, Ali D, Danielsen M, Haakonsson A, Rosen CJ, Kassem M. Metabolic programming determines th</w:t>
      </w:r>
      <w:r>
        <w:rPr>
          <w:rFonts w:ascii="Book Antiqua" w:hAnsi="Book Antiqua"/>
        </w:rPr>
        <w:t xml:space="preserve">e lineage-differentiation fate of murine bone marrow stromal progenitor cells. </w:t>
      </w:r>
      <w:r>
        <w:rPr>
          <w:rFonts w:ascii="Book Antiqua" w:hAnsi="Book Antiqua"/>
          <w:i/>
          <w:iCs/>
        </w:rPr>
        <w:t>Bone Res</w:t>
      </w:r>
      <w:r>
        <w:rPr>
          <w:rFonts w:ascii="Book Antiqua" w:hAnsi="Book Antiqua"/>
        </w:rPr>
        <w:t xml:space="preserve"> 2019; </w:t>
      </w:r>
      <w:r>
        <w:rPr>
          <w:rFonts w:ascii="Book Antiqua" w:hAnsi="Book Antiqua"/>
          <w:b/>
          <w:bCs/>
        </w:rPr>
        <w:t>7</w:t>
      </w:r>
      <w:r>
        <w:rPr>
          <w:rFonts w:ascii="Book Antiqua" w:hAnsi="Book Antiqua"/>
        </w:rPr>
        <w:t>: 35 [PMID: 31754546 DOI: 10.1038/s41413-019-0076-5]</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Ferrari A</w:t>
      </w:r>
      <w:r>
        <w:rPr>
          <w:rFonts w:ascii="Book Antiqua" w:hAnsi="Book Antiqua"/>
        </w:rPr>
        <w:t>, Longo R, Silva R, Mitro N, Caruso D, De Fabiani E, Crestani M. Epigenome modifiers and metaboli</w:t>
      </w:r>
      <w:r>
        <w:rPr>
          <w:rFonts w:ascii="Book Antiqua" w:hAnsi="Book Antiqua"/>
        </w:rPr>
        <w:t xml:space="preserve">c rewiring: New frontiers in therapeutics. </w:t>
      </w:r>
      <w:r>
        <w:rPr>
          <w:rFonts w:ascii="Book Antiqua" w:hAnsi="Book Antiqua"/>
          <w:i/>
          <w:iCs/>
        </w:rPr>
        <w:t>Pharmacol Ther</w:t>
      </w:r>
      <w:r>
        <w:rPr>
          <w:rFonts w:ascii="Book Antiqua" w:hAnsi="Book Antiqua"/>
        </w:rPr>
        <w:t xml:space="preserve"> 2019; </w:t>
      </w:r>
      <w:r>
        <w:rPr>
          <w:rFonts w:ascii="Book Antiqua" w:hAnsi="Book Antiqua"/>
          <w:b/>
          <w:bCs/>
        </w:rPr>
        <w:t>193</w:t>
      </w:r>
      <w:r>
        <w:rPr>
          <w:rFonts w:ascii="Book Antiqua" w:hAnsi="Book Antiqua"/>
        </w:rPr>
        <w:t>: 178-193 [PMID: 30125527 DOI: 10.1016/j.pharmthera.2018.08.008]</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D'Aniello C</w:t>
      </w:r>
      <w:r>
        <w:rPr>
          <w:rFonts w:ascii="Book Antiqua" w:hAnsi="Book Antiqua"/>
        </w:rPr>
        <w:t xml:space="preserve">, Cermola F, Patriarca EJ, Minchiotti G. Metabolic-Epigenetic Axis in Pluripotent State Transitions. </w:t>
      </w:r>
      <w:r>
        <w:rPr>
          <w:rFonts w:ascii="Book Antiqua" w:hAnsi="Book Antiqua"/>
          <w:i/>
          <w:iCs/>
        </w:rPr>
        <w:t>Epigenome</w:t>
      </w:r>
      <w:r>
        <w:rPr>
          <w:rFonts w:ascii="Book Antiqua" w:hAnsi="Book Antiqua"/>
          <w:i/>
          <w:iCs/>
        </w:rPr>
        <w:t>s</w:t>
      </w:r>
      <w:r>
        <w:rPr>
          <w:rFonts w:ascii="Book Antiqua" w:hAnsi="Book Antiqua"/>
        </w:rPr>
        <w:t xml:space="preserve"> 2019; </w:t>
      </w:r>
      <w:r>
        <w:rPr>
          <w:rFonts w:ascii="Book Antiqua" w:hAnsi="Book Antiqua"/>
          <w:b/>
          <w:bCs/>
        </w:rPr>
        <w:t>3</w:t>
      </w:r>
      <w:r>
        <w:rPr>
          <w:rFonts w:ascii="Book Antiqua" w:hAnsi="Book Antiqua"/>
        </w:rPr>
        <w:t xml:space="preserve"> [PMID: 34968225 DOI: 10.3390/epigenomes3030013]</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11 </w:t>
      </w:r>
      <w:r>
        <w:rPr>
          <w:rFonts w:ascii="Book Antiqua" w:hAnsi="Book Antiqua"/>
          <w:b/>
          <w:bCs/>
        </w:rPr>
        <w:t>Verdikt R</w:t>
      </w:r>
      <w:r>
        <w:rPr>
          <w:rFonts w:ascii="Book Antiqua" w:hAnsi="Book Antiqua"/>
        </w:rPr>
        <w:t xml:space="preserve">, Allard P. Metabolo-epigenetics: the interplay of metabolism and epigenetics during early germ cells development. </w:t>
      </w:r>
      <w:r>
        <w:rPr>
          <w:rFonts w:ascii="Book Antiqua" w:hAnsi="Book Antiqua"/>
          <w:i/>
          <w:iCs/>
        </w:rPr>
        <w:t>Biol Reprod</w:t>
      </w:r>
      <w:r>
        <w:rPr>
          <w:rFonts w:ascii="Book Antiqua" w:hAnsi="Book Antiqua"/>
        </w:rPr>
        <w:t xml:space="preserve"> 2021; </w:t>
      </w:r>
      <w:r>
        <w:rPr>
          <w:rFonts w:ascii="Book Antiqua" w:hAnsi="Book Antiqua"/>
          <w:b/>
          <w:bCs/>
        </w:rPr>
        <w:t>105</w:t>
      </w:r>
      <w:r>
        <w:rPr>
          <w:rFonts w:ascii="Book Antiqua" w:hAnsi="Book Antiqua"/>
        </w:rPr>
        <w:t>: 616-624 [PMID: 34132770 DOI: 10.1093/biolre/ioab</w:t>
      </w:r>
      <w:r>
        <w:rPr>
          <w:rFonts w:ascii="Book Antiqua" w:hAnsi="Book Antiqua"/>
        </w:rPr>
        <w:t>118]</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Li L</w:t>
      </w:r>
      <w:r>
        <w:rPr>
          <w:rFonts w:ascii="Book Antiqua" w:hAnsi="Book Antiqua"/>
        </w:rPr>
        <w:t xml:space="preserve">, Chen K, Wu Y, Xiang G, Liu X. Epigenome-Metabolome-Epigenome signaling cascade in cell biological processes. </w:t>
      </w:r>
      <w:r>
        <w:rPr>
          <w:rFonts w:ascii="Book Antiqua" w:hAnsi="Book Antiqua"/>
          <w:i/>
          <w:iCs/>
        </w:rPr>
        <w:t>J Genet Genomics</w:t>
      </w:r>
      <w:r>
        <w:rPr>
          <w:rFonts w:ascii="Book Antiqua" w:hAnsi="Book Antiqua"/>
        </w:rPr>
        <w:t xml:space="preserve"> 2022; </w:t>
      </w:r>
      <w:r>
        <w:rPr>
          <w:rFonts w:ascii="Book Antiqua" w:hAnsi="Book Antiqua"/>
          <w:b/>
          <w:bCs/>
        </w:rPr>
        <w:t>49</w:t>
      </w:r>
      <w:r>
        <w:rPr>
          <w:rFonts w:ascii="Book Antiqua" w:hAnsi="Book Antiqua"/>
        </w:rPr>
        <w:t>: 279-286 [PMID: 34648996 DOI: 10.1016/j.jgg.2021.09.006]</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Tsogtbaatar E</w:t>
      </w:r>
      <w:r>
        <w:rPr>
          <w:rFonts w:ascii="Book Antiqua" w:hAnsi="Book Antiqua"/>
        </w:rPr>
        <w:t>, Landin C, Minter-Dykhouse K, Fol</w:t>
      </w:r>
      <w:r>
        <w:rPr>
          <w:rFonts w:ascii="Book Antiqua" w:hAnsi="Book Antiqua"/>
        </w:rPr>
        <w:t xml:space="preserve">mes CDL. Energy Metabolism Regulates Stem Cell Pluripotency. </w:t>
      </w:r>
      <w:r>
        <w:rPr>
          <w:rFonts w:ascii="Book Antiqua" w:hAnsi="Book Antiqua"/>
          <w:i/>
          <w:iCs/>
        </w:rPr>
        <w:t>Front Cell Dev Biol</w:t>
      </w:r>
      <w:r>
        <w:rPr>
          <w:rFonts w:ascii="Book Antiqua" w:hAnsi="Book Antiqua"/>
        </w:rPr>
        <w:t xml:space="preserve"> 2020; </w:t>
      </w:r>
      <w:r>
        <w:rPr>
          <w:rFonts w:ascii="Book Antiqua" w:hAnsi="Book Antiqua"/>
          <w:b/>
          <w:bCs/>
        </w:rPr>
        <w:t>8</w:t>
      </w:r>
      <w:r>
        <w:rPr>
          <w:rFonts w:ascii="Book Antiqua" w:hAnsi="Book Antiqua"/>
        </w:rPr>
        <w:t>: 87 [PMID: 32181250 DOI: 10.3389/fcell.2020.00087]</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Prasad KN</w:t>
      </w:r>
      <w:r>
        <w:rPr>
          <w:rFonts w:ascii="Book Antiqua" w:hAnsi="Book Antiqua"/>
        </w:rPr>
        <w:t xml:space="preserve">. Butyric acid: a small fatty acid with diverse biological functions. </w:t>
      </w:r>
      <w:r>
        <w:rPr>
          <w:rFonts w:ascii="Book Antiqua" w:hAnsi="Book Antiqua"/>
          <w:i/>
          <w:iCs/>
        </w:rPr>
        <w:t>Life Sci</w:t>
      </w:r>
      <w:r>
        <w:rPr>
          <w:rFonts w:ascii="Book Antiqua" w:hAnsi="Book Antiqua"/>
        </w:rPr>
        <w:t xml:space="preserve"> 1980; </w:t>
      </w:r>
      <w:r>
        <w:rPr>
          <w:rFonts w:ascii="Book Antiqua" w:hAnsi="Book Antiqua"/>
          <w:b/>
          <w:bCs/>
        </w:rPr>
        <w:t>27</w:t>
      </w:r>
      <w:r>
        <w:rPr>
          <w:rFonts w:ascii="Book Antiqua" w:hAnsi="Book Antiqua"/>
        </w:rPr>
        <w:t xml:space="preserve">: 1351-1358 </w:t>
      </w:r>
      <w:r>
        <w:rPr>
          <w:rFonts w:ascii="Book Antiqua" w:hAnsi="Book Antiqua"/>
        </w:rPr>
        <w:t>[PMID: 7003281 DOI: 10.1016/0024-3205(80)90397-5]</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Fawal MA</w:t>
      </w:r>
      <w:r>
        <w:rPr>
          <w:rFonts w:ascii="Book Antiqua" w:hAnsi="Book Antiqua"/>
        </w:rPr>
        <w:t xml:space="preserve">, Davy A. Impact of Metabolic Pathways and Epigenetics on Neural Stem Cells. </w:t>
      </w:r>
      <w:r>
        <w:rPr>
          <w:rFonts w:ascii="Book Antiqua" w:hAnsi="Book Antiqua"/>
          <w:i/>
          <w:iCs/>
        </w:rPr>
        <w:t>Epigenet Insights</w:t>
      </w:r>
      <w:r>
        <w:rPr>
          <w:rFonts w:ascii="Book Antiqua" w:hAnsi="Book Antiqua"/>
        </w:rPr>
        <w:t xml:space="preserve"> 2018; </w:t>
      </w:r>
      <w:r>
        <w:rPr>
          <w:rFonts w:ascii="Book Antiqua" w:hAnsi="Book Antiqua"/>
          <w:b/>
          <w:bCs/>
        </w:rPr>
        <w:t>11</w:t>
      </w:r>
      <w:r>
        <w:rPr>
          <w:rFonts w:ascii="Book Antiqua" w:hAnsi="Book Antiqua"/>
        </w:rPr>
        <w:t>: 2516865718820946 [PMID: 30627699 DOI: 10.1177/2516865718820946]</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McDonnell E</w:t>
      </w:r>
      <w:r>
        <w:rPr>
          <w:rFonts w:ascii="Book Antiqua" w:hAnsi="Book Antiqua"/>
        </w:rPr>
        <w:t xml:space="preserve">, Crown SB, </w:t>
      </w:r>
      <w:r>
        <w:rPr>
          <w:rFonts w:ascii="Book Antiqua" w:hAnsi="Book Antiqua"/>
        </w:rPr>
        <w:t xml:space="preserve">Fox DB, Kitir B, Ilkayeva OR, Olsen CA, Grimsrud PA, Hirschey MD. Lipids Reprogram Metabolism to Become a Major Carbon Source for Histone Acetylation. </w:t>
      </w:r>
      <w:r>
        <w:rPr>
          <w:rFonts w:ascii="Book Antiqua" w:hAnsi="Book Antiqua"/>
          <w:i/>
          <w:iCs/>
        </w:rPr>
        <w:t>Cell Rep</w:t>
      </w:r>
      <w:r>
        <w:rPr>
          <w:rFonts w:ascii="Book Antiqua" w:hAnsi="Book Antiqua"/>
        </w:rPr>
        <w:t xml:space="preserve"> 2016; </w:t>
      </w:r>
      <w:r>
        <w:rPr>
          <w:rFonts w:ascii="Book Antiqua" w:hAnsi="Book Antiqua"/>
          <w:b/>
          <w:bCs/>
        </w:rPr>
        <w:t>17</w:t>
      </w:r>
      <w:r>
        <w:rPr>
          <w:rFonts w:ascii="Book Antiqua" w:hAnsi="Book Antiqua"/>
        </w:rPr>
        <w:t>: 1463-1472 [PMID: 27806287 DOI: 10.1016/j.celrep.2016.10.012]</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Johnson MT</w:t>
      </w:r>
      <w:r>
        <w:rPr>
          <w:rFonts w:ascii="Book Antiqua" w:hAnsi="Book Antiqua"/>
        </w:rPr>
        <w:t>, Mahmood S,</w:t>
      </w:r>
      <w:r>
        <w:rPr>
          <w:rFonts w:ascii="Book Antiqua" w:hAnsi="Book Antiqua"/>
        </w:rPr>
        <w:t xml:space="preserve"> Patel MS. Intermediary metabolism and energetics during murine early embryogenesis. </w:t>
      </w:r>
      <w:r>
        <w:rPr>
          <w:rFonts w:ascii="Book Antiqua" w:hAnsi="Book Antiqua"/>
          <w:i/>
          <w:iCs/>
        </w:rPr>
        <w:t>J Biol Chem</w:t>
      </w:r>
      <w:r>
        <w:rPr>
          <w:rFonts w:ascii="Book Antiqua" w:hAnsi="Book Antiqua"/>
        </w:rPr>
        <w:t xml:space="preserve"> 2003; </w:t>
      </w:r>
      <w:r>
        <w:rPr>
          <w:rFonts w:ascii="Book Antiqua" w:hAnsi="Book Antiqua"/>
          <w:b/>
          <w:bCs/>
        </w:rPr>
        <w:t>278</w:t>
      </w:r>
      <w:r>
        <w:rPr>
          <w:rFonts w:ascii="Book Antiqua" w:hAnsi="Book Antiqua"/>
        </w:rPr>
        <w:t>: 31457-31460 [PMID: 12788927 DOI: 10.1074/jbc.R300002200]</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Itokazu Y</w:t>
      </w:r>
      <w:r>
        <w:rPr>
          <w:rFonts w:ascii="Book Antiqua" w:hAnsi="Book Antiqua"/>
        </w:rPr>
        <w:t xml:space="preserve">, Wang J, Yu RK. Gangliosides in Nerve Cell Specification. </w:t>
      </w:r>
      <w:r>
        <w:rPr>
          <w:rFonts w:ascii="Book Antiqua" w:hAnsi="Book Antiqua"/>
          <w:i/>
          <w:iCs/>
        </w:rPr>
        <w:t>Prog Mol Biol Transl</w:t>
      </w:r>
      <w:r>
        <w:rPr>
          <w:rFonts w:ascii="Book Antiqua" w:hAnsi="Book Antiqua"/>
          <w:i/>
          <w:iCs/>
        </w:rPr>
        <w:t xml:space="preserve"> Sci</w:t>
      </w:r>
      <w:r>
        <w:rPr>
          <w:rFonts w:ascii="Book Antiqua" w:hAnsi="Book Antiqua"/>
        </w:rPr>
        <w:t xml:space="preserve"> 2018; </w:t>
      </w:r>
      <w:r>
        <w:rPr>
          <w:rFonts w:ascii="Book Antiqua" w:hAnsi="Book Antiqua"/>
          <w:b/>
          <w:bCs/>
        </w:rPr>
        <w:t>156</w:t>
      </w:r>
      <w:r>
        <w:rPr>
          <w:rFonts w:ascii="Book Antiqua" w:hAnsi="Book Antiqua"/>
        </w:rPr>
        <w:t>: 241-263 [PMID: 29747816 DOI: 10.1016/bs.pmbts.2017.12.008]</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Ardah MT</w:t>
      </w:r>
      <w:r>
        <w:rPr>
          <w:rFonts w:ascii="Book Antiqua" w:hAnsi="Book Antiqua"/>
        </w:rPr>
        <w:t xml:space="preserve">, Parween S, Varghese DS, Emerald BS, Ansari SA. Saturated fatty acid alters embryonic cortical neurogenesis through modulation of gene expression in neural stem cells. </w:t>
      </w:r>
      <w:r>
        <w:rPr>
          <w:rFonts w:ascii="Book Antiqua" w:hAnsi="Book Antiqua"/>
          <w:i/>
          <w:iCs/>
        </w:rPr>
        <w:t>J</w:t>
      </w:r>
      <w:r>
        <w:rPr>
          <w:rFonts w:ascii="Book Antiqua" w:hAnsi="Book Antiqua"/>
          <w:i/>
          <w:iCs/>
        </w:rPr>
        <w:t xml:space="preserve"> Nutr Biochem</w:t>
      </w:r>
      <w:r>
        <w:rPr>
          <w:rFonts w:ascii="Book Antiqua" w:hAnsi="Book Antiqua"/>
        </w:rPr>
        <w:t xml:space="preserve"> 2018; </w:t>
      </w:r>
      <w:r>
        <w:rPr>
          <w:rFonts w:ascii="Book Antiqua" w:hAnsi="Book Antiqua"/>
          <w:b/>
          <w:bCs/>
        </w:rPr>
        <w:t>62</w:t>
      </w:r>
      <w:r>
        <w:rPr>
          <w:rFonts w:ascii="Book Antiqua" w:hAnsi="Book Antiqua"/>
        </w:rPr>
        <w:t>: 230-246 [PMID: 30317068 DOI: 10.1016/j.jnutbio.2018.09.006]</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Balasubramaniyan V</w:t>
      </w:r>
      <w:r>
        <w:rPr>
          <w:rFonts w:ascii="Book Antiqua" w:hAnsi="Book Antiqua"/>
        </w:rPr>
        <w:t xml:space="preserve">, Boddeke E, Bakels R, Küst B, Kooistra S, Veneman A, Copray S. Effects of histone deacetylation inhibition on neuronal differentiation of embryonic </w:t>
      </w:r>
      <w:r>
        <w:rPr>
          <w:rFonts w:ascii="Book Antiqua" w:hAnsi="Book Antiqua"/>
        </w:rPr>
        <w:lastRenderedPageBreak/>
        <w:t>mo</w:t>
      </w:r>
      <w:r>
        <w:rPr>
          <w:rFonts w:ascii="Book Antiqua" w:hAnsi="Book Antiqua"/>
        </w:rPr>
        <w:t xml:space="preserve">use neural stem cells. </w:t>
      </w:r>
      <w:r>
        <w:rPr>
          <w:rFonts w:ascii="Book Antiqua" w:hAnsi="Book Antiqua"/>
          <w:i/>
          <w:iCs/>
        </w:rPr>
        <w:t>Neuroscience</w:t>
      </w:r>
      <w:r>
        <w:rPr>
          <w:rFonts w:ascii="Book Antiqua" w:hAnsi="Book Antiqua"/>
        </w:rPr>
        <w:t xml:space="preserve"> 2006; </w:t>
      </w:r>
      <w:r>
        <w:rPr>
          <w:rFonts w:ascii="Book Antiqua" w:hAnsi="Book Antiqua"/>
          <w:b/>
          <w:bCs/>
        </w:rPr>
        <w:t>143</w:t>
      </w:r>
      <w:r>
        <w:rPr>
          <w:rFonts w:ascii="Book Antiqua" w:hAnsi="Book Antiqua"/>
        </w:rPr>
        <w:t>: 939-951 [PMID: 17084985 DOI: 10.1016/j.neuroscience.2006.08.082]</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Murray RL</w:t>
      </w:r>
      <w:r>
        <w:rPr>
          <w:rFonts w:ascii="Book Antiqua" w:hAnsi="Book Antiqua"/>
        </w:rPr>
        <w:t>, Zhang W, Liu J, Cooper J, Mitchell A, Buman M, Song J, Stahl CH. Tributyrin, a Butyrate Pro-Drug, Primes Satellite Cells for Diffe</w:t>
      </w:r>
      <w:r>
        <w:rPr>
          <w:rFonts w:ascii="Book Antiqua" w:hAnsi="Book Antiqua"/>
        </w:rPr>
        <w:t xml:space="preserve">rentiation by Altering the Epigenetic Landscape. </w:t>
      </w:r>
      <w:r>
        <w:rPr>
          <w:rFonts w:ascii="Book Antiqua" w:hAnsi="Book Antiqua"/>
          <w:i/>
          <w:iCs/>
        </w:rPr>
        <w:t>Cells</w:t>
      </w:r>
      <w:r>
        <w:rPr>
          <w:rFonts w:ascii="Book Antiqua" w:hAnsi="Book Antiqua"/>
        </w:rPr>
        <w:t xml:space="preserve"> 2021; </w:t>
      </w:r>
      <w:r>
        <w:rPr>
          <w:rFonts w:ascii="Book Antiqua" w:hAnsi="Book Antiqua"/>
          <w:b/>
          <w:bCs/>
        </w:rPr>
        <w:t>10</w:t>
      </w:r>
      <w:r>
        <w:rPr>
          <w:rFonts w:ascii="Book Antiqua" w:hAnsi="Book Antiqua"/>
        </w:rPr>
        <w:t xml:space="preserve"> [PMID: 34943981 DOI: 10.3390/cells10123475]</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Cornacchia D</w:t>
      </w:r>
      <w:r>
        <w:rPr>
          <w:rFonts w:ascii="Book Antiqua" w:hAnsi="Book Antiqua"/>
        </w:rPr>
        <w:t>, Zhang C, Zimmer B, Chung SY, Fan Y, Soliman MA, Tchieu J, Chambers SM, Shah H, Paull D, Konrad C, Vincendeau M, Noggle SA, Manfredi</w:t>
      </w:r>
      <w:r>
        <w:rPr>
          <w:rFonts w:ascii="Book Antiqua" w:hAnsi="Book Antiqua"/>
        </w:rPr>
        <w:t xml:space="preserve"> G, Finley LWS, Cross JR, Betel D, Studer L. Lipid Deprivation Induces a Stable, Naive-to-Primed Intermediate State of Pluripotency in Human PSCs. </w:t>
      </w:r>
      <w:r>
        <w:rPr>
          <w:rFonts w:ascii="Book Antiqua" w:hAnsi="Book Antiqua"/>
          <w:i/>
          <w:iCs/>
        </w:rPr>
        <w:t>Cell Stem Cell</w:t>
      </w:r>
      <w:r>
        <w:rPr>
          <w:rFonts w:ascii="Book Antiqua" w:hAnsi="Book Antiqua"/>
        </w:rPr>
        <w:t xml:space="preserve"> 2019; </w:t>
      </w:r>
      <w:r>
        <w:rPr>
          <w:rFonts w:ascii="Book Antiqua" w:hAnsi="Book Antiqua"/>
          <w:b/>
          <w:bCs/>
        </w:rPr>
        <w:t>25</w:t>
      </w:r>
      <w:r>
        <w:rPr>
          <w:rFonts w:ascii="Book Antiqua" w:hAnsi="Book Antiqua"/>
        </w:rPr>
        <w:t>: 120-136.e10 [PMID: 31155483 DOI: 10.1016/j.stem.2019.05.001]</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Palmer NO</w:t>
      </w:r>
      <w:r>
        <w:rPr>
          <w:rFonts w:ascii="Book Antiqua" w:hAnsi="Book Antiqua"/>
        </w:rPr>
        <w:t xml:space="preserve">, Fullston </w:t>
      </w:r>
      <w:r>
        <w:rPr>
          <w:rFonts w:ascii="Book Antiqua" w:hAnsi="Book Antiqua"/>
        </w:rPr>
        <w:t xml:space="preserve">T, Mitchell M, Setchell BP, Lane M. SIRT6 in mouse spermatogenesis is modulated by diet-induced obesity. </w:t>
      </w:r>
      <w:r>
        <w:rPr>
          <w:rFonts w:ascii="Book Antiqua" w:hAnsi="Book Antiqua"/>
          <w:i/>
          <w:iCs/>
        </w:rPr>
        <w:t>Reprod Fertil Dev</w:t>
      </w:r>
      <w:r>
        <w:rPr>
          <w:rFonts w:ascii="Book Antiqua" w:hAnsi="Book Antiqua"/>
        </w:rPr>
        <w:t xml:space="preserve"> 2011; </w:t>
      </w:r>
      <w:r>
        <w:rPr>
          <w:rFonts w:ascii="Book Antiqua" w:hAnsi="Book Antiqua"/>
          <w:b/>
          <w:bCs/>
        </w:rPr>
        <w:t>23</w:t>
      </w:r>
      <w:r>
        <w:rPr>
          <w:rFonts w:ascii="Book Antiqua" w:hAnsi="Book Antiqua"/>
        </w:rPr>
        <w:t>: 929-939 [PMID: 21871212 DOI: 10.1071/RD10326]</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Hayashi Y</w:t>
      </w:r>
      <w:r>
        <w:rPr>
          <w:rFonts w:ascii="Book Antiqua" w:hAnsi="Book Antiqua"/>
        </w:rPr>
        <w:t>, Matsui Y. Metabolic Control of Germline Formation and Different</w:t>
      </w:r>
      <w:r>
        <w:rPr>
          <w:rFonts w:ascii="Book Antiqua" w:hAnsi="Book Antiqua"/>
        </w:rPr>
        <w:t xml:space="preserve">iation in Mammals. </w:t>
      </w:r>
      <w:r>
        <w:rPr>
          <w:rFonts w:ascii="Book Antiqua" w:hAnsi="Book Antiqua"/>
          <w:i/>
          <w:iCs/>
        </w:rPr>
        <w:t>Sex Dev</w:t>
      </w:r>
      <w:r>
        <w:rPr>
          <w:rFonts w:ascii="Book Antiqua" w:hAnsi="Book Antiqua"/>
        </w:rPr>
        <w:t xml:space="preserve"> 2022: 1-16 [PMID: 35086109 DOI: 10.1159/000520662]</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Xu Y</w:t>
      </w:r>
      <w:r>
        <w:rPr>
          <w:rFonts w:ascii="Book Antiqua" w:hAnsi="Book Antiqua"/>
        </w:rPr>
        <w:t xml:space="preserve">, Xie J. Etomoxir regulates the differentiation of male germ cells by specifically reducing H3K27ac level. </w:t>
      </w:r>
      <w:r>
        <w:rPr>
          <w:rFonts w:ascii="Book Antiqua" w:hAnsi="Book Antiqua"/>
          <w:i/>
          <w:iCs/>
        </w:rPr>
        <w:t>BMC Dev Biol</w:t>
      </w:r>
      <w:r>
        <w:rPr>
          <w:rFonts w:ascii="Book Antiqua" w:hAnsi="Book Antiqua"/>
        </w:rPr>
        <w:t xml:space="preserve"> 2021; </w:t>
      </w:r>
      <w:r>
        <w:rPr>
          <w:rFonts w:ascii="Book Antiqua" w:hAnsi="Book Antiqua"/>
          <w:b/>
          <w:bCs/>
        </w:rPr>
        <w:t>21</w:t>
      </w:r>
      <w:r>
        <w:rPr>
          <w:rFonts w:ascii="Book Antiqua" w:hAnsi="Book Antiqua"/>
        </w:rPr>
        <w:t xml:space="preserve">: 5 [PMID: 33517883 DOI: </w:t>
      </w:r>
      <w:r>
        <w:rPr>
          <w:rFonts w:ascii="Book Antiqua" w:hAnsi="Book Antiqua"/>
        </w:rPr>
        <w:t>10.1186/s12861-020-00237-x]</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Liu K</w:t>
      </w:r>
      <w:r>
        <w:rPr>
          <w:rFonts w:ascii="Book Antiqua" w:hAnsi="Book Antiqua"/>
        </w:rPr>
        <w:t xml:space="preserve">, Cao J, Shi X, Wang L, Zhao T. Cellular metabolism and homeostasis in pluripotency regulation. </w:t>
      </w:r>
      <w:r>
        <w:rPr>
          <w:rFonts w:ascii="Book Antiqua" w:hAnsi="Book Antiqua"/>
          <w:i/>
          <w:iCs/>
        </w:rPr>
        <w:t>Protein Cell</w:t>
      </w:r>
      <w:r>
        <w:rPr>
          <w:rFonts w:ascii="Book Antiqua" w:hAnsi="Book Antiqua"/>
        </w:rPr>
        <w:t xml:space="preserve"> 2020; </w:t>
      </w:r>
      <w:r>
        <w:rPr>
          <w:rFonts w:ascii="Book Antiqua" w:hAnsi="Book Antiqua"/>
          <w:b/>
          <w:bCs/>
        </w:rPr>
        <w:t>11</w:t>
      </w:r>
      <w:r>
        <w:rPr>
          <w:rFonts w:ascii="Book Antiqua" w:hAnsi="Book Antiqua"/>
        </w:rPr>
        <w:t>: 630-640 [PMID: 32643102 DOI: 10.1007/s13238-020-00755-1]</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Wang L</w:t>
      </w:r>
      <w:r>
        <w:rPr>
          <w:rFonts w:ascii="Book Antiqua" w:hAnsi="Book Antiqua"/>
        </w:rPr>
        <w:t xml:space="preserve">, Zhang T, Wang L, Cai Y, Zhong X, He X, Hu L, Tian S, Wu M, Hui L, Zhang H, Gao P. Fatty acid synthesis is critical for stem cell pluripotency via promoting mitochondrial fission. </w:t>
      </w:r>
      <w:r>
        <w:rPr>
          <w:rFonts w:ascii="Book Antiqua" w:hAnsi="Book Antiqua"/>
          <w:i/>
          <w:iCs/>
        </w:rPr>
        <w:t>EMBO J</w:t>
      </w:r>
      <w:r>
        <w:rPr>
          <w:rFonts w:ascii="Book Antiqua" w:hAnsi="Book Antiqua"/>
        </w:rPr>
        <w:t xml:space="preserve"> 2017; </w:t>
      </w:r>
      <w:r>
        <w:rPr>
          <w:rFonts w:ascii="Book Antiqua" w:hAnsi="Book Antiqua"/>
          <w:b/>
          <w:bCs/>
        </w:rPr>
        <w:t>36</w:t>
      </w:r>
      <w:r>
        <w:rPr>
          <w:rFonts w:ascii="Book Antiqua" w:hAnsi="Book Antiqua"/>
        </w:rPr>
        <w:t>: 1330-1347 [PMID: 28377463 DOI: 10.15252/embj.201695417]</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28</w:t>
      </w:r>
      <w:r>
        <w:rPr>
          <w:rFonts w:ascii="Book Antiqua" w:hAnsi="Book Antiqua"/>
        </w:rPr>
        <w:t xml:space="preserve"> </w:t>
      </w:r>
      <w:r>
        <w:rPr>
          <w:rFonts w:ascii="Book Antiqua" w:hAnsi="Book Antiqua"/>
          <w:b/>
          <w:bCs/>
        </w:rPr>
        <w:t>Smith RJ</w:t>
      </w:r>
      <w:r>
        <w:rPr>
          <w:rFonts w:ascii="Book Antiqua" w:hAnsi="Book Antiqua"/>
        </w:rPr>
        <w:t xml:space="preserve">, Wilmore DW. Glutamine nutrition and requirements. </w:t>
      </w:r>
      <w:r>
        <w:rPr>
          <w:rFonts w:ascii="Book Antiqua" w:hAnsi="Book Antiqua"/>
          <w:i/>
          <w:iCs/>
        </w:rPr>
        <w:t>JPEN J Parenter Enteral Nutr</w:t>
      </w:r>
      <w:r>
        <w:rPr>
          <w:rFonts w:ascii="Book Antiqua" w:hAnsi="Book Antiqua"/>
        </w:rPr>
        <w:t xml:space="preserve"> 1990; </w:t>
      </w:r>
      <w:r>
        <w:rPr>
          <w:rFonts w:ascii="Book Antiqua" w:hAnsi="Book Antiqua"/>
          <w:b/>
          <w:bCs/>
        </w:rPr>
        <w:t>14</w:t>
      </w:r>
      <w:r>
        <w:rPr>
          <w:rFonts w:ascii="Book Antiqua" w:hAnsi="Book Antiqua"/>
        </w:rPr>
        <w:t>: 94S-99S [PMID: 2119461 DOI: 10.1177/014860719001400412]</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29 </w:t>
      </w:r>
      <w:r>
        <w:rPr>
          <w:rFonts w:ascii="Book Antiqua" w:hAnsi="Book Antiqua"/>
          <w:b/>
          <w:bCs/>
        </w:rPr>
        <w:t>Curi R</w:t>
      </w:r>
      <w:r>
        <w:rPr>
          <w:rFonts w:ascii="Book Antiqua" w:hAnsi="Book Antiqua"/>
        </w:rPr>
        <w:t>, Newsholme P, Procopio J, Lagranha C, Gorjão R, Pithon-Curi TC. Glutamine, gene expression</w:t>
      </w:r>
      <w:r>
        <w:rPr>
          <w:rFonts w:ascii="Book Antiqua" w:hAnsi="Book Antiqua"/>
        </w:rPr>
        <w:t xml:space="preserve">, and cell function. </w:t>
      </w:r>
      <w:r>
        <w:rPr>
          <w:rFonts w:ascii="Book Antiqua" w:hAnsi="Book Antiqua"/>
          <w:i/>
          <w:iCs/>
        </w:rPr>
        <w:t>Front Biosci</w:t>
      </w:r>
      <w:r>
        <w:rPr>
          <w:rFonts w:ascii="Book Antiqua" w:hAnsi="Book Antiqua"/>
        </w:rPr>
        <w:t xml:space="preserve"> 2007; </w:t>
      </w:r>
      <w:r>
        <w:rPr>
          <w:rFonts w:ascii="Book Antiqua" w:hAnsi="Book Antiqua"/>
          <w:b/>
          <w:bCs/>
        </w:rPr>
        <w:t>12</w:t>
      </w:r>
      <w:r>
        <w:rPr>
          <w:rFonts w:ascii="Book Antiqua" w:hAnsi="Book Antiqua"/>
        </w:rPr>
        <w:t>: 344-357 [PMID: 17127303 DOI: 10.2741/2068]</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Baksh SC</w:t>
      </w:r>
      <w:r>
        <w:rPr>
          <w:rFonts w:ascii="Book Antiqua" w:hAnsi="Book Antiqua"/>
        </w:rPr>
        <w:t xml:space="preserve">, Finley LWS. Metabolic Coordination of Cell Fate by α-Ketoglutarate-Dependent Dioxygenases. </w:t>
      </w:r>
      <w:r>
        <w:rPr>
          <w:rFonts w:ascii="Book Antiqua" w:hAnsi="Book Antiqua"/>
          <w:i/>
          <w:iCs/>
        </w:rPr>
        <w:t>Trends Cell Biol</w:t>
      </w:r>
      <w:r>
        <w:rPr>
          <w:rFonts w:ascii="Book Antiqua" w:hAnsi="Book Antiqua"/>
        </w:rPr>
        <w:t xml:space="preserve"> 2021; </w:t>
      </w:r>
      <w:r>
        <w:rPr>
          <w:rFonts w:ascii="Book Antiqua" w:hAnsi="Book Antiqua"/>
          <w:b/>
          <w:bCs/>
        </w:rPr>
        <w:t>31</w:t>
      </w:r>
      <w:r>
        <w:rPr>
          <w:rFonts w:ascii="Book Antiqua" w:hAnsi="Book Antiqua"/>
        </w:rPr>
        <w:t>: 24-36 [PMID: 33092942 DOI: 10.1016/j.t</w:t>
      </w:r>
      <w:r>
        <w:rPr>
          <w:rFonts w:ascii="Book Antiqua" w:hAnsi="Book Antiqua"/>
        </w:rPr>
        <w:t>cb.2020.09.010]</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Zhang Z</w:t>
      </w:r>
      <w:r>
        <w:rPr>
          <w:rFonts w:ascii="Book Antiqua" w:hAnsi="Book Antiqua"/>
        </w:rPr>
        <w:t xml:space="preserve">, He C, Zhang L, Zhu T, Lv D, Li G, Song Y, Wang J, Wu H, Ji P, Liu G. Alpha-ketoglutarate affects murine embryo development through metabolic and epigenetic modulations. </w:t>
      </w:r>
      <w:r>
        <w:rPr>
          <w:rFonts w:ascii="Book Antiqua" w:hAnsi="Book Antiqua"/>
          <w:i/>
          <w:iCs/>
        </w:rPr>
        <w:t>Reproduction</w:t>
      </w:r>
      <w:r>
        <w:rPr>
          <w:rFonts w:ascii="Book Antiqua" w:hAnsi="Book Antiqua"/>
        </w:rPr>
        <w:t xml:space="preserve"> 2019; </w:t>
      </w:r>
      <w:r>
        <w:rPr>
          <w:rFonts w:ascii="Book Antiqua" w:hAnsi="Book Antiqua"/>
          <w:b/>
          <w:bCs/>
        </w:rPr>
        <w:t>158</w:t>
      </w:r>
      <w:r>
        <w:rPr>
          <w:rFonts w:ascii="Book Antiqua" w:hAnsi="Book Antiqua"/>
        </w:rPr>
        <w:t>: 123-133 [PMID: 31158818 DOI: 10.153</w:t>
      </w:r>
      <w:r>
        <w:rPr>
          <w:rFonts w:ascii="Book Antiqua" w:hAnsi="Book Antiqua"/>
        </w:rPr>
        <w:t>0/REP-19-0018]</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TeSlaa T</w:t>
      </w:r>
      <w:r>
        <w:rPr>
          <w:rFonts w:ascii="Book Antiqua" w:hAnsi="Book Antiqua"/>
        </w:rPr>
        <w:t xml:space="preserve">, Chaikovsky AC, Lipchina I, Escobar SL, Hochedlinger K, Huang J, Graeber TG, Braas D, Teitell MA. α-Ketoglutarate Accelerates the Initial Differentiation of Primed Human Pluripotent Stem Cells. </w:t>
      </w:r>
      <w:r>
        <w:rPr>
          <w:rFonts w:ascii="Book Antiqua" w:hAnsi="Book Antiqua"/>
          <w:i/>
          <w:iCs/>
        </w:rPr>
        <w:t>Cell Metab</w:t>
      </w:r>
      <w:r>
        <w:rPr>
          <w:rFonts w:ascii="Book Antiqua" w:hAnsi="Book Antiqua"/>
        </w:rPr>
        <w:t xml:space="preserve"> 2016; </w:t>
      </w:r>
      <w:r>
        <w:rPr>
          <w:rFonts w:ascii="Book Antiqua" w:hAnsi="Book Antiqua"/>
          <w:b/>
          <w:bCs/>
        </w:rPr>
        <w:t>24</w:t>
      </w:r>
      <w:r>
        <w:rPr>
          <w:rFonts w:ascii="Book Antiqua" w:hAnsi="Book Antiqua"/>
        </w:rPr>
        <w:t>: 485-493 [PMID:</w:t>
      </w:r>
      <w:r>
        <w:rPr>
          <w:rFonts w:ascii="Book Antiqua" w:hAnsi="Book Antiqua"/>
        </w:rPr>
        <w:t xml:space="preserve"> 27476976 DOI: 10.1016/j.cmet.2016.07.002]</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33 </w:t>
      </w:r>
      <w:r>
        <w:rPr>
          <w:rFonts w:ascii="Book Antiqua" w:hAnsi="Book Antiqua"/>
          <w:b/>
          <w:bCs/>
        </w:rPr>
        <w:t>Tischler J</w:t>
      </w:r>
      <w:r>
        <w:rPr>
          <w:rFonts w:ascii="Book Antiqua" w:hAnsi="Book Antiqua"/>
        </w:rPr>
        <w:t xml:space="preserve">, Gruhn WH, Reid J, Allgeyer E, Buettner F, Marr C, Theis F, Simons BD, Wernisch L, Surani MA. Metabolic regulation of pluripotency and germ cell fate through α-ketoglutarate. </w:t>
      </w:r>
      <w:r>
        <w:rPr>
          <w:rFonts w:ascii="Book Antiqua" w:hAnsi="Book Antiqua"/>
          <w:i/>
          <w:iCs/>
        </w:rPr>
        <w:t>EMBO J</w:t>
      </w:r>
      <w:r>
        <w:rPr>
          <w:rFonts w:ascii="Book Antiqua" w:hAnsi="Book Antiqua"/>
        </w:rPr>
        <w:t xml:space="preserve"> 2019; </w:t>
      </w:r>
      <w:r>
        <w:rPr>
          <w:rFonts w:ascii="Book Antiqua" w:hAnsi="Book Antiqua"/>
          <w:b/>
          <w:bCs/>
        </w:rPr>
        <w:t>38</w:t>
      </w:r>
      <w:r>
        <w:rPr>
          <w:rFonts w:ascii="Book Antiqua" w:hAnsi="Book Antiqua"/>
        </w:rPr>
        <w:t xml:space="preserve"> [PMID: 3</w:t>
      </w:r>
      <w:r>
        <w:rPr>
          <w:rFonts w:ascii="Book Antiqua" w:hAnsi="Book Antiqua"/>
        </w:rPr>
        <w:t>0257965 DOI: 10.15252/embj.201899518]</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bCs/>
        </w:rPr>
        <w:t>Xing M</w:t>
      </w:r>
      <w:r>
        <w:rPr>
          <w:rFonts w:ascii="Book Antiqua" w:hAnsi="Book Antiqua"/>
        </w:rPr>
        <w:t xml:space="preserve">, Wang N, Zeng H, Zhang J. α-ketoglutarate promotes the specialization of primordial germ cell-like cells through regulating epigenetic reprogramming. </w:t>
      </w:r>
      <w:r>
        <w:rPr>
          <w:rFonts w:ascii="Book Antiqua" w:hAnsi="Book Antiqua"/>
          <w:i/>
          <w:iCs/>
        </w:rPr>
        <w:t>J Biomed Res</w:t>
      </w:r>
      <w:r>
        <w:rPr>
          <w:rFonts w:ascii="Book Antiqua" w:hAnsi="Book Antiqua"/>
        </w:rPr>
        <w:t xml:space="preserve"> 2020; </w:t>
      </w:r>
      <w:r>
        <w:rPr>
          <w:rFonts w:ascii="Book Antiqua" w:hAnsi="Book Antiqua"/>
          <w:b/>
          <w:bCs/>
        </w:rPr>
        <w:t>35</w:t>
      </w:r>
      <w:r>
        <w:rPr>
          <w:rFonts w:ascii="Book Antiqua" w:hAnsi="Book Antiqua"/>
        </w:rPr>
        <w:t>: 36-46 [PMID: 32994387 DOI: 10.7555/</w:t>
      </w:r>
      <w:r>
        <w:rPr>
          <w:rFonts w:ascii="Book Antiqua" w:hAnsi="Book Antiqua"/>
        </w:rPr>
        <w:t>JBR.34.20190160]</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35 </w:t>
      </w:r>
      <w:r>
        <w:rPr>
          <w:rFonts w:ascii="Book Antiqua" w:hAnsi="Book Antiqua"/>
          <w:b/>
          <w:bCs/>
        </w:rPr>
        <w:t>Zylicz JJ</w:t>
      </w:r>
      <w:r>
        <w:rPr>
          <w:rFonts w:ascii="Book Antiqua" w:hAnsi="Book Antiqua"/>
        </w:rPr>
        <w:t xml:space="preserve">, Dietmann S, Günesdogan U, Hackett JA, Cougot D, Lee C, Surani MA. Chromatin dynamics and the role of G9a in gene regulation and enhancer silencing during early mouse development. </w:t>
      </w:r>
      <w:r>
        <w:rPr>
          <w:rFonts w:ascii="Book Antiqua" w:hAnsi="Book Antiqua"/>
          <w:i/>
          <w:iCs/>
        </w:rPr>
        <w:t>Elife</w:t>
      </w:r>
      <w:r>
        <w:rPr>
          <w:rFonts w:ascii="Book Antiqua" w:hAnsi="Book Antiqua"/>
        </w:rPr>
        <w:t xml:space="preserve"> 2015; </w:t>
      </w:r>
      <w:r>
        <w:rPr>
          <w:rFonts w:ascii="Book Antiqua" w:hAnsi="Book Antiqua"/>
          <w:b/>
          <w:bCs/>
        </w:rPr>
        <w:t>4</w:t>
      </w:r>
      <w:r>
        <w:rPr>
          <w:rFonts w:ascii="Book Antiqua" w:hAnsi="Book Antiqua"/>
        </w:rPr>
        <w:t xml:space="preserve"> [PMID: 26551560 DOI: 10.7554/eLi</w:t>
      </w:r>
      <w:r>
        <w:rPr>
          <w:rFonts w:ascii="Book Antiqua" w:hAnsi="Book Antiqua"/>
        </w:rPr>
        <w:t>fe.09571]</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Okabe K</w:t>
      </w:r>
      <w:r>
        <w:rPr>
          <w:rFonts w:ascii="Book Antiqua" w:hAnsi="Book Antiqua"/>
        </w:rPr>
        <w:t xml:space="preserve">, Nawaz A, Nishida Y, Yaku K, Usui I, Tobe K, Nakagawa T. NAD+ Metabolism Regulates Preadipocyte Differentiation by Enhancing α-Ketoglutarate-Mediated Histone H3K9 Demethylation at the PPARγ Promoter. </w:t>
      </w:r>
      <w:r>
        <w:rPr>
          <w:rFonts w:ascii="Book Antiqua" w:hAnsi="Book Antiqua"/>
          <w:i/>
          <w:iCs/>
        </w:rPr>
        <w:t>Front Cell Dev Biol</w:t>
      </w:r>
      <w:r>
        <w:rPr>
          <w:rFonts w:ascii="Book Antiqua" w:hAnsi="Book Antiqua"/>
        </w:rPr>
        <w:t xml:space="preserve"> 2020; </w:t>
      </w:r>
      <w:r>
        <w:rPr>
          <w:rFonts w:ascii="Book Antiqua" w:hAnsi="Book Antiqua"/>
          <w:b/>
          <w:bCs/>
        </w:rPr>
        <w:t>8</w:t>
      </w:r>
      <w:r>
        <w:rPr>
          <w:rFonts w:ascii="Book Antiqua" w:hAnsi="Book Antiqua"/>
        </w:rPr>
        <w:t>: 586179</w:t>
      </w:r>
      <w:r>
        <w:rPr>
          <w:rFonts w:ascii="Book Antiqua" w:hAnsi="Book Antiqua"/>
        </w:rPr>
        <w:t xml:space="preserve"> [PMID: 33330464 DOI: 10.3389/fcell.2020.586179]</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37 </w:t>
      </w:r>
      <w:r>
        <w:rPr>
          <w:rFonts w:ascii="Book Antiqua" w:hAnsi="Book Antiqua"/>
          <w:b/>
          <w:bCs/>
        </w:rPr>
        <w:t>Yamaguchi S</w:t>
      </w:r>
      <w:r>
        <w:rPr>
          <w:rFonts w:ascii="Book Antiqua" w:hAnsi="Book Antiqua"/>
        </w:rPr>
        <w:t xml:space="preserve">, Hong K, Liu R, Shen L, Inoue A, Diep D, Zhang K, Zhang Y. Tet1 controls meiosis by regulating meiotic gene expression. </w:t>
      </w:r>
      <w:r>
        <w:rPr>
          <w:rFonts w:ascii="Book Antiqua" w:hAnsi="Book Antiqua"/>
          <w:i/>
          <w:iCs/>
        </w:rPr>
        <w:t>Nature</w:t>
      </w:r>
      <w:r>
        <w:rPr>
          <w:rFonts w:ascii="Book Antiqua" w:hAnsi="Book Antiqua"/>
        </w:rPr>
        <w:t xml:space="preserve"> 2012; </w:t>
      </w:r>
      <w:r>
        <w:rPr>
          <w:rFonts w:ascii="Book Antiqua" w:hAnsi="Book Antiqua"/>
          <w:b/>
          <w:bCs/>
        </w:rPr>
        <w:t>492</w:t>
      </w:r>
      <w:r>
        <w:rPr>
          <w:rFonts w:ascii="Book Antiqua" w:hAnsi="Book Antiqua"/>
        </w:rPr>
        <w:t>: 443-447 [PMID: 23151479 DOI: 10.1038/nature11709]</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38 </w:t>
      </w:r>
      <w:r>
        <w:rPr>
          <w:rFonts w:ascii="Book Antiqua" w:hAnsi="Book Antiqua"/>
          <w:b/>
          <w:bCs/>
        </w:rPr>
        <w:t>E</w:t>
      </w:r>
      <w:r>
        <w:rPr>
          <w:rFonts w:ascii="Book Antiqua" w:hAnsi="Book Antiqua"/>
          <w:b/>
          <w:bCs/>
        </w:rPr>
        <w:t>l-Habr EA</w:t>
      </w:r>
      <w:r>
        <w:rPr>
          <w:rFonts w:ascii="Book Antiqua" w:hAnsi="Book Antiqua"/>
        </w:rPr>
        <w:t>, Dubois LG, Burel-Vandenbos F, Bogeas A, Lipecka J, Turchi L, Lejeune FX, Coehlo PL, Yamaki T, Wittmann BM, Fareh M, Mahfoudhi E, Janin M, Narayanan A, Morvan-Dubois G, Schmitt C, Verreault M, Oliver L, Sharif A, Pallud J, Devaux B, Puget S, Kork</w:t>
      </w:r>
      <w:r>
        <w:rPr>
          <w:rFonts w:ascii="Book Antiqua" w:hAnsi="Book Antiqua"/>
        </w:rPr>
        <w:t xml:space="preserve">olopoulou P, Varlet P, Ottolenghi C, Plo I, Moura-Neto V, Virolle T, Chneiweiss H, Junier MP. A driver role for GABA metabolism in controlling stem and proliferative cell state through GHB production in glioma. </w:t>
      </w:r>
      <w:r>
        <w:rPr>
          <w:rFonts w:ascii="Book Antiqua" w:hAnsi="Book Antiqua"/>
          <w:i/>
          <w:iCs/>
        </w:rPr>
        <w:t>Acta Neuropathol</w:t>
      </w:r>
      <w:r>
        <w:rPr>
          <w:rFonts w:ascii="Book Antiqua" w:hAnsi="Book Antiqua"/>
        </w:rPr>
        <w:t xml:space="preserve"> 2017; </w:t>
      </w:r>
      <w:r>
        <w:rPr>
          <w:rFonts w:ascii="Book Antiqua" w:hAnsi="Book Antiqua"/>
          <w:b/>
          <w:bCs/>
        </w:rPr>
        <w:t>133</w:t>
      </w:r>
      <w:r>
        <w:rPr>
          <w:rFonts w:ascii="Book Antiqua" w:hAnsi="Book Antiqua"/>
        </w:rPr>
        <w:t>: 645-660 [PMID: 28</w:t>
      </w:r>
      <w:r>
        <w:rPr>
          <w:rFonts w:ascii="Book Antiqua" w:hAnsi="Book Antiqua"/>
        </w:rPr>
        <w:t>032215 DOI: 10.1007/s00401-016-1659-5]</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39 </w:t>
      </w:r>
      <w:r>
        <w:rPr>
          <w:rFonts w:ascii="Book Antiqua" w:hAnsi="Book Antiqua"/>
          <w:b/>
          <w:bCs/>
        </w:rPr>
        <w:t>Vardhana SA</w:t>
      </w:r>
      <w:r>
        <w:rPr>
          <w:rFonts w:ascii="Book Antiqua" w:hAnsi="Book Antiqua"/>
        </w:rPr>
        <w:t xml:space="preserve">, Arnold PK, Rosen BP, Chen Y, Carey BW, Huangfu D, Carmona Fontaine C, Thompson CB, Finley LWS. Glutamine independence is a selectable feature of pluripotent stem cells. </w:t>
      </w:r>
      <w:r>
        <w:rPr>
          <w:rFonts w:ascii="Book Antiqua" w:hAnsi="Book Antiqua"/>
          <w:i/>
          <w:iCs/>
        </w:rPr>
        <w:t>Nat Metab</w:t>
      </w:r>
      <w:r>
        <w:rPr>
          <w:rFonts w:ascii="Book Antiqua" w:hAnsi="Book Antiqua"/>
        </w:rPr>
        <w:t xml:space="preserve"> 2019; </w:t>
      </w:r>
      <w:r>
        <w:rPr>
          <w:rFonts w:ascii="Book Antiqua" w:hAnsi="Book Antiqua"/>
          <w:b/>
          <w:bCs/>
        </w:rPr>
        <w:t>1</w:t>
      </w:r>
      <w:r>
        <w:rPr>
          <w:rFonts w:ascii="Book Antiqua" w:hAnsi="Book Antiqua"/>
        </w:rPr>
        <w:t>: 676-687 [PMID</w:t>
      </w:r>
      <w:r>
        <w:rPr>
          <w:rFonts w:ascii="Book Antiqua" w:hAnsi="Book Antiqua"/>
        </w:rPr>
        <w:t>: 31511848 DOI: 10.1038/s42255-019-0082-3]</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40 </w:t>
      </w:r>
      <w:r>
        <w:rPr>
          <w:rFonts w:ascii="Book Antiqua" w:hAnsi="Book Antiqua"/>
          <w:b/>
          <w:bCs/>
        </w:rPr>
        <w:t>Klysz D</w:t>
      </w:r>
      <w:r>
        <w:rPr>
          <w:rFonts w:ascii="Book Antiqua" w:hAnsi="Book Antiqua"/>
        </w:rPr>
        <w:t>, Tai X, Robert PA, Craveiro M, Cretenet G, Oburoglu L, Mongellaz C, Floess S, Fritz V, Matias MI, Yong C, Surh N, Marie JC, Huehn J, Zimmermann V, Kinet S, Dardalhon V, Taylor N. Glutamine-dependent α-k</w:t>
      </w:r>
      <w:r>
        <w:rPr>
          <w:rFonts w:ascii="Book Antiqua" w:hAnsi="Book Antiqua"/>
        </w:rPr>
        <w:t xml:space="preserve">etoglutarate production regulates the balance between T helper 1 cell and regulatory T cell generation. </w:t>
      </w:r>
      <w:r>
        <w:rPr>
          <w:rFonts w:ascii="Book Antiqua" w:hAnsi="Book Antiqua"/>
          <w:i/>
          <w:iCs/>
        </w:rPr>
        <w:t>Sci Signal</w:t>
      </w:r>
      <w:r>
        <w:rPr>
          <w:rFonts w:ascii="Book Antiqua" w:hAnsi="Book Antiqua"/>
        </w:rPr>
        <w:t xml:space="preserve"> 2015; </w:t>
      </w:r>
      <w:r>
        <w:rPr>
          <w:rFonts w:ascii="Book Antiqua" w:hAnsi="Book Antiqua"/>
          <w:b/>
          <w:bCs/>
        </w:rPr>
        <w:t>8</w:t>
      </w:r>
      <w:r>
        <w:rPr>
          <w:rFonts w:ascii="Book Antiqua" w:hAnsi="Book Antiqua"/>
        </w:rPr>
        <w:t>: ra97 [PMID: 26420908 DOI: 10.1126/scisignal.aab2610]</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41 </w:t>
      </w:r>
      <w:r>
        <w:rPr>
          <w:rFonts w:ascii="Book Antiqua" w:hAnsi="Book Antiqua"/>
          <w:b/>
          <w:bCs/>
        </w:rPr>
        <w:t>Singh K</w:t>
      </w:r>
      <w:r>
        <w:rPr>
          <w:rFonts w:ascii="Book Antiqua" w:hAnsi="Book Antiqua"/>
        </w:rPr>
        <w:t>, Krug L, Basu A, Meyer P, Treiber N, Vander Beken S, Wlaschek M, Koc</w:t>
      </w:r>
      <w:r>
        <w:rPr>
          <w:rFonts w:ascii="Book Antiqua" w:hAnsi="Book Antiqua"/>
        </w:rPr>
        <w:t xml:space="preserve">hanek S, Bloch W, Geiger H, Maity P, Scharffetter-Kochanek K. Alpha-Ketoglutarate Curbs Differentiation and Induces Cell Death in Mesenchymal Stromal Precursors with Mitochondrial Dysfunction. </w:t>
      </w:r>
      <w:r>
        <w:rPr>
          <w:rFonts w:ascii="Book Antiqua" w:hAnsi="Book Antiqua"/>
          <w:i/>
          <w:iCs/>
        </w:rPr>
        <w:t>Stem Cells</w:t>
      </w:r>
      <w:r>
        <w:rPr>
          <w:rFonts w:ascii="Book Antiqua" w:hAnsi="Book Antiqua"/>
        </w:rPr>
        <w:t xml:space="preserve"> 2017; </w:t>
      </w:r>
      <w:r>
        <w:rPr>
          <w:rFonts w:ascii="Book Antiqua" w:hAnsi="Book Antiqua"/>
          <w:b/>
          <w:bCs/>
        </w:rPr>
        <w:t>35</w:t>
      </w:r>
      <w:r>
        <w:rPr>
          <w:rFonts w:ascii="Book Antiqua" w:hAnsi="Book Antiqua"/>
        </w:rPr>
        <w:t>: 1704-1718 [PMID: 28398002 DOI: 10.1002/ste</w:t>
      </w:r>
      <w:r>
        <w:rPr>
          <w:rFonts w:ascii="Book Antiqua" w:hAnsi="Book Antiqua"/>
        </w:rPr>
        <w:t>m.2629]</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42 </w:t>
      </w:r>
      <w:r>
        <w:rPr>
          <w:rFonts w:ascii="Book Antiqua" w:hAnsi="Book Antiqua"/>
          <w:b/>
          <w:bCs/>
        </w:rPr>
        <w:t>Morris JP 4th</w:t>
      </w:r>
      <w:r>
        <w:rPr>
          <w:rFonts w:ascii="Book Antiqua" w:hAnsi="Book Antiqua"/>
        </w:rPr>
        <w:t xml:space="preserve">, Yashinskie JJ, Koche R, Chandwani R, Tian S, Chen CC, Baslan T, Marinkovic ZS, Sánchez-Rivera FJ, Leach SD, Carmona-Fontaine C, Thompson CB, Finley LWS, Lowe SW. α-Ketoglutarate links p53 to cell fate during tumour suppression. </w:t>
      </w:r>
      <w:r>
        <w:rPr>
          <w:rFonts w:ascii="Book Antiqua" w:hAnsi="Book Antiqua"/>
          <w:i/>
          <w:iCs/>
        </w:rPr>
        <w:t>Na</w:t>
      </w:r>
      <w:r>
        <w:rPr>
          <w:rFonts w:ascii="Book Antiqua" w:hAnsi="Book Antiqua"/>
          <w:i/>
          <w:iCs/>
        </w:rPr>
        <w:t>ture</w:t>
      </w:r>
      <w:r>
        <w:rPr>
          <w:rFonts w:ascii="Book Antiqua" w:hAnsi="Book Antiqua"/>
        </w:rPr>
        <w:t xml:space="preserve"> 2019; </w:t>
      </w:r>
      <w:r>
        <w:rPr>
          <w:rFonts w:ascii="Book Antiqua" w:hAnsi="Book Antiqua"/>
          <w:b/>
          <w:bCs/>
        </w:rPr>
        <w:t>573</w:t>
      </w:r>
      <w:r>
        <w:rPr>
          <w:rFonts w:ascii="Book Antiqua" w:hAnsi="Book Antiqua"/>
        </w:rPr>
        <w:t>: 595-599 [PMID: 31534224 DOI: 10.1038/s41586-019-1577-5]</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43 </w:t>
      </w:r>
      <w:r>
        <w:rPr>
          <w:rFonts w:ascii="Book Antiqua" w:hAnsi="Book Antiqua"/>
          <w:b/>
          <w:bCs/>
        </w:rPr>
        <w:t>Cimmino L</w:t>
      </w:r>
      <w:r>
        <w:rPr>
          <w:rFonts w:ascii="Book Antiqua" w:hAnsi="Book Antiqua"/>
        </w:rPr>
        <w:t>, Dolgalev I, Wang Y, Yoshimi A, Martin GH, Wang J, Ng V, Xia B, Witkowski MT, Mitchell-Flack M, Grillo I, Bakogianni S, Ndiaye-Lobry D, Martín MT, Guillamot M, Banh RS, Xu</w:t>
      </w:r>
      <w:r>
        <w:rPr>
          <w:rFonts w:ascii="Book Antiqua" w:hAnsi="Book Antiqua"/>
        </w:rPr>
        <w:t xml:space="preserve"> M, Figueroa ME, Dickins RA, Abdel-Wahab O, Park CY, Tsirigos A, Neel BG, Aifantis I. Restoration of TET2 Function Blocks Aberrant Self-Renewal and Leukemia Progression. </w:t>
      </w:r>
      <w:r>
        <w:rPr>
          <w:rFonts w:ascii="Book Antiqua" w:hAnsi="Book Antiqua"/>
          <w:i/>
          <w:iCs/>
        </w:rPr>
        <w:t>Cell</w:t>
      </w:r>
      <w:r>
        <w:rPr>
          <w:rFonts w:ascii="Book Antiqua" w:hAnsi="Book Antiqua"/>
        </w:rPr>
        <w:t xml:space="preserve"> 2017; </w:t>
      </w:r>
      <w:r>
        <w:rPr>
          <w:rFonts w:ascii="Book Antiqua" w:hAnsi="Book Antiqua"/>
          <w:b/>
          <w:bCs/>
        </w:rPr>
        <w:t>170</w:t>
      </w:r>
      <w:r>
        <w:rPr>
          <w:rFonts w:ascii="Book Antiqua" w:hAnsi="Book Antiqua"/>
        </w:rPr>
        <w:t>: 1079-1095.e20 [PMID: 28823558 DOI: 10.1016/j.cell.2017.07.032]</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44 </w:t>
      </w:r>
      <w:r>
        <w:rPr>
          <w:rFonts w:ascii="Book Antiqua" w:hAnsi="Book Antiqua"/>
          <w:b/>
          <w:bCs/>
        </w:rPr>
        <w:t xml:space="preserve">Liu </w:t>
      </w:r>
      <w:r>
        <w:rPr>
          <w:rFonts w:ascii="Book Antiqua" w:hAnsi="Book Antiqua"/>
          <w:b/>
          <w:bCs/>
        </w:rPr>
        <w:t>G</w:t>
      </w:r>
      <w:r>
        <w:rPr>
          <w:rFonts w:ascii="Book Antiqua" w:hAnsi="Book Antiqua"/>
        </w:rPr>
        <w:t xml:space="preserve">, Yang W, Zhang X, Peng T, Zou Y, Zhang T, Wang H, Liu X, Tao LZ. Cystathionine beta-lyase is crucial for embryo patterning and the maintenance of root stem cell niche in Arabidopsis. </w:t>
      </w:r>
      <w:r>
        <w:rPr>
          <w:rFonts w:ascii="Book Antiqua" w:hAnsi="Book Antiqua"/>
          <w:i/>
          <w:iCs/>
        </w:rPr>
        <w:t>Plant J</w:t>
      </w:r>
      <w:r>
        <w:rPr>
          <w:rFonts w:ascii="Book Antiqua" w:hAnsi="Book Antiqua"/>
        </w:rPr>
        <w:t xml:space="preserve"> 2019; </w:t>
      </w:r>
      <w:r>
        <w:rPr>
          <w:rFonts w:ascii="Book Antiqua" w:hAnsi="Book Antiqua"/>
          <w:b/>
          <w:bCs/>
        </w:rPr>
        <w:t>99</w:t>
      </w:r>
      <w:r>
        <w:rPr>
          <w:rFonts w:ascii="Book Antiqua" w:hAnsi="Book Antiqua"/>
        </w:rPr>
        <w:t>: 536-555 [PMID: 31002461 DOI: 10.1111/tpj.14343]</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45 </w:t>
      </w:r>
      <w:r>
        <w:rPr>
          <w:rFonts w:ascii="Book Antiqua" w:hAnsi="Book Antiqua"/>
          <w:b/>
          <w:bCs/>
        </w:rPr>
        <w:t>Va</w:t>
      </w:r>
      <w:r>
        <w:rPr>
          <w:rFonts w:ascii="Book Antiqua" w:hAnsi="Book Antiqua"/>
          <w:b/>
          <w:bCs/>
        </w:rPr>
        <w:t>n Winkle LJ</w:t>
      </w:r>
      <w:r>
        <w:rPr>
          <w:rFonts w:ascii="Book Antiqua" w:hAnsi="Book Antiqua"/>
        </w:rPr>
        <w:t xml:space="preserve">, Ryznar R. One-Carbon Metabolism Regulates Embryonic Stem Cell Fate Through Epigenetic DNA and Histone Modifications: Implications for Transgenerational Metabolic Disorders in Adults. </w:t>
      </w:r>
      <w:r>
        <w:rPr>
          <w:rFonts w:ascii="Book Antiqua" w:hAnsi="Book Antiqua"/>
          <w:i/>
          <w:iCs/>
        </w:rPr>
        <w:t>Front Cell Dev Biol</w:t>
      </w:r>
      <w:r>
        <w:rPr>
          <w:rFonts w:ascii="Book Antiqua" w:hAnsi="Book Antiqua"/>
        </w:rPr>
        <w:t xml:space="preserve"> 2019; </w:t>
      </w:r>
      <w:r>
        <w:rPr>
          <w:rFonts w:ascii="Book Antiqua" w:hAnsi="Book Antiqua"/>
          <w:b/>
          <w:bCs/>
        </w:rPr>
        <w:t>7</w:t>
      </w:r>
      <w:r>
        <w:rPr>
          <w:rFonts w:ascii="Book Antiqua" w:hAnsi="Book Antiqua"/>
        </w:rPr>
        <w:t>: 300 [PMID: 31824950 DOI: 10.338</w:t>
      </w:r>
      <w:r>
        <w:rPr>
          <w:rFonts w:ascii="Book Antiqua" w:hAnsi="Book Antiqua"/>
        </w:rPr>
        <w:t>9/fcell.2019.00300]</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46 </w:t>
      </w:r>
      <w:r>
        <w:rPr>
          <w:rFonts w:ascii="Book Antiqua" w:hAnsi="Book Antiqua"/>
          <w:b/>
          <w:bCs/>
        </w:rPr>
        <w:t>Kosti A</w:t>
      </w:r>
      <w:r>
        <w:rPr>
          <w:rFonts w:ascii="Book Antiqua" w:hAnsi="Book Antiqua"/>
        </w:rPr>
        <w:t>, de Araujo PR, Li WQ, Guardia GDA, Chiou J, Yi C, Ray D, Meliso F, Li YM, Delambre T, Qiao M, Burns SS, Lorbeer FK, Georgi F, Flosbach M, Klinnert S, Jenseit A, Lei X, Sandoval CR, Ha K, Zheng H, Pandey R, Gruslova A, Gupta Y</w:t>
      </w:r>
      <w:r>
        <w:rPr>
          <w:rFonts w:ascii="Book Antiqua" w:hAnsi="Book Antiqua"/>
        </w:rPr>
        <w:t xml:space="preserve">K, Brenner A, Kokovay E, Hughes TR, Morris QD, Galante PAF, Tiziani S, Penalva LOF. The RNA-binding protein SERBP1 functions as a novel oncogenic factor in glioblastoma by bridging cancer metabolism and epigenetic regulation. </w:t>
      </w:r>
      <w:r>
        <w:rPr>
          <w:rFonts w:ascii="Book Antiqua" w:hAnsi="Book Antiqua"/>
          <w:i/>
          <w:iCs/>
        </w:rPr>
        <w:t>Genome Biol</w:t>
      </w:r>
      <w:r>
        <w:rPr>
          <w:rFonts w:ascii="Book Antiqua" w:hAnsi="Book Antiqua"/>
        </w:rPr>
        <w:t xml:space="preserve"> 2020; </w:t>
      </w:r>
      <w:r>
        <w:rPr>
          <w:rFonts w:ascii="Book Antiqua" w:hAnsi="Book Antiqua"/>
          <w:b/>
          <w:bCs/>
        </w:rPr>
        <w:t>21</w:t>
      </w:r>
      <w:r>
        <w:rPr>
          <w:rFonts w:ascii="Book Antiqua" w:hAnsi="Book Antiqua"/>
        </w:rPr>
        <w:t>: 195 [PMI</w:t>
      </w:r>
      <w:r>
        <w:rPr>
          <w:rFonts w:ascii="Book Antiqua" w:hAnsi="Book Antiqua"/>
        </w:rPr>
        <w:t>D: 32762776 DOI: 10.1186/s13059-020-02115-y]</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47 </w:t>
      </w:r>
      <w:r>
        <w:rPr>
          <w:rFonts w:ascii="Book Antiqua" w:hAnsi="Book Antiqua"/>
          <w:b/>
          <w:bCs/>
        </w:rPr>
        <w:t>Tang S</w:t>
      </w:r>
      <w:r>
        <w:rPr>
          <w:rFonts w:ascii="Book Antiqua" w:hAnsi="Book Antiqua"/>
        </w:rPr>
        <w:t>, Fang Y, Huang G, Xu X, Padilla-Banks E, Fan W, Xu Q, Sanderson SM, Foley JF, Dowdy S, McBurney MW, Fargo DC, Williams CJ, Locasale JW, Guan Z, Li X. Methionine metabolism is essential for SIRT1-regula</w:t>
      </w:r>
      <w:r>
        <w:rPr>
          <w:rFonts w:ascii="Book Antiqua" w:hAnsi="Book Antiqua"/>
        </w:rPr>
        <w:t xml:space="preserve">ted mouse embryonic stem cell maintenance and embryonic development. </w:t>
      </w:r>
      <w:r>
        <w:rPr>
          <w:rFonts w:ascii="Book Antiqua" w:hAnsi="Book Antiqua"/>
          <w:i/>
          <w:iCs/>
        </w:rPr>
        <w:t>EMBO J</w:t>
      </w:r>
      <w:r>
        <w:rPr>
          <w:rFonts w:ascii="Book Antiqua" w:hAnsi="Book Antiqua"/>
        </w:rPr>
        <w:t xml:space="preserve"> 2017; </w:t>
      </w:r>
      <w:r>
        <w:rPr>
          <w:rFonts w:ascii="Book Antiqua" w:hAnsi="Book Antiqua"/>
          <w:b/>
          <w:bCs/>
        </w:rPr>
        <w:t>36</w:t>
      </w:r>
      <w:r>
        <w:rPr>
          <w:rFonts w:ascii="Book Antiqua" w:hAnsi="Book Antiqua"/>
        </w:rPr>
        <w:t>: 3175-3193 [PMID: 29021282 DOI: 10.15252/embj.201796708]</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48 </w:t>
      </w:r>
      <w:r>
        <w:rPr>
          <w:rFonts w:ascii="Book Antiqua" w:hAnsi="Book Antiqua"/>
          <w:b/>
          <w:bCs/>
        </w:rPr>
        <w:t>Zhang M</w:t>
      </w:r>
      <w:r>
        <w:rPr>
          <w:rFonts w:ascii="Book Antiqua" w:hAnsi="Book Antiqua"/>
        </w:rPr>
        <w:t xml:space="preserve">, Iwata S, Hajime M, Ohkubo N, Todoroki Y, Miyata H, Ueno M, Hao H, Zhang T, Fan J, Nakayamada S, Yamagata K, Tanaka Y. Methionine Commits Cells to Differentiate Into Plasmablasts Through Epigenetic Regulation of BTB and CNC </w:t>
      </w:r>
      <w:r>
        <w:rPr>
          <w:rFonts w:ascii="Book Antiqua" w:hAnsi="Book Antiqua"/>
        </w:rPr>
        <w:lastRenderedPageBreak/>
        <w:t>Homolog 2 by the Methyltransfer</w:t>
      </w:r>
      <w:r>
        <w:rPr>
          <w:rFonts w:ascii="Book Antiqua" w:hAnsi="Book Antiqua"/>
        </w:rPr>
        <w:t xml:space="preserve">ase EZH2. </w:t>
      </w:r>
      <w:r>
        <w:rPr>
          <w:rFonts w:ascii="Book Antiqua" w:hAnsi="Book Antiqua"/>
          <w:i/>
          <w:iCs/>
        </w:rPr>
        <w:t>Arthritis Rheumatol</w:t>
      </w:r>
      <w:r>
        <w:rPr>
          <w:rFonts w:ascii="Book Antiqua" w:hAnsi="Book Antiqua"/>
        </w:rPr>
        <w:t xml:space="preserve"> 2020; </w:t>
      </w:r>
      <w:r>
        <w:rPr>
          <w:rFonts w:ascii="Book Antiqua" w:hAnsi="Book Antiqua"/>
          <w:b/>
          <w:bCs/>
        </w:rPr>
        <w:t>72</w:t>
      </w:r>
      <w:r>
        <w:rPr>
          <w:rFonts w:ascii="Book Antiqua" w:hAnsi="Book Antiqua"/>
        </w:rPr>
        <w:t>: 1143-1153 [PMID: 31961063 DOI: 10.1002/art.41208]</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49 </w:t>
      </w:r>
      <w:r>
        <w:rPr>
          <w:rFonts w:ascii="Book Antiqua" w:hAnsi="Book Antiqua"/>
          <w:b/>
          <w:bCs/>
        </w:rPr>
        <w:t>Altundag Ö</w:t>
      </w:r>
      <w:r>
        <w:rPr>
          <w:rFonts w:ascii="Book Antiqua" w:hAnsi="Book Antiqua"/>
        </w:rPr>
        <w:t>, Canpinar H, Çelebi-Saltik B. Methionine affects the expression of pluripotency genes and protein levels associated with methionine metabolism in adult,</w:t>
      </w:r>
      <w:r>
        <w:rPr>
          <w:rFonts w:ascii="Book Antiqua" w:hAnsi="Book Antiqua"/>
        </w:rPr>
        <w:t xml:space="preserve"> fetal, and cancer stem cells. </w:t>
      </w:r>
      <w:r>
        <w:rPr>
          <w:rFonts w:ascii="Book Antiqua" w:hAnsi="Book Antiqua"/>
          <w:i/>
          <w:iCs/>
        </w:rPr>
        <w:t>J Cell Biochem</w:t>
      </w:r>
      <w:r>
        <w:rPr>
          <w:rFonts w:ascii="Book Antiqua" w:hAnsi="Book Antiqua"/>
        </w:rPr>
        <w:t xml:space="preserve"> 2022; </w:t>
      </w:r>
      <w:r>
        <w:rPr>
          <w:rFonts w:ascii="Book Antiqua" w:hAnsi="Book Antiqua"/>
          <w:b/>
          <w:bCs/>
        </w:rPr>
        <w:t>123</w:t>
      </w:r>
      <w:r>
        <w:rPr>
          <w:rFonts w:ascii="Book Antiqua" w:hAnsi="Book Antiqua"/>
        </w:rPr>
        <w:t>: 406-416 [PMID: 34783058 DOI: 10.1002/jcb.30180]</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50 </w:t>
      </w:r>
      <w:r>
        <w:rPr>
          <w:rFonts w:ascii="Book Antiqua" w:hAnsi="Book Antiqua"/>
          <w:b/>
          <w:bCs/>
        </w:rPr>
        <w:t>Wang Z</w:t>
      </w:r>
      <w:r>
        <w:rPr>
          <w:rFonts w:ascii="Book Antiqua" w:hAnsi="Book Antiqua"/>
        </w:rPr>
        <w:t xml:space="preserve">, Yip LY, Lee JHJ, Wu Z, Chew HY, Chong PKW, Teo CC, Ang HY, Peh KLE, Yuan J, Ma S, Choo LSK, Basri N, Jiang X, Yu Q, Hillmer AM, Lim WT, Lim </w:t>
      </w:r>
      <w:r>
        <w:rPr>
          <w:rFonts w:ascii="Book Antiqua" w:hAnsi="Book Antiqua"/>
        </w:rPr>
        <w:t xml:space="preserve">TKH, Takano A, Tan EH, Tan DSW, Ho YS, Lim B, Tam WL. Methionine is a metabolic dependency of tumor-initiating cells. </w:t>
      </w:r>
      <w:r>
        <w:rPr>
          <w:rFonts w:ascii="Book Antiqua" w:hAnsi="Book Antiqua"/>
          <w:i/>
          <w:iCs/>
        </w:rPr>
        <w:t>Nat Med</w:t>
      </w:r>
      <w:r>
        <w:rPr>
          <w:rFonts w:ascii="Book Antiqua" w:hAnsi="Book Antiqua"/>
        </w:rPr>
        <w:t xml:space="preserve"> 2019; </w:t>
      </w:r>
      <w:r>
        <w:rPr>
          <w:rFonts w:ascii="Book Antiqua" w:hAnsi="Book Antiqua"/>
          <w:b/>
          <w:bCs/>
        </w:rPr>
        <w:t>25</w:t>
      </w:r>
      <w:r>
        <w:rPr>
          <w:rFonts w:ascii="Book Antiqua" w:hAnsi="Book Antiqua"/>
        </w:rPr>
        <w:t>: 825-837 [PMID: 31061538 DOI: 10.1038/s41591-019-0423-5]</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51 </w:t>
      </w:r>
      <w:r>
        <w:rPr>
          <w:rFonts w:ascii="Book Antiqua" w:hAnsi="Book Antiqua"/>
          <w:b/>
          <w:bCs/>
        </w:rPr>
        <w:t>Jung J</w:t>
      </w:r>
      <w:r>
        <w:rPr>
          <w:rFonts w:ascii="Book Antiqua" w:hAnsi="Book Antiqua"/>
        </w:rPr>
        <w:t>, Kim LJ, Wang X, Wu Q, Sanvoranart T, Hubert CG, Prage</w:t>
      </w:r>
      <w:r>
        <w:rPr>
          <w:rFonts w:ascii="Book Antiqua" w:hAnsi="Book Antiqua"/>
        </w:rPr>
        <w:t xml:space="preserve">r BC, Wallace LC, Jin X, Mack SC, Rich JN. Nicotinamide metabolism regulates glioblastoma stem cell maintenance. </w:t>
      </w:r>
      <w:r>
        <w:rPr>
          <w:rFonts w:ascii="Book Antiqua" w:hAnsi="Book Antiqua"/>
          <w:i/>
          <w:iCs/>
        </w:rPr>
        <w:t>JCI Insight</w:t>
      </w:r>
      <w:r>
        <w:rPr>
          <w:rFonts w:ascii="Book Antiqua" w:hAnsi="Book Antiqua"/>
        </w:rPr>
        <w:t xml:space="preserve"> 2017; </w:t>
      </w:r>
      <w:r>
        <w:rPr>
          <w:rFonts w:ascii="Book Antiqua" w:hAnsi="Book Antiqua"/>
          <w:b/>
          <w:bCs/>
        </w:rPr>
        <w:t>2</w:t>
      </w:r>
      <w:r>
        <w:rPr>
          <w:rFonts w:ascii="Book Antiqua" w:hAnsi="Book Antiqua"/>
        </w:rPr>
        <w:t xml:space="preserve"> [PMID: 28515364 DOI: 10.1172/jci.insight.90019]</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52 </w:t>
      </w:r>
      <w:r>
        <w:rPr>
          <w:rFonts w:ascii="Book Antiqua" w:hAnsi="Book Antiqua"/>
          <w:b/>
          <w:bCs/>
        </w:rPr>
        <w:t>Washington JM</w:t>
      </w:r>
      <w:r>
        <w:rPr>
          <w:rFonts w:ascii="Book Antiqua" w:hAnsi="Book Antiqua"/>
        </w:rPr>
        <w:t>, Rathjen J, Felquer F, Lonic A, Bettess MD, Hamra N, Semen</w:t>
      </w:r>
      <w:r>
        <w:rPr>
          <w:rFonts w:ascii="Book Antiqua" w:hAnsi="Book Antiqua"/>
        </w:rPr>
        <w:t xml:space="preserve">dric L, Tan BS, Lake JA, Keough RA, Morris MB, Rathjen PD. L-Proline induces differentiation of ES cells: a novel role for an amino acid in the regulation of pluripotent cells in culture. </w:t>
      </w:r>
      <w:r>
        <w:rPr>
          <w:rFonts w:ascii="Book Antiqua" w:hAnsi="Book Antiqua"/>
          <w:i/>
          <w:iCs/>
        </w:rPr>
        <w:t>Am J Physiol Cell Physiol</w:t>
      </w:r>
      <w:r>
        <w:rPr>
          <w:rFonts w:ascii="Book Antiqua" w:hAnsi="Book Antiqua"/>
        </w:rPr>
        <w:t xml:space="preserve"> 2010; </w:t>
      </w:r>
      <w:r>
        <w:rPr>
          <w:rFonts w:ascii="Book Antiqua" w:hAnsi="Book Antiqua"/>
          <w:b/>
          <w:bCs/>
        </w:rPr>
        <w:t>298</w:t>
      </w:r>
      <w:r>
        <w:rPr>
          <w:rFonts w:ascii="Book Antiqua" w:hAnsi="Book Antiqua"/>
        </w:rPr>
        <w:t xml:space="preserve">: C982-C992 [PMID: 20164384 DOI: </w:t>
      </w:r>
      <w:r>
        <w:rPr>
          <w:rFonts w:ascii="Book Antiqua" w:hAnsi="Book Antiqua"/>
        </w:rPr>
        <w:t>10.1152/ajpcell.00498.2009]</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53 </w:t>
      </w:r>
      <w:r>
        <w:rPr>
          <w:rFonts w:ascii="Book Antiqua" w:hAnsi="Book Antiqua"/>
          <w:b/>
          <w:bCs/>
        </w:rPr>
        <w:t>Casalino L</w:t>
      </w:r>
      <w:r>
        <w:rPr>
          <w:rFonts w:ascii="Book Antiqua" w:hAnsi="Book Antiqua"/>
        </w:rPr>
        <w:t xml:space="preserve">, Comes S, Lambazzi G, De Stefano B, Filosa S, De Falco S, De Cesare D, Minchiotti G, Patriarca EJ. Control of embryonic stem cell metastability by L-proline catabolism. </w:t>
      </w:r>
      <w:r>
        <w:rPr>
          <w:rFonts w:ascii="Book Antiqua" w:hAnsi="Book Antiqua"/>
          <w:i/>
          <w:iCs/>
        </w:rPr>
        <w:t>J Mol Cell Biol</w:t>
      </w:r>
      <w:r>
        <w:rPr>
          <w:rFonts w:ascii="Book Antiqua" w:hAnsi="Book Antiqua"/>
        </w:rPr>
        <w:t xml:space="preserve"> 2011; </w:t>
      </w:r>
      <w:r>
        <w:rPr>
          <w:rFonts w:ascii="Book Antiqua" w:hAnsi="Book Antiqua"/>
          <w:b/>
          <w:bCs/>
        </w:rPr>
        <w:t>3</w:t>
      </w:r>
      <w:r>
        <w:rPr>
          <w:rFonts w:ascii="Book Antiqua" w:hAnsi="Book Antiqua"/>
        </w:rPr>
        <w:t xml:space="preserve">: 108-122 [PMID: </w:t>
      </w:r>
      <w:r>
        <w:rPr>
          <w:rFonts w:ascii="Book Antiqua" w:hAnsi="Book Antiqua"/>
        </w:rPr>
        <w:t>21307025 DOI: 10.1093/jmcb/mjr001]</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54 </w:t>
      </w:r>
      <w:r>
        <w:rPr>
          <w:rFonts w:ascii="Book Antiqua" w:hAnsi="Book Antiqua"/>
          <w:b/>
          <w:bCs/>
        </w:rPr>
        <w:t>Shparberg RA</w:t>
      </w:r>
      <w:r>
        <w:rPr>
          <w:rFonts w:ascii="Book Antiqua" w:hAnsi="Book Antiqua"/>
        </w:rPr>
        <w:t xml:space="preserve">, Glover HJ, Morris MB. Modeling Mammalian Commitment to the Neural Lineage Using Embryos and Embryonic Stem Cells. </w:t>
      </w:r>
      <w:r>
        <w:rPr>
          <w:rFonts w:ascii="Book Antiqua" w:hAnsi="Book Antiqua"/>
          <w:i/>
          <w:iCs/>
        </w:rPr>
        <w:t>Front Physiol</w:t>
      </w:r>
      <w:r>
        <w:rPr>
          <w:rFonts w:ascii="Book Antiqua" w:hAnsi="Book Antiqua"/>
        </w:rPr>
        <w:t xml:space="preserve"> 2019; </w:t>
      </w:r>
      <w:r>
        <w:rPr>
          <w:rFonts w:ascii="Book Antiqua" w:hAnsi="Book Antiqua"/>
          <w:b/>
          <w:bCs/>
        </w:rPr>
        <w:t>10</w:t>
      </w:r>
      <w:r>
        <w:rPr>
          <w:rFonts w:ascii="Book Antiqua" w:hAnsi="Book Antiqua"/>
        </w:rPr>
        <w:t>: 705 [PMID: 31354503 DOI: 10.3389/fphys.2019.00705]</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55 </w:t>
      </w:r>
      <w:r>
        <w:rPr>
          <w:rFonts w:ascii="Book Antiqua" w:hAnsi="Book Antiqua"/>
          <w:b/>
          <w:bCs/>
        </w:rPr>
        <w:t>D'Aniello C</w:t>
      </w:r>
      <w:r>
        <w:rPr>
          <w:rFonts w:ascii="Book Antiqua" w:hAnsi="Book Antiqua"/>
        </w:rPr>
        <w:t>,</w:t>
      </w:r>
      <w:r>
        <w:rPr>
          <w:rFonts w:ascii="Book Antiqua" w:hAnsi="Book Antiqua"/>
        </w:rPr>
        <w:t xml:space="preserve"> Patriarca EJ, Phang JM, Minchiotti G. Proline Metabolism in Tumor Growth and Metastatic Progression.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776 [PMID: 32500033 DOI: 10.3389/fonc.2020.00776]</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56 </w:t>
      </w:r>
      <w:r>
        <w:rPr>
          <w:rFonts w:ascii="Book Antiqua" w:hAnsi="Book Antiqua"/>
          <w:b/>
          <w:bCs/>
        </w:rPr>
        <w:t>Tian S</w:t>
      </w:r>
      <w:r>
        <w:rPr>
          <w:rFonts w:ascii="Book Antiqua" w:hAnsi="Book Antiqua"/>
        </w:rPr>
        <w:t xml:space="preserve">, Feng J, Cao Y, Shen S, Cai Y, Yang D, Yan R, Wang L, Zhang H, Zhong X, </w:t>
      </w:r>
      <w:r>
        <w:rPr>
          <w:rFonts w:ascii="Book Antiqua" w:hAnsi="Book Antiqua"/>
        </w:rPr>
        <w:t xml:space="preserve">Gao P. Glycine cleavage system determines the fate of pluripotent stem cells via the regulation of senescence and epigenetic modifications. </w:t>
      </w:r>
      <w:r>
        <w:rPr>
          <w:rFonts w:ascii="Book Antiqua" w:hAnsi="Book Antiqua"/>
          <w:i/>
          <w:iCs/>
        </w:rPr>
        <w:t>Life Sci Alliance</w:t>
      </w:r>
      <w:r>
        <w:rPr>
          <w:rFonts w:ascii="Book Antiqua" w:hAnsi="Book Antiqua"/>
        </w:rPr>
        <w:t xml:space="preserve"> 2019; </w:t>
      </w:r>
      <w:r>
        <w:rPr>
          <w:rFonts w:ascii="Book Antiqua" w:hAnsi="Book Antiqua"/>
          <w:b/>
          <w:bCs/>
        </w:rPr>
        <w:t>2</w:t>
      </w:r>
      <w:r>
        <w:rPr>
          <w:rFonts w:ascii="Book Antiqua" w:hAnsi="Book Antiqua"/>
        </w:rPr>
        <w:t xml:space="preserve"> [PMID: 31562192 DOI: 10.26508/Lsa.201900413]</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57 </w:t>
      </w:r>
      <w:r>
        <w:rPr>
          <w:rFonts w:ascii="Book Antiqua" w:hAnsi="Book Antiqua"/>
          <w:b/>
          <w:bCs/>
        </w:rPr>
        <w:t>Narisawa A</w:t>
      </w:r>
      <w:r>
        <w:rPr>
          <w:rFonts w:ascii="Book Antiqua" w:hAnsi="Book Antiqua"/>
        </w:rPr>
        <w:t>, Komatsuzaki S, Kikuchi A, Niih</w:t>
      </w:r>
      <w:r>
        <w:rPr>
          <w:rFonts w:ascii="Book Antiqua" w:hAnsi="Book Antiqua"/>
        </w:rPr>
        <w:t>ori T, Aoki Y, Fujiwara K, Tanemura M, Hata A, Suzuki Y, Relton CL, Grinham J, Leung KY, Partridge D, Robinson A, Stone V, Gustavsson P, Stanier P, Copp AJ, Greene ND, Tominaga T, Matsubara Y, Kure S. Mutations in genes encoding the glycine cleavage system</w:t>
      </w:r>
      <w:r>
        <w:rPr>
          <w:rFonts w:ascii="Book Antiqua" w:hAnsi="Book Antiqua"/>
        </w:rPr>
        <w:t xml:space="preserve"> predispose to neural tube defects in mice and humans. </w:t>
      </w:r>
      <w:r>
        <w:rPr>
          <w:rFonts w:ascii="Book Antiqua" w:hAnsi="Book Antiqua"/>
          <w:i/>
          <w:iCs/>
        </w:rPr>
        <w:t>Hum Mol Genet</w:t>
      </w:r>
      <w:r>
        <w:rPr>
          <w:rFonts w:ascii="Book Antiqua" w:hAnsi="Book Antiqua"/>
        </w:rPr>
        <w:t xml:space="preserve"> 2012; </w:t>
      </w:r>
      <w:r>
        <w:rPr>
          <w:rFonts w:ascii="Book Antiqua" w:hAnsi="Book Antiqua"/>
          <w:b/>
          <w:bCs/>
        </w:rPr>
        <w:t>21</w:t>
      </w:r>
      <w:r>
        <w:rPr>
          <w:rFonts w:ascii="Book Antiqua" w:hAnsi="Book Antiqua"/>
        </w:rPr>
        <w:t>: 1496-1503 [PMID: 22171071 DOI: 10.1093/hmg/ddr585]</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58 </w:t>
      </w:r>
      <w:r>
        <w:rPr>
          <w:rFonts w:ascii="Book Antiqua" w:hAnsi="Book Antiqua"/>
          <w:b/>
          <w:bCs/>
        </w:rPr>
        <w:t>Kidder BL</w:t>
      </w:r>
      <w:r>
        <w:rPr>
          <w:rFonts w:ascii="Book Antiqua" w:hAnsi="Book Antiqua"/>
        </w:rPr>
        <w:t>, Hu G, Zhao K. KDM5B focuses H3K4 methylation near promoters and enhancers during embryonic stem cell self-renewa</w:t>
      </w:r>
      <w:r>
        <w:rPr>
          <w:rFonts w:ascii="Book Antiqua" w:hAnsi="Book Antiqua"/>
        </w:rPr>
        <w:t xml:space="preserve">l and differentiation. </w:t>
      </w:r>
      <w:r>
        <w:rPr>
          <w:rFonts w:ascii="Book Antiqua" w:hAnsi="Book Antiqua"/>
          <w:i/>
          <w:iCs/>
        </w:rPr>
        <w:t>Genome Biol</w:t>
      </w:r>
      <w:r>
        <w:rPr>
          <w:rFonts w:ascii="Book Antiqua" w:hAnsi="Book Antiqua"/>
        </w:rPr>
        <w:t xml:space="preserve"> 2014; </w:t>
      </w:r>
      <w:r>
        <w:rPr>
          <w:rFonts w:ascii="Book Antiqua" w:hAnsi="Book Antiqua"/>
          <w:b/>
          <w:bCs/>
        </w:rPr>
        <w:t>15</w:t>
      </w:r>
      <w:r>
        <w:rPr>
          <w:rFonts w:ascii="Book Antiqua" w:hAnsi="Book Antiqua"/>
        </w:rPr>
        <w:t>: R32 [PMID: 24495580 DOI: 10.1186/gb-2014-15-2-r32]</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59 </w:t>
      </w:r>
      <w:r>
        <w:rPr>
          <w:rFonts w:ascii="Book Antiqua" w:hAnsi="Book Antiqua"/>
          <w:b/>
          <w:bCs/>
        </w:rPr>
        <w:t>Zhang J</w:t>
      </w:r>
      <w:r>
        <w:rPr>
          <w:rFonts w:ascii="Book Antiqua" w:hAnsi="Book Antiqua"/>
        </w:rPr>
        <w:t>, Ratanasirintrawoot S, Chandrasekaran S, Wu Z, Ficarro SB, Yu C, Ross CA, Cacchiarelli D, Xia Q, Seligson M, Shinoda G, Xie W, Cahan P, Wang L, Ng SC, Tintara S, Trapnell C, Onder T, Loh YH, Mikkelsen T, Sliz P, Teitell MA, Asara JM, Marto JA, Li H, Colli</w:t>
      </w:r>
      <w:r>
        <w:rPr>
          <w:rFonts w:ascii="Book Antiqua" w:hAnsi="Book Antiqua"/>
        </w:rPr>
        <w:t xml:space="preserve">ns JJ, Daley GQ. LIN28 Regulates Stem Cell Metabolism and Conversion to Primed Pluripotency. </w:t>
      </w:r>
      <w:r>
        <w:rPr>
          <w:rFonts w:ascii="Book Antiqua" w:hAnsi="Book Antiqua"/>
          <w:i/>
          <w:iCs/>
        </w:rPr>
        <w:t>Cell Stem Cell</w:t>
      </w:r>
      <w:r>
        <w:rPr>
          <w:rFonts w:ascii="Book Antiqua" w:hAnsi="Book Antiqua"/>
        </w:rPr>
        <w:t xml:space="preserve"> 2016; </w:t>
      </w:r>
      <w:r>
        <w:rPr>
          <w:rFonts w:ascii="Book Antiqua" w:hAnsi="Book Antiqua"/>
          <w:b/>
          <w:bCs/>
        </w:rPr>
        <w:t>19</w:t>
      </w:r>
      <w:r>
        <w:rPr>
          <w:rFonts w:ascii="Book Antiqua" w:hAnsi="Book Antiqua"/>
        </w:rPr>
        <w:t>: 66-80 [PMID: 27320042 DOI: 10.1016/j.stem.2016.05.009]</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60 </w:t>
      </w:r>
      <w:r>
        <w:rPr>
          <w:rFonts w:ascii="Book Antiqua" w:hAnsi="Book Antiqua"/>
          <w:b/>
          <w:bCs/>
        </w:rPr>
        <w:t>Wang Y</w:t>
      </w:r>
      <w:r>
        <w:rPr>
          <w:rFonts w:ascii="Book Antiqua" w:hAnsi="Book Antiqua"/>
        </w:rPr>
        <w:t>, Hussein AM, Somasundaram L, Sankar R, Detraux D, Mathieu J, Ruohola-Bake</w:t>
      </w:r>
      <w:r>
        <w:rPr>
          <w:rFonts w:ascii="Book Antiqua" w:hAnsi="Book Antiqua"/>
        </w:rPr>
        <w:t xml:space="preserve">r H. microRNAs Regulating Human and Mouse Naïve Pluripotency.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31766734 DOI: 10.3390/ijms20235864]</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61 </w:t>
      </w:r>
      <w:r>
        <w:rPr>
          <w:rFonts w:ascii="Book Antiqua" w:hAnsi="Book Antiqua"/>
          <w:b/>
          <w:bCs/>
        </w:rPr>
        <w:t>Essig K</w:t>
      </w:r>
      <w:r>
        <w:rPr>
          <w:rFonts w:ascii="Book Antiqua" w:hAnsi="Book Antiqua"/>
        </w:rPr>
        <w:t>, Kronbeck N, Guimaraes JC, Lohs C, Schlundt A, Hoffmann A, Behrens G, Brenner S, Kowalska J, Lopez-Rodriguez C, Jemie</w:t>
      </w:r>
      <w:r>
        <w:rPr>
          <w:rFonts w:ascii="Book Antiqua" w:hAnsi="Book Antiqua"/>
        </w:rPr>
        <w:t xml:space="preserve">lity J, Holtmann H, Reiche K, Hackermüller J, Sattler M, Zavolan M, Heissmeyer V. Roquin targets mRNAs in a 3'-UTR-specific manner by different modes of regulation. </w:t>
      </w:r>
      <w:r>
        <w:rPr>
          <w:rFonts w:ascii="Book Antiqua" w:hAnsi="Book Antiqua"/>
          <w:i/>
          <w:iCs/>
        </w:rPr>
        <w:t>Nat Commun</w:t>
      </w:r>
      <w:r>
        <w:rPr>
          <w:rFonts w:ascii="Book Antiqua" w:hAnsi="Book Antiqua"/>
        </w:rPr>
        <w:t xml:space="preserve"> 2018; </w:t>
      </w:r>
      <w:r>
        <w:rPr>
          <w:rFonts w:ascii="Book Antiqua" w:hAnsi="Book Antiqua"/>
          <w:b/>
          <w:bCs/>
        </w:rPr>
        <w:t>9</w:t>
      </w:r>
      <w:r>
        <w:rPr>
          <w:rFonts w:ascii="Book Antiqua" w:hAnsi="Book Antiqua"/>
        </w:rPr>
        <w:t>: 3810 [PMID: 30232334 DOI: 10.1038/s41467-018-06184-3]</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62 </w:t>
      </w:r>
      <w:r>
        <w:rPr>
          <w:rFonts w:ascii="Book Antiqua" w:hAnsi="Book Antiqua"/>
          <w:b/>
          <w:bCs/>
        </w:rPr>
        <w:t>Beilharz TH</w:t>
      </w:r>
      <w:r>
        <w:rPr>
          <w:rFonts w:ascii="Book Antiqua" w:hAnsi="Book Antiqua"/>
        </w:rPr>
        <w:t>, S</w:t>
      </w:r>
      <w:r>
        <w:rPr>
          <w:rFonts w:ascii="Book Antiqua" w:hAnsi="Book Antiqua"/>
        </w:rPr>
        <w:t xml:space="preserve">ee MM, Boag PR. 3'-UTRs and the Control of Protein Expression in Space and Time. </w:t>
      </w:r>
      <w:r>
        <w:rPr>
          <w:rFonts w:ascii="Book Antiqua" w:hAnsi="Book Antiqua"/>
          <w:i/>
          <w:iCs/>
        </w:rPr>
        <w:t>Adv Exp Med Biol</w:t>
      </w:r>
      <w:r>
        <w:rPr>
          <w:rFonts w:ascii="Book Antiqua" w:hAnsi="Book Antiqua"/>
        </w:rPr>
        <w:t xml:space="preserve"> 2019; </w:t>
      </w:r>
      <w:r>
        <w:rPr>
          <w:rFonts w:ascii="Book Antiqua" w:hAnsi="Book Antiqua"/>
          <w:b/>
          <w:bCs/>
        </w:rPr>
        <w:t>1203</w:t>
      </w:r>
      <w:r>
        <w:rPr>
          <w:rFonts w:ascii="Book Antiqua" w:hAnsi="Book Antiqua"/>
        </w:rPr>
        <w:t>: 133-148 [PMID: 31811633 DOI: 10.1007/978-3-030-31434-7_5]</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63 </w:t>
      </w:r>
      <w:r>
        <w:rPr>
          <w:rFonts w:ascii="Book Antiqua" w:hAnsi="Book Antiqua"/>
          <w:b/>
          <w:bCs/>
        </w:rPr>
        <w:t>Alamoudi AA</w:t>
      </w:r>
      <w:r>
        <w:rPr>
          <w:rFonts w:ascii="Book Antiqua" w:hAnsi="Book Antiqua"/>
        </w:rPr>
        <w:t>, Alnoury A, Gad H. miRNA in tumour metabolism and why could it be the pre</w:t>
      </w:r>
      <w:r>
        <w:rPr>
          <w:rFonts w:ascii="Book Antiqua" w:hAnsi="Book Antiqua"/>
        </w:rPr>
        <w:t xml:space="preserve">ferred pathway for energy reprograming. </w:t>
      </w:r>
      <w:r>
        <w:rPr>
          <w:rFonts w:ascii="Book Antiqua" w:hAnsi="Book Antiqua"/>
          <w:i/>
          <w:iCs/>
        </w:rPr>
        <w:t>Brief Funct Genomics</w:t>
      </w:r>
      <w:r>
        <w:rPr>
          <w:rFonts w:ascii="Book Antiqua" w:hAnsi="Book Antiqua"/>
        </w:rPr>
        <w:t xml:space="preserve"> 2018; </w:t>
      </w:r>
      <w:r>
        <w:rPr>
          <w:rFonts w:ascii="Book Antiqua" w:hAnsi="Book Antiqua"/>
          <w:b/>
          <w:bCs/>
        </w:rPr>
        <w:t>17</w:t>
      </w:r>
      <w:r>
        <w:rPr>
          <w:rFonts w:ascii="Book Antiqua" w:hAnsi="Book Antiqua"/>
        </w:rPr>
        <w:t>: 157-169 [PMID: 29028873 DOI: 10.1093/bfgp/elx023]</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64 </w:t>
      </w:r>
      <w:r>
        <w:rPr>
          <w:rFonts w:ascii="Book Antiqua" w:hAnsi="Book Antiqua"/>
          <w:b/>
          <w:bCs/>
        </w:rPr>
        <w:t>Wu Z</w:t>
      </w:r>
      <w:r>
        <w:rPr>
          <w:rFonts w:ascii="Book Antiqua" w:hAnsi="Book Antiqua"/>
        </w:rPr>
        <w:t>, Gao S, Zhao X, Chen J, Keyvanfar K, Feng X, Kajigaya S, Young NS. Long noncoding RNAs of single hematopoietic stem and progeni</w:t>
      </w:r>
      <w:r>
        <w:rPr>
          <w:rFonts w:ascii="Book Antiqua" w:hAnsi="Book Antiqua"/>
        </w:rPr>
        <w:t xml:space="preserve">tor cells in healthy and dysplastic human bone marrow. </w:t>
      </w:r>
      <w:r>
        <w:rPr>
          <w:rFonts w:ascii="Book Antiqua" w:hAnsi="Book Antiqua"/>
          <w:i/>
          <w:iCs/>
        </w:rPr>
        <w:t>Haematologica</w:t>
      </w:r>
      <w:r>
        <w:rPr>
          <w:rFonts w:ascii="Book Antiqua" w:hAnsi="Book Antiqua"/>
        </w:rPr>
        <w:t xml:space="preserve"> 2019; </w:t>
      </w:r>
      <w:r>
        <w:rPr>
          <w:rFonts w:ascii="Book Antiqua" w:hAnsi="Book Antiqua"/>
          <w:b/>
          <w:bCs/>
        </w:rPr>
        <w:t>104</w:t>
      </w:r>
      <w:r>
        <w:rPr>
          <w:rFonts w:ascii="Book Antiqua" w:hAnsi="Book Antiqua"/>
        </w:rPr>
        <w:t>: 894-906 [PMID: 30545929 DOI: 10.3324/haematol.2018.208926]</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65 </w:t>
      </w:r>
      <w:r>
        <w:rPr>
          <w:rFonts w:ascii="Book Antiqua" w:hAnsi="Book Antiqua"/>
          <w:b/>
          <w:bCs/>
        </w:rPr>
        <w:t>Griffiths BB</w:t>
      </w:r>
      <w:r>
        <w:rPr>
          <w:rFonts w:ascii="Book Antiqua" w:hAnsi="Book Antiqua"/>
        </w:rPr>
        <w:t>, Ouyang YB, Xu L, Sun X, Giffard RG, Stary CM. Postinjury Inhibition of miR-181a Promotes Restoration</w:t>
      </w:r>
      <w:r>
        <w:rPr>
          <w:rFonts w:ascii="Book Antiqua" w:hAnsi="Book Antiqua"/>
        </w:rPr>
        <w:t xml:space="preserve"> of Hippocampal CA1 Neurons after Transient Forebrain Ischemia in Rats. </w:t>
      </w:r>
      <w:r>
        <w:rPr>
          <w:rFonts w:ascii="Book Antiqua" w:hAnsi="Book Antiqua"/>
          <w:i/>
          <w:iCs/>
        </w:rPr>
        <w:t>eNeuro</w:t>
      </w:r>
      <w:r>
        <w:rPr>
          <w:rFonts w:ascii="Book Antiqua" w:hAnsi="Book Antiqua"/>
        </w:rPr>
        <w:t xml:space="preserve"> 2019; </w:t>
      </w:r>
      <w:r>
        <w:rPr>
          <w:rFonts w:ascii="Book Antiqua" w:hAnsi="Book Antiqua"/>
          <w:b/>
          <w:bCs/>
        </w:rPr>
        <w:t>6</w:t>
      </w:r>
      <w:r>
        <w:rPr>
          <w:rFonts w:ascii="Book Antiqua" w:hAnsi="Book Antiqua"/>
        </w:rPr>
        <w:t xml:space="preserve"> [PMID: 31427401 DOI: 10.1523/eneuro.0002-19.2019]</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66 </w:t>
      </w:r>
      <w:r>
        <w:rPr>
          <w:rFonts w:ascii="Book Antiqua" w:hAnsi="Book Antiqua"/>
          <w:b/>
          <w:bCs/>
        </w:rPr>
        <w:t>Zhang Z</w:t>
      </w:r>
      <w:r>
        <w:rPr>
          <w:rFonts w:ascii="Book Antiqua" w:hAnsi="Book Antiqua"/>
        </w:rPr>
        <w:t xml:space="preserve">, Zhai W, Liang J, Chen Z, Ma M, Zhao Y, Liang Y, Li X, Teng CB. Mutual inhibitions between epidermal growth </w:t>
      </w:r>
      <w:r>
        <w:rPr>
          <w:rFonts w:ascii="Book Antiqua" w:hAnsi="Book Antiqua"/>
        </w:rPr>
        <w:t xml:space="preserve">factor receptor signaling and miR-124a control pancreatic progenitor proliferation. </w:t>
      </w:r>
      <w:r>
        <w:rPr>
          <w:rFonts w:ascii="Book Antiqua" w:hAnsi="Book Antiqua"/>
          <w:i/>
          <w:iCs/>
        </w:rPr>
        <w:t>J Cell Physiol</w:t>
      </w:r>
      <w:r>
        <w:rPr>
          <w:rFonts w:ascii="Book Antiqua" w:hAnsi="Book Antiqua"/>
        </w:rPr>
        <w:t xml:space="preserve"> 2019; </w:t>
      </w:r>
      <w:r>
        <w:rPr>
          <w:rFonts w:ascii="Book Antiqua" w:hAnsi="Book Antiqua"/>
          <w:b/>
          <w:bCs/>
        </w:rPr>
        <w:t>234</w:t>
      </w:r>
      <w:r>
        <w:rPr>
          <w:rFonts w:ascii="Book Antiqua" w:hAnsi="Book Antiqua"/>
        </w:rPr>
        <w:t>: 12978-12988 [PMID: 30537082 DOI: 10.1002/jcp.27967]</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67 </w:t>
      </w:r>
      <w:r>
        <w:rPr>
          <w:rFonts w:ascii="Book Antiqua" w:hAnsi="Book Antiqua"/>
          <w:b/>
          <w:bCs/>
        </w:rPr>
        <w:t>He Q</w:t>
      </w:r>
      <w:r>
        <w:rPr>
          <w:rFonts w:ascii="Book Antiqua" w:hAnsi="Book Antiqua"/>
        </w:rPr>
        <w:t>, Song J, Cui C, Wang J, Hu H, Guo X, Yang M, Wang L, Yan F, Liang K, Liu Z, Liu F, Sun</w:t>
      </w:r>
      <w:r>
        <w:rPr>
          <w:rFonts w:ascii="Book Antiqua" w:hAnsi="Book Antiqua"/>
        </w:rPr>
        <w:t xml:space="preserve"> Z, Dong M, Hou X, Chen L. Mesenchymal stem cell-derived exosomal miR-146a reverses diabetic β-cell dedifferentiation. </w:t>
      </w:r>
      <w:r>
        <w:rPr>
          <w:rFonts w:ascii="Book Antiqua" w:hAnsi="Book Antiqua"/>
          <w:i/>
          <w:iCs/>
        </w:rPr>
        <w:t>Stem Cell Res Ther</w:t>
      </w:r>
      <w:r>
        <w:rPr>
          <w:rFonts w:ascii="Book Antiqua" w:hAnsi="Book Antiqua"/>
        </w:rPr>
        <w:t xml:space="preserve"> 2021; </w:t>
      </w:r>
      <w:r>
        <w:rPr>
          <w:rFonts w:ascii="Book Antiqua" w:hAnsi="Book Antiqua"/>
          <w:b/>
          <w:bCs/>
        </w:rPr>
        <w:t>12</w:t>
      </w:r>
      <w:r>
        <w:rPr>
          <w:rFonts w:ascii="Book Antiqua" w:hAnsi="Book Antiqua"/>
        </w:rPr>
        <w:t>: 449 [PMID: 34380570 DOI: 10.1186/s13287-021-02371-0]</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68 </w:t>
      </w:r>
      <w:r>
        <w:rPr>
          <w:rFonts w:ascii="Book Antiqua" w:hAnsi="Book Antiqua"/>
          <w:b/>
          <w:bCs/>
        </w:rPr>
        <w:t>Soltani A</w:t>
      </w:r>
      <w:r>
        <w:rPr>
          <w:rFonts w:ascii="Book Antiqua" w:hAnsi="Book Antiqua"/>
        </w:rPr>
        <w:t>, Jafarian A, Allameh A. The Predominant mi</w:t>
      </w:r>
      <w:r>
        <w:rPr>
          <w:rFonts w:ascii="Book Antiqua" w:hAnsi="Book Antiqua"/>
        </w:rPr>
        <w:t xml:space="preserve">croRNAs in β-cell Clusters for Insulin Regulation and Diabetic Control. </w:t>
      </w:r>
      <w:r>
        <w:rPr>
          <w:rFonts w:ascii="Book Antiqua" w:hAnsi="Book Antiqua"/>
          <w:i/>
          <w:iCs/>
        </w:rPr>
        <w:t>Curr Drug Targets</w:t>
      </w:r>
      <w:r>
        <w:rPr>
          <w:rFonts w:ascii="Book Antiqua" w:hAnsi="Book Antiqua"/>
        </w:rPr>
        <w:t xml:space="preserve"> 2020; </w:t>
      </w:r>
      <w:r>
        <w:rPr>
          <w:rFonts w:ascii="Book Antiqua" w:hAnsi="Book Antiqua"/>
          <w:b/>
          <w:bCs/>
        </w:rPr>
        <w:t>21</w:t>
      </w:r>
      <w:r>
        <w:rPr>
          <w:rFonts w:ascii="Book Antiqua" w:hAnsi="Book Antiqua"/>
        </w:rPr>
        <w:t>: 722-734 [PMID: 31886749 DOI: 10.2174/1389450121666191230145848]</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69 </w:t>
      </w:r>
      <w:r>
        <w:rPr>
          <w:rFonts w:ascii="Book Antiqua" w:hAnsi="Book Antiqua"/>
          <w:b/>
          <w:bCs/>
        </w:rPr>
        <w:t>Lin Z</w:t>
      </w:r>
      <w:r>
        <w:rPr>
          <w:rFonts w:ascii="Book Antiqua" w:hAnsi="Book Antiqua"/>
        </w:rPr>
        <w:t>, He H, Wang M, Liang J. MicroRNA-130a controls bone marrow mesenchymal stem cell di</w:t>
      </w:r>
      <w:r>
        <w:rPr>
          <w:rFonts w:ascii="Book Antiqua" w:hAnsi="Book Antiqua"/>
        </w:rPr>
        <w:t xml:space="preserve">fferentiation towards the osteoblastic and adipogenic fate. </w:t>
      </w:r>
      <w:r>
        <w:rPr>
          <w:rFonts w:ascii="Book Antiqua" w:hAnsi="Book Antiqua"/>
          <w:i/>
          <w:iCs/>
        </w:rPr>
        <w:t>Cell Prolif</w:t>
      </w:r>
      <w:r>
        <w:rPr>
          <w:rFonts w:ascii="Book Antiqua" w:hAnsi="Book Antiqua"/>
        </w:rPr>
        <w:t xml:space="preserve"> 2019; </w:t>
      </w:r>
      <w:r>
        <w:rPr>
          <w:rFonts w:ascii="Book Antiqua" w:hAnsi="Book Antiqua"/>
          <w:b/>
          <w:bCs/>
        </w:rPr>
        <w:t>52</w:t>
      </w:r>
      <w:r>
        <w:rPr>
          <w:rFonts w:ascii="Book Antiqua" w:hAnsi="Book Antiqua"/>
        </w:rPr>
        <w:t>: e12688 [PMID: 31557368 DOI: 10.1111/cpr.12688]</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70 </w:t>
      </w:r>
      <w:r>
        <w:rPr>
          <w:rFonts w:ascii="Book Antiqua" w:hAnsi="Book Antiqua"/>
          <w:b/>
          <w:bCs/>
        </w:rPr>
        <w:t>Chesi A</w:t>
      </w:r>
      <w:r>
        <w:rPr>
          <w:rFonts w:ascii="Book Antiqua" w:hAnsi="Book Antiqua"/>
        </w:rPr>
        <w:t xml:space="preserve">, Wagley Y, Johnson ME, Manduchi E, Su C, Lu S, Leonard ME, Hodge KM, Pippin JA, Hankenson KD, Wells AD, Grant SFA. Genome-scale Capture C promoter interactions implicate effector genes at GWAS loci for bone mineral density. </w:t>
      </w:r>
      <w:r>
        <w:rPr>
          <w:rFonts w:ascii="Book Antiqua" w:hAnsi="Book Antiqua"/>
          <w:i/>
          <w:iCs/>
        </w:rPr>
        <w:t>Nat Commun</w:t>
      </w:r>
      <w:r>
        <w:rPr>
          <w:rFonts w:ascii="Book Antiqua" w:hAnsi="Book Antiqua"/>
        </w:rPr>
        <w:t xml:space="preserve"> 2019; </w:t>
      </w:r>
      <w:r>
        <w:rPr>
          <w:rFonts w:ascii="Book Antiqua" w:hAnsi="Book Antiqua"/>
          <w:b/>
          <w:bCs/>
        </w:rPr>
        <w:t>10</w:t>
      </w:r>
      <w:r>
        <w:rPr>
          <w:rFonts w:ascii="Book Antiqua" w:hAnsi="Book Antiqua"/>
        </w:rPr>
        <w:t>: 1260 [PMID</w:t>
      </w:r>
      <w:r>
        <w:rPr>
          <w:rFonts w:ascii="Book Antiqua" w:hAnsi="Book Antiqua"/>
        </w:rPr>
        <w:t>: 30890710 DOI: 10.1038/s41467-019-09302-x]</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71 </w:t>
      </w:r>
      <w:r>
        <w:rPr>
          <w:rFonts w:ascii="Book Antiqua" w:hAnsi="Book Antiqua"/>
          <w:b/>
          <w:bCs/>
        </w:rPr>
        <w:t>Huang W</w:t>
      </w:r>
      <w:r>
        <w:rPr>
          <w:rFonts w:ascii="Book Antiqua" w:hAnsi="Book Antiqua"/>
        </w:rPr>
        <w:t>, Li K, Liu A, Yang Z, Hu C, Chen D, Wang H. miR</w:t>
      </w:r>
      <w:r>
        <w:rPr>
          <w:rFonts w:ascii="Book Antiqua" w:hAnsi="Book Antiqua"/>
        </w:rPr>
        <w:noBreakHyphen/>
        <w:t>330</w:t>
      </w:r>
      <w:r>
        <w:rPr>
          <w:rFonts w:ascii="Book Antiqua" w:hAnsi="Book Antiqua"/>
        </w:rPr>
        <w:noBreakHyphen/>
        <w:t>5p inhibits H2O2</w:t>
      </w:r>
      <w:r>
        <w:rPr>
          <w:rFonts w:ascii="Book Antiqua" w:hAnsi="Book Antiqua"/>
        </w:rPr>
        <w:noBreakHyphen/>
        <w:t xml:space="preserve">induced adipogenic differentiation of MSCs by regulating RXRγ. </w:t>
      </w:r>
      <w:r>
        <w:rPr>
          <w:rFonts w:ascii="Book Antiqua" w:hAnsi="Book Antiqua"/>
          <w:i/>
          <w:iCs/>
        </w:rPr>
        <w:t>Int J Mol Med</w:t>
      </w:r>
      <w:r>
        <w:rPr>
          <w:rFonts w:ascii="Book Antiqua" w:hAnsi="Book Antiqua"/>
        </w:rPr>
        <w:t xml:space="preserve"> 2018; </w:t>
      </w:r>
      <w:r>
        <w:rPr>
          <w:rFonts w:ascii="Book Antiqua" w:hAnsi="Book Antiqua"/>
          <w:b/>
          <w:bCs/>
        </w:rPr>
        <w:t>42</w:t>
      </w:r>
      <w:r>
        <w:rPr>
          <w:rFonts w:ascii="Book Antiqua" w:hAnsi="Book Antiqua"/>
        </w:rPr>
        <w:t>: 2042-2052 [PMID: 30015907 DOI: 10.3892/ijmm.2</w:t>
      </w:r>
      <w:r>
        <w:rPr>
          <w:rFonts w:ascii="Book Antiqua" w:hAnsi="Book Antiqua"/>
        </w:rPr>
        <w:t>018.3773]</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72 </w:t>
      </w:r>
      <w:r>
        <w:rPr>
          <w:rFonts w:ascii="Book Antiqua" w:hAnsi="Book Antiqua"/>
          <w:b/>
          <w:bCs/>
        </w:rPr>
        <w:t>Cho YM</w:t>
      </w:r>
      <w:r>
        <w:rPr>
          <w:rFonts w:ascii="Book Antiqua" w:hAnsi="Book Antiqua"/>
        </w:rPr>
        <w:t xml:space="preserve">, Kwon S, Pak YK, Seol HW, Choi YM, Park DJ, Park KS, Lee HK. Dynamic changes in mitochondrial biogenesis and antioxidant enzymes during the spontaneous differentiation of human embryonic stem cells. </w:t>
      </w:r>
      <w:r>
        <w:rPr>
          <w:rFonts w:ascii="Book Antiqua" w:hAnsi="Book Antiqua"/>
          <w:i/>
          <w:iCs/>
        </w:rPr>
        <w:t>Biochem Biophys Res Commun</w:t>
      </w:r>
      <w:r>
        <w:rPr>
          <w:rFonts w:ascii="Book Antiqua" w:hAnsi="Book Antiqua"/>
        </w:rPr>
        <w:t xml:space="preserve"> 2006; </w:t>
      </w:r>
      <w:r>
        <w:rPr>
          <w:rFonts w:ascii="Book Antiqua" w:hAnsi="Book Antiqua"/>
          <w:b/>
          <w:bCs/>
        </w:rPr>
        <w:t>348</w:t>
      </w:r>
      <w:r>
        <w:rPr>
          <w:rFonts w:ascii="Book Antiqua" w:hAnsi="Book Antiqua"/>
        </w:rPr>
        <w:t>:</w:t>
      </w:r>
      <w:r>
        <w:rPr>
          <w:rFonts w:ascii="Book Antiqua" w:hAnsi="Book Antiqua"/>
        </w:rPr>
        <w:t xml:space="preserve"> 1472-1478 [PMID: 16920071 DOI: 10.1016/j.bbrc.2006.08.020]</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73 </w:t>
      </w:r>
      <w:r>
        <w:rPr>
          <w:rFonts w:ascii="Book Antiqua" w:hAnsi="Book Antiqua"/>
          <w:b/>
          <w:bCs/>
        </w:rPr>
        <w:t>Li L</w:t>
      </w:r>
      <w:r>
        <w:rPr>
          <w:rFonts w:ascii="Book Antiqua" w:hAnsi="Book Antiqua"/>
        </w:rPr>
        <w:t>, Chen K, Wang T, Wu Y, Xing G, Chen M, Hao Z, Zhang C, Zhang J, Ma B, Liu Z, Yuan H, Liu Z, Long Q, Zhou Y, Qi J, Zhao D, Gao M, Pei D, Nie J, Ye D, Pan G, Liu X. Glis1 facilitates inducti</w:t>
      </w:r>
      <w:r>
        <w:rPr>
          <w:rFonts w:ascii="Book Antiqua" w:hAnsi="Book Antiqua"/>
        </w:rPr>
        <w:t xml:space="preserve">on of pluripotency via an epigenome-metabolome-epigenome signalling cascade. </w:t>
      </w:r>
      <w:r>
        <w:rPr>
          <w:rFonts w:ascii="Book Antiqua" w:hAnsi="Book Antiqua"/>
          <w:i/>
          <w:iCs/>
        </w:rPr>
        <w:t>Nat Metab</w:t>
      </w:r>
      <w:r>
        <w:rPr>
          <w:rFonts w:ascii="Book Antiqua" w:hAnsi="Book Antiqua"/>
        </w:rPr>
        <w:t xml:space="preserve"> 2020; </w:t>
      </w:r>
      <w:r>
        <w:rPr>
          <w:rFonts w:ascii="Book Antiqua" w:hAnsi="Book Antiqua"/>
          <w:b/>
          <w:bCs/>
        </w:rPr>
        <w:t>2</w:t>
      </w:r>
      <w:r>
        <w:rPr>
          <w:rFonts w:ascii="Book Antiqua" w:hAnsi="Book Antiqua"/>
        </w:rPr>
        <w:t>: 882-892 [PMID: 32839595 DOI: 10.1038/s42255-020-0267-9]</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74 </w:t>
      </w:r>
      <w:r>
        <w:rPr>
          <w:rFonts w:ascii="Book Antiqua" w:hAnsi="Book Antiqua"/>
          <w:b/>
          <w:bCs/>
        </w:rPr>
        <w:t>Sanhueza Salas LF</w:t>
      </w:r>
      <w:r>
        <w:rPr>
          <w:rFonts w:ascii="Book Antiqua" w:hAnsi="Book Antiqua"/>
        </w:rPr>
        <w:t>, García-Venzor A, Beltramone N, Capurro C, Toiber D, Silberman DM. Metabolic Imbala</w:t>
      </w:r>
      <w:r>
        <w:rPr>
          <w:rFonts w:ascii="Book Antiqua" w:hAnsi="Book Antiqua"/>
        </w:rPr>
        <w:t xml:space="preserve">nce Effect on Retinal Müller Glial Cells Reprogramming Capacity: Involvement of Histone Deacetylase SIRT6. </w:t>
      </w:r>
      <w:r>
        <w:rPr>
          <w:rFonts w:ascii="Book Antiqua" w:hAnsi="Book Antiqua"/>
          <w:i/>
          <w:iCs/>
        </w:rPr>
        <w:t>Front Genet</w:t>
      </w:r>
      <w:r>
        <w:rPr>
          <w:rFonts w:ascii="Book Antiqua" w:hAnsi="Book Antiqua"/>
        </w:rPr>
        <w:t xml:space="preserve"> 2021; </w:t>
      </w:r>
      <w:r>
        <w:rPr>
          <w:rFonts w:ascii="Book Antiqua" w:hAnsi="Book Antiqua"/>
          <w:b/>
          <w:bCs/>
        </w:rPr>
        <w:t>12</w:t>
      </w:r>
      <w:r>
        <w:rPr>
          <w:rFonts w:ascii="Book Antiqua" w:hAnsi="Book Antiqua"/>
        </w:rPr>
        <w:t>: 769723 [PMID: 34804128 DOI: 10.3389/fgene.2021.769723]</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75 </w:t>
      </w:r>
      <w:r>
        <w:rPr>
          <w:rFonts w:ascii="Book Antiqua" w:hAnsi="Book Antiqua"/>
          <w:b/>
          <w:bCs/>
        </w:rPr>
        <w:t>Ji S</w:t>
      </w:r>
      <w:r>
        <w:rPr>
          <w:rFonts w:ascii="Book Antiqua" w:hAnsi="Book Antiqua"/>
        </w:rPr>
        <w:t>, Zhou W, Li X, Liu S, Wang F, Li X, Zhao T, Ji G, Du J, Hao A. M</w:t>
      </w:r>
      <w:r>
        <w:rPr>
          <w:rFonts w:ascii="Book Antiqua" w:hAnsi="Book Antiqua"/>
        </w:rPr>
        <w:t xml:space="preserve">aternal hyperglycemia disturbs neocortical neurogenesis via epigenetic regulation in C57BL/6J mice. </w:t>
      </w:r>
      <w:r>
        <w:rPr>
          <w:rFonts w:ascii="Book Antiqua" w:hAnsi="Book Antiqua"/>
          <w:i/>
          <w:iCs/>
        </w:rPr>
        <w:t>Cell Death Dis</w:t>
      </w:r>
      <w:r>
        <w:rPr>
          <w:rFonts w:ascii="Book Antiqua" w:hAnsi="Book Antiqua"/>
        </w:rPr>
        <w:t xml:space="preserve"> 2019; </w:t>
      </w:r>
      <w:r>
        <w:rPr>
          <w:rFonts w:ascii="Book Antiqua" w:hAnsi="Book Antiqua"/>
          <w:b/>
          <w:bCs/>
        </w:rPr>
        <w:t>10</w:t>
      </w:r>
      <w:r>
        <w:rPr>
          <w:rFonts w:ascii="Book Antiqua" w:hAnsi="Book Antiqua"/>
        </w:rPr>
        <w:t>: 211 [PMID: 30824686 DOI: 10.1038/s41419-019-1438-z]</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76 </w:t>
      </w:r>
      <w:r>
        <w:rPr>
          <w:rFonts w:ascii="Book Antiqua" w:hAnsi="Book Antiqua"/>
          <w:b/>
          <w:bCs/>
        </w:rPr>
        <w:t>Sheikh MA</w:t>
      </w:r>
      <w:r>
        <w:rPr>
          <w:rFonts w:ascii="Book Antiqua" w:hAnsi="Book Antiqua"/>
        </w:rPr>
        <w:t>, Emerald BS, Ansari SA. Stem cell fate determination through prote</w:t>
      </w:r>
      <w:r>
        <w:rPr>
          <w:rFonts w:ascii="Book Antiqua" w:hAnsi="Book Antiqua"/>
        </w:rPr>
        <w:t xml:space="preserve">in O-GlcNAcylation. </w:t>
      </w:r>
      <w:r>
        <w:rPr>
          <w:rFonts w:ascii="Book Antiqua" w:hAnsi="Book Antiqua"/>
          <w:i/>
          <w:iCs/>
        </w:rPr>
        <w:t>J Biol Chem</w:t>
      </w:r>
      <w:r>
        <w:rPr>
          <w:rFonts w:ascii="Book Antiqua" w:hAnsi="Book Antiqua"/>
        </w:rPr>
        <w:t xml:space="preserve"> 2021; </w:t>
      </w:r>
      <w:r>
        <w:rPr>
          <w:rFonts w:ascii="Book Antiqua" w:hAnsi="Book Antiqua"/>
          <w:b/>
          <w:bCs/>
        </w:rPr>
        <w:t>296</w:t>
      </w:r>
      <w:r>
        <w:rPr>
          <w:rFonts w:ascii="Book Antiqua" w:hAnsi="Book Antiqua"/>
        </w:rPr>
        <w:t>: 100035 [PMID: 33154167 DOI: 10.1074/jbc.REV120.014915]</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77 </w:t>
      </w:r>
      <w:r>
        <w:rPr>
          <w:rFonts w:ascii="Book Antiqua" w:hAnsi="Book Antiqua"/>
          <w:b/>
          <w:bCs/>
        </w:rPr>
        <w:t>Lees JG</w:t>
      </w:r>
      <w:r>
        <w:rPr>
          <w:rFonts w:ascii="Book Antiqua" w:hAnsi="Book Antiqua"/>
        </w:rPr>
        <w:t xml:space="preserve">, Cliff TS, Gammilonghi A, Ryall JG, Dalton S, Gardner DK, Harvey AJ. Oxygen Regulates Human Pluripotent Stem Cell Metabolic Flux. </w:t>
      </w:r>
      <w:r>
        <w:rPr>
          <w:rFonts w:ascii="Book Antiqua" w:hAnsi="Book Antiqua"/>
          <w:i/>
          <w:iCs/>
        </w:rPr>
        <w:t>Stem Cells Int</w:t>
      </w:r>
      <w:r>
        <w:rPr>
          <w:rFonts w:ascii="Book Antiqua" w:hAnsi="Book Antiqua"/>
        </w:rPr>
        <w:t xml:space="preserve"> 20</w:t>
      </w:r>
      <w:r>
        <w:rPr>
          <w:rFonts w:ascii="Book Antiqua" w:hAnsi="Book Antiqua"/>
        </w:rPr>
        <w:t xml:space="preserve">19; </w:t>
      </w:r>
      <w:r>
        <w:rPr>
          <w:rFonts w:ascii="Book Antiqua" w:hAnsi="Book Antiqua"/>
          <w:b/>
          <w:bCs/>
        </w:rPr>
        <w:t>2019</w:t>
      </w:r>
      <w:r>
        <w:rPr>
          <w:rFonts w:ascii="Book Antiqua" w:hAnsi="Book Antiqua"/>
        </w:rPr>
        <w:t>: 8195614 [PMID: 31236115 DOI: 10.1155/2019/8195614]</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78 </w:t>
      </w:r>
      <w:r>
        <w:rPr>
          <w:rFonts w:ascii="Book Antiqua" w:hAnsi="Book Antiqua"/>
          <w:b/>
          <w:bCs/>
        </w:rPr>
        <w:t>Moussaieff A</w:t>
      </w:r>
      <w:r>
        <w:rPr>
          <w:rFonts w:ascii="Book Antiqua" w:hAnsi="Book Antiqua"/>
        </w:rPr>
        <w:t>, Rouleau M, Kitsberg D, Cohen M, Levy G, Barasch D, Nemirovski A, Shen-Orr S, Laevsky I, Amit M, Bomze D, Elena-Herrmann B, Scherf T, Nissim-Rafinia M, Kempa S, Itskovitz-Eldor J,</w:t>
      </w:r>
      <w:r>
        <w:rPr>
          <w:rFonts w:ascii="Book Antiqua" w:hAnsi="Book Antiqua"/>
        </w:rPr>
        <w:t xml:space="preserve"> Meshorer E, Aberdam D, Nahmias Y. Glycolysis-mediated changes in acetyl-CoA and histone acetylation control the early differentiation of embryonic stem cells. </w:t>
      </w:r>
      <w:r>
        <w:rPr>
          <w:rFonts w:ascii="Book Antiqua" w:hAnsi="Book Antiqua"/>
          <w:i/>
          <w:iCs/>
        </w:rPr>
        <w:t>Cell Metab</w:t>
      </w:r>
      <w:r>
        <w:rPr>
          <w:rFonts w:ascii="Book Antiqua" w:hAnsi="Book Antiqua"/>
        </w:rPr>
        <w:t xml:space="preserve"> 2015; </w:t>
      </w:r>
      <w:r>
        <w:rPr>
          <w:rFonts w:ascii="Book Antiqua" w:hAnsi="Book Antiqua"/>
          <w:b/>
          <w:bCs/>
        </w:rPr>
        <w:t>21</w:t>
      </w:r>
      <w:r>
        <w:rPr>
          <w:rFonts w:ascii="Book Antiqua" w:hAnsi="Book Antiqua"/>
        </w:rPr>
        <w:t>: 392-402 [PMID: 25738455 DOI: 10.1016/j.cmet.2015.02.002]</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79 </w:t>
      </w:r>
      <w:r>
        <w:rPr>
          <w:rFonts w:ascii="Book Antiqua" w:hAnsi="Book Antiqua"/>
          <w:b/>
          <w:bCs/>
        </w:rPr>
        <w:t>Uittenbogaard M</w:t>
      </w:r>
      <w:r>
        <w:rPr>
          <w:rFonts w:ascii="Book Antiqua" w:hAnsi="Book Antiqua"/>
        </w:rPr>
        <w:t xml:space="preserve">, Brantner CA, Chiaramello A. Epigenetic modifiers promote mitochondrial biogenesis and oxidative metabolism leading to enhanced differentiation of neuroprogenitor cells. </w:t>
      </w:r>
      <w:r>
        <w:rPr>
          <w:rFonts w:ascii="Book Antiqua" w:hAnsi="Book Antiqua"/>
          <w:i/>
          <w:iCs/>
        </w:rPr>
        <w:t>Cell Death Dis</w:t>
      </w:r>
      <w:r>
        <w:rPr>
          <w:rFonts w:ascii="Book Antiqua" w:hAnsi="Book Antiqua"/>
        </w:rPr>
        <w:t xml:space="preserve"> 2018; </w:t>
      </w:r>
      <w:r>
        <w:rPr>
          <w:rFonts w:ascii="Book Antiqua" w:hAnsi="Book Antiqua"/>
          <w:b/>
          <w:bCs/>
        </w:rPr>
        <w:t>9</w:t>
      </w:r>
      <w:r>
        <w:rPr>
          <w:rFonts w:ascii="Book Antiqua" w:hAnsi="Book Antiqua"/>
        </w:rPr>
        <w:t>: 360 [PMID: 29500414 DOI: 10.1038/s41419-018-0396-1]</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80 </w:t>
      </w:r>
      <w:r>
        <w:rPr>
          <w:rFonts w:ascii="Book Antiqua" w:hAnsi="Book Antiqua"/>
          <w:b/>
          <w:bCs/>
        </w:rPr>
        <w:t>Oburog</w:t>
      </w:r>
      <w:r>
        <w:rPr>
          <w:rFonts w:ascii="Book Antiqua" w:hAnsi="Book Antiqua"/>
          <w:b/>
          <w:bCs/>
        </w:rPr>
        <w:t>lu L</w:t>
      </w:r>
      <w:r>
        <w:rPr>
          <w:rFonts w:ascii="Book Antiqua" w:hAnsi="Book Antiqua"/>
        </w:rPr>
        <w:t xml:space="preserve">, Mansell E, Canals I, Sigurdsson V, Guibentif C, Soneji S, Woods NB. Pyruvate metabolism guides definitive lineage specification during hematopoietic emergence. </w:t>
      </w:r>
      <w:r>
        <w:rPr>
          <w:rFonts w:ascii="Book Antiqua" w:hAnsi="Book Antiqua"/>
          <w:i/>
          <w:iCs/>
        </w:rPr>
        <w:t>EMBO Rep</w:t>
      </w:r>
      <w:r>
        <w:rPr>
          <w:rFonts w:ascii="Book Antiqua" w:hAnsi="Book Antiqua"/>
        </w:rPr>
        <w:t xml:space="preserve"> 2022; </w:t>
      </w:r>
      <w:r>
        <w:rPr>
          <w:rFonts w:ascii="Book Antiqua" w:hAnsi="Book Antiqua"/>
          <w:b/>
          <w:bCs/>
        </w:rPr>
        <w:t>23</w:t>
      </w:r>
      <w:r>
        <w:rPr>
          <w:rFonts w:ascii="Book Antiqua" w:hAnsi="Book Antiqua"/>
        </w:rPr>
        <w:t>: e54384 [PMID: 34914165 DOI: 10.15252/embr.202154384]</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81 </w:t>
      </w:r>
      <w:r>
        <w:rPr>
          <w:rFonts w:ascii="Book Antiqua" w:hAnsi="Book Antiqua"/>
          <w:b/>
          <w:bCs/>
        </w:rPr>
        <w:t>Shvedunova M</w:t>
      </w:r>
      <w:r>
        <w:rPr>
          <w:rFonts w:ascii="Book Antiqua" w:hAnsi="Book Antiqua"/>
        </w:rPr>
        <w:t xml:space="preserve">, Akhtar A. Modulation of cellular processes by histone and non-histone protein acetylation. </w:t>
      </w:r>
      <w:r>
        <w:rPr>
          <w:rFonts w:ascii="Book Antiqua" w:hAnsi="Book Antiqua"/>
          <w:i/>
          <w:iCs/>
        </w:rPr>
        <w:t>Nat Rev Mol Cell Biol</w:t>
      </w:r>
      <w:r>
        <w:rPr>
          <w:rFonts w:ascii="Book Antiqua" w:hAnsi="Book Antiqua"/>
        </w:rPr>
        <w:t xml:space="preserve"> 2022; </w:t>
      </w:r>
      <w:r>
        <w:rPr>
          <w:rFonts w:ascii="Book Antiqua" w:hAnsi="Book Antiqua"/>
          <w:b/>
          <w:bCs/>
        </w:rPr>
        <w:t>23</w:t>
      </w:r>
      <w:r>
        <w:rPr>
          <w:rFonts w:ascii="Book Antiqua" w:hAnsi="Book Antiqua"/>
        </w:rPr>
        <w:t>: 329-349 [PMID: 35042977 DOI: 10.1038/s41580-021-00441-y]</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82 </w:t>
      </w:r>
      <w:r>
        <w:rPr>
          <w:rFonts w:ascii="Book Antiqua" w:hAnsi="Book Antiqua"/>
          <w:b/>
          <w:bCs/>
        </w:rPr>
        <w:t>Imai S</w:t>
      </w:r>
      <w:r>
        <w:rPr>
          <w:rFonts w:ascii="Book Antiqua" w:hAnsi="Book Antiqua"/>
        </w:rPr>
        <w:t xml:space="preserve">, Guarente L. NAD+ and sirtuins in aging and disease. </w:t>
      </w:r>
      <w:r>
        <w:rPr>
          <w:rFonts w:ascii="Book Antiqua" w:hAnsi="Book Antiqua"/>
          <w:i/>
          <w:iCs/>
        </w:rPr>
        <w:t>Trends Cell</w:t>
      </w:r>
      <w:r>
        <w:rPr>
          <w:rFonts w:ascii="Book Antiqua" w:hAnsi="Book Antiqua"/>
          <w:i/>
          <w:iCs/>
        </w:rPr>
        <w:t xml:space="preserve"> Biol</w:t>
      </w:r>
      <w:r>
        <w:rPr>
          <w:rFonts w:ascii="Book Antiqua" w:hAnsi="Book Antiqua"/>
        </w:rPr>
        <w:t xml:space="preserve"> 2014; </w:t>
      </w:r>
      <w:r>
        <w:rPr>
          <w:rFonts w:ascii="Book Antiqua" w:hAnsi="Book Antiqua"/>
          <w:b/>
          <w:bCs/>
        </w:rPr>
        <w:t>24</w:t>
      </w:r>
      <w:r>
        <w:rPr>
          <w:rFonts w:ascii="Book Antiqua" w:hAnsi="Book Antiqua"/>
        </w:rPr>
        <w:t>: 464-471 [PMID: 24786309 DOI: 10.1016/j.tcb.2014.04.002]</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83 </w:t>
      </w:r>
      <w:r>
        <w:rPr>
          <w:rFonts w:ascii="Book Antiqua" w:hAnsi="Book Antiqua"/>
          <w:b/>
          <w:bCs/>
        </w:rPr>
        <w:t>Williams EO</w:t>
      </w:r>
      <w:r>
        <w:rPr>
          <w:rFonts w:ascii="Book Antiqua" w:hAnsi="Book Antiqua"/>
        </w:rPr>
        <w:t xml:space="preserve">, Taylor AK, Bell EL, Lim R, Kim DM, Guarente L. Sirtuin 1 Promotes Deacetylation of Oct4 and Maintenance of Naive Pluripotency. </w:t>
      </w:r>
      <w:r>
        <w:rPr>
          <w:rFonts w:ascii="Book Antiqua" w:hAnsi="Book Antiqua"/>
          <w:i/>
          <w:iCs/>
        </w:rPr>
        <w:t>Cell Rep</w:t>
      </w:r>
      <w:r>
        <w:rPr>
          <w:rFonts w:ascii="Book Antiqua" w:hAnsi="Book Antiqua"/>
        </w:rPr>
        <w:t xml:space="preserve"> 2016; </w:t>
      </w:r>
      <w:r>
        <w:rPr>
          <w:rFonts w:ascii="Book Antiqua" w:hAnsi="Book Antiqua"/>
          <w:b/>
          <w:bCs/>
        </w:rPr>
        <w:t>17</w:t>
      </w:r>
      <w:r>
        <w:rPr>
          <w:rFonts w:ascii="Book Antiqua" w:hAnsi="Book Antiqua"/>
        </w:rPr>
        <w:t>: 809-820 [PMID: 2773285</w:t>
      </w:r>
      <w:r>
        <w:rPr>
          <w:rFonts w:ascii="Book Antiqua" w:hAnsi="Book Antiqua"/>
        </w:rPr>
        <w:t>6 DOI: 10.1016/j.celrep.2016.09.046]</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84 </w:t>
      </w:r>
      <w:r>
        <w:rPr>
          <w:rFonts w:ascii="Book Antiqua" w:hAnsi="Book Antiqua"/>
          <w:b/>
          <w:bCs/>
        </w:rPr>
        <w:t>Chiarugi A</w:t>
      </w:r>
      <w:r>
        <w:rPr>
          <w:rFonts w:ascii="Book Antiqua" w:hAnsi="Book Antiqua"/>
        </w:rPr>
        <w:t xml:space="preserve">, Dölle C, Felici R, Ziegler M. The NAD metabolome--a key determinant of cancer cell biology. </w:t>
      </w:r>
      <w:r>
        <w:rPr>
          <w:rFonts w:ascii="Book Antiqua" w:hAnsi="Book Antiqua"/>
          <w:i/>
          <w:iCs/>
        </w:rPr>
        <w:t>Nat Rev Cancer</w:t>
      </w:r>
      <w:r>
        <w:rPr>
          <w:rFonts w:ascii="Book Antiqua" w:hAnsi="Book Antiqua"/>
        </w:rPr>
        <w:t xml:space="preserve"> 2012; </w:t>
      </w:r>
      <w:r>
        <w:rPr>
          <w:rFonts w:ascii="Book Antiqua" w:hAnsi="Book Antiqua"/>
          <w:b/>
          <w:bCs/>
        </w:rPr>
        <w:t>12</w:t>
      </w:r>
      <w:r>
        <w:rPr>
          <w:rFonts w:ascii="Book Antiqua" w:hAnsi="Book Antiqua"/>
        </w:rPr>
        <w:t>: 741-752 [PMID: 23018234 DOI: 10.1038/nrc3340]</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85 </w:t>
      </w:r>
      <w:r>
        <w:rPr>
          <w:rFonts w:ascii="Book Antiqua" w:hAnsi="Book Antiqua"/>
          <w:b/>
          <w:bCs/>
        </w:rPr>
        <w:t>Zhu P</w:t>
      </w:r>
      <w:r>
        <w:rPr>
          <w:rFonts w:ascii="Book Antiqua" w:hAnsi="Book Antiqua"/>
        </w:rPr>
        <w:t>, Hamlish NX, Thakkar AV, Steffec</w:t>
      </w:r>
      <w:r>
        <w:rPr>
          <w:rFonts w:ascii="Book Antiqua" w:hAnsi="Book Antiqua"/>
        </w:rPr>
        <w:t>k AWT, Rendleman EJ, Khan NH, Waldeck NJ, DeVilbiss AW, Martin-Sandoval MS, Mathews TP, Chandel NS, Peek CB. BMAL1 drives muscle repair through control of hypoxic NAD</w:t>
      </w:r>
      <w:r>
        <w:rPr>
          <w:rFonts w:ascii="Book Antiqua" w:hAnsi="Book Antiqua"/>
          <w:vertAlign w:val="superscript"/>
        </w:rPr>
        <w:t>+</w:t>
      </w:r>
      <w:r>
        <w:rPr>
          <w:rFonts w:ascii="Book Antiqua" w:hAnsi="Book Antiqua"/>
        </w:rPr>
        <w:t xml:space="preserve"> regeneration in satellite cells. </w:t>
      </w:r>
      <w:r>
        <w:rPr>
          <w:rFonts w:ascii="Book Antiqua" w:hAnsi="Book Antiqua"/>
          <w:i/>
          <w:iCs/>
        </w:rPr>
        <w:t>Genes Dev</w:t>
      </w:r>
      <w:r>
        <w:rPr>
          <w:rFonts w:ascii="Book Antiqua" w:hAnsi="Book Antiqua"/>
        </w:rPr>
        <w:t xml:space="preserve"> 2022; </w:t>
      </w:r>
      <w:r>
        <w:rPr>
          <w:rFonts w:ascii="Book Antiqua" w:hAnsi="Book Antiqua"/>
          <w:b/>
          <w:bCs/>
        </w:rPr>
        <w:t>36</w:t>
      </w:r>
      <w:r>
        <w:rPr>
          <w:rFonts w:ascii="Book Antiqua" w:hAnsi="Book Antiqua"/>
        </w:rPr>
        <w:t>: 149-166 [PMID: 35115380 DOI: 10.110</w:t>
      </w:r>
      <w:r>
        <w:rPr>
          <w:rFonts w:ascii="Book Antiqua" w:hAnsi="Book Antiqua"/>
        </w:rPr>
        <w:t>1/gad.349066.121]</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86 </w:t>
      </w:r>
      <w:r>
        <w:rPr>
          <w:rFonts w:ascii="Book Antiqua" w:hAnsi="Book Antiqua"/>
          <w:b/>
          <w:bCs/>
        </w:rPr>
        <w:t>Chakrabarty RP</w:t>
      </w:r>
      <w:r>
        <w:rPr>
          <w:rFonts w:ascii="Book Antiqua" w:hAnsi="Book Antiqua"/>
        </w:rPr>
        <w:t xml:space="preserve">, Chandel NS. Mitochondria as Signaling Organelles Control Mammalian Stem Cell Fate. </w:t>
      </w:r>
      <w:r>
        <w:rPr>
          <w:rFonts w:ascii="Book Antiqua" w:hAnsi="Book Antiqua"/>
          <w:i/>
          <w:iCs/>
        </w:rPr>
        <w:t>Cell Stem Cell</w:t>
      </w:r>
      <w:r>
        <w:rPr>
          <w:rFonts w:ascii="Book Antiqua" w:hAnsi="Book Antiqua"/>
        </w:rPr>
        <w:t xml:space="preserve"> 2021; </w:t>
      </w:r>
      <w:r>
        <w:rPr>
          <w:rFonts w:ascii="Book Antiqua" w:hAnsi="Book Antiqua"/>
          <w:b/>
          <w:bCs/>
        </w:rPr>
        <w:t>28</w:t>
      </w:r>
      <w:r>
        <w:rPr>
          <w:rFonts w:ascii="Book Antiqua" w:hAnsi="Book Antiqua"/>
        </w:rPr>
        <w:t>: 394-408 [PMID: 33667360 DOI: 10.1016/j.stem.2021.02.011]</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87 </w:t>
      </w:r>
      <w:r>
        <w:rPr>
          <w:rFonts w:ascii="Book Antiqua" w:hAnsi="Book Antiqua"/>
          <w:b/>
          <w:bCs/>
        </w:rPr>
        <w:t>Lopaschuk GD</w:t>
      </w:r>
      <w:r>
        <w:rPr>
          <w:rFonts w:ascii="Book Antiqua" w:hAnsi="Book Antiqua"/>
        </w:rPr>
        <w:t xml:space="preserve">, Karwi QG, Tian R, Wende AR, Abel ED. </w:t>
      </w:r>
      <w:r>
        <w:rPr>
          <w:rFonts w:ascii="Book Antiqua" w:hAnsi="Book Antiqua"/>
        </w:rPr>
        <w:t xml:space="preserve">Cardiac Energy Metabolism in Heart Failure. </w:t>
      </w:r>
      <w:r>
        <w:rPr>
          <w:rFonts w:ascii="Book Antiqua" w:hAnsi="Book Antiqua"/>
          <w:i/>
          <w:iCs/>
        </w:rPr>
        <w:t>Circ Res</w:t>
      </w:r>
      <w:r>
        <w:rPr>
          <w:rFonts w:ascii="Book Antiqua" w:hAnsi="Book Antiqua"/>
        </w:rPr>
        <w:t xml:space="preserve"> 2021; </w:t>
      </w:r>
      <w:r>
        <w:rPr>
          <w:rFonts w:ascii="Book Antiqua" w:hAnsi="Book Antiqua"/>
          <w:b/>
          <w:bCs/>
        </w:rPr>
        <w:t>128</w:t>
      </w:r>
      <w:r>
        <w:rPr>
          <w:rFonts w:ascii="Book Antiqua" w:hAnsi="Book Antiqua"/>
        </w:rPr>
        <w:t>: 1487-1513 [PMID: 33983836 DOI: 10.1161/CIRCRESAHA.121.318241]</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88 </w:t>
      </w:r>
      <w:r>
        <w:rPr>
          <w:rFonts w:ascii="Book Antiqua" w:hAnsi="Book Antiqua"/>
          <w:b/>
          <w:bCs/>
        </w:rPr>
        <w:t>Hamaidi I</w:t>
      </w:r>
      <w:r>
        <w:rPr>
          <w:rFonts w:ascii="Book Antiqua" w:hAnsi="Book Antiqua"/>
        </w:rPr>
        <w:t xml:space="preserve">, Kim S. Sirtuins are crucial regulators of T cell metabolism and functions. </w:t>
      </w:r>
      <w:r>
        <w:rPr>
          <w:rFonts w:ascii="Book Antiqua" w:hAnsi="Book Antiqua"/>
          <w:i/>
          <w:iCs/>
        </w:rPr>
        <w:t>Exp Mol Med</w:t>
      </w:r>
      <w:r>
        <w:rPr>
          <w:rFonts w:ascii="Book Antiqua" w:hAnsi="Book Antiqua"/>
        </w:rPr>
        <w:t xml:space="preserve"> 2022; </w:t>
      </w:r>
      <w:r>
        <w:rPr>
          <w:rFonts w:ascii="Book Antiqua" w:hAnsi="Book Antiqua"/>
          <w:b/>
          <w:bCs/>
        </w:rPr>
        <w:t>54</w:t>
      </w:r>
      <w:r>
        <w:rPr>
          <w:rFonts w:ascii="Book Antiqua" w:hAnsi="Book Antiqua"/>
        </w:rPr>
        <w:t>: 207-215 [PMID: 3529</w:t>
      </w:r>
      <w:r>
        <w:rPr>
          <w:rFonts w:ascii="Book Antiqua" w:hAnsi="Book Antiqua"/>
        </w:rPr>
        <w:t>6782 DOI: 10.1038/s12276-022-00739-7]</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89 </w:t>
      </w:r>
      <w:r>
        <w:rPr>
          <w:rFonts w:ascii="Book Antiqua" w:hAnsi="Book Antiqua"/>
          <w:b/>
          <w:bCs/>
        </w:rPr>
        <w:t>Sun G</w:t>
      </w:r>
      <w:r>
        <w:rPr>
          <w:rFonts w:ascii="Book Antiqua" w:hAnsi="Book Antiqua"/>
        </w:rPr>
        <w:t xml:space="preserve">, Alzayady K, Stewart R, Ye P, Yang S, Li W, Shi Y. Histone demethylase LSD1 regulates neural stem cell proliferation. </w:t>
      </w:r>
      <w:r>
        <w:rPr>
          <w:rFonts w:ascii="Book Antiqua" w:hAnsi="Book Antiqua"/>
          <w:i/>
          <w:iCs/>
        </w:rPr>
        <w:t>Mol Cell Biol</w:t>
      </w:r>
      <w:r>
        <w:rPr>
          <w:rFonts w:ascii="Book Antiqua" w:hAnsi="Book Antiqua"/>
        </w:rPr>
        <w:t xml:space="preserve"> 2010; </w:t>
      </w:r>
      <w:r>
        <w:rPr>
          <w:rFonts w:ascii="Book Antiqua" w:hAnsi="Book Antiqua"/>
          <w:b/>
          <w:bCs/>
        </w:rPr>
        <w:t>30</w:t>
      </w:r>
      <w:r>
        <w:rPr>
          <w:rFonts w:ascii="Book Antiqua" w:hAnsi="Book Antiqua"/>
        </w:rPr>
        <w:t>: 1997-2005 [PMID: 20123967 DOI: 10.1128/MCB.01116-09]</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90 </w:t>
      </w:r>
      <w:r>
        <w:rPr>
          <w:rFonts w:ascii="Book Antiqua" w:hAnsi="Book Antiqua"/>
          <w:b/>
          <w:bCs/>
        </w:rPr>
        <w:t>Gao L</w:t>
      </w:r>
      <w:r>
        <w:rPr>
          <w:rFonts w:ascii="Book Antiqua" w:hAnsi="Book Antiqua"/>
        </w:rPr>
        <w:t>, Alum</w:t>
      </w:r>
      <w:r>
        <w:rPr>
          <w:rFonts w:ascii="Book Antiqua" w:hAnsi="Book Antiqua"/>
        </w:rPr>
        <w:t xml:space="preserve">kal J. Epigenetic regulation of androgen receptor signaling in prostate cancer. </w:t>
      </w:r>
      <w:r>
        <w:rPr>
          <w:rFonts w:ascii="Book Antiqua" w:hAnsi="Book Antiqua"/>
          <w:i/>
          <w:iCs/>
        </w:rPr>
        <w:t>Epigenetics</w:t>
      </w:r>
      <w:r>
        <w:rPr>
          <w:rFonts w:ascii="Book Antiqua" w:hAnsi="Book Antiqua"/>
        </w:rPr>
        <w:t xml:space="preserve"> 2010; </w:t>
      </w:r>
      <w:r>
        <w:rPr>
          <w:rFonts w:ascii="Book Antiqua" w:hAnsi="Book Antiqua"/>
          <w:b/>
          <w:bCs/>
        </w:rPr>
        <w:t>5</w:t>
      </w:r>
      <w:r>
        <w:rPr>
          <w:rFonts w:ascii="Book Antiqua" w:hAnsi="Book Antiqua"/>
        </w:rPr>
        <w:t>: 100-104 [PMID: 20160483 DOI: 10.4161/epi.5.2.10778]</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91 </w:t>
      </w:r>
      <w:r>
        <w:rPr>
          <w:rFonts w:ascii="Book Antiqua" w:hAnsi="Book Antiqua"/>
          <w:b/>
          <w:bCs/>
        </w:rPr>
        <w:t>Tu WJ</w:t>
      </w:r>
      <w:r>
        <w:rPr>
          <w:rFonts w:ascii="Book Antiqua" w:hAnsi="Book Antiqua"/>
        </w:rPr>
        <w:t>, McCuaig RD, Tan AHY, Hardy K, Seddiki N, Ali S, Dahlstrom JE, Bean EG, Dunn J, Forwood J, Tsi</w:t>
      </w:r>
      <w:r>
        <w:rPr>
          <w:rFonts w:ascii="Book Antiqua" w:hAnsi="Book Antiqua"/>
        </w:rPr>
        <w:t xml:space="preserve">mbalyuk S, Smith K, Yip D, Malik L, Prasanna T, Milburn P, Rao S. Targeting Nuclear LSD1 to Reprogram Cancer Cells and Reinvigorate Exhausted T Cells via a Novel LSD1-EOMES Switch.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1228 [PMID: 32612611 DOI: 10.3389/fimmu.2020.01228]</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92 </w:t>
      </w:r>
      <w:r>
        <w:rPr>
          <w:rFonts w:ascii="Book Antiqua" w:hAnsi="Book Antiqua"/>
          <w:b/>
          <w:bCs/>
        </w:rPr>
        <w:t>Li Z</w:t>
      </w:r>
      <w:r>
        <w:rPr>
          <w:rFonts w:ascii="Book Antiqua" w:hAnsi="Book Antiqua"/>
        </w:rPr>
        <w:t>, Ding L, Li Z, Wang Z, Suo F, Shen D, Zhao T, Sun X, Wang J, Liu Y, Ma L, Zhao B, Geng P, Yu B, Zheng Y, Liu H. Development of the triazole-fused pyrimidine derivatives as highly potent and reversible inhibitors of histone lysine specific demethyl</w:t>
      </w:r>
      <w:r>
        <w:rPr>
          <w:rFonts w:ascii="Book Antiqua" w:hAnsi="Book Antiqua"/>
        </w:rPr>
        <w:t xml:space="preserve">ase 1 (LSD1/KDM1A). </w:t>
      </w:r>
      <w:r>
        <w:rPr>
          <w:rFonts w:ascii="Book Antiqua" w:hAnsi="Book Antiqua"/>
          <w:i/>
          <w:iCs/>
        </w:rPr>
        <w:t>Acta Pharm Sin B</w:t>
      </w:r>
      <w:r>
        <w:rPr>
          <w:rFonts w:ascii="Book Antiqua" w:hAnsi="Book Antiqua"/>
        </w:rPr>
        <w:t xml:space="preserve"> 2019; </w:t>
      </w:r>
      <w:r>
        <w:rPr>
          <w:rFonts w:ascii="Book Antiqua" w:hAnsi="Book Antiqua"/>
          <w:b/>
          <w:bCs/>
        </w:rPr>
        <w:t>9</w:t>
      </w:r>
      <w:r>
        <w:rPr>
          <w:rFonts w:ascii="Book Antiqua" w:hAnsi="Book Antiqua"/>
        </w:rPr>
        <w:t>: 794-808 [PMID: 31384539 DOI: 10.1016/j.apsb.2019.01.001]</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93 </w:t>
      </w:r>
      <w:r>
        <w:rPr>
          <w:rFonts w:ascii="Book Antiqua" w:hAnsi="Book Antiqua"/>
          <w:b/>
          <w:bCs/>
        </w:rPr>
        <w:t>Metzger E</w:t>
      </w:r>
      <w:r>
        <w:rPr>
          <w:rFonts w:ascii="Book Antiqua" w:hAnsi="Book Antiqua"/>
        </w:rPr>
        <w:t>, Wissmann M, Yin N, Müller JM, Schneider R, Peters AH, Günther T, Buettner R, Schüle R. LSD1 demethylates repressive histone marks to promot</w:t>
      </w:r>
      <w:r>
        <w:rPr>
          <w:rFonts w:ascii="Book Antiqua" w:hAnsi="Book Antiqua"/>
        </w:rPr>
        <w:t xml:space="preserve">e androgen-receptor-dependent transcription. </w:t>
      </w:r>
      <w:r>
        <w:rPr>
          <w:rFonts w:ascii="Book Antiqua" w:hAnsi="Book Antiqua"/>
          <w:i/>
          <w:iCs/>
        </w:rPr>
        <w:t>Nature</w:t>
      </w:r>
      <w:r>
        <w:rPr>
          <w:rFonts w:ascii="Book Antiqua" w:hAnsi="Book Antiqua"/>
        </w:rPr>
        <w:t xml:space="preserve"> 2005; </w:t>
      </w:r>
      <w:r>
        <w:rPr>
          <w:rFonts w:ascii="Book Antiqua" w:hAnsi="Book Antiqua"/>
          <w:b/>
          <w:bCs/>
        </w:rPr>
        <w:t>437</w:t>
      </w:r>
      <w:r>
        <w:rPr>
          <w:rFonts w:ascii="Book Antiqua" w:hAnsi="Book Antiqua"/>
        </w:rPr>
        <w:t>: 436-439 [PMID: 16079795 DOI: 10.1038/nature04020]</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94 </w:t>
      </w:r>
      <w:r>
        <w:rPr>
          <w:rFonts w:ascii="Book Antiqua" w:hAnsi="Book Antiqua"/>
          <w:b/>
          <w:bCs/>
        </w:rPr>
        <w:t>Schulz-Fincke J</w:t>
      </w:r>
      <w:r>
        <w:rPr>
          <w:rFonts w:ascii="Book Antiqua" w:hAnsi="Book Antiqua"/>
        </w:rPr>
        <w:t>, Hau M, Barth J, Robaa D, Willmann D, Kürner A, Haas J, Greve G, Haydn T, Fulda S, Lübbert M, Lüdeke S, Berg T, Sippl W, Sch</w:t>
      </w:r>
      <w:r>
        <w:rPr>
          <w:rFonts w:ascii="Book Antiqua" w:hAnsi="Book Antiqua"/>
        </w:rPr>
        <w:t>üle R, Jung M. Structure-</w:t>
      </w:r>
      <w:r>
        <w:rPr>
          <w:rFonts w:ascii="Book Antiqua" w:hAnsi="Book Antiqua"/>
        </w:rPr>
        <w:lastRenderedPageBreak/>
        <w:t xml:space="preserve">activity studies on N-Substituted tranylcypromine derivatives lead to selective inhibitors of lysine specific demethylase 1 (LSD1) and potent inducers of leukemic cell differentiation. </w:t>
      </w:r>
      <w:r>
        <w:rPr>
          <w:rFonts w:ascii="Book Antiqua" w:hAnsi="Book Antiqua"/>
          <w:i/>
          <w:iCs/>
        </w:rPr>
        <w:t>Eur J Med Chem</w:t>
      </w:r>
      <w:r>
        <w:rPr>
          <w:rFonts w:ascii="Book Antiqua" w:hAnsi="Book Antiqua"/>
        </w:rPr>
        <w:t xml:space="preserve"> 2018; </w:t>
      </w:r>
      <w:r>
        <w:rPr>
          <w:rFonts w:ascii="Book Antiqua" w:hAnsi="Book Antiqua"/>
          <w:b/>
          <w:bCs/>
        </w:rPr>
        <w:t>144</w:t>
      </w:r>
      <w:r>
        <w:rPr>
          <w:rFonts w:ascii="Book Antiqua" w:hAnsi="Book Antiqua"/>
        </w:rPr>
        <w:t>: 52-67 [PMID: 2924786</w:t>
      </w:r>
      <w:r>
        <w:rPr>
          <w:rFonts w:ascii="Book Antiqua" w:hAnsi="Book Antiqua"/>
        </w:rPr>
        <w:t>0 DOI: 10.1016/j.ejmech.2017.12.001]</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95 </w:t>
      </w:r>
      <w:r>
        <w:rPr>
          <w:rFonts w:ascii="Book Antiqua" w:hAnsi="Book Antiqua"/>
          <w:b/>
          <w:bCs/>
        </w:rPr>
        <w:t>He M</w:t>
      </w:r>
      <w:r>
        <w:rPr>
          <w:rFonts w:ascii="Book Antiqua" w:hAnsi="Book Antiqua"/>
        </w:rPr>
        <w:t xml:space="preserve">, Zhang T, Zhu Z, Qin S, Wang H, Zhao L, Zhang X, Hu J, Wen J, Cai H, Xin Q, Guo Q, Lin L, Zhou B, Zhang H, Xia G, Wang C. LSD1 contributes to programmed oocyte death by regulating the transcription of autophagy </w:t>
      </w:r>
      <w:r>
        <w:rPr>
          <w:rFonts w:ascii="Book Antiqua" w:hAnsi="Book Antiqua"/>
        </w:rPr>
        <w:t xml:space="preserve">adaptor SQSTM1/p62. </w:t>
      </w:r>
      <w:r>
        <w:rPr>
          <w:rFonts w:ascii="Book Antiqua" w:hAnsi="Book Antiqua"/>
          <w:i/>
          <w:iCs/>
        </w:rPr>
        <w:t>Aging Cell</w:t>
      </w:r>
      <w:r>
        <w:rPr>
          <w:rFonts w:ascii="Book Antiqua" w:hAnsi="Book Antiqua"/>
        </w:rPr>
        <w:t xml:space="preserve"> 2020; </w:t>
      </w:r>
      <w:r>
        <w:rPr>
          <w:rFonts w:ascii="Book Antiqua" w:hAnsi="Book Antiqua"/>
          <w:b/>
          <w:bCs/>
        </w:rPr>
        <w:t>19</w:t>
      </w:r>
      <w:r>
        <w:rPr>
          <w:rFonts w:ascii="Book Antiqua" w:hAnsi="Book Antiqua"/>
        </w:rPr>
        <w:t>: e13102 [PMID: 32074399 DOI: 10.1111/acel.13102]</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96 </w:t>
      </w:r>
      <w:r>
        <w:rPr>
          <w:rFonts w:ascii="Book Antiqua" w:hAnsi="Book Antiqua"/>
          <w:b/>
          <w:bCs/>
        </w:rPr>
        <w:t>Burnichon N</w:t>
      </w:r>
      <w:r>
        <w:rPr>
          <w:rFonts w:ascii="Book Antiqua" w:hAnsi="Book Antiqua"/>
        </w:rPr>
        <w:t>, Brière JJ, Libé R, Vescovo L, Rivière J, Tissier F, Jouanno E, Jeunemaitre X, Bénit P, Tzagoloff A, Rustin P, Bertherat J, Favier J, Gimenez-Roqueplo A</w:t>
      </w:r>
      <w:r>
        <w:rPr>
          <w:rFonts w:ascii="Book Antiqua" w:hAnsi="Book Antiqua"/>
        </w:rPr>
        <w:t xml:space="preserve">P. SDHA is a tumor suppressor gene causing paraganglioma. </w:t>
      </w:r>
      <w:r>
        <w:rPr>
          <w:rFonts w:ascii="Book Antiqua" w:hAnsi="Book Antiqua"/>
          <w:i/>
          <w:iCs/>
        </w:rPr>
        <w:t>Hum Mol Genet</w:t>
      </w:r>
      <w:r>
        <w:rPr>
          <w:rFonts w:ascii="Book Antiqua" w:hAnsi="Book Antiqua"/>
        </w:rPr>
        <w:t xml:space="preserve"> 2010; </w:t>
      </w:r>
      <w:r>
        <w:rPr>
          <w:rFonts w:ascii="Book Antiqua" w:hAnsi="Book Antiqua"/>
          <w:b/>
          <w:bCs/>
        </w:rPr>
        <w:t>19</w:t>
      </w:r>
      <w:r>
        <w:rPr>
          <w:rFonts w:ascii="Book Antiqua" w:hAnsi="Book Antiqua"/>
        </w:rPr>
        <w:t>: 3011-3020 [PMID: 20484225 DOI: 10.1093/hmg/ddq206]</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97 </w:t>
      </w:r>
      <w:r>
        <w:rPr>
          <w:rFonts w:ascii="Book Antiqua" w:hAnsi="Book Antiqua"/>
          <w:b/>
          <w:bCs/>
        </w:rPr>
        <w:t>Nazar E</w:t>
      </w:r>
      <w:r>
        <w:rPr>
          <w:rFonts w:ascii="Book Antiqua" w:hAnsi="Book Antiqua"/>
        </w:rPr>
        <w:t xml:space="preserve">, Khatami F, Saffar H, Tavangar SM. The Emerging Role of Succinate Dehyrogenase Genes (SDHx) in Tumorigenesis. </w:t>
      </w:r>
      <w:r>
        <w:rPr>
          <w:rFonts w:ascii="Book Antiqua" w:hAnsi="Book Antiqua"/>
          <w:i/>
          <w:iCs/>
        </w:rPr>
        <w:t>In</w:t>
      </w:r>
      <w:r>
        <w:rPr>
          <w:rFonts w:ascii="Book Antiqua" w:hAnsi="Book Antiqua"/>
          <w:i/>
          <w:iCs/>
        </w:rPr>
        <w:t>t J Hematol Oncol Stem Cell Res</w:t>
      </w:r>
      <w:r>
        <w:rPr>
          <w:rFonts w:ascii="Book Antiqua" w:hAnsi="Book Antiqua"/>
        </w:rPr>
        <w:t xml:space="preserve"> 2019; </w:t>
      </w:r>
      <w:r>
        <w:rPr>
          <w:rFonts w:ascii="Book Antiqua" w:hAnsi="Book Antiqua"/>
          <w:b/>
          <w:bCs/>
        </w:rPr>
        <w:t>13</w:t>
      </w:r>
      <w:r>
        <w:rPr>
          <w:rFonts w:ascii="Book Antiqua" w:hAnsi="Book Antiqua"/>
        </w:rPr>
        <w:t>: 72-82 [</w:t>
      </w:r>
      <w:bookmarkStart w:id="27" w:name="OLE_LINK26"/>
      <w:bookmarkStart w:id="28" w:name="OLE_LINK27"/>
      <w:r>
        <w:rPr>
          <w:rFonts w:ascii="Book Antiqua" w:hAnsi="Book Antiqua"/>
        </w:rPr>
        <w:t>PMID: 31372201</w:t>
      </w:r>
      <w:bookmarkEnd w:id="27"/>
      <w:bookmarkEnd w:id="28"/>
      <w:r>
        <w:rPr>
          <w:rFonts w:ascii="Book Antiqua" w:hAnsi="Book Antiqua"/>
        </w:rPr>
        <w:t>]</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98 </w:t>
      </w:r>
      <w:r>
        <w:rPr>
          <w:rFonts w:ascii="Book Antiqua" w:hAnsi="Book Antiqua"/>
          <w:b/>
          <w:bCs/>
        </w:rPr>
        <w:t>Wong CC</w:t>
      </w:r>
      <w:r>
        <w:rPr>
          <w:rFonts w:ascii="Book Antiqua" w:hAnsi="Book Antiqua"/>
        </w:rPr>
        <w:t>, Xu J, Bian X, Wu JL, Kang W, Qian Y, Li W, Chen H, Gou H, Liu D, Yat Luk ST, Zhou Q, Ji F, Chan LS, Shirasawa S, Sung JJ, Yu J. In Colorectal Cancer Cells With Mutant KRAS, SLC25A</w:t>
      </w:r>
      <w:r>
        <w:rPr>
          <w:rFonts w:ascii="Book Antiqua" w:hAnsi="Book Antiqua"/>
        </w:rPr>
        <w:t xml:space="preserve">22-Mediated Glutaminolysis Reduces DNA Demethylation to Increase WNT Signaling, Stemness, and Drug Resistance.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2163-2180.e6 [PMID: 32814111 DOI: 10.1053/j.gastro.2020.08.016]</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99 </w:t>
      </w:r>
      <w:r>
        <w:rPr>
          <w:rFonts w:ascii="Book Antiqua" w:hAnsi="Book Antiqua"/>
          <w:b/>
          <w:bCs/>
        </w:rPr>
        <w:t>Spallotta F</w:t>
      </w:r>
      <w:r>
        <w:rPr>
          <w:rFonts w:ascii="Book Antiqua" w:hAnsi="Book Antiqua"/>
        </w:rPr>
        <w:t>, Cencioni C, Atlante S, Garella D, Coc</w:t>
      </w:r>
      <w:r>
        <w:rPr>
          <w:rFonts w:ascii="Book Antiqua" w:hAnsi="Book Antiqua"/>
        </w:rPr>
        <w:t>co M, Mori M, Mastrocola R, Kuenne C, Guenther S, Nanni S, Azzimato V, Zukunft S, Kornberger A, Sürün D, Schnütgen F, von Melchner H, Di Stilo A, Aragno M, Braspenning M, van Criekinge W, De Blasio MJ, Ritchie RH, Zaccagnini G, Martelli F, Farsetti A, Flem</w:t>
      </w:r>
      <w:r>
        <w:rPr>
          <w:rFonts w:ascii="Book Antiqua" w:hAnsi="Book Antiqua"/>
        </w:rPr>
        <w:t>ing I, Braun T, Beiras-Fernandez A, Botta B, Collino M, Bertinaria M, Zeiher AM, Gaetano C. Stable Oxidative Cytosine Modifications Accumulate in Cardiac Mesenchymal Cells From Type2 Diabetes Patients: Rescue by α-Ketoglutarate and TET-TDG Functional React</w:t>
      </w:r>
      <w:r>
        <w:rPr>
          <w:rFonts w:ascii="Book Antiqua" w:hAnsi="Book Antiqua"/>
        </w:rPr>
        <w:t xml:space="preserve">ivation. </w:t>
      </w:r>
      <w:r>
        <w:rPr>
          <w:rFonts w:ascii="Book Antiqua" w:hAnsi="Book Antiqua"/>
          <w:i/>
          <w:iCs/>
        </w:rPr>
        <w:t>Circ Res</w:t>
      </w:r>
      <w:r>
        <w:rPr>
          <w:rFonts w:ascii="Book Antiqua" w:hAnsi="Book Antiqua"/>
        </w:rPr>
        <w:t xml:space="preserve"> 2018; </w:t>
      </w:r>
      <w:r>
        <w:rPr>
          <w:rFonts w:ascii="Book Antiqua" w:hAnsi="Book Antiqua"/>
          <w:b/>
          <w:bCs/>
        </w:rPr>
        <w:t>122</w:t>
      </w:r>
      <w:r>
        <w:rPr>
          <w:rFonts w:ascii="Book Antiqua" w:hAnsi="Book Antiqua"/>
        </w:rPr>
        <w:t>: 31-46 [PMID: 29158345 DOI: 10.1161/CIRCRESAHA.117.311300]</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100 </w:t>
      </w:r>
      <w:r>
        <w:rPr>
          <w:rFonts w:ascii="Book Antiqua" w:hAnsi="Book Antiqua"/>
          <w:b/>
          <w:bCs/>
        </w:rPr>
        <w:t>Laukka T</w:t>
      </w:r>
      <w:r>
        <w:rPr>
          <w:rFonts w:ascii="Book Antiqua" w:hAnsi="Book Antiqua"/>
        </w:rPr>
        <w:t xml:space="preserve">, Mariani CJ, Ihantola T, Cao JZ, Hokkanen J, Kaelin WG Jr, Godley LA, Koivunen P. Fumarate and Succinate Regulate Expression of Hypoxia-inducible Genes via </w:t>
      </w:r>
      <w:r>
        <w:rPr>
          <w:rFonts w:ascii="Book Antiqua" w:hAnsi="Book Antiqua"/>
        </w:rPr>
        <w:t xml:space="preserve">TET Enzymes. </w:t>
      </w:r>
      <w:r>
        <w:rPr>
          <w:rFonts w:ascii="Book Antiqua" w:hAnsi="Book Antiqua"/>
          <w:i/>
          <w:iCs/>
        </w:rPr>
        <w:t>J Biol Chem</w:t>
      </w:r>
      <w:r>
        <w:rPr>
          <w:rFonts w:ascii="Book Antiqua" w:hAnsi="Book Antiqua"/>
        </w:rPr>
        <w:t xml:space="preserve"> 2016; </w:t>
      </w:r>
      <w:r>
        <w:rPr>
          <w:rFonts w:ascii="Book Antiqua" w:hAnsi="Book Antiqua"/>
          <w:b/>
          <w:bCs/>
        </w:rPr>
        <w:t>291</w:t>
      </w:r>
      <w:r>
        <w:rPr>
          <w:rFonts w:ascii="Book Antiqua" w:hAnsi="Book Antiqua"/>
        </w:rPr>
        <w:t>: 4256-4265 [PMID: 26703470 DOI: 10.1074/jbc.M115.688762]</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101 </w:t>
      </w:r>
      <w:r>
        <w:rPr>
          <w:rFonts w:ascii="Book Antiqua" w:hAnsi="Book Antiqua"/>
          <w:b/>
          <w:bCs/>
        </w:rPr>
        <w:t>Wang YP</w:t>
      </w:r>
      <w:r>
        <w:rPr>
          <w:rFonts w:ascii="Book Antiqua" w:hAnsi="Book Antiqua"/>
        </w:rPr>
        <w:t>, Sharda A, Xu SN, van Gastel N, Man CH, Choi U, Leong WZ, Li X, Scadden DT. Malic enzyme 2 connects the Krebs cycle intermediate fumarate to mitochondri</w:t>
      </w:r>
      <w:r>
        <w:rPr>
          <w:rFonts w:ascii="Book Antiqua" w:hAnsi="Book Antiqua"/>
        </w:rPr>
        <w:t xml:space="preserve">al biogenesis. </w:t>
      </w:r>
      <w:r>
        <w:rPr>
          <w:rFonts w:ascii="Book Antiqua" w:hAnsi="Book Antiqua"/>
          <w:i/>
          <w:iCs/>
        </w:rPr>
        <w:t>Cell Metab</w:t>
      </w:r>
      <w:r>
        <w:rPr>
          <w:rFonts w:ascii="Book Antiqua" w:hAnsi="Book Antiqua"/>
        </w:rPr>
        <w:t xml:space="preserve"> 2021; </w:t>
      </w:r>
      <w:r>
        <w:rPr>
          <w:rFonts w:ascii="Book Antiqua" w:hAnsi="Book Antiqua"/>
          <w:b/>
          <w:bCs/>
        </w:rPr>
        <w:t>33</w:t>
      </w:r>
      <w:r>
        <w:rPr>
          <w:rFonts w:ascii="Book Antiqua" w:hAnsi="Book Antiqua"/>
        </w:rPr>
        <w:t>: 1027-1041.e8 [PMID: 33770508 DOI: 10.1016/j.cmet.2021.03.003]</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102 </w:t>
      </w:r>
      <w:r>
        <w:rPr>
          <w:rFonts w:ascii="Book Antiqua" w:hAnsi="Book Antiqua"/>
          <w:b/>
          <w:bCs/>
        </w:rPr>
        <w:t>De Craene B</w:t>
      </w:r>
      <w:r>
        <w:rPr>
          <w:rFonts w:ascii="Book Antiqua" w:hAnsi="Book Antiqua"/>
        </w:rPr>
        <w:t xml:space="preserve">, Berx G. Regulatory networks defining EMT during cancer initiation and progression. </w:t>
      </w:r>
      <w:r>
        <w:rPr>
          <w:rFonts w:ascii="Book Antiqua" w:hAnsi="Book Antiqua"/>
          <w:i/>
          <w:iCs/>
        </w:rPr>
        <w:t>Nat Rev Cancer</w:t>
      </w:r>
      <w:r>
        <w:rPr>
          <w:rFonts w:ascii="Book Antiqua" w:hAnsi="Book Antiqua"/>
        </w:rPr>
        <w:t xml:space="preserve"> 2013; </w:t>
      </w:r>
      <w:r>
        <w:rPr>
          <w:rFonts w:ascii="Book Antiqua" w:hAnsi="Book Antiqua"/>
          <w:b/>
          <w:bCs/>
        </w:rPr>
        <w:t>13</w:t>
      </w:r>
      <w:r>
        <w:rPr>
          <w:rFonts w:ascii="Book Antiqua" w:hAnsi="Book Antiqua"/>
        </w:rPr>
        <w:t>: 97-110 [PMID: 23344542 DOI: 10.10</w:t>
      </w:r>
      <w:r>
        <w:rPr>
          <w:rFonts w:ascii="Book Antiqua" w:hAnsi="Book Antiqua"/>
        </w:rPr>
        <w:t>38/nrc3447]</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103 </w:t>
      </w:r>
      <w:r>
        <w:rPr>
          <w:rFonts w:ascii="Book Antiqua" w:hAnsi="Book Antiqua"/>
          <w:b/>
          <w:bCs/>
        </w:rPr>
        <w:t>Sciacovelli M</w:t>
      </w:r>
      <w:r>
        <w:rPr>
          <w:rFonts w:ascii="Book Antiqua" w:hAnsi="Book Antiqua"/>
        </w:rPr>
        <w:t xml:space="preserve">, Frezza C. Metabolic reprogramming and epithelial-to-mesenchymal transition in cancer. </w:t>
      </w:r>
      <w:r>
        <w:rPr>
          <w:rFonts w:ascii="Book Antiqua" w:hAnsi="Book Antiqua"/>
          <w:i/>
          <w:iCs/>
        </w:rPr>
        <w:t>FEBS J</w:t>
      </w:r>
      <w:r>
        <w:rPr>
          <w:rFonts w:ascii="Book Antiqua" w:hAnsi="Book Antiqua"/>
        </w:rPr>
        <w:t xml:space="preserve"> 2017; </w:t>
      </w:r>
      <w:r>
        <w:rPr>
          <w:rFonts w:ascii="Book Antiqua" w:hAnsi="Book Antiqua"/>
          <w:b/>
          <w:bCs/>
        </w:rPr>
        <w:t>284</w:t>
      </w:r>
      <w:r>
        <w:rPr>
          <w:rFonts w:ascii="Book Antiqua" w:hAnsi="Book Antiqua"/>
        </w:rPr>
        <w:t>: 3132-3144 [PMID: 28444969 DOI: 10.1111/febs.14090]</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104 </w:t>
      </w:r>
      <w:r>
        <w:rPr>
          <w:rFonts w:ascii="Book Antiqua" w:hAnsi="Book Antiqua"/>
          <w:b/>
          <w:bCs/>
        </w:rPr>
        <w:t>Krüger A</w:t>
      </w:r>
      <w:r>
        <w:rPr>
          <w:rFonts w:ascii="Book Antiqua" w:hAnsi="Book Antiqua"/>
        </w:rPr>
        <w:t xml:space="preserve">, Grüning NM, Wamelink MM, Kerick M, Kirpy A, Parkhomchuk D, Bluemlein K, Schweiger MR, Soldatov A, Lehrach H, Jakobs C, Ralser M. The pentose phosphate pathway is a metabolic redox sensor and regulates transcription during the antioxidant response. </w:t>
      </w:r>
      <w:r>
        <w:rPr>
          <w:rFonts w:ascii="Book Antiqua" w:hAnsi="Book Antiqua"/>
          <w:i/>
          <w:iCs/>
        </w:rPr>
        <w:t>Antiox</w:t>
      </w:r>
      <w:r>
        <w:rPr>
          <w:rFonts w:ascii="Book Antiqua" w:hAnsi="Book Antiqua"/>
          <w:i/>
          <w:iCs/>
        </w:rPr>
        <w:t>id Redox Signal</w:t>
      </w:r>
      <w:r>
        <w:rPr>
          <w:rFonts w:ascii="Book Antiqua" w:hAnsi="Book Antiqua"/>
        </w:rPr>
        <w:t xml:space="preserve"> 2011; </w:t>
      </w:r>
      <w:r>
        <w:rPr>
          <w:rFonts w:ascii="Book Antiqua" w:hAnsi="Book Antiqua"/>
          <w:b/>
          <w:bCs/>
        </w:rPr>
        <w:t>15</w:t>
      </w:r>
      <w:r>
        <w:rPr>
          <w:rFonts w:ascii="Book Antiqua" w:hAnsi="Book Antiqua"/>
        </w:rPr>
        <w:t>: 311-324 [PMID: 21348809 DOI: 10.1089/ars.2010.3797]</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105 </w:t>
      </w:r>
      <w:r>
        <w:rPr>
          <w:rFonts w:ascii="Book Antiqua" w:hAnsi="Book Antiqua"/>
          <w:b/>
          <w:bCs/>
        </w:rPr>
        <w:t>Chen L</w:t>
      </w:r>
      <w:r>
        <w:rPr>
          <w:rFonts w:ascii="Book Antiqua" w:hAnsi="Book Antiqua"/>
        </w:rPr>
        <w:t xml:space="preserve">, Zhang Z, Hoshino A, Zheng HD, Morley M, Arany Z, Rabinowitz JD. NADPH production by the oxidative pentose-phosphate pathway supports folate metabolism. </w:t>
      </w:r>
      <w:r>
        <w:rPr>
          <w:rFonts w:ascii="Book Antiqua" w:hAnsi="Book Antiqua"/>
          <w:i/>
          <w:iCs/>
        </w:rPr>
        <w:t>Nat Metab</w:t>
      </w:r>
      <w:r>
        <w:rPr>
          <w:rFonts w:ascii="Book Antiqua" w:hAnsi="Book Antiqua"/>
        </w:rPr>
        <w:t xml:space="preserve"> 2019; </w:t>
      </w:r>
      <w:r>
        <w:rPr>
          <w:rFonts w:ascii="Book Antiqua" w:hAnsi="Book Antiqua"/>
          <w:b/>
          <w:bCs/>
        </w:rPr>
        <w:t>1</w:t>
      </w:r>
      <w:r>
        <w:rPr>
          <w:rFonts w:ascii="Book Antiqua" w:hAnsi="Book Antiqua"/>
        </w:rPr>
        <w:t>: 404-415 [PMID: 31058257]</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106 </w:t>
      </w:r>
      <w:r>
        <w:rPr>
          <w:rFonts w:ascii="Book Antiqua" w:hAnsi="Book Antiqua"/>
          <w:b/>
          <w:bCs/>
        </w:rPr>
        <w:t>Ishida T</w:t>
      </w:r>
      <w:r>
        <w:rPr>
          <w:rFonts w:ascii="Book Antiqua" w:hAnsi="Book Antiqua"/>
        </w:rPr>
        <w:t xml:space="preserve">, Nakao S, Ueyama T, Harada Y, Kawamura T. Metabolic remodeling during somatic cell reprogramming to induced pluripotent stem cells: involvement of hypoxia-inducible factor 1. </w:t>
      </w:r>
      <w:r>
        <w:rPr>
          <w:rFonts w:ascii="Book Antiqua" w:hAnsi="Book Antiqua"/>
          <w:i/>
          <w:iCs/>
        </w:rPr>
        <w:t>Inflamm Regen</w:t>
      </w:r>
      <w:r>
        <w:rPr>
          <w:rFonts w:ascii="Book Antiqua" w:hAnsi="Book Antiqua"/>
        </w:rPr>
        <w:t xml:space="preserve"> 2020; </w:t>
      </w:r>
      <w:r>
        <w:rPr>
          <w:rFonts w:ascii="Book Antiqua" w:hAnsi="Book Antiqua"/>
          <w:b/>
          <w:bCs/>
        </w:rPr>
        <w:t>40</w:t>
      </w:r>
      <w:r>
        <w:rPr>
          <w:rFonts w:ascii="Book Antiqua" w:hAnsi="Book Antiqua"/>
        </w:rPr>
        <w:t xml:space="preserve">: 8 [PMID: </w:t>
      </w:r>
      <w:r>
        <w:rPr>
          <w:rFonts w:ascii="Book Antiqua" w:hAnsi="Book Antiqua"/>
        </w:rPr>
        <w:t>32426078 DOI: 10.1186/s41232-020-00117-8]</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107 </w:t>
      </w:r>
      <w:r>
        <w:rPr>
          <w:rFonts w:ascii="Book Antiqua" w:hAnsi="Book Antiqua"/>
          <w:b/>
          <w:bCs/>
        </w:rPr>
        <w:t>Varum S</w:t>
      </w:r>
      <w:r>
        <w:rPr>
          <w:rFonts w:ascii="Book Antiqua" w:hAnsi="Book Antiqua"/>
        </w:rPr>
        <w:t xml:space="preserve">, Rodrigues AS, Moura MB, Momcilovic O, Easley CA 4th, Ramalho-Santos J, Van Houten B, Schatten G. Energy metabolism in human pluripotent stem cells and their differentiated counterparts. </w:t>
      </w:r>
      <w:r>
        <w:rPr>
          <w:rFonts w:ascii="Book Antiqua" w:hAnsi="Book Antiqua"/>
          <w:i/>
          <w:iCs/>
        </w:rPr>
        <w:t>PLoS One</w:t>
      </w:r>
      <w:r>
        <w:rPr>
          <w:rFonts w:ascii="Book Antiqua" w:hAnsi="Book Antiqua"/>
        </w:rPr>
        <w:t xml:space="preserve"> 2011; </w:t>
      </w:r>
      <w:r>
        <w:rPr>
          <w:rFonts w:ascii="Book Antiqua" w:hAnsi="Book Antiqua"/>
          <w:b/>
          <w:bCs/>
        </w:rPr>
        <w:t>6</w:t>
      </w:r>
      <w:r>
        <w:rPr>
          <w:rFonts w:ascii="Book Antiqua" w:hAnsi="Book Antiqua"/>
        </w:rPr>
        <w:t>: e20914 [PMID: 21698063 DOI: 10.1371/journal.pone.0020914]</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108 </w:t>
      </w:r>
      <w:r>
        <w:rPr>
          <w:rFonts w:ascii="Book Antiqua" w:hAnsi="Book Antiqua"/>
          <w:b/>
          <w:bCs/>
        </w:rPr>
        <w:t>Walvekar AS</w:t>
      </w:r>
      <w:r>
        <w:rPr>
          <w:rFonts w:ascii="Book Antiqua" w:hAnsi="Book Antiqua"/>
        </w:rPr>
        <w:t xml:space="preserve">, Laxman S. Methionine at the Heart of Anabolism and Signaling: Perspectives From Budding Yeast. </w:t>
      </w:r>
      <w:r>
        <w:rPr>
          <w:rFonts w:ascii="Book Antiqua" w:hAnsi="Book Antiqua"/>
          <w:i/>
          <w:iCs/>
        </w:rPr>
        <w:t>Front Microbiol</w:t>
      </w:r>
      <w:r>
        <w:rPr>
          <w:rFonts w:ascii="Book Antiqua" w:hAnsi="Book Antiqua"/>
        </w:rPr>
        <w:t xml:space="preserve"> 2019; </w:t>
      </w:r>
      <w:r>
        <w:rPr>
          <w:rFonts w:ascii="Book Antiqua" w:hAnsi="Book Antiqua"/>
          <w:b/>
          <w:bCs/>
        </w:rPr>
        <w:t>10</w:t>
      </w:r>
      <w:r>
        <w:rPr>
          <w:rFonts w:ascii="Book Antiqua" w:hAnsi="Book Antiqua"/>
        </w:rPr>
        <w:t>: 2624 [PMID: 31798560 DOI: 10.3389/fmicb.2019.02624]</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109 </w:t>
      </w:r>
      <w:r>
        <w:rPr>
          <w:rFonts w:ascii="Book Antiqua" w:hAnsi="Book Antiqua"/>
          <w:b/>
          <w:bCs/>
        </w:rPr>
        <w:t>M</w:t>
      </w:r>
      <w:r>
        <w:rPr>
          <w:rFonts w:ascii="Book Antiqua" w:hAnsi="Book Antiqua"/>
          <w:b/>
          <w:bCs/>
        </w:rPr>
        <w:t>an CH</w:t>
      </w:r>
      <w:r>
        <w:rPr>
          <w:rFonts w:ascii="Book Antiqua" w:hAnsi="Book Antiqua"/>
        </w:rPr>
        <w:t xml:space="preserve">, Mercier FE, Liu N, Dong W, Stephanopoulos G, Jiang L, Jung Y, Lin CP, Leung AYH, Scadden DT. Proton export alkalinizes intracellular pH and reprograms carbon metabolism to drive normal and malignant cell growth. </w:t>
      </w:r>
      <w:r>
        <w:rPr>
          <w:rFonts w:ascii="Book Antiqua" w:hAnsi="Book Antiqua"/>
          <w:i/>
          <w:iCs/>
        </w:rPr>
        <w:t>Blood</w:t>
      </w:r>
      <w:r>
        <w:rPr>
          <w:rFonts w:ascii="Book Antiqua" w:hAnsi="Book Antiqua"/>
        </w:rPr>
        <w:t xml:space="preserve"> 2022; </w:t>
      </w:r>
      <w:r>
        <w:rPr>
          <w:rFonts w:ascii="Book Antiqua" w:hAnsi="Book Antiqua"/>
          <w:b/>
          <w:bCs/>
        </w:rPr>
        <w:t>139</w:t>
      </w:r>
      <w:r>
        <w:rPr>
          <w:rFonts w:ascii="Book Antiqua" w:hAnsi="Book Antiqua"/>
        </w:rPr>
        <w:t>: 502-522 [PMID: 34610</w:t>
      </w:r>
      <w:r>
        <w:rPr>
          <w:rFonts w:ascii="Book Antiqua" w:hAnsi="Book Antiqua"/>
        </w:rPr>
        <w:t>101 DOI: 10.1182/blood.2021011563]</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110 </w:t>
      </w:r>
      <w:r>
        <w:rPr>
          <w:rFonts w:ascii="Book Antiqua" w:hAnsi="Book Antiqua"/>
          <w:b/>
          <w:bCs/>
        </w:rPr>
        <w:t>Fang Q</w:t>
      </w:r>
      <w:r>
        <w:rPr>
          <w:rFonts w:ascii="Book Antiqua" w:hAnsi="Book Antiqua"/>
        </w:rPr>
        <w:t xml:space="preserve">, Zhang Y, Chen X, Li H, Cheng L, Zhu W, Zhang Z, Tang M, Liu W, Wang H, Wang T, Shen T, Chai R. Three-Dimensional Graphene Enhances Neural Stem Cell Proliferation Through Metabolic Regulation. </w:t>
      </w:r>
      <w:r>
        <w:rPr>
          <w:rFonts w:ascii="Book Antiqua" w:hAnsi="Book Antiqua"/>
          <w:i/>
          <w:iCs/>
        </w:rPr>
        <w:t>Front Bioeng Biot</w:t>
      </w:r>
      <w:r>
        <w:rPr>
          <w:rFonts w:ascii="Book Antiqua" w:hAnsi="Book Antiqua"/>
          <w:i/>
          <w:iCs/>
        </w:rPr>
        <w:t>echnol</w:t>
      </w:r>
      <w:r>
        <w:rPr>
          <w:rFonts w:ascii="Book Antiqua" w:hAnsi="Book Antiqua"/>
        </w:rPr>
        <w:t xml:space="preserve"> 2019; </w:t>
      </w:r>
      <w:r>
        <w:rPr>
          <w:rFonts w:ascii="Book Antiqua" w:hAnsi="Book Antiqua"/>
          <w:b/>
          <w:bCs/>
        </w:rPr>
        <w:t>7</w:t>
      </w:r>
      <w:r>
        <w:rPr>
          <w:rFonts w:ascii="Book Antiqua" w:hAnsi="Book Antiqua"/>
        </w:rPr>
        <w:t>: 436 [PMID: 31998703 DOI: 10.3389/fbioe.2019.00436]</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111 </w:t>
      </w:r>
      <w:r>
        <w:rPr>
          <w:rFonts w:ascii="Book Antiqua" w:hAnsi="Book Antiqua"/>
          <w:b/>
          <w:bCs/>
        </w:rPr>
        <w:t>Chen J</w:t>
      </w:r>
      <w:r>
        <w:rPr>
          <w:rFonts w:ascii="Book Antiqua" w:hAnsi="Book Antiqua"/>
        </w:rPr>
        <w:t xml:space="preserve">, Liu H, Liu J, Qi J, Wei B, Yang J, Liang H, Chen Y, Chen J, Wu Y, Guo L, Zhu J, Zhao X, Peng T, Zhang Y, Chen S, Li X, Li D, Wang T, Pei D. H3K9 methylation is a barrier during </w:t>
      </w:r>
      <w:r>
        <w:rPr>
          <w:rFonts w:ascii="Book Antiqua" w:hAnsi="Book Antiqua"/>
        </w:rPr>
        <w:t xml:space="preserve">somatic cell reprogramming into iPSCs. </w:t>
      </w:r>
      <w:r>
        <w:rPr>
          <w:rFonts w:ascii="Book Antiqua" w:hAnsi="Book Antiqua"/>
          <w:i/>
          <w:iCs/>
        </w:rPr>
        <w:t>Nat Genet</w:t>
      </w:r>
      <w:r>
        <w:rPr>
          <w:rFonts w:ascii="Book Antiqua" w:hAnsi="Book Antiqua"/>
        </w:rPr>
        <w:t xml:space="preserve"> 2013; </w:t>
      </w:r>
      <w:r>
        <w:rPr>
          <w:rFonts w:ascii="Book Antiqua" w:hAnsi="Book Antiqua"/>
          <w:b/>
          <w:bCs/>
        </w:rPr>
        <w:t>45</w:t>
      </w:r>
      <w:r>
        <w:rPr>
          <w:rFonts w:ascii="Book Antiqua" w:hAnsi="Book Antiqua"/>
        </w:rPr>
        <w:t>: 34-42 [PMID: 23202127 DOI: 10.1038/ng.2491]</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112 </w:t>
      </w:r>
      <w:r>
        <w:rPr>
          <w:rFonts w:ascii="Book Antiqua" w:hAnsi="Book Antiqua"/>
          <w:b/>
          <w:bCs/>
        </w:rPr>
        <w:t>Li Z</w:t>
      </w:r>
      <w:r>
        <w:rPr>
          <w:rFonts w:ascii="Book Antiqua" w:hAnsi="Book Antiqua"/>
        </w:rPr>
        <w:t xml:space="preserve">, Fang F, Zhao Q, Li H, Xiong C. Supplementation of vitamin C promotes early germ cell specification from human embryonic stem cells. </w:t>
      </w:r>
      <w:r>
        <w:rPr>
          <w:rFonts w:ascii="Book Antiqua" w:hAnsi="Book Antiqua"/>
          <w:i/>
          <w:iCs/>
        </w:rPr>
        <w:t>Stem Cell R</w:t>
      </w:r>
      <w:r>
        <w:rPr>
          <w:rFonts w:ascii="Book Antiqua" w:hAnsi="Book Antiqua"/>
          <w:i/>
          <w:iCs/>
        </w:rPr>
        <w:t>es Ther</w:t>
      </w:r>
      <w:r>
        <w:rPr>
          <w:rFonts w:ascii="Book Antiqua" w:hAnsi="Book Antiqua"/>
        </w:rPr>
        <w:t xml:space="preserve"> 2019; </w:t>
      </w:r>
      <w:r>
        <w:rPr>
          <w:rFonts w:ascii="Book Antiqua" w:hAnsi="Book Antiqua"/>
          <w:b/>
          <w:bCs/>
        </w:rPr>
        <w:t>10</w:t>
      </w:r>
      <w:r>
        <w:rPr>
          <w:rFonts w:ascii="Book Antiqua" w:hAnsi="Book Antiqua"/>
        </w:rPr>
        <w:t>: 324 [PMID: 31730021 DOI: 10.1186/s13287-019-1427-2]</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113 </w:t>
      </w:r>
      <w:r>
        <w:rPr>
          <w:rFonts w:ascii="Book Antiqua" w:hAnsi="Book Antiqua"/>
          <w:b/>
          <w:bCs/>
        </w:rPr>
        <w:t>Zhitkovich A</w:t>
      </w:r>
      <w:r>
        <w:rPr>
          <w:rFonts w:ascii="Book Antiqua" w:hAnsi="Book Antiqua"/>
        </w:rPr>
        <w:t xml:space="preserve">. Nuclear and Cytoplasmic Functions of Vitamin C. </w:t>
      </w:r>
      <w:r>
        <w:rPr>
          <w:rFonts w:ascii="Book Antiqua" w:hAnsi="Book Antiqua"/>
          <w:i/>
          <w:iCs/>
        </w:rPr>
        <w:t>Chem Res Toxicol</w:t>
      </w:r>
      <w:r>
        <w:rPr>
          <w:rFonts w:ascii="Book Antiqua" w:hAnsi="Book Antiqua"/>
        </w:rPr>
        <w:t xml:space="preserve"> 2020; </w:t>
      </w:r>
      <w:r>
        <w:rPr>
          <w:rFonts w:ascii="Book Antiqua" w:hAnsi="Book Antiqua"/>
          <w:b/>
          <w:bCs/>
        </w:rPr>
        <w:t>33</w:t>
      </w:r>
      <w:r>
        <w:rPr>
          <w:rFonts w:ascii="Book Antiqua" w:hAnsi="Book Antiqua"/>
        </w:rPr>
        <w:t>: 2515-2526 [PMID: 33001635 DOI: 10.1021/acs.chemrestox.0c00348]</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114 </w:t>
      </w:r>
      <w:r>
        <w:rPr>
          <w:rFonts w:ascii="Book Antiqua" w:hAnsi="Book Antiqua"/>
          <w:b/>
          <w:bCs/>
        </w:rPr>
        <w:t>Zhang Y</w:t>
      </w:r>
      <w:r>
        <w:rPr>
          <w:rFonts w:ascii="Book Antiqua" w:hAnsi="Book Antiqua"/>
        </w:rPr>
        <w:t>, Kato H, Sato H, Y</w:t>
      </w:r>
      <w:r>
        <w:rPr>
          <w:rFonts w:ascii="Book Antiqua" w:hAnsi="Book Antiqua"/>
        </w:rPr>
        <w:t xml:space="preserve">amaza H, Hirofuji Y, Han X, Masuda K, Nonaka K. Folic acid-mediated mitochondrial activation for protection against oxidative stress in human dental pulp stem cells derived from deciduous teeth. </w:t>
      </w:r>
      <w:r>
        <w:rPr>
          <w:rFonts w:ascii="Book Antiqua" w:hAnsi="Book Antiqua"/>
          <w:i/>
          <w:iCs/>
        </w:rPr>
        <w:t>Biochem Biophys Res Commun</w:t>
      </w:r>
      <w:r>
        <w:rPr>
          <w:rFonts w:ascii="Book Antiqua" w:hAnsi="Book Antiqua"/>
        </w:rPr>
        <w:t xml:space="preserve"> 2019; </w:t>
      </w:r>
      <w:r>
        <w:rPr>
          <w:rFonts w:ascii="Book Antiqua" w:hAnsi="Book Antiqua"/>
          <w:b/>
          <w:bCs/>
        </w:rPr>
        <w:t>508</w:t>
      </w:r>
      <w:r>
        <w:rPr>
          <w:rFonts w:ascii="Book Antiqua" w:hAnsi="Book Antiqua"/>
        </w:rPr>
        <w:t>: 850-856 [PMID: 30528238</w:t>
      </w:r>
      <w:r>
        <w:rPr>
          <w:rFonts w:ascii="Book Antiqua" w:hAnsi="Book Antiqua"/>
        </w:rPr>
        <w:t xml:space="preserve"> DOI: 10.1016/j.bbrc.2018.11.169]</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115 </w:t>
      </w:r>
      <w:r>
        <w:rPr>
          <w:rFonts w:ascii="Book Antiqua" w:hAnsi="Book Antiqua"/>
          <w:b/>
          <w:bCs/>
        </w:rPr>
        <w:t>Srivastava AC</w:t>
      </w:r>
      <w:r>
        <w:rPr>
          <w:rFonts w:ascii="Book Antiqua" w:hAnsi="Book Antiqua"/>
        </w:rPr>
        <w:t xml:space="preserve">, Thompson YG, Singhal J, Stellern J, Srivastava A, Du J, O'Connor TR, Riggs AD. Elimination of human folypolyglutamate synthetase alters programming and plasticity of somatic cells. </w:t>
      </w:r>
      <w:r>
        <w:rPr>
          <w:rFonts w:ascii="Book Antiqua" w:hAnsi="Book Antiqua"/>
          <w:i/>
          <w:iCs/>
        </w:rPr>
        <w:t>FASEB J</w:t>
      </w:r>
      <w:r>
        <w:rPr>
          <w:rFonts w:ascii="Book Antiqua" w:hAnsi="Book Antiqua"/>
        </w:rPr>
        <w:t xml:space="preserve"> 2019; </w:t>
      </w:r>
      <w:r>
        <w:rPr>
          <w:rFonts w:ascii="Book Antiqua" w:hAnsi="Book Antiqua"/>
          <w:b/>
          <w:bCs/>
        </w:rPr>
        <w:t>33</w:t>
      </w:r>
      <w:r>
        <w:rPr>
          <w:rFonts w:ascii="Book Antiqua" w:hAnsi="Book Antiqua"/>
        </w:rPr>
        <w:t>: 1374</w:t>
      </w:r>
      <w:r>
        <w:rPr>
          <w:rFonts w:ascii="Book Antiqua" w:hAnsi="Book Antiqua"/>
        </w:rPr>
        <w:t>7-13761 [PMID: 31585510 DOI: 10.1096/fj.201901721R]</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116 </w:t>
      </w:r>
      <w:r>
        <w:rPr>
          <w:rFonts w:ascii="Book Antiqua" w:hAnsi="Book Antiqua"/>
          <w:b/>
          <w:bCs/>
        </w:rPr>
        <w:t>Li Z</w:t>
      </w:r>
      <w:r>
        <w:rPr>
          <w:rFonts w:ascii="Book Antiqua" w:hAnsi="Book Antiqua"/>
        </w:rPr>
        <w:t>, Li W, Zhou D, Zhao J, Ma Y, Huang L, Dong C, Wilson JX, Huang G. Alleviating Oxidative Damage-Induced Telomere Attrition: a Potential Mechanism for Inhibition by Folic Acid of Apoptosis in Neura</w:t>
      </w:r>
      <w:r>
        <w:rPr>
          <w:rFonts w:ascii="Book Antiqua" w:hAnsi="Book Antiqua"/>
        </w:rPr>
        <w:t xml:space="preserve">l Stem Cells. </w:t>
      </w:r>
      <w:r>
        <w:rPr>
          <w:rFonts w:ascii="Book Antiqua" w:hAnsi="Book Antiqua"/>
          <w:i/>
          <w:iCs/>
        </w:rPr>
        <w:t>Mol Neurobiol</w:t>
      </w:r>
      <w:r>
        <w:rPr>
          <w:rFonts w:ascii="Book Antiqua" w:hAnsi="Book Antiqua"/>
        </w:rPr>
        <w:t xml:space="preserve"> 2022; </w:t>
      </w:r>
      <w:r>
        <w:rPr>
          <w:rFonts w:ascii="Book Antiqua" w:hAnsi="Book Antiqua"/>
          <w:b/>
          <w:bCs/>
        </w:rPr>
        <w:t>59</w:t>
      </w:r>
      <w:r>
        <w:rPr>
          <w:rFonts w:ascii="Book Antiqua" w:hAnsi="Book Antiqua"/>
        </w:rPr>
        <w:t>: 590-602 [PMID: 34741234 DOI: 10.1007/s12035-021-02623-3]</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117 </w:t>
      </w:r>
      <w:r>
        <w:rPr>
          <w:rFonts w:ascii="Book Antiqua" w:hAnsi="Book Antiqua"/>
          <w:b/>
          <w:bCs/>
        </w:rPr>
        <w:t>Kasulanati S</w:t>
      </w:r>
      <w:r>
        <w:rPr>
          <w:rFonts w:ascii="Book Antiqua" w:hAnsi="Book Antiqua"/>
        </w:rPr>
        <w:t xml:space="preserve">, Venkatesan V. Understanding pluripotency under folic acid deficiency using embryonic stem cells as an in vitro model. </w:t>
      </w:r>
      <w:r>
        <w:rPr>
          <w:rFonts w:ascii="Book Antiqua" w:hAnsi="Book Antiqua"/>
          <w:i/>
          <w:iCs/>
        </w:rPr>
        <w:t>Med Hypotheses</w:t>
      </w:r>
      <w:r>
        <w:rPr>
          <w:rFonts w:ascii="Book Antiqua" w:hAnsi="Book Antiqua"/>
        </w:rPr>
        <w:t xml:space="preserve"> 2018; </w:t>
      </w:r>
      <w:r>
        <w:rPr>
          <w:rFonts w:ascii="Book Antiqua" w:hAnsi="Book Antiqua"/>
          <w:b/>
          <w:bCs/>
        </w:rPr>
        <w:t>111</w:t>
      </w:r>
      <w:r>
        <w:rPr>
          <w:rFonts w:ascii="Book Antiqua" w:hAnsi="Book Antiqua"/>
        </w:rPr>
        <w:t>:</w:t>
      </w:r>
      <w:r>
        <w:rPr>
          <w:rFonts w:ascii="Book Antiqua" w:hAnsi="Book Antiqua"/>
        </w:rPr>
        <w:t xml:space="preserve"> 24-26 [PMID: 29406990 DOI: 10.1016/j.mehy.2017.12.019]</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118 </w:t>
      </w:r>
      <w:r>
        <w:rPr>
          <w:rFonts w:ascii="Book Antiqua" w:hAnsi="Book Antiqua"/>
          <w:b/>
          <w:bCs/>
        </w:rPr>
        <w:t>Pei P</w:t>
      </w:r>
      <w:r>
        <w:rPr>
          <w:rFonts w:ascii="Book Antiqua" w:hAnsi="Book Antiqua"/>
        </w:rPr>
        <w:t xml:space="preserve">, Cheng X, Yu J, Shen J, Li X, Wu J, Wang S, Zhang T. Folate deficiency induced H2A ubiquitination to lead to downregulated expression of genes involved in neural tube defects. </w:t>
      </w:r>
      <w:r>
        <w:rPr>
          <w:rFonts w:ascii="Book Antiqua" w:hAnsi="Book Antiqua"/>
          <w:i/>
          <w:iCs/>
        </w:rPr>
        <w:t>Epigenetics Ch</w:t>
      </w:r>
      <w:r>
        <w:rPr>
          <w:rFonts w:ascii="Book Antiqua" w:hAnsi="Book Antiqua"/>
          <w:i/>
          <w:iCs/>
        </w:rPr>
        <w:t>romatin</w:t>
      </w:r>
      <w:r>
        <w:rPr>
          <w:rFonts w:ascii="Book Antiqua" w:hAnsi="Book Antiqua"/>
        </w:rPr>
        <w:t xml:space="preserve"> 2019; </w:t>
      </w:r>
      <w:r>
        <w:rPr>
          <w:rFonts w:ascii="Book Antiqua" w:hAnsi="Book Antiqua"/>
          <w:b/>
          <w:bCs/>
        </w:rPr>
        <w:t>12</w:t>
      </w:r>
      <w:r>
        <w:rPr>
          <w:rFonts w:ascii="Book Antiqua" w:hAnsi="Book Antiqua"/>
        </w:rPr>
        <w:t>: 69 [PMID: 31722724 DOI: 10.1186/s13072-019-0312-7]</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119 </w:t>
      </w:r>
      <w:r>
        <w:rPr>
          <w:rFonts w:ascii="Book Antiqua" w:hAnsi="Book Antiqua"/>
          <w:b/>
          <w:bCs/>
        </w:rPr>
        <w:t>Xie Q</w:t>
      </w:r>
      <w:r>
        <w:rPr>
          <w:rFonts w:ascii="Book Antiqua" w:hAnsi="Book Antiqua"/>
        </w:rPr>
        <w:t xml:space="preserve">, Li C, Song X, Wu L, Jiang Q, Qiu Z, Cao H, Yu K, Wan C, Li J, Yang F, Huang Z, Niu B, Jiang Z, Zhang T. Folate deficiency facilitates recruitment of upstream binding factor to </w:t>
      </w:r>
      <w:r>
        <w:rPr>
          <w:rFonts w:ascii="Book Antiqua" w:hAnsi="Book Antiqua"/>
        </w:rPr>
        <w:t xml:space="preserve">hot spots of DNA double-strand breaks of rRNA genes and promotes its transcription. </w:t>
      </w:r>
      <w:r>
        <w:rPr>
          <w:rFonts w:ascii="Book Antiqua" w:hAnsi="Book Antiqua"/>
          <w:i/>
          <w:iCs/>
        </w:rPr>
        <w:t>Nucleic Acids Res</w:t>
      </w:r>
      <w:r>
        <w:rPr>
          <w:rFonts w:ascii="Book Antiqua" w:hAnsi="Book Antiqua"/>
        </w:rPr>
        <w:t xml:space="preserve"> 2017; </w:t>
      </w:r>
      <w:r>
        <w:rPr>
          <w:rFonts w:ascii="Book Antiqua" w:hAnsi="Book Antiqua"/>
          <w:b/>
          <w:bCs/>
        </w:rPr>
        <w:t>45</w:t>
      </w:r>
      <w:r>
        <w:rPr>
          <w:rFonts w:ascii="Book Antiqua" w:hAnsi="Book Antiqua"/>
        </w:rPr>
        <w:t>: 2472-2489 [PMID: 27924000 DOI: 10.1093/nar/gkw1208]</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120 </w:t>
      </w:r>
      <w:r>
        <w:rPr>
          <w:rFonts w:ascii="Book Antiqua" w:hAnsi="Book Antiqua"/>
          <w:b/>
          <w:bCs/>
        </w:rPr>
        <w:t>Horitani K</w:t>
      </w:r>
      <w:r>
        <w:rPr>
          <w:rFonts w:ascii="Book Antiqua" w:hAnsi="Book Antiqua"/>
        </w:rPr>
        <w:t>, Iwasaki M, Kishimoto H, Wada K, Nakano M, Park H, Adachi Y, Motooka D, Okuza</w:t>
      </w:r>
      <w:r>
        <w:rPr>
          <w:rFonts w:ascii="Book Antiqua" w:hAnsi="Book Antiqua"/>
        </w:rPr>
        <w:t xml:space="preserve">ki D, Shiojima I. Repetitive spikes of glucose and lipid induce senescence-like phenotypes of bone marrow stem cells through H3K27me3 demethylase-mediated epigenetic regulation. </w:t>
      </w:r>
      <w:r>
        <w:rPr>
          <w:rFonts w:ascii="Book Antiqua" w:hAnsi="Book Antiqua"/>
          <w:i/>
          <w:iCs/>
        </w:rPr>
        <w:t>Am J Physiol Heart Circ Physiol</w:t>
      </w:r>
      <w:r>
        <w:rPr>
          <w:rFonts w:ascii="Book Antiqua" w:hAnsi="Book Antiqua"/>
        </w:rPr>
        <w:t xml:space="preserve"> 2021; </w:t>
      </w:r>
      <w:r>
        <w:rPr>
          <w:rFonts w:ascii="Book Antiqua" w:hAnsi="Book Antiqua"/>
          <w:b/>
          <w:bCs/>
        </w:rPr>
        <w:t>321</w:t>
      </w:r>
      <w:r>
        <w:rPr>
          <w:rFonts w:ascii="Book Antiqua" w:hAnsi="Book Antiqua"/>
        </w:rPr>
        <w:t>: H920-H932 [PMID: 34533398 DOI: 10.1</w:t>
      </w:r>
      <w:r>
        <w:rPr>
          <w:rFonts w:ascii="Book Antiqua" w:hAnsi="Book Antiqua"/>
        </w:rPr>
        <w:t>152/ajpheart.00261.2021]</w:t>
      </w:r>
    </w:p>
    <w:p w:rsidR="00EE3239" w:rsidRDefault="0021728D">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121 </w:t>
      </w:r>
      <w:r>
        <w:rPr>
          <w:rFonts w:ascii="Book Antiqua" w:hAnsi="Book Antiqua"/>
          <w:b/>
          <w:bCs/>
        </w:rPr>
        <w:t>Cantor JR</w:t>
      </w:r>
      <w:r>
        <w:rPr>
          <w:rFonts w:ascii="Book Antiqua" w:hAnsi="Book Antiqua"/>
        </w:rPr>
        <w:t xml:space="preserve">, Abu-Remaileh M, Kanarek N, Freinkman E, Gao X, Louissaint A Jr, Lewis CA, Sabatini DM. Physiologic Medium Rewires Cellular Metabolism and Reveals Uric Acid as an Endogenous Inhibitor of UMP Synthase. </w:t>
      </w:r>
      <w:r>
        <w:rPr>
          <w:rFonts w:ascii="Book Antiqua" w:hAnsi="Book Antiqua"/>
          <w:i/>
          <w:iCs/>
        </w:rPr>
        <w:t>Cell</w:t>
      </w:r>
      <w:r>
        <w:rPr>
          <w:rFonts w:ascii="Book Antiqua" w:hAnsi="Book Antiqua"/>
        </w:rPr>
        <w:t xml:space="preserve"> 2017; </w:t>
      </w:r>
      <w:r>
        <w:rPr>
          <w:rFonts w:ascii="Book Antiqua" w:hAnsi="Book Antiqua"/>
          <w:b/>
          <w:bCs/>
        </w:rPr>
        <w:t>169</w:t>
      </w:r>
      <w:r>
        <w:rPr>
          <w:rFonts w:ascii="Book Antiqua" w:hAnsi="Book Antiqua"/>
        </w:rPr>
        <w:t xml:space="preserve">: </w:t>
      </w:r>
      <w:r>
        <w:rPr>
          <w:rFonts w:ascii="Book Antiqua" w:hAnsi="Book Antiqua"/>
        </w:rPr>
        <w:t>258-272.e17 [PMID: 28388410 DOI: 10.1016/j.cell.2017.03.023]</w:t>
      </w:r>
    </w:p>
    <w:p w:rsidR="00EE3239" w:rsidRDefault="00EE3239">
      <w:pPr>
        <w:spacing w:line="360" w:lineRule="auto"/>
        <w:jc w:val="both"/>
      </w:pPr>
    </w:p>
    <w:p w:rsidR="00EE3239" w:rsidRDefault="00EE3239">
      <w:pPr>
        <w:spacing w:line="360" w:lineRule="auto"/>
        <w:jc w:val="both"/>
        <w:sectPr w:rsidR="00EE3239">
          <w:pgSz w:w="12240" w:h="15840"/>
          <w:pgMar w:top="1440" w:right="1440" w:bottom="1440" w:left="1440" w:header="720" w:footer="720" w:gutter="0"/>
          <w:cols w:space="720"/>
          <w:docGrid w:linePitch="360"/>
        </w:sectPr>
      </w:pPr>
    </w:p>
    <w:p w:rsidR="00EE3239" w:rsidRDefault="0021728D">
      <w:pPr>
        <w:spacing w:line="360" w:lineRule="auto"/>
        <w:jc w:val="both"/>
      </w:pPr>
      <w:r>
        <w:rPr>
          <w:rFonts w:ascii="Book Antiqua" w:eastAsia="Book Antiqua" w:hAnsi="Book Antiqua" w:cs="Book Antiqua"/>
          <w:b/>
          <w:color w:val="000000"/>
        </w:rPr>
        <w:lastRenderedPageBreak/>
        <w:t>Footnotes</w:t>
      </w:r>
    </w:p>
    <w:p w:rsidR="00EE3239" w:rsidRDefault="0021728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hd w:val="clear" w:color="auto" w:fill="FFFFFF"/>
        </w:rPr>
        <w:t>The authors declare that there is no conflict of interests regarding the publication of this paper.</w:t>
      </w:r>
    </w:p>
    <w:p w:rsidR="00EE3239" w:rsidRDefault="00EE3239">
      <w:pPr>
        <w:spacing w:line="360" w:lineRule="auto"/>
        <w:jc w:val="both"/>
      </w:pPr>
    </w:p>
    <w:p w:rsidR="00EE3239" w:rsidRDefault="0021728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w:t>
      </w:r>
      <w:r>
        <w:rPr>
          <w:rFonts w:ascii="Book Antiqua" w:eastAsia="Book Antiqua" w:hAnsi="Book Antiqua" w:cs="Book Antiqua"/>
          <w:color w:val="000000"/>
        </w:rPr>
        <w:t xml:space="preserve"> article that was selected by an in-house editor and fully peer-reviewed by external reviewers. It is distributed in accordance with the Creative Commons Attribution NonCommercial (CC BY-NC 4.0) license, which permits others to distribute, remix, adapt, bu</w:t>
      </w:r>
      <w:r>
        <w:rPr>
          <w:rFonts w:ascii="Book Antiqua" w:eastAsia="Book Antiqua" w:hAnsi="Book Antiqua" w:cs="Book Antiqua"/>
          <w:color w:val="000000"/>
        </w:rPr>
        <w:t>ild upon this work non-commercially, and license their derivative works on different terms, provided the original work is properly cited and the use is non-commercial. See: https://creativecommons.org/Licenses/by-nc/4.0/</w:t>
      </w:r>
    </w:p>
    <w:p w:rsidR="00EE3239" w:rsidRDefault="00EE3239">
      <w:pPr>
        <w:spacing w:line="360" w:lineRule="auto"/>
        <w:jc w:val="both"/>
      </w:pPr>
    </w:p>
    <w:p w:rsidR="00EE3239" w:rsidRDefault="0021728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w:t>
      </w:r>
      <w:r>
        <w:rPr>
          <w:rFonts w:ascii="Book Antiqua" w:eastAsia="Book Antiqua" w:hAnsi="Book Antiqua" w:cs="Book Antiqua"/>
          <w:color w:val="000000"/>
        </w:rPr>
        <w:t>d article; Externally peer reviewed.</w:t>
      </w:r>
    </w:p>
    <w:p w:rsidR="00EE3239" w:rsidRDefault="0021728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EE3239" w:rsidRDefault="00EE3239">
      <w:pPr>
        <w:spacing w:line="360" w:lineRule="auto"/>
        <w:jc w:val="both"/>
      </w:pPr>
    </w:p>
    <w:p w:rsidR="00EE3239" w:rsidRDefault="0021728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18, 2022</w:t>
      </w:r>
    </w:p>
    <w:p w:rsidR="00EE3239" w:rsidRDefault="0021728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25, 2022</w:t>
      </w:r>
    </w:p>
    <w:p w:rsidR="00EE3239" w:rsidRDefault="0021728D">
      <w:pPr>
        <w:spacing w:line="360" w:lineRule="auto"/>
        <w:jc w:val="both"/>
        <w:rPr>
          <w:lang w:eastAsia="zh-CN"/>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July 26, 2022</w:t>
      </w:r>
    </w:p>
    <w:p w:rsidR="00EE3239" w:rsidRDefault="00EE3239">
      <w:pPr>
        <w:spacing w:line="360" w:lineRule="auto"/>
        <w:jc w:val="both"/>
      </w:pPr>
    </w:p>
    <w:p w:rsidR="00EE3239" w:rsidRDefault="0021728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Cell </w:t>
      </w:r>
      <w:r>
        <w:rPr>
          <w:rFonts w:ascii="Book Antiqua" w:hAnsi="Book Antiqua" w:cs="Book Antiqua" w:hint="eastAsia"/>
          <w:color w:val="000000"/>
          <w:lang w:eastAsia="zh-CN"/>
        </w:rPr>
        <w:t>b</w:t>
      </w:r>
      <w:r>
        <w:rPr>
          <w:rFonts w:ascii="Book Antiqua" w:eastAsia="Book Antiqua" w:hAnsi="Book Antiqua" w:cs="Book Antiqua"/>
          <w:color w:val="000000"/>
        </w:rPr>
        <w:t>iology</w:t>
      </w:r>
    </w:p>
    <w:p w:rsidR="00EE3239" w:rsidRDefault="0021728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EE3239" w:rsidRDefault="0021728D">
      <w:pPr>
        <w:spacing w:line="360" w:lineRule="auto"/>
        <w:jc w:val="both"/>
      </w:pPr>
      <w:r>
        <w:rPr>
          <w:rFonts w:ascii="Book Antiqua" w:eastAsia="Book Antiqua" w:hAnsi="Book Antiqua" w:cs="Book Antiqua"/>
          <w:b/>
          <w:color w:val="000000"/>
        </w:rPr>
        <w:t xml:space="preserve">Peer-review report’s </w:t>
      </w:r>
      <w:r>
        <w:rPr>
          <w:rFonts w:ascii="Book Antiqua" w:eastAsia="Book Antiqua" w:hAnsi="Book Antiqua" w:cs="Book Antiqua"/>
          <w:b/>
          <w:color w:val="000000"/>
        </w:rPr>
        <w:t>scientific quality classification</w:t>
      </w:r>
    </w:p>
    <w:p w:rsidR="00EE3239" w:rsidRDefault="0021728D">
      <w:pPr>
        <w:spacing w:line="360" w:lineRule="auto"/>
        <w:jc w:val="both"/>
      </w:pPr>
      <w:r>
        <w:rPr>
          <w:rFonts w:ascii="Book Antiqua" w:eastAsia="Book Antiqua" w:hAnsi="Book Antiqua" w:cs="Book Antiqua"/>
          <w:color w:val="000000"/>
        </w:rPr>
        <w:t>Grade A (Excellent): A</w:t>
      </w:r>
    </w:p>
    <w:p w:rsidR="00EE3239" w:rsidRDefault="0021728D">
      <w:pPr>
        <w:spacing w:line="360" w:lineRule="auto"/>
        <w:jc w:val="both"/>
      </w:pPr>
      <w:r>
        <w:rPr>
          <w:rFonts w:ascii="Book Antiqua" w:eastAsia="Book Antiqua" w:hAnsi="Book Antiqua" w:cs="Book Antiqua"/>
          <w:color w:val="000000"/>
        </w:rPr>
        <w:t>Grade B (Very good): 0</w:t>
      </w:r>
    </w:p>
    <w:p w:rsidR="00EE3239" w:rsidRDefault="0021728D">
      <w:pPr>
        <w:spacing w:line="360" w:lineRule="auto"/>
        <w:jc w:val="both"/>
      </w:pPr>
      <w:r>
        <w:rPr>
          <w:rFonts w:ascii="Book Antiqua" w:eastAsia="Book Antiqua" w:hAnsi="Book Antiqua" w:cs="Book Antiqua"/>
          <w:color w:val="000000"/>
        </w:rPr>
        <w:t>Grade C (Good): C</w:t>
      </w:r>
    </w:p>
    <w:p w:rsidR="00EE3239" w:rsidRDefault="0021728D">
      <w:pPr>
        <w:spacing w:line="360" w:lineRule="auto"/>
        <w:jc w:val="both"/>
      </w:pPr>
      <w:r>
        <w:rPr>
          <w:rFonts w:ascii="Book Antiqua" w:eastAsia="Book Antiqua" w:hAnsi="Book Antiqua" w:cs="Book Antiqua"/>
          <w:color w:val="000000"/>
        </w:rPr>
        <w:t>Grade D (Fair): D</w:t>
      </w:r>
    </w:p>
    <w:p w:rsidR="00EE3239" w:rsidRDefault="0021728D">
      <w:pPr>
        <w:spacing w:line="360" w:lineRule="auto"/>
        <w:jc w:val="both"/>
      </w:pPr>
      <w:r>
        <w:rPr>
          <w:rFonts w:ascii="Book Antiqua" w:eastAsia="Book Antiqua" w:hAnsi="Book Antiqua" w:cs="Book Antiqua"/>
          <w:color w:val="000000"/>
        </w:rPr>
        <w:t>Grade E (Poor): 0</w:t>
      </w:r>
    </w:p>
    <w:p w:rsidR="00EE3239" w:rsidRDefault="00EE3239">
      <w:pPr>
        <w:spacing w:line="360" w:lineRule="auto"/>
        <w:jc w:val="both"/>
      </w:pPr>
    </w:p>
    <w:p w:rsidR="00EE3239" w:rsidRDefault="0021728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Portillo R, Czech Republic; Portius D, Germany; Wei W, China</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Pr>
          <w:rFonts w:ascii="Book Antiqua" w:hAnsi="Book Antiqua" w:cs="Book Antiqua" w:hint="eastAsia"/>
          <w:b/>
          <w:color w:val="000000"/>
          <w:lang w:eastAsia="zh-CN"/>
        </w:rPr>
        <w:t xml:space="preserve"> </w:t>
      </w:r>
      <w:r>
        <w:rPr>
          <w:rFonts w:ascii="Book Antiqua" w:hAnsi="Book Antiqua" w:cs="Book Antiqua" w:hint="eastAsia"/>
          <w:color w:val="000000"/>
          <w:lang w:eastAsia="zh-CN"/>
        </w:rPr>
        <w:t>Zhang H</w:t>
      </w:r>
    </w:p>
    <w:p w:rsidR="00EE3239" w:rsidRDefault="0021728D">
      <w:pPr>
        <w:spacing w:line="360" w:lineRule="auto"/>
        <w:jc w:val="both"/>
        <w:sectPr w:rsidR="00EE323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rsidR="00EE3239" w:rsidRDefault="0021728D">
      <w:pPr>
        <w:spacing w:line="360" w:lineRule="auto"/>
        <w:jc w:val="both"/>
      </w:pPr>
      <w:r>
        <w:rPr>
          <w:rFonts w:ascii="Book Antiqua" w:eastAsia="Book Antiqua" w:hAnsi="Book Antiqua" w:cs="Book Antiqua"/>
          <w:b/>
          <w:color w:val="000000"/>
        </w:rPr>
        <w:lastRenderedPageBreak/>
        <w:t>Figure Legends</w:t>
      </w:r>
    </w:p>
    <w:p w:rsidR="00EE3239" w:rsidRDefault="0021728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extent cx="5309235" cy="412369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9627" cy="4123952"/>
                    </a:xfrm>
                    <a:prstGeom prst="rect">
                      <a:avLst/>
                    </a:prstGeom>
                  </pic:spPr>
                </pic:pic>
              </a:graphicData>
            </a:graphic>
          </wp:inline>
        </w:drawing>
      </w:r>
    </w:p>
    <w:p w:rsidR="00EE3239" w:rsidRDefault="0021728D">
      <w:pPr>
        <w:spacing w:line="360" w:lineRule="auto"/>
        <w:jc w:val="both"/>
        <w:rPr>
          <w:lang w:eastAsia="zh-CN"/>
        </w:rPr>
      </w:pPr>
      <w:r>
        <w:rPr>
          <w:rFonts w:ascii="Book Antiqua" w:eastAsia="Book Antiqua" w:hAnsi="Book Antiqua" w:cs="Book Antiqua"/>
          <w:b/>
          <w:bCs/>
          <w:color w:val="000000"/>
        </w:rPr>
        <w:t>Figure 1</w:t>
      </w:r>
      <w:r>
        <w:rPr>
          <w:rFonts w:ascii="Book Antiqua" w:eastAsia="Book Antiqua" w:hAnsi="Book Antiqua" w:cs="Book Antiqua"/>
          <w:b/>
          <w:color w:val="000000"/>
        </w:rPr>
        <w:t xml:space="preserve"> Schematic diagram of metabolic network.</w:t>
      </w:r>
      <w:r>
        <w:rPr>
          <w:rFonts w:ascii="Book Antiqua" w:hAnsi="Book Antiqua" w:cs="Book Antiqua" w:hint="eastAsia"/>
          <w:color w:val="000000"/>
          <w:lang w:eastAsia="zh-CN"/>
        </w:rPr>
        <w:t xml:space="preserve"> SAM: </w:t>
      </w:r>
      <w:r>
        <w:rPr>
          <w:rFonts w:ascii="Book Antiqua" w:eastAsia="Book Antiqua" w:hAnsi="Book Antiqua" w:cs="Book Antiqua"/>
          <w:color w:val="000000"/>
          <w:shd w:val="clear" w:color="auto" w:fill="FFFFFF"/>
        </w:rPr>
        <w:t>S-adenosylmethionine</w:t>
      </w:r>
      <w:r>
        <w:rPr>
          <w:rFonts w:ascii="Book Antiqua" w:hAnsi="Book Antiqua" w:cs="Book Antiqua" w:hint="eastAsia"/>
          <w:color w:val="000000"/>
          <w:lang w:eastAsia="zh-CN"/>
        </w:rPr>
        <w:t xml:space="preserve">; TCA: </w:t>
      </w:r>
      <w:r>
        <w:rPr>
          <w:rFonts w:ascii="Book Antiqua" w:hAnsi="Book Antiqua" w:cs="Book Antiqua" w:hint="eastAsia"/>
          <w:color w:val="000000"/>
          <w:shd w:val="clear" w:color="auto" w:fill="FFFFFF"/>
          <w:lang w:eastAsia="zh-CN"/>
        </w:rPr>
        <w:t>T</w:t>
      </w:r>
      <w:r>
        <w:rPr>
          <w:rFonts w:ascii="Book Antiqua" w:eastAsia="Book Antiqua" w:hAnsi="Book Antiqua" w:cs="Book Antiqua"/>
          <w:color w:val="000000"/>
          <w:shd w:val="clear" w:color="auto" w:fill="FFFFFF"/>
        </w:rPr>
        <w:t>ricarboxylic acid</w:t>
      </w:r>
      <w:r>
        <w:rPr>
          <w:rFonts w:ascii="Book Antiqua" w:hAnsi="Book Antiqua" w:cs="Book Antiqua" w:hint="eastAsia"/>
          <w:color w:val="000000"/>
          <w:lang w:eastAsia="zh-CN"/>
        </w:rPr>
        <w:t xml:space="preserve">; </w:t>
      </w:r>
      <w:r>
        <w:rPr>
          <w:rFonts w:ascii="Book Antiqua" w:hAnsi="Book Antiqua" w:cs="Book Antiqua"/>
          <w:color w:val="000000"/>
          <w:lang w:eastAsia="zh-CN"/>
        </w:rPr>
        <w:t>α</w:t>
      </w:r>
      <w:r>
        <w:rPr>
          <w:rFonts w:ascii="Book Antiqua" w:hAnsi="Book Antiqua" w:cs="Book Antiqua" w:hint="eastAsia"/>
          <w:color w:val="000000"/>
          <w:lang w:eastAsia="zh-CN"/>
        </w:rPr>
        <w:t xml:space="preserve">-KG: </w:t>
      </w:r>
      <w:r>
        <w:rPr>
          <w:rFonts w:ascii="Book Antiqua" w:eastAsia="Book Antiqua" w:hAnsi="Book Antiqua" w:cs="Book Antiqua"/>
          <w:color w:val="000000"/>
          <w:shd w:val="clear" w:color="auto" w:fill="FFFFFF"/>
        </w:rPr>
        <w:t>α-ketoglutarate</w:t>
      </w:r>
      <w:r>
        <w:rPr>
          <w:rFonts w:ascii="Book Antiqua" w:hAnsi="Book Antiqua" w:cs="Book Antiqua" w:hint="eastAsia"/>
          <w:color w:val="000000"/>
          <w:lang w:eastAsia="zh-CN"/>
        </w:rPr>
        <w:t>.</w:t>
      </w:r>
    </w:p>
    <w:p w:rsidR="00EE3239" w:rsidRDefault="0021728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p>
    <w:p w:rsidR="00EE3239" w:rsidRDefault="0021728D">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lastRenderedPageBreak/>
        <w:drawing>
          <wp:inline distT="0" distB="0" distL="0" distR="0">
            <wp:extent cx="5400675" cy="35229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1067" cy="3523495"/>
                    </a:xfrm>
                    <a:prstGeom prst="rect">
                      <a:avLst/>
                    </a:prstGeom>
                  </pic:spPr>
                </pic:pic>
              </a:graphicData>
            </a:graphic>
          </wp:inline>
        </w:drawing>
      </w:r>
    </w:p>
    <w:p w:rsidR="00EE3239" w:rsidRDefault="0021728D">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Figure 2</w:t>
      </w:r>
      <w:r>
        <w:rPr>
          <w:rFonts w:ascii="Book Antiqua" w:eastAsia="Book Antiqua" w:hAnsi="Book Antiqua" w:cs="Book Antiqua"/>
          <w:b/>
          <w:color w:val="000000"/>
        </w:rPr>
        <w:t xml:space="preserve"> Schematic diagram of epigenetic metabolism</w:t>
      </w:r>
      <w:r>
        <w:rPr>
          <w:rFonts w:ascii="Book Antiqua" w:hAnsi="Book Antiqua" w:cs="Book Antiqua" w:hint="eastAsia"/>
          <w:b/>
          <w:color w:val="000000"/>
          <w:lang w:eastAsia="zh-CN"/>
        </w:rPr>
        <w:t xml:space="preserve">. </w:t>
      </w:r>
      <w:r>
        <w:rPr>
          <w:rFonts w:ascii="Book Antiqua" w:hAnsi="Book Antiqua" w:cs="Book Antiqua" w:hint="eastAsia"/>
          <w:color w:val="000000"/>
          <w:lang w:eastAsia="zh-CN"/>
        </w:rPr>
        <w:t xml:space="preserve">SAM: </w:t>
      </w:r>
      <w:r>
        <w:rPr>
          <w:rFonts w:ascii="Book Antiqua" w:eastAsia="Book Antiqua" w:hAnsi="Book Antiqua" w:cs="Book Antiqua"/>
          <w:color w:val="000000"/>
          <w:shd w:val="clear" w:color="auto" w:fill="FFFFFF"/>
        </w:rPr>
        <w:t>S-adenosylmethionine</w:t>
      </w:r>
      <w:r>
        <w:rPr>
          <w:rFonts w:ascii="Book Antiqua" w:hAnsi="Book Antiqua" w:cs="Book Antiqua" w:hint="eastAsia"/>
          <w:color w:val="000000"/>
          <w:lang w:eastAsia="zh-CN"/>
        </w:rPr>
        <w:t xml:space="preserve">; SIRT: </w:t>
      </w:r>
      <w:r>
        <w:rPr>
          <w:rFonts w:ascii="Book Antiqua"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irtuin</w:t>
      </w:r>
      <w:r>
        <w:rPr>
          <w:rFonts w:ascii="Book Antiqua" w:hAnsi="Book Antiqua" w:cs="Book Antiqua" w:hint="eastAsia"/>
          <w:color w:val="000000"/>
          <w:lang w:eastAsia="zh-CN"/>
        </w:rPr>
        <w:t xml:space="preserve">; </w:t>
      </w:r>
      <w:r>
        <w:rPr>
          <w:rFonts w:ascii="Book Antiqua" w:hAnsi="Book Antiqua" w:cs="Book Antiqua"/>
          <w:color w:val="000000"/>
          <w:lang w:eastAsia="zh-CN"/>
        </w:rPr>
        <w:t>α</w:t>
      </w:r>
      <w:r>
        <w:rPr>
          <w:rFonts w:ascii="Book Antiqua" w:hAnsi="Book Antiqua" w:cs="Book Antiqua" w:hint="eastAsia"/>
          <w:color w:val="000000"/>
          <w:lang w:eastAsia="zh-CN"/>
        </w:rPr>
        <w:t xml:space="preserve">-KG: </w:t>
      </w:r>
      <w:r>
        <w:rPr>
          <w:rFonts w:ascii="Book Antiqua" w:eastAsia="Book Antiqua" w:hAnsi="Book Antiqua" w:cs="Book Antiqua"/>
          <w:color w:val="000000"/>
          <w:shd w:val="clear" w:color="auto" w:fill="FFFFFF"/>
        </w:rPr>
        <w:t>α-ketoglutarate</w:t>
      </w:r>
      <w:r>
        <w:rPr>
          <w:rFonts w:ascii="Book Antiqua" w:hAnsi="Book Antiqua" w:cs="Book Antiqua" w:hint="eastAsia"/>
          <w:color w:val="000000"/>
          <w:lang w:eastAsia="zh-CN"/>
        </w:rPr>
        <w:t>; NAM: N</w:t>
      </w:r>
      <w:r>
        <w:rPr>
          <w:rFonts w:ascii="Book Antiqua" w:hAnsi="Book Antiqua" w:cs="Book Antiqua"/>
          <w:color w:val="000000"/>
          <w:lang w:eastAsia="zh-CN"/>
        </w:rPr>
        <w:t>icotinamide</w:t>
      </w:r>
      <w:r>
        <w:rPr>
          <w:rFonts w:ascii="Book Antiqua" w:hAnsi="Book Antiqua" w:cs="Book Antiqua" w:hint="eastAsia"/>
          <w:color w:val="000000"/>
          <w:lang w:eastAsia="zh-CN"/>
        </w:rPr>
        <w:t xml:space="preserve">; SAH: </w:t>
      </w:r>
      <w:r>
        <w:rPr>
          <w:rFonts w:ascii="Book Antiqua" w:hAnsi="Book Antiqua" w:cs="Book Antiqua"/>
          <w:color w:val="000000"/>
          <w:lang w:eastAsia="zh-CN"/>
        </w:rPr>
        <w:t>S-adenosylhomocysteine</w:t>
      </w:r>
      <w:r>
        <w:rPr>
          <w:rFonts w:ascii="Book Antiqua" w:hAnsi="Book Antiqua" w:cs="Book Antiqua" w:hint="eastAsia"/>
          <w:color w:val="000000"/>
          <w:lang w:eastAsia="zh-CN"/>
        </w:rPr>
        <w:t>; HAT: H</w:t>
      </w:r>
      <w:r>
        <w:rPr>
          <w:rFonts w:ascii="Book Antiqua" w:hAnsi="Book Antiqua" w:cs="Book Antiqua"/>
          <w:color w:val="000000"/>
          <w:lang w:eastAsia="zh-CN"/>
        </w:rPr>
        <w:t>istone acetyltransferases</w:t>
      </w:r>
      <w:r>
        <w:rPr>
          <w:rFonts w:ascii="Book Antiqua" w:hAnsi="Book Antiqua" w:cs="Book Antiqua" w:hint="eastAsia"/>
          <w:color w:val="000000"/>
          <w:lang w:eastAsia="zh-CN"/>
        </w:rPr>
        <w:t>; HMT: H</w:t>
      </w:r>
      <w:r>
        <w:rPr>
          <w:rFonts w:ascii="Book Antiqua" w:hAnsi="Book Antiqua" w:cs="Book Antiqua"/>
          <w:color w:val="000000"/>
          <w:lang w:eastAsia="zh-CN"/>
        </w:rPr>
        <w:t>istone methylases</w:t>
      </w:r>
      <w:r>
        <w:rPr>
          <w:rFonts w:ascii="Book Antiqua" w:hAnsi="Book Antiqua" w:cs="Book Antiqua" w:hint="eastAsia"/>
          <w:color w:val="000000"/>
          <w:lang w:eastAsia="zh-CN"/>
        </w:rPr>
        <w:t xml:space="preserve">; JHDM: </w:t>
      </w:r>
      <w:r>
        <w:rPr>
          <w:rFonts w:ascii="Book Antiqua" w:eastAsia="Book Antiqua" w:hAnsi="Book Antiqua" w:cs="Book Antiqua"/>
          <w:color w:val="000000"/>
          <w:shd w:val="clear" w:color="auto" w:fill="FFFFFF"/>
        </w:rPr>
        <w:t>Jumonji-domain histone demethylase</w:t>
      </w:r>
      <w:r>
        <w:rPr>
          <w:rFonts w:ascii="Book Antiqua" w:hAnsi="Book Antiqua" w:cs="Book Antiqua" w:hint="eastAsia"/>
          <w:color w:val="000000"/>
          <w:lang w:eastAsia="zh-CN"/>
        </w:rPr>
        <w:t xml:space="preserve">; LSD: </w:t>
      </w:r>
      <w:r>
        <w:rPr>
          <w:rFonts w:ascii="Book Antiqua" w:hAnsi="Book Antiqua" w:cs="Book Antiqua" w:hint="eastAsia"/>
          <w:color w:val="000000"/>
          <w:shd w:val="clear" w:color="auto" w:fill="FFFFFF"/>
          <w:lang w:eastAsia="zh-CN"/>
        </w:rPr>
        <w:t>L</w:t>
      </w:r>
      <w:r>
        <w:rPr>
          <w:rFonts w:ascii="Book Antiqua" w:eastAsia="Book Antiqua" w:hAnsi="Book Antiqua" w:cs="Book Antiqua"/>
          <w:color w:val="000000"/>
          <w:shd w:val="clear" w:color="auto" w:fill="FFFFFF"/>
        </w:rPr>
        <w:t>ysine-specific demethylase</w:t>
      </w:r>
      <w:r>
        <w:rPr>
          <w:rFonts w:ascii="Book Antiqua" w:hAnsi="Book Antiqua" w:cs="Book Antiqua" w:hint="eastAsia"/>
          <w:color w:val="000000"/>
          <w:lang w:eastAsia="zh-CN"/>
        </w:rPr>
        <w:t xml:space="preserve">; DNMT: </w:t>
      </w:r>
      <w:r>
        <w:rPr>
          <w:rFonts w:ascii="Book Antiqua" w:hAnsi="Book Antiqua" w:cs="Book Antiqua"/>
          <w:color w:val="000000"/>
          <w:lang w:eastAsia="zh-CN"/>
        </w:rPr>
        <w:t>DNA methyltransferases</w:t>
      </w:r>
      <w:r>
        <w:rPr>
          <w:rFonts w:ascii="Book Antiqua" w:hAnsi="Book Antiqua" w:cs="Book Antiqua" w:hint="eastAsia"/>
          <w:color w:val="000000"/>
          <w:lang w:eastAsia="zh-CN"/>
        </w:rPr>
        <w:t xml:space="preserve">; TET: </w:t>
      </w:r>
      <w:r>
        <w:rPr>
          <w:rFonts w:ascii="Book Antiqua" w:hAnsi="Book Antiqua" w:cs="Book Antiqua" w:hint="eastAsia"/>
          <w:color w:val="000000"/>
          <w:shd w:val="clear" w:color="auto" w:fill="FFFFFF"/>
          <w:lang w:eastAsia="zh-CN"/>
        </w:rPr>
        <w:t>T</w:t>
      </w:r>
      <w:r>
        <w:rPr>
          <w:rFonts w:ascii="Book Antiqua" w:eastAsia="Book Antiqua" w:hAnsi="Book Antiqua" w:cs="Book Antiqua"/>
          <w:color w:val="000000"/>
          <w:shd w:val="clear" w:color="auto" w:fill="FFFFFF"/>
        </w:rPr>
        <w:t>en-eleven translocati</w:t>
      </w:r>
      <w:r>
        <w:rPr>
          <w:rFonts w:ascii="Book Antiqua" w:eastAsia="Book Antiqua" w:hAnsi="Book Antiqua" w:cs="Book Antiqua"/>
          <w:color w:val="000000"/>
          <w:shd w:val="clear" w:color="auto" w:fill="FFFFFF"/>
        </w:rPr>
        <w:t>on</w:t>
      </w:r>
      <w:r>
        <w:rPr>
          <w:rFonts w:ascii="Book Antiqua" w:hAnsi="Book Antiqua" w:cs="Book Antiqua" w:hint="eastAsia"/>
          <w:color w:val="000000"/>
          <w:lang w:eastAsia="zh-CN"/>
        </w:rPr>
        <w:t>.</w:t>
      </w:r>
    </w:p>
    <w:p w:rsidR="00E77ED5" w:rsidRDefault="00E77ED5">
      <w:pPr>
        <w:spacing w:line="360" w:lineRule="auto"/>
        <w:jc w:val="both"/>
        <w:rPr>
          <w:rFonts w:ascii="Book Antiqua" w:hAnsi="Book Antiqua" w:cs="Book Antiqua" w:hint="eastAsia"/>
          <w:color w:val="000000"/>
          <w:lang w:eastAsia="zh-CN"/>
        </w:rPr>
      </w:pPr>
    </w:p>
    <w:p w:rsidR="00E77ED5" w:rsidRDefault="00E77ED5">
      <w:pPr>
        <w:spacing w:line="360" w:lineRule="auto"/>
        <w:jc w:val="both"/>
        <w:rPr>
          <w:rFonts w:ascii="Book Antiqua" w:hAnsi="Book Antiqua" w:cs="Book Antiqua" w:hint="eastAsia"/>
          <w:color w:val="000000"/>
          <w:lang w:eastAsia="zh-CN"/>
        </w:rPr>
      </w:pPr>
    </w:p>
    <w:p w:rsidR="00E77ED5" w:rsidRDefault="00E77ED5">
      <w:pPr>
        <w:spacing w:line="360" w:lineRule="auto"/>
        <w:jc w:val="both"/>
        <w:rPr>
          <w:rFonts w:ascii="Book Antiqua" w:hAnsi="Book Antiqua" w:cs="Book Antiqua" w:hint="eastAsia"/>
          <w:color w:val="000000"/>
          <w:lang w:eastAsia="zh-CN"/>
        </w:rPr>
      </w:pPr>
    </w:p>
    <w:p w:rsidR="00E77ED5" w:rsidRDefault="00E77ED5">
      <w:pPr>
        <w:spacing w:line="360" w:lineRule="auto"/>
        <w:jc w:val="both"/>
        <w:rPr>
          <w:rFonts w:ascii="Book Antiqua" w:hAnsi="Book Antiqua" w:cs="Book Antiqua" w:hint="eastAsia"/>
          <w:color w:val="000000"/>
          <w:lang w:eastAsia="zh-CN"/>
        </w:rPr>
      </w:pPr>
    </w:p>
    <w:p w:rsidR="00E77ED5" w:rsidRDefault="00E77ED5">
      <w:pPr>
        <w:spacing w:line="360" w:lineRule="auto"/>
        <w:jc w:val="both"/>
        <w:rPr>
          <w:rFonts w:ascii="Book Antiqua" w:hAnsi="Book Antiqua" w:cs="Book Antiqua" w:hint="eastAsia"/>
          <w:color w:val="000000"/>
          <w:lang w:eastAsia="zh-CN"/>
        </w:rPr>
      </w:pPr>
    </w:p>
    <w:p w:rsidR="00E77ED5" w:rsidRDefault="00E77ED5">
      <w:pPr>
        <w:spacing w:line="360" w:lineRule="auto"/>
        <w:jc w:val="both"/>
        <w:rPr>
          <w:rFonts w:ascii="Book Antiqua" w:hAnsi="Book Antiqua" w:cs="Book Antiqua" w:hint="eastAsia"/>
          <w:color w:val="000000"/>
          <w:lang w:eastAsia="zh-CN"/>
        </w:rPr>
      </w:pPr>
    </w:p>
    <w:p w:rsidR="00E77ED5" w:rsidRDefault="00E77ED5">
      <w:pPr>
        <w:spacing w:line="360" w:lineRule="auto"/>
        <w:jc w:val="both"/>
        <w:rPr>
          <w:rFonts w:ascii="Book Antiqua" w:hAnsi="Book Antiqua" w:cs="Book Antiqua" w:hint="eastAsia"/>
          <w:color w:val="000000"/>
          <w:lang w:eastAsia="zh-CN"/>
        </w:rPr>
      </w:pPr>
    </w:p>
    <w:p w:rsidR="00E77ED5" w:rsidRDefault="00E77ED5">
      <w:pPr>
        <w:spacing w:line="360" w:lineRule="auto"/>
        <w:jc w:val="both"/>
        <w:rPr>
          <w:rFonts w:ascii="Book Antiqua" w:hAnsi="Book Antiqua" w:cs="Book Antiqua" w:hint="eastAsia"/>
          <w:color w:val="000000"/>
          <w:lang w:eastAsia="zh-CN"/>
        </w:rPr>
      </w:pPr>
    </w:p>
    <w:p w:rsidR="00E77ED5" w:rsidRDefault="00E77ED5">
      <w:pPr>
        <w:spacing w:line="360" w:lineRule="auto"/>
        <w:jc w:val="both"/>
        <w:rPr>
          <w:rFonts w:ascii="Book Antiqua" w:hAnsi="Book Antiqua" w:cs="Book Antiqua" w:hint="eastAsia"/>
          <w:color w:val="000000"/>
          <w:lang w:eastAsia="zh-CN"/>
        </w:rPr>
      </w:pPr>
    </w:p>
    <w:p w:rsidR="00E77ED5" w:rsidRDefault="00E77ED5">
      <w:pPr>
        <w:spacing w:line="360" w:lineRule="auto"/>
        <w:jc w:val="both"/>
        <w:rPr>
          <w:rFonts w:ascii="Book Antiqua" w:hAnsi="Book Antiqua" w:cs="Book Antiqua" w:hint="eastAsia"/>
          <w:color w:val="000000"/>
          <w:lang w:eastAsia="zh-CN"/>
        </w:rPr>
      </w:pPr>
    </w:p>
    <w:p w:rsidR="00E77ED5" w:rsidRDefault="00E77ED5">
      <w:pPr>
        <w:spacing w:line="360" w:lineRule="auto"/>
        <w:jc w:val="both"/>
        <w:rPr>
          <w:rFonts w:ascii="Book Antiqua" w:hAnsi="Book Antiqua" w:cs="Book Antiqua" w:hint="eastAsia"/>
          <w:color w:val="000000"/>
          <w:lang w:eastAsia="zh-CN"/>
        </w:rPr>
      </w:pPr>
    </w:p>
    <w:p w:rsidR="00E77ED5" w:rsidRPr="00FE6AB5" w:rsidRDefault="00E77ED5" w:rsidP="00E77ED5">
      <w:pPr>
        <w:jc w:val="center"/>
        <w:rPr>
          <w:rFonts w:ascii="Book Antiqua" w:hAnsi="Book Antiqua"/>
        </w:rPr>
      </w:pPr>
    </w:p>
    <w:p w:rsidR="00E77ED5" w:rsidRPr="00FE6AB5" w:rsidRDefault="00E77ED5" w:rsidP="00E77ED5">
      <w:pPr>
        <w:jc w:val="center"/>
        <w:rPr>
          <w:rFonts w:ascii="Book Antiqua" w:hAnsi="Book Antiqua"/>
        </w:rPr>
      </w:pPr>
    </w:p>
    <w:p w:rsidR="00E77ED5" w:rsidRPr="00FE6AB5" w:rsidRDefault="00E77ED5" w:rsidP="00E77ED5">
      <w:pPr>
        <w:jc w:val="center"/>
        <w:rPr>
          <w:rFonts w:ascii="Book Antiqua" w:hAnsi="Book Antiqua"/>
        </w:rPr>
      </w:pPr>
    </w:p>
    <w:p w:rsidR="00E77ED5" w:rsidRPr="00FE6AB5" w:rsidRDefault="00E77ED5" w:rsidP="00E77ED5">
      <w:pPr>
        <w:jc w:val="center"/>
        <w:rPr>
          <w:rFonts w:ascii="Book Antiqua" w:hAnsi="Book Antiqua"/>
        </w:rPr>
      </w:pPr>
    </w:p>
    <w:p w:rsidR="00E77ED5" w:rsidRPr="00FE6AB5" w:rsidRDefault="00E77ED5" w:rsidP="00E77ED5">
      <w:pPr>
        <w:jc w:val="center"/>
        <w:rPr>
          <w:rFonts w:ascii="Book Antiqua" w:hAnsi="Book Antiqua"/>
        </w:rPr>
      </w:pPr>
    </w:p>
    <w:p w:rsidR="00E77ED5" w:rsidRPr="00FE6AB5" w:rsidRDefault="00E77ED5" w:rsidP="00E77ED5">
      <w:pPr>
        <w:jc w:val="center"/>
        <w:rPr>
          <w:rFonts w:ascii="Book Antiqua" w:hAnsi="Book Antiqua"/>
        </w:rPr>
      </w:pPr>
      <w:r w:rsidRPr="00FE6AB5">
        <w:rPr>
          <w:rFonts w:ascii="Book Antiqua" w:hAnsi="Book Antiqua"/>
          <w:noProof/>
          <w:lang w:eastAsia="zh-CN"/>
        </w:rPr>
        <w:drawing>
          <wp:inline distT="0" distB="0" distL="0" distR="0" wp14:anchorId="25CD4082" wp14:editId="4E306F7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E77ED5" w:rsidRPr="00FE6AB5" w:rsidRDefault="00E77ED5" w:rsidP="00E77ED5">
      <w:pPr>
        <w:jc w:val="center"/>
        <w:rPr>
          <w:rFonts w:ascii="Book Antiqua" w:hAnsi="Book Antiqua"/>
        </w:rPr>
      </w:pPr>
    </w:p>
    <w:p w:rsidR="00E77ED5" w:rsidRPr="00FE6AB5" w:rsidRDefault="00E77ED5" w:rsidP="00E77ED5">
      <w:pPr>
        <w:autoSpaceDE w:val="0"/>
        <w:autoSpaceDN w:val="0"/>
        <w:adjustRightInd w:val="0"/>
        <w:jc w:val="center"/>
        <w:rPr>
          <w:rFonts w:ascii="Book Antiqua" w:eastAsia="Garamond-Bold" w:hAnsi="Book Antiqua" w:cs="Garamond-Bold"/>
          <w:b/>
          <w:bCs/>
          <w:color w:val="000000"/>
          <w:sz w:val="28"/>
          <w:szCs w:val="28"/>
        </w:rPr>
      </w:pPr>
      <w:r w:rsidRPr="00FE6AB5">
        <w:rPr>
          <w:rFonts w:ascii="Book Antiqua" w:eastAsia="TimesNewRomanPSMT" w:hAnsi="Book Antiqua" w:cs="TimesNewRomanPSMT"/>
          <w:color w:val="000000"/>
          <w:sz w:val="28"/>
          <w:szCs w:val="28"/>
        </w:rPr>
        <w:t xml:space="preserve">Published by </w:t>
      </w:r>
      <w:r w:rsidRPr="00FE6AB5">
        <w:rPr>
          <w:rFonts w:ascii="Book Antiqua" w:eastAsia="Garamond-Bold" w:hAnsi="Book Antiqua" w:cs="Garamond-Bold"/>
          <w:b/>
          <w:bCs/>
          <w:color w:val="000000"/>
          <w:sz w:val="28"/>
          <w:szCs w:val="28"/>
        </w:rPr>
        <w:t>Baishideng Publishing Group Inc</w:t>
      </w:r>
    </w:p>
    <w:p w:rsidR="00E77ED5" w:rsidRPr="00FE6AB5" w:rsidRDefault="00E77ED5" w:rsidP="00E77ED5">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TimesNewRomanPSMT" w:hAnsi="Book Antiqua" w:cs="Garamond"/>
          <w:color w:val="000000"/>
          <w:sz w:val="28"/>
          <w:szCs w:val="28"/>
        </w:rPr>
        <w:t>7041 Koll Center Parkway, Suite 160, Pleasanton, CA 94566, USA</w:t>
      </w:r>
    </w:p>
    <w:p w:rsidR="00E77ED5" w:rsidRPr="00FE6AB5" w:rsidRDefault="00E77ED5" w:rsidP="00E77ED5">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Garamond-Bold" w:hAnsi="Book Antiqua" w:cs="Garamond-Bold"/>
          <w:b/>
          <w:bCs/>
          <w:color w:val="000000"/>
          <w:sz w:val="28"/>
          <w:szCs w:val="28"/>
        </w:rPr>
        <w:t xml:space="preserve">Telephone: </w:t>
      </w:r>
      <w:r w:rsidRPr="00FE6AB5">
        <w:rPr>
          <w:rFonts w:ascii="Book Antiqua" w:eastAsia="TimesNewRomanPSMT" w:hAnsi="Book Antiqua" w:cs="Garamond"/>
          <w:color w:val="000000"/>
          <w:sz w:val="28"/>
          <w:szCs w:val="28"/>
        </w:rPr>
        <w:t>+1-925-3991568</w:t>
      </w:r>
    </w:p>
    <w:p w:rsidR="00E77ED5" w:rsidRPr="00FE6AB5" w:rsidRDefault="00E77ED5" w:rsidP="00E77ED5">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E-mail: </w:t>
      </w:r>
      <w:r w:rsidRPr="00FE6AB5">
        <w:rPr>
          <w:rFonts w:ascii="Book Antiqua" w:eastAsia="TimesNewRomanPSMT" w:hAnsi="Book Antiqua" w:cs="Garamond"/>
          <w:color w:val="D56400"/>
          <w:sz w:val="28"/>
          <w:szCs w:val="28"/>
        </w:rPr>
        <w:t>bpgoffice@wjgnet.com</w:t>
      </w:r>
    </w:p>
    <w:p w:rsidR="00E77ED5" w:rsidRPr="00FE6AB5" w:rsidRDefault="00E77ED5" w:rsidP="00E77ED5">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Help Desk: </w:t>
      </w:r>
      <w:r w:rsidRPr="00FE6AB5">
        <w:rPr>
          <w:rFonts w:ascii="Book Antiqua" w:eastAsia="TimesNewRomanPSMT" w:hAnsi="Book Antiqua" w:cs="Garamond"/>
          <w:color w:val="D56400"/>
          <w:sz w:val="28"/>
          <w:szCs w:val="28"/>
        </w:rPr>
        <w:t>https://www.f6publishing.com/helpdesk</w:t>
      </w:r>
    </w:p>
    <w:p w:rsidR="00E77ED5" w:rsidRPr="00FE6AB5" w:rsidRDefault="00E77ED5" w:rsidP="00E77ED5">
      <w:pPr>
        <w:jc w:val="center"/>
        <w:rPr>
          <w:rFonts w:ascii="Book Antiqua" w:hAnsi="Book Antiqua"/>
        </w:rPr>
      </w:pPr>
      <w:r w:rsidRPr="00FE6AB5">
        <w:rPr>
          <w:rFonts w:ascii="Book Antiqua" w:eastAsia="TimesNewRomanPSMT" w:hAnsi="Book Antiqua" w:cs="Garamond"/>
          <w:color w:val="D56400"/>
          <w:sz w:val="28"/>
          <w:szCs w:val="28"/>
        </w:rPr>
        <w:t>https://www.wjgnet.com</w:t>
      </w:r>
    </w:p>
    <w:p w:rsidR="00E77ED5" w:rsidRPr="00FE6AB5" w:rsidRDefault="00E77ED5" w:rsidP="00E77ED5">
      <w:pPr>
        <w:jc w:val="center"/>
        <w:rPr>
          <w:rFonts w:ascii="Book Antiqua" w:hAnsi="Book Antiqua"/>
        </w:rPr>
      </w:pPr>
    </w:p>
    <w:p w:rsidR="00E77ED5" w:rsidRPr="00FE6AB5" w:rsidRDefault="00E77ED5" w:rsidP="00E77ED5">
      <w:pPr>
        <w:jc w:val="center"/>
        <w:rPr>
          <w:rFonts w:ascii="Book Antiqua" w:hAnsi="Book Antiqua"/>
        </w:rPr>
      </w:pPr>
    </w:p>
    <w:p w:rsidR="00E77ED5" w:rsidRPr="00FE6AB5" w:rsidRDefault="00E77ED5" w:rsidP="00E77ED5">
      <w:pPr>
        <w:jc w:val="center"/>
        <w:rPr>
          <w:rFonts w:ascii="Book Antiqua" w:hAnsi="Book Antiqua"/>
        </w:rPr>
      </w:pPr>
    </w:p>
    <w:p w:rsidR="00E77ED5" w:rsidRPr="00FE6AB5" w:rsidRDefault="00E77ED5" w:rsidP="00E77ED5">
      <w:pPr>
        <w:jc w:val="center"/>
        <w:rPr>
          <w:rFonts w:ascii="Book Antiqua" w:hAnsi="Book Antiqua"/>
        </w:rPr>
      </w:pPr>
      <w:r w:rsidRPr="00FE6AB5">
        <w:rPr>
          <w:rFonts w:ascii="Book Antiqua" w:hAnsi="Book Antiqua"/>
          <w:noProof/>
          <w:lang w:eastAsia="zh-CN"/>
        </w:rPr>
        <w:drawing>
          <wp:inline distT="0" distB="0" distL="0" distR="0" wp14:anchorId="33307FC5" wp14:editId="66A27F1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E77ED5" w:rsidRPr="00FE6AB5" w:rsidRDefault="00E77ED5" w:rsidP="00E77ED5">
      <w:pPr>
        <w:jc w:val="center"/>
        <w:rPr>
          <w:rFonts w:ascii="Book Antiqua" w:hAnsi="Book Antiqua"/>
        </w:rPr>
      </w:pPr>
    </w:p>
    <w:p w:rsidR="00E77ED5" w:rsidRPr="00FE6AB5" w:rsidRDefault="00E77ED5" w:rsidP="00E77ED5">
      <w:pPr>
        <w:jc w:val="center"/>
        <w:rPr>
          <w:rFonts w:ascii="Book Antiqua" w:hAnsi="Book Antiqua"/>
        </w:rPr>
      </w:pPr>
    </w:p>
    <w:p w:rsidR="00E77ED5" w:rsidRPr="00FE6AB5" w:rsidRDefault="00E77ED5" w:rsidP="00E77ED5">
      <w:pPr>
        <w:jc w:val="center"/>
        <w:rPr>
          <w:rFonts w:ascii="Book Antiqua" w:hAnsi="Book Antiqua"/>
        </w:rPr>
      </w:pPr>
    </w:p>
    <w:p w:rsidR="00E77ED5" w:rsidRPr="00FE6AB5" w:rsidRDefault="00E77ED5" w:rsidP="00E77ED5">
      <w:pPr>
        <w:jc w:val="center"/>
        <w:rPr>
          <w:rFonts w:ascii="Book Antiqua" w:hAnsi="Book Antiqua"/>
        </w:rPr>
      </w:pPr>
    </w:p>
    <w:p w:rsidR="00E77ED5" w:rsidRPr="00FE6AB5" w:rsidRDefault="00E77ED5" w:rsidP="00E77ED5">
      <w:pPr>
        <w:jc w:val="center"/>
        <w:rPr>
          <w:rFonts w:ascii="Book Antiqua" w:hAnsi="Book Antiqua"/>
        </w:rPr>
      </w:pPr>
    </w:p>
    <w:p w:rsidR="00E77ED5" w:rsidRPr="00FE6AB5" w:rsidRDefault="00E77ED5" w:rsidP="00E77ED5">
      <w:pPr>
        <w:jc w:val="center"/>
        <w:rPr>
          <w:rFonts w:ascii="Book Antiqua" w:hAnsi="Book Antiqua"/>
        </w:rPr>
      </w:pPr>
    </w:p>
    <w:p w:rsidR="00E77ED5" w:rsidRPr="00FE6AB5" w:rsidRDefault="00E77ED5" w:rsidP="00E77ED5">
      <w:pPr>
        <w:jc w:val="center"/>
        <w:rPr>
          <w:rFonts w:ascii="Book Antiqua" w:hAnsi="Book Antiqua"/>
        </w:rPr>
      </w:pPr>
    </w:p>
    <w:p w:rsidR="00E77ED5" w:rsidRPr="00FE6AB5" w:rsidRDefault="00E77ED5" w:rsidP="00E77ED5">
      <w:pPr>
        <w:jc w:val="center"/>
        <w:rPr>
          <w:rFonts w:ascii="Book Antiqua" w:hAnsi="Book Antiqua"/>
        </w:rPr>
      </w:pPr>
    </w:p>
    <w:p w:rsidR="00E77ED5" w:rsidRPr="00FE6AB5" w:rsidRDefault="00E77ED5" w:rsidP="00E77ED5">
      <w:pPr>
        <w:jc w:val="center"/>
        <w:rPr>
          <w:rFonts w:ascii="Book Antiqua" w:hAnsi="Book Antiqua"/>
        </w:rPr>
      </w:pPr>
    </w:p>
    <w:p w:rsidR="00E77ED5" w:rsidRPr="00FE6AB5" w:rsidRDefault="00E77ED5" w:rsidP="00E77ED5">
      <w:pPr>
        <w:jc w:val="right"/>
        <w:rPr>
          <w:rFonts w:ascii="Book Antiqua" w:hAnsi="Book Antiqua"/>
          <w:color w:val="000000" w:themeColor="text1"/>
        </w:rPr>
      </w:pPr>
    </w:p>
    <w:p w:rsidR="00EE3239" w:rsidRPr="00E77ED5" w:rsidRDefault="00E77ED5" w:rsidP="00E77ED5">
      <w:pPr>
        <w:spacing w:line="360" w:lineRule="auto"/>
        <w:jc w:val="center"/>
        <w:rPr>
          <w:rFonts w:ascii="Book Antiqua" w:hAnsi="Book Antiqua"/>
          <w:lang w:eastAsia="zh-CN"/>
        </w:rPr>
      </w:pPr>
      <w:r w:rsidRPr="00FE6AB5">
        <w:rPr>
          <w:rFonts w:ascii="Book Antiqua" w:eastAsia="BookAntiqua-Bold" w:hAnsi="Book Antiqua" w:cs="BookAntiqua-Bold"/>
          <w:b/>
          <w:bCs/>
          <w:color w:val="000000" w:themeColor="text1"/>
        </w:rPr>
        <w:t>© 202</w:t>
      </w:r>
      <w:r w:rsidRPr="00FE6AB5">
        <w:rPr>
          <w:rFonts w:ascii="Book Antiqua" w:eastAsia="BookAntiqua-Bold" w:hAnsi="Book Antiqua" w:cs="BookAntiqua-Bold" w:hint="eastAsia"/>
          <w:b/>
          <w:bCs/>
          <w:color w:val="000000" w:themeColor="text1"/>
        </w:rPr>
        <w:t>2</w:t>
      </w:r>
      <w:r w:rsidRPr="00FE6AB5">
        <w:rPr>
          <w:rFonts w:ascii="Book Antiqua" w:eastAsia="BookAntiqua-Bold" w:hAnsi="Book Antiqua" w:cs="BookAntiqua-Bold"/>
          <w:b/>
          <w:bCs/>
          <w:color w:val="000000" w:themeColor="text1"/>
        </w:rPr>
        <w:t xml:space="preserve"> Baishideng Publishing Group Inc. All rights reserved.</w:t>
      </w:r>
      <w:bookmarkStart w:id="29" w:name="_GoBack"/>
      <w:bookmarkEnd w:id="29"/>
    </w:p>
    <w:sectPr w:rsidR="00EE3239" w:rsidRPr="00E77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8D" w:rsidRDefault="0021728D">
      <w:r>
        <w:separator/>
      </w:r>
    </w:p>
  </w:endnote>
  <w:endnote w:type="continuationSeparator" w:id="0">
    <w:p w:rsidR="0021728D" w:rsidRDefault="0021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683534"/>
      <w:docPartObj>
        <w:docPartGallery w:val="AutoText"/>
      </w:docPartObj>
    </w:sdtPr>
    <w:sdtEndPr/>
    <w:sdtContent>
      <w:sdt>
        <w:sdtPr>
          <w:id w:val="860082579"/>
          <w:docPartObj>
            <w:docPartGallery w:val="AutoText"/>
          </w:docPartObj>
        </w:sdtPr>
        <w:sdtEndPr/>
        <w:sdtContent>
          <w:p w:rsidR="00EE3239" w:rsidRDefault="0021728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77ED5">
              <w:rPr>
                <w:b/>
                <w:bCs/>
                <w:noProof/>
              </w:rPr>
              <w:t>38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77ED5">
              <w:rPr>
                <w:b/>
                <w:bCs/>
                <w:noProof/>
              </w:rPr>
              <w:t>38</w:t>
            </w:r>
            <w:r>
              <w:rPr>
                <w:b/>
                <w:bCs/>
                <w:sz w:val="24"/>
                <w:szCs w:val="24"/>
              </w:rPr>
              <w:fldChar w:fldCharType="end"/>
            </w:r>
          </w:p>
        </w:sdtContent>
      </w:sdt>
    </w:sdtContent>
  </w:sdt>
  <w:p w:rsidR="00EE3239" w:rsidRDefault="00EE32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8D" w:rsidRDefault="0021728D">
      <w:r>
        <w:separator/>
      </w:r>
    </w:p>
  </w:footnote>
  <w:footnote w:type="continuationSeparator" w:id="0">
    <w:p w:rsidR="0021728D" w:rsidRDefault="00217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B270E"/>
    <w:rsid w:val="00144E2C"/>
    <w:rsid w:val="001B63A0"/>
    <w:rsid w:val="001D2912"/>
    <w:rsid w:val="001D50A3"/>
    <w:rsid w:val="001D6D91"/>
    <w:rsid w:val="0021728D"/>
    <w:rsid w:val="00227F3A"/>
    <w:rsid w:val="002A3FC3"/>
    <w:rsid w:val="00305204"/>
    <w:rsid w:val="00306236"/>
    <w:rsid w:val="00344C86"/>
    <w:rsid w:val="00366171"/>
    <w:rsid w:val="00376091"/>
    <w:rsid w:val="00470977"/>
    <w:rsid w:val="004739F7"/>
    <w:rsid w:val="004814C4"/>
    <w:rsid w:val="00486170"/>
    <w:rsid w:val="004959FE"/>
    <w:rsid w:val="004E101C"/>
    <w:rsid w:val="004E7F48"/>
    <w:rsid w:val="004F3319"/>
    <w:rsid w:val="004F36B7"/>
    <w:rsid w:val="005546AF"/>
    <w:rsid w:val="0055724F"/>
    <w:rsid w:val="005B2389"/>
    <w:rsid w:val="005D0D48"/>
    <w:rsid w:val="00652BC3"/>
    <w:rsid w:val="00654BE3"/>
    <w:rsid w:val="006668E1"/>
    <w:rsid w:val="006C53D4"/>
    <w:rsid w:val="006E5B3A"/>
    <w:rsid w:val="00790C24"/>
    <w:rsid w:val="007C1E6A"/>
    <w:rsid w:val="00813F21"/>
    <w:rsid w:val="00820452"/>
    <w:rsid w:val="008A5A7F"/>
    <w:rsid w:val="008D44A0"/>
    <w:rsid w:val="008F4E06"/>
    <w:rsid w:val="00907917"/>
    <w:rsid w:val="00980B10"/>
    <w:rsid w:val="009920B9"/>
    <w:rsid w:val="009A1F75"/>
    <w:rsid w:val="009D37A5"/>
    <w:rsid w:val="00A35D60"/>
    <w:rsid w:val="00A41AFB"/>
    <w:rsid w:val="00A53E69"/>
    <w:rsid w:val="00A73219"/>
    <w:rsid w:val="00A77B3E"/>
    <w:rsid w:val="00A83A34"/>
    <w:rsid w:val="00B2417C"/>
    <w:rsid w:val="00BB10D2"/>
    <w:rsid w:val="00BE2C0F"/>
    <w:rsid w:val="00C07E7E"/>
    <w:rsid w:val="00C47C2B"/>
    <w:rsid w:val="00C6033E"/>
    <w:rsid w:val="00C71D49"/>
    <w:rsid w:val="00CA2A55"/>
    <w:rsid w:val="00CA4F9B"/>
    <w:rsid w:val="00CE368F"/>
    <w:rsid w:val="00D13745"/>
    <w:rsid w:val="00D20B39"/>
    <w:rsid w:val="00D53FA2"/>
    <w:rsid w:val="00DB3CA7"/>
    <w:rsid w:val="00E54547"/>
    <w:rsid w:val="00E57059"/>
    <w:rsid w:val="00E77ED5"/>
    <w:rsid w:val="00E831D5"/>
    <w:rsid w:val="00EC6AFE"/>
    <w:rsid w:val="00EE3239"/>
    <w:rsid w:val="00F27650"/>
    <w:rsid w:val="00F437B4"/>
    <w:rsid w:val="00F546BC"/>
    <w:rsid w:val="00FF3EEA"/>
    <w:rsid w:val="0DB10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qFormat/>
    <w:rPr>
      <w:b/>
      <w:bCs/>
    </w:rPr>
  </w:style>
  <w:style w:type="character" w:styleId="a9">
    <w:name w:val="annotation reference"/>
    <w:basedOn w:val="a0"/>
    <w:semiHidden/>
    <w:unhideWhenUsed/>
    <w:qFormat/>
    <w:rPr>
      <w:sz w:val="21"/>
      <w:szCs w:val="21"/>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customStyle="1" w:styleId="1">
    <w:name w:val="修订1"/>
    <w:hidden/>
    <w:uiPriority w:val="99"/>
    <w:semiHidden/>
    <w:qFormat/>
    <w:rPr>
      <w:sz w:val="24"/>
      <w:szCs w:val="24"/>
      <w:lang w:eastAsia="en-US"/>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qFormat/>
    <w:rPr>
      <w:b/>
      <w:bCs/>
      <w:sz w:val="24"/>
      <w:szCs w:val="24"/>
    </w:rPr>
  </w:style>
  <w:style w:type="character" w:styleId="aa">
    <w:name w:val="Hyperlink"/>
    <w:basedOn w:val="a0"/>
    <w:unhideWhenUsed/>
    <w:rsid w:val="00E77E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qFormat/>
    <w:rPr>
      <w:b/>
      <w:bCs/>
    </w:rPr>
  </w:style>
  <w:style w:type="character" w:styleId="a9">
    <w:name w:val="annotation reference"/>
    <w:basedOn w:val="a0"/>
    <w:semiHidden/>
    <w:unhideWhenUsed/>
    <w:qFormat/>
    <w:rPr>
      <w:sz w:val="21"/>
      <w:szCs w:val="21"/>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customStyle="1" w:styleId="1">
    <w:name w:val="修订1"/>
    <w:hidden/>
    <w:uiPriority w:val="99"/>
    <w:semiHidden/>
    <w:qFormat/>
    <w:rPr>
      <w:sz w:val="24"/>
      <w:szCs w:val="24"/>
      <w:lang w:eastAsia="en-US"/>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qFormat/>
    <w:rPr>
      <w:b/>
      <w:bCs/>
      <w:sz w:val="24"/>
      <w:szCs w:val="24"/>
    </w:rPr>
  </w:style>
  <w:style w:type="character" w:styleId="aa">
    <w:name w:val="Hyperlink"/>
    <w:basedOn w:val="a0"/>
    <w:unhideWhenUsed/>
    <w:rsid w:val="00E77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C910D-3540-4926-AE40-31BC4A7C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9651</Words>
  <Characters>55014</Characters>
  <Application>Microsoft Office Word</Application>
  <DocSecurity>0</DocSecurity>
  <Lines>458</Lines>
  <Paragraphs>129</Paragraphs>
  <ScaleCrop>false</ScaleCrop>
  <Company>China</Company>
  <LinksUpToDate>false</LinksUpToDate>
  <CharactersWithSpaces>64536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刘翼</dc:creator>
  <cp:lastModifiedBy>User</cp:lastModifiedBy>
  <cp:revision>3</cp:revision>
  <dcterms:created xsi:type="dcterms:W3CDTF">2022-07-08T03:54:00Z</dcterms:created>
  <dcterms:modified xsi:type="dcterms:W3CDTF">2022-07-25T08:37:00Z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819EE8181B2149F0925EDEC917E9EB7A</vt:lpwstr>
  </property>
</Properties>
</file>