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7EEAA" w14:textId="77777777" w:rsidR="00743A00" w:rsidRDefault="00000000">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58FBC314" w14:textId="77777777" w:rsidR="00743A00"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76551</w:t>
      </w:r>
    </w:p>
    <w:p w14:paraId="4D77AF81" w14:textId="77777777" w:rsidR="00743A00" w:rsidRDefault="00000000">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394CE85" w14:textId="77777777" w:rsidR="00743A00" w:rsidRDefault="00743A00">
      <w:pPr>
        <w:spacing w:line="360" w:lineRule="auto"/>
        <w:jc w:val="both"/>
        <w:rPr>
          <w:rFonts w:ascii="Book Antiqua" w:hAnsi="Book Antiqua"/>
        </w:rPr>
      </w:pPr>
    </w:p>
    <w:p w14:paraId="7EC371F2" w14:textId="77777777" w:rsidR="00743A00" w:rsidRDefault="00000000">
      <w:pPr>
        <w:spacing w:line="360" w:lineRule="auto"/>
        <w:jc w:val="both"/>
        <w:rPr>
          <w:rFonts w:ascii="Book Antiqua" w:hAnsi="Book Antiqua"/>
        </w:rPr>
      </w:pPr>
      <w:r>
        <w:rPr>
          <w:rFonts w:ascii="Book Antiqua" w:eastAsia="Book Antiqua" w:hAnsi="Book Antiqua" w:cs="Book Antiqua"/>
          <w:b/>
          <w:i/>
          <w:color w:val="000000"/>
        </w:rPr>
        <w:t>Observational Study</w:t>
      </w:r>
    </w:p>
    <w:p w14:paraId="2AF74282" w14:textId="77777777" w:rsidR="00743A00" w:rsidRDefault="00000000">
      <w:pPr>
        <w:spacing w:line="360" w:lineRule="auto"/>
        <w:jc w:val="both"/>
        <w:rPr>
          <w:rFonts w:ascii="Book Antiqua" w:hAnsi="Book Antiqua"/>
        </w:rPr>
      </w:pPr>
      <w:r>
        <w:rPr>
          <w:rFonts w:ascii="Book Antiqua" w:eastAsia="Book Antiqua" w:hAnsi="Book Antiqua" w:cs="Book Antiqua"/>
          <w:b/>
          <w:color w:val="000000"/>
        </w:rPr>
        <w:t xml:space="preserve">Prevalence of type 2 diabetes mellitus in the pediatric population of a third-level care hospital in Mexico </w:t>
      </w:r>
      <w:r>
        <w:rPr>
          <w:rFonts w:ascii="Book Antiqua" w:eastAsia="宋体" w:hAnsi="Book Antiqua" w:cs="Book Antiqua" w:hint="eastAsia"/>
          <w:b/>
          <w:color w:val="000000"/>
          <w:lang w:eastAsia="zh-CN"/>
        </w:rPr>
        <w:t>C</w:t>
      </w:r>
      <w:r>
        <w:rPr>
          <w:rFonts w:ascii="Book Antiqua" w:eastAsia="Book Antiqua" w:hAnsi="Book Antiqua" w:cs="Book Antiqua"/>
          <w:b/>
          <w:color w:val="000000"/>
        </w:rPr>
        <w:t>ity</w:t>
      </w:r>
      <w:r>
        <w:rPr>
          <w:rFonts w:ascii="Book Antiqua" w:eastAsia="宋体" w:hAnsi="Book Antiqua" w:cs="Book Antiqua" w:hint="eastAsia"/>
          <w:b/>
          <w:color w:val="000000"/>
          <w:lang w:eastAsia="zh-CN"/>
        </w:rPr>
        <w:t xml:space="preserve"> in</w:t>
      </w:r>
      <w:r>
        <w:rPr>
          <w:rFonts w:ascii="Book Antiqua" w:eastAsia="Book Antiqua" w:hAnsi="Book Antiqua" w:cs="Book Antiqua"/>
          <w:b/>
          <w:color w:val="000000"/>
        </w:rPr>
        <w:t xml:space="preserve"> 2013</w:t>
      </w:r>
      <w:r>
        <w:rPr>
          <w:rFonts w:ascii="Book Antiqua" w:eastAsia="宋体" w:hAnsi="Book Antiqua" w:cs="Book Antiqua" w:hint="eastAsia"/>
          <w:b/>
          <w:color w:val="000000"/>
          <w:lang w:eastAsia="zh-CN"/>
        </w:rPr>
        <w:t xml:space="preserve"> and </w:t>
      </w:r>
      <w:r>
        <w:rPr>
          <w:rFonts w:ascii="Book Antiqua" w:eastAsia="Book Antiqua" w:hAnsi="Book Antiqua" w:cs="Book Antiqua"/>
          <w:b/>
          <w:color w:val="000000"/>
        </w:rPr>
        <w:t>2018</w:t>
      </w:r>
    </w:p>
    <w:p w14:paraId="6ABF36C9" w14:textId="77777777" w:rsidR="00743A00" w:rsidRDefault="00743A00">
      <w:pPr>
        <w:spacing w:line="360" w:lineRule="auto"/>
        <w:jc w:val="both"/>
        <w:rPr>
          <w:rFonts w:ascii="Book Antiqua" w:hAnsi="Book Antiqua"/>
        </w:rPr>
      </w:pPr>
    </w:p>
    <w:p w14:paraId="44A5BAC0" w14:textId="77777777" w:rsidR="00743A00" w:rsidRDefault="00000000">
      <w:pPr>
        <w:spacing w:line="360" w:lineRule="auto"/>
        <w:jc w:val="both"/>
        <w:rPr>
          <w:rFonts w:ascii="Book Antiqua" w:hAnsi="Book Antiqua"/>
        </w:rPr>
      </w:pPr>
      <w:r>
        <w:rPr>
          <w:rFonts w:ascii="Book Antiqua" w:eastAsia="Book Antiqua" w:hAnsi="Book Antiqua" w:cs="Book Antiqua"/>
          <w:color w:val="000000"/>
          <w:lang w:val="es-MX"/>
        </w:rPr>
        <w:t xml:space="preserve">Molina-Díaz JM </w:t>
      </w:r>
      <w:r>
        <w:rPr>
          <w:rFonts w:ascii="Book Antiqua" w:eastAsia="Book Antiqua" w:hAnsi="Book Antiqua" w:cs="Book Antiqua"/>
          <w:i/>
          <w:color w:val="000000"/>
          <w:lang w:val="es-MX"/>
        </w:rPr>
        <w:t>et al</w:t>
      </w:r>
      <w:r>
        <w:rPr>
          <w:rFonts w:ascii="Book Antiqua" w:eastAsia="Book Antiqua" w:hAnsi="Book Antiqua" w:cs="Book Antiqua"/>
          <w:color w:val="000000"/>
          <w:lang w:val="es-MX"/>
        </w:rPr>
        <w:t xml:space="preserve">. </w:t>
      </w:r>
      <w:r>
        <w:rPr>
          <w:rFonts w:ascii="Book Antiqua" w:eastAsia="Book Antiqua" w:hAnsi="Book Antiqua" w:cs="Book Antiqua"/>
          <w:color w:val="000000"/>
        </w:rPr>
        <w:t xml:space="preserve">Prevalence of </w:t>
      </w:r>
      <w:r>
        <w:rPr>
          <w:rFonts w:ascii="Book Antiqua" w:eastAsia="宋体" w:hAnsi="Book Antiqua" w:cs="Book Antiqua" w:hint="eastAsia"/>
          <w:color w:val="000000"/>
          <w:lang w:eastAsia="zh-CN"/>
        </w:rPr>
        <w:t>T2DM</w:t>
      </w:r>
      <w:r>
        <w:rPr>
          <w:rFonts w:ascii="Book Antiqua" w:eastAsia="Book Antiqua" w:hAnsi="Book Antiqua" w:cs="Book Antiqua"/>
          <w:color w:val="000000"/>
        </w:rPr>
        <w:t xml:space="preserve"> 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pediatric population</w:t>
      </w:r>
    </w:p>
    <w:p w14:paraId="24FA29A6" w14:textId="77777777" w:rsidR="00743A00" w:rsidRDefault="00743A00">
      <w:pPr>
        <w:spacing w:line="360" w:lineRule="auto"/>
        <w:jc w:val="both"/>
        <w:rPr>
          <w:rFonts w:ascii="Book Antiqua" w:hAnsi="Book Antiqua"/>
        </w:rPr>
      </w:pPr>
    </w:p>
    <w:p w14:paraId="2C1C8D3D" w14:textId="77777777" w:rsidR="00743A00" w:rsidRDefault="00000000">
      <w:pPr>
        <w:spacing w:line="360" w:lineRule="auto"/>
        <w:jc w:val="both"/>
        <w:rPr>
          <w:rFonts w:ascii="Book Antiqua" w:hAnsi="Book Antiqua"/>
          <w:lang w:val="es-MX"/>
        </w:rPr>
      </w:pPr>
      <w:r>
        <w:rPr>
          <w:rFonts w:ascii="Book Antiqua" w:eastAsia="Book Antiqua" w:hAnsi="Book Antiqua" w:cs="Book Antiqua"/>
          <w:color w:val="000000"/>
          <w:lang w:val="es-MX"/>
        </w:rPr>
        <w:t>Jorge Mario Molina-Díaz, Blanca Estela Vargas-Terrez, Patricia Guadalupe Medina-Bravo, Antonia Martínez-Ambrosio, América Liliana Miranda-Lora, Miguel Klünder-Klünder</w:t>
      </w:r>
    </w:p>
    <w:p w14:paraId="5E631F05" w14:textId="77777777" w:rsidR="00743A00" w:rsidRDefault="00743A00">
      <w:pPr>
        <w:spacing w:line="360" w:lineRule="auto"/>
        <w:jc w:val="both"/>
        <w:rPr>
          <w:rFonts w:ascii="Book Antiqua" w:hAnsi="Book Antiqua"/>
          <w:lang w:val="es-MX"/>
        </w:rPr>
      </w:pPr>
    </w:p>
    <w:p w14:paraId="1BA9F60F" w14:textId="77777777" w:rsidR="00743A00" w:rsidRDefault="00000000">
      <w:pPr>
        <w:spacing w:line="360" w:lineRule="auto"/>
        <w:jc w:val="both"/>
        <w:rPr>
          <w:rFonts w:ascii="Book Antiqua" w:hAnsi="Book Antiqua"/>
          <w:lang w:val="es-MX"/>
        </w:rPr>
      </w:pPr>
      <w:r>
        <w:rPr>
          <w:rFonts w:ascii="Book Antiqua" w:eastAsia="Book Antiqua" w:hAnsi="Book Antiqua" w:cs="Book Antiqua"/>
          <w:b/>
          <w:bCs/>
          <w:color w:val="000000"/>
          <w:lang w:val="es-MX"/>
        </w:rPr>
        <w:t xml:space="preserve">Jorge Mario Molina-Díaz, </w:t>
      </w:r>
      <w:r>
        <w:rPr>
          <w:rFonts w:ascii="Book Antiqua" w:eastAsia="Book Antiqua" w:hAnsi="Book Antiqua" w:cs="Book Antiqua"/>
          <w:color w:val="000000"/>
          <w:lang w:val="es-MX"/>
        </w:rPr>
        <w:t>Department of Child Endocrinology, Children’s Hospital Federico Gomez, Autonomous University of Mexico, Mexico City 06250, Mexico</w:t>
      </w:r>
    </w:p>
    <w:p w14:paraId="62515EDC" w14:textId="77777777" w:rsidR="00743A00" w:rsidRDefault="00743A00">
      <w:pPr>
        <w:spacing w:line="360" w:lineRule="auto"/>
        <w:jc w:val="both"/>
        <w:rPr>
          <w:rFonts w:ascii="Book Antiqua" w:hAnsi="Book Antiqua"/>
          <w:lang w:val="es-MX"/>
        </w:rPr>
      </w:pPr>
    </w:p>
    <w:p w14:paraId="66B10DB6" w14:textId="77777777" w:rsidR="00743A00" w:rsidRDefault="00000000">
      <w:pPr>
        <w:spacing w:line="360" w:lineRule="auto"/>
        <w:jc w:val="both"/>
        <w:rPr>
          <w:rFonts w:ascii="Book Antiqua" w:hAnsi="Book Antiqua"/>
          <w:lang w:val="es-MX"/>
        </w:rPr>
      </w:pPr>
      <w:r>
        <w:rPr>
          <w:rFonts w:ascii="Book Antiqua" w:eastAsia="Book Antiqua" w:hAnsi="Book Antiqua" w:cs="Book Antiqua"/>
          <w:b/>
          <w:bCs/>
          <w:color w:val="000000"/>
          <w:lang w:val="es-MX"/>
        </w:rPr>
        <w:t xml:space="preserve">Blanca Estela Vargas-Terrez, </w:t>
      </w:r>
      <w:r>
        <w:rPr>
          <w:rFonts w:ascii="Book Antiqua" w:eastAsia="Book Antiqua" w:hAnsi="Book Antiqua" w:cs="Book Antiqua"/>
          <w:color w:val="000000"/>
          <w:lang w:val="es-MX"/>
        </w:rPr>
        <w:t>Faculty of Business, La Salle University, Mexico City 06250, Mexico</w:t>
      </w:r>
    </w:p>
    <w:p w14:paraId="3167FF9F" w14:textId="77777777" w:rsidR="00743A00" w:rsidRDefault="00743A00">
      <w:pPr>
        <w:spacing w:line="360" w:lineRule="auto"/>
        <w:jc w:val="both"/>
        <w:rPr>
          <w:rFonts w:ascii="Book Antiqua" w:hAnsi="Book Antiqua"/>
          <w:lang w:val="es-MX"/>
        </w:rPr>
      </w:pPr>
    </w:p>
    <w:p w14:paraId="7DC63DF1" w14:textId="77777777" w:rsidR="00743A00" w:rsidRDefault="00000000">
      <w:pPr>
        <w:spacing w:line="360" w:lineRule="auto"/>
        <w:jc w:val="both"/>
        <w:rPr>
          <w:rFonts w:ascii="Book Antiqua" w:hAnsi="Book Antiqua"/>
          <w:lang w:val="es-MX"/>
        </w:rPr>
      </w:pPr>
      <w:r>
        <w:rPr>
          <w:rFonts w:ascii="Book Antiqua" w:eastAsia="Book Antiqua" w:hAnsi="Book Antiqua" w:cs="Book Antiqua"/>
          <w:b/>
          <w:bCs/>
          <w:color w:val="000000"/>
          <w:lang w:val="es-MX"/>
        </w:rPr>
        <w:t xml:space="preserve">Patricia Guadalupe Medina-Bravo, </w:t>
      </w:r>
      <w:r>
        <w:rPr>
          <w:rFonts w:ascii="Book Antiqua" w:eastAsia="Book Antiqua" w:hAnsi="Book Antiqua" w:cs="Book Antiqua"/>
          <w:color w:val="000000"/>
          <w:lang w:val="es-MX"/>
        </w:rPr>
        <w:t>Department of Endocrinology, Children’s Hospital Federico Gomez, Mexico City 06720, Mexico</w:t>
      </w:r>
    </w:p>
    <w:p w14:paraId="394335D2" w14:textId="77777777" w:rsidR="00743A00" w:rsidRDefault="00743A00">
      <w:pPr>
        <w:spacing w:line="360" w:lineRule="auto"/>
        <w:jc w:val="both"/>
        <w:rPr>
          <w:rFonts w:ascii="Book Antiqua" w:hAnsi="Book Antiqua"/>
          <w:lang w:val="es-MX"/>
        </w:rPr>
      </w:pPr>
    </w:p>
    <w:p w14:paraId="62748916" w14:textId="77777777" w:rsidR="00743A00" w:rsidRDefault="00000000">
      <w:pPr>
        <w:spacing w:line="360" w:lineRule="auto"/>
        <w:jc w:val="both"/>
        <w:rPr>
          <w:rFonts w:ascii="Book Antiqua" w:hAnsi="Book Antiqua"/>
          <w:lang w:val="es-MX"/>
        </w:rPr>
      </w:pPr>
      <w:r>
        <w:rPr>
          <w:rFonts w:ascii="Book Antiqua" w:eastAsia="Book Antiqua" w:hAnsi="Book Antiqua" w:cs="Book Antiqua"/>
          <w:b/>
          <w:bCs/>
          <w:color w:val="000000"/>
          <w:lang w:val="es-MX"/>
        </w:rPr>
        <w:t xml:space="preserve">Antonia Martínez-Ambrosio, </w:t>
      </w:r>
      <w:r>
        <w:rPr>
          <w:rFonts w:ascii="Book Antiqua" w:eastAsia="Book Antiqua" w:hAnsi="Book Antiqua" w:cs="Book Antiqua"/>
          <w:color w:val="000000"/>
          <w:lang w:val="es-MX"/>
        </w:rPr>
        <w:t>Department of Nursing and Endocrinology, Children’s Hospital Federico Gómez, Mexico City 06720, Mexico</w:t>
      </w:r>
    </w:p>
    <w:p w14:paraId="2BBBFBFE" w14:textId="77777777" w:rsidR="00743A00" w:rsidRDefault="00743A00">
      <w:pPr>
        <w:spacing w:line="360" w:lineRule="auto"/>
        <w:jc w:val="both"/>
        <w:rPr>
          <w:rFonts w:ascii="Book Antiqua" w:hAnsi="Book Antiqua"/>
          <w:lang w:val="es-MX"/>
        </w:rPr>
      </w:pPr>
    </w:p>
    <w:p w14:paraId="792408C6" w14:textId="77777777" w:rsidR="00394797" w:rsidRDefault="00394797" w:rsidP="00394797">
      <w:pPr>
        <w:spacing w:line="360" w:lineRule="auto"/>
        <w:jc w:val="both"/>
        <w:rPr>
          <w:rFonts w:ascii="Book Antiqua" w:hAnsi="Book Antiqua"/>
          <w:lang w:val="es-MX"/>
        </w:rPr>
      </w:pPr>
      <w:r>
        <w:rPr>
          <w:rFonts w:ascii="Book Antiqua" w:eastAsia="Book Antiqua" w:hAnsi="Book Antiqua" w:cs="Book Antiqua"/>
          <w:b/>
          <w:bCs/>
          <w:color w:val="000000"/>
          <w:lang w:val="es-MX"/>
        </w:rPr>
        <w:t xml:space="preserve">América Liliana Miranda-Lora, </w:t>
      </w:r>
      <w:r>
        <w:rPr>
          <w:rFonts w:ascii="Book Antiqua" w:eastAsia="Book Antiqua" w:hAnsi="Book Antiqua" w:cs="Book Antiqua"/>
          <w:color w:val="000000"/>
          <w:lang w:val="es-MX"/>
        </w:rPr>
        <w:t>Epidemiological Research Unit in Endocrinology and Nutrition, Children’s Hospital Federico Gomez, Mexico City 06720, Mexico</w:t>
      </w:r>
    </w:p>
    <w:p w14:paraId="6BA6E812" w14:textId="77777777" w:rsidR="00743A00" w:rsidRPr="00394797" w:rsidRDefault="00743A00">
      <w:pPr>
        <w:spacing w:line="360" w:lineRule="auto"/>
        <w:jc w:val="both"/>
        <w:rPr>
          <w:rFonts w:ascii="Book Antiqua" w:hAnsi="Book Antiqua"/>
          <w:lang w:val="es-MX"/>
        </w:rPr>
      </w:pPr>
    </w:p>
    <w:p w14:paraId="7D21F831" w14:textId="77777777" w:rsidR="00743A00"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Miguel Klünder</w:t>
      </w:r>
      <w:r>
        <w:rPr>
          <w:rFonts w:ascii="Book Antiqua" w:eastAsia="Book Antiqua" w:hAnsi="Book Antiqua" w:cs="Book Antiqua"/>
          <w:b/>
          <w:color w:val="000000"/>
        </w:rPr>
        <w:t>-</w:t>
      </w:r>
      <w:r>
        <w:rPr>
          <w:rFonts w:ascii="Book Antiqua" w:eastAsia="Book Antiqua" w:hAnsi="Book Antiqua" w:cs="Book Antiqua"/>
          <w:b/>
          <w:bCs/>
          <w:color w:val="000000"/>
        </w:rPr>
        <w:t xml:space="preserve">Klünder, </w:t>
      </w:r>
      <w:r>
        <w:rPr>
          <w:rFonts w:ascii="Book Antiqua" w:eastAsia="Book Antiqua" w:hAnsi="Book Antiqua" w:cs="Book Antiqua"/>
          <w:color w:val="000000"/>
        </w:rPr>
        <w:t>Division of Research, Children’s Hospital Federico Gomez, Mexico City 06720, Mexico</w:t>
      </w:r>
    </w:p>
    <w:p w14:paraId="1B3B612B" w14:textId="77777777" w:rsidR="00743A00" w:rsidRDefault="00743A00">
      <w:pPr>
        <w:spacing w:line="360" w:lineRule="auto"/>
        <w:jc w:val="both"/>
        <w:rPr>
          <w:rFonts w:ascii="Book Antiqua" w:hAnsi="Book Antiqua"/>
        </w:rPr>
      </w:pPr>
    </w:p>
    <w:p w14:paraId="500B81B7" w14:textId="77777777" w:rsidR="00743A00"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hAnsi="Book Antiqua"/>
        </w:rPr>
        <w:t>Molina JM and Vargas BE conceptualized and wrote the initial manuscript; Martínez A and Medina PG critically reviewed</w:t>
      </w:r>
      <w:r>
        <w:rPr>
          <w:rFonts w:ascii="Book Antiqua" w:hAnsi="Book Antiqua" w:hint="eastAsia"/>
          <w:lang w:eastAsia="zh-CN"/>
        </w:rPr>
        <w:t xml:space="preserve"> the manuscript</w:t>
      </w:r>
      <w:r>
        <w:rPr>
          <w:rFonts w:ascii="Book Antiqua" w:hAnsi="Book Antiqua"/>
        </w:rPr>
        <w:t>; Miranda AL and Klünder M edited the manuscript; Molina JM finalized the manuscript.</w:t>
      </w:r>
    </w:p>
    <w:p w14:paraId="647C342D" w14:textId="77777777" w:rsidR="00743A00" w:rsidRDefault="00743A00">
      <w:pPr>
        <w:spacing w:line="360" w:lineRule="auto"/>
        <w:jc w:val="both"/>
        <w:rPr>
          <w:rFonts w:ascii="Book Antiqua" w:hAnsi="Book Antiqua"/>
        </w:rPr>
      </w:pPr>
    </w:p>
    <w:p w14:paraId="0BEA955E" w14:textId="77777777" w:rsidR="00743A00"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Jorge Mario Molina-Díaz, PhD, Doctor, </w:t>
      </w:r>
      <w:r>
        <w:rPr>
          <w:rFonts w:ascii="Book Antiqua" w:eastAsia="Book Antiqua" w:hAnsi="Book Antiqua" w:cs="Book Antiqua"/>
          <w:color w:val="000000"/>
        </w:rPr>
        <w:t>Department of Child Endocrinology, Children’s Hospital Federico Gomez, Autonomous University of Mexico, Mexico City 06250, Mexico. dereck79@live.com.mx</w:t>
      </w:r>
    </w:p>
    <w:p w14:paraId="4170E3A8" w14:textId="77777777" w:rsidR="00743A00" w:rsidRDefault="00743A00">
      <w:pPr>
        <w:spacing w:line="360" w:lineRule="auto"/>
        <w:jc w:val="both"/>
        <w:rPr>
          <w:rFonts w:ascii="Book Antiqua" w:hAnsi="Book Antiqua"/>
        </w:rPr>
      </w:pPr>
    </w:p>
    <w:p w14:paraId="22DA79D4" w14:textId="77777777" w:rsidR="00743A00" w:rsidRDefault="00000000">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15, 2022</w:t>
      </w:r>
    </w:p>
    <w:p w14:paraId="32806CAB" w14:textId="77777777" w:rsidR="00743A00" w:rsidRDefault="00000000">
      <w:pPr>
        <w:spacing w:line="360" w:lineRule="auto"/>
        <w:jc w:val="both"/>
        <w:rPr>
          <w:rFonts w:ascii="Book Antiqua" w:hAnsi="Book Antiqua"/>
        </w:rPr>
      </w:pPr>
      <w:r>
        <w:rPr>
          <w:rFonts w:ascii="Book Antiqua" w:eastAsia="Book Antiqua" w:hAnsi="Book Antiqua" w:cs="Book Antiqua"/>
          <w:b/>
          <w:bCs/>
          <w:color w:val="000000"/>
        </w:rPr>
        <w:t>Revised:</w:t>
      </w:r>
      <w:r>
        <w:rPr>
          <w:rFonts w:ascii="Book Antiqua" w:eastAsia="Book Antiqua" w:hAnsi="Book Antiqua" w:cs="Book Antiqua"/>
          <w:bCs/>
          <w:color w:val="000000"/>
        </w:rPr>
        <w:t xml:space="preserve"> January 15, 2023</w:t>
      </w:r>
    </w:p>
    <w:p w14:paraId="03D5ADDF" w14:textId="77777777" w:rsidR="00743A00" w:rsidRDefault="00000000">
      <w:pPr>
        <w:spacing w:line="360" w:lineRule="auto"/>
        <w:jc w:val="both"/>
        <w:rPr>
          <w:rFonts w:ascii="Book Antiqua" w:hAnsi="Book Antiqua"/>
        </w:rPr>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February 14, 2023</w:t>
      </w:r>
    </w:p>
    <w:p w14:paraId="377BFE02" w14:textId="246516C1" w:rsidR="00743A00" w:rsidRDefault="00000000">
      <w:pPr>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996503">
        <w:rPr>
          <w:rFonts w:ascii="Book Antiqua" w:hAnsi="Book Antiqua"/>
          <w:color w:val="000000"/>
          <w:shd w:val="clear" w:color="auto" w:fill="FFFFFF"/>
        </w:rPr>
        <w:t>March</w:t>
      </w:r>
      <w:r w:rsidR="00C260BC">
        <w:rPr>
          <w:rFonts w:ascii="Book Antiqua" w:hAnsi="Book Antiqua"/>
          <w:color w:val="000000"/>
          <w:shd w:val="clear" w:color="auto" w:fill="FFFFFF"/>
        </w:rPr>
        <w:t xml:space="preserve"> </w:t>
      </w:r>
      <w:r w:rsidR="00996503">
        <w:rPr>
          <w:rFonts w:ascii="Book Antiqua" w:hAnsi="Book Antiqua"/>
          <w:color w:val="000000"/>
          <w:shd w:val="clear" w:color="auto" w:fill="FFFFFF"/>
        </w:rPr>
        <w:t>15, 2023</w:t>
      </w:r>
    </w:p>
    <w:p w14:paraId="2ACC5CD5" w14:textId="77777777" w:rsidR="00743A00" w:rsidRDefault="00743A00">
      <w:pPr>
        <w:spacing w:line="360" w:lineRule="auto"/>
        <w:jc w:val="both"/>
        <w:rPr>
          <w:rFonts w:ascii="Book Antiqua" w:hAnsi="Book Antiqua"/>
        </w:rPr>
      </w:pPr>
    </w:p>
    <w:p w14:paraId="7D122381" w14:textId="77777777" w:rsidR="00743A00" w:rsidRDefault="00000000">
      <w:pPr>
        <w:spacing w:line="360" w:lineRule="auto"/>
        <w:jc w:val="both"/>
        <w:rPr>
          <w:rFonts w:ascii="Book Antiqua" w:hAnsi="Book Antiqua"/>
        </w:rPr>
      </w:pPr>
      <w:r>
        <w:rPr>
          <w:rFonts w:ascii="Book Antiqua" w:eastAsia="Book Antiqua" w:hAnsi="Book Antiqua" w:cs="Book Antiqua"/>
          <w:b/>
          <w:color w:val="000000"/>
        </w:rPr>
        <w:t>Abstract</w:t>
      </w:r>
    </w:p>
    <w:p w14:paraId="3BE8FAAF" w14:textId="77777777" w:rsidR="00743A00"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73E5D7EC" w14:textId="77777777" w:rsidR="00743A00" w:rsidRDefault="00000000">
      <w:pPr>
        <w:spacing w:line="360" w:lineRule="auto"/>
        <w:jc w:val="both"/>
        <w:rPr>
          <w:rFonts w:ascii="Book Antiqua" w:hAnsi="Book Antiqua"/>
        </w:rPr>
      </w:pPr>
      <w:r>
        <w:rPr>
          <w:rFonts w:ascii="Book Antiqua" w:eastAsia="Book Antiqua" w:hAnsi="Book Antiqua" w:cs="Book Antiqua"/>
          <w:color w:val="000000"/>
        </w:rPr>
        <w:t xml:space="preserve">Diabetes mellitus type 2 (T2DM) is a state of hyperglycemia due to a defect in the secretion and/or action of insulin,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it represents the most common form of diabetes worldwide. In Mexico, 10.3% of the adult population ha</w:t>
      </w:r>
      <w:r>
        <w:rPr>
          <w:rFonts w:ascii="Book Antiqua" w:eastAsia="宋体" w:hAnsi="Book Antiqua" w:cs="Book Antiqua" w:hint="eastAsia"/>
          <w:color w:val="000000"/>
          <w:lang w:eastAsia="zh-CN"/>
        </w:rPr>
        <w:t>ve</w:t>
      </w:r>
      <w:r>
        <w:rPr>
          <w:rFonts w:ascii="Book Antiqua" w:eastAsia="Book Antiqua" w:hAnsi="Book Antiqua" w:cs="Book Antiqua"/>
          <w:color w:val="000000"/>
        </w:rPr>
        <w:t xml:space="preserve"> been diagnosed with T2DM and it is expanding to the pediatric population. </w:t>
      </w:r>
    </w:p>
    <w:p w14:paraId="53997C75" w14:textId="77777777" w:rsidR="00743A00" w:rsidRDefault="00743A00">
      <w:pPr>
        <w:spacing w:line="360" w:lineRule="auto"/>
        <w:jc w:val="both"/>
        <w:rPr>
          <w:rFonts w:ascii="Book Antiqua" w:hAnsi="Book Antiqua"/>
        </w:rPr>
      </w:pPr>
    </w:p>
    <w:p w14:paraId="42487AEE" w14:textId="77777777" w:rsidR="00743A00" w:rsidRDefault="00000000">
      <w:pPr>
        <w:spacing w:line="360" w:lineRule="auto"/>
        <w:jc w:val="both"/>
        <w:rPr>
          <w:rFonts w:ascii="Book Antiqua" w:hAnsi="Book Antiqua"/>
        </w:rPr>
      </w:pPr>
      <w:r>
        <w:rPr>
          <w:rFonts w:ascii="Book Antiqua" w:eastAsia="Book Antiqua" w:hAnsi="Book Antiqua" w:cs="Book Antiqua"/>
          <w:color w:val="000000"/>
        </w:rPr>
        <w:t>AIM</w:t>
      </w:r>
    </w:p>
    <w:p w14:paraId="71A0E1E9" w14:textId="77777777" w:rsidR="00743A00" w:rsidRDefault="00000000">
      <w:pPr>
        <w:spacing w:line="360" w:lineRule="auto"/>
        <w:jc w:val="both"/>
        <w:rPr>
          <w:rFonts w:ascii="Book Antiqua" w:hAnsi="Book Antiqua"/>
        </w:rPr>
      </w:pPr>
      <w:r>
        <w:rPr>
          <w:rFonts w:ascii="Book Antiqua" w:eastAsia="Book Antiqua" w:hAnsi="Book Antiqua" w:cs="Book Antiqua"/>
          <w:color w:val="000000"/>
        </w:rPr>
        <w:t>To evaluate and compare the prevalence of T2DM in the pediatric population at the Children’s Hospital, “</w:t>
      </w:r>
      <w:r>
        <w:rPr>
          <w:rFonts w:ascii="Book Antiqua" w:eastAsia="Book Antiqua" w:hAnsi="Book Antiqua" w:cs="Book Antiqua"/>
          <w:i/>
          <w:iCs/>
          <w:color w:val="000000"/>
        </w:rPr>
        <w:t xml:space="preserve">Hospital Infantil de México Federico Gómez (HIMFG)”, </w:t>
      </w:r>
      <w:r>
        <w:rPr>
          <w:rFonts w:ascii="Book Antiqua" w:eastAsia="Book Antiqua" w:hAnsi="Book Antiqua" w:cs="Book Antiqua"/>
          <w:color w:val="000000"/>
        </w:rPr>
        <w:t xml:space="preserve">at two time periods: 2013 </w:t>
      </w:r>
      <w:r>
        <w:rPr>
          <w:rFonts w:ascii="Book Antiqua" w:eastAsia="Book Antiqua" w:hAnsi="Book Antiqua" w:cs="Book Antiqua"/>
          <w:i/>
          <w:iCs/>
          <w:color w:val="000000"/>
        </w:rPr>
        <w:t>vs</w:t>
      </w:r>
      <w:r>
        <w:rPr>
          <w:rFonts w:ascii="Book Antiqua" w:eastAsia="Book Antiqua" w:hAnsi="Book Antiqua" w:cs="Book Antiqua"/>
          <w:color w:val="000000"/>
        </w:rPr>
        <w:t xml:space="preserve"> 2018. </w:t>
      </w:r>
    </w:p>
    <w:p w14:paraId="4407A599" w14:textId="77777777" w:rsidR="00743A00" w:rsidRDefault="00743A00">
      <w:pPr>
        <w:spacing w:line="360" w:lineRule="auto"/>
        <w:jc w:val="both"/>
        <w:rPr>
          <w:rFonts w:ascii="Book Antiqua" w:hAnsi="Book Antiqua"/>
        </w:rPr>
      </w:pPr>
    </w:p>
    <w:p w14:paraId="7468C575" w14:textId="77777777" w:rsidR="00743A00" w:rsidRDefault="00000000">
      <w:pPr>
        <w:spacing w:line="360" w:lineRule="auto"/>
        <w:jc w:val="both"/>
        <w:rPr>
          <w:rFonts w:ascii="Book Antiqua" w:hAnsi="Book Antiqua"/>
        </w:rPr>
      </w:pPr>
      <w:r>
        <w:rPr>
          <w:rFonts w:ascii="Book Antiqua" w:eastAsia="Book Antiqua" w:hAnsi="Book Antiqua" w:cs="Book Antiqua"/>
          <w:color w:val="000000"/>
        </w:rPr>
        <w:t>METHODS</w:t>
      </w:r>
    </w:p>
    <w:p w14:paraId="726C0267" w14:textId="77777777" w:rsidR="00743A00"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A comparison of two cross-sectional studies was done (2013 and 2018). The study population was comprised of children and adolescents 8-17 years old, from the Diabetes Clinic at the </w:t>
      </w:r>
      <w:proofErr w:type="gramStart"/>
      <w:r>
        <w:rPr>
          <w:rFonts w:ascii="Book Antiqua" w:eastAsia="Book Antiqua" w:hAnsi="Book Antiqua" w:cs="Book Antiqua"/>
          <w:color w:val="000000"/>
        </w:rPr>
        <w:t>aforementioned institution</w:t>
      </w:r>
      <w:proofErr w:type="gramEnd"/>
      <w:r>
        <w:rPr>
          <w:rFonts w:ascii="Book Antiqua" w:eastAsia="Book Antiqua" w:hAnsi="Book Antiqua" w:cs="Book Antiqua"/>
          <w:color w:val="000000"/>
        </w:rPr>
        <w:t xml:space="preserve">. A comprehensive interrogation regarding family history and perinatal antecedents was performed. Complete blood work after 12 h of fasting was obtained to determine serum levels of glucose, glycated hemoglobin, lipid profile, C-peptide, and insulin. The data were analysed using the statistical software package SPSS v. 23.0. A </w:t>
      </w:r>
      <w:r>
        <w:rPr>
          <w:rFonts w:ascii="Book Antiqua" w:eastAsia="Book Antiqua" w:hAnsi="Book Antiqua" w:cs="Book Antiqua"/>
          <w:i/>
          <w:iCs/>
          <w:color w:val="000000"/>
        </w:rPr>
        <w:t>P</w:t>
      </w:r>
      <w:r>
        <w:rPr>
          <w:rFonts w:ascii="Book Antiqua" w:eastAsia="宋体" w:hAnsi="Book Antiqua" w:cs="Book Antiqua" w:hint="eastAsia"/>
          <w:i/>
          <w:iCs/>
          <w:color w:val="000000"/>
          <w:lang w:eastAsia="zh-CN"/>
        </w:rPr>
        <w:t>-</w:t>
      </w:r>
      <w:r>
        <w:rPr>
          <w:rFonts w:ascii="Book Antiqua" w:eastAsia="Book Antiqua" w:hAnsi="Book Antiqua" w:cs="Book Antiqua"/>
          <w:color w:val="000000"/>
        </w:rPr>
        <w:t>value of</w:t>
      </w:r>
      <w:r>
        <w:rPr>
          <w:rFonts w:ascii="Book Antiqua" w:eastAsia="宋体" w:hAnsi="Book Antiqua" w:cs="Book Antiqua" w:hint="eastAsia"/>
          <w:color w:val="000000"/>
          <w:lang w:eastAsia="zh-CN"/>
        </w:rPr>
        <w:t xml:space="preserve"> </w:t>
      </w:r>
      <w:r>
        <w:rPr>
          <w:rFonts w:ascii="Book Antiqua" w:eastAsia="Book Antiqua" w:hAnsi="Book Antiqua" w:cs="Book Antiqua"/>
          <w:iCs/>
          <w:color w:val="000000"/>
        </w:rPr>
        <w:t>&lt; 0.05</w:t>
      </w:r>
      <w:r>
        <w:rPr>
          <w:rFonts w:ascii="Book Antiqua" w:eastAsia="Book Antiqua" w:hAnsi="Book Antiqua" w:cs="Book Antiqua"/>
          <w:color w:val="000000"/>
        </w:rPr>
        <w:t xml:space="preserve"> was considered statistically significant. </w:t>
      </w:r>
    </w:p>
    <w:p w14:paraId="34A50EA6" w14:textId="77777777" w:rsidR="00743A00" w:rsidRDefault="00743A00">
      <w:pPr>
        <w:spacing w:line="360" w:lineRule="auto"/>
        <w:jc w:val="both"/>
        <w:rPr>
          <w:rFonts w:ascii="Book Antiqua" w:hAnsi="Book Antiqua"/>
        </w:rPr>
      </w:pPr>
    </w:p>
    <w:p w14:paraId="3B2FB911" w14:textId="77777777" w:rsidR="00743A00" w:rsidRDefault="00000000">
      <w:pPr>
        <w:spacing w:line="360" w:lineRule="auto"/>
        <w:jc w:val="both"/>
        <w:rPr>
          <w:rFonts w:ascii="Book Antiqua" w:hAnsi="Book Antiqua"/>
        </w:rPr>
      </w:pPr>
      <w:r>
        <w:rPr>
          <w:rFonts w:ascii="Book Antiqua" w:eastAsia="Book Antiqua" w:hAnsi="Book Antiqua" w:cs="Book Antiqua"/>
          <w:color w:val="000000"/>
        </w:rPr>
        <w:t>RESULTS</w:t>
      </w:r>
    </w:p>
    <w:p w14:paraId="30DB94F2" w14:textId="77777777" w:rsidR="00743A00" w:rsidRDefault="00000000">
      <w:pPr>
        <w:spacing w:line="360" w:lineRule="auto"/>
        <w:jc w:val="both"/>
        <w:rPr>
          <w:rFonts w:ascii="Book Antiqua" w:hAnsi="Book Antiqua"/>
        </w:rPr>
      </w:pPr>
      <w:r>
        <w:rPr>
          <w:rFonts w:ascii="Book Antiqua" w:eastAsia="Book Antiqua" w:hAnsi="Book Antiqua" w:cs="Book Antiqua"/>
          <w:color w:val="000000"/>
        </w:rPr>
        <w:t>A total of 151 patients were included: 47 from 2013, and 104 from 2018. There were age differences noted between the two</w:t>
      </w:r>
      <w:r>
        <w:rPr>
          <w:rFonts w:ascii="Book Antiqua" w:hAnsi="Book Antiqua"/>
          <w:lang w:eastAsia="zh-CN"/>
        </w:rPr>
        <w:t xml:space="preserve"> </w:t>
      </w:r>
      <w:r>
        <w:rPr>
          <w:rFonts w:ascii="Book Antiqua" w:eastAsia="Book Antiqua" w:hAnsi="Book Antiqua" w:cs="Book Antiqua"/>
          <w:color w:val="000000"/>
        </w:rPr>
        <w:t xml:space="preserve">periods with younger patients presenting T2DM in 2013. Also, T2DM predominated in the male sex in 55.36% in 2013 </w:t>
      </w:r>
      <w:r>
        <w:rPr>
          <w:rFonts w:ascii="Book Antiqua" w:eastAsia="Book Antiqua" w:hAnsi="Book Antiqua" w:cs="Book Antiqua"/>
          <w:i/>
          <w:iCs/>
          <w:color w:val="000000"/>
        </w:rPr>
        <w:t xml:space="preserve">vs </w:t>
      </w:r>
      <w:r>
        <w:rPr>
          <w:rFonts w:ascii="Book Antiqua" w:eastAsia="Book Antiqua" w:hAnsi="Book Antiqua" w:cs="Book Antiqua"/>
          <w:color w:val="000000"/>
        </w:rPr>
        <w:t>32.7%</w:t>
      </w:r>
      <w:r>
        <w:rPr>
          <w:rFonts w:ascii="Book Antiqua" w:hAnsi="Book Antiqua"/>
          <w:lang w:eastAsia="zh-CN"/>
        </w:rPr>
        <w:t xml:space="preserve"> </w:t>
      </w:r>
      <w:r>
        <w:rPr>
          <w:rFonts w:ascii="Book Antiqua" w:eastAsia="Book Antiqua" w:hAnsi="Book Antiqua" w:cs="Book Antiqua"/>
          <w:color w:val="000000"/>
        </w:rPr>
        <w:t xml:space="preserve">in 2018. An increased prevalence of T2DM was noted from 2013 to 2018 (20.2% </w:t>
      </w:r>
      <w:r>
        <w:rPr>
          <w:rFonts w:ascii="Book Antiqua" w:eastAsia="Book Antiqua" w:hAnsi="Book Antiqua" w:cs="Book Antiqua"/>
          <w:i/>
          <w:iCs/>
          <w:color w:val="000000"/>
        </w:rPr>
        <w:t>vs</w:t>
      </w:r>
      <w:r>
        <w:rPr>
          <w:rFonts w:ascii="Book Antiqua" w:eastAsia="Book Antiqua" w:hAnsi="Book Antiqua" w:cs="Book Antiqua"/>
          <w:color w:val="000000"/>
        </w:rPr>
        <w:t xml:space="preserve"> 33.0%, respectively)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which was a</w:t>
      </w:r>
      <w:r>
        <w:rPr>
          <w:rFonts w:ascii="Book Antiqua" w:hAnsi="Book Antiqua"/>
          <w:lang w:eastAsia="zh-CN"/>
        </w:rPr>
        <w:t xml:space="preserve"> </w:t>
      </w:r>
      <w:r>
        <w:rPr>
          <w:rFonts w:ascii="Book Antiqua" w:eastAsia="Book Antiqua" w:hAnsi="Book Antiqua" w:cs="Book Antiqua"/>
          <w:color w:val="000000"/>
        </w:rPr>
        <w:t>statistically significant 12.8% increase (</w:t>
      </w:r>
      <w:r>
        <w:rPr>
          <w:rFonts w:ascii="Book Antiqua" w:eastAsia="Book Antiqua" w:hAnsi="Book Antiqua" w:cs="Book Antiqua"/>
          <w:i/>
          <w:iCs/>
          <w:color w:val="000000"/>
        </w:rPr>
        <w:t>P</w:t>
      </w:r>
      <w:r>
        <w:rPr>
          <w:rFonts w:ascii="Book Antiqua" w:eastAsia="Book Antiqua" w:hAnsi="Book Antiqua" w:cs="Book Antiqua"/>
          <w:iCs/>
          <w:color w:val="000000"/>
        </w:rPr>
        <w:t xml:space="preserve"> &lt; 0.0001</w:t>
      </w:r>
      <w:r>
        <w:rPr>
          <w:rFonts w:ascii="Book Antiqua" w:eastAsia="Book Antiqua" w:hAnsi="Book Antiqua" w:cs="Book Antiqua"/>
          <w:color w:val="000000"/>
        </w:rPr>
        <w:t>). The illness phenotype was more aggressive in the 2018 group with the</w:t>
      </w:r>
      <w:r>
        <w:rPr>
          <w:rFonts w:ascii="Book Antiqua" w:hAnsi="Book Antiqua"/>
          <w:lang w:eastAsia="zh-CN"/>
        </w:rPr>
        <w:t xml:space="preserve"> </w:t>
      </w:r>
      <w:r>
        <w:rPr>
          <w:rFonts w:ascii="Book Antiqua" w:eastAsia="Book Antiqua" w:hAnsi="Book Antiqua" w:cs="Book Antiqua"/>
          <w:color w:val="000000"/>
        </w:rPr>
        <w:t xml:space="preserve">presence of a higher proportion of obesity, insulin resistance, and adverse lipid profiles. </w:t>
      </w:r>
    </w:p>
    <w:p w14:paraId="72EDE499" w14:textId="77777777" w:rsidR="00743A00" w:rsidRDefault="00743A00">
      <w:pPr>
        <w:spacing w:line="360" w:lineRule="auto"/>
        <w:jc w:val="both"/>
        <w:rPr>
          <w:rFonts w:ascii="Book Antiqua" w:hAnsi="Book Antiqua"/>
        </w:rPr>
      </w:pPr>
    </w:p>
    <w:p w14:paraId="2B67B5DF" w14:textId="77777777" w:rsidR="00743A00"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44B90241" w14:textId="77777777" w:rsidR="00743A00" w:rsidRDefault="00000000">
      <w:pPr>
        <w:spacing w:line="360" w:lineRule="auto"/>
        <w:jc w:val="both"/>
        <w:rPr>
          <w:rFonts w:ascii="Book Antiqua" w:hAnsi="Book Antiqua"/>
        </w:rPr>
      </w:pPr>
      <w:r>
        <w:rPr>
          <w:rFonts w:ascii="Book Antiqua" w:eastAsia="Book Antiqua" w:hAnsi="Book Antiqua" w:cs="Book Antiqua"/>
          <w:color w:val="000000"/>
        </w:rPr>
        <w:t xml:space="preserve">The prevalence of T2DM at the </w:t>
      </w:r>
      <w:r>
        <w:rPr>
          <w:rFonts w:ascii="Book Antiqua" w:eastAsia="Book Antiqua" w:hAnsi="Book Antiqua" w:cs="Book Antiqua"/>
          <w:i/>
          <w:iCs/>
          <w:color w:val="000000"/>
        </w:rPr>
        <w:t>HIMFG</w:t>
      </w:r>
      <w:r>
        <w:rPr>
          <w:rFonts w:ascii="Book Antiqua" w:eastAsia="Book Antiqua" w:hAnsi="Book Antiqua" w:cs="Book Antiqua"/>
          <w:color w:val="000000"/>
        </w:rPr>
        <w:t xml:space="preserve"> institution from 2013 to 2018 increased by 12.8% (20.2% </w:t>
      </w:r>
      <w:r>
        <w:rPr>
          <w:rFonts w:ascii="Book Antiqua" w:eastAsia="Book Antiqua" w:hAnsi="Book Antiqua" w:cs="Book Antiqua"/>
          <w:i/>
          <w:iCs/>
          <w:color w:val="000000"/>
        </w:rPr>
        <w:t>vs</w:t>
      </w:r>
      <w:r>
        <w:rPr>
          <w:rFonts w:ascii="Book Antiqua" w:eastAsia="Book Antiqua" w:hAnsi="Book Antiqua" w:cs="Book Antiqua"/>
          <w:color w:val="000000"/>
        </w:rPr>
        <w:t xml:space="preserve"> 33.0%, respectively). The</w:t>
      </w:r>
      <w:r>
        <w:rPr>
          <w:rFonts w:ascii="Book Antiqua" w:hAnsi="Book Antiqua"/>
          <w:lang w:eastAsia="zh-CN"/>
        </w:rPr>
        <w:t xml:space="preserve"> </w:t>
      </w:r>
      <w:r>
        <w:rPr>
          <w:rFonts w:ascii="Book Antiqua" w:eastAsia="Book Antiqua" w:hAnsi="Book Antiqua" w:cs="Book Antiqua"/>
          <w:color w:val="000000"/>
        </w:rPr>
        <w:t>study results demonstrate the need for vigilance in T2DM trends, and to strengthen programs of healthy nutrition and physical</w:t>
      </w:r>
      <w:r>
        <w:rPr>
          <w:rFonts w:ascii="Book Antiqua" w:hAnsi="Book Antiqua"/>
          <w:lang w:eastAsia="zh-CN"/>
        </w:rPr>
        <w:t xml:space="preserve"> </w:t>
      </w:r>
      <w:r>
        <w:rPr>
          <w:rFonts w:ascii="Book Antiqua" w:eastAsia="Book Antiqua" w:hAnsi="Book Antiqua" w:cs="Book Antiqua"/>
          <w:color w:val="000000"/>
        </w:rPr>
        <w:t>activity as well as early detection and risk factors for obesity, data on insulin resistance, and metabolic syndrome, with the aim of</w:t>
      </w:r>
      <w:r>
        <w:rPr>
          <w:rFonts w:ascii="Book Antiqua" w:hAnsi="Book Antiqua"/>
          <w:lang w:eastAsia="zh-CN"/>
        </w:rPr>
        <w:t xml:space="preserve"> </w:t>
      </w:r>
      <w:r>
        <w:rPr>
          <w:rFonts w:ascii="Book Antiqua" w:eastAsia="Book Antiqua" w:hAnsi="Book Antiqua" w:cs="Book Antiqua"/>
          <w:color w:val="000000"/>
        </w:rPr>
        <w:t xml:space="preserve">preventing the development of T2DM. </w:t>
      </w:r>
    </w:p>
    <w:p w14:paraId="08985414" w14:textId="77777777" w:rsidR="00743A00" w:rsidRDefault="00743A00">
      <w:pPr>
        <w:spacing w:line="360" w:lineRule="auto"/>
        <w:jc w:val="both"/>
        <w:rPr>
          <w:rFonts w:ascii="Book Antiqua" w:hAnsi="Book Antiqua"/>
        </w:rPr>
      </w:pPr>
    </w:p>
    <w:p w14:paraId="56DE3C49" w14:textId="77777777" w:rsidR="00743A00" w:rsidRDefault="00000000">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Diabetes; Children; adolescents; Epidemiology; Etiology; Risk factors and complications</w:t>
      </w:r>
    </w:p>
    <w:p w14:paraId="0014A434" w14:textId="77777777" w:rsidR="000D661C" w:rsidRDefault="000D661C" w:rsidP="000D661C">
      <w:bookmarkStart w:id="0" w:name="_Hlk129594851"/>
    </w:p>
    <w:p w14:paraId="32EC1D75" w14:textId="77777777" w:rsidR="000D661C" w:rsidRDefault="000D661C" w:rsidP="000D661C">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26BB9F21" w14:textId="77777777" w:rsidR="00743A00" w:rsidRDefault="00743A00">
      <w:pPr>
        <w:spacing w:line="360" w:lineRule="auto"/>
        <w:jc w:val="both"/>
        <w:rPr>
          <w:rFonts w:ascii="Book Antiqua" w:hAnsi="Book Antiqua"/>
        </w:rPr>
      </w:pPr>
    </w:p>
    <w:p w14:paraId="6112DCF3" w14:textId="7F26146B" w:rsidR="009D7B15" w:rsidRDefault="004F248E">
      <w:pPr>
        <w:spacing w:line="360" w:lineRule="auto"/>
        <w:jc w:val="both"/>
        <w:rPr>
          <w:rFonts w:ascii="Book Antiqua" w:eastAsia="Book Antiqua" w:hAnsi="Book Antiqua" w:cs="Book Antiqua"/>
          <w:color w:val="000000"/>
        </w:rPr>
      </w:pPr>
      <w:r w:rsidRPr="00EF6EE3">
        <w:rPr>
          <w:rFonts w:ascii="Book Antiqua" w:eastAsia="Book Antiqua" w:hAnsi="Book Antiqua" w:cs="Book Antiqua"/>
          <w:b/>
          <w:bCs/>
          <w:color w:val="000000"/>
        </w:rPr>
        <w:t>Citation</w:t>
      </w:r>
      <w:r w:rsidRPr="00C90F05">
        <w:rPr>
          <w:rFonts w:ascii="Book Antiqua" w:eastAsia="Book Antiqua" w:hAnsi="Book Antiqua" w:cs="Book Antiqua"/>
          <w:color w:val="000000"/>
        </w:rPr>
        <w:t xml:space="preserve">: </w:t>
      </w:r>
      <w:r w:rsidR="00000000">
        <w:rPr>
          <w:rFonts w:ascii="Book Antiqua" w:eastAsia="Book Antiqua" w:hAnsi="Book Antiqua" w:cs="Book Antiqua"/>
          <w:color w:val="000000"/>
        </w:rPr>
        <w:t xml:space="preserve">Molina-Díaz JM, Vargas-Terrez BE, Medina-Bravo PG, Martínez-Ambrosio A, Miranda-Lora AL, Klünder-Klünder M. Prevalence of type 2 diabetes mellitus in the pediatric population of a third-level care hospital in Mexico </w:t>
      </w:r>
      <w:r w:rsidR="00000000">
        <w:rPr>
          <w:rFonts w:ascii="Book Antiqua" w:eastAsia="宋体" w:hAnsi="Book Antiqua" w:cs="Book Antiqua" w:hint="eastAsia"/>
          <w:color w:val="000000"/>
          <w:lang w:eastAsia="zh-CN"/>
        </w:rPr>
        <w:t>C</w:t>
      </w:r>
      <w:r w:rsidR="00000000">
        <w:rPr>
          <w:rFonts w:ascii="Book Antiqua" w:eastAsia="Book Antiqua" w:hAnsi="Book Antiqua" w:cs="Book Antiqua"/>
          <w:color w:val="000000"/>
        </w:rPr>
        <w:t>ity</w:t>
      </w:r>
      <w:r w:rsidR="00000000">
        <w:rPr>
          <w:rFonts w:ascii="Book Antiqua" w:eastAsia="宋体" w:hAnsi="Book Antiqua" w:cs="Book Antiqua" w:hint="eastAsia"/>
          <w:color w:val="000000"/>
          <w:lang w:eastAsia="zh-CN"/>
        </w:rPr>
        <w:t xml:space="preserve"> in</w:t>
      </w:r>
      <w:r w:rsidR="00000000">
        <w:rPr>
          <w:rFonts w:ascii="Book Antiqua" w:eastAsia="Book Antiqua" w:hAnsi="Book Antiqua" w:cs="Book Antiqua"/>
          <w:color w:val="000000"/>
        </w:rPr>
        <w:t xml:space="preserve"> 2013</w:t>
      </w:r>
      <w:r w:rsidR="00000000">
        <w:rPr>
          <w:rFonts w:ascii="Book Antiqua" w:eastAsia="宋体" w:hAnsi="Book Antiqua" w:cs="Book Antiqua" w:hint="eastAsia"/>
          <w:color w:val="000000"/>
          <w:lang w:eastAsia="zh-CN"/>
        </w:rPr>
        <w:t xml:space="preserve"> and </w:t>
      </w:r>
      <w:r w:rsidR="00000000">
        <w:rPr>
          <w:rFonts w:ascii="Book Antiqua" w:eastAsia="Book Antiqua" w:hAnsi="Book Antiqua" w:cs="Book Antiqua"/>
          <w:color w:val="000000"/>
        </w:rPr>
        <w:t xml:space="preserve">2018. </w:t>
      </w:r>
      <w:r w:rsidR="00000000">
        <w:rPr>
          <w:rFonts w:ascii="Book Antiqua" w:eastAsia="Book Antiqua" w:hAnsi="Book Antiqua" w:cs="Book Antiqua"/>
          <w:i/>
          <w:iCs/>
          <w:color w:val="000000"/>
        </w:rPr>
        <w:t>World J Diabetes</w:t>
      </w:r>
      <w:r w:rsidR="00000000">
        <w:rPr>
          <w:rFonts w:ascii="Book Antiqua" w:eastAsia="Book Antiqua" w:hAnsi="Book Antiqua" w:cs="Book Antiqua"/>
          <w:color w:val="000000"/>
        </w:rPr>
        <w:t xml:space="preserve"> 2023; </w:t>
      </w:r>
      <w:r w:rsidR="004978C6" w:rsidRPr="004978C6">
        <w:rPr>
          <w:rFonts w:ascii="Book Antiqua" w:eastAsia="Book Antiqua" w:hAnsi="Book Antiqua" w:cs="Book Antiqua"/>
          <w:color w:val="000000"/>
        </w:rPr>
        <w:t xml:space="preserve">14(3): </w:t>
      </w:r>
      <w:r w:rsidR="009D7B15" w:rsidRPr="009D7B15">
        <w:rPr>
          <w:rFonts w:ascii="Book Antiqua" w:eastAsia="Book Antiqua" w:hAnsi="Book Antiqua" w:cs="Book Antiqua"/>
          <w:color w:val="000000"/>
        </w:rPr>
        <w:t>290-298</w:t>
      </w:r>
    </w:p>
    <w:p w14:paraId="09AF8608" w14:textId="5C2C717F" w:rsidR="009D7B15" w:rsidRDefault="004978C6">
      <w:pPr>
        <w:spacing w:line="360" w:lineRule="auto"/>
        <w:jc w:val="both"/>
        <w:rPr>
          <w:rFonts w:ascii="Book Antiqua" w:eastAsia="Book Antiqua" w:hAnsi="Book Antiqua" w:cs="Book Antiqua"/>
          <w:color w:val="000000"/>
        </w:rPr>
      </w:pPr>
      <w:r w:rsidRPr="009D7B15">
        <w:rPr>
          <w:rFonts w:ascii="Book Antiqua" w:eastAsia="Book Antiqua" w:hAnsi="Book Antiqua" w:cs="Book Antiqua"/>
          <w:b/>
          <w:bCs/>
          <w:color w:val="000000"/>
        </w:rPr>
        <w:t>URL</w:t>
      </w:r>
      <w:r w:rsidRPr="004978C6">
        <w:rPr>
          <w:rFonts w:ascii="Book Antiqua" w:eastAsia="Book Antiqua" w:hAnsi="Book Antiqua" w:cs="Book Antiqua"/>
          <w:color w:val="000000"/>
        </w:rPr>
        <w:t>: https://www.wjgnet.com/1948-9358/full/v14/i3/</w:t>
      </w:r>
      <w:r w:rsidR="009D7B15" w:rsidRPr="009D7B15">
        <w:rPr>
          <w:rFonts w:ascii="Book Antiqua" w:eastAsia="Book Antiqua" w:hAnsi="Book Antiqua" w:cs="Book Antiqua"/>
          <w:color w:val="000000"/>
        </w:rPr>
        <w:t>290</w:t>
      </w:r>
      <w:r w:rsidRPr="004978C6">
        <w:rPr>
          <w:rFonts w:ascii="Book Antiqua" w:eastAsia="Book Antiqua" w:hAnsi="Book Antiqua" w:cs="Book Antiqua"/>
          <w:color w:val="000000"/>
        </w:rPr>
        <w:t>.htm</w:t>
      </w:r>
    </w:p>
    <w:p w14:paraId="06D469F7" w14:textId="7355E14B" w:rsidR="00743A00" w:rsidRDefault="004978C6" w:rsidP="009D7B15">
      <w:pPr>
        <w:spacing w:line="360" w:lineRule="auto"/>
        <w:jc w:val="both"/>
        <w:rPr>
          <w:rFonts w:ascii="Book Antiqua" w:hAnsi="Book Antiqua"/>
        </w:rPr>
      </w:pPr>
      <w:r w:rsidRPr="009D7B15">
        <w:rPr>
          <w:rFonts w:ascii="Book Antiqua" w:eastAsia="Book Antiqua" w:hAnsi="Book Antiqua" w:cs="Book Antiqua"/>
          <w:b/>
          <w:bCs/>
          <w:color w:val="000000"/>
        </w:rPr>
        <w:t>DOI</w:t>
      </w:r>
      <w:r w:rsidRPr="004978C6">
        <w:rPr>
          <w:rFonts w:ascii="Book Antiqua" w:eastAsia="Book Antiqua" w:hAnsi="Book Antiqua" w:cs="Book Antiqua"/>
          <w:color w:val="000000"/>
        </w:rPr>
        <w:t>: https://dx.doi.org/10.4239/wjd.v14.i3.</w:t>
      </w:r>
      <w:r w:rsidR="009D7B15" w:rsidRPr="009D7B15">
        <w:rPr>
          <w:rFonts w:ascii="Book Antiqua" w:eastAsia="Book Antiqua" w:hAnsi="Book Antiqua" w:cs="Book Antiqua"/>
          <w:color w:val="000000"/>
        </w:rPr>
        <w:t>290</w:t>
      </w:r>
    </w:p>
    <w:p w14:paraId="1DF1EC51" w14:textId="77777777" w:rsidR="00743A00" w:rsidRDefault="00743A00">
      <w:pPr>
        <w:spacing w:line="360" w:lineRule="auto"/>
        <w:jc w:val="both"/>
        <w:rPr>
          <w:rFonts w:ascii="Book Antiqua" w:hAnsi="Book Antiqua"/>
        </w:rPr>
      </w:pPr>
    </w:p>
    <w:p w14:paraId="6503B31E" w14:textId="77777777" w:rsidR="00743A00" w:rsidRDefault="00000000">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hAnsi="Book Antiqua"/>
        </w:rPr>
        <w:t>Diabetes mellitus was a disease exclusive to the adult population</w:t>
      </w:r>
      <w:r>
        <w:rPr>
          <w:rFonts w:ascii="Book Antiqua" w:hAnsi="Book Antiqua" w:hint="eastAsia"/>
          <w:lang w:eastAsia="zh-CN"/>
        </w:rPr>
        <w:t>;</w:t>
      </w:r>
      <w:r>
        <w:rPr>
          <w:rFonts w:ascii="Book Antiqua" w:hAnsi="Book Antiqua"/>
        </w:rPr>
        <w:t xml:space="preserve"> however, due to an increase in the prevalence of obesity, as well as genetic risk factors, this disease has increased in the pediatric population, having a different presentation, with the presence that cause</w:t>
      </w:r>
      <w:r>
        <w:rPr>
          <w:rFonts w:ascii="Book Antiqua" w:hAnsi="Book Antiqua" w:hint="eastAsia"/>
          <w:lang w:eastAsia="zh-CN"/>
        </w:rPr>
        <w:t>s</w:t>
      </w:r>
      <w:r>
        <w:rPr>
          <w:rFonts w:ascii="Book Antiqua" w:hAnsi="Book Antiqua"/>
        </w:rPr>
        <w:t xml:space="preserve"> micro and macrovascular complications at earlier ages. Therefore, it is necessary to think about this disease when faced with data of insulin resistance and </w:t>
      </w:r>
      <w:r>
        <w:rPr>
          <w:rFonts w:ascii="Book Antiqua" w:hAnsi="Book Antiqua" w:hint="eastAsia"/>
          <w:lang w:eastAsia="zh-CN"/>
        </w:rPr>
        <w:t>identify</w:t>
      </w:r>
      <w:r>
        <w:rPr>
          <w:rFonts w:ascii="Book Antiqua" w:hAnsi="Book Antiqua"/>
        </w:rPr>
        <w:t xml:space="preserve"> complications early.</w:t>
      </w:r>
    </w:p>
    <w:p w14:paraId="59FB81FA" w14:textId="77777777" w:rsidR="00743A00" w:rsidRDefault="00743A00">
      <w:pPr>
        <w:spacing w:line="360" w:lineRule="auto"/>
        <w:jc w:val="both"/>
        <w:rPr>
          <w:rFonts w:ascii="Book Antiqua" w:hAnsi="Book Antiqua"/>
        </w:rPr>
      </w:pPr>
    </w:p>
    <w:p w14:paraId="20B64C3B" w14:textId="77777777" w:rsidR="00743A00"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0C97494E" w14:textId="77777777" w:rsidR="00743A00" w:rsidRDefault="00000000">
      <w:pPr>
        <w:spacing w:line="360" w:lineRule="auto"/>
        <w:jc w:val="both"/>
        <w:rPr>
          <w:rFonts w:ascii="Book Antiqua" w:hAnsi="Book Antiqua"/>
        </w:rPr>
      </w:pPr>
      <w:r>
        <w:rPr>
          <w:rFonts w:ascii="Book Antiqua" w:eastAsia="Book Antiqua" w:hAnsi="Book Antiqua" w:cs="Book Antiqua"/>
          <w:color w:val="000000"/>
        </w:rPr>
        <w:t>In type 2 diabetes mellitus (T2DM)</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the state of hyperglycemia is due to a defect in the secretion and/or action of insulin which favor a decrease in the tissue response to the effect of insulin, leading to different abnormalities in the metabolism of carbohydrates, lipids, and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It is estimated that the function of the beta cells (β cells) of the pancreas is reduced by 20% per year in T2DM patients as a result of the compensatory hyperinsulinism secondary to insulin resistance (IR</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The primary mechanisms that have been described for the development of T2DM are IR, and the deterioration of insulin secretion secondary to a progressive dysfunction of the β cells, which can vary between individuals and can convert to T2DM in an entity with an important </w:t>
      </w:r>
      <w:proofErr w:type="gramStart"/>
      <w:r>
        <w:rPr>
          <w:rFonts w:ascii="Book Antiqua" w:eastAsia="Book Antiqua" w:hAnsi="Book Antiqua" w:cs="Book Antiqua"/>
          <w:color w:val="000000"/>
        </w:rPr>
        <w:t>heterogeneity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22E3EEF5" w14:textId="77777777" w:rsidR="00743A00"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T2DM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is one of the primary chronic illnesses associated with high morbidity and mortality, and its incidence is increasing alarmingly worldwide. In 2011, it was estimated that there were about 366 million people with </w:t>
      </w:r>
      <w:r>
        <w:rPr>
          <w:rFonts w:ascii="Book Antiqua" w:eastAsia="宋体" w:hAnsi="Book Antiqua" w:cs="Book Antiqua" w:hint="eastAsia"/>
          <w:color w:val="000000"/>
          <w:lang w:eastAsia="zh-CN"/>
        </w:rPr>
        <w:t xml:space="preserve">the </w:t>
      </w:r>
      <w:r>
        <w:rPr>
          <w:rFonts w:ascii="Book Antiqua" w:eastAsia="Book Antiqua" w:hAnsi="Book Antiqua" w:cs="Book Antiqua"/>
          <w:color w:val="000000"/>
        </w:rPr>
        <w:t>disease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however, in 2030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the number of patients with </w:t>
      </w:r>
      <w:r>
        <w:rPr>
          <w:rFonts w:ascii="Book Antiqua" w:eastAsia="Book Antiqua" w:hAnsi="Book Antiqua" w:cs="Book Antiqua"/>
          <w:color w:val="000000"/>
        </w:rPr>
        <w:t xml:space="preserve">T2DM could increased to more than 500 </w:t>
      </w:r>
      <w:proofErr w:type="gramStart"/>
      <w:r>
        <w:rPr>
          <w:rFonts w:ascii="Book Antiqua" w:eastAsia="Book Antiqua" w:hAnsi="Book Antiqua" w:cs="Book Antiqua"/>
          <w:color w:val="000000"/>
        </w:rPr>
        <w:t>million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Type 1 </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iabetes </w:t>
      </w:r>
      <w:r>
        <w:rPr>
          <w:rFonts w:ascii="Book Antiqua" w:eastAsia="Book Antiqua" w:hAnsi="Book Antiqua" w:cs="Book Antiqua"/>
          <w:color w:val="000000"/>
        </w:rPr>
        <w:lastRenderedPageBreak/>
        <w:t xml:space="preserve">mellitus (T1DM) continues to be the most common form of diabetes in the pediatric population; however, the development of obesity has caused an increase in the percentage of cases, </w:t>
      </w:r>
      <w:r>
        <w:rPr>
          <w:rFonts w:ascii="Book Antiqua" w:eastAsia="宋体" w:hAnsi="Book Antiqua" w:cs="Book Antiqua" w:hint="eastAsia"/>
          <w:color w:val="000000"/>
          <w:lang w:eastAsia="zh-CN"/>
        </w:rPr>
        <w:t xml:space="preserve">with </w:t>
      </w:r>
      <w:r>
        <w:rPr>
          <w:rFonts w:ascii="Book Antiqua" w:eastAsia="Book Antiqua" w:hAnsi="Book Antiqua" w:cs="Book Antiqua"/>
          <w:color w:val="000000"/>
        </w:rPr>
        <w:t>report</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rates of up to 45% in North America and 80% in </w:t>
      </w:r>
      <w:proofErr w:type="gramStart"/>
      <w:r>
        <w:rPr>
          <w:rFonts w:ascii="Book Antiqua" w:eastAsia="Book Antiqua" w:hAnsi="Book Antiqua" w:cs="Book Antiqua"/>
          <w:color w:val="000000"/>
        </w:rPr>
        <w:t>Japan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In the SEARCH study, an incidence of 9 cases/100000 to 12.5 cases/100000 in the population from 10-19 years old was demonstrated in the United States, with an important increase in all minority ethnic groups compared to the non-Hispanic Caucasian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w:t>
      </w:r>
    </w:p>
    <w:p w14:paraId="1D52FAA2" w14:textId="77777777" w:rsidR="00743A00"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In Mexico, according to the National Health and Nutrition Survey [</w:t>
      </w:r>
      <w:r>
        <w:rPr>
          <w:rFonts w:ascii="Book Antiqua" w:eastAsia="Book Antiqua" w:hAnsi="Book Antiqua" w:cs="Book Antiqua"/>
          <w:i/>
          <w:iCs/>
          <w:color w:val="000000"/>
        </w:rPr>
        <w:t xml:space="preserve">Encuesta Nacional de Salud y Nutrición </w:t>
      </w:r>
      <w:r>
        <w:rPr>
          <w:rFonts w:ascii="Book Antiqua" w:eastAsia="Book Antiqua" w:hAnsi="Book Antiqua" w:cs="Book Antiqua"/>
          <w:iCs/>
          <w:color w:val="000000"/>
        </w:rPr>
        <w:t>(</w:t>
      </w:r>
      <w:r>
        <w:rPr>
          <w:rFonts w:ascii="Book Antiqua" w:eastAsia="Book Antiqua" w:hAnsi="Book Antiqua" w:cs="Book Antiqua"/>
          <w:i/>
          <w:iCs/>
          <w:color w:val="000000"/>
        </w:rPr>
        <w:t>ENSANUT-2018</w:t>
      </w:r>
      <w:r>
        <w:rPr>
          <w:rFonts w:ascii="Book Antiqua" w:eastAsia="Book Antiqua" w:hAnsi="Book Antiqua" w:cs="Book Antiqua"/>
          <w:iCs/>
          <w:color w:val="000000"/>
        </w:rPr>
        <w:t>)]</w:t>
      </w:r>
      <w:r>
        <w:rPr>
          <w:rFonts w:ascii="Book Antiqua" w:eastAsia="Book Antiqua" w:hAnsi="Book Antiqua" w:cs="Book Antiqua"/>
          <w:i/>
          <w:iCs/>
          <w:color w:val="000000"/>
        </w:rPr>
        <w:t>,</w:t>
      </w:r>
      <w:r>
        <w:rPr>
          <w:rFonts w:ascii="Book Antiqua" w:eastAsia="Book Antiqua" w:hAnsi="Book Antiqua" w:cs="Book Antiqua"/>
          <w:color w:val="000000"/>
        </w:rPr>
        <w:t xml:space="preserve"> the prevalence of T2DM in people 20 years of age or older is 10.3%;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other words, more than 8.6 million Mexicans suffer with this illness, yet there are no statistics about T2DM in Mexican children and </w:t>
      </w:r>
      <w:proofErr w:type="gramStart"/>
      <w:r>
        <w:rPr>
          <w:rFonts w:ascii="Book Antiqua" w:eastAsia="Book Antiqua" w:hAnsi="Book Antiqua" w:cs="Book Antiqua"/>
          <w:color w:val="000000"/>
        </w:rPr>
        <w:t>adolescents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1365D339" w14:textId="77777777" w:rsidR="00743A00"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The</w:t>
      </w:r>
      <w:r>
        <w:rPr>
          <w:rFonts w:ascii="Book Antiqua" w:eastAsia="Book Antiqua" w:hAnsi="Book Antiqua" w:cs="Book Antiqua"/>
          <w:b/>
          <w:bCs/>
          <w:color w:val="000000"/>
        </w:rPr>
        <w:t xml:space="preserve"> </w:t>
      </w:r>
      <w:r>
        <w:rPr>
          <w:rFonts w:ascii="Book Antiqua" w:eastAsia="Book Antiqua" w:hAnsi="Book Antiqua" w:cs="Book Antiqua"/>
          <w:color w:val="000000"/>
        </w:rPr>
        <w:t>objective of this study was to evaluate and compare the prevalence of T2DM in the pediatric population of a tertiary care hospital</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at two time periods: 2013 </w:t>
      </w:r>
      <w:r>
        <w:rPr>
          <w:rFonts w:ascii="Book Antiqua" w:eastAsia="Book Antiqua" w:hAnsi="Book Antiqua" w:cs="Book Antiqua"/>
          <w:i/>
          <w:iCs/>
          <w:color w:val="000000"/>
        </w:rPr>
        <w:t>vs</w:t>
      </w:r>
      <w:r>
        <w:rPr>
          <w:rFonts w:ascii="Book Antiqua" w:eastAsia="Book Antiqua" w:hAnsi="Book Antiqua" w:cs="Book Antiqua"/>
          <w:color w:val="000000"/>
        </w:rPr>
        <w:t xml:space="preserve"> 2018. </w:t>
      </w:r>
    </w:p>
    <w:p w14:paraId="4464F84A" w14:textId="77777777" w:rsidR="00743A00"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T2DM is a state of hyperglycemia as a result of an alteration in the secretion and/or action of insulin, and it is the main form of diabetes in about 90% of all cases of the condition. In Mexico, 10.3% of the population ha</w:t>
      </w:r>
      <w:r>
        <w:rPr>
          <w:rFonts w:ascii="Book Antiqua" w:eastAsia="宋体" w:hAnsi="Book Antiqua" w:cs="Book Antiqua" w:hint="eastAsia"/>
          <w:color w:val="000000"/>
          <w:lang w:eastAsia="zh-CN"/>
        </w:rPr>
        <w:t>ve</w:t>
      </w:r>
      <w:r>
        <w:rPr>
          <w:rFonts w:ascii="Book Antiqua" w:eastAsia="Book Antiqua" w:hAnsi="Book Antiqua" w:cs="Book Antiqua"/>
          <w:color w:val="000000"/>
        </w:rPr>
        <w:t xml:space="preserve"> been diagnosed with T2DM and it is expanding to the pediatric population due to the phenomenon of childhood obesity.</w:t>
      </w:r>
    </w:p>
    <w:p w14:paraId="70960CC4" w14:textId="77777777" w:rsidR="00743A00" w:rsidRDefault="00743A00">
      <w:pPr>
        <w:spacing w:line="360" w:lineRule="auto"/>
        <w:jc w:val="both"/>
        <w:rPr>
          <w:rFonts w:ascii="Book Antiqua" w:hAnsi="Book Antiqua"/>
        </w:rPr>
      </w:pPr>
    </w:p>
    <w:p w14:paraId="4774ABE5" w14:textId="77777777" w:rsidR="00743A00"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61F35139" w14:textId="77777777" w:rsidR="00743A00" w:rsidRDefault="00000000">
      <w:pPr>
        <w:spacing w:line="360" w:lineRule="auto"/>
        <w:jc w:val="both"/>
        <w:rPr>
          <w:rFonts w:ascii="Book Antiqua" w:hAnsi="Book Antiqua"/>
          <w:b/>
          <w:i/>
        </w:rPr>
      </w:pPr>
      <w:r>
        <w:rPr>
          <w:rFonts w:ascii="Book Antiqua" w:eastAsia="Book Antiqua" w:hAnsi="Book Antiqua" w:cs="Book Antiqua"/>
          <w:b/>
          <w:i/>
          <w:color w:val="000000"/>
        </w:rPr>
        <w:t xml:space="preserve">Study design and location </w:t>
      </w:r>
    </w:p>
    <w:p w14:paraId="4E7FDA2A" w14:textId="77777777" w:rsidR="00743A00" w:rsidRDefault="00000000">
      <w:pPr>
        <w:spacing w:line="360" w:lineRule="auto"/>
        <w:jc w:val="both"/>
        <w:rPr>
          <w:rFonts w:ascii="Book Antiqua" w:hAnsi="Book Antiqua"/>
        </w:rPr>
      </w:pPr>
      <w:r>
        <w:rPr>
          <w:rFonts w:ascii="Book Antiqua" w:eastAsia="宋体" w:hAnsi="Book Antiqua" w:cs="Book Antiqua" w:hint="eastAsia"/>
          <w:color w:val="000000"/>
          <w:lang w:eastAsia="zh-CN"/>
        </w:rPr>
        <w:t>This is a</w:t>
      </w:r>
      <w:r>
        <w:rPr>
          <w:rFonts w:ascii="Book Antiqua" w:eastAsia="Book Antiqua" w:hAnsi="Book Antiqua" w:cs="Book Antiqua"/>
          <w:color w:val="000000"/>
        </w:rPr>
        <w:t xml:space="preserve"> cross-sectional study of children and adolescents from the Diabetes Clinic at the Children’s Hospital, “</w:t>
      </w:r>
      <w:r>
        <w:rPr>
          <w:rFonts w:ascii="Book Antiqua" w:eastAsia="Book Antiqua" w:hAnsi="Book Antiqua" w:cs="Book Antiqua"/>
          <w:i/>
          <w:iCs/>
          <w:color w:val="000000"/>
        </w:rPr>
        <w:t>Hospital Infantil de</w:t>
      </w:r>
      <w:r>
        <w:rPr>
          <w:rFonts w:ascii="Book Antiqua" w:hAnsi="Book Antiqua"/>
          <w:lang w:eastAsia="zh-CN"/>
        </w:rPr>
        <w:t xml:space="preserve"> </w:t>
      </w:r>
      <w:r>
        <w:rPr>
          <w:rFonts w:ascii="Book Antiqua" w:eastAsia="Book Antiqua" w:hAnsi="Book Antiqua" w:cs="Book Antiqua"/>
          <w:i/>
          <w:iCs/>
          <w:color w:val="000000"/>
        </w:rPr>
        <w:t>México Federico Gómez”,</w:t>
      </w:r>
      <w:r>
        <w:rPr>
          <w:rFonts w:ascii="Book Antiqua" w:eastAsia="Book Antiqua" w:hAnsi="Book Antiqua" w:cs="Book Antiqua"/>
          <w:color w:val="000000"/>
        </w:rPr>
        <w:t xml:space="preserve"> that compare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the periods of January to December 2013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to January to December 2018. </w:t>
      </w:r>
    </w:p>
    <w:p w14:paraId="19E14AA9" w14:textId="77777777" w:rsidR="00743A00" w:rsidRDefault="00743A00">
      <w:pPr>
        <w:spacing w:line="360" w:lineRule="auto"/>
        <w:jc w:val="both"/>
        <w:rPr>
          <w:rFonts w:ascii="Book Antiqua" w:eastAsia="Book Antiqua" w:hAnsi="Book Antiqua" w:cs="Book Antiqua"/>
          <w:color w:val="000000"/>
        </w:rPr>
      </w:pPr>
    </w:p>
    <w:p w14:paraId="72FA0138" w14:textId="77777777" w:rsidR="00743A00" w:rsidRDefault="00000000">
      <w:pPr>
        <w:spacing w:line="360" w:lineRule="auto"/>
        <w:jc w:val="both"/>
        <w:rPr>
          <w:rFonts w:ascii="Book Antiqua" w:hAnsi="Book Antiqua"/>
          <w:b/>
          <w:i/>
        </w:rPr>
      </w:pPr>
      <w:r>
        <w:rPr>
          <w:rFonts w:ascii="Book Antiqua" w:eastAsia="Book Antiqua" w:hAnsi="Book Antiqua" w:cs="Book Antiqua"/>
          <w:b/>
          <w:i/>
          <w:color w:val="000000"/>
        </w:rPr>
        <w:t xml:space="preserve">Participants </w:t>
      </w:r>
    </w:p>
    <w:p w14:paraId="7C0DBAA6" w14:textId="77777777" w:rsidR="00743A00" w:rsidRDefault="00000000">
      <w:pPr>
        <w:spacing w:line="360" w:lineRule="auto"/>
        <w:jc w:val="both"/>
        <w:rPr>
          <w:rFonts w:ascii="Book Antiqua" w:hAnsi="Book Antiqua"/>
        </w:rPr>
      </w:pPr>
      <w:r>
        <w:rPr>
          <w:rFonts w:ascii="Book Antiqua" w:eastAsia="Book Antiqua" w:hAnsi="Book Antiqua" w:cs="Book Antiqua"/>
          <w:color w:val="000000"/>
        </w:rPr>
        <w:t>Included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were children and adolescents from 8-17 years of age of both sexes who met the diagnostic criteria for T2DM based on criteria from the American Diabetes Association, who had the clinical and biochemical phenotype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(obesity, acanthosis nigricans, </w:t>
      </w:r>
      <w:r>
        <w:rPr>
          <w:rFonts w:ascii="Book Antiqua" w:eastAsia="宋体" w:hAnsi="Book Antiqua" w:cs="Book Antiqua" w:hint="eastAsia"/>
          <w:color w:val="000000"/>
          <w:lang w:eastAsia="zh-CN"/>
        </w:rPr>
        <w:t xml:space="preserve">and </w:t>
      </w:r>
      <w:r>
        <w:rPr>
          <w:rFonts w:ascii="Book Antiqua" w:eastAsia="Book Antiqua" w:hAnsi="Book Antiqua" w:cs="Book Antiqua"/>
          <w:color w:val="000000"/>
        </w:rPr>
        <w:t xml:space="preserve">insulin resistance) and a diagnostic C-peptide </w:t>
      </w:r>
      <w:r>
        <w:rPr>
          <w:rFonts w:ascii="Book Antiqua" w:eastAsia="宋体" w:hAnsi="Book Antiqua" w:cs="Book Antiqua" w:hint="eastAsia"/>
          <w:color w:val="000000"/>
          <w:lang w:eastAsia="zh-CN"/>
        </w:rPr>
        <w:t xml:space="preserve">level </w:t>
      </w:r>
      <w:r>
        <w:rPr>
          <w:rFonts w:ascii="Book Antiqua" w:eastAsia="Book Antiqua" w:hAnsi="Book Antiqua" w:cs="Book Antiqua"/>
          <w:color w:val="000000"/>
        </w:rPr>
        <w:t xml:space="preserve">≥ 0.45 ng/dL. Patients whose relatives </w:t>
      </w:r>
      <w:r>
        <w:rPr>
          <w:rFonts w:ascii="Book Antiqua" w:eastAsia="Book Antiqua" w:hAnsi="Book Antiqua" w:cs="Book Antiqua"/>
          <w:color w:val="000000"/>
        </w:rPr>
        <w:lastRenderedPageBreak/>
        <w:t xml:space="preserve">presented with diabetes at an age younger than 25 years, leading to the suspicion of maturity onset diabetes of the young, were ruled out. In addition, study patients did not have a history of autoimmune disease or treatment that could alter glucose metabolism such as glucocorticoids or immunomodulators. </w:t>
      </w:r>
    </w:p>
    <w:p w14:paraId="35BE7581" w14:textId="77777777" w:rsidR="00743A00" w:rsidRDefault="00743A00">
      <w:pPr>
        <w:spacing w:line="360" w:lineRule="auto"/>
        <w:jc w:val="both"/>
        <w:rPr>
          <w:rFonts w:ascii="Book Antiqua" w:eastAsia="Book Antiqua" w:hAnsi="Book Antiqua" w:cs="Book Antiqua"/>
          <w:i/>
          <w:iCs/>
          <w:color w:val="000000"/>
        </w:rPr>
      </w:pPr>
    </w:p>
    <w:p w14:paraId="66AEB1CC" w14:textId="77777777" w:rsidR="00743A00" w:rsidRDefault="00000000">
      <w:pPr>
        <w:spacing w:line="360" w:lineRule="auto"/>
        <w:jc w:val="both"/>
        <w:rPr>
          <w:rFonts w:ascii="Book Antiqua" w:hAnsi="Book Antiqua"/>
          <w:b/>
        </w:rPr>
      </w:pPr>
      <w:r>
        <w:rPr>
          <w:rFonts w:ascii="Book Antiqua" w:eastAsia="Book Antiqua" w:hAnsi="Book Antiqua" w:cs="Book Antiqua"/>
          <w:b/>
          <w:i/>
          <w:iCs/>
          <w:color w:val="000000"/>
        </w:rPr>
        <w:t xml:space="preserve">Anthropometric and biochemical measurements </w:t>
      </w:r>
    </w:p>
    <w:p w14:paraId="56E7DA71" w14:textId="77777777" w:rsidR="00743A00" w:rsidRDefault="00000000">
      <w:pPr>
        <w:spacing w:line="360" w:lineRule="auto"/>
        <w:jc w:val="both"/>
        <w:rPr>
          <w:rFonts w:ascii="Book Antiqua" w:hAnsi="Book Antiqua"/>
        </w:rPr>
      </w:pPr>
      <w:r>
        <w:rPr>
          <w:rFonts w:ascii="Book Antiqua" w:eastAsia="Book Antiqua" w:hAnsi="Book Antiqua" w:cs="Book Antiqua"/>
          <w:color w:val="000000"/>
        </w:rPr>
        <w:t>Participants’ height and weight were measured without footwear and wearing the least amount of clothing possible. Weight was determined using a digital scale (Seca</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884, Hamburgo, Alemania) with a precision of 0.1 kg. Height was measured using a stadimeter (Seca</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225, Hamburg, Germany) with a precision of 0.1 cm. The body mass index (BMI) was calculated using two measurements. Waist circumference was measured at the end of a respiratory expiration with a flexible, non-elastic measuring tape with a precision of 0.1 cm (Seca</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200, Hamburg, Germany) in a standing position, on the point mid-way between the most inferior rib and the top of the iliac crest. Arterial pressure was measured with a mercury sphygmomanometer on the right arm, sustained at the level of the heart, after </w:t>
      </w:r>
      <w:r>
        <w:rPr>
          <w:rFonts w:ascii="Book Antiqua" w:eastAsia="宋体" w:hAnsi="Book Antiqua" w:cs="Book Antiqua" w:hint="eastAsia"/>
          <w:color w:val="000000"/>
          <w:lang w:eastAsia="zh-CN"/>
        </w:rPr>
        <w:t>5</w:t>
      </w:r>
      <w:r>
        <w:rPr>
          <w:rFonts w:ascii="Book Antiqua" w:eastAsia="Book Antiqua" w:hAnsi="Book Antiqua" w:cs="Book Antiqua"/>
          <w:color w:val="000000"/>
        </w:rPr>
        <w:t xml:space="preserve"> min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of sedentary rest, using an arm band appropriate for the size of the patient. Three measurements were performed using the first and fifth Korotkoff sound with the reading closest to every 2 mmHg, ultimately using the calculated average of the three measurements. </w:t>
      </w:r>
    </w:p>
    <w:p w14:paraId="17B3FA25" w14:textId="77777777" w:rsidR="00743A00"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Participants fasted for 12 h and then samples of peripheral blood (10 mL in total) were obtained for the evaluations of</w:t>
      </w:r>
      <w:r>
        <w:rPr>
          <w:rFonts w:ascii="Book Antiqua" w:eastAsia="宋体" w:hAnsi="Book Antiqua" w:cs="Book Antiqua" w:hint="eastAsia"/>
          <w:color w:val="000000"/>
          <w:lang w:eastAsia="zh-CN"/>
        </w:rPr>
        <w:t xml:space="preserve"> g</w:t>
      </w:r>
      <w:r>
        <w:rPr>
          <w:rFonts w:ascii="Book Antiqua" w:eastAsia="Book Antiqua" w:hAnsi="Book Antiqua" w:cs="Book Antiqua"/>
          <w:color w:val="000000"/>
        </w:rPr>
        <w:t>lucose (mg/dL, hexokinase Dimension RXL.MAX, Siemens</w:t>
      </w:r>
      <w:r>
        <w:rPr>
          <w:rFonts w:ascii="Book Antiqua" w:eastAsia="Book Antiqua" w:hAnsi="Book Antiqua" w:cs="Book Antiqua"/>
          <w:color w:val="000000"/>
          <w:vertAlign w:val="superscript"/>
        </w:rPr>
        <w:t>®</w:t>
      </w:r>
      <w:r>
        <w:rPr>
          <w:rFonts w:ascii="Book Antiqua" w:eastAsia="Book Antiqua" w:hAnsi="Book Antiqua" w:cs="Book Antiqua"/>
          <w:color w:val="000000"/>
        </w:rPr>
        <w:t>), insulin (mU/mL, chemiluminescence IMMULITE 1000, Siemens</w:t>
      </w:r>
      <w:r>
        <w:rPr>
          <w:rFonts w:ascii="Book Antiqua" w:eastAsia="Book Antiqua" w:hAnsi="Book Antiqua" w:cs="Book Antiqua"/>
          <w:color w:val="000000"/>
          <w:vertAlign w:val="superscript"/>
        </w:rPr>
        <w:t>®</w:t>
      </w:r>
      <w:r>
        <w:rPr>
          <w:rFonts w:ascii="Book Antiqua" w:eastAsia="Book Antiqua" w:hAnsi="Book Antiqua" w:cs="Book Antiqua"/>
          <w:color w:val="000000"/>
        </w:rPr>
        <w:t>, Euro, DPC, Llanberis, United Kingdom), C-peptide (ng/dL, chemiluminescence IMMULITE 1000, Siemens</w:t>
      </w:r>
      <w:r>
        <w:rPr>
          <w:rFonts w:ascii="Book Antiqua" w:eastAsia="Book Antiqua" w:hAnsi="Book Antiqua" w:cs="Book Antiqua"/>
          <w:color w:val="000000"/>
          <w:vertAlign w:val="superscript"/>
        </w:rPr>
        <w:t>®</w:t>
      </w:r>
      <w:r>
        <w:rPr>
          <w:rFonts w:ascii="Book Antiqua" w:eastAsia="Book Antiqua" w:hAnsi="Book Antiqua" w:cs="Book Antiqua"/>
          <w:color w:val="000000"/>
        </w:rPr>
        <w:t>, Euro, DPC, Llanberis, United Kingdom), hemoglobin A1c (HbA1c % and mmol/moL, Dimension RXL.MAX Siemens</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immunoassay), total cholesterol, high density lipoprotein cholesterol (HDL-C), and triglycerides (Hitachi 902 analyzer</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Hitachi, LTD., Tokyo, Japan). The evaluation of LDL-cholesterol was calculated using the Friedewald formula (total cholesterol in mg/dL – HDL-C in mg/dL – triglycerides in </w:t>
      </w:r>
      <w:r>
        <w:rPr>
          <w:rFonts w:ascii="Book Antiqua" w:eastAsia="Book Antiqua" w:hAnsi="Book Antiqua" w:cs="Book Antiqua"/>
          <w:color w:val="000000"/>
        </w:rPr>
        <w:lastRenderedPageBreak/>
        <w:t>mg/dL/5). The pancreatic reserve was evaluated using the HOMA-β index [(fasting insulin µUI/mL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20)</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fasting glucose in mmol/L-3.5)]. </w:t>
      </w:r>
    </w:p>
    <w:p w14:paraId="6E900FCA" w14:textId="77777777" w:rsidR="00743A00"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Estimation of the subject’s socioeconomic status (SES) was performed following the </w:t>
      </w:r>
      <w:r>
        <w:rPr>
          <w:rFonts w:ascii="Book Antiqua" w:eastAsia="Book Antiqua" w:hAnsi="Book Antiqua" w:cs="Book Antiqua"/>
          <w:i/>
          <w:iCs/>
          <w:color w:val="000000"/>
        </w:rPr>
        <w:t>AMAI-NSE8X7</w:t>
      </w:r>
      <w:r>
        <w:rPr>
          <w:rFonts w:ascii="Book Antiqua" w:eastAsia="Book Antiqua" w:hAnsi="Book Antiqua" w:cs="Book Antiqua"/>
          <w:color w:val="000000"/>
        </w:rPr>
        <w:t xml:space="preserve"> model from the ‘Mexican Association of Market Research and Public Opinion Agency, A.C’. This model classifies SES as</w:t>
      </w:r>
      <w:r>
        <w:rPr>
          <w:rFonts w:ascii="Book Antiqua" w:eastAsia="宋体" w:hAnsi="Book Antiqua" w:cs="Book Antiqua" w:hint="eastAsia"/>
          <w:color w:val="000000"/>
          <w:lang w:eastAsia="zh-CN"/>
        </w:rPr>
        <w:t xml:space="preserve"> l</w:t>
      </w:r>
      <w:r>
        <w:rPr>
          <w:rFonts w:ascii="Book Antiqua" w:eastAsia="Book Antiqua" w:hAnsi="Book Antiqua" w:cs="Book Antiqua"/>
          <w:color w:val="000000"/>
        </w:rPr>
        <w:t xml:space="preserve">ower, upper-lower, lower-middle, middle, upper-middle, and </w:t>
      </w:r>
      <w:proofErr w:type="gramStart"/>
      <w:r>
        <w:rPr>
          <w:rFonts w:ascii="Book Antiqua" w:eastAsia="Book Antiqua" w:hAnsi="Book Antiqua" w:cs="Book Antiqua"/>
          <w:color w:val="000000"/>
        </w:rPr>
        <w:t>upper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27BABAFC" w14:textId="77777777" w:rsidR="00743A00" w:rsidRDefault="00743A00">
      <w:pPr>
        <w:spacing w:line="360" w:lineRule="auto"/>
        <w:jc w:val="both"/>
        <w:rPr>
          <w:rFonts w:ascii="Book Antiqua" w:eastAsia="Book Antiqua" w:hAnsi="Book Antiqua" w:cs="Book Antiqua"/>
          <w:i/>
          <w:iCs/>
          <w:color w:val="000000"/>
        </w:rPr>
      </w:pPr>
    </w:p>
    <w:p w14:paraId="41A4201A" w14:textId="77777777" w:rsidR="00743A00" w:rsidRDefault="00000000">
      <w:pPr>
        <w:spacing w:line="360" w:lineRule="auto"/>
        <w:jc w:val="both"/>
        <w:rPr>
          <w:rFonts w:ascii="Book Antiqua" w:hAnsi="Book Antiqua"/>
          <w:b/>
        </w:rPr>
      </w:pPr>
      <w:r>
        <w:rPr>
          <w:rFonts w:ascii="Book Antiqua" w:eastAsia="Book Antiqua" w:hAnsi="Book Antiqua" w:cs="Book Antiqua"/>
          <w:b/>
          <w:i/>
          <w:iCs/>
          <w:color w:val="000000"/>
        </w:rPr>
        <w:t xml:space="preserve">Statistical analysis </w:t>
      </w:r>
    </w:p>
    <w:p w14:paraId="50705505" w14:textId="77777777" w:rsidR="00743A00" w:rsidRDefault="00000000">
      <w:pPr>
        <w:spacing w:line="360" w:lineRule="auto"/>
        <w:jc w:val="both"/>
        <w:rPr>
          <w:rFonts w:ascii="Book Antiqua" w:hAnsi="Book Antiqua"/>
        </w:rPr>
      </w:pPr>
      <w:r>
        <w:rPr>
          <w:rFonts w:ascii="Book Antiqua" w:eastAsia="Book Antiqua" w:hAnsi="Book Antiqua" w:cs="Book Antiqua"/>
          <w:color w:val="000000"/>
        </w:rPr>
        <w:t>Descriptive statistics (measures of central tendency and dispersion) of the demographic, biochemical, and clinical variables w</w:t>
      </w:r>
      <w:r>
        <w:rPr>
          <w:rFonts w:ascii="Book Antiqua" w:eastAsia="宋体" w:hAnsi="Book Antiqua" w:cs="Book Antiqua" w:hint="eastAsia"/>
          <w:color w:val="000000"/>
          <w:lang w:eastAsia="zh-CN"/>
        </w:rPr>
        <w:t>ere calculated</w:t>
      </w:r>
      <w:r>
        <w:rPr>
          <w:rFonts w:ascii="Book Antiqua" w:eastAsia="Book Antiqua" w:hAnsi="Book Antiqua" w:cs="Book Antiqua"/>
          <w:color w:val="000000"/>
        </w:rPr>
        <w:t xml:space="preserve">. Variables with </w:t>
      </w:r>
      <w:r>
        <w:rPr>
          <w:rFonts w:ascii="Book Antiqua" w:eastAsia="宋体" w:hAnsi="Book Antiqua" w:cs="Book Antiqua" w:hint="eastAsia"/>
          <w:color w:val="000000"/>
          <w:lang w:eastAsia="zh-CN"/>
        </w:rPr>
        <w:t xml:space="preserve">a </w:t>
      </w:r>
      <w:r>
        <w:rPr>
          <w:rFonts w:ascii="Book Antiqua" w:eastAsia="Book Antiqua" w:hAnsi="Book Antiqua" w:cs="Book Antiqua"/>
          <w:color w:val="000000"/>
        </w:rPr>
        <w:t xml:space="preserve">normal distribution based on the Kolmogorov-Smirnov test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expressed </w:t>
      </w:r>
      <w:r>
        <w:rPr>
          <w:rFonts w:ascii="Book Antiqua" w:eastAsia="宋体" w:hAnsi="Book Antiqua" w:cs="Book Antiqua" w:hint="eastAsia"/>
          <w:color w:val="000000"/>
          <w:lang w:eastAsia="zh-CN"/>
        </w:rPr>
        <w:t>as the mean</w:t>
      </w:r>
      <w:r>
        <w:rPr>
          <w:rFonts w:ascii="Book Antiqua" w:eastAsia="Book Antiqua" w:hAnsi="Book Antiqua" w:cs="Book Antiqua"/>
          <w:color w:val="000000"/>
        </w:rPr>
        <w:t xml:space="preserve"> and standard deviation, and variables </w:t>
      </w:r>
      <w:r>
        <w:rPr>
          <w:rFonts w:ascii="Book Antiqua" w:eastAsia="宋体" w:hAnsi="Book Antiqua" w:cs="Book Antiqua" w:hint="eastAsia"/>
          <w:color w:val="000000"/>
          <w:lang w:eastAsia="zh-CN"/>
        </w:rPr>
        <w:t>not following a</w:t>
      </w:r>
      <w:r>
        <w:rPr>
          <w:rFonts w:ascii="Book Antiqua" w:eastAsia="Book Antiqua" w:hAnsi="Book Antiqua" w:cs="Book Antiqua"/>
          <w:color w:val="000000"/>
        </w:rPr>
        <w:t xml:space="preserve"> normal distribution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expressed </w:t>
      </w:r>
      <w:r>
        <w:rPr>
          <w:rFonts w:ascii="Book Antiqua" w:eastAsia="宋体" w:hAnsi="Book Antiqua" w:cs="Book Antiqua" w:hint="eastAsia"/>
          <w:color w:val="000000"/>
          <w:lang w:eastAsia="zh-CN"/>
        </w:rPr>
        <w:t xml:space="preserve">as the median </w:t>
      </w:r>
      <w:r>
        <w:rPr>
          <w:rFonts w:ascii="Book Antiqua" w:eastAsia="Book Antiqua" w:hAnsi="Book Antiqua" w:cs="Book Antiqua"/>
          <w:color w:val="000000"/>
        </w:rPr>
        <w:t xml:space="preserve">and interquartile ranges. </w:t>
      </w:r>
    </w:p>
    <w:p w14:paraId="007A76EA" w14:textId="77777777" w:rsidR="00743A00"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For the inferential analysis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the </w:t>
      </w:r>
      <w:proofErr w:type="gramStart"/>
      <w:r>
        <w:rPr>
          <w:rFonts w:ascii="Book Antiqua" w:eastAsia="Book Antiqua" w:hAnsi="Book Antiqua" w:cs="Book Antiqua"/>
          <w:color w:val="000000"/>
        </w:rPr>
        <w:t>Student</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s</w:t>
      </w:r>
      <w:proofErr w:type="gramEnd"/>
      <w:r>
        <w:rPr>
          <w:rFonts w:ascii="Book Antiqua" w:eastAsia="Book Antiqua" w:hAnsi="Book Antiqua" w:cs="Book Antiqua"/>
          <w:i/>
          <w:iCs/>
          <w:color w:val="000000"/>
        </w:rPr>
        <w:t xml:space="preserve"> t</w:t>
      </w:r>
      <w:r>
        <w:rPr>
          <w:rFonts w:ascii="Book Antiqua" w:eastAsia="Book Antiqua" w:hAnsi="Book Antiqua" w:cs="Book Antiqua"/>
          <w:color w:val="000000"/>
        </w:rPr>
        <w:t xml:space="preserve"> test was used for the continuous variables and the Pearson </w:t>
      </w:r>
      <w:r>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was used for the categorical variables, while medians were evaluated using the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w:t>
      </w:r>
    </w:p>
    <w:p w14:paraId="7530972B" w14:textId="77777777" w:rsidR="00743A00"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Logistic regression was used to determine the association between each of the variables and the presence of T2DM. The statistical package SPSS v. 23.0 was used </w:t>
      </w:r>
      <w:r>
        <w:rPr>
          <w:rFonts w:ascii="Book Antiqua" w:eastAsia="宋体" w:hAnsi="Book Antiqua" w:cs="Book Antiqua" w:hint="eastAsia"/>
          <w:color w:val="000000"/>
          <w:lang w:eastAsia="zh-CN"/>
        </w:rPr>
        <w:t xml:space="preserve">for stastisical analyses, </w:t>
      </w:r>
      <w:r>
        <w:rPr>
          <w:rFonts w:ascii="Book Antiqua" w:eastAsia="Book Antiqua" w:hAnsi="Book Antiqua" w:cs="Book Antiqua"/>
          <w:color w:val="000000"/>
        </w:rPr>
        <w:t xml:space="preserve">and a </w:t>
      </w:r>
      <w:r>
        <w:rPr>
          <w:rFonts w:ascii="Book Antiqua" w:eastAsia="Book Antiqua" w:hAnsi="Book Antiqua" w:cs="Book Antiqua"/>
          <w:i/>
          <w:color w:val="000000"/>
        </w:rPr>
        <w:t>P</w:t>
      </w:r>
      <w:r>
        <w:rPr>
          <w:rFonts w:ascii="Book Antiqua" w:eastAsia="宋体" w:hAnsi="Book Antiqua" w:cs="Book Antiqua" w:hint="eastAsia"/>
          <w:i/>
          <w:color w:val="000000"/>
          <w:lang w:eastAsia="zh-CN"/>
        </w:rPr>
        <w:t>-</w:t>
      </w:r>
      <w:r>
        <w:rPr>
          <w:rFonts w:ascii="Book Antiqua" w:eastAsia="Book Antiqua" w:hAnsi="Book Antiqua" w:cs="Book Antiqua"/>
          <w:color w:val="000000"/>
        </w:rPr>
        <w:t xml:space="preserve">value of &lt; 0.05 was considered statistically significant. </w:t>
      </w:r>
    </w:p>
    <w:p w14:paraId="6424343F" w14:textId="77777777" w:rsidR="00743A00" w:rsidRDefault="00743A00">
      <w:pPr>
        <w:spacing w:line="360" w:lineRule="auto"/>
        <w:jc w:val="both"/>
        <w:rPr>
          <w:rFonts w:ascii="Book Antiqua" w:hAnsi="Book Antiqua"/>
        </w:rPr>
      </w:pPr>
    </w:p>
    <w:p w14:paraId="5BF5425B" w14:textId="77777777" w:rsidR="00743A00"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6AFF855B" w14:textId="77777777" w:rsidR="00743A00" w:rsidRDefault="00000000">
      <w:pPr>
        <w:spacing w:line="360" w:lineRule="auto"/>
        <w:jc w:val="both"/>
        <w:rPr>
          <w:rFonts w:ascii="Book Antiqua" w:hAnsi="Book Antiqua"/>
        </w:rPr>
      </w:pPr>
      <w:r>
        <w:rPr>
          <w:rFonts w:ascii="Book Antiqua" w:eastAsia="Book Antiqua" w:hAnsi="Book Antiqua" w:cs="Book Antiqua"/>
          <w:color w:val="000000"/>
        </w:rPr>
        <w:t xml:space="preserve">A total of 151 patients with T2DM were included in the study: 47 patients from 2013, and 104 patients from 2018. The average age of </w:t>
      </w:r>
      <w:r>
        <w:rPr>
          <w:rFonts w:ascii="Book Antiqua" w:eastAsia="宋体" w:hAnsi="Book Antiqua" w:cs="Book Antiqua" w:hint="eastAsia"/>
          <w:color w:val="000000"/>
          <w:lang w:eastAsia="zh-CN"/>
        </w:rPr>
        <w:t>the</w:t>
      </w:r>
      <w:r>
        <w:rPr>
          <w:rFonts w:ascii="Book Antiqua" w:eastAsia="Book Antiqua" w:hAnsi="Book Antiqua" w:cs="Book Antiqua"/>
          <w:color w:val="000000"/>
        </w:rPr>
        <w:t xml:space="preserve"> patient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with T2DM in 2013 was 12.9 ± 1.9 years, and the average age in 2018 was higher </w:t>
      </w:r>
      <w:r>
        <w:rPr>
          <w:rFonts w:ascii="Book Antiqua" w:eastAsia="宋体" w:hAnsi="Book Antiqua" w:cs="Book Antiqua" w:hint="eastAsia"/>
          <w:color w:val="000000"/>
          <w:lang w:eastAsia="zh-CN"/>
        </w:rPr>
        <w:t>(</w:t>
      </w:r>
      <w:r>
        <w:rPr>
          <w:rFonts w:ascii="Book Antiqua" w:eastAsia="Book Antiqua" w:hAnsi="Book Antiqua" w:cs="Book Antiqua"/>
          <w:color w:val="000000"/>
        </w:rPr>
        <w:t>14.6 ± 1.9 years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The male sex predominated with 55.36% in 2013 </w:t>
      </w:r>
      <w:r>
        <w:rPr>
          <w:rFonts w:ascii="Book Antiqua" w:eastAsia="Book Antiqua" w:hAnsi="Book Antiqua" w:cs="Book Antiqua"/>
          <w:i/>
          <w:iCs/>
          <w:color w:val="000000"/>
        </w:rPr>
        <w:t>vs</w:t>
      </w:r>
      <w:r>
        <w:rPr>
          <w:rFonts w:ascii="Book Antiqua" w:eastAsia="Book Antiqua" w:hAnsi="Book Antiqua" w:cs="Book Antiqua"/>
          <w:color w:val="000000"/>
        </w:rPr>
        <w:t xml:space="preserve"> 32.7% in 2018. The demographic, clinical, and biochemical data are shown in Table 1. </w:t>
      </w:r>
    </w:p>
    <w:p w14:paraId="67ABEE44" w14:textId="77777777" w:rsidR="00743A00"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The prevalence of T2DM recorded was 20.2% and 33.0% for 2013 and 2018, respectively, with an observed increase of 12.8% (</w:t>
      </w:r>
      <w:r>
        <w:rPr>
          <w:rFonts w:ascii="Book Antiqua" w:eastAsia="Book Antiqua" w:hAnsi="Book Antiqua" w:cs="Book Antiqua"/>
          <w:i/>
          <w:iCs/>
          <w:color w:val="000000"/>
        </w:rPr>
        <w:t>P</w:t>
      </w:r>
      <w:r>
        <w:rPr>
          <w:rFonts w:ascii="Book Antiqua" w:eastAsia="Book Antiqua" w:hAnsi="Book Antiqua" w:cs="Book Antiqua"/>
          <w:iCs/>
          <w:color w:val="000000"/>
        </w:rPr>
        <w:t xml:space="preserve"> &lt; 0.0001</w:t>
      </w:r>
      <w:r>
        <w:rPr>
          <w:rFonts w:ascii="Book Antiqua" w:eastAsia="Book Antiqua" w:hAnsi="Book Antiqua" w:cs="Book Antiqua"/>
          <w:color w:val="000000"/>
        </w:rPr>
        <w:t xml:space="preserve">). The T2DM first appeared in the 2013 group with clinical characteristics like obesity, acanthosis nigricans, polyuria, </w:t>
      </w:r>
      <w:r>
        <w:rPr>
          <w:rFonts w:ascii="Book Antiqua" w:eastAsia="Book Antiqua" w:hAnsi="Book Antiqua" w:cs="Book Antiqua"/>
          <w:color w:val="000000"/>
        </w:rPr>
        <w:lastRenderedPageBreak/>
        <w:t xml:space="preserve">polydipsia, and unexplained weight loss in 36.2% of patients, while altered serum glucose in laboratory exams was the most frequent way </w:t>
      </w:r>
      <w:r>
        <w:rPr>
          <w:rFonts w:ascii="Book Antiqua" w:eastAsia="宋体" w:hAnsi="Book Antiqua" w:cs="Book Antiqua" w:hint="eastAsia"/>
          <w:color w:val="000000"/>
          <w:lang w:eastAsia="zh-CN"/>
        </w:rPr>
        <w:t xml:space="preserve">that </w:t>
      </w:r>
      <w:r>
        <w:rPr>
          <w:rFonts w:ascii="Book Antiqua" w:eastAsia="Book Antiqua" w:hAnsi="Book Antiqua" w:cs="Book Antiqua"/>
          <w:color w:val="000000"/>
        </w:rPr>
        <w:t>T2DM presented in the 2018 group. The presence of diabetic ketoacidosis has been reported in 22%-33% of T2DM cases; however, in 2013, diabetic ketoacidosis was the way in which the illness initially presented in 40.4% of cases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with the mild form being the most common in 21.3% of them. In 2018, diabetic ketoacidosis was the initial presentation in 28.8% of cases, with mild ketoacidosis being the most frequent in 13.5%.</w:t>
      </w:r>
    </w:p>
    <w:p w14:paraId="49E08A6F" w14:textId="77777777" w:rsidR="00743A00"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Clinical and biochemical phenotypes also differed between the two periods; for example, the nutritional state of patients determined by the BMI show</w:t>
      </w:r>
      <w:r>
        <w:rPr>
          <w:rFonts w:ascii="Book Antiqua" w:eastAsia="宋体" w:hAnsi="Book Antiqua" w:cs="Book Antiqua" w:hint="eastAsia"/>
          <w:color w:val="000000"/>
          <w:lang w:eastAsia="zh-CN"/>
        </w:rPr>
        <w:t>ed</w:t>
      </w:r>
      <w:r>
        <w:rPr>
          <w:rFonts w:ascii="Book Antiqua" w:eastAsia="Book Antiqua" w:hAnsi="Book Antiqua" w:cs="Book Antiqua"/>
          <w:color w:val="000000"/>
        </w:rPr>
        <w:t xml:space="preserve"> a measurement of 25.3 ± 5.3 in 2013 </w:t>
      </w:r>
      <w:r>
        <w:rPr>
          <w:rFonts w:ascii="Book Antiqua" w:eastAsia="Book Antiqua" w:hAnsi="Book Antiqua" w:cs="Book Antiqua"/>
          <w:i/>
          <w:iCs/>
          <w:color w:val="000000"/>
        </w:rPr>
        <w:t>vs</w:t>
      </w:r>
      <w:r>
        <w:rPr>
          <w:rFonts w:ascii="Book Antiqua" w:eastAsia="Book Antiqua" w:hAnsi="Book Antiqua" w:cs="Book Antiqua"/>
          <w:color w:val="000000"/>
        </w:rPr>
        <w:t xml:space="preserve"> 24.4 ± 6.7 in 2018, without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statistically significant </w:t>
      </w:r>
      <w:r>
        <w:rPr>
          <w:rFonts w:ascii="Book Antiqua" w:eastAsia="宋体" w:hAnsi="Book Antiqua" w:cs="Book Antiqua" w:hint="eastAsia"/>
          <w:color w:val="000000"/>
          <w:lang w:eastAsia="zh-CN"/>
        </w:rPr>
        <w:t xml:space="preserve">difference </w:t>
      </w:r>
      <w:r>
        <w:rPr>
          <w:rFonts w:ascii="Book Antiqua" w:eastAsia="Book Antiqua" w:hAnsi="Book Antiqua" w:cs="Book Antiqua"/>
          <w:color w:val="000000"/>
        </w:rPr>
        <w:t>(</w:t>
      </w:r>
      <w:r>
        <w:rPr>
          <w:rFonts w:ascii="Book Antiqua" w:eastAsia="Book Antiqua" w:hAnsi="Book Antiqua" w:cs="Book Antiqua"/>
          <w:i/>
          <w:iCs/>
          <w:color w:val="000000"/>
        </w:rPr>
        <w:t xml:space="preserve">P </w:t>
      </w:r>
      <w:r>
        <w:rPr>
          <w:rFonts w:ascii="Book Antiqua" w:eastAsia="Book Antiqua" w:hAnsi="Book Antiqua" w:cs="Book Antiqua"/>
          <w:iCs/>
          <w:color w:val="000000"/>
        </w:rPr>
        <w:t>= 0.170</w:t>
      </w:r>
      <w:r>
        <w:rPr>
          <w:rFonts w:ascii="Book Antiqua" w:eastAsia="Book Antiqua" w:hAnsi="Book Antiqua" w:cs="Book Antiqua"/>
          <w:color w:val="000000"/>
        </w:rPr>
        <w:t>). Nevertheless, on stratifying the groups according to the percentage of BMI with the Centers for Disease Control curves, a tendency to be more obese, and more morbidly obese, was observed in the 2018 group compared to the 2013 group (</w:t>
      </w:r>
      <w:r>
        <w:rPr>
          <w:rFonts w:ascii="Book Antiqua" w:eastAsia="Book Antiqua" w:hAnsi="Book Antiqua" w:cs="Book Antiqua"/>
          <w:i/>
          <w:iCs/>
          <w:color w:val="000000"/>
        </w:rPr>
        <w:t>P</w:t>
      </w:r>
      <w:r>
        <w:rPr>
          <w:rFonts w:ascii="Book Antiqua" w:eastAsia="Book Antiqua" w:hAnsi="Book Antiqua" w:cs="Book Antiqua"/>
          <w:iCs/>
          <w:color w:val="000000"/>
        </w:rPr>
        <w:t xml:space="preserve"> = 0.297</w:t>
      </w:r>
      <w:r>
        <w:rPr>
          <w:rFonts w:ascii="Book Antiqua" w:eastAsia="Book Antiqua" w:hAnsi="Book Antiqua" w:cs="Book Antiqua"/>
          <w:color w:val="000000"/>
        </w:rPr>
        <w:t xml:space="preserve">). </w:t>
      </w:r>
    </w:p>
    <w:p w14:paraId="462B9519" w14:textId="77777777" w:rsidR="00743A00"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Antecedents of risk continue to be important in the manifestation of T2DM, as we can observe a greater increase in the prevalence of this illness when there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a first- or second-degree relative with diabetes, having demonstrated an exponential increase between the 2013 and 2018 groups. Similarly, the history of obesity in first- or second-degree family members demonstrate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statistically significant differences between </w:t>
      </w:r>
      <w:r>
        <w:rPr>
          <w:rFonts w:ascii="Book Antiqua" w:eastAsia="宋体" w:hAnsi="Book Antiqua" w:cs="Book Antiqua" w:hint="eastAsia"/>
          <w:color w:val="000000"/>
          <w:lang w:eastAsia="zh-CN"/>
        </w:rPr>
        <w:t xml:space="preserve">the two </w:t>
      </w:r>
      <w:r>
        <w:rPr>
          <w:rFonts w:ascii="Book Antiqua" w:eastAsia="Book Antiqua" w:hAnsi="Book Antiqua" w:cs="Book Antiqua"/>
          <w:color w:val="000000"/>
        </w:rPr>
        <w:t>groups;</w:t>
      </w:r>
      <w:r>
        <w:rPr>
          <w:rFonts w:ascii="Book Antiqua" w:eastAsia="宋体" w:hAnsi="Book Antiqua" w:cs="Book Antiqua" w:hint="eastAsia"/>
          <w:color w:val="000000"/>
          <w:lang w:eastAsia="zh-CN"/>
        </w:rPr>
        <w:t xml:space="preserve"> </w:t>
      </w:r>
      <w:proofErr w:type="gramStart"/>
      <w:r>
        <w:rPr>
          <w:rFonts w:ascii="Book Antiqua" w:eastAsia="Book Antiqua" w:hAnsi="Book Antiqua" w:cs="Book Antiqua"/>
          <w:color w:val="000000"/>
        </w:rPr>
        <w:t>with regard to</w:t>
      </w:r>
      <w:proofErr w:type="gramEnd"/>
      <w:r>
        <w:rPr>
          <w:rFonts w:ascii="Book Antiqua" w:eastAsia="Book Antiqua" w:hAnsi="Book Antiqua" w:cs="Book Antiqua"/>
          <w:color w:val="000000"/>
        </w:rPr>
        <w:t xml:space="preserve"> birth weight, differences were also observed since the 2018 group presented lower birth weights compared to the 2013 group (Table 2). </w:t>
      </w:r>
    </w:p>
    <w:p w14:paraId="1103B295" w14:textId="77777777" w:rsidR="00743A00"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Regarding SES, the 2013 group had a higher percentage of upper-lower and lower-middle SES levels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21.3% and 34%</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respectively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 </w:t>
      </w:r>
      <w:r>
        <w:rPr>
          <w:rFonts w:ascii="Book Antiqua" w:eastAsia="宋体" w:hAnsi="Book Antiqua" w:cs="Book Antiqua" w:hint="eastAsia"/>
          <w:color w:val="000000"/>
          <w:lang w:eastAsia="zh-CN"/>
        </w:rPr>
        <w:t>lower</w:t>
      </w:r>
      <w:r>
        <w:rPr>
          <w:rFonts w:ascii="Book Antiqua" w:eastAsia="Book Antiqua" w:hAnsi="Book Antiqua" w:cs="Book Antiqua"/>
          <w:color w:val="000000"/>
        </w:rPr>
        <w:t xml:space="preserve"> percentage of patients with low SES. In the 2018 group, there was a significant increase of 26.9% in subjects with low and upper-lower SES compared to 2013, with the difference being statistically significant (</w:t>
      </w:r>
      <w:r>
        <w:rPr>
          <w:rFonts w:ascii="Book Antiqua" w:eastAsia="Book Antiqua" w:hAnsi="Book Antiqua" w:cs="Book Antiqua"/>
          <w:i/>
          <w:iCs/>
          <w:color w:val="000000"/>
        </w:rPr>
        <w:t>P</w:t>
      </w:r>
      <w:r>
        <w:rPr>
          <w:rFonts w:ascii="Book Antiqua" w:eastAsia="Book Antiqua" w:hAnsi="Book Antiqua" w:cs="Book Antiqua"/>
          <w:iCs/>
          <w:color w:val="000000"/>
        </w:rPr>
        <w:t xml:space="preserve"> = 0.023)</w:t>
      </w:r>
      <w:r>
        <w:rPr>
          <w:rFonts w:ascii="Book Antiqua" w:eastAsia="Book Antiqua" w:hAnsi="Book Antiqua" w:cs="Book Antiqua"/>
          <w:color w:val="000000"/>
        </w:rPr>
        <w:t xml:space="preserve"> (Table 2).</w:t>
      </w:r>
    </w:p>
    <w:p w14:paraId="55E6B114" w14:textId="77777777" w:rsidR="00743A00"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The comorbidities associated with T2DM also differed between the two study groups: There was a higher percentage of hypertriglyceridemia, hepatic steatosis, and SAH in the 2018 group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21.2%, 75.0%, and 22.3%, respectively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a lower percentage of </w:t>
      </w:r>
      <w:r>
        <w:rPr>
          <w:rFonts w:ascii="Book Antiqua" w:eastAsia="Book Antiqua" w:hAnsi="Book Antiqua" w:cs="Book Antiqua"/>
          <w:color w:val="000000"/>
        </w:rPr>
        <w:lastRenderedPageBreak/>
        <w:t>hypercholesterolemia in the 2018 group compared to the 2013 group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27.9% and 46.8%, respectively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(Table 2). </w:t>
      </w:r>
    </w:p>
    <w:p w14:paraId="0E2439E4" w14:textId="77777777" w:rsidR="00743A00" w:rsidRDefault="00743A00">
      <w:pPr>
        <w:spacing w:line="360" w:lineRule="auto"/>
        <w:jc w:val="both"/>
        <w:rPr>
          <w:rFonts w:ascii="Book Antiqua" w:hAnsi="Book Antiqua"/>
        </w:rPr>
      </w:pPr>
    </w:p>
    <w:p w14:paraId="1ECD8957" w14:textId="77777777" w:rsidR="00743A00"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4E1A9A35" w14:textId="77777777" w:rsidR="00743A00" w:rsidRDefault="00000000">
      <w:pPr>
        <w:spacing w:line="360" w:lineRule="auto"/>
        <w:jc w:val="both"/>
        <w:rPr>
          <w:rFonts w:ascii="Book Antiqua" w:hAnsi="Book Antiqua"/>
        </w:rPr>
      </w:pPr>
      <w:r>
        <w:rPr>
          <w:rFonts w:ascii="Book Antiqua" w:eastAsia="Book Antiqua" w:hAnsi="Book Antiqua" w:cs="Book Antiqua"/>
          <w:color w:val="000000"/>
        </w:rPr>
        <w:t xml:space="preserve">Diabetes mellitus is one of the main chronic illnesses associated with high morbidity and mortality, and its incidence is increasing alarmingly around the world even in the pediatric population since more and more cases are being reported in children and adolescents, which concurs with the studies performed by Urakami and </w:t>
      </w:r>
      <w:proofErr w:type="gramStart"/>
      <w:r>
        <w:rPr>
          <w:rFonts w:ascii="Book Antiqua" w:eastAsia="Book Antiqua" w:hAnsi="Book Antiqua" w:cs="Book Antiqua"/>
          <w:color w:val="000000"/>
        </w:rPr>
        <w:t>colleagues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where the incidence of T2DM in children in Tokyo was estimated at 2.6/100000/year, or two times higher than the reported incidence of T2DM. Therefore, in a short period of time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the prevalence of T2DM could surpass that of DM. In the United Kingdom, Candler also reported an increase in</w:t>
      </w:r>
      <w:r>
        <w:rPr>
          <w:rFonts w:ascii="Book Antiqua" w:eastAsia="宋体" w:hAnsi="Book Antiqua" w:cs="Book Antiqua" w:hint="eastAsia"/>
          <w:color w:val="000000"/>
          <w:lang w:eastAsia="zh-CN"/>
        </w:rPr>
        <w:t xml:space="preserve"> the</w:t>
      </w:r>
      <w:r>
        <w:rPr>
          <w:rFonts w:ascii="Book Antiqua" w:eastAsia="Book Antiqua" w:hAnsi="Book Antiqua" w:cs="Book Antiqua"/>
          <w:color w:val="000000"/>
        </w:rPr>
        <w:t xml:space="preserve"> incidence of T2DM between 2005 and 2015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which tended to </w:t>
      </w:r>
      <w:r>
        <w:rPr>
          <w:rFonts w:ascii="Book Antiqua" w:eastAsia="宋体" w:hAnsi="Book Antiqua" w:cs="Book Antiqua" w:hint="eastAsia"/>
          <w:color w:val="000000"/>
          <w:lang w:eastAsia="zh-CN"/>
        </w:rPr>
        <w:t xml:space="preserve">be </w:t>
      </w:r>
      <w:r>
        <w:rPr>
          <w:rFonts w:ascii="Book Antiqua" w:eastAsia="Book Antiqua" w:hAnsi="Book Antiqua" w:cs="Book Antiqua"/>
          <w:color w:val="000000"/>
        </w:rPr>
        <w:t>statistical</w:t>
      </w:r>
      <w:r>
        <w:rPr>
          <w:rFonts w:ascii="Book Antiqua" w:eastAsia="宋体" w:hAnsi="Book Antiqua" w:cs="Book Antiqua" w:hint="eastAsia"/>
          <w:color w:val="000000"/>
          <w:lang w:eastAsia="zh-CN"/>
        </w:rPr>
        <w:t>ly</w:t>
      </w:r>
      <w:r>
        <w:rPr>
          <w:rFonts w:ascii="Book Antiqua" w:eastAsia="Book Antiqua" w:hAnsi="Book Antiqua" w:cs="Book Antiqua"/>
          <w:color w:val="000000"/>
        </w:rPr>
        <w:t xml:space="preserve"> significan</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 with higher incidence among girls and among boys of the ethnic group belonging to South </w:t>
      </w:r>
      <w:proofErr w:type="gramStart"/>
      <w:r>
        <w:rPr>
          <w:rFonts w:ascii="Book Antiqua" w:eastAsia="Book Antiqua" w:hAnsi="Book Antiqua" w:cs="Book Antiqua"/>
          <w:color w:val="000000"/>
        </w:rPr>
        <w:t>Asia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6D9AC7A8" w14:textId="77777777" w:rsidR="00743A00"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the present study, changes to the phenotypes were found since the tendency for the BMI to be higher was observed in the 2018 group, as well as more IR and less pancreatic reserve. In the TODAY study, Zeitler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described a more aggressive T2DM phenotype in the pediatric population, which predisposes to earlier dependency on insulin and a presentation of chronic complications in a shorter term</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65EA6127" w14:textId="77777777" w:rsidR="00743A00"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Primary contact physicians in their daily practice should consider that T2DM can </w:t>
      </w:r>
      <w:r>
        <w:rPr>
          <w:rFonts w:ascii="Book Antiqua" w:eastAsia="宋体" w:hAnsi="Book Antiqua" w:cs="Book Antiqua" w:hint="eastAsia"/>
          <w:color w:val="000000"/>
          <w:lang w:eastAsia="zh-CN"/>
        </w:rPr>
        <w:t xml:space="preserve">be </w:t>
      </w:r>
      <w:r>
        <w:rPr>
          <w:rFonts w:ascii="Book Antiqua" w:eastAsia="Book Antiqua" w:hAnsi="Book Antiqua" w:cs="Book Antiqua"/>
          <w:color w:val="000000"/>
        </w:rPr>
        <w:t xml:space="preserve">present in children, and that it is related to the presence of overweight/obesity. Therefore, early screening is important in these types of patients who also present with a phenotype of </w:t>
      </w:r>
      <w:r>
        <w:rPr>
          <w:rFonts w:ascii="Book Antiqua" w:eastAsia="宋体" w:hAnsi="Book Antiqua" w:cs="Book Antiqua" w:hint="eastAsia"/>
          <w:color w:val="000000"/>
          <w:lang w:eastAsia="zh-CN"/>
        </w:rPr>
        <w:t>IR</w:t>
      </w:r>
      <w:r>
        <w:rPr>
          <w:rFonts w:ascii="Book Antiqua" w:eastAsia="Book Antiqua" w:hAnsi="Book Antiqua" w:cs="Book Antiqua"/>
          <w:color w:val="000000"/>
        </w:rPr>
        <w:t>, low birth weight, and a family history of diabetes.</w:t>
      </w:r>
    </w:p>
    <w:p w14:paraId="6B9E0F60" w14:textId="77777777" w:rsidR="00743A00"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way in which T2DM first appears is variable; however, in 2013 more than 40% of cases presented with diabetic ketoacidosis, which was higher than the 22%-30% reported by Copeland and </w:t>
      </w:r>
      <w:proofErr w:type="gramStart"/>
      <w:r>
        <w:rPr>
          <w:rFonts w:ascii="Book Antiqua" w:eastAsia="Book Antiqua" w:hAnsi="Book Antiqua" w:cs="Book Antiqua"/>
          <w:color w:val="000000"/>
        </w:rPr>
        <w:t>Dabela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16,17]</w:t>
      </w:r>
      <w:r>
        <w:rPr>
          <w:rFonts w:ascii="Book Antiqua" w:eastAsia="Book Antiqua" w:hAnsi="Book Antiqua" w:cs="Book Antiqua"/>
          <w:color w:val="000000"/>
        </w:rPr>
        <w:t xml:space="preserve">. In the present study, in first- and second-degree relatives the history of diabetes was reported in 75.9%, and obesity in 80.7%, which was higher than that reported by other studies where only 40% of family members were affected. The antecedent of gestational diabetes was higher in the 2013 group, and this </w:t>
      </w:r>
      <w:r>
        <w:rPr>
          <w:rFonts w:ascii="Book Antiqua" w:eastAsia="宋体" w:hAnsi="Book Antiqua" w:cs="Book Antiqua" w:hint="eastAsia"/>
          <w:color w:val="000000"/>
          <w:lang w:eastAsia="zh-CN"/>
        </w:rPr>
        <w:lastRenderedPageBreak/>
        <w:t>decreased</w:t>
      </w:r>
      <w:r>
        <w:rPr>
          <w:rFonts w:ascii="Book Antiqua" w:eastAsia="Book Antiqua" w:hAnsi="Book Antiqua" w:cs="Book Antiqua"/>
          <w:color w:val="000000"/>
        </w:rPr>
        <w:t xml:space="preserve"> to half in the 2018 group, which likely</w:t>
      </w:r>
      <w:r>
        <w:rPr>
          <w:rFonts w:ascii="Book Antiqua" w:eastAsia="宋体" w:hAnsi="Book Antiqua" w:cs="Book Antiqua" w:hint="eastAsia"/>
          <w:color w:val="000000"/>
          <w:lang w:eastAsia="zh-CN"/>
        </w:rPr>
        <w:t xml:space="preserve"> suggests</w:t>
      </w:r>
      <w:r>
        <w:rPr>
          <w:rFonts w:ascii="Book Antiqua" w:eastAsia="Book Antiqua" w:hAnsi="Book Antiqua" w:cs="Book Antiqua"/>
          <w:color w:val="000000"/>
        </w:rPr>
        <w:t xml:space="preserve"> better prenatal programs. Therefore, genetic, perinatal, environmental, dietary, and psychosocial factors play a role in the etiology of T2</w:t>
      </w:r>
      <w:proofErr w:type="gramStart"/>
      <w:r>
        <w:rPr>
          <w:rFonts w:ascii="Book Antiqua" w:eastAsia="Book Antiqua" w:hAnsi="Book Antiqua" w:cs="Book Antiqua"/>
          <w:color w:val="000000"/>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17,18]</w:t>
      </w:r>
      <w:r>
        <w:rPr>
          <w:rFonts w:ascii="Book Antiqua" w:eastAsia="Book Antiqua" w:hAnsi="Book Antiqua" w:cs="Book Antiqua"/>
          <w:color w:val="000000"/>
        </w:rPr>
        <w:t>.</w:t>
      </w:r>
    </w:p>
    <w:p w14:paraId="29C0B988" w14:textId="77777777" w:rsidR="00743A00"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the analysis of the results, there is a demonstrated relationship between SES and an increase in the prevalence of T2DM, </w:t>
      </w:r>
      <w:r>
        <w:rPr>
          <w:rFonts w:ascii="Book Antiqua" w:eastAsia="宋体" w:hAnsi="Book Antiqua" w:cs="Book Antiqua" w:hint="eastAsia"/>
          <w:color w:val="000000"/>
          <w:lang w:eastAsia="zh-CN"/>
        </w:rPr>
        <w:t>with</w:t>
      </w:r>
      <w:r>
        <w:rPr>
          <w:rFonts w:ascii="Book Antiqua" w:eastAsia="Book Antiqua" w:hAnsi="Book Antiqua" w:cs="Book Antiqua"/>
          <w:color w:val="000000"/>
        </w:rPr>
        <w:t xml:space="preserve"> a significant increase in this disease</w:t>
      </w:r>
      <w:r>
        <w:rPr>
          <w:rFonts w:ascii="Book Antiqua" w:eastAsia="宋体" w:hAnsi="Book Antiqua" w:cs="Book Antiqua" w:hint="eastAsia"/>
          <w:color w:val="000000"/>
          <w:lang w:eastAsia="zh-CN"/>
        </w:rPr>
        <w:t xml:space="preserve"> observed</w:t>
      </w:r>
      <w:r>
        <w:rPr>
          <w:rFonts w:ascii="Book Antiqua" w:eastAsia="Book Antiqua" w:hAnsi="Book Antiqua" w:cs="Book Antiqua"/>
          <w:color w:val="000000"/>
        </w:rPr>
        <w:t xml:space="preserve"> in patients belonging to the lower and upper-lower classes</w:t>
      </w:r>
      <w:r>
        <w:rPr>
          <w:rFonts w:ascii="Book Antiqua" w:eastAsia="宋体" w:hAnsi="Book Antiqua" w:cs="Book Antiqua" w:hint="eastAsia"/>
          <w:color w:val="000000"/>
          <w:lang w:eastAsia="zh-CN"/>
        </w:rPr>
        <w:t>. This is consistent with</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the finding</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of</w:t>
      </w:r>
      <w:r>
        <w:rPr>
          <w:rFonts w:ascii="Book Antiqua" w:eastAsia="Book Antiqua" w:hAnsi="Book Antiqua" w:cs="Book Antiqua"/>
          <w:color w:val="000000"/>
        </w:rPr>
        <w:t xml:space="preserve"> Agardh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宋体" w:hAnsi="Book Antiqua" w:cs="Book Antiqua" w:hint="eastAsia"/>
          <w:i/>
          <w:iCs/>
          <w:color w:val="000000"/>
          <w:lang w:eastAsia="zh-CN"/>
        </w:rPr>
        <w:t xml:space="preserve"> </w:t>
      </w:r>
      <w:r>
        <w:rPr>
          <w:rFonts w:ascii="Book Antiqua" w:eastAsia="宋体" w:hAnsi="Book Antiqua" w:cs="Book Antiqua"/>
          <w:color w:val="000000"/>
          <w:lang w:eastAsia="zh-CN"/>
        </w:rPr>
        <w:t>that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there was</w:t>
      </w:r>
      <w:r>
        <w:rPr>
          <w:rFonts w:ascii="Book Antiqua" w:eastAsia="Book Antiqua" w:hAnsi="Book Antiqua" w:cs="Book Antiqua"/>
          <w:color w:val="000000"/>
        </w:rPr>
        <w:t xml:space="preserve"> an increase in the incidence of the disease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individuals with a low and medium-low SES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relative risk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1.41, 95%</w:t>
      </w:r>
      <w:r>
        <w:rPr>
          <w:rFonts w:ascii="Book Antiqua" w:eastAsia="宋体" w:hAnsi="Book Antiqua" w:cs="Book Antiqua" w:hint="eastAsia"/>
          <w:color w:val="000000"/>
          <w:lang w:eastAsia="zh-CN"/>
        </w:rPr>
        <w:t>confidence interval:</w:t>
      </w:r>
      <w:r>
        <w:rPr>
          <w:rFonts w:ascii="Book Antiqua" w:eastAsia="Book Antiqua" w:hAnsi="Book Antiqua" w:cs="Book Antiqua"/>
          <w:color w:val="000000"/>
        </w:rPr>
        <w:t xml:space="preserve"> 1.28-1.51). Type 2 diabetes is a disease that is directly influenced by social and economic conditions that include risk behaviors, type of diet, physical activity, smoking, alcoholism, and high levels of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There are several studies where the disease is concentrated in areas of greater poverty and in people with a low level of income as well as a low level of education. This association may be due to health care, disease prevention, health promotion measures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willingness to seek treatment, lack of access to health services, and unhealthy lifestyles that these people have, leading to a greater concentration of T2DM in marginalized groups that experience socio-economic and educational deprivation that leads to higher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w:t>
      </w:r>
    </w:p>
    <w:p w14:paraId="619A605C" w14:textId="77777777" w:rsidR="00743A00" w:rsidRDefault="00743A00">
      <w:pPr>
        <w:spacing w:line="360" w:lineRule="auto"/>
        <w:jc w:val="both"/>
        <w:rPr>
          <w:rFonts w:ascii="Book Antiqua" w:eastAsia="Book Antiqua" w:hAnsi="Book Antiqua" w:cs="Book Antiqua"/>
          <w:b/>
          <w:bCs/>
          <w:color w:val="000000"/>
        </w:rPr>
      </w:pPr>
    </w:p>
    <w:p w14:paraId="7A6F8DF9" w14:textId="77777777" w:rsidR="00743A00" w:rsidRDefault="00000000">
      <w:pPr>
        <w:spacing w:line="360" w:lineRule="auto"/>
        <w:jc w:val="both"/>
        <w:rPr>
          <w:rFonts w:ascii="Book Antiqua" w:hAnsi="Book Antiqua"/>
          <w:u w:val="single"/>
        </w:rPr>
      </w:pPr>
      <w:r>
        <w:rPr>
          <w:rFonts w:ascii="Book Antiqua" w:eastAsia="Book Antiqua" w:hAnsi="Book Antiqua" w:cs="Book Antiqua"/>
          <w:b/>
          <w:bCs/>
          <w:color w:val="000000"/>
          <w:u w:val="single"/>
        </w:rPr>
        <w:t>LIMITATIONS AND STRENGTHS</w:t>
      </w:r>
    </w:p>
    <w:p w14:paraId="24A68085" w14:textId="77777777" w:rsidR="00743A00" w:rsidRDefault="00000000">
      <w:pPr>
        <w:spacing w:line="360" w:lineRule="auto"/>
        <w:jc w:val="both"/>
        <w:rPr>
          <w:rFonts w:ascii="Book Antiqua" w:hAnsi="Book Antiqua"/>
        </w:rPr>
      </w:pPr>
      <w:r>
        <w:rPr>
          <w:rFonts w:ascii="Book Antiqua" w:eastAsia="Book Antiqua" w:hAnsi="Book Antiqua" w:cs="Book Antiqua"/>
          <w:color w:val="000000"/>
        </w:rPr>
        <w:t xml:space="preserve">One of the main limitations of the study is its design, which, due to its cross-sectional nature, can imply association but not causation. As such, the study design does not allow for a specific explanation as to how some variables may affect the prevalence of diabetes in the pediatric population. Also, the determination of pancreatic antibodies could not be performed in all patients, which could be a parameter to try to exclude patients with type 1 diabetes; although it is worth mentioning that a percentage between 20%-30% of patients with T2DM have positive pancreatic </w:t>
      </w:r>
      <w:proofErr w:type="gramStart"/>
      <w:r>
        <w:rPr>
          <w:rFonts w:ascii="Book Antiqua" w:eastAsia="Book Antiqua" w:hAnsi="Book Antiqua" w:cs="Book Antiqua"/>
          <w:color w:val="000000"/>
        </w:rPr>
        <w:t>antibodies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23,24]</w:t>
      </w:r>
      <w:r>
        <w:rPr>
          <w:rFonts w:ascii="Book Antiqua" w:eastAsia="Book Antiqua" w:hAnsi="Book Antiqua" w:cs="Book Antiqua"/>
          <w:color w:val="000000"/>
        </w:rPr>
        <w:t xml:space="preserve">. The size of the sample is another limitation, since it is unicentric and may not fully reflect the reality that is experienced in Mexico as a whole. Nevertheless, since the institution is a national </w:t>
      </w:r>
      <w:r>
        <w:rPr>
          <w:rFonts w:ascii="Book Antiqua" w:eastAsia="Book Antiqua" w:hAnsi="Book Antiqua" w:cs="Book Antiqua"/>
          <w:color w:val="000000"/>
        </w:rPr>
        <w:lastRenderedPageBreak/>
        <w:t>reference center for tertiary level health care, a significant number of patients with this pathology could be obtained compared to other medical centers.</w:t>
      </w:r>
    </w:p>
    <w:p w14:paraId="229D39EC" w14:textId="77777777" w:rsidR="00743A00" w:rsidRDefault="00743A00">
      <w:pPr>
        <w:spacing w:line="360" w:lineRule="auto"/>
        <w:jc w:val="both"/>
        <w:rPr>
          <w:rFonts w:ascii="Book Antiqua" w:hAnsi="Book Antiqua"/>
        </w:rPr>
      </w:pPr>
    </w:p>
    <w:p w14:paraId="04C3D0C7" w14:textId="77777777" w:rsidR="00743A00"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72D250D" w14:textId="77777777" w:rsidR="00743A00" w:rsidRDefault="00000000">
      <w:pPr>
        <w:spacing w:line="360" w:lineRule="auto"/>
        <w:jc w:val="both"/>
        <w:rPr>
          <w:rFonts w:ascii="Book Antiqua" w:hAnsi="Book Antiqua"/>
        </w:rPr>
      </w:pPr>
      <w:r>
        <w:rPr>
          <w:rFonts w:ascii="Book Antiqua" w:eastAsia="宋体" w:hAnsi="Book Antiqua" w:cs="Book Antiqua" w:hint="eastAsia"/>
          <w:color w:val="000000"/>
          <w:lang w:eastAsia="zh-CN"/>
        </w:rPr>
        <w:t>T2DM</w:t>
      </w:r>
      <w:r>
        <w:rPr>
          <w:rFonts w:ascii="Book Antiqua" w:eastAsia="Book Antiqua" w:hAnsi="Book Antiqua" w:cs="Book Antiqua"/>
          <w:color w:val="000000"/>
        </w:rPr>
        <w:t xml:space="preserve"> continues to be a public health problem in Mexico and the world, and its prevalence has augmented alarmingly in recent years. At the “</w:t>
      </w:r>
      <w:r>
        <w:rPr>
          <w:rFonts w:ascii="Book Antiqua" w:eastAsia="Book Antiqua" w:hAnsi="Book Antiqua" w:cs="Book Antiqua"/>
          <w:i/>
          <w:iCs/>
          <w:color w:val="000000"/>
        </w:rPr>
        <w:t>Hospital Infantil de México Federico Gómez”</w:t>
      </w:r>
      <w:r>
        <w:rPr>
          <w:rFonts w:ascii="Book Antiqua" w:eastAsia="Book Antiqua" w:hAnsi="Book Antiqua" w:cs="Book Antiqua"/>
          <w:color w:val="000000"/>
        </w:rPr>
        <w:t xml:space="preserve"> Children’s Hospital, the rates of T2DM increased significantly from 2013 to 2018, having an early onset in children and adolescents, as well as a more aggressive phenotype;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other words, patients tended to be more obese and have more lipid alterations, which can lead to worse metabolic control, greater chronic complications, and significantly higher risk of death due to cardiovascular causes or ischemic events. Therefore, T2DM in the pediatric population </w:t>
      </w:r>
      <w:proofErr w:type="gramStart"/>
      <w:r>
        <w:rPr>
          <w:rFonts w:ascii="Book Antiqua" w:eastAsia="Book Antiqua" w:hAnsi="Book Antiqua" w:cs="Book Antiqua"/>
          <w:color w:val="000000"/>
        </w:rPr>
        <w:t>definitely presents</w:t>
      </w:r>
      <w:proofErr w:type="gramEnd"/>
      <w:r>
        <w:rPr>
          <w:rFonts w:ascii="Book Antiqua" w:eastAsia="Book Antiqua" w:hAnsi="Book Antiqua" w:cs="Book Antiqua"/>
          <w:color w:val="000000"/>
        </w:rPr>
        <w:t xml:space="preserve"> with a more aggressive phenotype and worse prognosis over the long term. Hence, the results of the present study demonstrate the need for vigilance regarding the trend of T2DM, and the need to strengthen programs of healthy nutrition and physical activity along with early detection in confronting risk factors like obesity, IR, and metabolic syndrome, with the </w:t>
      </w:r>
      <w:proofErr w:type="gramStart"/>
      <w:r>
        <w:rPr>
          <w:rFonts w:ascii="Book Antiqua" w:eastAsia="Book Antiqua" w:hAnsi="Book Antiqua" w:cs="Book Antiqua"/>
          <w:color w:val="000000"/>
        </w:rPr>
        <w:t>ultimate aim</w:t>
      </w:r>
      <w:proofErr w:type="gramEnd"/>
      <w:r>
        <w:rPr>
          <w:rFonts w:ascii="Book Antiqua" w:eastAsia="Book Antiqua" w:hAnsi="Book Antiqua" w:cs="Book Antiqua"/>
          <w:color w:val="000000"/>
        </w:rPr>
        <w:t xml:space="preserve"> of preventing T2DM.</w:t>
      </w:r>
    </w:p>
    <w:p w14:paraId="49F35DDB" w14:textId="77777777" w:rsidR="00743A00" w:rsidRDefault="00743A00">
      <w:pPr>
        <w:spacing w:line="360" w:lineRule="auto"/>
        <w:jc w:val="both"/>
        <w:rPr>
          <w:rFonts w:ascii="Book Antiqua" w:hAnsi="Book Antiqua"/>
        </w:rPr>
      </w:pPr>
    </w:p>
    <w:p w14:paraId="1864773F" w14:textId="77777777" w:rsidR="00743A00"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613F79CF" w14:textId="77777777" w:rsidR="00743A00"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5B30F6CE" w14:textId="77777777" w:rsidR="00743A00" w:rsidRDefault="00000000">
      <w:pPr>
        <w:spacing w:line="360" w:lineRule="auto"/>
        <w:jc w:val="both"/>
        <w:rPr>
          <w:rFonts w:ascii="Book Antiqua" w:hAnsi="Book Antiqua"/>
        </w:rPr>
      </w:pPr>
      <w:r>
        <w:rPr>
          <w:rFonts w:ascii="Book Antiqua" w:eastAsia="Book Antiqua" w:hAnsi="Book Antiqua" w:cs="Book Antiqua"/>
          <w:color w:val="000000"/>
        </w:rPr>
        <w:t>This study is part of a line of research at the Federico Gómez Children's Hospital of Mexico on the behavior of type 2 diabetes in the child population.</w:t>
      </w:r>
    </w:p>
    <w:p w14:paraId="0079194D" w14:textId="77777777" w:rsidR="00743A00" w:rsidRDefault="00743A00">
      <w:pPr>
        <w:spacing w:line="360" w:lineRule="auto"/>
        <w:jc w:val="both"/>
        <w:rPr>
          <w:rFonts w:ascii="Book Antiqua" w:hAnsi="Book Antiqua"/>
        </w:rPr>
      </w:pPr>
    </w:p>
    <w:p w14:paraId="40CC57FE" w14:textId="77777777" w:rsidR="00743A00"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7A588DE1" w14:textId="77777777" w:rsidR="00743A00" w:rsidRDefault="00000000">
      <w:pPr>
        <w:spacing w:line="360" w:lineRule="auto"/>
        <w:jc w:val="both"/>
        <w:rPr>
          <w:rFonts w:ascii="Book Antiqua" w:hAnsi="Book Antiqua"/>
        </w:rPr>
      </w:pPr>
      <w:r>
        <w:rPr>
          <w:rFonts w:ascii="Book Antiqua" w:eastAsia="Book Antiqua" w:hAnsi="Book Antiqua" w:cs="Book Antiqua"/>
          <w:color w:val="000000"/>
        </w:rPr>
        <w:t>Because Mexico is a country with a high prevalence of diabetes and obesity, which unfortunately extends to the pediatric population</w:t>
      </w:r>
      <w:r>
        <w:rPr>
          <w:rFonts w:ascii="Book Antiqua" w:eastAsia="宋体" w:hAnsi="Book Antiqua" w:cs="Book Antiqua" w:hint="eastAsia"/>
          <w:color w:val="000000"/>
          <w:lang w:eastAsia="zh-CN"/>
        </w:rPr>
        <w:t>, k</w:t>
      </w:r>
      <w:r>
        <w:rPr>
          <w:rFonts w:ascii="Book Antiqua" w:eastAsia="Book Antiqua" w:hAnsi="Book Antiqua" w:cs="Book Antiqua"/>
          <w:color w:val="000000"/>
        </w:rPr>
        <w:t>nowing the behavior of this disease in this specific age group will allow determining actions in clinical practice as well as in health policies.</w:t>
      </w:r>
    </w:p>
    <w:p w14:paraId="3247D78B" w14:textId="77777777" w:rsidR="00743A00" w:rsidRDefault="00743A00">
      <w:pPr>
        <w:spacing w:line="360" w:lineRule="auto"/>
        <w:jc w:val="both"/>
        <w:rPr>
          <w:rFonts w:ascii="Book Antiqua" w:hAnsi="Book Antiqua"/>
        </w:rPr>
      </w:pPr>
    </w:p>
    <w:p w14:paraId="0924AB11" w14:textId="77777777" w:rsidR="00743A00" w:rsidRDefault="00000000">
      <w:pPr>
        <w:spacing w:line="360" w:lineRule="auto"/>
        <w:jc w:val="both"/>
        <w:rPr>
          <w:rFonts w:ascii="Book Antiqua" w:hAnsi="Book Antiqua"/>
        </w:rPr>
      </w:pPr>
      <w:r>
        <w:rPr>
          <w:rFonts w:ascii="Book Antiqua" w:eastAsia="Book Antiqua" w:hAnsi="Book Antiqua" w:cs="Book Antiqua"/>
          <w:b/>
          <w:i/>
          <w:color w:val="000000"/>
        </w:rPr>
        <w:lastRenderedPageBreak/>
        <w:t>Research objectives</w:t>
      </w:r>
    </w:p>
    <w:p w14:paraId="5EC36E29" w14:textId="77777777" w:rsidR="00743A00" w:rsidRDefault="00000000">
      <w:pPr>
        <w:spacing w:line="360" w:lineRule="auto"/>
        <w:jc w:val="both"/>
        <w:rPr>
          <w:rFonts w:ascii="Book Antiqua" w:hAnsi="Book Antiqua"/>
        </w:rPr>
      </w:pPr>
      <w:r>
        <w:rPr>
          <w:rFonts w:ascii="Book Antiqua" w:eastAsia="Book Antiqua" w:hAnsi="Book Antiqua" w:cs="Book Antiqua"/>
          <w:color w:val="000000"/>
        </w:rPr>
        <w:t>To show the prevalence of type 2 diabetes in children and adolescents in two different time periods, as well as its clinical and biochemical characteri</w:t>
      </w:r>
      <w:r>
        <w:rPr>
          <w:rFonts w:ascii="Book Antiqua" w:eastAsia="宋体" w:hAnsi="Book Antiqua" w:cs="Book Antiqua" w:hint="eastAsia"/>
          <w:color w:val="000000"/>
          <w:lang w:eastAsia="zh-CN"/>
        </w:rPr>
        <w:t>stics</w:t>
      </w:r>
      <w:r>
        <w:rPr>
          <w:rFonts w:ascii="Book Antiqua" w:eastAsia="Book Antiqua" w:hAnsi="Book Antiqua" w:cs="Book Antiqua"/>
          <w:color w:val="000000"/>
        </w:rPr>
        <w:t>.</w:t>
      </w:r>
    </w:p>
    <w:p w14:paraId="0A660393" w14:textId="77777777" w:rsidR="00743A00" w:rsidRDefault="00743A00">
      <w:pPr>
        <w:spacing w:line="360" w:lineRule="auto"/>
        <w:jc w:val="both"/>
        <w:rPr>
          <w:rFonts w:ascii="Book Antiqua" w:hAnsi="Book Antiqua"/>
        </w:rPr>
      </w:pPr>
    </w:p>
    <w:p w14:paraId="06A3C85E" w14:textId="77777777" w:rsidR="00743A00"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544A66D5" w14:textId="77777777" w:rsidR="00743A00" w:rsidRDefault="00000000">
      <w:pPr>
        <w:spacing w:line="360" w:lineRule="auto"/>
        <w:jc w:val="both"/>
        <w:rPr>
          <w:rFonts w:ascii="Book Antiqua" w:hAnsi="Book Antiqua"/>
        </w:rPr>
      </w:pPr>
      <w:r>
        <w:rPr>
          <w:rFonts w:ascii="Book Antiqua" w:eastAsia="宋体" w:hAnsi="Book Antiqua" w:cs="Book Antiqua" w:hint="eastAsia"/>
          <w:color w:val="000000"/>
          <w:lang w:eastAsia="zh-CN"/>
        </w:rPr>
        <w:t>This is a</w:t>
      </w:r>
      <w:r>
        <w:rPr>
          <w:rFonts w:ascii="Book Antiqua" w:eastAsia="Book Antiqua" w:hAnsi="Book Antiqua" w:cs="Book Antiqua"/>
          <w:color w:val="000000"/>
        </w:rPr>
        <w:t xml:space="preserve"> cross-sectional study of children and adolescents from the Diabetes Clinic at the Children’s Hospital, </w:t>
      </w:r>
      <w:r>
        <w:rPr>
          <w:rFonts w:ascii="Book Antiqua" w:eastAsia="Book Antiqua" w:hAnsi="Book Antiqua" w:cs="Book Antiqua"/>
          <w:i/>
          <w:iCs/>
          <w:color w:val="000000"/>
        </w:rPr>
        <w:t>Hospital Infantil de México Federico Gómez,</w:t>
      </w:r>
      <w:r>
        <w:rPr>
          <w:rFonts w:ascii="Book Antiqua" w:eastAsia="Book Antiqua" w:hAnsi="Book Antiqua" w:cs="Book Antiqua"/>
          <w:color w:val="000000"/>
        </w:rPr>
        <w:t xml:space="preserve"> that compare</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 two periods in the time.</w:t>
      </w:r>
    </w:p>
    <w:p w14:paraId="4557EB6B" w14:textId="77777777" w:rsidR="00743A00" w:rsidRDefault="00743A00">
      <w:pPr>
        <w:spacing w:line="360" w:lineRule="auto"/>
        <w:jc w:val="both"/>
        <w:rPr>
          <w:rFonts w:ascii="Book Antiqua" w:hAnsi="Book Antiqua"/>
        </w:rPr>
      </w:pPr>
    </w:p>
    <w:p w14:paraId="58EF533E" w14:textId="77777777" w:rsidR="00743A00"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70595686" w14:textId="77777777" w:rsidR="00743A00" w:rsidRDefault="00000000">
      <w:pPr>
        <w:spacing w:line="360" w:lineRule="auto"/>
        <w:jc w:val="both"/>
        <w:rPr>
          <w:rFonts w:ascii="Book Antiqua" w:hAnsi="Book Antiqua"/>
        </w:rPr>
      </w:pPr>
      <w:r>
        <w:rPr>
          <w:rFonts w:ascii="Book Antiqua" w:eastAsia="Book Antiqua" w:hAnsi="Book Antiqua" w:cs="Book Antiqua"/>
          <w:color w:val="000000"/>
        </w:rPr>
        <w:t xml:space="preserve">An increase in the prevalence </w:t>
      </w:r>
      <w:r>
        <w:rPr>
          <w:rFonts w:ascii="Book Antiqua" w:eastAsia="宋体" w:hAnsi="Book Antiqua" w:cs="Book Antiqua" w:hint="eastAsia"/>
          <w:color w:val="000000"/>
          <w:lang w:eastAsia="zh-CN"/>
        </w:rPr>
        <w:t>was</w:t>
      </w:r>
      <w:r>
        <w:rPr>
          <w:rFonts w:ascii="Book Antiqua" w:eastAsia="Book Antiqua" w:hAnsi="Book Antiqua" w:cs="Book Antiqua"/>
          <w:color w:val="000000"/>
        </w:rPr>
        <w:t xml:space="preserve"> observed, as well as a much more aggressive phenotype, which could lead to chronic complications in a shorter period.</w:t>
      </w:r>
    </w:p>
    <w:p w14:paraId="2E594D30" w14:textId="77777777" w:rsidR="00743A00" w:rsidRDefault="00743A00">
      <w:pPr>
        <w:spacing w:line="360" w:lineRule="auto"/>
        <w:jc w:val="both"/>
        <w:rPr>
          <w:rFonts w:ascii="Book Antiqua" w:hAnsi="Book Antiqua"/>
        </w:rPr>
      </w:pPr>
    </w:p>
    <w:p w14:paraId="32F303AE" w14:textId="77777777" w:rsidR="00743A00"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2FE0EA80" w14:textId="77777777" w:rsidR="00743A00" w:rsidRDefault="00000000">
      <w:pPr>
        <w:spacing w:line="360" w:lineRule="auto"/>
        <w:jc w:val="both"/>
        <w:rPr>
          <w:rFonts w:ascii="Book Antiqua" w:hAnsi="Book Antiqua"/>
        </w:rPr>
      </w:pPr>
      <w:r>
        <w:rPr>
          <w:rFonts w:ascii="Book Antiqua" w:eastAsia="Book Antiqua" w:hAnsi="Book Antiqua" w:cs="Book Antiqua"/>
          <w:color w:val="000000"/>
        </w:rPr>
        <w:t>The rates of type 2 diabetes mellitus (T2DM) increased significantly from 2013 to 2018, having an early onset in children and adolescents, as well as a more aggressive phenotype;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 other words, patients tended to be more obese and have more lipid alterations, which can lead to worse metabolic control, greater chronic complications, and significantly higher risk of death due to cardiovascular causes or ischemic events. Therefore, T2DM in the pediatric population </w:t>
      </w:r>
      <w:proofErr w:type="gramStart"/>
      <w:r>
        <w:rPr>
          <w:rFonts w:ascii="Book Antiqua" w:eastAsia="Book Antiqua" w:hAnsi="Book Antiqua" w:cs="Book Antiqua"/>
          <w:color w:val="000000"/>
        </w:rPr>
        <w:t>definitely presents</w:t>
      </w:r>
      <w:proofErr w:type="gramEnd"/>
      <w:r>
        <w:rPr>
          <w:rFonts w:ascii="Book Antiqua" w:eastAsia="Book Antiqua" w:hAnsi="Book Antiqua" w:cs="Book Antiqua"/>
          <w:color w:val="000000"/>
        </w:rPr>
        <w:t xml:space="preserve"> with a more aggressive phenotype and worse prognosis over the long term. </w:t>
      </w:r>
    </w:p>
    <w:p w14:paraId="6291047E" w14:textId="77777777" w:rsidR="00743A00" w:rsidRDefault="00743A00">
      <w:pPr>
        <w:spacing w:line="360" w:lineRule="auto"/>
        <w:jc w:val="both"/>
        <w:rPr>
          <w:rFonts w:ascii="Book Antiqua" w:hAnsi="Book Antiqua"/>
        </w:rPr>
      </w:pPr>
    </w:p>
    <w:p w14:paraId="7066475D" w14:textId="77777777" w:rsidR="00743A00"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1ECCA2B7" w14:textId="77777777" w:rsidR="00743A00" w:rsidRDefault="00000000">
      <w:pPr>
        <w:spacing w:line="360" w:lineRule="auto"/>
        <w:jc w:val="both"/>
        <w:rPr>
          <w:rFonts w:ascii="Book Antiqua" w:hAnsi="Book Antiqua"/>
        </w:rPr>
      </w:pPr>
      <w:r>
        <w:rPr>
          <w:rFonts w:ascii="Book Antiqua" w:eastAsia="宋体" w:hAnsi="Book Antiqua" w:cs="Book Antiqua" w:hint="eastAsia"/>
          <w:color w:val="000000"/>
          <w:lang w:eastAsia="zh-CN"/>
        </w:rPr>
        <w:t>We will c</w:t>
      </w:r>
      <w:r>
        <w:rPr>
          <w:rFonts w:ascii="Book Antiqua" w:eastAsia="Book Antiqua" w:hAnsi="Book Antiqua" w:cs="Book Antiqua"/>
          <w:color w:val="000000"/>
        </w:rPr>
        <w:t>ontinue with the follow-up of these patients to determine the behavior of the disease and have communication with the first and second level care centers to refer the patients in a timely manner.</w:t>
      </w:r>
    </w:p>
    <w:p w14:paraId="2B8AF78F" w14:textId="77777777" w:rsidR="00743A00" w:rsidRDefault="00743A00">
      <w:pPr>
        <w:spacing w:line="360" w:lineRule="auto"/>
        <w:jc w:val="both"/>
        <w:rPr>
          <w:rFonts w:ascii="Book Antiqua" w:hAnsi="Book Antiqua"/>
        </w:rPr>
      </w:pPr>
    </w:p>
    <w:p w14:paraId="0D4801D1" w14:textId="77777777" w:rsidR="00743A00" w:rsidRDefault="00000000">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1E7A72BD" w14:textId="77777777" w:rsidR="00743A00" w:rsidRDefault="00000000">
      <w:pPr>
        <w:spacing w:line="360" w:lineRule="auto"/>
        <w:jc w:val="both"/>
        <w:rPr>
          <w:rFonts w:ascii="Book Antiqua" w:hAnsi="Book Antiqua"/>
        </w:rPr>
      </w:pPr>
      <w:r>
        <w:rPr>
          <w:rFonts w:ascii="Book Antiqua" w:eastAsia="Book Antiqua" w:hAnsi="Book Antiqua" w:cs="Book Antiqua"/>
          <w:color w:val="000000"/>
        </w:rPr>
        <w:lastRenderedPageBreak/>
        <w:t>Thanks to the Hospital Infantil de México Federico Gómez and La Salle University for carrying out this study.</w:t>
      </w:r>
    </w:p>
    <w:p w14:paraId="5A907EE5" w14:textId="77777777" w:rsidR="00743A00" w:rsidRDefault="00743A00">
      <w:pPr>
        <w:spacing w:line="360" w:lineRule="auto"/>
        <w:jc w:val="both"/>
        <w:rPr>
          <w:rFonts w:ascii="Book Antiqua" w:hAnsi="Book Antiqua"/>
        </w:rPr>
      </w:pPr>
    </w:p>
    <w:p w14:paraId="746106E8" w14:textId="77777777" w:rsidR="00743A00"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4952EBD1" w14:textId="77777777" w:rsidR="00743A00" w:rsidRPr="0040201F" w:rsidRDefault="00000000">
      <w:pPr>
        <w:spacing w:line="360" w:lineRule="auto"/>
        <w:jc w:val="both"/>
        <w:rPr>
          <w:rFonts w:ascii="Book Antiqua" w:hAnsi="Book Antiqua"/>
        </w:rPr>
      </w:pPr>
      <w:r w:rsidRPr="0040201F">
        <w:rPr>
          <w:rFonts w:ascii="Book Antiqua" w:hAnsi="Book Antiqua"/>
        </w:rPr>
        <w:t xml:space="preserve">1 </w:t>
      </w:r>
      <w:r w:rsidRPr="0040201F">
        <w:rPr>
          <w:rFonts w:ascii="Book Antiqua" w:hAnsi="Book Antiqua"/>
          <w:b/>
          <w:bCs/>
        </w:rPr>
        <w:t>American Diabetes Association</w:t>
      </w:r>
      <w:r w:rsidRPr="0040201F">
        <w:rPr>
          <w:rFonts w:ascii="Book Antiqua" w:hAnsi="Book Antiqua"/>
        </w:rPr>
        <w:t xml:space="preserve">. 2. Classification and Diagnosis of Diabetes: Standards of Medical Care in Diabetes-2019. </w:t>
      </w:r>
      <w:r w:rsidRPr="0040201F">
        <w:rPr>
          <w:rFonts w:ascii="Book Antiqua" w:hAnsi="Book Antiqua"/>
          <w:i/>
          <w:iCs/>
        </w:rPr>
        <w:t>Diabetes Care</w:t>
      </w:r>
      <w:r w:rsidRPr="0040201F">
        <w:rPr>
          <w:rFonts w:ascii="Book Antiqua" w:hAnsi="Book Antiqua"/>
        </w:rPr>
        <w:t xml:space="preserve"> 2019; </w:t>
      </w:r>
      <w:r w:rsidRPr="0040201F">
        <w:rPr>
          <w:rFonts w:ascii="Book Antiqua" w:hAnsi="Book Antiqua"/>
          <w:b/>
          <w:bCs/>
        </w:rPr>
        <w:t>42</w:t>
      </w:r>
      <w:r w:rsidRPr="0040201F">
        <w:rPr>
          <w:rFonts w:ascii="Book Antiqua" w:hAnsi="Book Antiqua"/>
        </w:rPr>
        <w:t>: S13-S28 [PMID: 30559228 DOI: 10.2337/dc19-S002]</w:t>
      </w:r>
    </w:p>
    <w:p w14:paraId="0D2D7C62" w14:textId="77777777" w:rsidR="00743A00" w:rsidRPr="0040201F" w:rsidRDefault="00000000">
      <w:pPr>
        <w:spacing w:line="360" w:lineRule="auto"/>
        <w:jc w:val="both"/>
        <w:rPr>
          <w:rFonts w:ascii="Book Antiqua" w:hAnsi="Book Antiqua"/>
        </w:rPr>
      </w:pPr>
      <w:r w:rsidRPr="0040201F">
        <w:rPr>
          <w:rFonts w:ascii="Book Antiqua" w:hAnsi="Book Antiqua"/>
        </w:rPr>
        <w:t xml:space="preserve">2 </w:t>
      </w:r>
      <w:r w:rsidRPr="0040201F">
        <w:rPr>
          <w:rFonts w:ascii="Book Antiqua" w:hAnsi="Book Antiqua"/>
          <w:b/>
          <w:bCs/>
        </w:rPr>
        <w:t>Mayer-Davis EJ</w:t>
      </w:r>
      <w:r w:rsidRPr="0040201F">
        <w:rPr>
          <w:rFonts w:ascii="Book Antiqua" w:hAnsi="Book Antiqua"/>
        </w:rPr>
        <w:t xml:space="preserve">, Kahkoska AR, Jefferies C, Dabelea D, Balde N, Gong CX, Aschner P, Craig ME. ISPAD Clinical Practice Consensus Guidelines 2018: Definition, epidemiology, and classification of diabetes in children and adolescents. </w:t>
      </w:r>
      <w:r w:rsidRPr="0040201F">
        <w:rPr>
          <w:rFonts w:ascii="Book Antiqua" w:hAnsi="Book Antiqua"/>
          <w:i/>
          <w:iCs/>
        </w:rPr>
        <w:t>Pediatr Diabetes</w:t>
      </w:r>
      <w:r w:rsidRPr="0040201F">
        <w:rPr>
          <w:rFonts w:ascii="Book Antiqua" w:hAnsi="Book Antiqua"/>
        </w:rPr>
        <w:t xml:space="preserve"> 2018; </w:t>
      </w:r>
      <w:r w:rsidRPr="0040201F">
        <w:rPr>
          <w:rFonts w:ascii="Book Antiqua" w:hAnsi="Book Antiqua"/>
          <w:b/>
          <w:bCs/>
        </w:rPr>
        <w:t>19 Suppl 27</w:t>
      </w:r>
      <w:r w:rsidRPr="0040201F">
        <w:rPr>
          <w:rFonts w:ascii="Book Antiqua" w:hAnsi="Book Antiqua"/>
        </w:rPr>
        <w:t>: 7-19 [PMID: 30226024 DOI: 10.1111/pedi.12773]</w:t>
      </w:r>
    </w:p>
    <w:p w14:paraId="25096BB5" w14:textId="77777777" w:rsidR="00743A00" w:rsidRPr="0040201F" w:rsidRDefault="00000000">
      <w:pPr>
        <w:spacing w:line="360" w:lineRule="auto"/>
        <w:jc w:val="both"/>
        <w:rPr>
          <w:rFonts w:ascii="Book Antiqua" w:hAnsi="Book Antiqua"/>
        </w:rPr>
      </w:pPr>
      <w:r w:rsidRPr="0040201F">
        <w:rPr>
          <w:rFonts w:ascii="Book Antiqua" w:hAnsi="Book Antiqua"/>
        </w:rPr>
        <w:t>3</w:t>
      </w:r>
      <w:r w:rsidRPr="0040201F">
        <w:rPr>
          <w:rFonts w:ascii="Book Antiqua" w:hAnsi="Book Antiqua"/>
          <w:b/>
        </w:rPr>
        <w:t xml:space="preserve"> American Diabetes Association.</w:t>
      </w:r>
      <w:r w:rsidRPr="0040201F">
        <w:rPr>
          <w:rFonts w:ascii="Book Antiqua" w:hAnsi="Book Antiqua"/>
        </w:rPr>
        <w:t xml:space="preserve"> Standards of medical care in diabetes-2019. </w:t>
      </w:r>
      <w:r w:rsidRPr="0040201F">
        <w:rPr>
          <w:rFonts w:ascii="Book Antiqua" w:hAnsi="Book Antiqua"/>
          <w:i/>
        </w:rPr>
        <w:t>Diabetes Care</w:t>
      </w:r>
      <w:r w:rsidRPr="0040201F">
        <w:rPr>
          <w:rFonts w:ascii="Book Antiqua" w:hAnsi="Book Antiqua"/>
        </w:rPr>
        <w:t xml:space="preserve"> 2019; </w:t>
      </w:r>
      <w:r w:rsidRPr="0040201F">
        <w:rPr>
          <w:rFonts w:ascii="Book Antiqua" w:hAnsi="Book Antiqua"/>
          <w:b/>
        </w:rPr>
        <w:t>42:</w:t>
      </w:r>
      <w:r w:rsidRPr="0040201F">
        <w:rPr>
          <w:rFonts w:ascii="Book Antiqua" w:hAnsi="Book Antiqua"/>
        </w:rPr>
        <w:t xml:space="preserve"> S3-S3 [DOI: 10.2337/dc19-SppC01]</w:t>
      </w:r>
    </w:p>
    <w:p w14:paraId="7575C9C1" w14:textId="77777777" w:rsidR="00743A00" w:rsidRPr="0040201F" w:rsidRDefault="00000000">
      <w:pPr>
        <w:spacing w:line="360" w:lineRule="auto"/>
        <w:jc w:val="both"/>
        <w:rPr>
          <w:rFonts w:ascii="Book Antiqua" w:hAnsi="Book Antiqua"/>
        </w:rPr>
      </w:pPr>
      <w:r w:rsidRPr="0040201F">
        <w:rPr>
          <w:rFonts w:ascii="Book Antiqua" w:hAnsi="Book Antiqua"/>
        </w:rPr>
        <w:t xml:space="preserve">4 </w:t>
      </w:r>
      <w:r w:rsidRPr="0040201F">
        <w:rPr>
          <w:rFonts w:ascii="Book Antiqua" w:hAnsi="Book Antiqua"/>
          <w:b/>
          <w:bCs/>
        </w:rPr>
        <w:t>DeFronzo RA</w:t>
      </w:r>
      <w:r w:rsidRPr="0040201F">
        <w:rPr>
          <w:rFonts w:ascii="Book Antiqua" w:hAnsi="Book Antiqua"/>
        </w:rPr>
        <w:t xml:space="preserve">, Eldor R, Abdul-Ghani M. Pathophysiologic approach to therapy in patients with newly diagnosed type 2 diabetes. </w:t>
      </w:r>
      <w:r w:rsidRPr="0040201F">
        <w:rPr>
          <w:rFonts w:ascii="Book Antiqua" w:hAnsi="Book Antiqua"/>
          <w:i/>
          <w:iCs/>
        </w:rPr>
        <w:t>Diabetes Care</w:t>
      </w:r>
      <w:r w:rsidRPr="0040201F">
        <w:rPr>
          <w:rFonts w:ascii="Book Antiqua" w:hAnsi="Book Antiqua"/>
        </w:rPr>
        <w:t xml:space="preserve"> 2013; </w:t>
      </w:r>
      <w:r w:rsidRPr="0040201F">
        <w:rPr>
          <w:rFonts w:ascii="Book Antiqua" w:hAnsi="Book Antiqua"/>
          <w:b/>
          <w:bCs/>
        </w:rPr>
        <w:t>36 Suppl 2</w:t>
      </w:r>
      <w:r w:rsidRPr="0040201F">
        <w:rPr>
          <w:rFonts w:ascii="Book Antiqua" w:hAnsi="Book Antiqua"/>
        </w:rPr>
        <w:t>: S127-S138 [PMID: 23882037 DOI: 10.2337/dcS13-2011]</w:t>
      </w:r>
    </w:p>
    <w:p w14:paraId="42C9EA7F" w14:textId="77777777" w:rsidR="00743A00" w:rsidRPr="0040201F" w:rsidRDefault="00000000">
      <w:pPr>
        <w:spacing w:line="360" w:lineRule="auto"/>
        <w:jc w:val="both"/>
        <w:rPr>
          <w:rFonts w:ascii="Book Antiqua" w:hAnsi="Book Antiqua"/>
        </w:rPr>
      </w:pPr>
      <w:r w:rsidRPr="0040201F">
        <w:rPr>
          <w:rFonts w:ascii="Book Antiqua" w:hAnsi="Book Antiqua"/>
        </w:rPr>
        <w:t xml:space="preserve">5 </w:t>
      </w:r>
      <w:r w:rsidRPr="0040201F">
        <w:rPr>
          <w:rFonts w:ascii="Book Antiqua" w:hAnsi="Book Antiqua"/>
          <w:b/>
          <w:bCs/>
        </w:rPr>
        <w:t>Nadeau KJ</w:t>
      </w:r>
      <w:r w:rsidRPr="0040201F">
        <w:rPr>
          <w:rFonts w:ascii="Book Antiqua" w:hAnsi="Book Antiqua"/>
        </w:rPr>
        <w:t xml:space="preserve">, Anderson BJ, Berg EG, Chiang JL, Chou H, Copeland KC, Hannon TS, Huang TT, Lynch JL, Powell J, Sellers E, Tamborlane WV, Zeitler P. Youth-Onset Type 2 Diabetes Consensus Report: Current Status, Challenges, and Priorities. </w:t>
      </w:r>
      <w:r w:rsidRPr="0040201F">
        <w:rPr>
          <w:rFonts w:ascii="Book Antiqua" w:hAnsi="Book Antiqua"/>
          <w:i/>
          <w:iCs/>
        </w:rPr>
        <w:t>Diabetes Care</w:t>
      </w:r>
      <w:r w:rsidRPr="0040201F">
        <w:rPr>
          <w:rFonts w:ascii="Book Antiqua" w:hAnsi="Book Antiqua"/>
        </w:rPr>
        <w:t xml:space="preserve"> 2016; </w:t>
      </w:r>
      <w:r w:rsidRPr="0040201F">
        <w:rPr>
          <w:rFonts w:ascii="Book Antiqua" w:hAnsi="Book Antiqua"/>
          <w:b/>
          <w:bCs/>
        </w:rPr>
        <w:t>39</w:t>
      </w:r>
      <w:r w:rsidRPr="0040201F">
        <w:rPr>
          <w:rFonts w:ascii="Book Antiqua" w:hAnsi="Book Antiqua"/>
        </w:rPr>
        <w:t>: 1635-1642 [PMID: 27486237 DOI: 10.2337/dc16-1066]</w:t>
      </w:r>
    </w:p>
    <w:p w14:paraId="5735EDDD" w14:textId="77777777" w:rsidR="00743A00" w:rsidRPr="0040201F" w:rsidRDefault="00000000">
      <w:pPr>
        <w:spacing w:line="360" w:lineRule="auto"/>
        <w:jc w:val="both"/>
        <w:rPr>
          <w:rFonts w:ascii="Book Antiqua" w:hAnsi="Book Antiqua"/>
        </w:rPr>
      </w:pPr>
      <w:r w:rsidRPr="0040201F">
        <w:rPr>
          <w:rFonts w:ascii="Book Antiqua" w:hAnsi="Book Antiqua"/>
        </w:rPr>
        <w:t xml:space="preserve">6 </w:t>
      </w:r>
      <w:r w:rsidRPr="0040201F">
        <w:rPr>
          <w:rFonts w:ascii="Book Antiqua" w:hAnsi="Book Antiqua"/>
          <w:b/>
          <w:bCs/>
        </w:rPr>
        <w:t>Song SH</w:t>
      </w:r>
      <w:r w:rsidRPr="0040201F">
        <w:rPr>
          <w:rFonts w:ascii="Book Antiqua" w:hAnsi="Book Antiqua"/>
        </w:rPr>
        <w:t xml:space="preserve">, Hardisty CA. Early-onset Type 2 diabetes mellitus: an increasing phenomenon of elevated cardiovascular risk. </w:t>
      </w:r>
      <w:r w:rsidRPr="0040201F">
        <w:rPr>
          <w:rFonts w:ascii="Book Antiqua" w:hAnsi="Book Antiqua"/>
          <w:i/>
          <w:iCs/>
        </w:rPr>
        <w:t>Expert Rev Cardiovasc Ther</w:t>
      </w:r>
      <w:r w:rsidRPr="0040201F">
        <w:rPr>
          <w:rFonts w:ascii="Book Antiqua" w:hAnsi="Book Antiqua"/>
        </w:rPr>
        <w:t xml:space="preserve"> 2008; </w:t>
      </w:r>
      <w:r w:rsidRPr="0040201F">
        <w:rPr>
          <w:rFonts w:ascii="Book Antiqua" w:hAnsi="Book Antiqua"/>
          <w:b/>
          <w:bCs/>
        </w:rPr>
        <w:t>6</w:t>
      </w:r>
      <w:r w:rsidRPr="0040201F">
        <w:rPr>
          <w:rFonts w:ascii="Book Antiqua" w:hAnsi="Book Antiqua"/>
        </w:rPr>
        <w:t>: 315-322 [PMID: 18327993 DOI: 10.1586/14779072.6.3.315]</w:t>
      </w:r>
    </w:p>
    <w:p w14:paraId="4AF32E6C" w14:textId="77777777" w:rsidR="00743A00" w:rsidRPr="0040201F" w:rsidRDefault="00000000">
      <w:pPr>
        <w:spacing w:line="360" w:lineRule="auto"/>
        <w:jc w:val="both"/>
        <w:rPr>
          <w:rFonts w:ascii="Book Antiqua" w:hAnsi="Book Antiqua"/>
        </w:rPr>
      </w:pPr>
      <w:r w:rsidRPr="0040201F">
        <w:rPr>
          <w:rFonts w:ascii="Book Antiqua" w:hAnsi="Book Antiqua"/>
        </w:rPr>
        <w:t xml:space="preserve">7 </w:t>
      </w:r>
      <w:r w:rsidRPr="0040201F">
        <w:rPr>
          <w:rFonts w:ascii="Book Antiqua" w:hAnsi="Book Antiqua"/>
          <w:b/>
          <w:bCs/>
        </w:rPr>
        <w:t>Dabelea D</w:t>
      </w:r>
      <w:r w:rsidRPr="0040201F">
        <w:rPr>
          <w:rFonts w:ascii="Book Antiqua" w:hAnsi="Book Antiqua"/>
        </w:rPr>
        <w:t xml:space="preserve">, Rewers A, Stafford JM, Standiford DA, Lawrence JM, Saydah S, Imperatore G, D'Agostino RB Jr, Mayer-Davis EJ, Pihoker C; SEARCH for Diabetes in Youth Study Group. Trends in the prevalence of ketoacidosis at diabetes diagnosis: the SEARCH for diabetes in youth study. </w:t>
      </w:r>
      <w:r w:rsidRPr="0040201F">
        <w:rPr>
          <w:rFonts w:ascii="Book Antiqua" w:hAnsi="Book Antiqua"/>
          <w:i/>
          <w:iCs/>
        </w:rPr>
        <w:t>Pediatrics</w:t>
      </w:r>
      <w:r w:rsidRPr="0040201F">
        <w:rPr>
          <w:rFonts w:ascii="Book Antiqua" w:hAnsi="Book Antiqua"/>
        </w:rPr>
        <w:t xml:space="preserve"> 2014; </w:t>
      </w:r>
      <w:r w:rsidRPr="0040201F">
        <w:rPr>
          <w:rFonts w:ascii="Book Antiqua" w:hAnsi="Book Antiqua"/>
          <w:b/>
          <w:bCs/>
        </w:rPr>
        <w:t>133</w:t>
      </w:r>
      <w:r w:rsidRPr="0040201F">
        <w:rPr>
          <w:rFonts w:ascii="Book Antiqua" w:hAnsi="Book Antiqua"/>
        </w:rPr>
        <w:t>: e938-e945 [PMID: 24685959 DOI: 10.1542/peds.2013-2795]</w:t>
      </w:r>
    </w:p>
    <w:p w14:paraId="6E48B7BA" w14:textId="77777777" w:rsidR="00743A00" w:rsidRPr="0040201F" w:rsidRDefault="00000000">
      <w:pPr>
        <w:spacing w:line="360" w:lineRule="auto"/>
        <w:jc w:val="both"/>
        <w:rPr>
          <w:rFonts w:ascii="Book Antiqua" w:hAnsi="Book Antiqua"/>
          <w:lang w:val="es-MX"/>
        </w:rPr>
      </w:pPr>
      <w:r w:rsidRPr="0040201F">
        <w:rPr>
          <w:rFonts w:ascii="Book Antiqua" w:hAnsi="Book Antiqua"/>
        </w:rPr>
        <w:lastRenderedPageBreak/>
        <w:t xml:space="preserve">8 </w:t>
      </w:r>
      <w:r w:rsidRPr="0040201F">
        <w:rPr>
          <w:rFonts w:ascii="Book Antiqua" w:hAnsi="Book Antiqua"/>
          <w:b/>
          <w:bCs/>
        </w:rPr>
        <w:t>Lascar N</w:t>
      </w:r>
      <w:r w:rsidRPr="0040201F">
        <w:rPr>
          <w:rFonts w:ascii="Book Antiqua" w:hAnsi="Book Antiqua"/>
        </w:rPr>
        <w:t xml:space="preserve">, Brown J, Pattison H, Barnett AH, Bailey CJ, Bellary S. Type 2 diabetes in adolescents and young adults. </w:t>
      </w:r>
      <w:r w:rsidRPr="0040201F">
        <w:rPr>
          <w:rFonts w:ascii="Book Antiqua" w:hAnsi="Book Antiqua"/>
          <w:i/>
          <w:iCs/>
          <w:lang w:val="es-MX"/>
        </w:rPr>
        <w:t>Lancet Diabetes Endocrinol</w:t>
      </w:r>
      <w:r w:rsidRPr="0040201F">
        <w:rPr>
          <w:rFonts w:ascii="Book Antiqua" w:hAnsi="Book Antiqua"/>
          <w:lang w:val="es-MX"/>
        </w:rPr>
        <w:t xml:space="preserve"> 2018; </w:t>
      </w:r>
      <w:r w:rsidRPr="0040201F">
        <w:rPr>
          <w:rFonts w:ascii="Book Antiqua" w:hAnsi="Book Antiqua"/>
          <w:b/>
          <w:bCs/>
          <w:lang w:val="es-MX"/>
        </w:rPr>
        <w:t>6</w:t>
      </w:r>
      <w:r w:rsidRPr="0040201F">
        <w:rPr>
          <w:rFonts w:ascii="Book Antiqua" w:hAnsi="Book Antiqua"/>
          <w:lang w:val="es-MX"/>
        </w:rPr>
        <w:t>: 69-80 [PMID: 28847479 DOI: 10.1016/S2213-8587(17)30186-9]</w:t>
      </w:r>
    </w:p>
    <w:p w14:paraId="76BD5A3F" w14:textId="77777777" w:rsidR="00743A00" w:rsidRPr="0040201F" w:rsidRDefault="00000000">
      <w:pPr>
        <w:spacing w:line="360" w:lineRule="auto"/>
        <w:jc w:val="both"/>
        <w:rPr>
          <w:rFonts w:ascii="Book Antiqua" w:hAnsi="Book Antiqua"/>
          <w:lang w:val="es-MX"/>
        </w:rPr>
      </w:pPr>
      <w:r w:rsidRPr="0040201F">
        <w:rPr>
          <w:rFonts w:ascii="Book Antiqua" w:hAnsi="Book Antiqua"/>
          <w:lang w:val="es-MX"/>
        </w:rPr>
        <w:t>9</w:t>
      </w:r>
      <w:r w:rsidRPr="0040201F">
        <w:rPr>
          <w:rFonts w:ascii="Book Antiqua" w:hAnsi="Book Antiqua"/>
          <w:b/>
          <w:lang w:val="es-MX"/>
        </w:rPr>
        <w:t xml:space="preserve"> Instituto Nacional de Salud Pública. </w:t>
      </w:r>
      <w:r w:rsidRPr="0040201F">
        <w:rPr>
          <w:rFonts w:ascii="Book Antiqua" w:hAnsi="Book Antiqua"/>
          <w:lang w:val="es-MX"/>
        </w:rPr>
        <w:t>Encuesta Nacional de Salud y Nutrición 2018-2019. Resultados Nacionales. Instituto Nacional de Salud Pública. Available from: https://ensanut.insp.mx/encuestas/ensanut2018/doctos/informes/ensanut_2018_informe_final.pdf</w:t>
      </w:r>
    </w:p>
    <w:p w14:paraId="593C1081" w14:textId="77777777" w:rsidR="00743A00" w:rsidRPr="0040201F" w:rsidRDefault="00000000">
      <w:pPr>
        <w:spacing w:line="360" w:lineRule="auto"/>
        <w:jc w:val="both"/>
        <w:rPr>
          <w:rFonts w:ascii="Book Antiqua" w:hAnsi="Book Antiqua"/>
        </w:rPr>
      </w:pPr>
      <w:r w:rsidRPr="0040201F">
        <w:rPr>
          <w:rFonts w:ascii="Book Antiqua" w:hAnsi="Book Antiqua"/>
        </w:rPr>
        <w:t xml:space="preserve">10 </w:t>
      </w:r>
      <w:r w:rsidRPr="0040201F">
        <w:rPr>
          <w:rFonts w:ascii="Book Antiqua" w:hAnsi="Book Antiqua"/>
          <w:bCs/>
        </w:rPr>
        <w:t>Mexican Association of Market Research and Public Opinion Agency,</w:t>
      </w:r>
      <w:r w:rsidRPr="0040201F">
        <w:rPr>
          <w:rFonts w:ascii="Book Antiqua" w:hAnsi="Book Antiqua"/>
        </w:rPr>
        <w:t xml:space="preserve"> A.C. AMAI-NSE8X7 Model. AMAI 2014. Available from: http://www.amai.org</w:t>
      </w:r>
    </w:p>
    <w:p w14:paraId="70521B2C" w14:textId="77777777" w:rsidR="00743A00" w:rsidRPr="0040201F" w:rsidRDefault="00000000">
      <w:pPr>
        <w:spacing w:line="360" w:lineRule="auto"/>
        <w:jc w:val="both"/>
        <w:rPr>
          <w:rFonts w:ascii="Book Antiqua" w:hAnsi="Book Antiqua"/>
        </w:rPr>
      </w:pPr>
      <w:r w:rsidRPr="0040201F">
        <w:rPr>
          <w:rFonts w:ascii="Book Antiqua" w:hAnsi="Book Antiqua"/>
        </w:rPr>
        <w:t xml:space="preserve">11 </w:t>
      </w:r>
      <w:r w:rsidRPr="0040201F">
        <w:rPr>
          <w:rFonts w:ascii="Book Antiqua" w:hAnsi="Book Antiqua"/>
          <w:b/>
          <w:bCs/>
        </w:rPr>
        <w:t>Urakami T</w:t>
      </w:r>
      <w:r w:rsidRPr="0040201F">
        <w:rPr>
          <w:rFonts w:ascii="Book Antiqua" w:hAnsi="Book Antiqua"/>
        </w:rPr>
        <w:t xml:space="preserve">. Pediatric Type 2 Diabetes in Japan: Similarities and Differences from Type 2 Diabetes in Other Pediatric Populations. </w:t>
      </w:r>
      <w:r w:rsidRPr="0040201F">
        <w:rPr>
          <w:rFonts w:ascii="Book Antiqua" w:hAnsi="Book Antiqua"/>
          <w:i/>
          <w:iCs/>
        </w:rPr>
        <w:t>Curr Diab Rep</w:t>
      </w:r>
      <w:r w:rsidRPr="0040201F">
        <w:rPr>
          <w:rFonts w:ascii="Book Antiqua" w:hAnsi="Book Antiqua"/>
        </w:rPr>
        <w:t xml:space="preserve"> 2018; </w:t>
      </w:r>
      <w:r w:rsidRPr="0040201F">
        <w:rPr>
          <w:rFonts w:ascii="Book Antiqua" w:hAnsi="Book Antiqua"/>
          <w:b/>
          <w:bCs/>
        </w:rPr>
        <w:t>18</w:t>
      </w:r>
      <w:r w:rsidRPr="0040201F">
        <w:rPr>
          <w:rFonts w:ascii="Book Antiqua" w:hAnsi="Book Antiqua"/>
        </w:rPr>
        <w:t>: 29 [PMID: 29671100 DOI: 10.1007/s11892-018-0999-z]</w:t>
      </w:r>
    </w:p>
    <w:p w14:paraId="18E95FEC" w14:textId="77777777" w:rsidR="00743A00" w:rsidRPr="0040201F" w:rsidRDefault="00000000">
      <w:pPr>
        <w:spacing w:line="360" w:lineRule="auto"/>
        <w:jc w:val="both"/>
        <w:rPr>
          <w:rFonts w:ascii="Book Antiqua" w:hAnsi="Book Antiqua"/>
        </w:rPr>
      </w:pPr>
      <w:r w:rsidRPr="0040201F">
        <w:rPr>
          <w:rFonts w:ascii="Book Antiqua" w:hAnsi="Book Antiqua"/>
        </w:rPr>
        <w:t xml:space="preserve">12 </w:t>
      </w:r>
      <w:r w:rsidRPr="0040201F">
        <w:rPr>
          <w:rFonts w:ascii="Book Antiqua" w:hAnsi="Book Antiqua"/>
          <w:b/>
          <w:bCs/>
        </w:rPr>
        <w:t>Candler TP</w:t>
      </w:r>
      <w:r w:rsidRPr="0040201F">
        <w:rPr>
          <w:rFonts w:ascii="Book Antiqua" w:hAnsi="Book Antiqua"/>
        </w:rPr>
        <w:t xml:space="preserve">, Mahmoud O, Lynn RM, Majbar AA, Barrett TG, Shield JPH. Continuing rise of Type 2 diabetes incidence in children and young people in the UK. </w:t>
      </w:r>
      <w:r w:rsidRPr="0040201F">
        <w:rPr>
          <w:rFonts w:ascii="Book Antiqua" w:hAnsi="Book Antiqua"/>
          <w:i/>
          <w:iCs/>
        </w:rPr>
        <w:t>Diabet Med</w:t>
      </w:r>
      <w:r w:rsidRPr="0040201F">
        <w:rPr>
          <w:rFonts w:ascii="Book Antiqua" w:hAnsi="Book Antiqua"/>
        </w:rPr>
        <w:t xml:space="preserve"> 2018; </w:t>
      </w:r>
      <w:r w:rsidRPr="0040201F">
        <w:rPr>
          <w:rFonts w:ascii="Book Antiqua" w:hAnsi="Book Antiqua"/>
          <w:b/>
          <w:bCs/>
        </w:rPr>
        <w:t>35</w:t>
      </w:r>
      <w:r w:rsidRPr="0040201F">
        <w:rPr>
          <w:rFonts w:ascii="Book Antiqua" w:hAnsi="Book Antiqua"/>
        </w:rPr>
        <w:t>: 737-744 [PMID: 29460341 DOI: 10.1111/dme.13609]</w:t>
      </w:r>
    </w:p>
    <w:p w14:paraId="4C119ACE" w14:textId="77777777" w:rsidR="00743A00" w:rsidRPr="0040201F" w:rsidRDefault="00000000">
      <w:pPr>
        <w:spacing w:line="360" w:lineRule="auto"/>
        <w:jc w:val="both"/>
        <w:rPr>
          <w:rFonts w:ascii="Book Antiqua" w:hAnsi="Book Antiqua"/>
        </w:rPr>
      </w:pPr>
      <w:r w:rsidRPr="0040201F">
        <w:rPr>
          <w:rFonts w:ascii="Book Antiqua" w:hAnsi="Book Antiqua"/>
        </w:rPr>
        <w:t xml:space="preserve">13 </w:t>
      </w:r>
      <w:r w:rsidRPr="0040201F">
        <w:rPr>
          <w:rFonts w:ascii="Book Antiqua" w:hAnsi="Book Antiqua"/>
          <w:b/>
          <w:bCs/>
        </w:rPr>
        <w:t>Zeitler P</w:t>
      </w:r>
      <w:r w:rsidRPr="0040201F">
        <w:rPr>
          <w:rFonts w:ascii="Book Antiqua" w:hAnsi="Book Antiqua"/>
        </w:rPr>
        <w:t xml:space="preserve">, Fu J, Tandon N, Nadeau K, Urakami T, Barrett T, Maahs D; International Society for Pediatric and Adolescent Diabetes. ISPAD Clinical Practice Consensus Guidelines 2014. Type 2 diabetes in the child and adolescent. </w:t>
      </w:r>
      <w:r w:rsidRPr="0040201F">
        <w:rPr>
          <w:rFonts w:ascii="Book Antiqua" w:hAnsi="Book Antiqua"/>
          <w:i/>
          <w:iCs/>
        </w:rPr>
        <w:t>Pediatr Diabetes</w:t>
      </w:r>
      <w:r w:rsidRPr="0040201F">
        <w:rPr>
          <w:rFonts w:ascii="Book Antiqua" w:hAnsi="Book Antiqua"/>
        </w:rPr>
        <w:t xml:space="preserve"> 2014; </w:t>
      </w:r>
      <w:r w:rsidRPr="0040201F">
        <w:rPr>
          <w:rFonts w:ascii="Book Antiqua" w:hAnsi="Book Antiqua"/>
          <w:b/>
          <w:bCs/>
        </w:rPr>
        <w:t>15 Suppl 20</w:t>
      </w:r>
      <w:r w:rsidRPr="0040201F">
        <w:rPr>
          <w:rFonts w:ascii="Book Antiqua" w:hAnsi="Book Antiqua"/>
        </w:rPr>
        <w:t>: 26-46 [PMID: 25182306 DOI: 10.1111/pedi.12179]</w:t>
      </w:r>
    </w:p>
    <w:p w14:paraId="5A6CA1E8" w14:textId="77777777" w:rsidR="00743A00" w:rsidRPr="0040201F" w:rsidRDefault="00000000">
      <w:pPr>
        <w:spacing w:line="360" w:lineRule="auto"/>
        <w:jc w:val="both"/>
        <w:rPr>
          <w:rFonts w:ascii="Book Antiqua" w:hAnsi="Book Antiqua"/>
        </w:rPr>
      </w:pPr>
      <w:r w:rsidRPr="0040201F">
        <w:rPr>
          <w:rFonts w:ascii="Book Antiqua" w:hAnsi="Book Antiqua"/>
        </w:rPr>
        <w:t xml:space="preserve">14 </w:t>
      </w:r>
      <w:r w:rsidRPr="0040201F">
        <w:rPr>
          <w:rFonts w:ascii="Book Antiqua" w:hAnsi="Book Antiqua"/>
          <w:b/>
          <w:bCs/>
        </w:rPr>
        <w:t>Zeitler P</w:t>
      </w:r>
      <w:r w:rsidRPr="0040201F">
        <w:rPr>
          <w:rFonts w:ascii="Book Antiqua" w:hAnsi="Book Antiqua"/>
        </w:rPr>
        <w:t xml:space="preserve">, Arslanian S, Fu J, Pinhas-Hamiel O, Reinehr T, Tandon N, Urakami T, Wong J, Maahs DM. ISPAD Clinical Practice Consensus Guidelines 2018: Type 2 diabetes mellitus in youth. </w:t>
      </w:r>
      <w:r w:rsidRPr="0040201F">
        <w:rPr>
          <w:rFonts w:ascii="Book Antiqua" w:hAnsi="Book Antiqua"/>
          <w:i/>
          <w:iCs/>
        </w:rPr>
        <w:t>Pediatr Diabetes</w:t>
      </w:r>
      <w:r w:rsidRPr="0040201F">
        <w:rPr>
          <w:rFonts w:ascii="Book Antiqua" w:hAnsi="Book Antiqua"/>
        </w:rPr>
        <w:t xml:space="preserve"> 2018; </w:t>
      </w:r>
      <w:r w:rsidRPr="0040201F">
        <w:rPr>
          <w:rFonts w:ascii="Book Antiqua" w:hAnsi="Book Antiqua"/>
          <w:b/>
          <w:bCs/>
        </w:rPr>
        <w:t>19 Suppl 27</w:t>
      </w:r>
      <w:r w:rsidRPr="0040201F">
        <w:rPr>
          <w:rFonts w:ascii="Book Antiqua" w:hAnsi="Book Antiqua"/>
        </w:rPr>
        <w:t>: 28-46 [PMID: 29999228 DOI: 10.1111/pedi.12719]</w:t>
      </w:r>
    </w:p>
    <w:p w14:paraId="148C2FA7" w14:textId="77777777" w:rsidR="00743A00" w:rsidRPr="0040201F" w:rsidRDefault="00000000">
      <w:pPr>
        <w:spacing w:line="360" w:lineRule="auto"/>
        <w:jc w:val="both"/>
        <w:rPr>
          <w:rFonts w:ascii="Book Antiqua" w:hAnsi="Book Antiqua"/>
        </w:rPr>
      </w:pPr>
      <w:r w:rsidRPr="0040201F">
        <w:rPr>
          <w:rFonts w:ascii="Book Antiqua" w:hAnsi="Book Antiqua"/>
        </w:rPr>
        <w:t xml:space="preserve">15 </w:t>
      </w:r>
      <w:r w:rsidRPr="0040201F">
        <w:rPr>
          <w:rFonts w:ascii="Book Antiqua" w:hAnsi="Book Antiqua"/>
          <w:b/>
          <w:bCs/>
        </w:rPr>
        <w:t>Baldi JC</w:t>
      </w:r>
      <w:r w:rsidRPr="0040201F">
        <w:rPr>
          <w:rFonts w:ascii="Book Antiqua" w:hAnsi="Book Antiqua"/>
        </w:rPr>
        <w:t xml:space="preserve">, Manning PJ, Hofman PL, Walker RJ. Comment on: TODAY Study Group. Effects of metformin, metformin plus rosiglitazone, and metformin plus lifestyle on insulin sensitivity and β-cell function in TODAY. Diabetes Care </w:t>
      </w:r>
      <w:proofErr w:type="gramStart"/>
      <w:r w:rsidRPr="0040201F">
        <w:rPr>
          <w:rFonts w:ascii="Book Antiqua" w:hAnsi="Book Antiqua"/>
        </w:rPr>
        <w:t>2013;36:1749</w:t>
      </w:r>
      <w:proofErr w:type="gramEnd"/>
      <w:r w:rsidRPr="0040201F">
        <w:rPr>
          <w:rFonts w:ascii="Book Antiqua" w:hAnsi="Book Antiqua"/>
        </w:rPr>
        <w:t xml:space="preserve">-1757. </w:t>
      </w:r>
      <w:r w:rsidRPr="0040201F">
        <w:rPr>
          <w:rFonts w:ascii="Book Antiqua" w:hAnsi="Book Antiqua"/>
          <w:i/>
          <w:iCs/>
        </w:rPr>
        <w:t>Diabetes Care</w:t>
      </w:r>
      <w:r w:rsidRPr="0040201F">
        <w:rPr>
          <w:rFonts w:ascii="Book Antiqua" w:hAnsi="Book Antiqua"/>
        </w:rPr>
        <w:t xml:space="preserve"> 2013; </w:t>
      </w:r>
      <w:r w:rsidRPr="0040201F">
        <w:rPr>
          <w:rFonts w:ascii="Book Antiqua" w:hAnsi="Book Antiqua"/>
          <w:b/>
          <w:bCs/>
        </w:rPr>
        <w:t>36</w:t>
      </w:r>
      <w:r w:rsidRPr="0040201F">
        <w:rPr>
          <w:rFonts w:ascii="Book Antiqua" w:hAnsi="Book Antiqua"/>
        </w:rPr>
        <w:t>: e223 [PMID: 24265392 DOI: 10.2337/dc13-1426]</w:t>
      </w:r>
    </w:p>
    <w:p w14:paraId="610CE27F" w14:textId="77777777" w:rsidR="00743A00" w:rsidRPr="0040201F" w:rsidRDefault="00000000">
      <w:pPr>
        <w:spacing w:line="360" w:lineRule="auto"/>
        <w:jc w:val="both"/>
        <w:rPr>
          <w:rFonts w:ascii="Book Antiqua" w:hAnsi="Book Antiqua"/>
        </w:rPr>
      </w:pPr>
      <w:r w:rsidRPr="0040201F">
        <w:rPr>
          <w:rFonts w:ascii="Book Antiqua" w:hAnsi="Book Antiqua"/>
        </w:rPr>
        <w:t xml:space="preserve">16 </w:t>
      </w:r>
      <w:r w:rsidRPr="0040201F">
        <w:rPr>
          <w:rFonts w:ascii="Book Antiqua" w:hAnsi="Book Antiqua"/>
          <w:b/>
          <w:bCs/>
        </w:rPr>
        <w:t>Dabelea D</w:t>
      </w:r>
      <w:r w:rsidRPr="0040201F">
        <w:rPr>
          <w:rFonts w:ascii="Book Antiqua" w:hAnsi="Book Antiqua"/>
        </w:rPr>
        <w:t xml:space="preserve">, Stafford JM, Mayer-Davis EJ, D'Agostino R Jr, Dolan L, Imperatore G, Linder B, Lawrence JM, Marcovina SM, Mottl AK, Black MH, Pop-Busui R, Saydah S, </w:t>
      </w:r>
      <w:r w:rsidRPr="0040201F">
        <w:rPr>
          <w:rFonts w:ascii="Book Antiqua" w:hAnsi="Book Antiqua"/>
        </w:rPr>
        <w:lastRenderedPageBreak/>
        <w:t xml:space="preserve">Hamman RF, Pihoker C; SEARCH for Diabetes in Youth Research Group. Association of Type 1 Diabetes vs Type 2 Diabetes Diagnosed During Childhood and Adolescence </w:t>
      </w:r>
      <w:proofErr w:type="gramStart"/>
      <w:r w:rsidRPr="0040201F">
        <w:rPr>
          <w:rFonts w:ascii="Book Antiqua" w:hAnsi="Book Antiqua"/>
        </w:rPr>
        <w:t>With</w:t>
      </w:r>
      <w:proofErr w:type="gramEnd"/>
      <w:r w:rsidRPr="0040201F">
        <w:rPr>
          <w:rFonts w:ascii="Book Antiqua" w:hAnsi="Book Antiqua"/>
        </w:rPr>
        <w:t xml:space="preserve"> Complications During Teenage Years and Young Adulthood. </w:t>
      </w:r>
      <w:r w:rsidRPr="0040201F">
        <w:rPr>
          <w:rFonts w:ascii="Book Antiqua" w:hAnsi="Book Antiqua"/>
          <w:i/>
          <w:iCs/>
        </w:rPr>
        <w:t>JAMA</w:t>
      </w:r>
      <w:r w:rsidRPr="0040201F">
        <w:rPr>
          <w:rFonts w:ascii="Book Antiqua" w:hAnsi="Book Antiqua"/>
        </w:rPr>
        <w:t xml:space="preserve"> 2017; </w:t>
      </w:r>
      <w:r w:rsidRPr="0040201F">
        <w:rPr>
          <w:rFonts w:ascii="Book Antiqua" w:hAnsi="Book Antiqua"/>
          <w:b/>
          <w:bCs/>
        </w:rPr>
        <w:t>317</w:t>
      </w:r>
      <w:r w:rsidRPr="0040201F">
        <w:rPr>
          <w:rFonts w:ascii="Book Antiqua" w:hAnsi="Book Antiqua"/>
        </w:rPr>
        <w:t>: 825-835 [PMID: 28245334 DOI: 10.1001/jama.2017.0686]</w:t>
      </w:r>
    </w:p>
    <w:p w14:paraId="465A1141" w14:textId="77777777" w:rsidR="00743A00" w:rsidRPr="0040201F" w:rsidRDefault="00000000">
      <w:pPr>
        <w:spacing w:line="360" w:lineRule="auto"/>
        <w:jc w:val="both"/>
        <w:rPr>
          <w:rFonts w:ascii="Book Antiqua" w:hAnsi="Book Antiqua"/>
        </w:rPr>
      </w:pPr>
      <w:r w:rsidRPr="0040201F">
        <w:rPr>
          <w:rFonts w:ascii="Book Antiqua" w:hAnsi="Book Antiqua"/>
        </w:rPr>
        <w:t xml:space="preserve">17 </w:t>
      </w:r>
      <w:r w:rsidRPr="0040201F">
        <w:rPr>
          <w:rFonts w:ascii="Book Antiqua" w:hAnsi="Book Antiqua"/>
          <w:b/>
          <w:bCs/>
        </w:rPr>
        <w:t>Copeland KC</w:t>
      </w:r>
      <w:r w:rsidRPr="0040201F">
        <w:rPr>
          <w:rFonts w:ascii="Book Antiqua" w:hAnsi="Book Antiqua"/>
        </w:rPr>
        <w:t xml:space="preserve">, Zeitler P, Geffner M, Guandalini C, Higgins J, Hirst K, Kaufman FR, Linder B, Marcovina S, McGuigan P, Pyle L, Tamborlane W, Willi S; TODAY Study Group. Characteristics of adolescents and youth with recent-onset type 2 diabetes: the TODAY cohort at baseline. </w:t>
      </w:r>
      <w:r w:rsidRPr="0040201F">
        <w:rPr>
          <w:rFonts w:ascii="Book Antiqua" w:hAnsi="Book Antiqua"/>
          <w:i/>
          <w:iCs/>
        </w:rPr>
        <w:t>J Clin Endocrinol Metab</w:t>
      </w:r>
      <w:r w:rsidRPr="0040201F">
        <w:rPr>
          <w:rFonts w:ascii="Book Antiqua" w:hAnsi="Book Antiqua"/>
        </w:rPr>
        <w:t xml:space="preserve"> 2011; </w:t>
      </w:r>
      <w:r w:rsidRPr="0040201F">
        <w:rPr>
          <w:rFonts w:ascii="Book Antiqua" w:hAnsi="Book Antiqua"/>
          <w:b/>
          <w:bCs/>
        </w:rPr>
        <w:t>96</w:t>
      </w:r>
      <w:r w:rsidRPr="0040201F">
        <w:rPr>
          <w:rFonts w:ascii="Book Antiqua" w:hAnsi="Book Antiqua"/>
        </w:rPr>
        <w:t>: 159-167 [PMID: 20962021 DOI: 10.1210/jc.2010-1642]</w:t>
      </w:r>
    </w:p>
    <w:p w14:paraId="0854D2C4" w14:textId="77777777" w:rsidR="00743A00" w:rsidRPr="0040201F" w:rsidRDefault="00000000">
      <w:pPr>
        <w:spacing w:line="360" w:lineRule="auto"/>
        <w:jc w:val="both"/>
        <w:rPr>
          <w:rFonts w:ascii="Book Antiqua" w:hAnsi="Book Antiqua"/>
        </w:rPr>
      </w:pPr>
      <w:r w:rsidRPr="0040201F">
        <w:rPr>
          <w:rFonts w:ascii="Book Antiqua" w:hAnsi="Book Antiqua"/>
        </w:rPr>
        <w:t xml:space="preserve">18 </w:t>
      </w:r>
      <w:r w:rsidRPr="0040201F">
        <w:rPr>
          <w:rFonts w:ascii="Book Antiqua" w:hAnsi="Book Antiqua"/>
          <w:b/>
          <w:bCs/>
        </w:rPr>
        <w:t>Fu JF</w:t>
      </w:r>
      <w:r w:rsidRPr="0040201F">
        <w:rPr>
          <w:rFonts w:ascii="Book Antiqua" w:hAnsi="Book Antiqua"/>
        </w:rPr>
        <w:t xml:space="preserve">, Liang L, Gong CX, Xiong F, Luo FH, Liu GL, Li P, Liu L, Xin Y, Yao H, Cui LW, Shi X, Yang Y, Chen LQ, Wei HY. Status and trends of diabetes in Chinese children: analysis of data from 14 medical centers. </w:t>
      </w:r>
      <w:r w:rsidRPr="0040201F">
        <w:rPr>
          <w:rFonts w:ascii="Book Antiqua" w:hAnsi="Book Antiqua"/>
          <w:i/>
          <w:iCs/>
        </w:rPr>
        <w:t>World J Pediatr</w:t>
      </w:r>
      <w:r w:rsidRPr="0040201F">
        <w:rPr>
          <w:rFonts w:ascii="Book Antiqua" w:hAnsi="Book Antiqua"/>
        </w:rPr>
        <w:t xml:space="preserve"> 2013; </w:t>
      </w:r>
      <w:r w:rsidRPr="0040201F">
        <w:rPr>
          <w:rFonts w:ascii="Book Antiqua" w:hAnsi="Book Antiqua"/>
          <w:b/>
          <w:bCs/>
        </w:rPr>
        <w:t>9</w:t>
      </w:r>
      <w:r w:rsidRPr="0040201F">
        <w:rPr>
          <w:rFonts w:ascii="Book Antiqua" w:hAnsi="Book Antiqua"/>
        </w:rPr>
        <w:t>: 127-134 [PMID: 23677831 DOI: 10.1007/s12519-013-0414-4]</w:t>
      </w:r>
    </w:p>
    <w:p w14:paraId="39266F1D" w14:textId="77777777" w:rsidR="00743A00" w:rsidRPr="0040201F" w:rsidRDefault="00000000">
      <w:pPr>
        <w:spacing w:line="360" w:lineRule="auto"/>
        <w:jc w:val="both"/>
        <w:rPr>
          <w:rFonts w:ascii="Book Antiqua" w:hAnsi="Book Antiqua"/>
        </w:rPr>
      </w:pPr>
      <w:r w:rsidRPr="0040201F">
        <w:rPr>
          <w:rFonts w:ascii="Book Antiqua" w:hAnsi="Book Antiqua"/>
        </w:rPr>
        <w:t xml:space="preserve">19 </w:t>
      </w:r>
      <w:r w:rsidRPr="0040201F">
        <w:rPr>
          <w:rFonts w:ascii="Book Antiqua" w:hAnsi="Book Antiqua"/>
          <w:b/>
          <w:bCs/>
        </w:rPr>
        <w:t>Agardh E</w:t>
      </w:r>
      <w:r w:rsidRPr="0040201F">
        <w:rPr>
          <w:rFonts w:ascii="Book Antiqua" w:hAnsi="Book Antiqua"/>
        </w:rPr>
        <w:t xml:space="preserve">, Allebeck P, Hallqvist J, Moradi T, Sidorchuk A. Type 2 diabetes incidence and socio-economic position: a systematic review and meta-analysis. </w:t>
      </w:r>
      <w:r w:rsidRPr="0040201F">
        <w:rPr>
          <w:rFonts w:ascii="Book Antiqua" w:hAnsi="Book Antiqua"/>
          <w:i/>
          <w:iCs/>
        </w:rPr>
        <w:t>Int J Epidemiol</w:t>
      </w:r>
      <w:r w:rsidRPr="0040201F">
        <w:rPr>
          <w:rFonts w:ascii="Book Antiqua" w:hAnsi="Book Antiqua"/>
        </w:rPr>
        <w:t xml:space="preserve"> 2011; </w:t>
      </w:r>
      <w:r w:rsidRPr="0040201F">
        <w:rPr>
          <w:rFonts w:ascii="Book Antiqua" w:hAnsi="Book Antiqua"/>
          <w:b/>
          <w:bCs/>
        </w:rPr>
        <w:t>40</w:t>
      </w:r>
      <w:r w:rsidRPr="0040201F">
        <w:rPr>
          <w:rFonts w:ascii="Book Antiqua" w:hAnsi="Book Antiqua"/>
        </w:rPr>
        <w:t>: 804-818 [PMID: 21335614 DOI: 10.1093/ije/dyr029]</w:t>
      </w:r>
    </w:p>
    <w:p w14:paraId="12817112" w14:textId="77777777" w:rsidR="00743A00" w:rsidRPr="0040201F" w:rsidRDefault="00000000">
      <w:pPr>
        <w:spacing w:line="360" w:lineRule="auto"/>
        <w:jc w:val="both"/>
        <w:rPr>
          <w:rFonts w:ascii="Book Antiqua" w:hAnsi="Book Antiqua"/>
        </w:rPr>
      </w:pPr>
      <w:r w:rsidRPr="0040201F">
        <w:rPr>
          <w:rFonts w:ascii="Book Antiqua" w:hAnsi="Book Antiqua"/>
        </w:rPr>
        <w:t xml:space="preserve">20 </w:t>
      </w:r>
      <w:r w:rsidRPr="0040201F">
        <w:rPr>
          <w:rFonts w:ascii="Book Antiqua" w:hAnsi="Book Antiqua"/>
          <w:b/>
          <w:bCs/>
        </w:rPr>
        <w:t>Bird Y</w:t>
      </w:r>
      <w:r w:rsidRPr="0040201F">
        <w:rPr>
          <w:rFonts w:ascii="Book Antiqua" w:hAnsi="Book Antiqua"/>
        </w:rPr>
        <w:t xml:space="preserve">, Lemstra M, Rogers M, Moraros J. The relationship between socioeconomic status/income and prevalence of diabetes and associated conditions: A cross-sectional population-based study in Saskatchewan, Canada. </w:t>
      </w:r>
      <w:r w:rsidRPr="0040201F">
        <w:rPr>
          <w:rFonts w:ascii="Book Antiqua" w:hAnsi="Book Antiqua"/>
          <w:i/>
          <w:iCs/>
        </w:rPr>
        <w:t>Int J Equity Health</w:t>
      </w:r>
      <w:r w:rsidRPr="0040201F">
        <w:rPr>
          <w:rFonts w:ascii="Book Antiqua" w:hAnsi="Book Antiqua"/>
        </w:rPr>
        <w:t xml:space="preserve"> 2015; </w:t>
      </w:r>
      <w:r w:rsidRPr="0040201F">
        <w:rPr>
          <w:rFonts w:ascii="Book Antiqua" w:hAnsi="Book Antiqua"/>
          <w:b/>
          <w:bCs/>
        </w:rPr>
        <w:t>14</w:t>
      </w:r>
      <w:r w:rsidRPr="0040201F">
        <w:rPr>
          <w:rFonts w:ascii="Book Antiqua" w:hAnsi="Book Antiqua"/>
        </w:rPr>
        <w:t>: 93 [PMID: 26458543 DOI: 10.1186/s12939-015-0237-0]</w:t>
      </w:r>
    </w:p>
    <w:p w14:paraId="0ADB8899" w14:textId="77777777" w:rsidR="00743A00" w:rsidRPr="0040201F" w:rsidRDefault="00000000">
      <w:pPr>
        <w:spacing w:line="360" w:lineRule="auto"/>
        <w:jc w:val="both"/>
        <w:rPr>
          <w:rFonts w:ascii="Book Antiqua" w:hAnsi="Book Antiqua"/>
          <w:lang w:val="es-MX"/>
        </w:rPr>
      </w:pPr>
      <w:r w:rsidRPr="0040201F">
        <w:rPr>
          <w:rFonts w:ascii="Book Antiqua" w:hAnsi="Book Antiqua"/>
        </w:rPr>
        <w:t>21</w:t>
      </w:r>
      <w:r w:rsidRPr="0040201F">
        <w:rPr>
          <w:rFonts w:ascii="Book Antiqua" w:hAnsi="Book Antiqua"/>
          <w:b/>
        </w:rPr>
        <w:t xml:space="preserve"> Ortiz N.</w:t>
      </w:r>
      <w:r w:rsidRPr="0040201F">
        <w:rPr>
          <w:rFonts w:ascii="Book Antiqua" w:hAnsi="Book Antiqua"/>
        </w:rPr>
        <w:t xml:space="preserve"> Relationships between social inequalities and type 2 diabetes. </w:t>
      </w:r>
      <w:r w:rsidRPr="0040201F">
        <w:rPr>
          <w:rFonts w:ascii="Book Antiqua" w:hAnsi="Book Antiqua"/>
          <w:i/>
          <w:lang w:val="es-MX"/>
        </w:rPr>
        <w:t>Revista Gerencia y Políticas de Salud</w:t>
      </w:r>
      <w:r w:rsidRPr="0040201F">
        <w:rPr>
          <w:rFonts w:ascii="Book Antiqua" w:hAnsi="Book Antiqua"/>
          <w:lang w:val="es-MX"/>
        </w:rPr>
        <w:t xml:space="preserve"> 2020; </w:t>
      </w:r>
      <w:r w:rsidRPr="0040201F">
        <w:rPr>
          <w:rFonts w:ascii="Book Antiqua" w:hAnsi="Book Antiqua"/>
          <w:b/>
          <w:bCs/>
          <w:lang w:val="es-MX"/>
        </w:rPr>
        <w:t>19</w:t>
      </w:r>
      <w:r w:rsidRPr="0040201F">
        <w:rPr>
          <w:rFonts w:ascii="Book Antiqua" w:hAnsi="Book Antiqua"/>
          <w:lang w:val="es-MX"/>
        </w:rPr>
        <w:t>: 1-21 [DOI: 10.11144/Javeriana.rgps19.rdsd]</w:t>
      </w:r>
    </w:p>
    <w:p w14:paraId="23140CE2" w14:textId="77777777" w:rsidR="00743A00" w:rsidRPr="0040201F" w:rsidRDefault="00000000">
      <w:pPr>
        <w:spacing w:line="360" w:lineRule="auto"/>
        <w:jc w:val="both"/>
        <w:rPr>
          <w:rFonts w:ascii="Book Antiqua" w:hAnsi="Book Antiqua"/>
        </w:rPr>
      </w:pPr>
      <w:r w:rsidRPr="0040201F">
        <w:rPr>
          <w:rFonts w:ascii="Book Antiqua" w:hAnsi="Book Antiqua"/>
        </w:rPr>
        <w:t xml:space="preserve">22 </w:t>
      </w:r>
      <w:r w:rsidRPr="0040201F">
        <w:rPr>
          <w:rFonts w:ascii="Book Antiqua" w:hAnsi="Book Antiqua"/>
          <w:b/>
          <w:bCs/>
        </w:rPr>
        <w:t>Hwang J</w:t>
      </w:r>
      <w:r w:rsidRPr="0040201F">
        <w:rPr>
          <w:rFonts w:ascii="Book Antiqua" w:hAnsi="Book Antiqua"/>
        </w:rPr>
        <w:t xml:space="preserve">, Shon C. Relationship between socioeconomic status and type 2 diabetes: results from Korea National Health and Nutrition Examination Survey (KNHANES) 2010-2012. </w:t>
      </w:r>
      <w:r w:rsidRPr="0040201F">
        <w:rPr>
          <w:rFonts w:ascii="Book Antiqua" w:hAnsi="Book Antiqua"/>
          <w:i/>
          <w:iCs/>
        </w:rPr>
        <w:t>BMJ Open</w:t>
      </w:r>
      <w:r w:rsidRPr="0040201F">
        <w:rPr>
          <w:rFonts w:ascii="Book Antiqua" w:hAnsi="Book Antiqua"/>
        </w:rPr>
        <w:t xml:space="preserve"> 2014; </w:t>
      </w:r>
      <w:r w:rsidRPr="0040201F">
        <w:rPr>
          <w:rFonts w:ascii="Book Antiqua" w:hAnsi="Book Antiqua"/>
          <w:b/>
          <w:bCs/>
        </w:rPr>
        <w:t>4</w:t>
      </w:r>
      <w:r w:rsidRPr="0040201F">
        <w:rPr>
          <w:rFonts w:ascii="Book Antiqua" w:hAnsi="Book Antiqua"/>
        </w:rPr>
        <w:t>: e005710 [PMID: 25138810 DOI: 10.1136/bmjopen-2014-005710]</w:t>
      </w:r>
    </w:p>
    <w:p w14:paraId="533EEF86" w14:textId="77777777" w:rsidR="00743A00" w:rsidRPr="0040201F" w:rsidRDefault="00000000">
      <w:pPr>
        <w:spacing w:line="360" w:lineRule="auto"/>
        <w:jc w:val="both"/>
        <w:rPr>
          <w:rFonts w:ascii="Book Antiqua" w:hAnsi="Book Antiqua"/>
        </w:rPr>
      </w:pPr>
      <w:r w:rsidRPr="0040201F">
        <w:rPr>
          <w:rFonts w:ascii="Book Antiqua" w:hAnsi="Book Antiqua"/>
        </w:rPr>
        <w:t xml:space="preserve">23 </w:t>
      </w:r>
      <w:r w:rsidRPr="0040201F">
        <w:rPr>
          <w:rFonts w:ascii="Book Antiqua" w:hAnsi="Book Antiqua"/>
          <w:b/>
          <w:bCs/>
        </w:rPr>
        <w:t>Reinehr T</w:t>
      </w:r>
      <w:r w:rsidRPr="0040201F">
        <w:rPr>
          <w:rFonts w:ascii="Book Antiqua" w:hAnsi="Book Antiqua"/>
        </w:rPr>
        <w:t xml:space="preserve">, Schober E, Wiegand S, Thon A, Holl R; DPV-Wiss Study Group. Beta-cell autoantibodies in children with type 2 diabetes mellitus: subgroup or misclassification? </w:t>
      </w:r>
      <w:r w:rsidRPr="0040201F">
        <w:rPr>
          <w:rFonts w:ascii="Book Antiqua" w:hAnsi="Book Antiqua"/>
          <w:i/>
          <w:iCs/>
        </w:rPr>
        <w:t>Arch Dis Child</w:t>
      </w:r>
      <w:r w:rsidRPr="0040201F">
        <w:rPr>
          <w:rFonts w:ascii="Book Antiqua" w:hAnsi="Book Antiqua"/>
        </w:rPr>
        <w:t xml:space="preserve"> 2006; </w:t>
      </w:r>
      <w:r w:rsidRPr="0040201F">
        <w:rPr>
          <w:rFonts w:ascii="Book Antiqua" w:hAnsi="Book Antiqua"/>
          <w:b/>
          <w:bCs/>
        </w:rPr>
        <w:t>91</w:t>
      </w:r>
      <w:r w:rsidRPr="0040201F">
        <w:rPr>
          <w:rFonts w:ascii="Book Antiqua" w:hAnsi="Book Antiqua"/>
        </w:rPr>
        <w:t>: 473-477 [PMID: 16449253 DOI: 10.1136/adc.2005.088229]</w:t>
      </w:r>
    </w:p>
    <w:p w14:paraId="3077D514" w14:textId="77777777" w:rsidR="00743A00" w:rsidRDefault="00000000">
      <w:pPr>
        <w:spacing w:line="360" w:lineRule="auto"/>
        <w:jc w:val="both"/>
        <w:rPr>
          <w:rFonts w:ascii="Book Antiqua" w:hAnsi="Book Antiqua"/>
        </w:rPr>
      </w:pPr>
      <w:r w:rsidRPr="0040201F">
        <w:rPr>
          <w:rFonts w:ascii="Book Antiqua" w:hAnsi="Book Antiqua"/>
        </w:rPr>
        <w:lastRenderedPageBreak/>
        <w:t xml:space="preserve">24 </w:t>
      </w:r>
      <w:r w:rsidRPr="0040201F">
        <w:rPr>
          <w:rFonts w:ascii="Book Antiqua" w:hAnsi="Book Antiqua"/>
          <w:b/>
          <w:bCs/>
        </w:rPr>
        <w:t>Gottschalk M</w:t>
      </w:r>
      <w:r w:rsidRPr="0040201F">
        <w:rPr>
          <w:rFonts w:ascii="Book Antiqua" w:hAnsi="Book Antiqua"/>
        </w:rPr>
        <w:t xml:space="preserve">, Danne T, Fuerst-Recktenwald S. Ethnic origin is unrelated to autoimmunity and residual pancreatic function in 471 youth with clinically diagnosed type 2 diabetes. </w:t>
      </w:r>
      <w:r w:rsidRPr="0040201F">
        <w:rPr>
          <w:rFonts w:ascii="Book Antiqua" w:hAnsi="Book Antiqua"/>
          <w:i/>
          <w:iCs/>
        </w:rPr>
        <w:t>Pediatr Diabetes</w:t>
      </w:r>
      <w:r w:rsidRPr="0040201F">
        <w:rPr>
          <w:rFonts w:ascii="Book Antiqua" w:hAnsi="Book Antiqua"/>
        </w:rPr>
        <w:t xml:space="preserve"> 2009; </w:t>
      </w:r>
      <w:r w:rsidRPr="0040201F">
        <w:rPr>
          <w:rFonts w:ascii="Book Antiqua" w:hAnsi="Book Antiqua"/>
          <w:b/>
          <w:bCs/>
        </w:rPr>
        <w:t>10</w:t>
      </w:r>
      <w:r w:rsidRPr="0040201F">
        <w:rPr>
          <w:rFonts w:ascii="Book Antiqua" w:hAnsi="Book Antiqua"/>
        </w:rPr>
        <w:t>: 240-247 [PMID: 19493247 DOI: 10.1111/j.1399-5448.</w:t>
      </w:r>
      <w:proofErr w:type="gramStart"/>
      <w:r w:rsidRPr="0040201F">
        <w:rPr>
          <w:rFonts w:ascii="Book Antiqua" w:hAnsi="Book Antiqua"/>
        </w:rPr>
        <w:t>2008.00489.x</w:t>
      </w:r>
      <w:proofErr w:type="gramEnd"/>
      <w:r w:rsidRPr="0040201F">
        <w:rPr>
          <w:rFonts w:ascii="Book Antiqua" w:hAnsi="Book Antiqua"/>
        </w:rPr>
        <w:t>]</w:t>
      </w:r>
    </w:p>
    <w:p w14:paraId="00361B3D" w14:textId="77777777" w:rsidR="00743A00" w:rsidRDefault="00743A00">
      <w:pPr>
        <w:spacing w:line="360" w:lineRule="auto"/>
        <w:jc w:val="both"/>
        <w:rPr>
          <w:rFonts w:ascii="Book Antiqua" w:hAnsi="Book Antiqua"/>
        </w:rPr>
      </w:pPr>
    </w:p>
    <w:p w14:paraId="36BFA4C3" w14:textId="77777777" w:rsidR="00743A00" w:rsidRDefault="00000000">
      <w:pPr>
        <w:spacing w:line="360" w:lineRule="auto"/>
        <w:jc w:val="both"/>
        <w:rPr>
          <w:rFonts w:ascii="Book Antiqua" w:hAnsi="Book Antiqua"/>
        </w:rPr>
      </w:pPr>
      <w:r>
        <w:rPr>
          <w:rFonts w:ascii="Book Antiqua" w:eastAsia="Book Antiqua" w:hAnsi="Book Antiqua" w:cs="Book Antiqua"/>
          <w:b/>
          <w:color w:val="000000"/>
        </w:rPr>
        <w:t>Footnotes</w:t>
      </w:r>
    </w:p>
    <w:p w14:paraId="7120B01E" w14:textId="77777777" w:rsidR="00743A00" w:rsidRDefault="00000000">
      <w:pPr>
        <w:spacing w:line="360" w:lineRule="auto"/>
        <w:jc w:val="both"/>
        <w:rPr>
          <w:rFonts w:ascii="Book Antiqua" w:hAnsi="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authorized by the ethics and research committee of the Federico Gomez Children's Hospital of Mexico.</w:t>
      </w:r>
    </w:p>
    <w:p w14:paraId="0E1170FA" w14:textId="77777777" w:rsidR="00743A00" w:rsidRDefault="00743A00">
      <w:pPr>
        <w:spacing w:line="360" w:lineRule="auto"/>
        <w:jc w:val="both"/>
        <w:rPr>
          <w:rFonts w:ascii="Book Antiqua" w:hAnsi="Book Antiqua"/>
        </w:rPr>
      </w:pPr>
    </w:p>
    <w:p w14:paraId="4E27E6E2" w14:textId="77777777" w:rsidR="00743A00" w:rsidRDefault="00000000">
      <w:pPr>
        <w:adjustRightInd w:val="0"/>
        <w:snapToGrid w:val="0"/>
        <w:spacing w:line="360" w:lineRule="auto"/>
        <w:jc w:val="both"/>
        <w:rPr>
          <w:rFonts w:ascii="Book Antiqua" w:hAnsi="Book Antiqua"/>
          <w:b/>
          <w:color w:val="000000"/>
        </w:rPr>
      </w:pPr>
      <w:r>
        <w:rPr>
          <w:rFonts w:ascii="Book Antiqua" w:hAnsi="Book Antiqua"/>
          <w:b/>
          <w:color w:val="000000"/>
        </w:rPr>
        <w:t>Informed consent statement</w:t>
      </w:r>
      <w:r>
        <w:rPr>
          <w:rFonts w:ascii="Book Antiqua" w:hAnsi="Book Antiqua"/>
          <w:b/>
          <w:bCs/>
          <w:iCs/>
          <w:color w:val="000000"/>
        </w:rPr>
        <w:t xml:space="preserve">: </w:t>
      </w:r>
      <w:r>
        <w:rPr>
          <w:rFonts w:ascii="Book Antiqua" w:hAnsi="Book Antiqua"/>
          <w:bCs/>
          <w:iCs/>
          <w:color w:val="000000"/>
        </w:rPr>
        <w:t>All study participants, or their legal guardian, provided informed written consent prior to study enrollment.</w:t>
      </w:r>
    </w:p>
    <w:p w14:paraId="6BD1518D" w14:textId="77777777" w:rsidR="00743A00" w:rsidRDefault="00743A00">
      <w:pPr>
        <w:spacing w:line="360" w:lineRule="auto"/>
        <w:jc w:val="both"/>
        <w:rPr>
          <w:rFonts w:ascii="Book Antiqua" w:eastAsia="Book Antiqua" w:hAnsi="Book Antiqua" w:cs="Book Antiqua"/>
          <w:b/>
          <w:bCs/>
          <w:color w:val="000000"/>
        </w:rPr>
      </w:pPr>
    </w:p>
    <w:p w14:paraId="58328C2D" w14:textId="77777777" w:rsidR="00743A00" w:rsidRDefault="0000000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bCs/>
          <w:color w:val="000000"/>
        </w:rPr>
        <w:t xml:space="preserve">All </w:t>
      </w:r>
      <w:r>
        <w:rPr>
          <w:rFonts w:ascii="Book Antiqua" w:eastAsia="Book Antiqua" w:hAnsi="Book Antiqua" w:cs="Book Antiqua"/>
          <w:color w:val="000000"/>
        </w:rPr>
        <w:t>the authors declare they have no conflict of interest</w:t>
      </w:r>
      <w:r>
        <w:rPr>
          <w:rFonts w:ascii="Book Antiqua" w:eastAsia="宋体" w:hAnsi="Book Antiqua" w:cs="Book Antiqua" w:hint="eastAsia"/>
          <w:color w:val="000000"/>
          <w:lang w:eastAsia="zh-CN"/>
        </w:rPr>
        <w:t xml:space="preserve"> to disclose</w:t>
      </w:r>
      <w:r>
        <w:rPr>
          <w:rFonts w:ascii="Book Antiqua" w:eastAsia="Book Antiqua" w:hAnsi="Book Antiqua" w:cs="Book Antiqua"/>
          <w:color w:val="000000"/>
        </w:rPr>
        <w:t>.</w:t>
      </w:r>
    </w:p>
    <w:p w14:paraId="2638813A" w14:textId="77777777" w:rsidR="00743A00" w:rsidRDefault="00743A00">
      <w:pPr>
        <w:spacing w:line="360" w:lineRule="auto"/>
        <w:jc w:val="both"/>
        <w:rPr>
          <w:rFonts w:ascii="Book Antiqua" w:hAnsi="Book Antiqua"/>
        </w:rPr>
      </w:pPr>
    </w:p>
    <w:p w14:paraId="60C2509B" w14:textId="77777777" w:rsidR="00743A00" w:rsidRDefault="00000000">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199B2F8A" w14:textId="77777777" w:rsidR="00743A00" w:rsidRDefault="00743A00">
      <w:pPr>
        <w:spacing w:line="360" w:lineRule="auto"/>
        <w:jc w:val="both"/>
        <w:rPr>
          <w:rFonts w:ascii="Book Antiqua" w:hAnsi="Book Antiqua"/>
        </w:rPr>
      </w:pPr>
    </w:p>
    <w:p w14:paraId="717B83D1" w14:textId="77777777" w:rsidR="00743A00" w:rsidRDefault="00000000">
      <w:pPr>
        <w:spacing w:line="360" w:lineRule="auto"/>
        <w:jc w:val="both"/>
        <w:rPr>
          <w:rFonts w:ascii="Book Antiqua" w:hAnsi="Book Antiqua"/>
        </w:rPr>
      </w:pPr>
      <w:bookmarkStart w:id="1" w:name="OLE_LINK507"/>
      <w:bookmarkStart w:id="2" w:name="OLE_LINK496"/>
      <w:bookmarkStart w:id="3" w:name="OLE_LINK506"/>
      <w:bookmarkStart w:id="4" w:name="OLE_LINK479"/>
      <w:r>
        <w:rPr>
          <w:rFonts w:ascii="Book Antiqua" w:hAnsi="Book Antiqua"/>
          <w:b/>
          <w:color w:val="000000"/>
        </w:rPr>
        <w:t xml:space="preserve">STROBE statement: </w:t>
      </w:r>
      <w:r>
        <w:rPr>
          <w:rFonts w:ascii="Book Antiqua" w:hAnsi="Book Antiqua" w:cs="Garamond-Bold"/>
          <w:bCs/>
          <w:color w:val="000000"/>
        </w:rPr>
        <w:t>The authors have read the STROBE Statement—checklist of items, and the manuscript was prepared and revised according to the STROBE Statement—checklist of items.</w:t>
      </w:r>
      <w:bookmarkEnd w:id="1"/>
      <w:bookmarkEnd w:id="2"/>
      <w:bookmarkEnd w:id="3"/>
      <w:bookmarkEnd w:id="4"/>
    </w:p>
    <w:p w14:paraId="2A7CDC18" w14:textId="77777777" w:rsidR="00743A00" w:rsidRDefault="00743A00">
      <w:pPr>
        <w:spacing w:line="360" w:lineRule="auto"/>
        <w:jc w:val="both"/>
        <w:rPr>
          <w:rFonts w:ascii="Book Antiqua" w:hAnsi="Book Antiqua"/>
        </w:rPr>
      </w:pPr>
    </w:p>
    <w:p w14:paraId="13143F3E" w14:textId="77777777" w:rsidR="00743A00" w:rsidRDefault="00000000">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CADBAF" w14:textId="77777777" w:rsidR="00743A00" w:rsidRDefault="00743A00">
      <w:pPr>
        <w:spacing w:line="360" w:lineRule="auto"/>
        <w:jc w:val="both"/>
        <w:rPr>
          <w:rFonts w:ascii="Book Antiqua" w:hAnsi="Book Antiqua"/>
        </w:rPr>
      </w:pPr>
    </w:p>
    <w:p w14:paraId="235A77DB" w14:textId="77777777" w:rsidR="00743A00"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60B4D7A3" w14:textId="77777777" w:rsidR="00743A00" w:rsidRDefault="00000000">
      <w:pPr>
        <w:spacing w:line="360" w:lineRule="auto"/>
        <w:jc w:val="both"/>
        <w:rPr>
          <w:rFonts w:ascii="Book Antiqua" w:hAnsi="Book Antiqua"/>
        </w:rPr>
      </w:pPr>
      <w:r>
        <w:rPr>
          <w:rFonts w:ascii="Book Antiqua" w:eastAsia="Book Antiqua" w:hAnsi="Book Antiqua" w:cs="Book Antiqua"/>
          <w:b/>
          <w:color w:val="000000"/>
        </w:rPr>
        <w:lastRenderedPageBreak/>
        <w:t xml:space="preserve">Peer-review model: </w:t>
      </w:r>
      <w:r>
        <w:rPr>
          <w:rFonts w:ascii="Book Antiqua" w:eastAsia="Book Antiqua" w:hAnsi="Book Antiqua" w:cs="Book Antiqua"/>
          <w:color w:val="000000"/>
        </w:rPr>
        <w:t>Single blind</w:t>
      </w:r>
    </w:p>
    <w:p w14:paraId="14C16235" w14:textId="77777777" w:rsidR="00743A00" w:rsidRDefault="00743A00">
      <w:pPr>
        <w:spacing w:line="360" w:lineRule="auto"/>
        <w:jc w:val="both"/>
        <w:rPr>
          <w:rFonts w:ascii="Book Antiqua" w:hAnsi="Book Antiqua"/>
        </w:rPr>
      </w:pPr>
    </w:p>
    <w:p w14:paraId="59E1447F" w14:textId="77777777" w:rsidR="00743A00"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15, 2022</w:t>
      </w:r>
    </w:p>
    <w:p w14:paraId="320DB3A6" w14:textId="77777777" w:rsidR="00743A00"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3, 2023</w:t>
      </w:r>
    </w:p>
    <w:p w14:paraId="52B1B647" w14:textId="4E1D221C" w:rsidR="00743A00"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8411F2">
        <w:rPr>
          <w:rFonts w:ascii="Book Antiqua" w:eastAsia="Book Antiqua" w:hAnsi="Book Antiqua" w:cs="Book Antiqua"/>
          <w:color w:val="000000"/>
        </w:rPr>
        <w:t>February 14, 2023</w:t>
      </w:r>
    </w:p>
    <w:p w14:paraId="06AAACDF" w14:textId="77777777" w:rsidR="00743A00" w:rsidRDefault="00743A00">
      <w:pPr>
        <w:spacing w:line="360" w:lineRule="auto"/>
        <w:jc w:val="both"/>
        <w:rPr>
          <w:rFonts w:ascii="Book Antiqua" w:hAnsi="Book Antiqua"/>
        </w:rPr>
      </w:pPr>
    </w:p>
    <w:p w14:paraId="5CB689C7" w14:textId="77777777" w:rsidR="00743A00"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Endocrinology and metabolism</w:t>
      </w:r>
    </w:p>
    <w:p w14:paraId="61D07BEC" w14:textId="77777777" w:rsidR="00743A00"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Mexico</w:t>
      </w:r>
    </w:p>
    <w:p w14:paraId="162EE467" w14:textId="77777777" w:rsidR="00743A00"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FFD0AD4" w14:textId="77777777" w:rsidR="00743A00" w:rsidRDefault="00000000">
      <w:pPr>
        <w:spacing w:line="360" w:lineRule="auto"/>
        <w:jc w:val="both"/>
        <w:rPr>
          <w:rFonts w:ascii="Book Antiqua" w:hAnsi="Book Antiqua"/>
        </w:rPr>
      </w:pPr>
      <w:r>
        <w:rPr>
          <w:rFonts w:ascii="Book Antiqua" w:eastAsia="Book Antiqua" w:hAnsi="Book Antiqua" w:cs="Book Antiqua"/>
          <w:color w:val="000000"/>
        </w:rPr>
        <w:t>Grade A (Excellent): 0</w:t>
      </w:r>
    </w:p>
    <w:p w14:paraId="49951E76" w14:textId="77777777" w:rsidR="00743A00" w:rsidRDefault="00000000">
      <w:pPr>
        <w:spacing w:line="360" w:lineRule="auto"/>
        <w:jc w:val="both"/>
        <w:rPr>
          <w:rFonts w:ascii="Book Antiqua" w:hAnsi="Book Antiqua"/>
        </w:rPr>
      </w:pPr>
      <w:r>
        <w:rPr>
          <w:rFonts w:ascii="Book Antiqua" w:eastAsia="Book Antiqua" w:hAnsi="Book Antiqua" w:cs="Book Antiqua"/>
          <w:color w:val="000000"/>
        </w:rPr>
        <w:t>Grade B (Very good): B</w:t>
      </w:r>
    </w:p>
    <w:p w14:paraId="78BE7E96" w14:textId="77777777" w:rsidR="00743A00" w:rsidRDefault="00000000">
      <w:pPr>
        <w:spacing w:line="360" w:lineRule="auto"/>
        <w:jc w:val="both"/>
        <w:rPr>
          <w:rFonts w:ascii="Book Antiqua" w:hAnsi="Book Antiqua"/>
        </w:rPr>
      </w:pPr>
      <w:r>
        <w:rPr>
          <w:rFonts w:ascii="Book Antiqua" w:eastAsia="Book Antiqua" w:hAnsi="Book Antiqua" w:cs="Book Antiqua"/>
          <w:color w:val="000000"/>
        </w:rPr>
        <w:t>Grade C (Good): C</w:t>
      </w:r>
    </w:p>
    <w:p w14:paraId="3F0B4C02" w14:textId="77777777" w:rsidR="00743A00" w:rsidRDefault="00000000">
      <w:pPr>
        <w:spacing w:line="360" w:lineRule="auto"/>
        <w:jc w:val="both"/>
        <w:rPr>
          <w:rFonts w:ascii="Book Antiqua" w:hAnsi="Book Antiqua"/>
        </w:rPr>
      </w:pPr>
      <w:r>
        <w:rPr>
          <w:rFonts w:ascii="Book Antiqua" w:eastAsia="Book Antiqua" w:hAnsi="Book Antiqua" w:cs="Book Antiqua"/>
          <w:color w:val="000000"/>
        </w:rPr>
        <w:t>Grade D (Fair): 0</w:t>
      </w:r>
    </w:p>
    <w:p w14:paraId="2F6FCAF5" w14:textId="77777777" w:rsidR="00743A00" w:rsidRDefault="00000000">
      <w:pPr>
        <w:spacing w:line="360" w:lineRule="auto"/>
        <w:jc w:val="both"/>
        <w:rPr>
          <w:rFonts w:ascii="Book Antiqua" w:hAnsi="Book Antiqua"/>
        </w:rPr>
      </w:pPr>
      <w:r>
        <w:rPr>
          <w:rFonts w:ascii="Book Antiqua" w:eastAsia="Book Antiqua" w:hAnsi="Book Antiqua" w:cs="Book Antiqua"/>
          <w:color w:val="000000"/>
        </w:rPr>
        <w:t>Grade E (Poor): 0</w:t>
      </w:r>
    </w:p>
    <w:p w14:paraId="6EC9F7DC" w14:textId="77777777" w:rsidR="00743A00" w:rsidRDefault="00743A00">
      <w:pPr>
        <w:spacing w:line="360" w:lineRule="auto"/>
        <w:jc w:val="both"/>
        <w:rPr>
          <w:rFonts w:ascii="Book Antiqua" w:hAnsi="Book Antiqua"/>
        </w:rPr>
      </w:pPr>
    </w:p>
    <w:p w14:paraId="5536B17A" w14:textId="77777777" w:rsidR="00743A00"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Asif M, Pakistan; Latiri IO, Tunisia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eastAsia="宋体" w:hAnsi="Book Antiqua" w:cs="Book Antiqua" w:hint="eastAsia"/>
          <w:color w:val="000000"/>
          <w:lang w:eastAsia="zh-CN"/>
        </w:rPr>
        <w:t>Wang TQ</w:t>
      </w:r>
      <w:r>
        <w:rPr>
          <w:rFonts w:ascii="Book Antiqua" w:eastAsia="Book Antiqua" w:hAnsi="Book Antiqua" w:cs="Book Antiqua"/>
          <w:b/>
          <w:color w:val="000000"/>
        </w:rPr>
        <w:t xml:space="preserve"> P-Editor: </w:t>
      </w:r>
      <w:r>
        <w:rPr>
          <w:rFonts w:ascii="Book Antiqua" w:eastAsia="Book Antiqua" w:hAnsi="Book Antiqua" w:cs="Book Antiqua"/>
          <w:color w:val="000000"/>
        </w:rPr>
        <w:t>Liu JH</w:t>
      </w:r>
    </w:p>
    <w:p w14:paraId="2E436738" w14:textId="77777777" w:rsidR="00743A00" w:rsidRDefault="00000000">
      <w:pPr>
        <w:widowControl w:val="0"/>
        <w:autoSpaceDE w:val="0"/>
        <w:autoSpaceDN w:val="0"/>
        <w:adjustRightInd w:val="0"/>
        <w:spacing w:line="360" w:lineRule="auto"/>
        <w:jc w:val="both"/>
        <w:rPr>
          <w:rFonts w:ascii="Book Antiqua" w:hAnsi="Book Antiqua" w:cstheme="minorHAnsi"/>
          <w:b/>
          <w:bCs/>
          <w:lang w:val="en-CA"/>
        </w:rPr>
      </w:pPr>
      <w:r>
        <w:rPr>
          <w:rFonts w:ascii="Book Antiqua" w:eastAsia="Book Antiqua" w:hAnsi="Book Antiqua" w:cs="Book Antiqua"/>
          <w:b/>
          <w:color w:val="000000"/>
        </w:rPr>
        <w:br w:type="page"/>
      </w:r>
      <w:r>
        <w:rPr>
          <w:rFonts w:ascii="Book Antiqua" w:hAnsi="Book Antiqua" w:cstheme="minorHAnsi"/>
          <w:b/>
          <w:bCs/>
          <w:lang w:val="en-CA"/>
        </w:rPr>
        <w:lastRenderedPageBreak/>
        <w:t>Table 1 Clinical and biochemical characteristics of patients with type 2 diabetes</w:t>
      </w:r>
    </w:p>
    <w:tbl>
      <w:tblPr>
        <w:tblW w:w="5000" w:type="pct"/>
        <w:tblBorders>
          <w:top w:val="single" w:sz="4" w:space="0" w:color="auto"/>
          <w:bottom w:val="single" w:sz="4" w:space="0" w:color="auto"/>
        </w:tblBorders>
        <w:tblLook w:val="04A0" w:firstRow="1" w:lastRow="0" w:firstColumn="1" w:lastColumn="0" w:noHBand="0" w:noVBand="1"/>
      </w:tblPr>
      <w:tblGrid>
        <w:gridCol w:w="3097"/>
        <w:gridCol w:w="2801"/>
        <w:gridCol w:w="2419"/>
        <w:gridCol w:w="1043"/>
      </w:tblGrid>
      <w:tr w:rsidR="00743A00" w14:paraId="2238AFC6" w14:textId="77777777">
        <w:trPr>
          <w:trHeight w:val="891"/>
        </w:trPr>
        <w:tc>
          <w:tcPr>
            <w:tcW w:w="1655" w:type="pct"/>
            <w:vMerge w:val="restart"/>
            <w:tcBorders>
              <w:top w:val="single" w:sz="4" w:space="0" w:color="auto"/>
              <w:bottom w:val="single" w:sz="4" w:space="0" w:color="auto"/>
            </w:tcBorders>
            <w:noWrap/>
          </w:tcPr>
          <w:p w14:paraId="6ADB9746" w14:textId="77777777" w:rsidR="00743A00" w:rsidRDefault="00000000">
            <w:pPr>
              <w:spacing w:line="360" w:lineRule="auto"/>
              <w:jc w:val="both"/>
              <w:rPr>
                <w:rFonts w:ascii="Book Antiqua" w:eastAsia="Times New Roman" w:hAnsi="Book Antiqua"/>
                <w:b/>
                <w:bCs/>
              </w:rPr>
            </w:pPr>
            <w:r>
              <w:rPr>
                <w:rFonts w:ascii="Book Antiqua" w:eastAsia="Times New Roman" w:hAnsi="Book Antiqua"/>
                <w:b/>
                <w:bCs/>
              </w:rPr>
              <w:t>Variable</w:t>
            </w:r>
          </w:p>
        </w:tc>
        <w:tc>
          <w:tcPr>
            <w:tcW w:w="1496" w:type="pct"/>
            <w:tcBorders>
              <w:top w:val="single" w:sz="4" w:space="0" w:color="auto"/>
              <w:bottom w:val="single" w:sz="4" w:space="0" w:color="auto"/>
            </w:tcBorders>
          </w:tcPr>
          <w:p w14:paraId="054740A9" w14:textId="77777777" w:rsidR="00743A00" w:rsidRDefault="00000000">
            <w:pPr>
              <w:spacing w:line="360" w:lineRule="auto"/>
              <w:jc w:val="both"/>
              <w:rPr>
                <w:rFonts w:ascii="Book Antiqua" w:eastAsia="Times New Roman" w:hAnsi="Book Antiqua"/>
                <w:b/>
                <w:bCs/>
              </w:rPr>
            </w:pPr>
            <w:r>
              <w:rPr>
                <w:rFonts w:ascii="Book Antiqua" w:eastAsia="Times New Roman" w:hAnsi="Book Antiqua"/>
                <w:b/>
                <w:bCs/>
              </w:rPr>
              <w:t>Patients with T2DM (2013)</w:t>
            </w:r>
          </w:p>
        </w:tc>
        <w:tc>
          <w:tcPr>
            <w:tcW w:w="1292" w:type="pct"/>
            <w:tcBorders>
              <w:top w:val="single" w:sz="4" w:space="0" w:color="auto"/>
              <w:bottom w:val="single" w:sz="4" w:space="0" w:color="auto"/>
            </w:tcBorders>
          </w:tcPr>
          <w:p w14:paraId="198839FC" w14:textId="77777777" w:rsidR="00743A00" w:rsidRDefault="00000000">
            <w:pPr>
              <w:spacing w:line="360" w:lineRule="auto"/>
              <w:jc w:val="both"/>
              <w:rPr>
                <w:rFonts w:ascii="Book Antiqua" w:eastAsia="Times New Roman" w:hAnsi="Book Antiqua"/>
                <w:b/>
                <w:bCs/>
              </w:rPr>
            </w:pPr>
            <w:r>
              <w:rPr>
                <w:rFonts w:ascii="Book Antiqua" w:eastAsia="Times New Roman" w:hAnsi="Book Antiqua"/>
                <w:b/>
                <w:bCs/>
              </w:rPr>
              <w:t>Patients with T2DM (2018)</w:t>
            </w:r>
          </w:p>
        </w:tc>
        <w:tc>
          <w:tcPr>
            <w:tcW w:w="557" w:type="pct"/>
            <w:vMerge w:val="restart"/>
            <w:tcBorders>
              <w:top w:val="single" w:sz="4" w:space="0" w:color="auto"/>
              <w:bottom w:val="single" w:sz="4" w:space="0" w:color="auto"/>
            </w:tcBorders>
          </w:tcPr>
          <w:p w14:paraId="1A2540EE" w14:textId="77777777" w:rsidR="00743A00" w:rsidRDefault="00000000">
            <w:pPr>
              <w:spacing w:line="360" w:lineRule="auto"/>
              <w:jc w:val="both"/>
              <w:rPr>
                <w:rFonts w:ascii="Book Antiqua" w:eastAsia="Times New Roman" w:hAnsi="Book Antiqua"/>
                <w:b/>
                <w:bCs/>
                <w:i/>
              </w:rPr>
            </w:pPr>
            <w:r>
              <w:rPr>
                <w:rFonts w:ascii="Book Antiqua" w:eastAsia="Times New Roman" w:hAnsi="Book Antiqua"/>
                <w:b/>
                <w:bCs/>
                <w:i/>
              </w:rPr>
              <w:t xml:space="preserve">P </w:t>
            </w:r>
            <w:r>
              <w:rPr>
                <w:rFonts w:ascii="Book Antiqua" w:eastAsia="Times New Roman" w:hAnsi="Book Antiqua"/>
                <w:b/>
                <w:bCs/>
              </w:rPr>
              <w:t>value</w:t>
            </w:r>
          </w:p>
        </w:tc>
      </w:tr>
      <w:tr w:rsidR="00743A00" w14:paraId="263B09D1" w14:textId="77777777">
        <w:trPr>
          <w:trHeight w:val="765"/>
        </w:trPr>
        <w:tc>
          <w:tcPr>
            <w:tcW w:w="1655" w:type="pct"/>
            <w:vMerge/>
            <w:tcBorders>
              <w:top w:val="single" w:sz="4" w:space="0" w:color="auto"/>
              <w:bottom w:val="single" w:sz="4" w:space="0" w:color="auto"/>
            </w:tcBorders>
            <w:noWrap/>
          </w:tcPr>
          <w:p w14:paraId="73BBF314" w14:textId="77777777" w:rsidR="00743A00" w:rsidRDefault="00743A00">
            <w:pPr>
              <w:spacing w:line="360" w:lineRule="auto"/>
              <w:jc w:val="both"/>
              <w:rPr>
                <w:rFonts w:ascii="Book Antiqua" w:eastAsia="Times New Roman" w:hAnsi="Book Antiqua"/>
                <w:b/>
                <w:bCs/>
              </w:rPr>
            </w:pPr>
          </w:p>
        </w:tc>
        <w:tc>
          <w:tcPr>
            <w:tcW w:w="1496" w:type="pct"/>
            <w:tcBorders>
              <w:top w:val="single" w:sz="4" w:space="0" w:color="auto"/>
              <w:bottom w:val="single" w:sz="4" w:space="0" w:color="auto"/>
            </w:tcBorders>
          </w:tcPr>
          <w:p w14:paraId="0C69304B" w14:textId="77777777" w:rsidR="00743A00" w:rsidRDefault="00000000">
            <w:pPr>
              <w:spacing w:line="360" w:lineRule="auto"/>
              <w:jc w:val="both"/>
              <w:rPr>
                <w:rFonts w:ascii="Book Antiqua" w:eastAsia="Times New Roman" w:hAnsi="Book Antiqua"/>
                <w:b/>
                <w:bCs/>
              </w:rPr>
            </w:pPr>
            <w:r>
              <w:rPr>
                <w:rFonts w:ascii="Book Antiqua" w:eastAsia="Times New Roman" w:hAnsi="Book Antiqua"/>
                <w:b/>
                <w:bCs/>
                <w:i/>
              </w:rPr>
              <w:t>n</w:t>
            </w:r>
            <w:r>
              <w:rPr>
                <w:rFonts w:ascii="Book Antiqua" w:eastAsia="Times New Roman" w:hAnsi="Book Antiqua"/>
                <w:b/>
                <w:bCs/>
              </w:rPr>
              <w:t xml:space="preserve"> = 47</w:t>
            </w:r>
          </w:p>
        </w:tc>
        <w:tc>
          <w:tcPr>
            <w:tcW w:w="1292" w:type="pct"/>
            <w:tcBorders>
              <w:top w:val="single" w:sz="4" w:space="0" w:color="auto"/>
              <w:bottom w:val="single" w:sz="4" w:space="0" w:color="auto"/>
            </w:tcBorders>
          </w:tcPr>
          <w:p w14:paraId="3A6E619F" w14:textId="77777777" w:rsidR="00743A00" w:rsidRDefault="00000000">
            <w:pPr>
              <w:spacing w:line="360" w:lineRule="auto"/>
              <w:jc w:val="both"/>
              <w:rPr>
                <w:rFonts w:ascii="Book Antiqua" w:eastAsia="Times New Roman" w:hAnsi="Book Antiqua"/>
                <w:b/>
                <w:bCs/>
              </w:rPr>
            </w:pPr>
            <w:r>
              <w:rPr>
                <w:rFonts w:ascii="Book Antiqua" w:eastAsia="Times New Roman" w:hAnsi="Book Antiqua"/>
                <w:b/>
                <w:bCs/>
                <w:i/>
              </w:rPr>
              <w:t>n</w:t>
            </w:r>
            <w:r>
              <w:rPr>
                <w:rFonts w:ascii="Book Antiqua" w:eastAsia="Times New Roman" w:hAnsi="Book Antiqua"/>
                <w:b/>
                <w:bCs/>
              </w:rPr>
              <w:t xml:space="preserve"> = 104</w:t>
            </w:r>
          </w:p>
        </w:tc>
        <w:tc>
          <w:tcPr>
            <w:tcW w:w="557" w:type="pct"/>
            <w:vMerge/>
            <w:tcBorders>
              <w:top w:val="single" w:sz="4" w:space="0" w:color="auto"/>
              <w:bottom w:val="single" w:sz="4" w:space="0" w:color="auto"/>
            </w:tcBorders>
          </w:tcPr>
          <w:p w14:paraId="37A3E954" w14:textId="77777777" w:rsidR="00743A00" w:rsidRDefault="00743A00">
            <w:pPr>
              <w:spacing w:line="360" w:lineRule="auto"/>
              <w:jc w:val="both"/>
              <w:rPr>
                <w:rFonts w:ascii="Book Antiqua" w:eastAsia="Times New Roman" w:hAnsi="Book Antiqua"/>
                <w:b/>
                <w:bCs/>
                <w:i/>
              </w:rPr>
            </w:pPr>
          </w:p>
        </w:tc>
      </w:tr>
      <w:tr w:rsidR="00743A00" w14:paraId="37134EA9" w14:textId="77777777">
        <w:trPr>
          <w:trHeight w:val="281"/>
        </w:trPr>
        <w:tc>
          <w:tcPr>
            <w:tcW w:w="1655" w:type="pct"/>
            <w:tcBorders>
              <w:top w:val="single" w:sz="4" w:space="0" w:color="auto"/>
            </w:tcBorders>
            <w:noWrap/>
          </w:tcPr>
          <w:p w14:paraId="41F469A6" w14:textId="77777777" w:rsidR="00743A00" w:rsidRDefault="00000000">
            <w:pPr>
              <w:spacing w:line="360" w:lineRule="auto"/>
              <w:jc w:val="both"/>
              <w:rPr>
                <w:rFonts w:ascii="Book Antiqua" w:eastAsia="Times New Roman" w:hAnsi="Book Antiqua"/>
              </w:rPr>
            </w:pPr>
            <w:r>
              <w:rPr>
                <w:rFonts w:ascii="Book Antiqua" w:eastAsia="Times New Roman" w:hAnsi="Book Antiqua"/>
              </w:rPr>
              <w:t>Sex [H (%)]</w:t>
            </w:r>
          </w:p>
        </w:tc>
        <w:tc>
          <w:tcPr>
            <w:tcW w:w="1496" w:type="pct"/>
            <w:tcBorders>
              <w:top w:val="single" w:sz="4" w:space="0" w:color="auto"/>
            </w:tcBorders>
          </w:tcPr>
          <w:p w14:paraId="5885CD29"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26 (55.3)</w:t>
            </w:r>
          </w:p>
        </w:tc>
        <w:tc>
          <w:tcPr>
            <w:tcW w:w="1292" w:type="pct"/>
            <w:tcBorders>
              <w:top w:val="single" w:sz="4" w:space="0" w:color="auto"/>
            </w:tcBorders>
          </w:tcPr>
          <w:p w14:paraId="201C7F27"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34 (32.7)</w:t>
            </w:r>
          </w:p>
        </w:tc>
        <w:tc>
          <w:tcPr>
            <w:tcW w:w="557" w:type="pct"/>
            <w:tcBorders>
              <w:top w:val="single" w:sz="4" w:space="0" w:color="auto"/>
            </w:tcBorders>
          </w:tcPr>
          <w:p w14:paraId="0046CC2B" w14:textId="77777777" w:rsidR="00743A00" w:rsidRDefault="00000000">
            <w:pPr>
              <w:pStyle w:val="DecimalAligned"/>
              <w:spacing w:after="0" w:line="360" w:lineRule="auto"/>
              <w:jc w:val="both"/>
              <w:rPr>
                <w:rFonts w:ascii="Book Antiqua" w:hAnsi="Book Antiqua"/>
                <w:b/>
                <w:bCs/>
                <w:sz w:val="24"/>
                <w:szCs w:val="24"/>
              </w:rPr>
            </w:pPr>
            <w:r>
              <w:rPr>
                <w:rFonts w:ascii="Book Antiqua" w:hAnsi="Book Antiqua"/>
                <w:b/>
                <w:bCs/>
                <w:sz w:val="24"/>
                <w:szCs w:val="24"/>
              </w:rPr>
              <w:t>0.009</w:t>
            </w:r>
          </w:p>
        </w:tc>
      </w:tr>
      <w:tr w:rsidR="00743A00" w14:paraId="1C11DDEE" w14:textId="77777777">
        <w:trPr>
          <w:trHeight w:val="281"/>
        </w:trPr>
        <w:tc>
          <w:tcPr>
            <w:tcW w:w="1655" w:type="pct"/>
            <w:noWrap/>
          </w:tcPr>
          <w:p w14:paraId="7ABD7658" w14:textId="77777777" w:rsidR="00743A00" w:rsidRDefault="00000000">
            <w:pPr>
              <w:spacing w:line="360" w:lineRule="auto"/>
              <w:jc w:val="both"/>
              <w:rPr>
                <w:rFonts w:ascii="Book Antiqua" w:eastAsia="Times New Roman" w:hAnsi="Book Antiqua"/>
                <w:vertAlign w:val="superscript"/>
              </w:rPr>
            </w:pPr>
            <w:r>
              <w:rPr>
                <w:rFonts w:ascii="Book Antiqua" w:eastAsia="Times New Roman" w:hAnsi="Book Antiqua"/>
              </w:rPr>
              <w:t>Age (yr)</w:t>
            </w:r>
            <w:r>
              <w:rPr>
                <w:rFonts w:ascii="Book Antiqua" w:eastAsia="Times New Roman" w:hAnsi="Book Antiqua"/>
                <w:vertAlign w:val="superscript"/>
              </w:rPr>
              <w:t>a</w:t>
            </w:r>
          </w:p>
        </w:tc>
        <w:tc>
          <w:tcPr>
            <w:tcW w:w="1496" w:type="pct"/>
          </w:tcPr>
          <w:p w14:paraId="51720B19"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12.96 ± 1.9</w:t>
            </w:r>
          </w:p>
        </w:tc>
        <w:tc>
          <w:tcPr>
            <w:tcW w:w="1292" w:type="pct"/>
          </w:tcPr>
          <w:p w14:paraId="1F20A51C"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14.6 ± 1.9</w:t>
            </w:r>
          </w:p>
        </w:tc>
        <w:tc>
          <w:tcPr>
            <w:tcW w:w="557" w:type="pct"/>
          </w:tcPr>
          <w:p w14:paraId="426AF3A5" w14:textId="77777777" w:rsidR="00743A00" w:rsidRDefault="00000000">
            <w:pPr>
              <w:pStyle w:val="DecimalAligned"/>
              <w:spacing w:after="0" w:line="360" w:lineRule="auto"/>
              <w:jc w:val="both"/>
              <w:rPr>
                <w:rFonts w:ascii="Book Antiqua" w:hAnsi="Book Antiqua"/>
                <w:b/>
                <w:bCs/>
                <w:sz w:val="24"/>
                <w:szCs w:val="24"/>
              </w:rPr>
            </w:pPr>
            <w:r>
              <w:rPr>
                <w:rFonts w:ascii="Book Antiqua" w:hAnsi="Book Antiqua"/>
                <w:b/>
                <w:bCs/>
                <w:sz w:val="24"/>
                <w:szCs w:val="24"/>
              </w:rPr>
              <w:t>0.000</w:t>
            </w:r>
          </w:p>
        </w:tc>
      </w:tr>
      <w:tr w:rsidR="00743A00" w14:paraId="418BC41F" w14:textId="77777777">
        <w:trPr>
          <w:trHeight w:val="281"/>
        </w:trPr>
        <w:tc>
          <w:tcPr>
            <w:tcW w:w="1655" w:type="pct"/>
            <w:noWrap/>
          </w:tcPr>
          <w:p w14:paraId="747BB6E5" w14:textId="77777777" w:rsidR="00743A00" w:rsidRDefault="00000000">
            <w:pPr>
              <w:spacing w:line="360" w:lineRule="auto"/>
              <w:jc w:val="both"/>
              <w:rPr>
                <w:rFonts w:ascii="Book Antiqua" w:eastAsia="Times New Roman" w:hAnsi="Book Antiqua"/>
              </w:rPr>
            </w:pPr>
            <w:r>
              <w:rPr>
                <w:rFonts w:ascii="Book Antiqua" w:eastAsia="Times New Roman" w:hAnsi="Book Antiqua"/>
              </w:rPr>
              <w:t>Weight (kg)</w:t>
            </w:r>
          </w:p>
        </w:tc>
        <w:tc>
          <w:tcPr>
            <w:tcW w:w="1496" w:type="pct"/>
          </w:tcPr>
          <w:p w14:paraId="49245B50"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62.6 ± 20.4</w:t>
            </w:r>
          </w:p>
        </w:tc>
        <w:tc>
          <w:tcPr>
            <w:tcW w:w="1292" w:type="pct"/>
          </w:tcPr>
          <w:p w14:paraId="12CFEA1A"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62.8 ± 19.4</w:t>
            </w:r>
          </w:p>
        </w:tc>
        <w:tc>
          <w:tcPr>
            <w:tcW w:w="557" w:type="pct"/>
          </w:tcPr>
          <w:p w14:paraId="4D549959"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0.956</w:t>
            </w:r>
          </w:p>
        </w:tc>
      </w:tr>
      <w:tr w:rsidR="00743A00" w14:paraId="6AE3E5CA" w14:textId="77777777">
        <w:trPr>
          <w:trHeight w:val="281"/>
        </w:trPr>
        <w:tc>
          <w:tcPr>
            <w:tcW w:w="1655" w:type="pct"/>
            <w:noWrap/>
          </w:tcPr>
          <w:p w14:paraId="29EFBC78" w14:textId="77777777" w:rsidR="00743A00" w:rsidRDefault="00000000">
            <w:pPr>
              <w:spacing w:line="360" w:lineRule="auto"/>
              <w:jc w:val="both"/>
              <w:rPr>
                <w:rFonts w:ascii="Book Antiqua" w:eastAsia="Times New Roman" w:hAnsi="Book Antiqua"/>
              </w:rPr>
            </w:pPr>
            <w:r>
              <w:rPr>
                <w:rFonts w:ascii="Book Antiqua" w:eastAsia="Times New Roman" w:hAnsi="Book Antiqua"/>
              </w:rPr>
              <w:t>Height (cm)</w:t>
            </w:r>
          </w:p>
        </w:tc>
        <w:tc>
          <w:tcPr>
            <w:tcW w:w="1496" w:type="pct"/>
          </w:tcPr>
          <w:p w14:paraId="6D1E0DF3"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157.5 ± 14.2</w:t>
            </w:r>
          </w:p>
        </w:tc>
        <w:tc>
          <w:tcPr>
            <w:tcW w:w="1292" w:type="pct"/>
          </w:tcPr>
          <w:p w14:paraId="350A129F"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156.9 ± 11.9</w:t>
            </w:r>
          </w:p>
        </w:tc>
        <w:tc>
          <w:tcPr>
            <w:tcW w:w="557" w:type="pct"/>
          </w:tcPr>
          <w:p w14:paraId="5E79349A"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0.773</w:t>
            </w:r>
          </w:p>
        </w:tc>
      </w:tr>
      <w:tr w:rsidR="00743A00" w14:paraId="45E6E04F" w14:textId="77777777">
        <w:trPr>
          <w:trHeight w:val="281"/>
        </w:trPr>
        <w:tc>
          <w:tcPr>
            <w:tcW w:w="1655" w:type="pct"/>
            <w:noWrap/>
          </w:tcPr>
          <w:p w14:paraId="43F35B29" w14:textId="77777777" w:rsidR="00743A00" w:rsidRDefault="00000000">
            <w:pPr>
              <w:spacing w:line="360" w:lineRule="auto"/>
              <w:jc w:val="both"/>
              <w:rPr>
                <w:rFonts w:ascii="Book Antiqua" w:eastAsia="Times New Roman" w:hAnsi="Book Antiqua"/>
                <w:vertAlign w:val="superscript"/>
              </w:rPr>
            </w:pPr>
            <w:r>
              <w:rPr>
                <w:rFonts w:ascii="Book Antiqua" w:eastAsia="Times New Roman" w:hAnsi="Book Antiqua"/>
              </w:rPr>
              <w:t>BMI (kg/m</w:t>
            </w:r>
            <w:proofErr w:type="gramStart"/>
            <w:r>
              <w:rPr>
                <w:rFonts w:ascii="Book Antiqua" w:eastAsia="Times New Roman" w:hAnsi="Book Antiqua"/>
                <w:vertAlign w:val="superscript"/>
              </w:rPr>
              <w:t>2</w:t>
            </w:r>
            <w:r>
              <w:rPr>
                <w:rFonts w:ascii="Book Antiqua" w:eastAsia="Times New Roman" w:hAnsi="Book Antiqua"/>
              </w:rPr>
              <w:t>)</w:t>
            </w:r>
            <w:r>
              <w:rPr>
                <w:rFonts w:ascii="Book Antiqua" w:eastAsia="Times New Roman" w:hAnsi="Book Antiqua"/>
                <w:vertAlign w:val="superscript"/>
              </w:rPr>
              <w:t>a</w:t>
            </w:r>
            <w:proofErr w:type="gramEnd"/>
          </w:p>
        </w:tc>
        <w:tc>
          <w:tcPr>
            <w:tcW w:w="1496" w:type="pct"/>
          </w:tcPr>
          <w:p w14:paraId="69FD1992"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25.3 ± 5.3</w:t>
            </w:r>
          </w:p>
        </w:tc>
        <w:tc>
          <w:tcPr>
            <w:tcW w:w="1292" w:type="pct"/>
          </w:tcPr>
          <w:p w14:paraId="2DCAE289"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24.4 ± 6.7</w:t>
            </w:r>
          </w:p>
        </w:tc>
        <w:tc>
          <w:tcPr>
            <w:tcW w:w="557" w:type="pct"/>
          </w:tcPr>
          <w:p w14:paraId="5B617C35"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0.170</w:t>
            </w:r>
          </w:p>
        </w:tc>
      </w:tr>
      <w:tr w:rsidR="00743A00" w14:paraId="2D78DBB8" w14:textId="77777777">
        <w:trPr>
          <w:trHeight w:val="281"/>
        </w:trPr>
        <w:tc>
          <w:tcPr>
            <w:tcW w:w="1655" w:type="pct"/>
            <w:noWrap/>
          </w:tcPr>
          <w:p w14:paraId="4538157C" w14:textId="77777777" w:rsidR="00743A00" w:rsidRDefault="00000000">
            <w:pPr>
              <w:spacing w:line="360" w:lineRule="auto"/>
              <w:jc w:val="both"/>
              <w:rPr>
                <w:rFonts w:ascii="Book Antiqua" w:eastAsia="Times New Roman" w:hAnsi="Book Antiqua"/>
                <w:vertAlign w:val="superscript"/>
              </w:rPr>
            </w:pPr>
            <w:r>
              <w:rPr>
                <w:rFonts w:ascii="Book Antiqua" w:eastAsia="Times New Roman" w:hAnsi="Book Antiqua"/>
              </w:rPr>
              <w:t>Waist (cm)</w:t>
            </w:r>
            <w:r>
              <w:rPr>
                <w:rFonts w:ascii="Book Antiqua" w:eastAsia="Times New Roman" w:hAnsi="Book Antiqua"/>
                <w:vertAlign w:val="superscript"/>
              </w:rPr>
              <w:t>a</w:t>
            </w:r>
          </w:p>
        </w:tc>
        <w:tc>
          <w:tcPr>
            <w:tcW w:w="1496" w:type="pct"/>
          </w:tcPr>
          <w:p w14:paraId="139D0746"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84.7 ± 14.2</w:t>
            </w:r>
          </w:p>
        </w:tc>
        <w:tc>
          <w:tcPr>
            <w:tcW w:w="1292" w:type="pct"/>
          </w:tcPr>
          <w:p w14:paraId="0A2CB803"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84.5 ± 19.2</w:t>
            </w:r>
          </w:p>
        </w:tc>
        <w:tc>
          <w:tcPr>
            <w:tcW w:w="557" w:type="pct"/>
          </w:tcPr>
          <w:p w14:paraId="709C0BAD"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0.905</w:t>
            </w:r>
          </w:p>
        </w:tc>
      </w:tr>
      <w:tr w:rsidR="00743A00" w14:paraId="6109E6F4" w14:textId="77777777">
        <w:trPr>
          <w:trHeight w:val="281"/>
        </w:trPr>
        <w:tc>
          <w:tcPr>
            <w:tcW w:w="1655" w:type="pct"/>
            <w:noWrap/>
          </w:tcPr>
          <w:p w14:paraId="1091DCAA" w14:textId="77777777" w:rsidR="00743A00" w:rsidRDefault="00000000">
            <w:pPr>
              <w:spacing w:line="360" w:lineRule="auto"/>
              <w:jc w:val="both"/>
              <w:rPr>
                <w:rFonts w:ascii="Book Antiqua" w:eastAsia="Times New Roman" w:hAnsi="Book Antiqua"/>
              </w:rPr>
            </w:pPr>
            <w:r>
              <w:rPr>
                <w:rFonts w:ascii="Book Antiqua" w:eastAsia="Times New Roman" w:hAnsi="Book Antiqua"/>
              </w:rPr>
              <w:t>Cholesterol total (mg/dL)</w:t>
            </w:r>
          </w:p>
        </w:tc>
        <w:tc>
          <w:tcPr>
            <w:tcW w:w="1496" w:type="pct"/>
          </w:tcPr>
          <w:p w14:paraId="46CB2FC9"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163.4 ± 33.1</w:t>
            </w:r>
          </w:p>
        </w:tc>
        <w:tc>
          <w:tcPr>
            <w:tcW w:w="1292" w:type="pct"/>
          </w:tcPr>
          <w:p w14:paraId="7BF51D8A"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172.5 ± 39.8</w:t>
            </w:r>
          </w:p>
        </w:tc>
        <w:tc>
          <w:tcPr>
            <w:tcW w:w="557" w:type="pct"/>
          </w:tcPr>
          <w:p w14:paraId="057B2A14" w14:textId="77777777" w:rsidR="00743A00" w:rsidRDefault="00000000">
            <w:pPr>
              <w:pStyle w:val="DecimalAligned"/>
              <w:spacing w:after="0" w:line="360" w:lineRule="auto"/>
              <w:jc w:val="both"/>
              <w:rPr>
                <w:rFonts w:ascii="Book Antiqua" w:hAnsi="Book Antiqua"/>
                <w:bCs/>
                <w:sz w:val="24"/>
                <w:szCs w:val="24"/>
              </w:rPr>
            </w:pPr>
            <w:r>
              <w:rPr>
                <w:rFonts w:ascii="Book Antiqua" w:hAnsi="Book Antiqua"/>
                <w:bCs/>
                <w:sz w:val="24"/>
                <w:szCs w:val="24"/>
              </w:rPr>
              <w:t>0.172</w:t>
            </w:r>
          </w:p>
        </w:tc>
      </w:tr>
      <w:tr w:rsidR="00743A00" w14:paraId="10F2FA1F" w14:textId="77777777">
        <w:trPr>
          <w:trHeight w:val="281"/>
        </w:trPr>
        <w:tc>
          <w:tcPr>
            <w:tcW w:w="1655" w:type="pct"/>
            <w:noWrap/>
          </w:tcPr>
          <w:p w14:paraId="53EE067E" w14:textId="77777777" w:rsidR="00743A00" w:rsidRDefault="00000000">
            <w:pPr>
              <w:spacing w:line="360" w:lineRule="auto"/>
              <w:jc w:val="both"/>
              <w:rPr>
                <w:rFonts w:ascii="Book Antiqua" w:eastAsia="Times New Roman" w:hAnsi="Book Antiqua"/>
                <w:vertAlign w:val="superscript"/>
              </w:rPr>
            </w:pPr>
            <w:r>
              <w:rPr>
                <w:rFonts w:ascii="Book Antiqua" w:eastAsia="Times New Roman" w:hAnsi="Book Antiqua"/>
              </w:rPr>
              <w:t>HDL-C (mg/</w:t>
            </w:r>
            <w:proofErr w:type="gramStart"/>
            <w:r>
              <w:rPr>
                <w:rFonts w:ascii="Book Antiqua" w:eastAsia="Times New Roman" w:hAnsi="Book Antiqua"/>
              </w:rPr>
              <w:t>dL)</w:t>
            </w:r>
            <w:r>
              <w:rPr>
                <w:rFonts w:ascii="Book Antiqua" w:eastAsia="Times New Roman" w:hAnsi="Book Antiqua"/>
                <w:vertAlign w:val="superscript"/>
              </w:rPr>
              <w:t>a</w:t>
            </w:r>
            <w:proofErr w:type="gramEnd"/>
          </w:p>
        </w:tc>
        <w:tc>
          <w:tcPr>
            <w:tcW w:w="1496" w:type="pct"/>
          </w:tcPr>
          <w:p w14:paraId="6D7BE02B"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40.7 ± 12.1</w:t>
            </w:r>
          </w:p>
        </w:tc>
        <w:tc>
          <w:tcPr>
            <w:tcW w:w="1292" w:type="pct"/>
          </w:tcPr>
          <w:p w14:paraId="4453CE01"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44.1 ± 8.6</w:t>
            </w:r>
          </w:p>
        </w:tc>
        <w:tc>
          <w:tcPr>
            <w:tcW w:w="557" w:type="pct"/>
          </w:tcPr>
          <w:p w14:paraId="5E12C3EB" w14:textId="77777777" w:rsidR="00743A00" w:rsidRDefault="00000000">
            <w:pPr>
              <w:pStyle w:val="DecimalAligned"/>
              <w:spacing w:after="0" w:line="360" w:lineRule="auto"/>
              <w:jc w:val="both"/>
              <w:rPr>
                <w:rFonts w:ascii="Book Antiqua" w:hAnsi="Book Antiqua"/>
                <w:bCs/>
                <w:sz w:val="24"/>
                <w:szCs w:val="24"/>
              </w:rPr>
            </w:pPr>
            <w:r>
              <w:rPr>
                <w:rFonts w:ascii="Book Antiqua" w:hAnsi="Book Antiqua"/>
                <w:bCs/>
                <w:sz w:val="24"/>
                <w:szCs w:val="24"/>
              </w:rPr>
              <w:t>0.087</w:t>
            </w:r>
          </w:p>
        </w:tc>
      </w:tr>
      <w:tr w:rsidR="00743A00" w14:paraId="12F10DCA" w14:textId="77777777">
        <w:trPr>
          <w:trHeight w:val="281"/>
        </w:trPr>
        <w:tc>
          <w:tcPr>
            <w:tcW w:w="1655" w:type="pct"/>
            <w:noWrap/>
          </w:tcPr>
          <w:p w14:paraId="54723261" w14:textId="77777777" w:rsidR="00743A00" w:rsidRDefault="00000000">
            <w:pPr>
              <w:spacing w:line="360" w:lineRule="auto"/>
              <w:jc w:val="both"/>
              <w:rPr>
                <w:rFonts w:ascii="Book Antiqua" w:eastAsia="Times New Roman" w:hAnsi="Book Antiqua"/>
                <w:vertAlign w:val="superscript"/>
              </w:rPr>
            </w:pPr>
            <w:r>
              <w:rPr>
                <w:rFonts w:ascii="Book Antiqua" w:eastAsia="Times New Roman" w:hAnsi="Book Antiqua"/>
              </w:rPr>
              <w:t>LDL-C (mg/</w:t>
            </w:r>
            <w:proofErr w:type="gramStart"/>
            <w:r>
              <w:rPr>
                <w:rFonts w:ascii="Book Antiqua" w:eastAsia="Times New Roman" w:hAnsi="Book Antiqua"/>
              </w:rPr>
              <w:t>dL)</w:t>
            </w:r>
            <w:r>
              <w:rPr>
                <w:rFonts w:ascii="Book Antiqua" w:eastAsia="Times New Roman" w:hAnsi="Book Antiqua"/>
                <w:vertAlign w:val="superscript"/>
              </w:rPr>
              <w:t>a</w:t>
            </w:r>
            <w:proofErr w:type="gramEnd"/>
          </w:p>
        </w:tc>
        <w:tc>
          <w:tcPr>
            <w:tcW w:w="1496" w:type="pct"/>
          </w:tcPr>
          <w:p w14:paraId="3C039924"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100.0 ± 25.3</w:t>
            </w:r>
          </w:p>
        </w:tc>
        <w:tc>
          <w:tcPr>
            <w:tcW w:w="1292" w:type="pct"/>
          </w:tcPr>
          <w:p w14:paraId="7116D51D"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95.9 ± 31.3</w:t>
            </w:r>
          </w:p>
        </w:tc>
        <w:tc>
          <w:tcPr>
            <w:tcW w:w="557" w:type="pct"/>
          </w:tcPr>
          <w:p w14:paraId="13FAADFA" w14:textId="77777777" w:rsidR="00743A00" w:rsidRDefault="00000000">
            <w:pPr>
              <w:pStyle w:val="DecimalAligned"/>
              <w:spacing w:after="0" w:line="360" w:lineRule="auto"/>
              <w:jc w:val="both"/>
              <w:rPr>
                <w:rFonts w:ascii="Book Antiqua" w:hAnsi="Book Antiqua"/>
                <w:bCs/>
                <w:sz w:val="24"/>
                <w:szCs w:val="24"/>
              </w:rPr>
            </w:pPr>
            <w:r>
              <w:rPr>
                <w:rFonts w:ascii="Book Antiqua" w:hAnsi="Book Antiqua"/>
                <w:bCs/>
                <w:sz w:val="24"/>
                <w:szCs w:val="24"/>
              </w:rPr>
              <w:t>0.436</w:t>
            </w:r>
          </w:p>
        </w:tc>
      </w:tr>
      <w:tr w:rsidR="00743A00" w14:paraId="067C6945" w14:textId="77777777">
        <w:trPr>
          <w:trHeight w:val="281"/>
        </w:trPr>
        <w:tc>
          <w:tcPr>
            <w:tcW w:w="1655" w:type="pct"/>
            <w:noWrap/>
          </w:tcPr>
          <w:p w14:paraId="44AABA2D" w14:textId="77777777" w:rsidR="00743A00" w:rsidRDefault="00000000">
            <w:pPr>
              <w:spacing w:line="360" w:lineRule="auto"/>
              <w:jc w:val="both"/>
              <w:rPr>
                <w:rFonts w:ascii="Book Antiqua" w:eastAsia="Times New Roman" w:hAnsi="Book Antiqua"/>
                <w:vertAlign w:val="superscript"/>
              </w:rPr>
            </w:pPr>
            <w:r>
              <w:rPr>
                <w:rFonts w:ascii="Book Antiqua" w:eastAsia="Times New Roman" w:hAnsi="Book Antiqua"/>
              </w:rPr>
              <w:t>Triglycerides (mg/</w:t>
            </w:r>
            <w:proofErr w:type="gramStart"/>
            <w:r>
              <w:rPr>
                <w:rFonts w:ascii="Book Antiqua" w:eastAsia="Times New Roman" w:hAnsi="Book Antiqua"/>
              </w:rPr>
              <w:t>dL)</w:t>
            </w:r>
            <w:r>
              <w:rPr>
                <w:rFonts w:ascii="Book Antiqua" w:eastAsia="Times New Roman" w:hAnsi="Book Antiqua"/>
                <w:vertAlign w:val="superscript"/>
              </w:rPr>
              <w:t>a</w:t>
            </w:r>
            <w:proofErr w:type="gramEnd"/>
          </w:p>
        </w:tc>
        <w:tc>
          <w:tcPr>
            <w:tcW w:w="1496" w:type="pct"/>
          </w:tcPr>
          <w:p w14:paraId="64B5283D"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136.7 ± 92.0</w:t>
            </w:r>
          </w:p>
        </w:tc>
        <w:tc>
          <w:tcPr>
            <w:tcW w:w="1292" w:type="pct"/>
          </w:tcPr>
          <w:p w14:paraId="14D5887A"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147.7 ± 64.9</w:t>
            </w:r>
          </w:p>
        </w:tc>
        <w:tc>
          <w:tcPr>
            <w:tcW w:w="557" w:type="pct"/>
          </w:tcPr>
          <w:p w14:paraId="5EE15B67" w14:textId="77777777" w:rsidR="00743A00" w:rsidRDefault="00000000">
            <w:pPr>
              <w:pStyle w:val="DecimalAligned"/>
              <w:spacing w:after="0" w:line="360" w:lineRule="auto"/>
              <w:jc w:val="both"/>
              <w:rPr>
                <w:rFonts w:ascii="Book Antiqua" w:hAnsi="Book Antiqua"/>
                <w:bCs/>
                <w:sz w:val="24"/>
                <w:szCs w:val="24"/>
              </w:rPr>
            </w:pPr>
            <w:r>
              <w:rPr>
                <w:rFonts w:ascii="Book Antiqua" w:hAnsi="Book Antiqua"/>
                <w:bCs/>
                <w:sz w:val="24"/>
                <w:szCs w:val="24"/>
              </w:rPr>
              <w:t>0.412</w:t>
            </w:r>
          </w:p>
        </w:tc>
      </w:tr>
      <w:tr w:rsidR="00743A00" w14:paraId="20D375DF" w14:textId="77777777">
        <w:trPr>
          <w:trHeight w:val="281"/>
        </w:trPr>
        <w:tc>
          <w:tcPr>
            <w:tcW w:w="1655" w:type="pct"/>
            <w:noWrap/>
          </w:tcPr>
          <w:p w14:paraId="6DDF304A" w14:textId="77777777" w:rsidR="00743A00" w:rsidRDefault="00000000">
            <w:pPr>
              <w:spacing w:line="360" w:lineRule="auto"/>
              <w:jc w:val="both"/>
              <w:rPr>
                <w:rFonts w:ascii="Book Antiqua" w:eastAsia="Times New Roman" w:hAnsi="Book Antiqua"/>
                <w:vertAlign w:val="superscript"/>
              </w:rPr>
            </w:pPr>
            <w:r>
              <w:rPr>
                <w:rFonts w:ascii="Book Antiqua" w:eastAsia="Times New Roman" w:hAnsi="Book Antiqua"/>
              </w:rPr>
              <w:t>AST (U/</w:t>
            </w:r>
            <w:proofErr w:type="gramStart"/>
            <w:r>
              <w:rPr>
                <w:rFonts w:ascii="Book Antiqua" w:eastAsia="Times New Roman" w:hAnsi="Book Antiqua"/>
              </w:rPr>
              <w:t>L)</w:t>
            </w:r>
            <w:r>
              <w:rPr>
                <w:rFonts w:ascii="Book Antiqua" w:eastAsia="Times New Roman" w:hAnsi="Book Antiqua"/>
                <w:vertAlign w:val="superscript"/>
              </w:rPr>
              <w:t>b</w:t>
            </w:r>
            <w:proofErr w:type="gramEnd"/>
          </w:p>
        </w:tc>
        <w:tc>
          <w:tcPr>
            <w:tcW w:w="1496" w:type="pct"/>
          </w:tcPr>
          <w:p w14:paraId="264C77E0"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22.0 (11-143)</w:t>
            </w:r>
          </w:p>
        </w:tc>
        <w:tc>
          <w:tcPr>
            <w:tcW w:w="1292" w:type="pct"/>
          </w:tcPr>
          <w:p w14:paraId="5E9FA2EA"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23.0 (11-89)</w:t>
            </w:r>
          </w:p>
        </w:tc>
        <w:tc>
          <w:tcPr>
            <w:tcW w:w="557" w:type="pct"/>
          </w:tcPr>
          <w:p w14:paraId="2D39E358" w14:textId="77777777" w:rsidR="00743A00" w:rsidRDefault="00000000">
            <w:pPr>
              <w:pStyle w:val="DecimalAligned"/>
              <w:spacing w:after="0" w:line="360" w:lineRule="auto"/>
              <w:jc w:val="both"/>
              <w:rPr>
                <w:rFonts w:ascii="Book Antiqua" w:hAnsi="Book Antiqua"/>
                <w:bCs/>
                <w:sz w:val="24"/>
                <w:szCs w:val="24"/>
              </w:rPr>
            </w:pPr>
            <w:r>
              <w:rPr>
                <w:rFonts w:ascii="Book Antiqua" w:hAnsi="Book Antiqua"/>
                <w:bCs/>
                <w:sz w:val="24"/>
                <w:szCs w:val="24"/>
              </w:rPr>
              <w:t>0.403</w:t>
            </w:r>
          </w:p>
        </w:tc>
      </w:tr>
      <w:tr w:rsidR="00743A00" w14:paraId="53689132" w14:textId="77777777">
        <w:trPr>
          <w:trHeight w:val="265"/>
        </w:trPr>
        <w:tc>
          <w:tcPr>
            <w:tcW w:w="1655" w:type="pct"/>
            <w:noWrap/>
          </w:tcPr>
          <w:p w14:paraId="6B5DA9C0" w14:textId="77777777" w:rsidR="00743A00" w:rsidRDefault="00000000">
            <w:pPr>
              <w:spacing w:line="360" w:lineRule="auto"/>
              <w:jc w:val="both"/>
              <w:rPr>
                <w:rFonts w:ascii="Book Antiqua" w:eastAsia="Times New Roman" w:hAnsi="Book Antiqua"/>
                <w:vertAlign w:val="superscript"/>
              </w:rPr>
            </w:pPr>
            <w:r>
              <w:rPr>
                <w:rFonts w:ascii="Book Antiqua" w:eastAsia="Times New Roman" w:hAnsi="Book Antiqua"/>
              </w:rPr>
              <w:t>ALT (U/</w:t>
            </w:r>
            <w:proofErr w:type="gramStart"/>
            <w:r>
              <w:rPr>
                <w:rFonts w:ascii="Book Antiqua" w:eastAsia="Times New Roman" w:hAnsi="Book Antiqua"/>
              </w:rPr>
              <w:t>L)</w:t>
            </w:r>
            <w:r>
              <w:rPr>
                <w:rFonts w:ascii="Book Antiqua" w:eastAsia="Times New Roman" w:hAnsi="Book Antiqua"/>
                <w:vertAlign w:val="superscript"/>
              </w:rPr>
              <w:t>b</w:t>
            </w:r>
            <w:proofErr w:type="gramEnd"/>
          </w:p>
        </w:tc>
        <w:tc>
          <w:tcPr>
            <w:tcW w:w="1496" w:type="pct"/>
          </w:tcPr>
          <w:p w14:paraId="03461E5E"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43.0 (23-139)</w:t>
            </w:r>
          </w:p>
        </w:tc>
        <w:tc>
          <w:tcPr>
            <w:tcW w:w="1292" w:type="pct"/>
          </w:tcPr>
          <w:p w14:paraId="3407BA1D"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36.0 (11-79)</w:t>
            </w:r>
          </w:p>
        </w:tc>
        <w:tc>
          <w:tcPr>
            <w:tcW w:w="557" w:type="pct"/>
          </w:tcPr>
          <w:p w14:paraId="277BCCB2" w14:textId="77777777" w:rsidR="00743A00" w:rsidRDefault="00000000">
            <w:pPr>
              <w:pStyle w:val="DecimalAligned"/>
              <w:spacing w:after="0" w:line="360" w:lineRule="auto"/>
              <w:jc w:val="both"/>
              <w:rPr>
                <w:rFonts w:ascii="Book Antiqua" w:hAnsi="Book Antiqua"/>
                <w:b/>
                <w:sz w:val="24"/>
                <w:szCs w:val="24"/>
              </w:rPr>
            </w:pPr>
            <w:r>
              <w:rPr>
                <w:rFonts w:ascii="Book Antiqua" w:hAnsi="Book Antiqua"/>
                <w:b/>
                <w:sz w:val="24"/>
                <w:szCs w:val="24"/>
              </w:rPr>
              <w:t>0.005</w:t>
            </w:r>
          </w:p>
        </w:tc>
      </w:tr>
      <w:tr w:rsidR="00743A00" w14:paraId="298596D3" w14:textId="77777777">
        <w:trPr>
          <w:trHeight w:val="265"/>
        </w:trPr>
        <w:tc>
          <w:tcPr>
            <w:tcW w:w="1655" w:type="pct"/>
            <w:noWrap/>
          </w:tcPr>
          <w:p w14:paraId="6D96FE68" w14:textId="77777777" w:rsidR="00743A00" w:rsidRDefault="00000000">
            <w:pPr>
              <w:spacing w:line="360" w:lineRule="auto"/>
              <w:jc w:val="both"/>
              <w:rPr>
                <w:rFonts w:ascii="Book Antiqua" w:eastAsia="Times New Roman" w:hAnsi="Book Antiqua"/>
                <w:vertAlign w:val="superscript"/>
                <w:lang w:val="en-CA"/>
              </w:rPr>
            </w:pPr>
            <w:r>
              <w:rPr>
                <w:rFonts w:ascii="Book Antiqua" w:eastAsia="Times New Roman" w:hAnsi="Book Antiqua"/>
                <w:lang w:val="en-CA"/>
              </w:rPr>
              <w:t>Fasting glucose (mg/</w:t>
            </w:r>
            <w:proofErr w:type="gramStart"/>
            <w:r>
              <w:rPr>
                <w:rFonts w:ascii="Book Antiqua" w:eastAsia="Times New Roman" w:hAnsi="Book Antiqua"/>
                <w:lang w:val="en-CA"/>
              </w:rPr>
              <w:t>d</w:t>
            </w:r>
            <w:r>
              <w:rPr>
                <w:rFonts w:ascii="Book Antiqua" w:eastAsia="Times New Roman" w:hAnsi="Book Antiqua"/>
              </w:rPr>
              <w:t>L</w:t>
            </w:r>
            <w:r>
              <w:rPr>
                <w:rFonts w:ascii="Book Antiqua" w:eastAsia="Times New Roman" w:hAnsi="Book Antiqua"/>
                <w:lang w:val="en-CA"/>
              </w:rPr>
              <w:t>)</w:t>
            </w:r>
            <w:r>
              <w:rPr>
                <w:rFonts w:ascii="Book Antiqua" w:eastAsia="Times New Roman" w:hAnsi="Book Antiqua"/>
                <w:vertAlign w:val="superscript"/>
                <w:lang w:val="en-CA"/>
              </w:rPr>
              <w:t>a</w:t>
            </w:r>
            <w:proofErr w:type="gramEnd"/>
          </w:p>
        </w:tc>
        <w:tc>
          <w:tcPr>
            <w:tcW w:w="1496" w:type="pct"/>
          </w:tcPr>
          <w:p w14:paraId="54AAD46A"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150.9 ± 88.1</w:t>
            </w:r>
          </w:p>
        </w:tc>
        <w:tc>
          <w:tcPr>
            <w:tcW w:w="1292" w:type="pct"/>
          </w:tcPr>
          <w:p w14:paraId="38A3D16E"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189.0 ± 109.2</w:t>
            </w:r>
          </w:p>
        </w:tc>
        <w:tc>
          <w:tcPr>
            <w:tcW w:w="557" w:type="pct"/>
          </w:tcPr>
          <w:p w14:paraId="7FA64A84" w14:textId="77777777" w:rsidR="00743A00" w:rsidRDefault="00000000">
            <w:pPr>
              <w:pStyle w:val="DecimalAligned"/>
              <w:spacing w:after="0" w:line="360" w:lineRule="auto"/>
              <w:jc w:val="both"/>
              <w:rPr>
                <w:rFonts w:ascii="Book Antiqua" w:hAnsi="Book Antiqua"/>
                <w:b/>
                <w:sz w:val="24"/>
                <w:szCs w:val="24"/>
              </w:rPr>
            </w:pPr>
            <w:r>
              <w:rPr>
                <w:rFonts w:ascii="Book Antiqua" w:hAnsi="Book Antiqua"/>
                <w:b/>
                <w:sz w:val="24"/>
                <w:szCs w:val="24"/>
              </w:rPr>
              <w:t>0.038</w:t>
            </w:r>
          </w:p>
        </w:tc>
      </w:tr>
      <w:tr w:rsidR="00743A00" w14:paraId="55D1458B" w14:textId="77777777">
        <w:trPr>
          <w:trHeight w:val="265"/>
        </w:trPr>
        <w:tc>
          <w:tcPr>
            <w:tcW w:w="1655" w:type="pct"/>
            <w:noWrap/>
          </w:tcPr>
          <w:p w14:paraId="04F7F3A6" w14:textId="77777777" w:rsidR="00743A00" w:rsidRDefault="00000000">
            <w:pPr>
              <w:spacing w:line="360" w:lineRule="auto"/>
              <w:jc w:val="both"/>
              <w:rPr>
                <w:rFonts w:ascii="Book Antiqua" w:eastAsia="Times New Roman" w:hAnsi="Book Antiqua"/>
                <w:vertAlign w:val="superscript"/>
              </w:rPr>
            </w:pPr>
            <w:r>
              <w:rPr>
                <w:rFonts w:ascii="Book Antiqua" w:eastAsia="Times New Roman" w:hAnsi="Book Antiqua"/>
              </w:rPr>
              <w:t>HbA1c (</w:t>
            </w:r>
            <w:proofErr w:type="gramStart"/>
            <w:r>
              <w:rPr>
                <w:rFonts w:ascii="Book Antiqua" w:eastAsia="Times New Roman" w:hAnsi="Book Antiqua"/>
              </w:rPr>
              <w:t>%)</w:t>
            </w:r>
            <w:r>
              <w:rPr>
                <w:rFonts w:ascii="Book Antiqua" w:eastAsia="Times New Roman" w:hAnsi="Book Antiqua"/>
                <w:vertAlign w:val="superscript"/>
              </w:rPr>
              <w:t>a</w:t>
            </w:r>
            <w:proofErr w:type="gramEnd"/>
          </w:p>
        </w:tc>
        <w:tc>
          <w:tcPr>
            <w:tcW w:w="1496" w:type="pct"/>
          </w:tcPr>
          <w:p w14:paraId="374AD65C"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10.5 ± 3.9</w:t>
            </w:r>
          </w:p>
        </w:tc>
        <w:tc>
          <w:tcPr>
            <w:tcW w:w="1292" w:type="pct"/>
          </w:tcPr>
          <w:p w14:paraId="4D0E63F5"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8.9 ± 2.8</w:t>
            </w:r>
          </w:p>
        </w:tc>
        <w:tc>
          <w:tcPr>
            <w:tcW w:w="557" w:type="pct"/>
          </w:tcPr>
          <w:p w14:paraId="3C1D945B" w14:textId="77777777" w:rsidR="00743A00" w:rsidRDefault="00000000">
            <w:pPr>
              <w:pStyle w:val="DecimalAligned"/>
              <w:spacing w:after="0" w:line="360" w:lineRule="auto"/>
              <w:jc w:val="both"/>
              <w:rPr>
                <w:rFonts w:ascii="Book Antiqua" w:hAnsi="Book Antiqua"/>
                <w:bCs/>
                <w:sz w:val="24"/>
                <w:szCs w:val="24"/>
              </w:rPr>
            </w:pPr>
            <w:r>
              <w:rPr>
                <w:rFonts w:ascii="Book Antiqua" w:hAnsi="Book Antiqua"/>
                <w:bCs/>
                <w:sz w:val="24"/>
                <w:szCs w:val="24"/>
              </w:rPr>
              <w:t>0.069</w:t>
            </w:r>
          </w:p>
        </w:tc>
      </w:tr>
      <w:tr w:rsidR="00743A00" w14:paraId="06D62623" w14:textId="77777777">
        <w:trPr>
          <w:trHeight w:val="265"/>
        </w:trPr>
        <w:tc>
          <w:tcPr>
            <w:tcW w:w="1655" w:type="pct"/>
            <w:noWrap/>
          </w:tcPr>
          <w:p w14:paraId="5865C135" w14:textId="77777777" w:rsidR="00743A00" w:rsidRDefault="00000000">
            <w:pPr>
              <w:spacing w:line="360" w:lineRule="auto"/>
              <w:jc w:val="both"/>
              <w:rPr>
                <w:rFonts w:ascii="Book Antiqua" w:eastAsia="Times New Roman" w:hAnsi="Book Antiqua"/>
                <w:vertAlign w:val="superscript"/>
                <w:lang w:val="en-CA"/>
              </w:rPr>
            </w:pPr>
            <w:r>
              <w:rPr>
                <w:rFonts w:ascii="Book Antiqua" w:eastAsia="Times New Roman" w:hAnsi="Book Antiqua"/>
                <w:lang w:val="en-CA"/>
              </w:rPr>
              <w:t>Fasting insulin (mUI/</w:t>
            </w:r>
            <w:proofErr w:type="gramStart"/>
            <w:r>
              <w:rPr>
                <w:rFonts w:ascii="Book Antiqua" w:eastAsia="Times New Roman" w:hAnsi="Book Antiqua"/>
                <w:lang w:val="en-CA"/>
              </w:rPr>
              <w:t>m</w:t>
            </w:r>
            <w:r>
              <w:rPr>
                <w:rFonts w:ascii="Book Antiqua" w:eastAsia="Times New Roman" w:hAnsi="Book Antiqua"/>
              </w:rPr>
              <w:t>L</w:t>
            </w:r>
            <w:r>
              <w:rPr>
                <w:rFonts w:ascii="Book Antiqua" w:eastAsia="Times New Roman" w:hAnsi="Book Antiqua"/>
                <w:lang w:val="en-CA"/>
              </w:rPr>
              <w:t>)</w:t>
            </w:r>
            <w:r>
              <w:rPr>
                <w:rFonts w:ascii="Book Antiqua" w:eastAsia="Times New Roman" w:hAnsi="Book Antiqua"/>
                <w:vertAlign w:val="superscript"/>
                <w:lang w:val="en-CA"/>
              </w:rPr>
              <w:t>b</w:t>
            </w:r>
            <w:proofErr w:type="gramEnd"/>
          </w:p>
        </w:tc>
        <w:tc>
          <w:tcPr>
            <w:tcW w:w="1496" w:type="pct"/>
          </w:tcPr>
          <w:p w14:paraId="52B1F4AE"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11.2 (2-71)</w:t>
            </w:r>
          </w:p>
        </w:tc>
        <w:tc>
          <w:tcPr>
            <w:tcW w:w="1292" w:type="pct"/>
          </w:tcPr>
          <w:p w14:paraId="10049CAB"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11.2 (2-80)</w:t>
            </w:r>
          </w:p>
        </w:tc>
        <w:tc>
          <w:tcPr>
            <w:tcW w:w="557" w:type="pct"/>
          </w:tcPr>
          <w:p w14:paraId="1BFAFD5A" w14:textId="77777777" w:rsidR="00743A00" w:rsidRDefault="00000000">
            <w:pPr>
              <w:pStyle w:val="DecimalAligned"/>
              <w:spacing w:after="0" w:line="360" w:lineRule="auto"/>
              <w:jc w:val="both"/>
              <w:rPr>
                <w:rFonts w:ascii="Book Antiqua" w:hAnsi="Book Antiqua"/>
                <w:bCs/>
                <w:sz w:val="24"/>
                <w:szCs w:val="24"/>
              </w:rPr>
            </w:pPr>
            <w:r>
              <w:rPr>
                <w:rFonts w:ascii="Book Antiqua" w:hAnsi="Book Antiqua"/>
                <w:bCs/>
                <w:sz w:val="24"/>
                <w:szCs w:val="24"/>
              </w:rPr>
              <w:t>0.902</w:t>
            </w:r>
          </w:p>
        </w:tc>
      </w:tr>
      <w:tr w:rsidR="00743A00" w14:paraId="2113A96D" w14:textId="77777777">
        <w:trPr>
          <w:trHeight w:val="265"/>
        </w:trPr>
        <w:tc>
          <w:tcPr>
            <w:tcW w:w="1655" w:type="pct"/>
            <w:noWrap/>
          </w:tcPr>
          <w:p w14:paraId="6081C848" w14:textId="77777777" w:rsidR="00743A00" w:rsidRDefault="00000000">
            <w:pPr>
              <w:spacing w:line="360" w:lineRule="auto"/>
              <w:jc w:val="both"/>
              <w:rPr>
                <w:rFonts w:ascii="Book Antiqua" w:eastAsia="Times New Roman" w:hAnsi="Book Antiqua"/>
                <w:vertAlign w:val="superscript"/>
                <w:lang w:val="en-CA"/>
              </w:rPr>
            </w:pPr>
            <w:r>
              <w:rPr>
                <w:rFonts w:ascii="Book Antiqua" w:eastAsia="Times New Roman" w:hAnsi="Book Antiqua"/>
                <w:lang w:val="en-CA"/>
              </w:rPr>
              <w:t>C-peptide (ng/</w:t>
            </w:r>
            <w:proofErr w:type="gramStart"/>
            <w:r>
              <w:rPr>
                <w:rFonts w:ascii="Book Antiqua" w:eastAsia="Times New Roman" w:hAnsi="Book Antiqua"/>
                <w:lang w:val="en-CA"/>
              </w:rPr>
              <w:t>d</w:t>
            </w:r>
            <w:r>
              <w:rPr>
                <w:rFonts w:ascii="Book Antiqua" w:eastAsia="Times New Roman" w:hAnsi="Book Antiqua"/>
              </w:rPr>
              <w:t>L</w:t>
            </w:r>
            <w:r>
              <w:rPr>
                <w:rFonts w:ascii="Book Antiqua" w:eastAsia="Times New Roman" w:hAnsi="Book Antiqua"/>
                <w:lang w:val="en-CA"/>
              </w:rPr>
              <w:t>)</w:t>
            </w:r>
            <w:r>
              <w:rPr>
                <w:rFonts w:ascii="Book Antiqua" w:eastAsia="Times New Roman" w:hAnsi="Book Antiqua"/>
                <w:vertAlign w:val="superscript"/>
                <w:lang w:val="en-CA"/>
              </w:rPr>
              <w:t>b</w:t>
            </w:r>
            <w:proofErr w:type="gramEnd"/>
          </w:p>
        </w:tc>
        <w:tc>
          <w:tcPr>
            <w:tcW w:w="1496" w:type="pct"/>
          </w:tcPr>
          <w:p w14:paraId="6DED5B81"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2.0 (0.09-8.0)</w:t>
            </w:r>
          </w:p>
        </w:tc>
        <w:tc>
          <w:tcPr>
            <w:tcW w:w="1292" w:type="pct"/>
          </w:tcPr>
          <w:p w14:paraId="45DC4C8A"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1.5 (0.1-8.5)</w:t>
            </w:r>
          </w:p>
        </w:tc>
        <w:tc>
          <w:tcPr>
            <w:tcW w:w="557" w:type="pct"/>
          </w:tcPr>
          <w:p w14:paraId="2F711A88" w14:textId="77777777" w:rsidR="00743A00" w:rsidRDefault="00000000">
            <w:pPr>
              <w:pStyle w:val="DecimalAligned"/>
              <w:spacing w:after="0" w:line="360" w:lineRule="auto"/>
              <w:jc w:val="both"/>
              <w:rPr>
                <w:rFonts w:ascii="Book Antiqua" w:hAnsi="Book Antiqua"/>
                <w:b/>
                <w:bCs/>
                <w:sz w:val="24"/>
                <w:szCs w:val="24"/>
              </w:rPr>
            </w:pPr>
            <w:r>
              <w:rPr>
                <w:rFonts w:ascii="Book Antiqua" w:hAnsi="Book Antiqua"/>
                <w:b/>
                <w:bCs/>
                <w:sz w:val="24"/>
                <w:szCs w:val="24"/>
              </w:rPr>
              <w:t>0.014</w:t>
            </w:r>
          </w:p>
        </w:tc>
      </w:tr>
      <w:tr w:rsidR="00743A00" w14:paraId="4340481A" w14:textId="77777777">
        <w:trPr>
          <w:trHeight w:val="265"/>
        </w:trPr>
        <w:tc>
          <w:tcPr>
            <w:tcW w:w="1655" w:type="pct"/>
            <w:noWrap/>
          </w:tcPr>
          <w:p w14:paraId="0A578228" w14:textId="77777777" w:rsidR="00743A00" w:rsidRDefault="00000000">
            <w:pPr>
              <w:spacing w:line="360" w:lineRule="auto"/>
              <w:jc w:val="both"/>
              <w:rPr>
                <w:rFonts w:ascii="Book Antiqua" w:eastAsia="Times New Roman" w:hAnsi="Book Antiqua"/>
                <w:vertAlign w:val="superscript"/>
              </w:rPr>
            </w:pPr>
            <w:r>
              <w:rPr>
                <w:rFonts w:ascii="Book Antiqua" w:eastAsia="Times New Roman" w:hAnsi="Book Antiqua"/>
              </w:rPr>
              <w:t>SBP (mmHg)</w:t>
            </w:r>
            <w:r>
              <w:rPr>
                <w:rFonts w:ascii="Book Antiqua" w:eastAsia="Times New Roman" w:hAnsi="Book Antiqua"/>
                <w:vertAlign w:val="superscript"/>
              </w:rPr>
              <w:t>b</w:t>
            </w:r>
          </w:p>
        </w:tc>
        <w:tc>
          <w:tcPr>
            <w:tcW w:w="1496" w:type="pct"/>
          </w:tcPr>
          <w:p w14:paraId="5A28FDEA"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95.8 (70-130)</w:t>
            </w:r>
          </w:p>
        </w:tc>
        <w:tc>
          <w:tcPr>
            <w:tcW w:w="1292" w:type="pct"/>
          </w:tcPr>
          <w:p w14:paraId="71A1DB7D"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110 (90-150)</w:t>
            </w:r>
          </w:p>
        </w:tc>
        <w:tc>
          <w:tcPr>
            <w:tcW w:w="557" w:type="pct"/>
          </w:tcPr>
          <w:p w14:paraId="696E304F" w14:textId="77777777" w:rsidR="00743A00" w:rsidRDefault="00000000">
            <w:pPr>
              <w:pStyle w:val="DecimalAligned"/>
              <w:spacing w:after="0" w:line="360" w:lineRule="auto"/>
              <w:jc w:val="both"/>
              <w:rPr>
                <w:rFonts w:ascii="Book Antiqua" w:hAnsi="Book Antiqua"/>
                <w:b/>
                <w:bCs/>
                <w:sz w:val="24"/>
                <w:szCs w:val="24"/>
              </w:rPr>
            </w:pPr>
            <w:r>
              <w:rPr>
                <w:rFonts w:ascii="Book Antiqua" w:hAnsi="Book Antiqua"/>
                <w:b/>
                <w:bCs/>
                <w:sz w:val="24"/>
                <w:szCs w:val="24"/>
              </w:rPr>
              <w:t>0.004</w:t>
            </w:r>
          </w:p>
        </w:tc>
      </w:tr>
      <w:tr w:rsidR="00743A00" w14:paraId="32556B5D" w14:textId="77777777">
        <w:trPr>
          <w:trHeight w:val="265"/>
        </w:trPr>
        <w:tc>
          <w:tcPr>
            <w:tcW w:w="1655" w:type="pct"/>
            <w:noWrap/>
          </w:tcPr>
          <w:p w14:paraId="141ADB86" w14:textId="77777777" w:rsidR="00743A00" w:rsidRDefault="00000000">
            <w:pPr>
              <w:spacing w:line="360" w:lineRule="auto"/>
              <w:jc w:val="both"/>
              <w:rPr>
                <w:rFonts w:ascii="Book Antiqua" w:eastAsia="Times New Roman" w:hAnsi="Book Antiqua"/>
                <w:vertAlign w:val="superscript"/>
              </w:rPr>
            </w:pPr>
            <w:r>
              <w:rPr>
                <w:rFonts w:ascii="Book Antiqua" w:eastAsia="Times New Roman" w:hAnsi="Book Antiqua"/>
              </w:rPr>
              <w:t>DBP (mmHg)</w:t>
            </w:r>
            <w:r>
              <w:rPr>
                <w:rFonts w:ascii="Book Antiqua" w:eastAsia="Times New Roman" w:hAnsi="Book Antiqua"/>
                <w:vertAlign w:val="superscript"/>
              </w:rPr>
              <w:t>b</w:t>
            </w:r>
          </w:p>
        </w:tc>
        <w:tc>
          <w:tcPr>
            <w:tcW w:w="1496" w:type="pct"/>
          </w:tcPr>
          <w:p w14:paraId="6564617E"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62.8 (48-85)</w:t>
            </w:r>
          </w:p>
        </w:tc>
        <w:tc>
          <w:tcPr>
            <w:tcW w:w="1292" w:type="pct"/>
          </w:tcPr>
          <w:p w14:paraId="56FD195B"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70.0 (60-90)</w:t>
            </w:r>
          </w:p>
        </w:tc>
        <w:tc>
          <w:tcPr>
            <w:tcW w:w="557" w:type="pct"/>
          </w:tcPr>
          <w:p w14:paraId="46C29831"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0.005</w:t>
            </w:r>
          </w:p>
        </w:tc>
      </w:tr>
      <w:tr w:rsidR="00743A00" w14:paraId="22AB34AF" w14:textId="77777777">
        <w:trPr>
          <w:trHeight w:val="265"/>
        </w:trPr>
        <w:tc>
          <w:tcPr>
            <w:tcW w:w="1655" w:type="pct"/>
            <w:noWrap/>
          </w:tcPr>
          <w:p w14:paraId="1204A747" w14:textId="77777777" w:rsidR="00743A00" w:rsidRDefault="00000000">
            <w:pPr>
              <w:spacing w:line="360" w:lineRule="auto"/>
              <w:jc w:val="both"/>
              <w:rPr>
                <w:rFonts w:ascii="Book Antiqua" w:eastAsia="Times New Roman" w:hAnsi="Book Antiqua"/>
                <w:vertAlign w:val="superscript"/>
              </w:rPr>
            </w:pPr>
            <w:r>
              <w:rPr>
                <w:rFonts w:ascii="Book Antiqua" w:eastAsia="Times New Roman" w:hAnsi="Book Antiqua"/>
              </w:rPr>
              <w:t>HOMA-</w:t>
            </w:r>
            <w:r>
              <w:rPr>
                <w:rFonts w:ascii="Book Antiqua" w:eastAsia="Times New Roman" w:hAnsi="Book Antiqua" w:cs="Calibri"/>
              </w:rPr>
              <w:t>β</w:t>
            </w:r>
            <w:r>
              <w:rPr>
                <w:rFonts w:ascii="Book Antiqua" w:eastAsia="Times New Roman" w:hAnsi="Book Antiqua" w:cs="Calibri"/>
                <w:vertAlign w:val="superscript"/>
              </w:rPr>
              <w:t>b</w:t>
            </w:r>
          </w:p>
        </w:tc>
        <w:tc>
          <w:tcPr>
            <w:tcW w:w="1496" w:type="pct"/>
          </w:tcPr>
          <w:p w14:paraId="57921620"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135.9 (23-160.9)</w:t>
            </w:r>
          </w:p>
        </w:tc>
        <w:tc>
          <w:tcPr>
            <w:tcW w:w="1292" w:type="pct"/>
          </w:tcPr>
          <w:p w14:paraId="1A67A078"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50.2 (16-145)</w:t>
            </w:r>
          </w:p>
        </w:tc>
        <w:tc>
          <w:tcPr>
            <w:tcW w:w="557" w:type="pct"/>
          </w:tcPr>
          <w:p w14:paraId="1483E314" w14:textId="77777777" w:rsidR="00743A00" w:rsidRDefault="00000000">
            <w:pPr>
              <w:pStyle w:val="DecimalAligned"/>
              <w:spacing w:after="0" w:line="360" w:lineRule="auto"/>
              <w:jc w:val="both"/>
              <w:rPr>
                <w:rFonts w:ascii="Book Antiqua" w:hAnsi="Book Antiqua"/>
                <w:bCs/>
                <w:sz w:val="24"/>
                <w:szCs w:val="24"/>
              </w:rPr>
            </w:pPr>
            <w:r>
              <w:rPr>
                <w:rFonts w:ascii="Book Antiqua" w:hAnsi="Book Antiqua"/>
                <w:bCs/>
                <w:sz w:val="24"/>
                <w:szCs w:val="24"/>
              </w:rPr>
              <w:t>0.183</w:t>
            </w:r>
          </w:p>
        </w:tc>
      </w:tr>
    </w:tbl>
    <w:p w14:paraId="1D10DCD1" w14:textId="77777777" w:rsidR="00743A00" w:rsidRDefault="00000000">
      <w:pPr>
        <w:spacing w:line="360" w:lineRule="auto"/>
        <w:jc w:val="both"/>
        <w:rPr>
          <w:rStyle w:val="nfasissutil1"/>
          <w:rFonts w:ascii="Book Antiqua" w:eastAsia="Calibri" w:hAnsi="Book Antiqua"/>
          <w:bCs/>
          <w:i w:val="0"/>
          <w:color w:val="000000" w:themeColor="text1"/>
          <w:szCs w:val="24"/>
          <w:lang w:val="en-CA"/>
        </w:rPr>
      </w:pPr>
      <w:r>
        <w:rPr>
          <w:rStyle w:val="nfasissutil1"/>
          <w:rFonts w:ascii="Book Antiqua" w:eastAsia="Calibri" w:hAnsi="Book Antiqua"/>
          <w:bCs/>
          <w:i w:val="0"/>
          <w:color w:val="000000" w:themeColor="text1"/>
          <w:szCs w:val="24"/>
          <w:vertAlign w:val="superscript"/>
          <w:lang w:val="en-CA"/>
        </w:rPr>
        <w:t>a</w:t>
      </w:r>
      <w:r>
        <w:rPr>
          <w:rStyle w:val="nfasissutil1"/>
          <w:rFonts w:ascii="Book Antiqua" w:eastAsia="Calibri" w:hAnsi="Book Antiqua"/>
          <w:bCs/>
          <w:i w:val="0"/>
          <w:color w:val="000000" w:themeColor="text1"/>
          <w:szCs w:val="24"/>
          <w:lang w:val="en-CA"/>
        </w:rPr>
        <w:t>m</w:t>
      </w:r>
      <w:r>
        <w:rPr>
          <w:rStyle w:val="nfasissutil1"/>
          <w:rFonts w:ascii="Book Antiqua" w:eastAsia="Calibri" w:hAnsi="Book Antiqua"/>
          <w:bCs/>
          <w:i w:val="0"/>
          <w:color w:val="000000" w:themeColor="text1"/>
          <w:szCs w:val="24"/>
          <w:lang w:val="en-US"/>
        </w:rPr>
        <w:t>ean</w:t>
      </w:r>
      <w:r>
        <w:rPr>
          <w:rStyle w:val="nfasissutil1"/>
          <w:rFonts w:ascii="Book Antiqua" w:eastAsia="Calibri" w:hAnsi="Book Antiqua"/>
          <w:bCs/>
          <w:i w:val="0"/>
          <w:color w:val="000000" w:themeColor="text1"/>
          <w:szCs w:val="24"/>
          <w:lang w:val="en-CA"/>
        </w:rPr>
        <w:t xml:space="preserve"> ± SD.</w:t>
      </w:r>
    </w:p>
    <w:p w14:paraId="2AF3FD18" w14:textId="77777777" w:rsidR="00743A00" w:rsidRDefault="00000000">
      <w:pPr>
        <w:spacing w:line="360" w:lineRule="auto"/>
        <w:jc w:val="both"/>
      </w:pPr>
      <w:r>
        <w:rPr>
          <w:rStyle w:val="nfasissutil1"/>
          <w:rFonts w:ascii="Book Antiqua" w:eastAsia="Calibri" w:hAnsi="Book Antiqua"/>
          <w:bCs/>
          <w:i w:val="0"/>
          <w:color w:val="000000"/>
          <w:szCs w:val="24"/>
          <w:vertAlign w:val="superscript"/>
          <w:lang w:val="en-CA"/>
        </w:rPr>
        <w:t>b</w:t>
      </w:r>
      <w:r>
        <w:rPr>
          <w:rStyle w:val="nfasissutil1"/>
          <w:rFonts w:ascii="Book Antiqua" w:eastAsia="Calibri" w:hAnsi="Book Antiqua"/>
          <w:bCs/>
          <w:i w:val="0"/>
          <w:color w:val="000000"/>
          <w:szCs w:val="24"/>
          <w:lang w:val="en-CA"/>
        </w:rPr>
        <w:t>Median (interquartile ranges).</w:t>
      </w:r>
      <w:r>
        <w:t xml:space="preserve"> </w:t>
      </w:r>
    </w:p>
    <w:p w14:paraId="6D4139EA" w14:textId="77777777" w:rsidR="00743A00" w:rsidRDefault="00000000">
      <w:pPr>
        <w:spacing w:line="360" w:lineRule="auto"/>
        <w:jc w:val="both"/>
        <w:rPr>
          <w:rFonts w:ascii="Book Antiqua" w:hAnsi="Book Antiqua"/>
          <w:i/>
          <w:lang w:val="en-CA"/>
        </w:rPr>
      </w:pPr>
      <w:r>
        <w:rPr>
          <w:rStyle w:val="nfasissutil1"/>
          <w:rFonts w:ascii="Book Antiqua" w:eastAsia="Calibri" w:hAnsi="Book Antiqua"/>
          <w:bCs/>
          <w:i w:val="0"/>
          <w:color w:val="000000"/>
          <w:szCs w:val="24"/>
          <w:lang w:val="en-CA"/>
        </w:rPr>
        <w:t xml:space="preserve">T2DM: </w:t>
      </w:r>
      <w:r>
        <w:rPr>
          <w:rStyle w:val="nfasissutil1"/>
          <w:rFonts w:ascii="Book Antiqua" w:eastAsia="宋体" w:hAnsi="Book Antiqua" w:hint="eastAsia"/>
          <w:bCs/>
          <w:i w:val="0"/>
          <w:color w:val="000000"/>
          <w:szCs w:val="24"/>
          <w:lang w:val="en-US" w:eastAsia="zh-CN"/>
        </w:rPr>
        <w:t xml:space="preserve">Type 2 </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iabetes mellitus; </w:t>
      </w:r>
      <w:r>
        <w:rPr>
          <w:rFonts w:ascii="Book Antiqua" w:eastAsia="Times New Roman" w:hAnsi="Book Antiqua"/>
        </w:rPr>
        <w:t>BMI:</w:t>
      </w:r>
      <w:r>
        <w:t xml:space="preserve"> </w:t>
      </w:r>
      <w:r>
        <w:rPr>
          <w:rFonts w:ascii="Book Antiqua" w:eastAsia="Times New Roman" w:hAnsi="Book Antiqua"/>
        </w:rPr>
        <w:t xml:space="preserve">Body mass index; HDL-C: </w:t>
      </w:r>
      <w:r>
        <w:rPr>
          <w:rFonts w:ascii="Book Antiqua" w:eastAsia="Book Antiqua" w:hAnsi="Book Antiqua" w:cs="Book Antiqua"/>
          <w:color w:val="000000"/>
        </w:rPr>
        <w:t>HDL cholesterol;</w:t>
      </w:r>
      <w:r>
        <w:rPr>
          <w:rFonts w:ascii="Book Antiqua" w:eastAsia="Times New Roman" w:hAnsi="Book Antiqua"/>
        </w:rPr>
        <w:t xml:space="preserve"> LDL-C: LDL cholesterol</w:t>
      </w:r>
      <w:r>
        <w:rPr>
          <w:rFonts w:ascii="Book Antiqua" w:eastAsia="Book Antiqua" w:hAnsi="Book Antiqua" w:cs="Book Antiqua"/>
          <w:color w:val="000000"/>
        </w:rPr>
        <w:t>;</w:t>
      </w:r>
      <w:r>
        <w:rPr>
          <w:rFonts w:ascii="Book Antiqua" w:eastAsia="Times New Roman" w:hAnsi="Book Antiqua"/>
        </w:rPr>
        <w:t xml:space="preserve"> ALT: Alanine aminotransferase; AST: Aspartate aminotransferase; </w:t>
      </w:r>
      <w:r>
        <w:rPr>
          <w:rFonts w:ascii="Book Antiqua" w:eastAsia="Times New Roman" w:hAnsi="Book Antiqua"/>
        </w:rPr>
        <w:lastRenderedPageBreak/>
        <w:t>HbA1c:</w:t>
      </w:r>
      <w:r>
        <w:t xml:space="preserve"> </w:t>
      </w:r>
      <w:r>
        <w:rPr>
          <w:rFonts w:ascii="Book Antiqua" w:eastAsia="Times New Roman" w:hAnsi="Book Antiqua"/>
        </w:rPr>
        <w:t>Hemoglobin A1c; SBP: Systolic blood pressure; DBP: Diastolic blood pressure; HOMA-IR:</w:t>
      </w:r>
      <w:r>
        <w:t xml:space="preserve"> </w:t>
      </w:r>
      <w:r>
        <w:rPr>
          <w:rFonts w:ascii="Book Antiqua" w:eastAsia="Times New Roman" w:hAnsi="Book Antiqua"/>
        </w:rPr>
        <w:t>Homeostatic Model of Assessment-Insulin Resistance</w:t>
      </w:r>
    </w:p>
    <w:p w14:paraId="7A57A8AF" w14:textId="77777777" w:rsidR="00743A00" w:rsidRDefault="00743A00">
      <w:pPr>
        <w:spacing w:line="360" w:lineRule="auto"/>
        <w:jc w:val="both"/>
        <w:rPr>
          <w:rFonts w:ascii="Book Antiqua" w:hAnsi="Book Antiqua"/>
          <w:b/>
          <w:lang w:val="en-CA"/>
        </w:rPr>
      </w:pPr>
    </w:p>
    <w:p w14:paraId="0FEF4A52" w14:textId="77777777" w:rsidR="00743A00" w:rsidRDefault="00743A00">
      <w:pPr>
        <w:spacing w:line="360" w:lineRule="auto"/>
        <w:jc w:val="both"/>
        <w:rPr>
          <w:rFonts w:ascii="Book Antiqua" w:hAnsi="Book Antiqua"/>
          <w:b/>
          <w:lang w:val="en-CA"/>
        </w:rPr>
      </w:pPr>
    </w:p>
    <w:p w14:paraId="6A02F24B" w14:textId="77777777" w:rsidR="00743A00" w:rsidRDefault="00000000">
      <w:pPr>
        <w:spacing w:line="360" w:lineRule="auto"/>
        <w:jc w:val="both"/>
        <w:rPr>
          <w:rFonts w:ascii="Book Antiqua" w:hAnsi="Book Antiqua" w:cs="Arial"/>
          <w:color w:val="000000"/>
          <w:lang w:val="en-CA"/>
        </w:rPr>
      </w:pPr>
      <w:r>
        <w:rPr>
          <w:rFonts w:ascii="Book Antiqua" w:hAnsi="Book Antiqua"/>
          <w:b/>
          <w:lang w:val="en-CA"/>
        </w:rPr>
        <w:t xml:space="preserve">Table 2 Family member and perinatal antecedents in the two study groups, </w:t>
      </w:r>
      <w:r>
        <w:rPr>
          <w:rFonts w:ascii="Book Antiqua" w:hAnsi="Book Antiqua"/>
          <w:b/>
          <w:i/>
          <w:iCs/>
          <w:color w:val="000000"/>
        </w:rPr>
        <w:t>n</w:t>
      </w:r>
      <w:r>
        <w:rPr>
          <w:rFonts w:ascii="Book Antiqua" w:hAnsi="Book Antiqua"/>
          <w:b/>
          <w:color w:val="000000"/>
        </w:rPr>
        <w:t xml:space="preserve"> (%)</w:t>
      </w:r>
      <w:r>
        <w:rPr>
          <w:rFonts w:ascii="Book Antiqua" w:hAnsi="Book Antiqua"/>
          <w:b/>
          <w:lang w:val="en-CA"/>
        </w:rPr>
        <w:t xml:space="preserve"> </w:t>
      </w:r>
    </w:p>
    <w:tbl>
      <w:tblPr>
        <w:tblW w:w="5000" w:type="pct"/>
        <w:tblBorders>
          <w:top w:val="single" w:sz="4" w:space="0" w:color="auto"/>
          <w:bottom w:val="single" w:sz="4" w:space="0" w:color="auto"/>
        </w:tblBorders>
        <w:tblLook w:val="04A0" w:firstRow="1" w:lastRow="0" w:firstColumn="1" w:lastColumn="0" w:noHBand="0" w:noVBand="1"/>
      </w:tblPr>
      <w:tblGrid>
        <w:gridCol w:w="5824"/>
        <w:gridCol w:w="1444"/>
        <w:gridCol w:w="1096"/>
        <w:gridCol w:w="996"/>
      </w:tblGrid>
      <w:tr w:rsidR="00743A00" w14:paraId="77A91032" w14:textId="77777777">
        <w:trPr>
          <w:trHeight w:val="837"/>
        </w:trPr>
        <w:tc>
          <w:tcPr>
            <w:tcW w:w="1833" w:type="pct"/>
            <w:vMerge w:val="restart"/>
            <w:tcBorders>
              <w:top w:val="single" w:sz="4" w:space="0" w:color="auto"/>
            </w:tcBorders>
            <w:noWrap/>
          </w:tcPr>
          <w:p w14:paraId="0E162488" w14:textId="77777777" w:rsidR="00743A00" w:rsidRDefault="00000000">
            <w:pPr>
              <w:spacing w:line="360" w:lineRule="auto"/>
              <w:jc w:val="both"/>
              <w:rPr>
                <w:rFonts w:ascii="Book Antiqua" w:eastAsia="Times New Roman" w:hAnsi="Book Antiqua"/>
                <w:b/>
                <w:bCs/>
              </w:rPr>
            </w:pPr>
            <w:r>
              <w:rPr>
                <w:rFonts w:ascii="Book Antiqua" w:eastAsia="Times New Roman" w:hAnsi="Book Antiqua"/>
                <w:b/>
                <w:bCs/>
              </w:rPr>
              <w:t>Variable</w:t>
            </w:r>
          </w:p>
        </w:tc>
        <w:tc>
          <w:tcPr>
            <w:tcW w:w="1613" w:type="pct"/>
            <w:tcBorders>
              <w:top w:val="single" w:sz="4" w:space="0" w:color="auto"/>
              <w:bottom w:val="single" w:sz="4" w:space="0" w:color="auto"/>
            </w:tcBorders>
          </w:tcPr>
          <w:p w14:paraId="02841D7F" w14:textId="77777777" w:rsidR="00743A00" w:rsidRDefault="00000000">
            <w:pPr>
              <w:spacing w:line="360" w:lineRule="auto"/>
              <w:jc w:val="both"/>
              <w:rPr>
                <w:rFonts w:ascii="Book Antiqua" w:eastAsia="Times New Roman" w:hAnsi="Book Antiqua"/>
                <w:b/>
                <w:bCs/>
              </w:rPr>
            </w:pPr>
            <w:r>
              <w:rPr>
                <w:rFonts w:ascii="Book Antiqua" w:eastAsia="Times New Roman" w:hAnsi="Book Antiqua"/>
                <w:b/>
                <w:bCs/>
              </w:rPr>
              <w:t>Patients with T2DM (2013)</w:t>
            </w:r>
          </w:p>
        </w:tc>
        <w:tc>
          <w:tcPr>
            <w:tcW w:w="1005" w:type="pct"/>
            <w:tcBorders>
              <w:top w:val="single" w:sz="4" w:space="0" w:color="auto"/>
              <w:bottom w:val="single" w:sz="4" w:space="0" w:color="auto"/>
            </w:tcBorders>
          </w:tcPr>
          <w:p w14:paraId="216C4B6F" w14:textId="77777777" w:rsidR="00743A00" w:rsidRDefault="00000000">
            <w:pPr>
              <w:spacing w:line="360" w:lineRule="auto"/>
              <w:jc w:val="both"/>
              <w:rPr>
                <w:rFonts w:ascii="Book Antiqua" w:eastAsia="Times New Roman" w:hAnsi="Book Antiqua"/>
                <w:b/>
                <w:bCs/>
              </w:rPr>
            </w:pPr>
            <w:r>
              <w:rPr>
                <w:rFonts w:ascii="Book Antiqua" w:eastAsia="Times New Roman" w:hAnsi="Book Antiqua"/>
                <w:b/>
                <w:bCs/>
              </w:rPr>
              <w:t>Patients with T2DM (2018)</w:t>
            </w:r>
          </w:p>
        </w:tc>
        <w:tc>
          <w:tcPr>
            <w:tcW w:w="549" w:type="pct"/>
            <w:vMerge w:val="restart"/>
            <w:tcBorders>
              <w:top w:val="single" w:sz="4" w:space="0" w:color="auto"/>
            </w:tcBorders>
          </w:tcPr>
          <w:p w14:paraId="5296A0F1" w14:textId="77777777" w:rsidR="00743A00" w:rsidRDefault="00000000">
            <w:pPr>
              <w:spacing w:line="360" w:lineRule="auto"/>
              <w:jc w:val="both"/>
              <w:rPr>
                <w:rFonts w:ascii="Book Antiqua" w:eastAsia="Times New Roman" w:hAnsi="Book Antiqua"/>
                <w:b/>
                <w:bCs/>
                <w:i/>
              </w:rPr>
            </w:pPr>
            <w:r>
              <w:rPr>
                <w:rFonts w:ascii="Book Antiqua" w:eastAsia="Times New Roman" w:hAnsi="Book Antiqua"/>
                <w:b/>
                <w:bCs/>
                <w:i/>
              </w:rPr>
              <w:t>P</w:t>
            </w:r>
            <w:r>
              <w:rPr>
                <w:rFonts w:ascii="Book Antiqua" w:eastAsia="Times New Roman" w:hAnsi="Book Antiqua"/>
                <w:b/>
                <w:bCs/>
              </w:rPr>
              <w:t xml:space="preserve"> value</w:t>
            </w:r>
          </w:p>
        </w:tc>
      </w:tr>
      <w:tr w:rsidR="00743A00" w14:paraId="7C4B95F8" w14:textId="77777777">
        <w:trPr>
          <w:trHeight w:val="459"/>
        </w:trPr>
        <w:tc>
          <w:tcPr>
            <w:tcW w:w="1833" w:type="pct"/>
            <w:vMerge/>
            <w:tcBorders>
              <w:bottom w:val="single" w:sz="4" w:space="0" w:color="auto"/>
            </w:tcBorders>
            <w:noWrap/>
          </w:tcPr>
          <w:p w14:paraId="2BDF356B" w14:textId="77777777" w:rsidR="00743A00" w:rsidRDefault="00743A00">
            <w:pPr>
              <w:spacing w:line="360" w:lineRule="auto"/>
              <w:jc w:val="both"/>
              <w:rPr>
                <w:rFonts w:ascii="Book Antiqua" w:eastAsia="Times New Roman" w:hAnsi="Book Antiqua"/>
                <w:b/>
                <w:bCs/>
              </w:rPr>
            </w:pPr>
          </w:p>
        </w:tc>
        <w:tc>
          <w:tcPr>
            <w:tcW w:w="1613" w:type="pct"/>
            <w:tcBorders>
              <w:top w:val="single" w:sz="4" w:space="0" w:color="auto"/>
              <w:bottom w:val="single" w:sz="4" w:space="0" w:color="auto"/>
            </w:tcBorders>
          </w:tcPr>
          <w:p w14:paraId="2D11090A" w14:textId="77777777" w:rsidR="00743A00" w:rsidRDefault="00000000">
            <w:pPr>
              <w:spacing w:line="360" w:lineRule="auto"/>
              <w:jc w:val="both"/>
              <w:rPr>
                <w:rFonts w:ascii="Book Antiqua" w:eastAsia="Times New Roman" w:hAnsi="Book Antiqua"/>
                <w:b/>
                <w:bCs/>
              </w:rPr>
            </w:pPr>
            <w:r>
              <w:rPr>
                <w:rFonts w:ascii="Book Antiqua" w:eastAsia="Times New Roman" w:hAnsi="Book Antiqua"/>
                <w:b/>
                <w:bCs/>
                <w:i/>
              </w:rPr>
              <w:t>n</w:t>
            </w:r>
            <w:r>
              <w:rPr>
                <w:rFonts w:ascii="Book Antiqua" w:eastAsia="Times New Roman" w:hAnsi="Book Antiqua"/>
                <w:b/>
                <w:bCs/>
              </w:rPr>
              <w:t xml:space="preserve"> = 47</w:t>
            </w:r>
          </w:p>
        </w:tc>
        <w:tc>
          <w:tcPr>
            <w:tcW w:w="1005" w:type="pct"/>
            <w:tcBorders>
              <w:top w:val="single" w:sz="4" w:space="0" w:color="auto"/>
              <w:bottom w:val="single" w:sz="4" w:space="0" w:color="auto"/>
            </w:tcBorders>
          </w:tcPr>
          <w:p w14:paraId="01947CD5" w14:textId="77777777" w:rsidR="00743A00" w:rsidRDefault="00000000">
            <w:pPr>
              <w:spacing w:line="360" w:lineRule="auto"/>
              <w:jc w:val="both"/>
              <w:rPr>
                <w:rFonts w:ascii="Book Antiqua" w:eastAsia="Times New Roman" w:hAnsi="Book Antiqua"/>
                <w:b/>
                <w:bCs/>
              </w:rPr>
            </w:pPr>
            <w:r>
              <w:rPr>
                <w:rFonts w:ascii="Book Antiqua" w:eastAsia="Times New Roman" w:hAnsi="Book Antiqua"/>
                <w:b/>
                <w:bCs/>
                <w:i/>
              </w:rPr>
              <w:t>n</w:t>
            </w:r>
            <w:r>
              <w:rPr>
                <w:rFonts w:ascii="Book Antiqua" w:eastAsia="Times New Roman" w:hAnsi="Book Antiqua"/>
                <w:b/>
                <w:bCs/>
              </w:rPr>
              <w:t xml:space="preserve"> = 104</w:t>
            </w:r>
          </w:p>
        </w:tc>
        <w:tc>
          <w:tcPr>
            <w:tcW w:w="549" w:type="pct"/>
            <w:vMerge/>
            <w:tcBorders>
              <w:bottom w:val="single" w:sz="4" w:space="0" w:color="auto"/>
            </w:tcBorders>
          </w:tcPr>
          <w:p w14:paraId="3885B3B2" w14:textId="77777777" w:rsidR="00743A00" w:rsidRDefault="00743A00">
            <w:pPr>
              <w:spacing w:line="360" w:lineRule="auto"/>
              <w:jc w:val="both"/>
              <w:rPr>
                <w:rFonts w:ascii="Book Antiqua" w:eastAsia="Times New Roman" w:hAnsi="Book Antiqua"/>
                <w:b/>
                <w:bCs/>
                <w:i/>
              </w:rPr>
            </w:pPr>
          </w:p>
        </w:tc>
      </w:tr>
      <w:tr w:rsidR="00743A00" w14:paraId="33743B14" w14:textId="77777777">
        <w:trPr>
          <w:trHeight w:val="281"/>
        </w:trPr>
        <w:tc>
          <w:tcPr>
            <w:tcW w:w="1833" w:type="pct"/>
            <w:tcBorders>
              <w:top w:val="single" w:sz="4" w:space="0" w:color="auto"/>
            </w:tcBorders>
            <w:noWrap/>
          </w:tcPr>
          <w:p w14:paraId="7AC53C62" w14:textId="77777777" w:rsidR="00743A00" w:rsidRDefault="00000000">
            <w:pPr>
              <w:spacing w:line="360" w:lineRule="auto"/>
              <w:jc w:val="both"/>
              <w:rPr>
                <w:rFonts w:ascii="Book Antiqua" w:eastAsia="Times New Roman" w:hAnsi="Book Antiqua"/>
                <w:lang w:val="en-CA"/>
              </w:rPr>
            </w:pPr>
            <w:r>
              <w:rPr>
                <w:rFonts w:ascii="Book Antiqua" w:eastAsia="Times New Roman" w:hAnsi="Book Antiqua"/>
                <w:lang w:val="en-CA"/>
              </w:rPr>
              <w:t>History of T2DM, in relatives of 1° and 2° [</w:t>
            </w:r>
            <w:r>
              <w:rPr>
                <w:rFonts w:ascii="Book Antiqua" w:eastAsia="Times New Roman" w:hAnsi="Book Antiqua"/>
                <w:i/>
                <w:lang w:val="en-CA"/>
              </w:rPr>
              <w:t>n</w:t>
            </w:r>
            <w:r>
              <w:rPr>
                <w:rFonts w:ascii="Book Antiqua" w:eastAsia="Times New Roman" w:hAnsi="Book Antiqua"/>
                <w:lang w:val="en-CA"/>
              </w:rPr>
              <w:t xml:space="preserve"> (%)]</w:t>
            </w:r>
          </w:p>
        </w:tc>
        <w:tc>
          <w:tcPr>
            <w:tcW w:w="1613" w:type="pct"/>
            <w:tcBorders>
              <w:top w:val="single" w:sz="4" w:space="0" w:color="auto"/>
            </w:tcBorders>
          </w:tcPr>
          <w:p w14:paraId="7BAA6E04"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24 (51.1)</w:t>
            </w:r>
          </w:p>
        </w:tc>
        <w:tc>
          <w:tcPr>
            <w:tcW w:w="1005" w:type="pct"/>
            <w:tcBorders>
              <w:top w:val="single" w:sz="4" w:space="0" w:color="auto"/>
            </w:tcBorders>
          </w:tcPr>
          <w:p w14:paraId="544B7761"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79 (75.9)</w:t>
            </w:r>
          </w:p>
        </w:tc>
        <w:tc>
          <w:tcPr>
            <w:tcW w:w="549" w:type="pct"/>
            <w:tcBorders>
              <w:top w:val="single" w:sz="4" w:space="0" w:color="auto"/>
            </w:tcBorders>
          </w:tcPr>
          <w:p w14:paraId="6E2F9BAD" w14:textId="77777777" w:rsidR="00743A00" w:rsidRDefault="00000000">
            <w:pPr>
              <w:pStyle w:val="DecimalAligned"/>
              <w:spacing w:after="0" w:line="360" w:lineRule="auto"/>
              <w:jc w:val="both"/>
              <w:rPr>
                <w:rFonts w:ascii="Book Antiqua" w:hAnsi="Book Antiqua"/>
                <w:b/>
                <w:bCs/>
                <w:sz w:val="24"/>
                <w:szCs w:val="24"/>
              </w:rPr>
            </w:pPr>
            <w:r>
              <w:rPr>
                <w:rFonts w:ascii="Book Antiqua" w:hAnsi="Book Antiqua"/>
                <w:b/>
                <w:bCs/>
                <w:sz w:val="24"/>
                <w:szCs w:val="24"/>
              </w:rPr>
              <w:t>0.002</w:t>
            </w:r>
          </w:p>
        </w:tc>
      </w:tr>
      <w:tr w:rsidR="00743A00" w14:paraId="59F76D88" w14:textId="77777777">
        <w:trPr>
          <w:trHeight w:val="281"/>
        </w:trPr>
        <w:tc>
          <w:tcPr>
            <w:tcW w:w="1833" w:type="pct"/>
            <w:noWrap/>
          </w:tcPr>
          <w:p w14:paraId="0D0B323B" w14:textId="77777777" w:rsidR="00743A00" w:rsidRDefault="00000000">
            <w:pPr>
              <w:spacing w:line="360" w:lineRule="auto"/>
              <w:jc w:val="both"/>
              <w:rPr>
                <w:rFonts w:ascii="Book Antiqua" w:eastAsia="Times New Roman" w:hAnsi="Book Antiqua"/>
                <w:vertAlign w:val="superscript"/>
                <w:lang w:val="en-CA"/>
              </w:rPr>
            </w:pPr>
            <w:r>
              <w:rPr>
                <w:rFonts w:ascii="Book Antiqua" w:eastAsia="Times New Roman" w:hAnsi="Book Antiqua"/>
                <w:lang w:val="en-CA"/>
              </w:rPr>
              <w:t xml:space="preserve">Antecedent of obesity </w:t>
            </w:r>
            <w:r>
              <w:rPr>
                <w:rFonts w:ascii="Book Antiqua" w:eastAsia="宋体" w:hAnsi="Book Antiqua" w:hint="eastAsia"/>
                <w:lang w:eastAsia="zh-CN"/>
              </w:rPr>
              <w:t>i</w:t>
            </w:r>
            <w:r>
              <w:rPr>
                <w:rFonts w:ascii="Book Antiqua" w:eastAsia="Times New Roman" w:hAnsi="Book Antiqua"/>
                <w:lang w:val="en-CA"/>
              </w:rPr>
              <w:t>n relatives of 1° and 2° [</w:t>
            </w:r>
            <w:r>
              <w:rPr>
                <w:rFonts w:ascii="Book Antiqua" w:eastAsia="Times New Roman" w:hAnsi="Book Antiqua"/>
                <w:i/>
                <w:lang w:val="en-CA"/>
              </w:rPr>
              <w:t>n</w:t>
            </w:r>
            <w:r>
              <w:rPr>
                <w:rFonts w:ascii="Book Antiqua" w:eastAsia="Times New Roman" w:hAnsi="Book Antiqua"/>
                <w:lang w:val="en-CA"/>
              </w:rPr>
              <w:t xml:space="preserve"> (%)]</w:t>
            </w:r>
          </w:p>
        </w:tc>
        <w:tc>
          <w:tcPr>
            <w:tcW w:w="1613" w:type="pct"/>
          </w:tcPr>
          <w:p w14:paraId="0192AB3F"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31 (65.9)</w:t>
            </w:r>
          </w:p>
        </w:tc>
        <w:tc>
          <w:tcPr>
            <w:tcW w:w="1005" w:type="pct"/>
          </w:tcPr>
          <w:p w14:paraId="72C050FF"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84 (80.7)</w:t>
            </w:r>
          </w:p>
        </w:tc>
        <w:tc>
          <w:tcPr>
            <w:tcW w:w="549" w:type="pct"/>
          </w:tcPr>
          <w:p w14:paraId="56F040EB" w14:textId="77777777" w:rsidR="00743A00" w:rsidRDefault="00000000">
            <w:pPr>
              <w:pStyle w:val="DecimalAligned"/>
              <w:spacing w:after="0" w:line="360" w:lineRule="auto"/>
              <w:jc w:val="both"/>
              <w:rPr>
                <w:rFonts w:ascii="Book Antiqua" w:hAnsi="Book Antiqua"/>
                <w:b/>
                <w:bCs/>
                <w:sz w:val="24"/>
                <w:szCs w:val="24"/>
              </w:rPr>
            </w:pPr>
            <w:r>
              <w:rPr>
                <w:rFonts w:ascii="Book Antiqua" w:hAnsi="Book Antiqua"/>
                <w:b/>
                <w:bCs/>
                <w:sz w:val="24"/>
                <w:szCs w:val="24"/>
              </w:rPr>
              <w:t>0.048</w:t>
            </w:r>
          </w:p>
        </w:tc>
      </w:tr>
      <w:tr w:rsidR="00743A00" w14:paraId="16A896A2" w14:textId="77777777">
        <w:trPr>
          <w:trHeight w:val="281"/>
        </w:trPr>
        <w:tc>
          <w:tcPr>
            <w:tcW w:w="1833" w:type="pct"/>
            <w:tcBorders>
              <w:bottom w:val="nil"/>
            </w:tcBorders>
            <w:noWrap/>
          </w:tcPr>
          <w:p w14:paraId="0431E568" w14:textId="77777777" w:rsidR="00743A00" w:rsidRDefault="00000000">
            <w:pPr>
              <w:spacing w:line="360" w:lineRule="auto"/>
              <w:jc w:val="both"/>
              <w:rPr>
                <w:rFonts w:ascii="Book Antiqua" w:eastAsia="Times New Roman" w:hAnsi="Book Antiqua"/>
              </w:rPr>
            </w:pPr>
            <w:r>
              <w:rPr>
                <w:rFonts w:ascii="Book Antiqua" w:eastAsia="Times New Roman" w:hAnsi="Book Antiqua"/>
              </w:rPr>
              <w:t xml:space="preserve">Antecedent of DM </w:t>
            </w:r>
            <w:r>
              <w:rPr>
                <w:rFonts w:ascii="Book Antiqua" w:eastAsia="Times New Roman" w:hAnsi="Book Antiqua"/>
                <w:lang w:val="en-CA"/>
              </w:rPr>
              <w:t>[</w:t>
            </w:r>
            <w:r>
              <w:rPr>
                <w:rFonts w:ascii="Book Antiqua" w:eastAsia="Times New Roman" w:hAnsi="Book Antiqua"/>
                <w:i/>
                <w:lang w:val="en-CA"/>
              </w:rPr>
              <w:t>n</w:t>
            </w:r>
            <w:r>
              <w:rPr>
                <w:rFonts w:ascii="Book Antiqua" w:eastAsia="Times New Roman" w:hAnsi="Book Antiqua"/>
                <w:lang w:val="en-CA"/>
              </w:rPr>
              <w:t xml:space="preserve"> (%)]</w:t>
            </w:r>
          </w:p>
        </w:tc>
        <w:tc>
          <w:tcPr>
            <w:tcW w:w="1613" w:type="pct"/>
            <w:tcBorders>
              <w:bottom w:val="nil"/>
            </w:tcBorders>
          </w:tcPr>
          <w:p w14:paraId="093A88F2"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7 (14.9)</w:t>
            </w:r>
          </w:p>
        </w:tc>
        <w:tc>
          <w:tcPr>
            <w:tcW w:w="1005" w:type="pct"/>
            <w:tcBorders>
              <w:bottom w:val="nil"/>
            </w:tcBorders>
          </w:tcPr>
          <w:p w14:paraId="25A46E4D"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9 (8.7)</w:t>
            </w:r>
          </w:p>
        </w:tc>
        <w:tc>
          <w:tcPr>
            <w:tcW w:w="549" w:type="pct"/>
            <w:tcBorders>
              <w:bottom w:val="nil"/>
            </w:tcBorders>
          </w:tcPr>
          <w:p w14:paraId="30285744"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0.249</w:t>
            </w:r>
          </w:p>
        </w:tc>
      </w:tr>
      <w:tr w:rsidR="00743A00" w14:paraId="390B484F" w14:textId="77777777">
        <w:trPr>
          <w:trHeight w:val="306"/>
        </w:trPr>
        <w:tc>
          <w:tcPr>
            <w:tcW w:w="1833" w:type="pct"/>
            <w:tcBorders>
              <w:top w:val="nil"/>
              <w:bottom w:val="nil"/>
            </w:tcBorders>
            <w:noWrap/>
          </w:tcPr>
          <w:p w14:paraId="5CA790E7" w14:textId="77777777" w:rsidR="00743A00" w:rsidRDefault="00000000">
            <w:pPr>
              <w:spacing w:line="360" w:lineRule="auto"/>
              <w:jc w:val="both"/>
              <w:rPr>
                <w:rFonts w:ascii="Book Antiqua" w:eastAsia="Times New Roman" w:hAnsi="Book Antiqua"/>
              </w:rPr>
            </w:pPr>
            <w:r>
              <w:rPr>
                <w:rFonts w:ascii="Book Antiqua" w:eastAsia="Times New Roman" w:hAnsi="Book Antiqua"/>
              </w:rPr>
              <w:t>Weight at birth (kg)</w:t>
            </w:r>
          </w:p>
        </w:tc>
        <w:tc>
          <w:tcPr>
            <w:tcW w:w="1613" w:type="pct"/>
            <w:tcBorders>
              <w:top w:val="nil"/>
              <w:bottom w:val="nil"/>
            </w:tcBorders>
          </w:tcPr>
          <w:p w14:paraId="236ED5C5"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3.31 ± 0.66</w:t>
            </w:r>
          </w:p>
        </w:tc>
        <w:tc>
          <w:tcPr>
            <w:tcW w:w="1005" w:type="pct"/>
            <w:tcBorders>
              <w:top w:val="nil"/>
              <w:bottom w:val="nil"/>
            </w:tcBorders>
          </w:tcPr>
          <w:p w14:paraId="6E0BB6F6"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3.03 ± 0.44</w:t>
            </w:r>
          </w:p>
        </w:tc>
        <w:tc>
          <w:tcPr>
            <w:tcW w:w="549" w:type="pct"/>
            <w:tcBorders>
              <w:top w:val="nil"/>
              <w:bottom w:val="nil"/>
            </w:tcBorders>
          </w:tcPr>
          <w:p w14:paraId="5276F7BF"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0.005</w:t>
            </w:r>
          </w:p>
        </w:tc>
      </w:tr>
      <w:tr w:rsidR="00743A00" w14:paraId="6D4A9DC8" w14:textId="77777777">
        <w:trPr>
          <w:trHeight w:val="351"/>
        </w:trPr>
        <w:tc>
          <w:tcPr>
            <w:tcW w:w="1833" w:type="pct"/>
            <w:tcBorders>
              <w:top w:val="nil"/>
              <w:bottom w:val="nil"/>
            </w:tcBorders>
            <w:noWrap/>
          </w:tcPr>
          <w:p w14:paraId="00E1C416" w14:textId="77777777" w:rsidR="00743A00" w:rsidRDefault="00000000">
            <w:pPr>
              <w:spacing w:line="360" w:lineRule="auto"/>
              <w:jc w:val="both"/>
              <w:rPr>
                <w:rFonts w:ascii="Book Antiqua" w:eastAsia="Times New Roman" w:hAnsi="Book Antiqua"/>
              </w:rPr>
            </w:pPr>
            <w:r>
              <w:rPr>
                <w:rFonts w:ascii="Book Antiqua" w:eastAsia="Times New Roman" w:hAnsi="Book Antiqua"/>
              </w:rPr>
              <w:t xml:space="preserve">Socioeconomic </w:t>
            </w:r>
            <w:proofErr w:type="gramStart"/>
            <w:r>
              <w:rPr>
                <w:rFonts w:ascii="Book Antiqua" w:eastAsia="宋体" w:hAnsi="Book Antiqua" w:hint="eastAsia"/>
                <w:lang w:eastAsia="zh-CN"/>
              </w:rPr>
              <w:t>s</w:t>
            </w:r>
            <w:r>
              <w:rPr>
                <w:rFonts w:ascii="Book Antiqua" w:eastAsia="Times New Roman" w:hAnsi="Book Antiqua"/>
              </w:rPr>
              <w:t>tatus</w:t>
            </w:r>
            <w:r>
              <w:rPr>
                <w:rFonts w:ascii="Book Antiqua" w:eastAsia="Times New Roman" w:hAnsi="Book Antiqua"/>
                <w:vertAlign w:val="superscript"/>
              </w:rPr>
              <w:t>a,b</w:t>
            </w:r>
            <w:proofErr w:type="gramEnd"/>
          </w:p>
        </w:tc>
        <w:tc>
          <w:tcPr>
            <w:tcW w:w="1613" w:type="pct"/>
            <w:tcBorders>
              <w:top w:val="nil"/>
              <w:bottom w:val="nil"/>
            </w:tcBorders>
          </w:tcPr>
          <w:p w14:paraId="702C3B1C" w14:textId="77777777" w:rsidR="00743A00" w:rsidRDefault="00743A00">
            <w:pPr>
              <w:pStyle w:val="DecimalAligned"/>
              <w:spacing w:after="0" w:line="360" w:lineRule="auto"/>
              <w:jc w:val="both"/>
              <w:rPr>
                <w:rFonts w:ascii="Book Antiqua" w:hAnsi="Book Antiqua"/>
                <w:sz w:val="24"/>
                <w:szCs w:val="24"/>
              </w:rPr>
            </w:pPr>
          </w:p>
        </w:tc>
        <w:tc>
          <w:tcPr>
            <w:tcW w:w="1005" w:type="pct"/>
            <w:tcBorders>
              <w:top w:val="nil"/>
              <w:bottom w:val="nil"/>
            </w:tcBorders>
          </w:tcPr>
          <w:p w14:paraId="6BE48713" w14:textId="77777777" w:rsidR="00743A00" w:rsidRDefault="00743A00">
            <w:pPr>
              <w:pStyle w:val="DecimalAligned"/>
              <w:spacing w:after="0" w:line="360" w:lineRule="auto"/>
              <w:jc w:val="both"/>
              <w:rPr>
                <w:rFonts w:ascii="Book Antiqua" w:hAnsi="Book Antiqua"/>
                <w:sz w:val="24"/>
                <w:szCs w:val="24"/>
              </w:rPr>
            </w:pPr>
          </w:p>
        </w:tc>
        <w:tc>
          <w:tcPr>
            <w:tcW w:w="549" w:type="pct"/>
            <w:tcBorders>
              <w:top w:val="nil"/>
              <w:bottom w:val="nil"/>
            </w:tcBorders>
          </w:tcPr>
          <w:p w14:paraId="391ECA7B" w14:textId="77777777" w:rsidR="00743A00" w:rsidRDefault="00743A00">
            <w:pPr>
              <w:pStyle w:val="DecimalAligned"/>
              <w:spacing w:after="0" w:line="360" w:lineRule="auto"/>
              <w:jc w:val="both"/>
              <w:rPr>
                <w:rFonts w:ascii="Book Antiqua" w:hAnsi="Book Antiqua"/>
                <w:b/>
                <w:bCs/>
                <w:sz w:val="24"/>
                <w:szCs w:val="24"/>
              </w:rPr>
            </w:pPr>
          </w:p>
        </w:tc>
      </w:tr>
      <w:tr w:rsidR="00743A00" w14:paraId="39E1CD0A" w14:textId="77777777">
        <w:trPr>
          <w:trHeight w:val="351"/>
        </w:trPr>
        <w:tc>
          <w:tcPr>
            <w:tcW w:w="1833" w:type="pct"/>
            <w:tcBorders>
              <w:top w:val="nil"/>
              <w:bottom w:val="nil"/>
            </w:tcBorders>
            <w:noWrap/>
          </w:tcPr>
          <w:p w14:paraId="6293FE56" w14:textId="77777777" w:rsidR="00743A00" w:rsidRDefault="00000000">
            <w:pPr>
              <w:spacing w:line="360" w:lineRule="auto"/>
              <w:ind w:left="321"/>
              <w:jc w:val="both"/>
              <w:rPr>
                <w:rFonts w:ascii="Book Antiqua" w:eastAsia="Times New Roman" w:hAnsi="Book Antiqua"/>
              </w:rPr>
            </w:pPr>
            <w:r>
              <w:rPr>
                <w:rFonts w:ascii="Book Antiqua" w:eastAsia="Times New Roman" w:hAnsi="Book Antiqua"/>
              </w:rPr>
              <w:t xml:space="preserve">Upper </w:t>
            </w:r>
          </w:p>
        </w:tc>
        <w:tc>
          <w:tcPr>
            <w:tcW w:w="1613" w:type="pct"/>
            <w:tcBorders>
              <w:top w:val="nil"/>
              <w:bottom w:val="nil"/>
            </w:tcBorders>
          </w:tcPr>
          <w:p w14:paraId="62910CAC"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5 (10.6)</w:t>
            </w:r>
          </w:p>
        </w:tc>
        <w:tc>
          <w:tcPr>
            <w:tcW w:w="1005" w:type="pct"/>
            <w:tcBorders>
              <w:top w:val="nil"/>
              <w:bottom w:val="nil"/>
            </w:tcBorders>
          </w:tcPr>
          <w:p w14:paraId="719FFDBF"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6 (5.8)</w:t>
            </w:r>
          </w:p>
        </w:tc>
        <w:tc>
          <w:tcPr>
            <w:tcW w:w="549" w:type="pct"/>
            <w:tcBorders>
              <w:top w:val="nil"/>
              <w:bottom w:val="nil"/>
            </w:tcBorders>
          </w:tcPr>
          <w:p w14:paraId="21D66B5F" w14:textId="77777777" w:rsidR="00743A00" w:rsidRDefault="00743A00">
            <w:pPr>
              <w:pStyle w:val="DecimalAligned"/>
              <w:spacing w:after="0" w:line="360" w:lineRule="auto"/>
              <w:jc w:val="both"/>
              <w:rPr>
                <w:rFonts w:ascii="Book Antiqua" w:hAnsi="Book Antiqua"/>
                <w:b/>
                <w:bCs/>
                <w:sz w:val="24"/>
                <w:szCs w:val="24"/>
              </w:rPr>
            </w:pPr>
          </w:p>
        </w:tc>
      </w:tr>
      <w:tr w:rsidR="00743A00" w14:paraId="59FD95A9" w14:textId="77777777">
        <w:trPr>
          <w:trHeight w:val="351"/>
        </w:trPr>
        <w:tc>
          <w:tcPr>
            <w:tcW w:w="1833" w:type="pct"/>
            <w:tcBorders>
              <w:top w:val="nil"/>
              <w:bottom w:val="nil"/>
            </w:tcBorders>
            <w:noWrap/>
          </w:tcPr>
          <w:p w14:paraId="2683D4F2" w14:textId="77777777" w:rsidR="00743A00" w:rsidRDefault="00000000">
            <w:pPr>
              <w:spacing w:line="360" w:lineRule="auto"/>
              <w:ind w:left="321"/>
              <w:jc w:val="both"/>
              <w:rPr>
                <w:rFonts w:ascii="Book Antiqua" w:eastAsia="Times New Roman" w:hAnsi="Book Antiqua"/>
              </w:rPr>
            </w:pPr>
            <w:r>
              <w:rPr>
                <w:rFonts w:ascii="Book Antiqua" w:eastAsia="Times New Roman" w:hAnsi="Book Antiqua"/>
              </w:rPr>
              <w:t>Upper-middle</w:t>
            </w:r>
          </w:p>
        </w:tc>
        <w:tc>
          <w:tcPr>
            <w:tcW w:w="1613" w:type="pct"/>
            <w:tcBorders>
              <w:top w:val="nil"/>
              <w:bottom w:val="nil"/>
            </w:tcBorders>
          </w:tcPr>
          <w:p w14:paraId="2A8D195D"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6 (12.8)</w:t>
            </w:r>
          </w:p>
        </w:tc>
        <w:tc>
          <w:tcPr>
            <w:tcW w:w="1005" w:type="pct"/>
            <w:tcBorders>
              <w:top w:val="nil"/>
              <w:bottom w:val="nil"/>
            </w:tcBorders>
          </w:tcPr>
          <w:p w14:paraId="0212C946"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6 (5.8)</w:t>
            </w:r>
          </w:p>
        </w:tc>
        <w:tc>
          <w:tcPr>
            <w:tcW w:w="549" w:type="pct"/>
            <w:tcBorders>
              <w:top w:val="nil"/>
              <w:bottom w:val="nil"/>
            </w:tcBorders>
          </w:tcPr>
          <w:p w14:paraId="25C036A8" w14:textId="77777777" w:rsidR="00743A00" w:rsidRDefault="00743A00">
            <w:pPr>
              <w:pStyle w:val="DecimalAligned"/>
              <w:spacing w:after="0" w:line="360" w:lineRule="auto"/>
              <w:jc w:val="both"/>
              <w:rPr>
                <w:rFonts w:ascii="Book Antiqua" w:hAnsi="Book Antiqua"/>
                <w:b/>
                <w:bCs/>
                <w:sz w:val="24"/>
                <w:szCs w:val="24"/>
              </w:rPr>
            </w:pPr>
          </w:p>
        </w:tc>
      </w:tr>
      <w:tr w:rsidR="00743A00" w14:paraId="18E4FD9F" w14:textId="77777777">
        <w:trPr>
          <w:trHeight w:val="315"/>
        </w:trPr>
        <w:tc>
          <w:tcPr>
            <w:tcW w:w="1833" w:type="pct"/>
            <w:tcBorders>
              <w:top w:val="nil"/>
              <w:bottom w:val="nil"/>
            </w:tcBorders>
            <w:noWrap/>
          </w:tcPr>
          <w:p w14:paraId="706361F0" w14:textId="77777777" w:rsidR="00743A00" w:rsidRDefault="00000000">
            <w:pPr>
              <w:spacing w:line="360" w:lineRule="auto"/>
              <w:ind w:left="321"/>
              <w:jc w:val="both"/>
              <w:rPr>
                <w:rFonts w:ascii="Book Antiqua" w:eastAsia="Times New Roman" w:hAnsi="Book Antiqua"/>
              </w:rPr>
            </w:pPr>
            <w:r>
              <w:rPr>
                <w:rFonts w:ascii="Book Antiqua" w:eastAsia="Times New Roman" w:hAnsi="Book Antiqua"/>
              </w:rPr>
              <w:t>Middle</w:t>
            </w:r>
          </w:p>
        </w:tc>
        <w:tc>
          <w:tcPr>
            <w:tcW w:w="1613" w:type="pct"/>
            <w:tcBorders>
              <w:top w:val="nil"/>
              <w:bottom w:val="nil"/>
            </w:tcBorders>
          </w:tcPr>
          <w:p w14:paraId="2FB12375"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6 (12.8)</w:t>
            </w:r>
          </w:p>
        </w:tc>
        <w:tc>
          <w:tcPr>
            <w:tcW w:w="1005" w:type="pct"/>
            <w:tcBorders>
              <w:top w:val="nil"/>
              <w:bottom w:val="nil"/>
            </w:tcBorders>
          </w:tcPr>
          <w:p w14:paraId="39AA0F4E"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18 (17.3)</w:t>
            </w:r>
          </w:p>
        </w:tc>
        <w:tc>
          <w:tcPr>
            <w:tcW w:w="549" w:type="pct"/>
            <w:tcBorders>
              <w:top w:val="nil"/>
              <w:bottom w:val="nil"/>
            </w:tcBorders>
          </w:tcPr>
          <w:p w14:paraId="4C19E7F8" w14:textId="77777777" w:rsidR="00743A00" w:rsidRDefault="00000000">
            <w:pPr>
              <w:pStyle w:val="DecimalAligned"/>
              <w:spacing w:after="0" w:line="360" w:lineRule="auto"/>
              <w:jc w:val="both"/>
              <w:rPr>
                <w:rFonts w:ascii="Book Antiqua" w:hAnsi="Book Antiqua"/>
                <w:b/>
                <w:bCs/>
                <w:sz w:val="24"/>
                <w:szCs w:val="24"/>
              </w:rPr>
            </w:pPr>
            <w:r>
              <w:rPr>
                <w:rFonts w:ascii="Book Antiqua" w:hAnsi="Book Antiqua"/>
                <w:b/>
                <w:bCs/>
                <w:sz w:val="24"/>
                <w:szCs w:val="24"/>
              </w:rPr>
              <w:t>0.023</w:t>
            </w:r>
          </w:p>
        </w:tc>
      </w:tr>
      <w:tr w:rsidR="00743A00" w14:paraId="0C81E5EF" w14:textId="77777777">
        <w:trPr>
          <w:trHeight w:val="405"/>
        </w:trPr>
        <w:tc>
          <w:tcPr>
            <w:tcW w:w="1833" w:type="pct"/>
            <w:tcBorders>
              <w:top w:val="nil"/>
              <w:bottom w:val="nil"/>
            </w:tcBorders>
            <w:noWrap/>
          </w:tcPr>
          <w:p w14:paraId="23E27F26" w14:textId="77777777" w:rsidR="00743A00" w:rsidRDefault="00000000">
            <w:pPr>
              <w:spacing w:line="360" w:lineRule="auto"/>
              <w:ind w:left="321"/>
              <w:jc w:val="both"/>
              <w:rPr>
                <w:rFonts w:ascii="Book Antiqua" w:eastAsia="Times New Roman" w:hAnsi="Book Antiqua"/>
              </w:rPr>
            </w:pPr>
            <w:r>
              <w:rPr>
                <w:rFonts w:ascii="Book Antiqua" w:eastAsia="Times New Roman" w:hAnsi="Book Antiqua"/>
              </w:rPr>
              <w:t>Lower-middle</w:t>
            </w:r>
          </w:p>
        </w:tc>
        <w:tc>
          <w:tcPr>
            <w:tcW w:w="1613" w:type="pct"/>
            <w:tcBorders>
              <w:top w:val="nil"/>
              <w:bottom w:val="nil"/>
            </w:tcBorders>
          </w:tcPr>
          <w:p w14:paraId="4334AC19"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16 (34)</w:t>
            </w:r>
          </w:p>
        </w:tc>
        <w:tc>
          <w:tcPr>
            <w:tcW w:w="1005" w:type="pct"/>
            <w:tcBorders>
              <w:top w:val="nil"/>
              <w:bottom w:val="nil"/>
            </w:tcBorders>
          </w:tcPr>
          <w:p w14:paraId="56BB0602"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18 (17.3)</w:t>
            </w:r>
          </w:p>
        </w:tc>
        <w:tc>
          <w:tcPr>
            <w:tcW w:w="549" w:type="pct"/>
            <w:tcBorders>
              <w:top w:val="nil"/>
              <w:bottom w:val="nil"/>
            </w:tcBorders>
          </w:tcPr>
          <w:p w14:paraId="5FE26D24" w14:textId="77777777" w:rsidR="00743A00" w:rsidRDefault="00743A00">
            <w:pPr>
              <w:pStyle w:val="DecimalAligned"/>
              <w:spacing w:after="0" w:line="360" w:lineRule="auto"/>
              <w:jc w:val="both"/>
              <w:rPr>
                <w:rFonts w:ascii="Book Antiqua" w:hAnsi="Book Antiqua"/>
                <w:b/>
                <w:bCs/>
                <w:sz w:val="24"/>
                <w:szCs w:val="24"/>
              </w:rPr>
            </w:pPr>
          </w:p>
        </w:tc>
      </w:tr>
      <w:tr w:rsidR="00743A00" w14:paraId="1B8E4D12" w14:textId="77777777">
        <w:trPr>
          <w:trHeight w:val="360"/>
        </w:trPr>
        <w:tc>
          <w:tcPr>
            <w:tcW w:w="1833" w:type="pct"/>
            <w:tcBorders>
              <w:top w:val="nil"/>
              <w:bottom w:val="nil"/>
            </w:tcBorders>
            <w:noWrap/>
          </w:tcPr>
          <w:p w14:paraId="6E5EABDB" w14:textId="77777777" w:rsidR="00743A00" w:rsidRDefault="00000000">
            <w:pPr>
              <w:spacing w:line="360" w:lineRule="auto"/>
              <w:ind w:left="321"/>
              <w:jc w:val="both"/>
              <w:rPr>
                <w:rFonts w:ascii="Book Antiqua" w:eastAsia="Times New Roman" w:hAnsi="Book Antiqua"/>
              </w:rPr>
            </w:pPr>
            <w:r>
              <w:rPr>
                <w:rFonts w:ascii="Book Antiqua" w:eastAsia="Times New Roman" w:hAnsi="Book Antiqua"/>
              </w:rPr>
              <w:t>Upper-Lower</w:t>
            </w:r>
          </w:p>
        </w:tc>
        <w:tc>
          <w:tcPr>
            <w:tcW w:w="1613" w:type="pct"/>
            <w:tcBorders>
              <w:top w:val="nil"/>
              <w:bottom w:val="nil"/>
            </w:tcBorders>
          </w:tcPr>
          <w:p w14:paraId="40F3ECF1"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10 (21.3)</w:t>
            </w:r>
          </w:p>
        </w:tc>
        <w:tc>
          <w:tcPr>
            <w:tcW w:w="1005" w:type="pct"/>
            <w:tcBorders>
              <w:top w:val="nil"/>
              <w:bottom w:val="nil"/>
            </w:tcBorders>
          </w:tcPr>
          <w:p w14:paraId="68D5A11B"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28 (26.9)</w:t>
            </w:r>
          </w:p>
        </w:tc>
        <w:tc>
          <w:tcPr>
            <w:tcW w:w="549" w:type="pct"/>
            <w:tcBorders>
              <w:top w:val="nil"/>
              <w:bottom w:val="nil"/>
            </w:tcBorders>
          </w:tcPr>
          <w:p w14:paraId="6692748E" w14:textId="77777777" w:rsidR="00743A00" w:rsidRDefault="00743A00">
            <w:pPr>
              <w:pStyle w:val="DecimalAligned"/>
              <w:spacing w:after="0" w:line="360" w:lineRule="auto"/>
              <w:jc w:val="both"/>
              <w:rPr>
                <w:rFonts w:ascii="Book Antiqua" w:hAnsi="Book Antiqua"/>
                <w:b/>
                <w:bCs/>
                <w:sz w:val="24"/>
                <w:szCs w:val="24"/>
              </w:rPr>
            </w:pPr>
          </w:p>
        </w:tc>
      </w:tr>
      <w:tr w:rsidR="00743A00" w14:paraId="10E2EF60" w14:textId="77777777">
        <w:trPr>
          <w:trHeight w:val="297"/>
        </w:trPr>
        <w:tc>
          <w:tcPr>
            <w:tcW w:w="1833" w:type="pct"/>
            <w:tcBorders>
              <w:top w:val="nil"/>
              <w:bottom w:val="nil"/>
            </w:tcBorders>
            <w:noWrap/>
          </w:tcPr>
          <w:p w14:paraId="3D2F6B14" w14:textId="77777777" w:rsidR="00743A00" w:rsidRDefault="00000000">
            <w:pPr>
              <w:spacing w:line="360" w:lineRule="auto"/>
              <w:ind w:left="321"/>
              <w:jc w:val="both"/>
              <w:rPr>
                <w:rFonts w:ascii="Book Antiqua" w:eastAsia="Times New Roman" w:hAnsi="Book Antiqua"/>
              </w:rPr>
            </w:pPr>
            <w:r>
              <w:rPr>
                <w:rFonts w:ascii="Book Antiqua" w:eastAsia="Times New Roman" w:hAnsi="Book Antiqua"/>
              </w:rPr>
              <w:t>Lower</w:t>
            </w:r>
          </w:p>
        </w:tc>
        <w:tc>
          <w:tcPr>
            <w:tcW w:w="1613" w:type="pct"/>
            <w:tcBorders>
              <w:top w:val="nil"/>
              <w:bottom w:val="nil"/>
            </w:tcBorders>
          </w:tcPr>
          <w:p w14:paraId="5F2BB94D"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4 (8.5)</w:t>
            </w:r>
          </w:p>
        </w:tc>
        <w:tc>
          <w:tcPr>
            <w:tcW w:w="1005" w:type="pct"/>
            <w:tcBorders>
              <w:top w:val="nil"/>
              <w:bottom w:val="nil"/>
            </w:tcBorders>
          </w:tcPr>
          <w:p w14:paraId="2B70B36A"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28 (26.9)</w:t>
            </w:r>
          </w:p>
        </w:tc>
        <w:tc>
          <w:tcPr>
            <w:tcW w:w="549" w:type="pct"/>
            <w:tcBorders>
              <w:top w:val="nil"/>
              <w:bottom w:val="nil"/>
            </w:tcBorders>
          </w:tcPr>
          <w:p w14:paraId="1D9FA753" w14:textId="77777777" w:rsidR="00743A00" w:rsidRDefault="00743A00">
            <w:pPr>
              <w:pStyle w:val="DecimalAligned"/>
              <w:spacing w:after="0" w:line="360" w:lineRule="auto"/>
              <w:jc w:val="both"/>
              <w:rPr>
                <w:rFonts w:ascii="Book Antiqua" w:hAnsi="Book Antiqua"/>
                <w:b/>
                <w:bCs/>
                <w:sz w:val="24"/>
                <w:szCs w:val="24"/>
              </w:rPr>
            </w:pPr>
          </w:p>
        </w:tc>
      </w:tr>
      <w:tr w:rsidR="00743A00" w14:paraId="549E85F3" w14:textId="77777777">
        <w:trPr>
          <w:trHeight w:val="281"/>
        </w:trPr>
        <w:tc>
          <w:tcPr>
            <w:tcW w:w="1833" w:type="pct"/>
            <w:tcBorders>
              <w:top w:val="nil"/>
            </w:tcBorders>
            <w:noWrap/>
          </w:tcPr>
          <w:p w14:paraId="6D05EFA4" w14:textId="77777777" w:rsidR="00743A00" w:rsidRDefault="00000000">
            <w:pPr>
              <w:spacing w:line="360" w:lineRule="auto"/>
              <w:jc w:val="both"/>
              <w:rPr>
                <w:rFonts w:ascii="Book Antiqua" w:eastAsia="Times New Roman" w:hAnsi="Book Antiqua"/>
                <w:vertAlign w:val="superscript"/>
              </w:rPr>
            </w:pPr>
            <w:r>
              <w:rPr>
                <w:rFonts w:ascii="Book Antiqua" w:eastAsia="Times New Roman" w:hAnsi="Book Antiqua"/>
              </w:rPr>
              <w:t>Comorbidities</w:t>
            </w:r>
          </w:p>
        </w:tc>
        <w:tc>
          <w:tcPr>
            <w:tcW w:w="1613" w:type="pct"/>
            <w:tcBorders>
              <w:top w:val="nil"/>
            </w:tcBorders>
          </w:tcPr>
          <w:p w14:paraId="17C76882" w14:textId="77777777" w:rsidR="00743A00" w:rsidRDefault="00743A00">
            <w:pPr>
              <w:pStyle w:val="DecimalAligned"/>
              <w:spacing w:after="0" w:line="360" w:lineRule="auto"/>
              <w:jc w:val="both"/>
              <w:rPr>
                <w:rFonts w:ascii="Book Antiqua" w:hAnsi="Book Antiqua"/>
                <w:sz w:val="24"/>
                <w:szCs w:val="24"/>
              </w:rPr>
            </w:pPr>
          </w:p>
        </w:tc>
        <w:tc>
          <w:tcPr>
            <w:tcW w:w="1005" w:type="pct"/>
            <w:tcBorders>
              <w:top w:val="nil"/>
            </w:tcBorders>
          </w:tcPr>
          <w:p w14:paraId="5800F581" w14:textId="77777777" w:rsidR="00743A00" w:rsidRDefault="00743A00">
            <w:pPr>
              <w:pStyle w:val="DecimalAligned"/>
              <w:spacing w:after="0" w:line="360" w:lineRule="auto"/>
              <w:jc w:val="both"/>
              <w:rPr>
                <w:rFonts w:ascii="Book Antiqua" w:hAnsi="Book Antiqua"/>
                <w:sz w:val="24"/>
                <w:szCs w:val="24"/>
              </w:rPr>
            </w:pPr>
          </w:p>
        </w:tc>
        <w:tc>
          <w:tcPr>
            <w:tcW w:w="549" w:type="pct"/>
            <w:tcBorders>
              <w:top w:val="nil"/>
            </w:tcBorders>
          </w:tcPr>
          <w:p w14:paraId="37D72B22" w14:textId="77777777" w:rsidR="00743A00" w:rsidRDefault="00743A00">
            <w:pPr>
              <w:pStyle w:val="DecimalAligned"/>
              <w:spacing w:after="0" w:line="360" w:lineRule="auto"/>
              <w:jc w:val="both"/>
              <w:rPr>
                <w:rFonts w:ascii="Book Antiqua" w:hAnsi="Book Antiqua"/>
                <w:bCs/>
                <w:sz w:val="24"/>
                <w:szCs w:val="24"/>
              </w:rPr>
            </w:pPr>
          </w:p>
        </w:tc>
      </w:tr>
      <w:tr w:rsidR="00743A00" w14:paraId="5B2B3E67" w14:textId="77777777">
        <w:trPr>
          <w:trHeight w:val="281"/>
        </w:trPr>
        <w:tc>
          <w:tcPr>
            <w:tcW w:w="1833" w:type="pct"/>
            <w:noWrap/>
          </w:tcPr>
          <w:p w14:paraId="6085A9DF" w14:textId="77777777" w:rsidR="00743A00" w:rsidRDefault="00000000">
            <w:pPr>
              <w:spacing w:line="360" w:lineRule="auto"/>
              <w:jc w:val="both"/>
              <w:rPr>
                <w:rFonts w:ascii="Book Antiqua" w:eastAsia="Times New Roman" w:hAnsi="Book Antiqua"/>
                <w:vertAlign w:val="superscript"/>
              </w:rPr>
            </w:pPr>
            <w:r>
              <w:rPr>
                <w:rFonts w:ascii="Book Antiqua" w:eastAsia="Times New Roman" w:hAnsi="Book Antiqua"/>
              </w:rPr>
              <w:t xml:space="preserve">Hypercholesterolemia </w:t>
            </w:r>
            <w:r>
              <w:rPr>
                <w:rFonts w:ascii="Book Antiqua" w:eastAsia="Times New Roman" w:hAnsi="Book Antiqua"/>
                <w:lang w:val="en-CA"/>
              </w:rPr>
              <w:t>[</w:t>
            </w:r>
            <w:r>
              <w:rPr>
                <w:rFonts w:ascii="Book Antiqua" w:eastAsia="Times New Roman" w:hAnsi="Book Antiqua"/>
                <w:i/>
                <w:lang w:val="en-CA"/>
              </w:rPr>
              <w:t>n</w:t>
            </w:r>
            <w:r>
              <w:rPr>
                <w:rFonts w:ascii="Book Antiqua" w:eastAsia="Times New Roman" w:hAnsi="Book Antiqua"/>
                <w:lang w:val="en-CA"/>
              </w:rPr>
              <w:t xml:space="preserve"> (%)]</w:t>
            </w:r>
          </w:p>
        </w:tc>
        <w:tc>
          <w:tcPr>
            <w:tcW w:w="1613" w:type="pct"/>
          </w:tcPr>
          <w:p w14:paraId="02D2ADC0"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22 (46.8)</w:t>
            </w:r>
          </w:p>
        </w:tc>
        <w:tc>
          <w:tcPr>
            <w:tcW w:w="1005" w:type="pct"/>
          </w:tcPr>
          <w:p w14:paraId="67605B24"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29 (27.9)</w:t>
            </w:r>
          </w:p>
        </w:tc>
        <w:tc>
          <w:tcPr>
            <w:tcW w:w="549" w:type="pct"/>
          </w:tcPr>
          <w:p w14:paraId="76955D5A" w14:textId="77777777" w:rsidR="00743A00" w:rsidRDefault="00000000">
            <w:pPr>
              <w:pStyle w:val="DecimalAligned"/>
              <w:spacing w:after="0" w:line="360" w:lineRule="auto"/>
              <w:jc w:val="both"/>
              <w:rPr>
                <w:rFonts w:ascii="Book Antiqua" w:hAnsi="Book Antiqua"/>
                <w:b/>
                <w:sz w:val="24"/>
                <w:szCs w:val="24"/>
              </w:rPr>
            </w:pPr>
            <w:r>
              <w:rPr>
                <w:rFonts w:ascii="Book Antiqua" w:hAnsi="Book Antiqua"/>
                <w:b/>
                <w:sz w:val="24"/>
                <w:szCs w:val="24"/>
              </w:rPr>
              <w:t>0.023</w:t>
            </w:r>
          </w:p>
        </w:tc>
      </w:tr>
      <w:tr w:rsidR="00743A00" w14:paraId="32C6279B" w14:textId="77777777">
        <w:trPr>
          <w:trHeight w:val="281"/>
        </w:trPr>
        <w:tc>
          <w:tcPr>
            <w:tcW w:w="1833" w:type="pct"/>
            <w:noWrap/>
          </w:tcPr>
          <w:p w14:paraId="2505E73C" w14:textId="77777777" w:rsidR="00743A00" w:rsidRDefault="00000000">
            <w:pPr>
              <w:spacing w:line="360" w:lineRule="auto"/>
              <w:jc w:val="both"/>
              <w:rPr>
                <w:rFonts w:ascii="Book Antiqua" w:eastAsia="Times New Roman" w:hAnsi="Book Antiqua"/>
                <w:vertAlign w:val="superscript"/>
              </w:rPr>
            </w:pPr>
            <w:r>
              <w:rPr>
                <w:rFonts w:ascii="Book Antiqua" w:eastAsia="Times New Roman" w:hAnsi="Book Antiqua"/>
              </w:rPr>
              <w:t>Hypertriglyceridemia</w:t>
            </w:r>
          </w:p>
        </w:tc>
        <w:tc>
          <w:tcPr>
            <w:tcW w:w="1613" w:type="pct"/>
          </w:tcPr>
          <w:p w14:paraId="6E84BF43"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27 (57.4)</w:t>
            </w:r>
          </w:p>
        </w:tc>
        <w:tc>
          <w:tcPr>
            <w:tcW w:w="1005" w:type="pct"/>
          </w:tcPr>
          <w:p w14:paraId="75AA5EB4"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78 (75.0)</w:t>
            </w:r>
          </w:p>
        </w:tc>
        <w:tc>
          <w:tcPr>
            <w:tcW w:w="549" w:type="pct"/>
          </w:tcPr>
          <w:p w14:paraId="240018DA" w14:textId="77777777" w:rsidR="00743A00" w:rsidRDefault="00000000">
            <w:pPr>
              <w:pStyle w:val="DecimalAligned"/>
              <w:spacing w:after="0" w:line="360" w:lineRule="auto"/>
              <w:jc w:val="both"/>
              <w:rPr>
                <w:rFonts w:ascii="Book Antiqua" w:hAnsi="Book Antiqua"/>
                <w:b/>
                <w:sz w:val="24"/>
                <w:szCs w:val="24"/>
              </w:rPr>
            </w:pPr>
            <w:r>
              <w:rPr>
                <w:rFonts w:ascii="Book Antiqua" w:hAnsi="Book Antiqua"/>
                <w:b/>
                <w:sz w:val="24"/>
                <w:szCs w:val="24"/>
              </w:rPr>
              <w:t>0.030</w:t>
            </w:r>
          </w:p>
        </w:tc>
      </w:tr>
      <w:tr w:rsidR="00743A00" w14:paraId="44DABCFC" w14:textId="77777777">
        <w:trPr>
          <w:trHeight w:val="281"/>
        </w:trPr>
        <w:tc>
          <w:tcPr>
            <w:tcW w:w="1833" w:type="pct"/>
            <w:noWrap/>
          </w:tcPr>
          <w:p w14:paraId="76EA38ED" w14:textId="77777777" w:rsidR="00743A00" w:rsidRDefault="00000000">
            <w:pPr>
              <w:spacing w:line="360" w:lineRule="auto"/>
              <w:jc w:val="both"/>
              <w:rPr>
                <w:rFonts w:ascii="Book Antiqua" w:eastAsia="Times New Roman" w:hAnsi="Book Antiqua"/>
                <w:vertAlign w:val="superscript"/>
              </w:rPr>
            </w:pPr>
            <w:r>
              <w:rPr>
                <w:rFonts w:ascii="Book Antiqua" w:eastAsia="Times New Roman" w:hAnsi="Book Antiqua"/>
              </w:rPr>
              <w:t>Hypoalphalipoproteinemia</w:t>
            </w:r>
          </w:p>
        </w:tc>
        <w:tc>
          <w:tcPr>
            <w:tcW w:w="1613" w:type="pct"/>
          </w:tcPr>
          <w:p w14:paraId="1296D137"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19 (40.4)</w:t>
            </w:r>
          </w:p>
        </w:tc>
        <w:tc>
          <w:tcPr>
            <w:tcW w:w="1005" w:type="pct"/>
          </w:tcPr>
          <w:p w14:paraId="3EE4DADC"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16 (15.4)</w:t>
            </w:r>
          </w:p>
        </w:tc>
        <w:tc>
          <w:tcPr>
            <w:tcW w:w="549" w:type="pct"/>
          </w:tcPr>
          <w:p w14:paraId="6CAD0662" w14:textId="77777777" w:rsidR="00743A00" w:rsidRDefault="00000000">
            <w:pPr>
              <w:pStyle w:val="DecimalAligned"/>
              <w:spacing w:after="0" w:line="360" w:lineRule="auto"/>
              <w:jc w:val="both"/>
              <w:rPr>
                <w:rFonts w:ascii="Book Antiqua" w:hAnsi="Book Antiqua"/>
                <w:b/>
                <w:sz w:val="24"/>
                <w:szCs w:val="24"/>
              </w:rPr>
            </w:pPr>
            <w:r>
              <w:rPr>
                <w:rFonts w:ascii="Book Antiqua" w:hAnsi="Book Antiqua"/>
                <w:b/>
                <w:sz w:val="24"/>
                <w:szCs w:val="24"/>
              </w:rPr>
              <w:t>0.001</w:t>
            </w:r>
          </w:p>
        </w:tc>
      </w:tr>
      <w:tr w:rsidR="00743A00" w14:paraId="0E8CF337" w14:textId="77777777">
        <w:trPr>
          <w:trHeight w:val="265"/>
        </w:trPr>
        <w:tc>
          <w:tcPr>
            <w:tcW w:w="1833" w:type="pct"/>
            <w:noWrap/>
          </w:tcPr>
          <w:p w14:paraId="1690F23B" w14:textId="77777777" w:rsidR="00743A00" w:rsidRDefault="00000000">
            <w:pPr>
              <w:spacing w:line="360" w:lineRule="auto"/>
              <w:jc w:val="both"/>
              <w:rPr>
                <w:rFonts w:ascii="Book Antiqua" w:eastAsia="Times New Roman" w:hAnsi="Book Antiqua"/>
                <w:vertAlign w:val="superscript"/>
              </w:rPr>
            </w:pPr>
            <w:r>
              <w:rPr>
                <w:rFonts w:ascii="Book Antiqua" w:eastAsia="Times New Roman" w:hAnsi="Book Antiqua"/>
              </w:rPr>
              <w:t xml:space="preserve">Hepatic </w:t>
            </w:r>
            <w:r>
              <w:rPr>
                <w:rFonts w:ascii="Book Antiqua" w:eastAsia="宋体" w:hAnsi="Book Antiqua" w:hint="eastAsia"/>
                <w:lang w:eastAsia="zh-CN"/>
              </w:rPr>
              <w:t>s</w:t>
            </w:r>
            <w:r>
              <w:rPr>
                <w:rFonts w:ascii="Book Antiqua" w:eastAsia="Times New Roman" w:hAnsi="Book Antiqua"/>
              </w:rPr>
              <w:t>teatosis</w:t>
            </w:r>
          </w:p>
        </w:tc>
        <w:tc>
          <w:tcPr>
            <w:tcW w:w="1613" w:type="pct"/>
          </w:tcPr>
          <w:p w14:paraId="51A97D60"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6 (12.8)</w:t>
            </w:r>
          </w:p>
        </w:tc>
        <w:tc>
          <w:tcPr>
            <w:tcW w:w="1005" w:type="pct"/>
          </w:tcPr>
          <w:p w14:paraId="6E3BB1B3"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22 (21.2)</w:t>
            </w:r>
          </w:p>
        </w:tc>
        <w:tc>
          <w:tcPr>
            <w:tcW w:w="549" w:type="pct"/>
          </w:tcPr>
          <w:p w14:paraId="031D1A77" w14:textId="77777777" w:rsidR="00743A00" w:rsidRDefault="00000000">
            <w:pPr>
              <w:pStyle w:val="DecimalAligned"/>
              <w:spacing w:after="0" w:line="360" w:lineRule="auto"/>
              <w:jc w:val="both"/>
              <w:rPr>
                <w:rFonts w:ascii="Book Antiqua" w:hAnsi="Book Antiqua"/>
                <w:bCs/>
                <w:sz w:val="24"/>
                <w:szCs w:val="24"/>
              </w:rPr>
            </w:pPr>
            <w:r>
              <w:rPr>
                <w:rFonts w:ascii="Book Antiqua" w:hAnsi="Book Antiqua"/>
                <w:bCs/>
                <w:sz w:val="24"/>
                <w:szCs w:val="24"/>
              </w:rPr>
              <w:t>0.219</w:t>
            </w:r>
          </w:p>
        </w:tc>
      </w:tr>
      <w:tr w:rsidR="00743A00" w14:paraId="6695062D" w14:textId="77777777">
        <w:trPr>
          <w:trHeight w:val="265"/>
        </w:trPr>
        <w:tc>
          <w:tcPr>
            <w:tcW w:w="1833" w:type="pct"/>
            <w:noWrap/>
          </w:tcPr>
          <w:p w14:paraId="505B505C" w14:textId="77777777" w:rsidR="00743A00" w:rsidRDefault="00000000">
            <w:pPr>
              <w:spacing w:line="360" w:lineRule="auto"/>
              <w:jc w:val="both"/>
              <w:rPr>
                <w:rFonts w:ascii="Book Antiqua" w:eastAsia="Times New Roman" w:hAnsi="Book Antiqua"/>
                <w:vertAlign w:val="superscript"/>
              </w:rPr>
            </w:pPr>
            <w:r>
              <w:rPr>
                <w:rFonts w:ascii="Book Antiqua" w:eastAsia="Times New Roman" w:hAnsi="Book Antiqua"/>
              </w:rPr>
              <w:t>Arterial hypertension</w:t>
            </w:r>
          </w:p>
        </w:tc>
        <w:tc>
          <w:tcPr>
            <w:tcW w:w="1613" w:type="pct"/>
          </w:tcPr>
          <w:p w14:paraId="5A26BFEC"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5 (10.6)</w:t>
            </w:r>
          </w:p>
        </w:tc>
        <w:tc>
          <w:tcPr>
            <w:tcW w:w="1005" w:type="pct"/>
          </w:tcPr>
          <w:p w14:paraId="1B9DAD28" w14:textId="77777777" w:rsidR="00743A00" w:rsidRDefault="00000000">
            <w:pPr>
              <w:pStyle w:val="DecimalAligned"/>
              <w:spacing w:after="0" w:line="360" w:lineRule="auto"/>
              <w:jc w:val="both"/>
              <w:rPr>
                <w:rFonts w:ascii="Book Antiqua" w:hAnsi="Book Antiqua"/>
                <w:sz w:val="24"/>
                <w:szCs w:val="24"/>
              </w:rPr>
            </w:pPr>
            <w:r>
              <w:rPr>
                <w:rFonts w:ascii="Book Antiqua" w:hAnsi="Book Antiqua"/>
                <w:sz w:val="24"/>
                <w:szCs w:val="24"/>
              </w:rPr>
              <w:t>22 (22.3)</w:t>
            </w:r>
          </w:p>
        </w:tc>
        <w:tc>
          <w:tcPr>
            <w:tcW w:w="549" w:type="pct"/>
          </w:tcPr>
          <w:p w14:paraId="0B08AB01" w14:textId="77777777" w:rsidR="00743A00" w:rsidRDefault="00000000">
            <w:pPr>
              <w:pStyle w:val="DecimalAligned"/>
              <w:spacing w:after="0" w:line="360" w:lineRule="auto"/>
              <w:jc w:val="both"/>
              <w:rPr>
                <w:rFonts w:ascii="Book Antiqua" w:hAnsi="Book Antiqua"/>
                <w:b/>
                <w:sz w:val="24"/>
                <w:szCs w:val="24"/>
              </w:rPr>
            </w:pPr>
            <w:r>
              <w:rPr>
                <w:rFonts w:ascii="Book Antiqua" w:hAnsi="Book Antiqua"/>
                <w:b/>
                <w:sz w:val="24"/>
                <w:szCs w:val="24"/>
              </w:rPr>
              <w:t>0.021</w:t>
            </w:r>
          </w:p>
        </w:tc>
      </w:tr>
    </w:tbl>
    <w:p w14:paraId="7E1ACAC1" w14:textId="77777777" w:rsidR="00743A00" w:rsidRDefault="00000000">
      <w:pPr>
        <w:spacing w:line="360" w:lineRule="auto"/>
        <w:jc w:val="both"/>
        <w:rPr>
          <w:rStyle w:val="nfasissutil1"/>
          <w:rFonts w:ascii="Book Antiqua" w:eastAsiaTheme="minorEastAsia" w:hAnsi="Book Antiqua"/>
          <w:bCs/>
          <w:i w:val="0"/>
          <w:color w:val="000000" w:themeColor="text1"/>
          <w:szCs w:val="24"/>
          <w:lang w:val="en-CA" w:eastAsia="zh-CN"/>
        </w:rPr>
      </w:pPr>
      <w:r>
        <w:rPr>
          <w:rStyle w:val="nfasissutil1"/>
          <w:rFonts w:ascii="Book Antiqua" w:eastAsia="Calibri" w:hAnsi="Book Antiqua"/>
          <w:bCs/>
          <w:i w:val="0"/>
          <w:color w:val="000000" w:themeColor="text1"/>
          <w:szCs w:val="24"/>
          <w:vertAlign w:val="superscript"/>
          <w:lang w:val="en-CA"/>
        </w:rPr>
        <w:t>a</w:t>
      </w:r>
      <w:r>
        <w:rPr>
          <w:rStyle w:val="nfasissutil1"/>
          <w:rFonts w:ascii="Book Antiqua" w:eastAsia="Calibri" w:hAnsi="Book Antiqua"/>
          <w:bCs/>
          <w:i w:val="0"/>
          <w:color w:val="000000" w:themeColor="text1"/>
          <w:szCs w:val="24"/>
          <w:lang w:val="en-CA"/>
        </w:rPr>
        <w:t>AMAI/NSE 8 × 7 model</w:t>
      </w:r>
      <w:r>
        <w:rPr>
          <w:rStyle w:val="nfasissutil1"/>
          <w:rFonts w:ascii="Book Antiqua" w:eastAsiaTheme="minorEastAsia" w:hAnsi="Book Antiqua" w:hint="eastAsia"/>
          <w:bCs/>
          <w:i w:val="0"/>
          <w:color w:val="000000" w:themeColor="text1"/>
          <w:szCs w:val="24"/>
          <w:lang w:val="en-CA" w:eastAsia="zh-CN"/>
        </w:rPr>
        <w:t>.</w:t>
      </w:r>
    </w:p>
    <w:p w14:paraId="64E14938" w14:textId="77777777" w:rsidR="00743A00" w:rsidRDefault="00000000">
      <w:pPr>
        <w:spacing w:line="360" w:lineRule="auto"/>
        <w:jc w:val="both"/>
        <w:rPr>
          <w:rStyle w:val="nfasissutil1"/>
          <w:rFonts w:ascii="Book Antiqua" w:eastAsia="Calibri" w:hAnsi="Book Antiqua"/>
          <w:bCs/>
          <w:i w:val="0"/>
          <w:color w:val="000000" w:themeColor="text1"/>
          <w:szCs w:val="24"/>
          <w:lang w:val="en-CA"/>
        </w:rPr>
      </w:pPr>
      <w:r>
        <w:rPr>
          <w:rStyle w:val="nfasissutil1"/>
          <w:rFonts w:ascii="Book Antiqua" w:eastAsia="Calibri" w:hAnsi="Book Antiqua"/>
          <w:bCs/>
          <w:i w:val="0"/>
          <w:color w:val="000000" w:themeColor="text1"/>
          <w:szCs w:val="24"/>
          <w:vertAlign w:val="superscript"/>
          <w:lang w:val="en-CA"/>
        </w:rPr>
        <w:lastRenderedPageBreak/>
        <w:t>b</w:t>
      </w:r>
      <w:r>
        <w:rPr>
          <w:rStyle w:val="nfasissutil1"/>
          <w:rFonts w:ascii="Book Antiqua" w:eastAsia="Calibri" w:hAnsi="Book Antiqua"/>
          <w:bCs/>
          <w:i w:val="0"/>
          <w:color w:val="000000" w:themeColor="text1"/>
          <w:szCs w:val="24"/>
          <w:lang w:val="en-CA"/>
        </w:rPr>
        <w:t xml:space="preserve">Pearson </w:t>
      </w:r>
      <w:r>
        <w:rPr>
          <w:rFonts w:ascii="Book Antiqua" w:eastAsia="Book Antiqua" w:hAnsi="Book Antiqua" w:cs="Book Antiqua"/>
          <w:i/>
          <w:color w:val="000000"/>
        </w:rPr>
        <w:t>χ</w:t>
      </w:r>
      <w:r>
        <w:rPr>
          <w:rFonts w:ascii="Book Antiqua" w:eastAsia="Book Antiqua" w:hAnsi="Book Antiqua" w:cs="Book Antiqua"/>
          <w:color w:val="000000"/>
          <w:vertAlign w:val="superscript"/>
        </w:rPr>
        <w:t>2</w:t>
      </w:r>
      <w:r>
        <w:rPr>
          <w:rStyle w:val="nfasissutil1"/>
          <w:rFonts w:ascii="Book Antiqua" w:eastAsia="Calibri" w:hAnsi="Book Antiqua"/>
          <w:bCs/>
          <w:i w:val="0"/>
          <w:color w:val="000000" w:themeColor="text1"/>
          <w:szCs w:val="24"/>
          <w:lang w:val="en-CA"/>
        </w:rPr>
        <w:t xml:space="preserve"> test.</w:t>
      </w:r>
    </w:p>
    <w:p w14:paraId="7F50D533" w14:textId="77777777" w:rsidR="00B642E9" w:rsidRDefault="00000000">
      <w:pPr>
        <w:spacing w:line="360" w:lineRule="auto"/>
        <w:jc w:val="both"/>
        <w:rPr>
          <w:rFonts w:ascii="Book Antiqua" w:eastAsia="Book Antiqua" w:hAnsi="Book Antiqua" w:cs="Book Antiqua"/>
          <w:color w:val="000000"/>
        </w:rPr>
        <w:sectPr w:rsidR="00B642E9">
          <w:footerReference w:type="default" r:id="rId6"/>
          <w:pgSz w:w="12240" w:h="15840"/>
          <w:pgMar w:top="1440" w:right="1440" w:bottom="1440" w:left="1440" w:header="720" w:footer="720" w:gutter="0"/>
          <w:cols w:space="720"/>
          <w:docGrid w:linePitch="360"/>
        </w:sectPr>
      </w:pPr>
      <w:r>
        <w:rPr>
          <w:rStyle w:val="nfasissutil1"/>
          <w:rFonts w:ascii="Book Antiqua" w:eastAsia="Calibri" w:hAnsi="Book Antiqua"/>
          <w:bCs/>
          <w:i w:val="0"/>
          <w:color w:val="000000"/>
          <w:szCs w:val="24"/>
          <w:lang w:val="en-CA"/>
        </w:rPr>
        <w:t xml:space="preserve">T2DM: </w:t>
      </w:r>
      <w:r>
        <w:rPr>
          <w:rStyle w:val="nfasissutil1"/>
          <w:rFonts w:ascii="Book Antiqua" w:eastAsia="宋体" w:hAnsi="Book Antiqua" w:hint="eastAsia"/>
          <w:bCs/>
          <w:i w:val="0"/>
          <w:color w:val="000000"/>
          <w:szCs w:val="24"/>
          <w:lang w:val="en-US" w:eastAsia="zh-CN"/>
        </w:rPr>
        <w:t xml:space="preserve">Type 2 </w:t>
      </w:r>
      <w:r>
        <w:rPr>
          <w:rFonts w:ascii="Book Antiqua" w:eastAsia="宋体" w:hAnsi="Book Antiqua" w:cs="Book Antiqua" w:hint="eastAsia"/>
          <w:color w:val="000000"/>
          <w:lang w:eastAsia="zh-CN"/>
        </w:rPr>
        <w:t>d</w:t>
      </w:r>
      <w:r>
        <w:rPr>
          <w:rFonts w:ascii="Book Antiqua" w:eastAsia="Book Antiqua" w:hAnsi="Book Antiqua" w:cs="Book Antiqua"/>
          <w:color w:val="000000"/>
        </w:rPr>
        <w:t>iabetes mellitus.</w:t>
      </w:r>
    </w:p>
    <w:p w14:paraId="5B100880" w14:textId="77777777" w:rsidR="00B642E9" w:rsidRDefault="00B642E9" w:rsidP="00B642E9">
      <w:pPr>
        <w:snapToGrid w:val="0"/>
        <w:ind w:leftChars="100" w:left="240"/>
        <w:jc w:val="center"/>
        <w:rPr>
          <w:rFonts w:ascii="Book Antiqua" w:hAnsi="Book Antiqua"/>
        </w:rPr>
      </w:pPr>
      <w:bookmarkStart w:id="5" w:name="_Hlk129594866"/>
    </w:p>
    <w:p w14:paraId="112303D3" w14:textId="77777777" w:rsidR="00B642E9" w:rsidRDefault="00B642E9" w:rsidP="00B642E9">
      <w:pPr>
        <w:snapToGrid w:val="0"/>
        <w:ind w:leftChars="100" w:left="240"/>
        <w:jc w:val="center"/>
        <w:rPr>
          <w:rFonts w:ascii="Book Antiqua" w:hAnsi="Book Antiqua"/>
        </w:rPr>
      </w:pPr>
    </w:p>
    <w:p w14:paraId="075669A8" w14:textId="77777777" w:rsidR="00B642E9" w:rsidRDefault="00B642E9" w:rsidP="00B642E9">
      <w:pPr>
        <w:snapToGrid w:val="0"/>
        <w:ind w:leftChars="100" w:left="240"/>
        <w:jc w:val="center"/>
        <w:rPr>
          <w:rFonts w:ascii="Book Antiqua" w:hAnsi="Book Antiqua"/>
        </w:rPr>
      </w:pPr>
    </w:p>
    <w:p w14:paraId="192007C2" w14:textId="77777777" w:rsidR="00B642E9" w:rsidRDefault="00B642E9" w:rsidP="00B642E9">
      <w:pPr>
        <w:snapToGrid w:val="0"/>
        <w:ind w:leftChars="100" w:left="240"/>
        <w:jc w:val="center"/>
        <w:rPr>
          <w:rFonts w:ascii="Book Antiqua" w:hAnsi="Book Antiqua"/>
        </w:rPr>
      </w:pPr>
    </w:p>
    <w:p w14:paraId="7CD65A04" w14:textId="77777777" w:rsidR="00B642E9" w:rsidRDefault="00B642E9" w:rsidP="00B642E9">
      <w:pPr>
        <w:snapToGrid w:val="0"/>
        <w:ind w:leftChars="100" w:left="240"/>
        <w:jc w:val="center"/>
        <w:rPr>
          <w:rFonts w:ascii="Book Antiqua" w:hAnsi="Book Antiqua"/>
        </w:rPr>
      </w:pPr>
      <w:r>
        <w:rPr>
          <w:rFonts w:ascii="Book Antiqua" w:hAnsi="Book Antiqua"/>
          <w:noProof/>
        </w:rPr>
        <w:drawing>
          <wp:inline distT="0" distB="0" distL="0" distR="0" wp14:anchorId="002EA6AA" wp14:editId="18BC6EF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64842AA" w14:textId="77777777" w:rsidR="00B642E9" w:rsidRDefault="00B642E9" w:rsidP="00B642E9">
      <w:pPr>
        <w:snapToGrid w:val="0"/>
        <w:ind w:leftChars="100" w:left="240"/>
        <w:jc w:val="center"/>
        <w:rPr>
          <w:rFonts w:ascii="Book Antiqua" w:hAnsi="Book Antiqua"/>
        </w:rPr>
      </w:pPr>
    </w:p>
    <w:p w14:paraId="5D324D4C" w14:textId="77777777" w:rsidR="00B642E9" w:rsidRDefault="00B642E9" w:rsidP="00B642E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DCC38C5" w14:textId="77777777" w:rsidR="00B642E9" w:rsidRDefault="00B642E9" w:rsidP="00B642E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EAAC771" w14:textId="77777777" w:rsidR="00B642E9" w:rsidRDefault="00B642E9" w:rsidP="00B642E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8B206DB" w14:textId="77777777" w:rsidR="00B642E9" w:rsidRDefault="00B642E9" w:rsidP="00B642E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0BDBA01" w14:textId="77777777" w:rsidR="00B642E9" w:rsidRDefault="00B642E9" w:rsidP="00B642E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99585E9" w14:textId="77777777" w:rsidR="00B642E9" w:rsidRDefault="00B642E9" w:rsidP="00B642E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83F3BC5" w14:textId="77777777" w:rsidR="00B642E9" w:rsidRDefault="00B642E9" w:rsidP="00B642E9">
      <w:pPr>
        <w:snapToGrid w:val="0"/>
        <w:ind w:leftChars="100" w:left="240"/>
        <w:jc w:val="center"/>
        <w:rPr>
          <w:rFonts w:ascii="Book Antiqua" w:hAnsi="Book Antiqua"/>
        </w:rPr>
      </w:pPr>
    </w:p>
    <w:p w14:paraId="2CE4E5C9" w14:textId="77777777" w:rsidR="00B642E9" w:rsidRDefault="00B642E9" w:rsidP="00B642E9">
      <w:pPr>
        <w:snapToGrid w:val="0"/>
        <w:ind w:leftChars="100" w:left="240"/>
        <w:jc w:val="center"/>
        <w:rPr>
          <w:rFonts w:ascii="Book Antiqua" w:hAnsi="Book Antiqua"/>
        </w:rPr>
      </w:pPr>
    </w:p>
    <w:p w14:paraId="6450152D" w14:textId="77777777" w:rsidR="00B642E9" w:rsidRDefault="00B642E9" w:rsidP="00B642E9">
      <w:pPr>
        <w:snapToGrid w:val="0"/>
        <w:ind w:leftChars="100" w:left="240"/>
        <w:jc w:val="center"/>
        <w:rPr>
          <w:rFonts w:ascii="Book Antiqua" w:hAnsi="Book Antiqua"/>
        </w:rPr>
      </w:pPr>
    </w:p>
    <w:p w14:paraId="6F495249" w14:textId="77777777" w:rsidR="00B642E9" w:rsidRDefault="00B642E9" w:rsidP="00B642E9">
      <w:pPr>
        <w:snapToGrid w:val="0"/>
        <w:ind w:leftChars="100" w:left="240"/>
        <w:jc w:val="center"/>
        <w:rPr>
          <w:rFonts w:ascii="Book Antiqua" w:hAnsi="Book Antiqua"/>
        </w:rPr>
      </w:pPr>
      <w:r>
        <w:rPr>
          <w:rFonts w:ascii="Book Antiqua" w:hAnsi="Book Antiqua"/>
          <w:noProof/>
        </w:rPr>
        <w:drawing>
          <wp:inline distT="0" distB="0" distL="0" distR="0" wp14:anchorId="0FF913AF" wp14:editId="6174D34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AE6ACC8" w14:textId="77777777" w:rsidR="00B642E9" w:rsidRDefault="00B642E9" w:rsidP="00B642E9">
      <w:pPr>
        <w:snapToGrid w:val="0"/>
        <w:ind w:leftChars="100" w:left="240"/>
        <w:jc w:val="center"/>
        <w:rPr>
          <w:rFonts w:ascii="Book Antiqua" w:hAnsi="Book Antiqua"/>
        </w:rPr>
      </w:pPr>
    </w:p>
    <w:p w14:paraId="2E7F7503" w14:textId="77777777" w:rsidR="00B642E9" w:rsidRDefault="00B642E9" w:rsidP="00B642E9">
      <w:pPr>
        <w:snapToGrid w:val="0"/>
        <w:ind w:leftChars="100" w:left="240"/>
        <w:jc w:val="center"/>
        <w:rPr>
          <w:rFonts w:ascii="Book Antiqua" w:hAnsi="Book Antiqua"/>
        </w:rPr>
      </w:pPr>
    </w:p>
    <w:p w14:paraId="6AB8AD68" w14:textId="77777777" w:rsidR="00B642E9" w:rsidRDefault="00B642E9" w:rsidP="00B642E9">
      <w:pPr>
        <w:snapToGrid w:val="0"/>
        <w:ind w:leftChars="100" w:left="240"/>
        <w:jc w:val="center"/>
        <w:rPr>
          <w:rFonts w:ascii="Book Antiqua" w:hAnsi="Book Antiqua"/>
        </w:rPr>
      </w:pPr>
    </w:p>
    <w:p w14:paraId="49E16D43" w14:textId="77777777" w:rsidR="00B642E9" w:rsidRDefault="00B642E9" w:rsidP="00B642E9">
      <w:pPr>
        <w:snapToGrid w:val="0"/>
        <w:ind w:leftChars="100" w:left="240"/>
        <w:jc w:val="center"/>
        <w:rPr>
          <w:rFonts w:ascii="Book Antiqua" w:hAnsi="Book Antiqua"/>
        </w:rPr>
      </w:pPr>
    </w:p>
    <w:p w14:paraId="68296E31" w14:textId="77777777" w:rsidR="00B642E9" w:rsidRDefault="00B642E9" w:rsidP="00B642E9">
      <w:pPr>
        <w:snapToGrid w:val="0"/>
        <w:ind w:leftChars="100" w:left="240"/>
        <w:jc w:val="center"/>
        <w:rPr>
          <w:rFonts w:ascii="Book Antiqua" w:hAnsi="Book Antiqua"/>
        </w:rPr>
      </w:pPr>
    </w:p>
    <w:p w14:paraId="18753940" w14:textId="77777777" w:rsidR="00B642E9" w:rsidRDefault="00B642E9" w:rsidP="00B642E9">
      <w:pPr>
        <w:snapToGrid w:val="0"/>
        <w:ind w:leftChars="100" w:left="240"/>
        <w:jc w:val="center"/>
        <w:rPr>
          <w:rFonts w:ascii="Book Antiqua" w:hAnsi="Book Antiqua"/>
        </w:rPr>
      </w:pPr>
    </w:p>
    <w:p w14:paraId="642211DB" w14:textId="77777777" w:rsidR="00B642E9" w:rsidRDefault="00B642E9" w:rsidP="00B642E9">
      <w:pPr>
        <w:snapToGrid w:val="0"/>
        <w:ind w:leftChars="100" w:left="240"/>
        <w:jc w:val="center"/>
        <w:rPr>
          <w:rFonts w:ascii="Book Antiqua" w:hAnsi="Book Antiqua"/>
        </w:rPr>
      </w:pPr>
    </w:p>
    <w:p w14:paraId="0A13F4F3" w14:textId="77777777" w:rsidR="00B642E9" w:rsidRDefault="00B642E9" w:rsidP="00B642E9">
      <w:pPr>
        <w:snapToGrid w:val="0"/>
        <w:ind w:leftChars="100" w:left="240"/>
        <w:jc w:val="center"/>
        <w:rPr>
          <w:rFonts w:ascii="Book Antiqua" w:hAnsi="Book Antiqua"/>
        </w:rPr>
      </w:pPr>
    </w:p>
    <w:p w14:paraId="3AA8C174" w14:textId="77777777" w:rsidR="00B642E9" w:rsidRDefault="00B642E9" w:rsidP="00B642E9">
      <w:pPr>
        <w:snapToGrid w:val="0"/>
        <w:ind w:leftChars="100" w:left="240"/>
        <w:jc w:val="center"/>
        <w:rPr>
          <w:rFonts w:ascii="Book Antiqua" w:hAnsi="Book Antiqua"/>
        </w:rPr>
      </w:pPr>
    </w:p>
    <w:p w14:paraId="77125B4D" w14:textId="77777777" w:rsidR="00B642E9" w:rsidRDefault="00B642E9" w:rsidP="00B642E9">
      <w:pPr>
        <w:snapToGrid w:val="0"/>
        <w:ind w:leftChars="100" w:left="240"/>
        <w:jc w:val="right"/>
        <w:rPr>
          <w:rFonts w:ascii="Book Antiqua" w:hAnsi="Book Antiqua"/>
          <w:color w:val="000000" w:themeColor="text1"/>
        </w:rPr>
      </w:pPr>
    </w:p>
    <w:p w14:paraId="164582D9" w14:textId="77777777" w:rsidR="00B642E9" w:rsidRDefault="00B642E9" w:rsidP="00B642E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5"/>
    <w:p w14:paraId="03B98BA3" w14:textId="77777777" w:rsidR="00B642E9" w:rsidRDefault="00B642E9" w:rsidP="00B642E9">
      <w:pPr>
        <w:rPr>
          <w:rFonts w:ascii="Book Antiqua" w:hAnsi="Book Antiqua" w:cs="Book Antiqua"/>
          <w:b/>
          <w:bCs/>
          <w:color w:val="000000"/>
        </w:rPr>
      </w:pPr>
    </w:p>
    <w:p w14:paraId="31C2D3F8" w14:textId="77777777" w:rsidR="00743A00" w:rsidRDefault="00743A00">
      <w:pPr>
        <w:spacing w:line="360" w:lineRule="auto"/>
        <w:jc w:val="both"/>
        <w:rPr>
          <w:rFonts w:ascii="Book Antiqua" w:hAnsi="Book Antiqua"/>
          <w:i/>
          <w:color w:val="000000" w:themeColor="text1"/>
        </w:rPr>
      </w:pPr>
    </w:p>
    <w:sectPr w:rsidR="00743A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A2550" w14:textId="77777777" w:rsidR="00F8718D" w:rsidRDefault="00F8718D">
      <w:r>
        <w:separator/>
      </w:r>
    </w:p>
  </w:endnote>
  <w:endnote w:type="continuationSeparator" w:id="0">
    <w:p w14:paraId="5843E04C" w14:textId="77777777" w:rsidR="00F8718D" w:rsidRDefault="00F8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default"/>
    <w:sig w:usb0="00000000"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05633"/>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42544C7C" w14:textId="77777777" w:rsidR="00743A00"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20</w:t>
            </w:r>
            <w:r>
              <w:rPr>
                <w:rFonts w:ascii="Book Antiqua" w:hAnsi="Book Antiqua"/>
                <w:b/>
                <w:bCs/>
                <w:sz w:val="24"/>
                <w:szCs w:val="24"/>
              </w:rPr>
              <w:fldChar w:fldCharType="end"/>
            </w:r>
          </w:p>
        </w:sdtContent>
      </w:sdt>
    </w:sdtContent>
  </w:sdt>
  <w:p w14:paraId="37071A79" w14:textId="77777777" w:rsidR="00743A00" w:rsidRDefault="00743A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B5508" w14:textId="77777777" w:rsidR="00F8718D" w:rsidRDefault="00F8718D">
      <w:r>
        <w:separator/>
      </w:r>
    </w:p>
  </w:footnote>
  <w:footnote w:type="continuationSeparator" w:id="0">
    <w:p w14:paraId="6CCE2AA5" w14:textId="77777777" w:rsidR="00F8718D" w:rsidRDefault="00F87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7003"/>
    <w:rsid w:val="000307CE"/>
    <w:rsid w:val="00033E55"/>
    <w:rsid w:val="00053EFB"/>
    <w:rsid w:val="00073A2C"/>
    <w:rsid w:val="000900DA"/>
    <w:rsid w:val="00090951"/>
    <w:rsid w:val="00097FB0"/>
    <w:rsid w:val="000B6CF7"/>
    <w:rsid w:val="000C4C1A"/>
    <w:rsid w:val="000C4E10"/>
    <w:rsid w:val="000D1FAA"/>
    <w:rsid w:val="000D661C"/>
    <w:rsid w:val="000E1B64"/>
    <w:rsid w:val="000E6398"/>
    <w:rsid w:val="0013084E"/>
    <w:rsid w:val="00142DC6"/>
    <w:rsid w:val="001434CA"/>
    <w:rsid w:val="001477CB"/>
    <w:rsid w:val="0016397A"/>
    <w:rsid w:val="00190630"/>
    <w:rsid w:val="001944D6"/>
    <w:rsid w:val="001A5BD7"/>
    <w:rsid w:val="001A5DBE"/>
    <w:rsid w:val="001C3E13"/>
    <w:rsid w:val="001D121E"/>
    <w:rsid w:val="001D2821"/>
    <w:rsid w:val="001D5CC6"/>
    <w:rsid w:val="001F1F9B"/>
    <w:rsid w:val="00202849"/>
    <w:rsid w:val="0021021A"/>
    <w:rsid w:val="00213634"/>
    <w:rsid w:val="00232F8F"/>
    <w:rsid w:val="00255E19"/>
    <w:rsid w:val="00256B6E"/>
    <w:rsid w:val="00257E9E"/>
    <w:rsid w:val="002671A1"/>
    <w:rsid w:val="002704DC"/>
    <w:rsid w:val="002860AC"/>
    <w:rsid w:val="00296996"/>
    <w:rsid w:val="002B0C56"/>
    <w:rsid w:val="002B3C9D"/>
    <w:rsid w:val="002C098A"/>
    <w:rsid w:val="002C44EF"/>
    <w:rsid w:val="002D1470"/>
    <w:rsid w:val="00300038"/>
    <w:rsid w:val="00304096"/>
    <w:rsid w:val="003043AC"/>
    <w:rsid w:val="00305E1B"/>
    <w:rsid w:val="00306EBC"/>
    <w:rsid w:val="00310998"/>
    <w:rsid w:val="00320DA1"/>
    <w:rsid w:val="00330DA4"/>
    <w:rsid w:val="00333866"/>
    <w:rsid w:val="00337C4F"/>
    <w:rsid w:val="00342B91"/>
    <w:rsid w:val="003453E4"/>
    <w:rsid w:val="0035026F"/>
    <w:rsid w:val="0035273E"/>
    <w:rsid w:val="00352DA6"/>
    <w:rsid w:val="00356614"/>
    <w:rsid w:val="0037351D"/>
    <w:rsid w:val="003752B5"/>
    <w:rsid w:val="00380D07"/>
    <w:rsid w:val="00391AFA"/>
    <w:rsid w:val="00394797"/>
    <w:rsid w:val="00395BAD"/>
    <w:rsid w:val="003A4174"/>
    <w:rsid w:val="003B55E7"/>
    <w:rsid w:val="003D1143"/>
    <w:rsid w:val="003E1EC4"/>
    <w:rsid w:val="003E50E3"/>
    <w:rsid w:val="003E6444"/>
    <w:rsid w:val="0040201F"/>
    <w:rsid w:val="00434EEB"/>
    <w:rsid w:val="004414CC"/>
    <w:rsid w:val="0044216F"/>
    <w:rsid w:val="00442912"/>
    <w:rsid w:val="00455AC6"/>
    <w:rsid w:val="00460921"/>
    <w:rsid w:val="0046456B"/>
    <w:rsid w:val="00465C05"/>
    <w:rsid w:val="00466BD2"/>
    <w:rsid w:val="004732CF"/>
    <w:rsid w:val="00481F6E"/>
    <w:rsid w:val="0049678D"/>
    <w:rsid w:val="004978C6"/>
    <w:rsid w:val="004B7105"/>
    <w:rsid w:val="004B742C"/>
    <w:rsid w:val="004C4FAF"/>
    <w:rsid w:val="004C6D19"/>
    <w:rsid w:val="004D60A5"/>
    <w:rsid w:val="004D6F52"/>
    <w:rsid w:val="004E5BEB"/>
    <w:rsid w:val="004E67A1"/>
    <w:rsid w:val="004F248E"/>
    <w:rsid w:val="005371DC"/>
    <w:rsid w:val="00540C7D"/>
    <w:rsid w:val="005537FB"/>
    <w:rsid w:val="00553F48"/>
    <w:rsid w:val="0056119E"/>
    <w:rsid w:val="00566651"/>
    <w:rsid w:val="005670A8"/>
    <w:rsid w:val="00575467"/>
    <w:rsid w:val="00575FE3"/>
    <w:rsid w:val="00591508"/>
    <w:rsid w:val="005956D6"/>
    <w:rsid w:val="005A33AB"/>
    <w:rsid w:val="005A3A71"/>
    <w:rsid w:val="005B7979"/>
    <w:rsid w:val="005C7729"/>
    <w:rsid w:val="005D7083"/>
    <w:rsid w:val="006132E4"/>
    <w:rsid w:val="00617A24"/>
    <w:rsid w:val="00634DF9"/>
    <w:rsid w:val="00643FB4"/>
    <w:rsid w:val="00646E4D"/>
    <w:rsid w:val="006505EF"/>
    <w:rsid w:val="0067757A"/>
    <w:rsid w:val="00695694"/>
    <w:rsid w:val="006A2CF1"/>
    <w:rsid w:val="006A3F98"/>
    <w:rsid w:val="006C47E6"/>
    <w:rsid w:val="006D5569"/>
    <w:rsid w:val="006E042E"/>
    <w:rsid w:val="006E239C"/>
    <w:rsid w:val="006E330E"/>
    <w:rsid w:val="006E7036"/>
    <w:rsid w:val="007049BC"/>
    <w:rsid w:val="00714024"/>
    <w:rsid w:val="00714ACA"/>
    <w:rsid w:val="0071641D"/>
    <w:rsid w:val="00740B52"/>
    <w:rsid w:val="00743A00"/>
    <w:rsid w:val="0077031B"/>
    <w:rsid w:val="007706A3"/>
    <w:rsid w:val="0077522A"/>
    <w:rsid w:val="007932EB"/>
    <w:rsid w:val="007A19B4"/>
    <w:rsid w:val="007A5359"/>
    <w:rsid w:val="007B18A2"/>
    <w:rsid w:val="007B1CAA"/>
    <w:rsid w:val="007B5A51"/>
    <w:rsid w:val="007B6BEE"/>
    <w:rsid w:val="007E2772"/>
    <w:rsid w:val="007E51AD"/>
    <w:rsid w:val="007E7234"/>
    <w:rsid w:val="007F3699"/>
    <w:rsid w:val="0080130C"/>
    <w:rsid w:val="00802B7C"/>
    <w:rsid w:val="00805AFC"/>
    <w:rsid w:val="0080771F"/>
    <w:rsid w:val="00813551"/>
    <w:rsid w:val="00814F97"/>
    <w:rsid w:val="008153CF"/>
    <w:rsid w:val="008411F2"/>
    <w:rsid w:val="00844D00"/>
    <w:rsid w:val="00847FEB"/>
    <w:rsid w:val="00850017"/>
    <w:rsid w:val="00851FB3"/>
    <w:rsid w:val="008600EB"/>
    <w:rsid w:val="00884BB0"/>
    <w:rsid w:val="00894957"/>
    <w:rsid w:val="008A1250"/>
    <w:rsid w:val="008A4640"/>
    <w:rsid w:val="008B4220"/>
    <w:rsid w:val="008C2BCA"/>
    <w:rsid w:val="008C467C"/>
    <w:rsid w:val="008C732C"/>
    <w:rsid w:val="008D4EC8"/>
    <w:rsid w:val="008D6467"/>
    <w:rsid w:val="008F2695"/>
    <w:rsid w:val="008F6290"/>
    <w:rsid w:val="008F6644"/>
    <w:rsid w:val="00906159"/>
    <w:rsid w:val="00906489"/>
    <w:rsid w:val="009079CC"/>
    <w:rsid w:val="009147C9"/>
    <w:rsid w:val="00930919"/>
    <w:rsid w:val="00987C15"/>
    <w:rsid w:val="00996503"/>
    <w:rsid w:val="009B1B62"/>
    <w:rsid w:val="009B1D14"/>
    <w:rsid w:val="009B53D6"/>
    <w:rsid w:val="009C7AE3"/>
    <w:rsid w:val="009D0199"/>
    <w:rsid w:val="009D04D8"/>
    <w:rsid w:val="009D7B15"/>
    <w:rsid w:val="009E6FA0"/>
    <w:rsid w:val="009F51E5"/>
    <w:rsid w:val="00A05744"/>
    <w:rsid w:val="00A0794E"/>
    <w:rsid w:val="00A35E69"/>
    <w:rsid w:val="00A600A9"/>
    <w:rsid w:val="00A611E2"/>
    <w:rsid w:val="00A65037"/>
    <w:rsid w:val="00A72ABA"/>
    <w:rsid w:val="00A77B3E"/>
    <w:rsid w:val="00A90D4E"/>
    <w:rsid w:val="00A94C29"/>
    <w:rsid w:val="00A94E1C"/>
    <w:rsid w:val="00AA30F1"/>
    <w:rsid w:val="00AA6A0F"/>
    <w:rsid w:val="00AB7ED8"/>
    <w:rsid w:val="00AC4FFF"/>
    <w:rsid w:val="00AC61A2"/>
    <w:rsid w:val="00AD1D64"/>
    <w:rsid w:val="00AD626E"/>
    <w:rsid w:val="00AE4CDE"/>
    <w:rsid w:val="00B009D3"/>
    <w:rsid w:val="00B043B8"/>
    <w:rsid w:val="00B04942"/>
    <w:rsid w:val="00B0775D"/>
    <w:rsid w:val="00B2248E"/>
    <w:rsid w:val="00B32299"/>
    <w:rsid w:val="00B32CCC"/>
    <w:rsid w:val="00B341AD"/>
    <w:rsid w:val="00B34E57"/>
    <w:rsid w:val="00B416ED"/>
    <w:rsid w:val="00B50A21"/>
    <w:rsid w:val="00B60CF0"/>
    <w:rsid w:val="00B638D1"/>
    <w:rsid w:val="00B642E9"/>
    <w:rsid w:val="00B65EC9"/>
    <w:rsid w:val="00B91CFE"/>
    <w:rsid w:val="00B923D1"/>
    <w:rsid w:val="00BA7812"/>
    <w:rsid w:val="00BD08AA"/>
    <w:rsid w:val="00BD1997"/>
    <w:rsid w:val="00BE3DC9"/>
    <w:rsid w:val="00BE5EC1"/>
    <w:rsid w:val="00BF1D86"/>
    <w:rsid w:val="00BF3B09"/>
    <w:rsid w:val="00BF58FC"/>
    <w:rsid w:val="00C0182D"/>
    <w:rsid w:val="00C01BD5"/>
    <w:rsid w:val="00C02A9D"/>
    <w:rsid w:val="00C03323"/>
    <w:rsid w:val="00C10242"/>
    <w:rsid w:val="00C15E9D"/>
    <w:rsid w:val="00C217B4"/>
    <w:rsid w:val="00C260BC"/>
    <w:rsid w:val="00C34CB2"/>
    <w:rsid w:val="00C41B03"/>
    <w:rsid w:val="00C45673"/>
    <w:rsid w:val="00C503ED"/>
    <w:rsid w:val="00C63451"/>
    <w:rsid w:val="00C63EEF"/>
    <w:rsid w:val="00C66216"/>
    <w:rsid w:val="00C71614"/>
    <w:rsid w:val="00C825AD"/>
    <w:rsid w:val="00C85AA5"/>
    <w:rsid w:val="00C8621E"/>
    <w:rsid w:val="00CA01F7"/>
    <w:rsid w:val="00CA2A55"/>
    <w:rsid w:val="00D240F6"/>
    <w:rsid w:val="00D46E0B"/>
    <w:rsid w:val="00D4747F"/>
    <w:rsid w:val="00D50DCF"/>
    <w:rsid w:val="00D55C2F"/>
    <w:rsid w:val="00D610C1"/>
    <w:rsid w:val="00D65133"/>
    <w:rsid w:val="00D66495"/>
    <w:rsid w:val="00D72FD3"/>
    <w:rsid w:val="00D95A24"/>
    <w:rsid w:val="00DA1471"/>
    <w:rsid w:val="00DA78FB"/>
    <w:rsid w:val="00DB3C07"/>
    <w:rsid w:val="00DC378F"/>
    <w:rsid w:val="00DE46A4"/>
    <w:rsid w:val="00DE6CB8"/>
    <w:rsid w:val="00E0397C"/>
    <w:rsid w:val="00E1592A"/>
    <w:rsid w:val="00E246BA"/>
    <w:rsid w:val="00E325F3"/>
    <w:rsid w:val="00E36630"/>
    <w:rsid w:val="00E44121"/>
    <w:rsid w:val="00E52E50"/>
    <w:rsid w:val="00E53B58"/>
    <w:rsid w:val="00E55FFE"/>
    <w:rsid w:val="00E66524"/>
    <w:rsid w:val="00E72F8D"/>
    <w:rsid w:val="00E911D2"/>
    <w:rsid w:val="00E961C9"/>
    <w:rsid w:val="00EA32D2"/>
    <w:rsid w:val="00EA3A89"/>
    <w:rsid w:val="00EA4C20"/>
    <w:rsid w:val="00EB3B61"/>
    <w:rsid w:val="00EB427B"/>
    <w:rsid w:val="00EB6E6E"/>
    <w:rsid w:val="00EC3DC6"/>
    <w:rsid w:val="00ED4452"/>
    <w:rsid w:val="00EE657A"/>
    <w:rsid w:val="00EE736A"/>
    <w:rsid w:val="00EF1769"/>
    <w:rsid w:val="00EF583F"/>
    <w:rsid w:val="00F21600"/>
    <w:rsid w:val="00F33B78"/>
    <w:rsid w:val="00F361B6"/>
    <w:rsid w:val="00F36E7C"/>
    <w:rsid w:val="00F420B0"/>
    <w:rsid w:val="00F5073E"/>
    <w:rsid w:val="00F8718D"/>
    <w:rsid w:val="00F96B66"/>
    <w:rsid w:val="00FA3420"/>
    <w:rsid w:val="00FB7724"/>
    <w:rsid w:val="00FC2D78"/>
    <w:rsid w:val="00FC46DC"/>
    <w:rsid w:val="00FC6CC7"/>
    <w:rsid w:val="00FE2955"/>
    <w:rsid w:val="00FE4895"/>
    <w:rsid w:val="00FF48F8"/>
    <w:rsid w:val="00FF709D"/>
    <w:rsid w:val="08BC4BE0"/>
    <w:rsid w:val="12800054"/>
    <w:rsid w:val="1E55624D"/>
    <w:rsid w:val="36DD0D45"/>
    <w:rsid w:val="386019AE"/>
    <w:rsid w:val="4DE70B42"/>
    <w:rsid w:val="7E710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0483C6"/>
  <w15:docId w15:val="{FC7C5527-9D6C-49EA-B1BE-838EEEA9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Balloon Text"/>
    <w:basedOn w:val="a"/>
    <w:link w:val="a6"/>
    <w:semiHidden/>
    <w:unhideWhenUsed/>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rPr>
      <w:sz w:val="21"/>
      <w:szCs w:val="21"/>
    </w:rPr>
  </w:style>
  <w:style w:type="paragraph" w:customStyle="1" w:styleId="DecimalAligned">
    <w:name w:val="Decimal Aligned"/>
    <w:basedOn w:val="a"/>
    <w:uiPriority w:val="40"/>
    <w:qFormat/>
    <w:pPr>
      <w:tabs>
        <w:tab w:val="decimal" w:pos="360"/>
      </w:tabs>
      <w:spacing w:after="200" w:line="276" w:lineRule="auto"/>
    </w:pPr>
    <w:rPr>
      <w:rFonts w:ascii="Calibri" w:eastAsia="Times New Roman" w:hAnsi="Calibri"/>
      <w:sz w:val="22"/>
      <w:szCs w:val="22"/>
      <w:lang w:val="es-ES"/>
    </w:rPr>
  </w:style>
  <w:style w:type="character" w:customStyle="1" w:styleId="nfasissutil1">
    <w:name w:val="Énfasis sutil1"/>
    <w:uiPriority w:val="19"/>
    <w:qFormat/>
    <w:rPr>
      <w:rFonts w:eastAsia="Times New Roman" w:cs="Times New Roman"/>
      <w:i/>
      <w:iCs/>
      <w:color w:val="808080"/>
      <w:szCs w:val="22"/>
      <w:lang w:val="es-ES"/>
    </w:rPr>
  </w:style>
  <w:style w:type="character" w:customStyle="1" w:styleId="a4">
    <w:name w:val="批注文字 字符"/>
    <w:basedOn w:val="a0"/>
    <w:link w:val="a3"/>
    <w:uiPriority w:val="99"/>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rPr>
      <w:sz w:val="18"/>
      <w:szCs w:val="18"/>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paragraph" w:customStyle="1" w:styleId="Revisin1">
    <w:name w:val="Revisión1"/>
    <w:hidden/>
    <w:uiPriority w:val="99"/>
    <w:semiHidden/>
    <w:qFormat/>
    <w:rPr>
      <w:sz w:val="24"/>
      <w:szCs w:val="24"/>
      <w:lang w:eastAsia="en-US"/>
    </w:rPr>
  </w:style>
  <w:style w:type="paragraph" w:customStyle="1" w:styleId="1">
    <w:name w:val="修订1"/>
    <w:hidden/>
    <w:uiPriority w:val="99"/>
    <w:semiHidden/>
    <w:rPr>
      <w:sz w:val="24"/>
      <w:szCs w:val="24"/>
      <w:lang w:eastAsia="en-US"/>
    </w:rPr>
  </w:style>
  <w:style w:type="character" w:styleId="ae">
    <w:name w:val="Hyperlink"/>
    <w:basedOn w:val="a0"/>
    <w:unhideWhenUsed/>
    <w:rsid w:val="009D7B15"/>
    <w:rPr>
      <w:color w:val="0000FF" w:themeColor="hyperlink"/>
      <w:u w:val="single"/>
    </w:rPr>
  </w:style>
  <w:style w:type="character" w:styleId="af">
    <w:name w:val="Unresolved Mention"/>
    <w:basedOn w:val="a0"/>
    <w:uiPriority w:val="99"/>
    <w:semiHidden/>
    <w:unhideWhenUsed/>
    <w:rsid w:val="009D7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21</Pages>
  <Words>4905</Words>
  <Characters>27964</Characters>
  <Application>Microsoft Office Word</Application>
  <DocSecurity>0</DocSecurity>
  <Lines>233</Lines>
  <Paragraphs>65</Paragraphs>
  <ScaleCrop>false</ScaleCrop>
  <Company/>
  <LinksUpToDate>false</LinksUpToDate>
  <CharactersWithSpaces>32804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Molina Diaz</dc:creator>
  <cp:lastModifiedBy>Chen YX</cp:lastModifiedBy>
  <cp:revision>16</cp:revision>
  <dcterms:created xsi:type="dcterms:W3CDTF">2023-02-14T18:24:00Z</dcterms:created>
  <dcterms:modified xsi:type="dcterms:W3CDTF">2023-03-13T02:42:00Z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B4201CE5756D4E93A10567F487DF51D7</vt:lpwstr>
  </property>
</Properties>
</file>