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Diabetes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76551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 xml:space="preserve">Prevalence of type 2 diabetes mellitus in the pediatric population of a third-level care hospital in Mexico </w:t>
      </w:r>
      <w:r>
        <w:rPr>
          <w:rFonts w:hint="eastAsia" w:ascii="Book Antiqua" w:hAnsi="Book Antiqua" w:eastAsia="宋体" w:cs="Book Antiqua"/>
          <w:b/>
          <w:color w:val="000000"/>
          <w:lang w:eastAsia="zh-CN"/>
        </w:rPr>
        <w:t>C</w:t>
      </w:r>
      <w:r>
        <w:rPr>
          <w:rFonts w:ascii="Book Antiqua" w:hAnsi="Book Antiqua" w:eastAsia="Book Antiqua" w:cs="Book Antiqua"/>
          <w:b/>
          <w:color w:val="000000"/>
        </w:rPr>
        <w:t>ity</w:t>
      </w:r>
      <w:r>
        <w:rPr>
          <w:rFonts w:hint="eastAsia" w:ascii="Book Antiqua" w:hAnsi="Book Antiqua" w:eastAsia="宋体" w:cs="Book Antiqua"/>
          <w:b/>
          <w:color w:val="000000"/>
          <w:lang w:eastAsia="zh-CN"/>
        </w:rPr>
        <w:t xml:space="preserve"> in</w:t>
      </w:r>
      <w:r>
        <w:rPr>
          <w:rFonts w:ascii="Book Antiqua" w:hAnsi="Book Antiqua" w:eastAsia="Book Antiqua" w:cs="Book Antiqua"/>
          <w:b/>
          <w:color w:val="000000"/>
        </w:rPr>
        <w:t xml:space="preserve"> 2013</w:t>
      </w:r>
      <w:r>
        <w:rPr>
          <w:rFonts w:hint="eastAsia" w:ascii="Book Antiqua" w:hAnsi="Book Antiqua" w:eastAsia="宋体" w:cs="Book Antiqua"/>
          <w:b/>
          <w:color w:val="000000"/>
          <w:lang w:eastAsia="zh-CN"/>
        </w:rPr>
        <w:t xml:space="preserve"> and </w:t>
      </w:r>
      <w:r>
        <w:rPr>
          <w:rFonts w:ascii="Book Antiqua" w:hAnsi="Book Antiqua" w:eastAsia="Book Antiqua" w:cs="Book Antiqua"/>
          <w:b/>
          <w:color w:val="000000"/>
        </w:rPr>
        <w:t>2018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lang w:val="es-MX"/>
        </w:rPr>
        <w:t xml:space="preserve">Molina-Díaz JM </w:t>
      </w:r>
      <w:r>
        <w:rPr>
          <w:rFonts w:ascii="Book Antiqua" w:hAnsi="Book Antiqua" w:eastAsia="Book Antiqua" w:cs="Book Antiqua"/>
          <w:i/>
          <w:color w:val="000000"/>
          <w:lang w:val="es-MX"/>
        </w:rPr>
        <w:t>et al</w:t>
      </w:r>
      <w:r>
        <w:rPr>
          <w:rFonts w:ascii="Book Antiqua" w:hAnsi="Book Antiqua" w:eastAsia="Book Antiqua" w:cs="Book Antiqua"/>
          <w:color w:val="000000"/>
          <w:lang w:val="es-MX"/>
        </w:rPr>
        <w:t xml:space="preserve">. </w:t>
      </w:r>
      <w:r>
        <w:rPr>
          <w:rFonts w:ascii="Book Antiqua" w:hAnsi="Book Antiqua" w:eastAsia="Book Antiqua" w:cs="Book Antiqua"/>
          <w:color w:val="000000"/>
        </w:rPr>
        <w:t xml:space="preserve">Prevalence of </w:t>
      </w:r>
      <w:r>
        <w:rPr>
          <w:rFonts w:hint="eastAsia" w:ascii="Book Antiqua" w:hAnsi="Book Antiqua" w:eastAsia="宋体" w:cs="Book Antiqua"/>
          <w:color w:val="000000"/>
          <w:lang w:eastAsia="zh-CN"/>
        </w:rPr>
        <w:t>T2DM</w:t>
      </w:r>
      <w:r>
        <w:rPr>
          <w:rFonts w:ascii="Book Antiqua" w:hAnsi="Book Antiqua" w:eastAsia="Book Antiqua" w:cs="Book Antiqua"/>
          <w:color w:val="000000"/>
        </w:rPr>
        <w:t xml:space="preserve"> 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pediatric population</w:t>
      </w:r>
    </w:p>
    <w:p>
      <w:pPr>
        <w:spacing w:line="360" w:lineRule="auto"/>
        <w:jc w:val="both"/>
        <w:rPr>
          <w:rFonts w:ascii="Book Antiqua" w:hAnsi="Book Antiqua"/>
        </w:rPr>
      </w:pPr>
    </w:p>
    <w:p>
      <w:pPr>
        <w:spacing w:line="360" w:lineRule="auto"/>
        <w:jc w:val="both"/>
        <w:rPr>
          <w:rFonts w:ascii="Book Antiqua" w:hAnsi="Book Antiqua"/>
          <w:lang w:val="es-MX"/>
        </w:rPr>
      </w:pPr>
      <w:r>
        <w:rPr>
          <w:rFonts w:ascii="Book Antiqua" w:hAnsi="Book Antiqua" w:eastAsia="Book Antiqua" w:cs="Book Antiqua"/>
          <w:color w:val="000000"/>
          <w:lang w:val="es-MX"/>
        </w:rPr>
        <w:t>Jorge Mario Molina-Díaz, Blanca Estela Vargas-Terrez, Patricia Guadalupe Medina-Bravo, Antonia Martínez-Ambrosio, América Liliana Miranda-Lora, Miguel Klünder</w:t>
      </w:r>
      <w:r>
        <w:rPr>
          <w:rFonts w:ascii="Book Antiqua" w:hAnsi="Book Antiqua" w:eastAsia="Book Antiqua" w:cs="Book Antiqua"/>
          <w:color w:val="000000"/>
          <w:lang w:val="es-MX"/>
        </w:rPr>
        <w:t>-</w:t>
      </w:r>
      <w:r>
        <w:rPr>
          <w:rFonts w:ascii="Book Antiqua" w:hAnsi="Book Antiqua" w:eastAsia="Book Antiqua" w:cs="Book Antiqua"/>
          <w:color w:val="000000"/>
          <w:lang w:val="es-MX"/>
        </w:rPr>
        <w:t>Klünder</w:t>
      </w:r>
    </w:p>
    <w:p>
      <w:pPr>
        <w:spacing w:line="360" w:lineRule="auto"/>
        <w:jc w:val="both"/>
        <w:rPr>
          <w:rFonts w:ascii="Book Antiqua" w:hAnsi="Book Antiqua"/>
          <w:lang w:val="es-MX"/>
        </w:rPr>
      </w:pPr>
    </w:p>
    <w:p>
      <w:pPr>
        <w:spacing w:line="360" w:lineRule="auto"/>
        <w:jc w:val="both"/>
        <w:rPr>
          <w:rFonts w:ascii="Book Antiqua" w:hAnsi="Book Antiqua"/>
          <w:lang w:val="es-MX"/>
        </w:rPr>
      </w:pPr>
      <w:r>
        <w:rPr>
          <w:rFonts w:ascii="Book Antiqua" w:hAnsi="Book Antiqua" w:eastAsia="Book Antiqua" w:cs="Book Antiqua"/>
          <w:b/>
          <w:bCs/>
          <w:color w:val="000000"/>
          <w:lang w:val="es-MX"/>
        </w:rPr>
        <w:t xml:space="preserve">Jorge Mario Molina-Díaz, </w:t>
      </w:r>
      <w:r>
        <w:rPr>
          <w:rFonts w:ascii="Book Antiqua" w:hAnsi="Book Antiqua" w:eastAsia="Book Antiqua" w:cs="Book Antiqua"/>
          <w:color w:val="000000"/>
          <w:lang w:val="es-MX"/>
        </w:rPr>
        <w:t>Department of Child Endocrinology, Children’s Hospital Federico Gomez, Autonomous University of Mexico, Mexico City 06250, Mexico</w:t>
      </w:r>
    </w:p>
    <w:p>
      <w:pPr>
        <w:spacing w:line="360" w:lineRule="auto"/>
        <w:jc w:val="both"/>
        <w:rPr>
          <w:rFonts w:ascii="Book Antiqua" w:hAnsi="Book Antiqua"/>
          <w:lang w:val="es-MX"/>
        </w:rPr>
      </w:pPr>
    </w:p>
    <w:p>
      <w:pPr>
        <w:spacing w:line="360" w:lineRule="auto"/>
        <w:jc w:val="both"/>
        <w:rPr>
          <w:rFonts w:ascii="Book Antiqua" w:hAnsi="Book Antiqua"/>
          <w:lang w:val="es-MX"/>
        </w:rPr>
      </w:pPr>
      <w:r>
        <w:rPr>
          <w:rFonts w:ascii="Book Antiqua" w:hAnsi="Book Antiqua" w:eastAsia="Book Antiqua" w:cs="Book Antiqua"/>
          <w:b/>
          <w:bCs/>
          <w:color w:val="000000"/>
          <w:lang w:val="es-MX"/>
        </w:rPr>
        <w:t xml:space="preserve">Blanca Estela Vargas-Terrez, </w:t>
      </w:r>
      <w:r>
        <w:rPr>
          <w:rFonts w:ascii="Book Antiqua" w:hAnsi="Book Antiqua" w:eastAsia="Book Antiqua" w:cs="Book Antiqua"/>
          <w:color w:val="000000"/>
          <w:lang w:val="es-MX"/>
        </w:rPr>
        <w:t>Faculty of Business, La Salle University, Mexico City 06250, Mexico</w:t>
      </w:r>
    </w:p>
    <w:p>
      <w:pPr>
        <w:spacing w:line="360" w:lineRule="auto"/>
        <w:jc w:val="both"/>
        <w:rPr>
          <w:rFonts w:ascii="Book Antiqua" w:hAnsi="Book Antiqua"/>
          <w:lang w:val="es-MX"/>
        </w:rPr>
      </w:pPr>
    </w:p>
    <w:p>
      <w:pPr>
        <w:spacing w:line="360" w:lineRule="auto"/>
        <w:jc w:val="both"/>
        <w:rPr>
          <w:rFonts w:ascii="Book Antiqua" w:hAnsi="Book Antiqua"/>
          <w:lang w:val="es-MX"/>
        </w:rPr>
      </w:pPr>
      <w:r>
        <w:rPr>
          <w:rFonts w:ascii="Book Antiqua" w:hAnsi="Book Antiqua" w:eastAsia="Book Antiqua" w:cs="Book Antiqua"/>
          <w:b/>
          <w:bCs/>
          <w:color w:val="000000"/>
          <w:lang w:val="es-MX"/>
        </w:rPr>
        <w:t xml:space="preserve">Patricia Guadalupe Medina-Bravo, </w:t>
      </w:r>
      <w:r>
        <w:rPr>
          <w:rFonts w:ascii="Book Antiqua" w:hAnsi="Book Antiqua" w:eastAsia="Book Antiqua" w:cs="Book Antiqua"/>
          <w:color w:val="000000"/>
          <w:lang w:val="es-MX"/>
        </w:rPr>
        <w:t>Department of Endocrinology, Children’s Hospital Federico Gomez, Mexico City 06720, Mexico</w:t>
      </w:r>
    </w:p>
    <w:p>
      <w:pPr>
        <w:spacing w:line="360" w:lineRule="auto"/>
        <w:jc w:val="both"/>
        <w:rPr>
          <w:rFonts w:ascii="Book Antiqua" w:hAnsi="Book Antiqua"/>
          <w:lang w:val="es-MX"/>
        </w:rPr>
      </w:pPr>
    </w:p>
    <w:p>
      <w:pPr>
        <w:spacing w:line="360" w:lineRule="auto"/>
        <w:jc w:val="both"/>
        <w:rPr>
          <w:rFonts w:ascii="Book Antiqua" w:hAnsi="Book Antiqua"/>
          <w:lang w:val="es-MX"/>
        </w:rPr>
      </w:pPr>
      <w:r>
        <w:rPr>
          <w:rFonts w:ascii="Book Antiqua" w:hAnsi="Book Antiqua" w:eastAsia="Book Antiqua" w:cs="Book Antiqua"/>
          <w:b/>
          <w:bCs/>
          <w:color w:val="000000"/>
          <w:lang w:val="es-MX"/>
        </w:rPr>
        <w:t xml:space="preserve">Antonia Martínez-Ambrosio, </w:t>
      </w:r>
      <w:r>
        <w:rPr>
          <w:rFonts w:ascii="Book Antiqua" w:hAnsi="Book Antiqua" w:eastAsia="Book Antiqua" w:cs="Book Antiqua"/>
          <w:color w:val="000000"/>
          <w:lang w:val="es-MX"/>
        </w:rPr>
        <w:t>Department of Nursing and Endocrinology, Children’s Hospital Federico Gómez, Mexico City 06720, Mexico</w:t>
      </w:r>
    </w:p>
    <w:p>
      <w:pPr>
        <w:spacing w:line="360" w:lineRule="auto"/>
        <w:jc w:val="both"/>
        <w:rPr>
          <w:rFonts w:ascii="Book Antiqua" w:hAnsi="Book Antiqua"/>
          <w:lang w:val="es-MX"/>
        </w:rPr>
      </w:pPr>
    </w:p>
    <w:p>
      <w:pPr>
        <w:spacing w:line="360" w:lineRule="auto"/>
        <w:jc w:val="both"/>
        <w:rPr>
          <w:rFonts w:ascii="Book Antiqua" w:hAnsi="Book Antiqua"/>
          <w:lang w:val="es-MX"/>
        </w:rPr>
      </w:pPr>
      <w:r>
        <w:rPr>
          <w:rFonts w:ascii="Book Antiqua" w:hAnsi="Book Antiqua" w:eastAsia="Book Antiqua" w:cs="Book Antiqua"/>
          <w:b/>
          <w:bCs/>
          <w:color w:val="000000"/>
          <w:lang w:val="es-MX"/>
        </w:rPr>
        <w:t xml:space="preserve">América Liliana Miranda-Lora, </w:t>
      </w:r>
      <w:r>
        <w:rPr>
          <w:rFonts w:ascii="Book Antiqua" w:hAnsi="Book Antiqua" w:eastAsia="Book Antiqua" w:cs="Book Antiqua"/>
          <w:color w:val="000000"/>
          <w:lang w:val="es-MX"/>
        </w:rPr>
        <w:t>Division of Epidemiological Research, Children’s Hospital Federico Gomez, Mexico City 06720, Mexico</w:t>
      </w:r>
    </w:p>
    <w:p>
      <w:pPr>
        <w:spacing w:line="360" w:lineRule="auto"/>
        <w:jc w:val="both"/>
        <w:rPr>
          <w:rFonts w:ascii="Book Antiqua" w:hAnsi="Book Antiqua"/>
          <w:lang w:val="es-MX"/>
        </w:rPr>
      </w:pPr>
    </w:p>
    <w:p>
      <w:pPr>
        <w:spacing w:line="360" w:lineRule="auto"/>
        <w:jc w:val="both"/>
        <w:rPr>
          <w:rFonts w:ascii="Book Antiqua" w:hAnsi="Book Antiqua"/>
        </w:rPr>
      </w:pPr>
      <w:r>
        <w:rPr>
          <w:rFonts w:ascii="Book Antiqua" w:hAnsi="Book Antiqua" w:eastAsia="Book Antiqua" w:cs="Book Antiqua"/>
          <w:b/>
          <w:bCs/>
          <w:color w:val="000000"/>
        </w:rPr>
        <w:t>Miguel Klünder</w:t>
      </w:r>
      <w:r>
        <w:rPr>
          <w:rFonts w:ascii="Book Antiqua" w:hAnsi="Book Antiqua" w:eastAsia="Book Antiqua" w:cs="Book Antiqua"/>
          <w:b/>
          <w:color w:val="000000"/>
        </w:rPr>
        <w:t>-</w:t>
      </w:r>
      <w:r>
        <w:rPr>
          <w:rFonts w:ascii="Book Antiqua" w:hAnsi="Book Antiqua" w:eastAsia="Book Antiqua" w:cs="Book Antiqua"/>
          <w:b/>
          <w:bCs/>
          <w:color w:val="000000"/>
        </w:rPr>
        <w:t xml:space="preserve">Klünder, </w:t>
      </w:r>
      <w:r>
        <w:rPr>
          <w:rFonts w:ascii="Book Antiqua" w:hAnsi="Book Antiqua" w:eastAsia="Book Antiqua" w:cs="Book Antiqua"/>
          <w:color w:val="000000"/>
        </w:rPr>
        <w:t>Division of Research, Children’s Hospital Federico Gomez, Mexico City 06720, Mexico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rPr>
        <w:t>Molina JM and Vargas BE conceptualized and wrote the initial manuscript; Martínez A and Medina PG critically reviewed</w:t>
      </w:r>
      <w:r>
        <w:rPr>
          <w:rFonts w:hint="eastAsia" w:ascii="Book Antiqua" w:hAnsi="Book Antiqua"/>
          <w:lang w:eastAsia="zh-CN"/>
        </w:rPr>
        <w:t xml:space="preserve"> the manuscript</w:t>
      </w:r>
      <w:r>
        <w:rPr>
          <w:rFonts w:ascii="Book Antiqua" w:hAnsi="Book Antiqua"/>
        </w:rPr>
        <w:t>; Miranda AL and Klünder M edited the manuscript; Molina JM finalized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Jorge Mario Molina-Díaz, PhD, Doctor, </w:t>
      </w:r>
      <w:r>
        <w:rPr>
          <w:rFonts w:ascii="Book Antiqua" w:hAnsi="Book Antiqua" w:eastAsia="Book Antiqua" w:cs="Book Antiqua"/>
          <w:color w:val="000000"/>
        </w:rPr>
        <w:t>Department of Child Endocrinology, Children’s Hospital Federico Gomez, Autonomous University of Mexico, Mexico City 06250, Mexico. dereck79@live.com.mx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15,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January 15, 2023</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14,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Diabetes mellitus type 2 (T2DM) is a state of hyperglycemia due to a defect in the secretion and/or action of insulin,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it represents the most common form of diabetes worldwide. In Mexico, 10.3% of the adult population ha</w:t>
      </w:r>
      <w:r>
        <w:rPr>
          <w:rFonts w:hint="eastAsia" w:ascii="Book Antiqua" w:hAnsi="Book Antiqua" w:eastAsia="宋体" w:cs="Book Antiqua"/>
          <w:color w:val="000000"/>
          <w:lang w:eastAsia="zh-CN"/>
        </w:rPr>
        <w:t>ve</w:t>
      </w:r>
      <w:r>
        <w:rPr>
          <w:rFonts w:ascii="Book Antiqua" w:hAnsi="Book Antiqua" w:eastAsia="Book Antiqua" w:cs="Book Antiqua"/>
          <w:color w:val="000000"/>
        </w:rPr>
        <w:t xml:space="preserve"> been diagnosed with T2DM and it is expanding to the pediatric population.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and compare the prevalence of T2DM in the pediatric population at the Children’s Hospital, “</w:t>
      </w:r>
      <w:r>
        <w:rPr>
          <w:rFonts w:ascii="Book Antiqua" w:hAnsi="Book Antiqua" w:eastAsia="Book Antiqua" w:cs="Book Antiqua"/>
          <w:i/>
          <w:iCs/>
          <w:color w:val="000000"/>
        </w:rPr>
        <w:t xml:space="preserve">Hospital Infantil de México Federico Gómez (HIMFG)”, </w:t>
      </w:r>
      <w:r>
        <w:rPr>
          <w:rFonts w:ascii="Book Antiqua" w:hAnsi="Book Antiqua" w:eastAsia="Book Antiqua" w:cs="Book Antiqua"/>
          <w:color w:val="000000"/>
        </w:rPr>
        <w:t xml:space="preserve">at two time periods: 2013 </w:t>
      </w:r>
      <w:r>
        <w:rPr>
          <w:rFonts w:ascii="Book Antiqua" w:hAnsi="Book Antiqua" w:eastAsia="Book Antiqua" w:cs="Book Antiqua"/>
          <w:i/>
          <w:iCs/>
          <w:color w:val="000000"/>
        </w:rPr>
        <w:t>vs</w:t>
      </w:r>
      <w:r>
        <w:rPr>
          <w:rFonts w:ascii="Book Antiqua" w:hAnsi="Book Antiqua" w:eastAsia="Book Antiqua" w:cs="Book Antiqua"/>
          <w:color w:val="000000"/>
        </w:rPr>
        <w:t xml:space="preserve"> 2018.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comparison of two cross-sectional studies was done (2013 and 2018). The study population was comprised of children and adolescents 8-17 years old, from the Diabetes Clinic at the aforementioned institution. A comprehensive interrogation regarding family history and perinatal antecedents was performed. Complete blood work after 12 h of fasting was obtained to determine serum levels of glucose, glycated hemoglobin, lipid profile, C-peptide, and insulin. The data were analysed using the statistical software package SPSS v. 23.0. A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w:t>
      </w:r>
      <w:r>
        <w:rPr>
          <w:rFonts w:ascii="Book Antiqua" w:hAnsi="Book Antiqua" w:eastAsia="Book Antiqua" w:cs="Book Antiqua"/>
          <w:color w:val="000000"/>
        </w:rPr>
        <w:t>value of</w:t>
      </w:r>
      <w:r>
        <w:rPr>
          <w:rFonts w:hint="eastAsia" w:ascii="Book Antiqua" w:hAnsi="Book Antiqua" w:eastAsia="宋体" w:cs="Book Antiqua"/>
          <w:color w:val="000000"/>
          <w:lang w:eastAsia="zh-CN"/>
        </w:rPr>
        <w:t xml:space="preserve"> </w:t>
      </w:r>
      <w:r>
        <w:rPr>
          <w:rFonts w:ascii="Book Antiqua" w:hAnsi="Book Antiqua" w:eastAsia="Book Antiqua" w:cs="Book Antiqua"/>
          <w:iCs/>
          <w:color w:val="000000"/>
        </w:rPr>
        <w:t>&lt; 0.05</w:t>
      </w:r>
      <w:r>
        <w:rPr>
          <w:rFonts w:ascii="Book Antiqua" w:hAnsi="Book Antiqua" w:eastAsia="Book Antiqua" w:cs="Book Antiqua"/>
          <w:color w:val="000000"/>
        </w:rPr>
        <w:t xml:space="preserve"> was considered statistically significant.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151 patients were included: 47 from 2013, and 104 from 2018. There were age differences noted between the two</w:t>
      </w:r>
      <w:r>
        <w:rPr>
          <w:rFonts w:ascii="Book Antiqua" w:hAnsi="Book Antiqua"/>
          <w:lang w:eastAsia="zh-CN"/>
        </w:rPr>
        <w:t xml:space="preserve"> </w:t>
      </w:r>
      <w:r>
        <w:rPr>
          <w:rFonts w:ascii="Book Antiqua" w:hAnsi="Book Antiqua" w:eastAsia="Book Antiqua" w:cs="Book Antiqua"/>
          <w:color w:val="000000"/>
        </w:rPr>
        <w:t xml:space="preserve">periods with younger patients presenting T2DM in 2013. Also, T2DM predominated in the male sex in 55.36% in 2013 </w:t>
      </w:r>
      <w:r>
        <w:rPr>
          <w:rFonts w:ascii="Book Antiqua" w:hAnsi="Book Antiqua" w:eastAsia="Book Antiqua" w:cs="Book Antiqua"/>
          <w:i/>
          <w:iCs/>
          <w:color w:val="000000"/>
        </w:rPr>
        <w:t xml:space="preserve">vs </w:t>
      </w:r>
      <w:r>
        <w:rPr>
          <w:rFonts w:ascii="Book Antiqua" w:hAnsi="Book Antiqua" w:eastAsia="Book Antiqua" w:cs="Book Antiqua"/>
          <w:color w:val="000000"/>
        </w:rPr>
        <w:t>32.7%</w:t>
      </w:r>
      <w:r>
        <w:rPr>
          <w:rFonts w:ascii="Book Antiqua" w:hAnsi="Book Antiqua"/>
          <w:lang w:eastAsia="zh-CN"/>
        </w:rPr>
        <w:t xml:space="preserve"> </w:t>
      </w:r>
      <w:r>
        <w:rPr>
          <w:rFonts w:ascii="Book Antiqua" w:hAnsi="Book Antiqua" w:eastAsia="Book Antiqua" w:cs="Book Antiqua"/>
          <w:color w:val="000000"/>
        </w:rPr>
        <w:t xml:space="preserve">in 2018. An increased prevalence of T2DM was noted from 2013 to 2018 (20.2% </w:t>
      </w:r>
      <w:r>
        <w:rPr>
          <w:rFonts w:ascii="Book Antiqua" w:hAnsi="Book Antiqua" w:eastAsia="Book Antiqua" w:cs="Book Antiqua"/>
          <w:i/>
          <w:iCs/>
          <w:color w:val="000000"/>
        </w:rPr>
        <w:t>vs</w:t>
      </w:r>
      <w:r>
        <w:rPr>
          <w:rFonts w:ascii="Book Antiqua" w:hAnsi="Book Antiqua" w:eastAsia="Book Antiqua" w:cs="Book Antiqua"/>
          <w:color w:val="000000"/>
        </w:rPr>
        <w:t xml:space="preserve"> 33.0%, respectively)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which was a</w:t>
      </w:r>
      <w:r>
        <w:rPr>
          <w:rFonts w:ascii="Book Antiqua" w:hAnsi="Book Antiqua"/>
          <w:lang w:eastAsia="zh-CN"/>
        </w:rPr>
        <w:t xml:space="preserve"> </w:t>
      </w:r>
      <w:r>
        <w:rPr>
          <w:rFonts w:ascii="Book Antiqua" w:hAnsi="Book Antiqua" w:eastAsia="Book Antiqua" w:cs="Book Antiqua"/>
          <w:color w:val="000000"/>
        </w:rPr>
        <w:t>statistically significant 12.8% increase (</w:t>
      </w:r>
      <w:r>
        <w:rPr>
          <w:rFonts w:ascii="Book Antiqua" w:hAnsi="Book Antiqua" w:eastAsia="Book Antiqua" w:cs="Book Antiqua"/>
          <w:i/>
          <w:iCs/>
          <w:color w:val="000000"/>
        </w:rPr>
        <w:t>P</w:t>
      </w:r>
      <w:r>
        <w:rPr>
          <w:rFonts w:ascii="Book Antiqua" w:hAnsi="Book Antiqua" w:eastAsia="Book Antiqua" w:cs="Book Antiqua"/>
          <w:iCs/>
          <w:color w:val="000000"/>
        </w:rPr>
        <w:t xml:space="preserve"> &lt; 0.0001</w:t>
      </w:r>
      <w:r>
        <w:rPr>
          <w:rFonts w:ascii="Book Antiqua" w:hAnsi="Book Antiqua" w:eastAsia="Book Antiqua" w:cs="Book Antiqua"/>
          <w:color w:val="000000"/>
        </w:rPr>
        <w:t>). The illness phenotype was more aggressive in the 2018 group with the</w:t>
      </w:r>
      <w:r>
        <w:rPr>
          <w:rFonts w:ascii="Book Antiqua" w:hAnsi="Book Antiqua"/>
          <w:lang w:eastAsia="zh-CN"/>
        </w:rPr>
        <w:t xml:space="preserve"> </w:t>
      </w:r>
      <w:r>
        <w:rPr>
          <w:rFonts w:ascii="Book Antiqua" w:hAnsi="Book Antiqua" w:eastAsia="Book Antiqua" w:cs="Book Antiqua"/>
          <w:color w:val="000000"/>
        </w:rPr>
        <w:t xml:space="preserve">presence of a higher proportion of obesity, insulin resistance, and adverse lipid profiles.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prevalence of T2DM at the </w:t>
      </w:r>
      <w:r>
        <w:rPr>
          <w:rFonts w:ascii="Book Antiqua" w:hAnsi="Book Antiqua" w:eastAsia="Book Antiqua" w:cs="Book Antiqua"/>
          <w:i/>
          <w:iCs/>
          <w:color w:val="000000"/>
        </w:rPr>
        <w:t>HIMFG</w:t>
      </w:r>
      <w:r>
        <w:rPr>
          <w:rFonts w:ascii="Book Antiqua" w:hAnsi="Book Antiqua" w:eastAsia="Book Antiqua" w:cs="Book Antiqua"/>
          <w:color w:val="000000"/>
        </w:rPr>
        <w:t xml:space="preserve"> institution from 2013 to 2018 increased by 12.8% (20.2% </w:t>
      </w:r>
      <w:r>
        <w:rPr>
          <w:rFonts w:ascii="Book Antiqua" w:hAnsi="Book Antiqua" w:eastAsia="Book Antiqua" w:cs="Book Antiqua"/>
          <w:i/>
          <w:iCs/>
          <w:color w:val="000000"/>
        </w:rPr>
        <w:t>vs</w:t>
      </w:r>
      <w:r>
        <w:rPr>
          <w:rFonts w:ascii="Book Antiqua" w:hAnsi="Book Antiqua" w:eastAsia="Book Antiqua" w:cs="Book Antiqua"/>
          <w:color w:val="000000"/>
        </w:rPr>
        <w:t xml:space="preserve"> 33.0%, respectively). The</w:t>
      </w:r>
      <w:r>
        <w:rPr>
          <w:rFonts w:ascii="Book Antiqua" w:hAnsi="Book Antiqua"/>
          <w:lang w:eastAsia="zh-CN"/>
        </w:rPr>
        <w:t xml:space="preserve"> </w:t>
      </w:r>
      <w:r>
        <w:rPr>
          <w:rFonts w:ascii="Book Antiqua" w:hAnsi="Book Antiqua" w:eastAsia="Book Antiqua" w:cs="Book Antiqua"/>
          <w:color w:val="000000"/>
        </w:rPr>
        <w:t>study results demonstrate the need for vigilance in T2DM trends, and to strengthen programs of healthy nutrition and physical</w:t>
      </w:r>
      <w:r>
        <w:rPr>
          <w:rFonts w:ascii="Book Antiqua" w:hAnsi="Book Antiqua"/>
          <w:lang w:eastAsia="zh-CN"/>
        </w:rPr>
        <w:t xml:space="preserve"> </w:t>
      </w:r>
      <w:r>
        <w:rPr>
          <w:rFonts w:ascii="Book Antiqua" w:hAnsi="Book Antiqua" w:eastAsia="Book Antiqua" w:cs="Book Antiqua"/>
          <w:color w:val="000000"/>
        </w:rPr>
        <w:t>activity as well as early detection and risk factors for obesity, data on insulin resistance, and metabolic syndrome, with the aim of</w:t>
      </w:r>
      <w:r>
        <w:rPr>
          <w:rFonts w:ascii="Book Antiqua" w:hAnsi="Book Antiqua"/>
          <w:lang w:eastAsia="zh-CN"/>
        </w:rPr>
        <w:t xml:space="preserve"> </w:t>
      </w:r>
      <w:r>
        <w:rPr>
          <w:rFonts w:ascii="Book Antiqua" w:hAnsi="Book Antiqua" w:eastAsia="Book Antiqua" w:cs="Book Antiqua"/>
          <w:color w:val="000000"/>
        </w:rPr>
        <w:t xml:space="preserve">preventing the development of T2DM.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Diabetes; Children; adolescents; Epidemiology; Etiology; Risk factors and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Molina-Díaz JM, Vargas-Terrez BE, Medina-Bravo PG, Martínez-Ambrosio A, Miranda-Lora AL, Klünder-Klünder M. Prevalence of type 2 diabetes mellitus in the pediatric population of a third-level care hospital in Mexico </w:t>
      </w:r>
      <w:r>
        <w:rPr>
          <w:rFonts w:hint="eastAsia" w:ascii="Book Antiqua" w:hAnsi="Book Antiqua" w:eastAsia="宋体" w:cs="Book Antiqua"/>
          <w:color w:val="000000"/>
          <w:lang w:eastAsia="zh-CN"/>
        </w:rPr>
        <w:t>C</w:t>
      </w:r>
      <w:r>
        <w:rPr>
          <w:rFonts w:ascii="Book Antiqua" w:hAnsi="Book Antiqua" w:eastAsia="Book Antiqua" w:cs="Book Antiqua"/>
          <w:color w:val="000000"/>
        </w:rPr>
        <w:t>ity</w:t>
      </w:r>
      <w:r>
        <w:rPr>
          <w:rFonts w:hint="eastAsia" w:ascii="Book Antiqua" w:hAnsi="Book Antiqua" w:eastAsia="宋体" w:cs="Book Antiqua"/>
          <w:color w:val="000000"/>
          <w:lang w:eastAsia="zh-CN"/>
        </w:rPr>
        <w:t xml:space="preserve"> in</w:t>
      </w:r>
      <w:r>
        <w:rPr>
          <w:rFonts w:ascii="Book Antiqua" w:hAnsi="Book Antiqua" w:eastAsia="Book Antiqua" w:cs="Book Antiqua"/>
          <w:color w:val="000000"/>
        </w:rPr>
        <w:t xml:space="preserve"> 2013</w:t>
      </w:r>
      <w:r>
        <w:rPr>
          <w:rFonts w:hint="eastAsia" w:ascii="Book Antiqua" w:hAnsi="Book Antiqua" w:eastAsia="宋体" w:cs="Book Antiqua"/>
          <w:color w:val="000000"/>
          <w:lang w:eastAsia="zh-CN"/>
        </w:rPr>
        <w:t xml:space="preserve"> and </w:t>
      </w:r>
      <w:r>
        <w:rPr>
          <w:rFonts w:ascii="Book Antiqua" w:hAnsi="Book Antiqua" w:eastAsia="Book Antiqua" w:cs="Book Antiqua"/>
          <w:color w:val="000000"/>
        </w:rPr>
        <w:t xml:space="preserve">2018. </w:t>
      </w:r>
      <w:r>
        <w:rPr>
          <w:rFonts w:ascii="Book Antiqua" w:hAnsi="Book Antiqua" w:eastAsia="Book Antiqua" w:cs="Book Antiqua"/>
          <w:i/>
          <w:iCs/>
          <w:color w:val="000000"/>
        </w:rPr>
        <w:t>World J Diabetes</w:t>
      </w:r>
      <w:r>
        <w:rPr>
          <w:rFonts w:ascii="Book Antiqua" w:hAnsi="Book Antiqua" w:eastAsia="Book Antiqua" w:cs="Book Antiqua"/>
          <w:color w:val="000000"/>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rPr>
        <w:t>Diabetes mellitus was a disease exclusive to the adult population</w:t>
      </w:r>
      <w:r>
        <w:rPr>
          <w:rFonts w:hint="eastAsia" w:ascii="Book Antiqua" w:hAnsi="Book Antiqua"/>
          <w:lang w:eastAsia="zh-CN"/>
        </w:rPr>
        <w:t>;</w:t>
      </w:r>
      <w:r>
        <w:rPr>
          <w:rFonts w:ascii="Book Antiqua" w:hAnsi="Book Antiqua"/>
        </w:rPr>
        <w:t xml:space="preserve"> however, due to an increase in the prevalence of obesity, as well as genetic risk factors, this disease has increased in the pediatric population, having a different presentation, with the presence that cause</w:t>
      </w:r>
      <w:r>
        <w:rPr>
          <w:rFonts w:hint="eastAsia" w:ascii="Book Antiqua" w:hAnsi="Book Antiqua"/>
          <w:lang w:eastAsia="zh-CN"/>
        </w:rPr>
        <w:t>s</w:t>
      </w:r>
      <w:r>
        <w:rPr>
          <w:rFonts w:ascii="Book Antiqua" w:hAnsi="Book Antiqua"/>
        </w:rPr>
        <w:t xml:space="preserve"> micro and macrovascular complications at earlier ages. Therefore, it is necessary to think about this disease when faced with data of insulin resistance and </w:t>
      </w:r>
      <w:r>
        <w:rPr>
          <w:rFonts w:hint="eastAsia" w:ascii="Book Antiqua" w:hAnsi="Book Antiqua"/>
          <w:lang w:eastAsia="zh-CN"/>
        </w:rPr>
        <w:t>identify</w:t>
      </w:r>
      <w:r>
        <w:rPr>
          <w:rFonts w:ascii="Book Antiqua" w:hAnsi="Book Antiqua"/>
        </w:rPr>
        <w:t xml:space="preserve"> complications early.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 type 2 diabetes mellitus (T2DM)</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the state of hyperglycemia is due to a defect in the secretion and/or action of insulin which favor a decrease in the tissue response to the effect of insulin, leading to different abnormalities in the metabolism of carbohydrates, lipids, and proteins</w:t>
      </w:r>
      <w:r>
        <w:rPr>
          <w:rFonts w:ascii="Book Antiqua" w:hAnsi="Book Antiqua" w:eastAsia="Book Antiqua" w:cs="Book Antiqua"/>
          <w:color w:val="000000"/>
          <w:vertAlign w:val="superscript"/>
        </w:rPr>
        <w:t>[1,2]</w:t>
      </w:r>
      <w:r>
        <w:rPr>
          <w:rFonts w:ascii="Book Antiqua" w:hAnsi="Book Antiqua" w:eastAsia="Book Antiqua" w:cs="Book Antiqua"/>
          <w:color w:val="000000"/>
        </w:rPr>
        <w:t>. It is estimated that the function of the beta cells (β cells) of the pancreas is reduced by 20% per year in T2DM patients as a result of the compensatory hyperinsulinism secondary to insulin resistance (IR)</w:t>
      </w:r>
      <w:r>
        <w:rPr>
          <w:rFonts w:ascii="Book Antiqua" w:hAnsi="Book Antiqua" w:eastAsia="Book Antiqua" w:cs="Book Antiqua"/>
          <w:color w:val="000000"/>
          <w:vertAlign w:val="superscript"/>
        </w:rPr>
        <w:t>[3]</w:t>
      </w:r>
      <w:r>
        <w:rPr>
          <w:rFonts w:ascii="Book Antiqua" w:hAnsi="Book Antiqua" w:eastAsia="Book Antiqua" w:cs="Book Antiqua"/>
          <w:color w:val="000000"/>
        </w:rPr>
        <w:t>. The primary mechanisms that have been described for the development of T2DM are IR, and the deterioration of insulin secretion secondary to a progressive dysfunction of the β cells, which can vary between individuals and can convert to T2DM in an entity with an important heterogeneity</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T2DM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is one of the primary chronic illnesses associated with high morbidity and mortality, and its incidence is increasing alarmingly worldwide. In 2011, it was estimated that there were about 366 million people with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disease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however, in 2030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the number of patients with </w:t>
      </w:r>
      <w:r>
        <w:rPr>
          <w:rFonts w:ascii="Book Antiqua" w:hAnsi="Book Antiqua" w:eastAsia="Book Antiqua" w:cs="Book Antiqua"/>
          <w:color w:val="000000"/>
        </w:rPr>
        <w:t>T2DM could increased to more than 500 million</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Type 1 </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iabetes mellitus (T1DM) continues to be the most common form of diabetes in the pediatric population; however, the development of obesity has caused an increase in the percentage of cases, </w:t>
      </w:r>
      <w:r>
        <w:rPr>
          <w:rFonts w:hint="eastAsia" w:ascii="Book Antiqua" w:hAnsi="Book Antiqua" w:eastAsia="宋体" w:cs="Book Antiqua"/>
          <w:color w:val="000000"/>
          <w:lang w:eastAsia="zh-CN"/>
        </w:rPr>
        <w:t xml:space="preserve">with </w:t>
      </w:r>
      <w:r>
        <w:rPr>
          <w:rFonts w:ascii="Book Antiqua" w:hAnsi="Book Antiqua" w:eastAsia="Book Antiqua" w:cs="Book Antiqua"/>
          <w:color w:val="000000"/>
        </w:rPr>
        <w:t>report</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rates of up to 45% in North America and 80% in Japan</w:t>
      </w:r>
      <w:r>
        <w:rPr>
          <w:rFonts w:ascii="Book Antiqua" w:hAnsi="Book Antiqua" w:eastAsia="Book Antiqua" w:cs="Book Antiqua"/>
          <w:color w:val="000000"/>
          <w:vertAlign w:val="superscript"/>
        </w:rPr>
        <w:t>[6]</w:t>
      </w:r>
      <w:r>
        <w:rPr>
          <w:rFonts w:ascii="Book Antiqua" w:hAnsi="Book Antiqua" w:eastAsia="Book Antiqua" w:cs="Book Antiqua"/>
          <w:color w:val="000000"/>
        </w:rPr>
        <w:t>. In the SEARCH study, an incidence of 9 cases/100000 to 12.5 cases/100000 in the population from 10-19 years old was demonstrated in the United States, with an important increase in all minority ethnic groups compared to the non-Hispanic Caucasian population</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Mexico, according to the National Health and Nutrition Survey [</w:t>
      </w:r>
      <w:r>
        <w:rPr>
          <w:rFonts w:ascii="Book Antiqua" w:hAnsi="Book Antiqua" w:eastAsia="Book Antiqua" w:cs="Book Antiqua"/>
          <w:i/>
          <w:iCs/>
          <w:color w:val="000000"/>
        </w:rPr>
        <w:t xml:space="preserve">Encuesta Nacional de Salud y Nutrición </w:t>
      </w:r>
      <w:r>
        <w:rPr>
          <w:rFonts w:ascii="Book Antiqua" w:hAnsi="Book Antiqua" w:eastAsia="Book Antiqua" w:cs="Book Antiqua"/>
          <w:iCs/>
          <w:color w:val="000000"/>
        </w:rPr>
        <w:t>(</w:t>
      </w:r>
      <w:r>
        <w:rPr>
          <w:rFonts w:ascii="Book Antiqua" w:hAnsi="Book Antiqua" w:eastAsia="Book Antiqua" w:cs="Book Antiqua"/>
          <w:i/>
          <w:iCs/>
          <w:color w:val="000000"/>
        </w:rPr>
        <w:t>ENSANUT-2018</w:t>
      </w:r>
      <w:r>
        <w:rPr>
          <w:rFonts w:ascii="Book Antiqua" w:hAnsi="Book Antiqua" w:eastAsia="Book Antiqua" w:cs="Book Antiqua"/>
          <w:iCs/>
          <w:color w:val="000000"/>
        </w:rPr>
        <w:t>)]</w:t>
      </w:r>
      <w:r>
        <w:rPr>
          <w:rFonts w:ascii="Book Antiqua" w:hAnsi="Book Antiqua" w:eastAsia="Book Antiqua" w:cs="Book Antiqua"/>
          <w:i/>
          <w:iCs/>
          <w:color w:val="000000"/>
        </w:rPr>
        <w:t>,</w:t>
      </w:r>
      <w:r>
        <w:rPr>
          <w:rFonts w:ascii="Book Antiqua" w:hAnsi="Book Antiqua" w:eastAsia="Book Antiqua" w:cs="Book Antiqua"/>
          <w:color w:val="000000"/>
        </w:rPr>
        <w:t xml:space="preserve"> the prevalence of T2DM in people 20 years of age or older is 10.3%;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other words, more than 8.6 million Mexicans suffer with this illness, yet there are no statistics about T2DM in Mexican children and adolescents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w:t>
      </w:r>
      <w:r>
        <w:rPr>
          <w:rFonts w:ascii="Book Antiqua" w:hAnsi="Book Antiqua" w:eastAsia="Book Antiqua" w:cs="Book Antiqua"/>
          <w:b/>
          <w:bCs/>
          <w:color w:val="000000"/>
        </w:rPr>
        <w:t xml:space="preserve"> </w:t>
      </w:r>
      <w:r>
        <w:rPr>
          <w:rFonts w:ascii="Book Antiqua" w:hAnsi="Book Antiqua" w:eastAsia="Book Antiqua" w:cs="Book Antiqua"/>
          <w:color w:val="000000"/>
        </w:rPr>
        <w:t>objective of this study was to evaluate and compare the prevalence of T2DM in the pediatric population of a tertiary care hospital</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at two time periods: 2013 </w:t>
      </w:r>
      <w:r>
        <w:rPr>
          <w:rFonts w:ascii="Book Antiqua" w:hAnsi="Book Antiqua" w:eastAsia="Book Antiqua" w:cs="Book Antiqua"/>
          <w:i/>
          <w:iCs/>
          <w:color w:val="000000"/>
        </w:rPr>
        <w:t>vs</w:t>
      </w:r>
      <w:r>
        <w:rPr>
          <w:rFonts w:ascii="Book Antiqua" w:hAnsi="Book Antiqua" w:eastAsia="Book Antiqua" w:cs="Book Antiqua"/>
          <w:color w:val="000000"/>
        </w:rPr>
        <w:t xml:space="preserve"> 2018.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T2DM is a state of hyperglycemia as a result of an alteration in the secretion and/or action of insulin, and it is the main form of diabetes in about 90% of all cases of the condition. In Mexico, 10.3% of the population ha</w:t>
      </w:r>
      <w:r>
        <w:rPr>
          <w:rFonts w:hint="eastAsia" w:ascii="Book Antiqua" w:hAnsi="Book Antiqua" w:eastAsia="宋体" w:cs="Book Antiqua"/>
          <w:color w:val="000000"/>
          <w:lang w:eastAsia="zh-CN"/>
        </w:rPr>
        <w:t>ve</w:t>
      </w:r>
      <w:r>
        <w:rPr>
          <w:rFonts w:ascii="Book Antiqua" w:hAnsi="Book Antiqua" w:eastAsia="Book Antiqua" w:cs="Book Antiqua"/>
          <w:color w:val="000000"/>
        </w:rPr>
        <w:t xml:space="preserve"> been diagnosed with T2DM and it is expanding to the pediatric population due to the phenomenon of childhood obesity.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i/>
        </w:rPr>
      </w:pPr>
      <w:r>
        <w:rPr>
          <w:rFonts w:ascii="Book Antiqua" w:hAnsi="Book Antiqua" w:eastAsia="Book Antiqua" w:cs="Book Antiqua"/>
          <w:b/>
          <w:i/>
          <w:color w:val="000000"/>
        </w:rPr>
        <w:t xml:space="preserve">Study design and location </w:t>
      </w:r>
    </w:p>
    <w:p>
      <w:pPr>
        <w:spacing w:line="360" w:lineRule="auto"/>
        <w:jc w:val="both"/>
        <w:rPr>
          <w:rFonts w:ascii="Book Antiqua" w:hAnsi="Book Antiqua"/>
        </w:rPr>
      </w:pPr>
      <w:r>
        <w:rPr>
          <w:rFonts w:hint="eastAsia" w:ascii="Book Antiqua" w:hAnsi="Book Antiqua" w:eastAsia="宋体" w:cs="Book Antiqua"/>
          <w:color w:val="000000"/>
          <w:lang w:eastAsia="zh-CN"/>
        </w:rPr>
        <w:t>This is a</w:t>
      </w:r>
      <w:r>
        <w:rPr>
          <w:rFonts w:ascii="Book Antiqua" w:hAnsi="Book Antiqua" w:eastAsia="Book Antiqua" w:cs="Book Antiqua"/>
          <w:color w:val="000000"/>
        </w:rPr>
        <w:t xml:space="preserve"> cross-sectional study of children and adolescents from the Diabetes Clinic at the Children’s Hospital, “</w:t>
      </w:r>
      <w:r>
        <w:rPr>
          <w:rFonts w:ascii="Book Antiqua" w:hAnsi="Book Antiqua" w:eastAsia="Book Antiqua" w:cs="Book Antiqua"/>
          <w:i/>
          <w:iCs/>
          <w:color w:val="000000"/>
        </w:rPr>
        <w:t>Hospital Infantil de</w:t>
      </w:r>
      <w:r>
        <w:rPr>
          <w:rFonts w:ascii="Book Antiqua" w:hAnsi="Book Antiqua"/>
          <w:lang w:eastAsia="zh-CN"/>
        </w:rPr>
        <w:t xml:space="preserve"> </w:t>
      </w:r>
      <w:r>
        <w:rPr>
          <w:rFonts w:ascii="Book Antiqua" w:hAnsi="Book Antiqua" w:eastAsia="Book Antiqua" w:cs="Book Antiqua"/>
          <w:i/>
          <w:iCs/>
          <w:color w:val="000000"/>
        </w:rPr>
        <w:t>México Federico Gómez”,</w:t>
      </w:r>
      <w:r>
        <w:rPr>
          <w:rFonts w:ascii="Book Antiqua" w:hAnsi="Book Antiqua" w:eastAsia="Book Antiqua" w:cs="Book Antiqua"/>
          <w:color w:val="000000"/>
        </w:rPr>
        <w:t xml:space="preserve"> that compare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the periods of January to December 2013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to January to December 2018.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i/>
        </w:rPr>
      </w:pPr>
      <w:r>
        <w:rPr>
          <w:rFonts w:ascii="Book Antiqua" w:hAnsi="Book Antiqua" w:eastAsia="Book Antiqua" w:cs="Book Antiqua"/>
          <w:b/>
          <w:i/>
          <w:color w:val="000000"/>
        </w:rPr>
        <w:t xml:space="preserve">Participants </w:t>
      </w:r>
    </w:p>
    <w:p>
      <w:pPr>
        <w:spacing w:line="360" w:lineRule="auto"/>
        <w:jc w:val="both"/>
        <w:rPr>
          <w:rFonts w:ascii="Book Antiqua" w:hAnsi="Book Antiqua"/>
        </w:rPr>
      </w:pPr>
      <w:r>
        <w:rPr>
          <w:rFonts w:ascii="Book Antiqua" w:hAnsi="Book Antiqua" w:eastAsia="Book Antiqua" w:cs="Book Antiqua"/>
          <w:color w:val="000000"/>
        </w:rPr>
        <w:t>Included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were children and adolescents from 8-17 years of age of both sexes who met the diagnostic criteria for T2DM based on criteria from the American Diabetes Association, who had the clinical and biochemical phenotype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(obesity, acanthosis nigricans,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 xml:space="preserve">insulin resistance) and a diagnostic C-peptide </w:t>
      </w:r>
      <w:r>
        <w:rPr>
          <w:rFonts w:hint="eastAsia" w:ascii="Book Antiqua" w:hAnsi="Book Antiqua" w:eastAsia="宋体" w:cs="Book Antiqua"/>
          <w:color w:val="000000"/>
          <w:lang w:eastAsia="zh-CN"/>
        </w:rPr>
        <w:t xml:space="preserve">level </w:t>
      </w:r>
      <w:r>
        <w:rPr>
          <w:rFonts w:ascii="Book Antiqua" w:hAnsi="Book Antiqua" w:eastAsia="Book Antiqua" w:cs="Book Antiqua"/>
          <w:color w:val="000000"/>
        </w:rPr>
        <w:t xml:space="preserve">≥ 0.45 ng/dL. Patients whose relatives presented with diabetes at an age younger than 25 years, leading to the suspicion of maturity onset diabetes of the young, were ruled out. In addition, study patients did not have a history of autoimmune disease or treatment that could alter glucose metabolism such as glucocorticoids or immunomodulators.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Anthropometric and biochemical measurements </w:t>
      </w:r>
    </w:p>
    <w:p>
      <w:pPr>
        <w:spacing w:line="360" w:lineRule="auto"/>
        <w:jc w:val="both"/>
        <w:rPr>
          <w:rFonts w:ascii="Book Antiqua" w:hAnsi="Book Antiqua"/>
        </w:rPr>
      </w:pPr>
      <w:r>
        <w:rPr>
          <w:rFonts w:ascii="Book Antiqua" w:hAnsi="Book Antiqua" w:eastAsia="Book Antiqua" w:cs="Book Antiqua"/>
          <w:color w:val="000000"/>
        </w:rPr>
        <w:t>Participants’ height and weight were measured without footwear and wearing the least amount of clothing possible. Weight was determined using a digital scale (Seca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884, Hamburgo, Alemania) with a precision of 0.1 kg. Height was measured using a stadimeter (Seca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225, Hamburg, Germany) with a precision of 0.1 cm. The body mass index (BMI) was calculated using two measurements. Waist circumference was measured at the end of a respiratory expiration with a flexible, non-elastic measuring tape with a precision of 0.1 cm (Seca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200, Hamburg, Germany) in a standing position, on the point mid-way between the most inferior rib and the top of the iliac crest. Arterial pressure was measured with a mercury sphygmomanometer on the right arm, sustained at the level of the heart, after </w:t>
      </w:r>
      <w:r>
        <w:rPr>
          <w:rFonts w:hint="eastAsia" w:ascii="Book Antiqua" w:hAnsi="Book Antiqua" w:eastAsia="宋体" w:cs="Book Antiqua"/>
          <w:color w:val="000000"/>
          <w:lang w:eastAsia="zh-CN"/>
        </w:rPr>
        <w:t>5</w:t>
      </w:r>
      <w:r>
        <w:rPr>
          <w:rFonts w:ascii="Book Antiqua" w:hAnsi="Book Antiqua" w:eastAsia="Book Antiqua" w:cs="Book Antiqua"/>
          <w:color w:val="000000"/>
        </w:rPr>
        <w:t xml:space="preserve"> min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sedentary rest, using an arm band appropriate for the size of the patient. Three measurements were performed using the first and fifth Korotkoff sound with the reading closest to every 2 mmHg, ultimately using the calculated average of the three measurements.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Participants fasted for 12 h and then samples of peripheral blood (10 mL in total) were obtained for the evaluations of</w:t>
      </w:r>
      <w:r>
        <w:rPr>
          <w:rFonts w:hint="eastAsia" w:ascii="Book Antiqua" w:hAnsi="Book Antiqua" w:eastAsia="宋体" w:cs="Book Antiqua"/>
          <w:color w:val="000000"/>
          <w:lang w:eastAsia="zh-CN"/>
        </w:rPr>
        <w:t xml:space="preserve"> g</w:t>
      </w:r>
      <w:r>
        <w:rPr>
          <w:rFonts w:ascii="Book Antiqua" w:hAnsi="Book Antiqua" w:eastAsia="Book Antiqua" w:cs="Book Antiqua"/>
          <w:color w:val="000000"/>
        </w:rPr>
        <w:t>lucose (mg/dL, hexokinase Dimension RXL.MAX, Siemens</w:t>
      </w:r>
      <w:r>
        <w:rPr>
          <w:rFonts w:ascii="Book Antiqua" w:hAnsi="Book Antiqua" w:eastAsia="Book Antiqua" w:cs="Book Antiqua"/>
          <w:color w:val="000000"/>
          <w:vertAlign w:val="superscript"/>
        </w:rPr>
        <w:t>®</w:t>
      </w:r>
      <w:r>
        <w:rPr>
          <w:rFonts w:ascii="Book Antiqua" w:hAnsi="Book Antiqua" w:eastAsia="Book Antiqua" w:cs="Book Antiqua"/>
          <w:color w:val="000000"/>
        </w:rPr>
        <w:t>), insulin (mU/mL, chemiluminescence IMMULITE 1000, Siemens</w:t>
      </w:r>
      <w:r>
        <w:rPr>
          <w:rFonts w:ascii="Book Antiqua" w:hAnsi="Book Antiqua" w:eastAsia="Book Antiqua" w:cs="Book Antiqua"/>
          <w:color w:val="000000"/>
          <w:vertAlign w:val="superscript"/>
        </w:rPr>
        <w:t>®</w:t>
      </w:r>
      <w:r>
        <w:rPr>
          <w:rFonts w:ascii="Book Antiqua" w:hAnsi="Book Antiqua" w:eastAsia="Book Antiqua" w:cs="Book Antiqua"/>
          <w:color w:val="000000"/>
        </w:rPr>
        <w:t>, Euro, DPC, Llanberis, United Kingdom), C-peptide (ng/dL, chemiluminescence IMMULITE 1000, Siemens</w:t>
      </w:r>
      <w:r>
        <w:rPr>
          <w:rFonts w:ascii="Book Antiqua" w:hAnsi="Book Antiqua" w:eastAsia="Book Antiqua" w:cs="Book Antiqua"/>
          <w:color w:val="000000"/>
          <w:vertAlign w:val="superscript"/>
        </w:rPr>
        <w:t>®</w:t>
      </w:r>
      <w:r>
        <w:rPr>
          <w:rFonts w:ascii="Book Antiqua" w:hAnsi="Book Antiqua" w:eastAsia="Book Antiqua" w:cs="Book Antiqua"/>
          <w:color w:val="000000"/>
        </w:rPr>
        <w:t>, Euro, DPC, Llanberis, United Kingdom), hemoglobin A1c (HbA1c % and mmol/moL, Dimension RXL.MAX Siemens</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immunoassay), total cholesterol, high density lipoprotein cholesterol (HDL-C), and triglycerides (Hitachi 902 analyzer</w:t>
      </w:r>
      <w:r>
        <w:rPr>
          <w:rFonts w:ascii="Book Antiqua" w:hAnsi="Book Antiqua" w:eastAsia="Book Antiqua" w:cs="Book Antiqua"/>
          <w:color w:val="000000"/>
          <w:vertAlign w:val="superscript"/>
        </w:rPr>
        <w:t>®</w:t>
      </w:r>
      <w:r>
        <w:rPr>
          <w:rFonts w:ascii="Book Antiqua" w:hAnsi="Book Antiqua" w:eastAsia="Book Antiqua" w:cs="Book Antiqua"/>
          <w:color w:val="000000"/>
        </w:rPr>
        <w:t>, Hitachi, LTD., Tokyo, Japan). The evaluation of LDL-cholesterol was calculated using the Friedewald formula (total cholesterol in mg/dL – HDL-C in mg/dL – triglycerides in mg/dL/5). The pancreatic reserve was evaluated using the HOMA-β index [(fasting insulin µUI/mL ×</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20)/(fasting glucose in mmol/L-3.5)].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Estimation of the subject’s socioeconomic status (SES) was performed following the </w:t>
      </w:r>
      <w:r>
        <w:rPr>
          <w:rFonts w:ascii="Book Antiqua" w:hAnsi="Book Antiqua" w:eastAsia="Book Antiqua" w:cs="Book Antiqua"/>
          <w:i/>
          <w:iCs/>
          <w:color w:val="000000"/>
        </w:rPr>
        <w:t>AMAI-NSE8X7</w:t>
      </w:r>
      <w:r>
        <w:rPr>
          <w:rFonts w:ascii="Book Antiqua" w:hAnsi="Book Antiqua" w:eastAsia="Book Antiqua" w:cs="Book Antiqua"/>
          <w:color w:val="000000"/>
        </w:rPr>
        <w:t xml:space="preserve"> model from the ‘Mexican Association of Market Research and Public Opinion Agency, A.C’. This model classifies SES as</w:t>
      </w:r>
      <w:r>
        <w:rPr>
          <w:rFonts w:hint="eastAsia" w:ascii="Book Antiqua" w:hAnsi="Book Antiqua" w:eastAsia="宋体" w:cs="Book Antiqua"/>
          <w:color w:val="000000"/>
          <w:lang w:eastAsia="zh-CN"/>
        </w:rPr>
        <w:t xml:space="preserve"> l</w:t>
      </w:r>
      <w:r>
        <w:rPr>
          <w:rFonts w:ascii="Book Antiqua" w:hAnsi="Book Antiqua" w:eastAsia="Book Antiqua" w:cs="Book Antiqua"/>
          <w:color w:val="000000"/>
        </w:rPr>
        <w:t>ower, upper-lower, lower-middle, middle, upper-middle, and upper</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Statistical analysis </w:t>
      </w:r>
    </w:p>
    <w:p>
      <w:pPr>
        <w:spacing w:line="360" w:lineRule="auto"/>
        <w:jc w:val="both"/>
        <w:rPr>
          <w:rFonts w:ascii="Book Antiqua" w:hAnsi="Book Antiqua"/>
        </w:rPr>
      </w:pPr>
      <w:r>
        <w:rPr>
          <w:rFonts w:ascii="Book Antiqua" w:hAnsi="Book Antiqua" w:eastAsia="Book Antiqua" w:cs="Book Antiqua"/>
          <w:color w:val="000000"/>
        </w:rPr>
        <w:t>Descriptive statistics (measures of central tendency and dispersion) of the demographic, biochemical, and clinical variables w</w:t>
      </w:r>
      <w:r>
        <w:rPr>
          <w:rFonts w:hint="eastAsia" w:ascii="Book Antiqua" w:hAnsi="Book Antiqua" w:eastAsia="宋体" w:cs="Book Antiqua"/>
          <w:color w:val="000000"/>
          <w:lang w:eastAsia="zh-CN"/>
        </w:rPr>
        <w:t>ere calculated</w:t>
      </w:r>
      <w:r>
        <w:rPr>
          <w:rFonts w:ascii="Book Antiqua" w:hAnsi="Book Antiqua" w:eastAsia="Book Antiqua" w:cs="Book Antiqua"/>
          <w:color w:val="000000"/>
        </w:rPr>
        <w:t xml:space="preserve">. Variables with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 xml:space="preserve">normal distribution based on the Kolmogorov-Smirnov test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expressed </w:t>
      </w:r>
      <w:r>
        <w:rPr>
          <w:rFonts w:hint="eastAsia" w:ascii="Book Antiqua" w:hAnsi="Book Antiqua" w:eastAsia="宋体" w:cs="Book Antiqua"/>
          <w:color w:val="000000"/>
          <w:lang w:eastAsia="zh-CN"/>
        </w:rPr>
        <w:t>as the mean</w:t>
      </w:r>
      <w:r>
        <w:rPr>
          <w:rFonts w:ascii="Book Antiqua" w:hAnsi="Book Antiqua" w:eastAsia="Book Antiqua" w:cs="Book Antiqua"/>
          <w:color w:val="000000"/>
        </w:rPr>
        <w:t xml:space="preserve"> and standard deviation, and variables </w:t>
      </w:r>
      <w:r>
        <w:rPr>
          <w:rFonts w:hint="eastAsia" w:ascii="Book Antiqua" w:hAnsi="Book Antiqua" w:eastAsia="宋体" w:cs="Book Antiqua"/>
          <w:color w:val="000000"/>
          <w:lang w:eastAsia="zh-CN"/>
        </w:rPr>
        <w:t>not following a</w:t>
      </w:r>
      <w:r>
        <w:rPr>
          <w:rFonts w:ascii="Book Antiqua" w:hAnsi="Book Antiqua" w:eastAsia="Book Antiqua" w:cs="Book Antiqua"/>
          <w:color w:val="000000"/>
        </w:rPr>
        <w:t xml:space="preserve"> normal distribution </w:t>
      </w:r>
      <w:r>
        <w:rPr>
          <w:rFonts w:hint="eastAsia" w:ascii="Book Antiqua" w:hAnsi="Book Antiqua" w:eastAsia="宋体" w:cs="Book Antiqua"/>
          <w:color w:val="000000"/>
          <w:lang w:eastAsia="zh-CN"/>
        </w:rPr>
        <w:t>are</w:t>
      </w:r>
      <w:r>
        <w:rPr>
          <w:rFonts w:ascii="Book Antiqua" w:hAnsi="Book Antiqua" w:eastAsia="Book Antiqua" w:cs="Book Antiqua"/>
          <w:color w:val="000000"/>
        </w:rPr>
        <w:t xml:space="preserve"> expressed </w:t>
      </w:r>
      <w:r>
        <w:rPr>
          <w:rFonts w:hint="eastAsia" w:ascii="Book Antiqua" w:hAnsi="Book Antiqua" w:eastAsia="宋体" w:cs="Book Antiqua"/>
          <w:color w:val="000000"/>
          <w:lang w:eastAsia="zh-CN"/>
        </w:rPr>
        <w:t xml:space="preserve">as the median </w:t>
      </w:r>
      <w:r>
        <w:rPr>
          <w:rFonts w:ascii="Book Antiqua" w:hAnsi="Book Antiqua" w:eastAsia="Book Antiqua" w:cs="Book Antiqua"/>
          <w:color w:val="000000"/>
        </w:rPr>
        <w:t xml:space="preserve">and interquartile ranges.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the inferential analysis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the Student</w:t>
      </w:r>
      <w:r>
        <w:rPr>
          <w:rFonts w:ascii="Book Antiqua" w:hAnsi="Book Antiqua" w:eastAsia="宋体" w:cs="Book Antiqua"/>
          <w:color w:val="000000"/>
          <w:lang w:eastAsia="zh-CN"/>
        </w:rPr>
        <w:t>’</w:t>
      </w:r>
      <w:r>
        <w:rPr>
          <w:rFonts w:hint="eastAsia" w:ascii="Book Antiqua" w:hAnsi="Book Antiqua" w:eastAsia="宋体" w:cs="Book Antiqua"/>
          <w:color w:val="000000"/>
          <w:lang w:eastAsia="zh-CN"/>
        </w:rPr>
        <w:t>s</w:t>
      </w:r>
      <w:r>
        <w:rPr>
          <w:rFonts w:ascii="Book Antiqua" w:hAnsi="Book Antiqua" w:eastAsia="Book Antiqua" w:cs="Book Antiqua"/>
          <w:i/>
          <w:iCs/>
          <w:color w:val="000000"/>
        </w:rPr>
        <w:t xml:space="preserve"> t</w:t>
      </w:r>
      <w:r>
        <w:rPr>
          <w:rFonts w:ascii="Book Antiqua" w:hAnsi="Book Antiqua" w:eastAsia="Book Antiqua" w:cs="Book Antiqua"/>
          <w:color w:val="000000"/>
        </w:rPr>
        <w:t xml:space="preserve"> test was used for the continuous variables and the Pearson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was used for the categorical variables, while medians were evaluated using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Logistic regression was used to determine the association between each of the variables and the presence of T2DM. The statistical package SPSS v. 23.0 was used </w:t>
      </w:r>
      <w:r>
        <w:rPr>
          <w:rFonts w:hint="eastAsia" w:ascii="Book Antiqua" w:hAnsi="Book Antiqua" w:eastAsia="宋体" w:cs="Book Antiqua"/>
          <w:color w:val="000000"/>
          <w:lang w:eastAsia="zh-CN"/>
        </w:rPr>
        <w:t xml:space="preserve">for stastisical analyses, </w:t>
      </w:r>
      <w:r>
        <w:rPr>
          <w:rFonts w:ascii="Book Antiqua" w:hAnsi="Book Antiqua" w:eastAsia="Book Antiqua" w:cs="Book Antiqua"/>
          <w:color w:val="000000"/>
        </w:rPr>
        <w:t xml:space="preserve">and a </w:t>
      </w:r>
      <w:r>
        <w:rPr>
          <w:rFonts w:ascii="Book Antiqua" w:hAnsi="Book Antiqua" w:eastAsia="Book Antiqua" w:cs="Book Antiqua"/>
          <w:i/>
          <w:color w:val="000000"/>
        </w:rPr>
        <w:t>P</w:t>
      </w:r>
      <w:r>
        <w:rPr>
          <w:rFonts w:hint="eastAsia" w:ascii="Book Antiqua" w:hAnsi="Book Antiqua" w:eastAsia="宋体" w:cs="Book Antiqua"/>
          <w:i/>
          <w:color w:val="000000"/>
          <w:lang w:eastAsia="zh-CN"/>
        </w:rPr>
        <w:t>-</w:t>
      </w:r>
      <w:r>
        <w:rPr>
          <w:rFonts w:ascii="Book Antiqua" w:hAnsi="Book Antiqua" w:eastAsia="Book Antiqua" w:cs="Book Antiqua"/>
          <w:color w:val="000000"/>
        </w:rPr>
        <w:t xml:space="preserve">value of &lt; 0.05 was considered statistically significant.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A total of 151 patients with T2DM were included in the study: 47 patients from 2013, and 104 patients from 2018. The average age of </w:t>
      </w:r>
      <w:r>
        <w:rPr>
          <w:rFonts w:hint="eastAsia" w:ascii="Book Antiqua" w:hAnsi="Book Antiqua" w:eastAsia="宋体" w:cs="Book Antiqua"/>
          <w:color w:val="000000"/>
          <w:lang w:eastAsia="zh-CN"/>
        </w:rPr>
        <w:t>the</w:t>
      </w:r>
      <w:r>
        <w:rPr>
          <w:rFonts w:ascii="Book Antiqua" w:hAnsi="Book Antiqua" w:eastAsia="Book Antiqua" w:cs="Book Antiqua"/>
          <w:color w:val="000000"/>
        </w:rPr>
        <w:t xml:space="preserve"> patient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with T2DM in 2013 was 12.9 ± 1.9 years, and the average age in 2018 was higher </w:t>
      </w:r>
      <w:r>
        <w:rPr>
          <w:rFonts w:hint="eastAsia" w:ascii="Book Antiqua" w:hAnsi="Book Antiqua" w:eastAsia="宋体" w:cs="Book Antiqua"/>
          <w:color w:val="000000"/>
          <w:lang w:eastAsia="zh-CN"/>
        </w:rPr>
        <w:t>(</w:t>
      </w:r>
      <w:r>
        <w:rPr>
          <w:rFonts w:ascii="Book Antiqua" w:hAnsi="Book Antiqua" w:eastAsia="Book Antiqua" w:cs="Book Antiqua"/>
          <w:color w:val="000000"/>
        </w:rPr>
        <w:t>14.6 ± 1.9 years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The male sex predominated with 55.36% in 2013 </w:t>
      </w:r>
      <w:r>
        <w:rPr>
          <w:rFonts w:ascii="Book Antiqua" w:hAnsi="Book Antiqua" w:eastAsia="Book Antiqua" w:cs="Book Antiqua"/>
          <w:i/>
          <w:iCs/>
          <w:color w:val="000000"/>
        </w:rPr>
        <w:t>vs</w:t>
      </w:r>
      <w:r>
        <w:rPr>
          <w:rFonts w:ascii="Book Antiqua" w:hAnsi="Book Antiqua" w:eastAsia="Book Antiqua" w:cs="Book Antiqua"/>
          <w:color w:val="000000"/>
        </w:rPr>
        <w:t xml:space="preserve"> 32.7% in 2018. The demographic, clinical, and biochemical data are shown in Table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prevalence of T2DM recorded was 20.2% and 33.0% for 2013 and 2018, respectively, with an observed increase of 12.8% (</w:t>
      </w:r>
      <w:r>
        <w:rPr>
          <w:rFonts w:ascii="Book Antiqua" w:hAnsi="Book Antiqua" w:eastAsia="Book Antiqua" w:cs="Book Antiqua"/>
          <w:i/>
          <w:iCs/>
          <w:color w:val="000000"/>
        </w:rPr>
        <w:t>P</w:t>
      </w:r>
      <w:r>
        <w:rPr>
          <w:rFonts w:ascii="Book Antiqua" w:hAnsi="Book Antiqua" w:eastAsia="Book Antiqua" w:cs="Book Antiqua"/>
          <w:iCs/>
          <w:color w:val="000000"/>
        </w:rPr>
        <w:t xml:space="preserve"> &lt; 0.0001</w:t>
      </w:r>
      <w:r>
        <w:rPr>
          <w:rFonts w:ascii="Book Antiqua" w:hAnsi="Book Antiqua" w:eastAsia="Book Antiqua" w:cs="Book Antiqua"/>
          <w:color w:val="000000"/>
        </w:rPr>
        <w:t xml:space="preserve">). The T2DM first appeared in the 2013 group with clinical characteristics like obesity, acanthosis nigricans, polyuria, polydipsia, and unexplained weight loss in 36.2% of patients, while altered serum glucose in laboratory exams was the most frequent way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T2DM presented in the 2018 group. The presence of diabetic ketoacidosis has been reported in 22%-33% of T2DM cases; however, in 2013, diabetic ketoacidosis was the way in which the illness initially presented in 40.4% of cases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with the mild form being the most common in 21.3% of them. In 2018, diabetic ketoacidosis was the initial presentation in 28.8% of cases, with mild ketoacidosis being the most frequent in 13.5%.</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Clinical and biochemical phenotypes also differed between the two periods; for example, the nutritional state of patients determined by the BMI show</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a measurement of 25.3 ± 5.3 in 2013 </w:t>
      </w:r>
      <w:r>
        <w:rPr>
          <w:rFonts w:ascii="Book Antiqua" w:hAnsi="Book Antiqua" w:eastAsia="Book Antiqua" w:cs="Book Antiqua"/>
          <w:i/>
          <w:iCs/>
          <w:color w:val="000000"/>
        </w:rPr>
        <w:t>vs</w:t>
      </w:r>
      <w:r>
        <w:rPr>
          <w:rFonts w:ascii="Book Antiqua" w:hAnsi="Book Antiqua" w:eastAsia="Book Antiqua" w:cs="Book Antiqua"/>
          <w:color w:val="000000"/>
        </w:rPr>
        <w:t xml:space="preserve"> 24.4 ± 6.7 in 2018,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statistically significant </w:t>
      </w:r>
      <w:r>
        <w:rPr>
          <w:rFonts w:hint="eastAsia" w:ascii="Book Antiqua" w:hAnsi="Book Antiqua" w:eastAsia="宋体" w:cs="Book Antiqua"/>
          <w:color w:val="000000"/>
          <w:lang w:eastAsia="zh-CN"/>
        </w:rPr>
        <w:t xml:space="preserve">difference </w:t>
      </w:r>
      <w:r>
        <w:rPr>
          <w:rFonts w:ascii="Book Antiqua" w:hAnsi="Book Antiqua" w:eastAsia="Book Antiqua" w:cs="Book Antiqua"/>
          <w:color w:val="000000"/>
        </w:rPr>
        <w:t>(</w:t>
      </w:r>
      <w:r>
        <w:rPr>
          <w:rFonts w:ascii="Book Antiqua" w:hAnsi="Book Antiqua" w:eastAsia="Book Antiqua" w:cs="Book Antiqua"/>
          <w:i/>
          <w:iCs/>
          <w:color w:val="000000"/>
        </w:rPr>
        <w:t xml:space="preserve">P </w:t>
      </w:r>
      <w:r>
        <w:rPr>
          <w:rFonts w:ascii="Book Antiqua" w:hAnsi="Book Antiqua" w:eastAsia="Book Antiqua" w:cs="Book Antiqua"/>
          <w:iCs/>
          <w:color w:val="000000"/>
        </w:rPr>
        <w:t>= 0.170</w:t>
      </w:r>
      <w:r>
        <w:rPr>
          <w:rFonts w:ascii="Book Antiqua" w:hAnsi="Book Antiqua" w:eastAsia="Book Antiqua" w:cs="Book Antiqua"/>
          <w:color w:val="000000"/>
        </w:rPr>
        <w:t>). Nevertheless, on stratifying the groups according to the percentage of BMI with the Centers for Disease Control curves, a tendency to be more obese, and more morbidly obese, was observed in the 2018 group compared to the 2013 group (</w:t>
      </w:r>
      <w:r>
        <w:rPr>
          <w:rFonts w:ascii="Book Antiqua" w:hAnsi="Book Antiqua" w:eastAsia="Book Antiqua" w:cs="Book Antiqua"/>
          <w:i/>
          <w:iCs/>
          <w:color w:val="000000"/>
        </w:rPr>
        <w:t>P</w:t>
      </w:r>
      <w:r>
        <w:rPr>
          <w:rFonts w:ascii="Book Antiqua" w:hAnsi="Book Antiqua" w:eastAsia="Book Antiqua" w:cs="Book Antiqua"/>
          <w:iCs/>
          <w:color w:val="000000"/>
        </w:rPr>
        <w:t xml:space="preserve"> = 0.297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Antecedents of risk continue to be important in the manifestation of T2DM, as we can observe a greater increase in the prevalence of this illness when there </w:t>
      </w:r>
      <w:r>
        <w:rPr>
          <w:rFonts w:hint="eastAsia" w:ascii="Book Antiqua" w:hAnsi="Book Antiqua" w:eastAsia="宋体" w:cs="Book Antiqua"/>
          <w:color w:val="000000"/>
          <w:lang w:eastAsia="zh-CN"/>
        </w:rPr>
        <w:t>was</w:t>
      </w:r>
      <w:r>
        <w:rPr>
          <w:rFonts w:ascii="Book Antiqua" w:hAnsi="Book Antiqua" w:eastAsia="Book Antiqua" w:cs="Book Antiqua"/>
          <w:color w:val="000000"/>
        </w:rPr>
        <w:t xml:space="preserve"> a first- or second-degree relative with diabetes, having demonstrated an exponential increase between the 2013 and 2018 groups. Similarly, the history of obesity in first- or second-degree family members demonstrate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statistically significant differences between </w:t>
      </w:r>
      <w:r>
        <w:rPr>
          <w:rFonts w:hint="eastAsia" w:ascii="Book Antiqua" w:hAnsi="Book Antiqua" w:eastAsia="宋体" w:cs="Book Antiqua"/>
          <w:color w:val="000000"/>
          <w:lang w:eastAsia="zh-CN"/>
        </w:rPr>
        <w:t xml:space="preserve">the two </w:t>
      </w:r>
      <w:r>
        <w:rPr>
          <w:rFonts w:ascii="Book Antiqua" w:hAnsi="Book Antiqua" w:eastAsia="Book Antiqua" w:cs="Book Antiqua"/>
          <w:color w:val="000000"/>
        </w:rPr>
        <w:t>groups;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with regard to birth weight, differences were also observed since the 2018 group presented lower birth weights compared to the 2013 group (Table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Regarding SES, the 2013 group had a higher percentage of upper-lower and lower-middle SES levels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21.3% and 34%</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respectively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a </w:t>
      </w:r>
      <w:r>
        <w:rPr>
          <w:rFonts w:hint="eastAsia" w:ascii="Book Antiqua" w:hAnsi="Book Antiqua" w:eastAsia="宋体" w:cs="Book Antiqua"/>
          <w:color w:val="000000"/>
          <w:lang w:eastAsia="zh-CN"/>
        </w:rPr>
        <w:t>lower</w:t>
      </w:r>
      <w:r>
        <w:rPr>
          <w:rFonts w:ascii="Book Antiqua" w:hAnsi="Book Antiqua" w:eastAsia="Book Antiqua" w:cs="Book Antiqua"/>
          <w:color w:val="000000"/>
        </w:rPr>
        <w:t xml:space="preserve"> percentage of patients with low SES. In the 2018 group, there was a significant increase of 26.9% in subjects with low and upper-lower SES compared to 2013, with the difference being statistically significant (</w:t>
      </w:r>
      <w:r>
        <w:rPr>
          <w:rFonts w:ascii="Book Antiqua" w:hAnsi="Book Antiqua" w:eastAsia="Book Antiqua" w:cs="Book Antiqua"/>
          <w:i/>
          <w:iCs/>
          <w:color w:val="000000"/>
        </w:rPr>
        <w:t>P</w:t>
      </w:r>
      <w:r>
        <w:rPr>
          <w:rFonts w:ascii="Book Antiqua" w:hAnsi="Book Antiqua" w:eastAsia="Book Antiqua" w:cs="Book Antiqua"/>
          <w:iCs/>
          <w:color w:val="000000"/>
        </w:rPr>
        <w:t xml:space="preserve"> = 0.023)</w:t>
      </w:r>
      <w:r>
        <w:rPr>
          <w:rFonts w:ascii="Book Antiqua" w:hAnsi="Book Antiqua" w:eastAsia="Book Antiqua" w:cs="Book Antiqua"/>
          <w:color w:val="000000"/>
        </w:rPr>
        <w:t xml:space="preserve">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comorbidities associated with T2DM also differed between the two study groups: There was a higher percentage of hypertriglyceridemia, hepatic steatosis, and SAH in the 2018 group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21.2%, 75.0%, and 22.3%, respectively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a lower percentage of hypercholesterolemia in the 2018 group compared to the 2013 group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27.9% and 46.8%, respectively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(Table 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Diabetes mellitus is one of the main chronic illnesses associated with high morbidity and mortality, and its incidence is increasing alarmingly around the world even in the pediatric population since more and more cases are being reported in children and adolescents, which concurs with the studies performed by Urakami and colleagues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where the incidence of T2DM in children in Tokyo was estimated at 2.6/100000/year, or two times higher than the reported incidence of T2DM. Therefore, in a short period of time</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the prevalence of T2DM could surpass that of DM. In the United Kingdom, Candler also reported an increase in</w:t>
      </w:r>
      <w:r>
        <w:rPr>
          <w:rFonts w:hint="eastAsia" w:ascii="Book Antiqua" w:hAnsi="Book Antiqua" w:eastAsia="宋体" w:cs="Book Antiqua"/>
          <w:color w:val="000000"/>
          <w:lang w:eastAsia="zh-CN"/>
        </w:rPr>
        <w:t xml:space="preserve"> the</w:t>
      </w:r>
      <w:r>
        <w:rPr>
          <w:rFonts w:ascii="Book Antiqua" w:hAnsi="Book Antiqua" w:eastAsia="Book Antiqua" w:cs="Book Antiqua"/>
          <w:color w:val="000000"/>
        </w:rPr>
        <w:t xml:space="preserve"> incidence of T2DM between 2005 and 2015</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which tended to </w:t>
      </w:r>
      <w:r>
        <w:rPr>
          <w:rFonts w:hint="eastAsia" w:ascii="Book Antiqua" w:hAnsi="Book Antiqua" w:eastAsia="宋体" w:cs="Book Antiqua"/>
          <w:color w:val="000000"/>
          <w:lang w:eastAsia="zh-CN"/>
        </w:rPr>
        <w:t xml:space="preserve">be </w:t>
      </w:r>
      <w:r>
        <w:rPr>
          <w:rFonts w:ascii="Book Antiqua" w:hAnsi="Book Antiqua" w:eastAsia="Book Antiqua" w:cs="Book Antiqua"/>
          <w:color w:val="000000"/>
        </w:rPr>
        <w:t>statistical</w:t>
      </w:r>
      <w:r>
        <w:rPr>
          <w:rFonts w:hint="eastAsia" w:ascii="Book Antiqua" w:hAnsi="Book Antiqua" w:eastAsia="宋体" w:cs="Book Antiqua"/>
          <w:color w:val="000000"/>
          <w:lang w:eastAsia="zh-CN"/>
        </w:rPr>
        <w:t>ly</w:t>
      </w:r>
      <w:r>
        <w:rPr>
          <w:rFonts w:ascii="Book Antiqua" w:hAnsi="Book Antiqua" w:eastAsia="Book Antiqua" w:cs="Book Antiqua"/>
          <w:color w:val="000000"/>
        </w:rPr>
        <w:t xml:space="preserve"> significan</w:t>
      </w:r>
      <w:r>
        <w:rPr>
          <w:rFonts w:hint="eastAsia" w:ascii="Book Antiqua" w:hAnsi="Book Antiqua" w:eastAsia="宋体" w:cs="Book Antiqua"/>
          <w:color w:val="000000"/>
          <w:lang w:eastAsia="zh-CN"/>
        </w:rPr>
        <w:t>t</w:t>
      </w:r>
      <w:r>
        <w:rPr>
          <w:rFonts w:ascii="Book Antiqua" w:hAnsi="Book Antiqua" w:eastAsia="Book Antiqua" w:cs="Book Antiqua"/>
          <w:color w:val="000000"/>
        </w:rPr>
        <w:t xml:space="preserve"> with higher incidence among girls and among boys of the ethnic group belonging to South Asia</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present study, changes to the phenotypes were found since the tendency for the BMI to be higher was observed in the 2018 group, as well as more IR and less pancreatic reserve. In the TODAY study, Zeitler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[13,14]</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described a more aggressive T2DM phenotype in the pediatric population, which predisposes to earlier dependency on insulin and a presentation of chronic complications in a shorter term</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Primary contact physicians in their daily practice should consider that T2DM can </w:t>
      </w:r>
      <w:r>
        <w:rPr>
          <w:rFonts w:hint="eastAsia" w:ascii="Book Antiqua" w:hAnsi="Book Antiqua" w:eastAsia="宋体" w:cs="Book Antiqua"/>
          <w:color w:val="000000"/>
          <w:lang w:eastAsia="zh-CN"/>
        </w:rPr>
        <w:t xml:space="preserve">be </w:t>
      </w:r>
      <w:r>
        <w:rPr>
          <w:rFonts w:ascii="Book Antiqua" w:hAnsi="Book Antiqua" w:eastAsia="Book Antiqua" w:cs="Book Antiqua"/>
          <w:color w:val="000000"/>
        </w:rPr>
        <w:t xml:space="preserve">present in children, and that it is related to the presence of overweight/obesity. Therefore, early screening is important in these types of patients who also present with a phenotype of </w:t>
      </w:r>
      <w:r>
        <w:rPr>
          <w:rFonts w:hint="eastAsia" w:ascii="Book Antiqua" w:hAnsi="Book Antiqua" w:eastAsia="宋体" w:cs="Book Antiqua"/>
          <w:color w:val="000000"/>
          <w:lang w:eastAsia="zh-CN"/>
        </w:rPr>
        <w:t>IR</w:t>
      </w:r>
      <w:r>
        <w:rPr>
          <w:rFonts w:ascii="Book Antiqua" w:hAnsi="Book Antiqua" w:eastAsia="Book Antiqua" w:cs="Book Antiqua"/>
          <w:color w:val="000000"/>
        </w:rPr>
        <w:t>, low birth weight, and a family history of diabetes.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way in which T2DM first appears is variable; however, in 2013 more than 40% of cases presented with diabetic ketoacidosis, which was higher than the 22%-30% reported by Copeland and Dabela</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In the present study, in first- and second-degree relatives the history of diabetes was reported in 75.9%, and obesity in 80.7%, which was higher than that reported by other studies where only 40% of family members were affected. The antecedent of gestational diabetes was higher in the 2013 group, and this </w:t>
      </w:r>
      <w:r>
        <w:rPr>
          <w:rFonts w:hint="eastAsia" w:ascii="Book Antiqua" w:hAnsi="Book Antiqua" w:eastAsia="宋体" w:cs="Book Antiqua"/>
          <w:color w:val="000000"/>
          <w:lang w:eastAsia="zh-CN"/>
        </w:rPr>
        <w:t>decreased</w:t>
      </w:r>
      <w:r>
        <w:rPr>
          <w:rFonts w:ascii="Book Antiqua" w:hAnsi="Book Antiqua" w:eastAsia="Book Antiqua" w:cs="Book Antiqua"/>
          <w:color w:val="000000"/>
        </w:rPr>
        <w:t xml:space="preserve"> to half in the 2018 group, which likely</w:t>
      </w:r>
      <w:r>
        <w:rPr>
          <w:rFonts w:hint="eastAsia" w:ascii="Book Antiqua" w:hAnsi="Book Antiqua" w:eastAsia="宋体" w:cs="Book Antiqua"/>
          <w:color w:val="000000"/>
          <w:lang w:eastAsia="zh-CN"/>
        </w:rPr>
        <w:t xml:space="preserve"> suggests</w:t>
      </w:r>
      <w:r>
        <w:rPr>
          <w:rFonts w:ascii="Book Antiqua" w:hAnsi="Book Antiqua" w:eastAsia="Book Antiqua" w:cs="Book Antiqua"/>
          <w:color w:val="000000"/>
        </w:rPr>
        <w:t xml:space="preserve"> better prenatal programs. Therefore, genetic, perinatal, environmental, dietary, and psychosocial factors play a role in the etiology of T2DM</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analysis of the results, there is a demonstrated relationship between SES and an increase in the prevalence of T2DM, </w:t>
      </w:r>
      <w:r>
        <w:rPr>
          <w:rFonts w:hint="eastAsia" w:ascii="Book Antiqua" w:hAnsi="Book Antiqua" w:eastAsia="宋体" w:cs="Book Antiqua"/>
          <w:color w:val="000000"/>
          <w:lang w:eastAsia="zh-CN"/>
        </w:rPr>
        <w:t>with</w:t>
      </w:r>
      <w:r>
        <w:rPr>
          <w:rFonts w:ascii="Book Antiqua" w:hAnsi="Book Antiqua" w:eastAsia="Book Antiqua" w:cs="Book Antiqua"/>
          <w:color w:val="000000"/>
        </w:rPr>
        <w:t xml:space="preserve"> a significant increase in this disease</w:t>
      </w:r>
      <w:r>
        <w:rPr>
          <w:rFonts w:hint="eastAsia" w:ascii="Book Antiqua" w:hAnsi="Book Antiqua" w:eastAsia="宋体" w:cs="Book Antiqua"/>
          <w:color w:val="000000"/>
          <w:lang w:eastAsia="zh-CN"/>
        </w:rPr>
        <w:t xml:space="preserve"> observed</w:t>
      </w:r>
      <w:r>
        <w:rPr>
          <w:rFonts w:ascii="Book Antiqua" w:hAnsi="Book Antiqua" w:eastAsia="Book Antiqua" w:cs="Book Antiqua"/>
          <w:color w:val="000000"/>
        </w:rPr>
        <w:t xml:space="preserve"> in patients belonging to the lower and upper-lower classes</w:t>
      </w:r>
      <w:r>
        <w:rPr>
          <w:rFonts w:hint="eastAsia" w:ascii="Book Antiqua" w:hAnsi="Book Antiqua" w:eastAsia="宋体" w:cs="Book Antiqua"/>
          <w:color w:val="000000"/>
          <w:lang w:eastAsia="zh-CN"/>
        </w:rPr>
        <w:t>. This is consistent with</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the finding</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Agardh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hint="eastAsia" w:ascii="Book Antiqua" w:hAnsi="Book Antiqua" w:eastAsia="宋体" w:cs="Book Antiqua"/>
          <w:i/>
          <w:iCs/>
          <w:color w:val="000000"/>
          <w:lang w:eastAsia="zh-CN"/>
        </w:rPr>
        <w:t xml:space="preserve"> </w:t>
      </w:r>
      <w:r>
        <w:rPr>
          <w:rFonts w:ascii="Book Antiqua" w:hAnsi="Book Antiqua" w:eastAsia="宋体" w:cs="Book Antiqua"/>
          <w:i w:val="0"/>
          <w:iCs w:val="0"/>
          <w:color w:val="000000"/>
          <w:lang w:eastAsia="zh-CN"/>
        </w:rPr>
        <w:t>that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there was</w:t>
      </w:r>
      <w:r>
        <w:rPr>
          <w:rFonts w:ascii="Book Antiqua" w:hAnsi="Book Antiqua" w:eastAsia="Book Antiqua" w:cs="Book Antiqua"/>
          <w:color w:val="000000"/>
        </w:rPr>
        <w:t xml:space="preserve"> an increase in the incidence of the disease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individuals with a low and medium-low SES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relative risk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1.41, 95%</w:t>
      </w:r>
      <w:r>
        <w:rPr>
          <w:rFonts w:hint="eastAsia" w:ascii="Book Antiqua" w:hAnsi="Book Antiqua" w:eastAsia="宋体" w:cs="Book Antiqua"/>
          <w:color w:val="000000"/>
          <w:lang w:eastAsia="zh-CN"/>
        </w:rPr>
        <w:t>confidence interval:</w:t>
      </w:r>
      <w:r>
        <w:rPr>
          <w:rFonts w:ascii="Book Antiqua" w:hAnsi="Book Antiqua" w:eastAsia="Book Antiqua" w:cs="Book Antiqua"/>
          <w:color w:val="000000"/>
        </w:rPr>
        <w:t xml:space="preserve"> 1.28-1.51). Type 2 diabetes is a disease that is directly influenced by social and economic conditions that include risk behaviors, type of diet, physical activity, smoking, alcoholism, and high levels of stress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There are several studies where the disease is concentrated in areas of greater poverty and in people with a low level of income as well as a low level of education. This association may be due to health care, disease prevention, health promotion measures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willingness to seek treatment, lack of access to health services, and unhealthy lifestyles that these people have, leading to a greater concentration of T2DM in marginalized groups that experience socio-economic and educational deprivation that leads to higher mortality</w:t>
      </w:r>
      <w:r>
        <w:rPr>
          <w:rFonts w:ascii="Book Antiqua" w:hAnsi="Book Antiqua" w:eastAsia="Book Antiqua" w:cs="Book Antiqua"/>
          <w:color w:val="000000"/>
          <w:vertAlign w:val="superscript"/>
        </w:rPr>
        <w:t>[21,22]</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LIMITATIONS AND STRENGTHS</w:t>
      </w:r>
    </w:p>
    <w:p>
      <w:pPr>
        <w:spacing w:line="360" w:lineRule="auto"/>
        <w:jc w:val="both"/>
        <w:rPr>
          <w:rFonts w:ascii="Book Antiqua" w:hAnsi="Book Antiqua"/>
        </w:rPr>
      </w:pPr>
      <w:r>
        <w:rPr>
          <w:rFonts w:ascii="Book Antiqua" w:hAnsi="Book Antiqua" w:eastAsia="Book Antiqua" w:cs="Book Antiqua"/>
          <w:color w:val="000000"/>
        </w:rPr>
        <w:t>One of the main limitations of the study is its design, which, due to its cross-sectional nature, can imply association but not causation. As such, the study design does not allow for a specific explanation as to how some variables may affect the prevalence of diabetes in the pediatric population. Also, the determination of pancreatic antibodies could not be performed in all patients, which could be a parameter to try to exclude patients with type 1 diabetes; although it is worth mentioning that a percentage between 20%-30% of patients with T2DM have positive pancreatic antibodies</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 size of the sample is another limitation, since it is unicentric and may not fully reflect the reality that is experienced in Mexico as a whole. Nevertheless, since the institution is a national reference center for tertiary level health care, a significant number of patients with this pathology could be obtained compared to other medical centers.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hint="eastAsia" w:ascii="Book Antiqua" w:hAnsi="Book Antiqua" w:eastAsia="宋体" w:cs="Book Antiqua"/>
          <w:color w:val="000000"/>
          <w:lang w:eastAsia="zh-CN"/>
        </w:rPr>
        <w:t>T2DM</w:t>
      </w:r>
      <w:r>
        <w:rPr>
          <w:rFonts w:ascii="Book Antiqua" w:hAnsi="Book Antiqua" w:eastAsia="Book Antiqua" w:cs="Book Antiqua"/>
          <w:color w:val="000000"/>
        </w:rPr>
        <w:t xml:space="preserve"> continues to be a public health problem in Mexico and the world, and its prevalence has augmented alarmingly in recent years. At the “</w:t>
      </w:r>
      <w:r>
        <w:rPr>
          <w:rFonts w:ascii="Book Antiqua" w:hAnsi="Book Antiqua" w:eastAsia="Book Antiqua" w:cs="Book Antiqua"/>
          <w:i/>
          <w:iCs/>
          <w:color w:val="000000"/>
        </w:rPr>
        <w:t>Hospital Infantil de México Federico Gómez”</w:t>
      </w:r>
      <w:r>
        <w:rPr>
          <w:rFonts w:ascii="Book Antiqua" w:hAnsi="Book Antiqua" w:eastAsia="Book Antiqua" w:cs="Book Antiqua"/>
          <w:color w:val="000000"/>
        </w:rPr>
        <w:t xml:space="preserve"> Children’s Hospital, the rates of T2DM increased significantly from 2013 to 2018, having an early onset in children and adolescents, as well as a more aggressive phenotype;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other words, patients tended to be more obese and have more lipid alterations, which can lead to worse metabolic control, greater chronic complications, and significantly higher risk of death due to cardiovascular causes or ischemic events. Therefore, T2DM in the pediatric population definitely presents with a more aggressive phenotype and worse prognosis over the long term. Hence, the results of the present study demonstrate the need for vigilance regarding the trend of T2DM, and the need to strengthen programs of healthy nutrition and physical activity along with early detection in confronting risk factors like obesity, IR, and metabolic syndrome, with the ultimate aim of preventing T2DM.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This study is part of a line of research at the Federico Gómez Children's Hospital of Mexico on the behavior of type 2 diabetes in the child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Because Mexico is a country with a high prevalence of diabetes and obesity, which unfortunately extends to the pediatric population</w:t>
      </w:r>
      <w:r>
        <w:rPr>
          <w:rFonts w:hint="eastAsia" w:ascii="Book Antiqua" w:hAnsi="Book Antiqua" w:eastAsia="宋体" w:cs="Book Antiqua"/>
          <w:color w:val="000000"/>
          <w:lang w:eastAsia="zh-CN"/>
        </w:rPr>
        <w:t>, k</w:t>
      </w:r>
      <w:r>
        <w:rPr>
          <w:rFonts w:ascii="Book Antiqua" w:hAnsi="Book Antiqua" w:eastAsia="Book Antiqua" w:cs="Book Antiqua"/>
          <w:color w:val="000000"/>
        </w:rPr>
        <w:t>nowing the behavior of this disease in this specific age group will allow determining actions in clinical practice as well as in health policies.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show the prevalence of type 2 diabetes in children and adolescents in two different time periods, as well as its clinical and biochemical characteri</w:t>
      </w:r>
      <w:r>
        <w:rPr>
          <w:rFonts w:hint="eastAsia" w:ascii="Book Antiqua" w:hAnsi="Book Antiqua" w:eastAsia="宋体" w:cs="Book Antiqua"/>
          <w:color w:val="000000"/>
          <w:lang w:eastAsia="zh-CN"/>
        </w:rPr>
        <w:t>stics</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hint="eastAsia" w:ascii="Book Antiqua" w:hAnsi="Book Antiqua" w:eastAsia="宋体" w:cs="Book Antiqua"/>
          <w:color w:val="000000"/>
          <w:lang w:eastAsia="zh-CN"/>
        </w:rPr>
        <w:t>This is a</w:t>
      </w:r>
      <w:r>
        <w:rPr>
          <w:rFonts w:ascii="Book Antiqua" w:hAnsi="Book Antiqua" w:eastAsia="Book Antiqua" w:cs="Book Antiqua"/>
          <w:color w:val="000000"/>
        </w:rPr>
        <w:t xml:space="preserve"> cross-sectional study of children and adolescents from the Diabetes Clinic at the Children’s Hospital, </w:t>
      </w:r>
      <w:r>
        <w:rPr>
          <w:rFonts w:ascii="Book Antiqua" w:hAnsi="Book Antiqua" w:eastAsia="Book Antiqua" w:cs="Book Antiqua"/>
          <w:i/>
          <w:iCs/>
          <w:color w:val="000000"/>
        </w:rPr>
        <w:t>Hospital Infantil de México Federico Gómez,</w:t>
      </w:r>
      <w:r>
        <w:rPr>
          <w:rFonts w:ascii="Book Antiqua" w:hAnsi="Book Antiqua" w:eastAsia="Book Antiqua" w:cs="Book Antiqua"/>
          <w:color w:val="000000"/>
        </w:rPr>
        <w:t xml:space="preserve"> that compare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two periods in the time.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An increase in the prevalence </w:t>
      </w:r>
      <w:r>
        <w:rPr>
          <w:rFonts w:hint="eastAsia" w:ascii="Book Antiqua" w:hAnsi="Book Antiqua" w:eastAsia="宋体" w:cs="Book Antiqua"/>
          <w:color w:val="000000"/>
          <w:lang w:eastAsia="zh-CN"/>
        </w:rPr>
        <w:t>was</w:t>
      </w:r>
      <w:r>
        <w:rPr>
          <w:rFonts w:ascii="Book Antiqua" w:hAnsi="Book Antiqua" w:eastAsia="Book Antiqua" w:cs="Book Antiqua"/>
          <w:color w:val="000000"/>
        </w:rPr>
        <w:t xml:space="preserve"> observed, as well as a much more aggressive phenotype, which could lead to chronic complications in a shorter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rates of type 2 diabetes mellitus (T2DM) increased significantly from 2013 to 2018, having an early onset in children and adolescents, as well as a more aggressive phenotype;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other words, patients tended to be more obese and have more lipid alterations, which can lead to worse metabolic control, greater chronic complications, and significantly higher risk of death due to cardiovascular causes or ischemic events. Therefore, T2DM in the pediatric population definitely presents with a more aggressive phenotype and worse prognosis over the long term.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hint="eastAsia" w:ascii="Book Antiqua" w:hAnsi="Book Antiqua" w:eastAsia="宋体" w:cs="Book Antiqua"/>
          <w:color w:val="000000"/>
          <w:lang w:eastAsia="zh-CN"/>
        </w:rPr>
        <w:t>We will c</w:t>
      </w:r>
      <w:r>
        <w:rPr>
          <w:rFonts w:ascii="Book Antiqua" w:hAnsi="Book Antiqua" w:eastAsia="Book Antiqua" w:cs="Book Antiqua"/>
          <w:color w:val="000000"/>
        </w:rPr>
        <w:t>ontinue with the follow-up of these patients to determine the behavior of the disease and have communication with the first and second level care centers to refer the patients in a timely manner.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Thanks to the Hospital Infantil de México Federico Gómez and La Salle University for carrying out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American Diabetes Association</w:t>
      </w:r>
      <w:r>
        <w:rPr>
          <w:rFonts w:ascii="Book Antiqua" w:hAnsi="Book Antiqua"/>
        </w:rPr>
        <w:t xml:space="preserve">. 2. Classification and Diagnosis of Diabetes: Standards of Medical Care in Diabetes-2019. </w:t>
      </w:r>
      <w:r>
        <w:rPr>
          <w:rFonts w:ascii="Book Antiqua" w:hAnsi="Book Antiqua"/>
          <w:i/>
          <w:iCs/>
        </w:rPr>
        <w:t>Diabetes Care</w:t>
      </w:r>
      <w:r>
        <w:rPr>
          <w:rFonts w:ascii="Book Antiqua" w:hAnsi="Book Antiqua"/>
        </w:rPr>
        <w:t xml:space="preserve"> 2019; </w:t>
      </w:r>
      <w:r>
        <w:rPr>
          <w:rFonts w:ascii="Book Antiqua" w:hAnsi="Book Antiqua"/>
          <w:b/>
          <w:bCs/>
        </w:rPr>
        <w:t>42</w:t>
      </w:r>
      <w:r>
        <w:rPr>
          <w:rFonts w:ascii="Book Antiqua" w:hAnsi="Book Antiqua"/>
        </w:rPr>
        <w:t>: S13-S28 [PMID: 30559228 DOI: 10.2337/dc19-S002]</w:t>
      </w:r>
    </w:p>
    <w:p>
      <w:pPr>
        <w:spacing w:line="360" w:lineRule="auto"/>
        <w:jc w:val="both"/>
        <w:rPr>
          <w:rFonts w:ascii="Book Antiqua" w:hAnsi="Book Antiqua"/>
        </w:rPr>
      </w:pPr>
      <w:r>
        <w:rPr>
          <w:rFonts w:ascii="Book Antiqua" w:hAnsi="Book Antiqua"/>
        </w:rPr>
        <w:t xml:space="preserve">2 </w:t>
      </w:r>
      <w:r>
        <w:rPr>
          <w:rFonts w:ascii="Book Antiqua" w:hAnsi="Book Antiqua"/>
          <w:b/>
          <w:bCs/>
        </w:rPr>
        <w:t>Mayer-Davis EJ</w:t>
      </w:r>
      <w:r>
        <w:rPr>
          <w:rFonts w:ascii="Book Antiqua" w:hAnsi="Book Antiqua"/>
        </w:rPr>
        <w:t xml:space="preserve">, Kahkoska AR, Jefferies C, Dabelea D, Balde N, Gong CX, Aschner P, Craig ME. ISPAD Clinical Practice Consensus Guidelines 2018: Definition, epidemiology, and classification of diabetes in children and adolescents.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7-19 [PMID: 30226024 DOI: 10.1111/pedi.12773]</w:t>
      </w:r>
    </w:p>
    <w:p>
      <w:pPr>
        <w:spacing w:line="360" w:lineRule="auto"/>
        <w:jc w:val="both"/>
        <w:rPr>
          <w:rFonts w:ascii="Book Antiqua" w:hAnsi="Book Antiqua"/>
        </w:rPr>
      </w:pPr>
      <w:r>
        <w:rPr>
          <w:rFonts w:ascii="Book Antiqua" w:hAnsi="Book Antiqua"/>
        </w:rPr>
        <w:t>3</w:t>
      </w:r>
      <w:r>
        <w:rPr>
          <w:rFonts w:ascii="Book Antiqua" w:hAnsi="Book Antiqua"/>
          <w:b/>
        </w:rPr>
        <w:t xml:space="preserve"> American Diabetes Association.</w:t>
      </w:r>
      <w:r>
        <w:rPr>
          <w:rFonts w:ascii="Book Antiqua" w:hAnsi="Book Antiqua"/>
        </w:rPr>
        <w:t xml:space="preserve"> Standards of medical care in diabetes-2019. </w:t>
      </w:r>
      <w:r>
        <w:rPr>
          <w:rFonts w:ascii="Book Antiqua" w:hAnsi="Book Antiqua"/>
          <w:i/>
        </w:rPr>
        <w:t>Diabetes Care</w:t>
      </w:r>
      <w:r>
        <w:rPr>
          <w:rFonts w:ascii="Book Antiqua" w:hAnsi="Book Antiqua"/>
        </w:rPr>
        <w:t xml:space="preserve"> 2019; </w:t>
      </w:r>
      <w:r>
        <w:rPr>
          <w:rFonts w:ascii="Book Antiqua" w:hAnsi="Book Antiqua"/>
          <w:b/>
        </w:rPr>
        <w:t>42:</w:t>
      </w:r>
      <w:r>
        <w:rPr>
          <w:rFonts w:ascii="Book Antiqua" w:hAnsi="Book Antiqua"/>
        </w:rPr>
        <w:t xml:space="preserve"> S3-S3 [DOI: 10.2337/dc19-SppC01]</w:t>
      </w:r>
    </w:p>
    <w:p>
      <w:pPr>
        <w:spacing w:line="360" w:lineRule="auto"/>
        <w:jc w:val="both"/>
        <w:rPr>
          <w:rFonts w:ascii="Book Antiqua" w:hAnsi="Book Antiqua"/>
        </w:rPr>
      </w:pPr>
      <w:r>
        <w:rPr>
          <w:rFonts w:ascii="Book Antiqua" w:hAnsi="Book Antiqua"/>
        </w:rPr>
        <w:t xml:space="preserve">4 </w:t>
      </w:r>
      <w:r>
        <w:rPr>
          <w:rFonts w:ascii="Book Antiqua" w:hAnsi="Book Antiqua"/>
          <w:b/>
          <w:bCs/>
        </w:rPr>
        <w:t>DeFronzo RA</w:t>
      </w:r>
      <w:r>
        <w:rPr>
          <w:rFonts w:ascii="Book Antiqua" w:hAnsi="Book Antiqua"/>
        </w:rPr>
        <w:t xml:space="preserve">, Eldor R, Abdul-Ghani M. Pathophysiologic approach to therapy in patients with newly diagnosed type 2 diabetes. </w:t>
      </w:r>
      <w:r>
        <w:rPr>
          <w:rFonts w:ascii="Book Antiqua" w:hAnsi="Book Antiqua"/>
          <w:i/>
          <w:iCs/>
        </w:rPr>
        <w:t>Diabetes Care</w:t>
      </w:r>
      <w:r>
        <w:rPr>
          <w:rFonts w:ascii="Book Antiqua" w:hAnsi="Book Antiqua"/>
        </w:rPr>
        <w:t xml:space="preserve"> 2013; </w:t>
      </w:r>
      <w:r>
        <w:rPr>
          <w:rFonts w:ascii="Book Antiqua" w:hAnsi="Book Antiqua"/>
          <w:b/>
          <w:bCs/>
        </w:rPr>
        <w:t>36 Suppl 2</w:t>
      </w:r>
      <w:r>
        <w:rPr>
          <w:rFonts w:ascii="Book Antiqua" w:hAnsi="Book Antiqua"/>
        </w:rPr>
        <w:t>: S127-S138 [PMID: 23882037 DOI: 10.2337/dcS13-2011]</w:t>
      </w:r>
    </w:p>
    <w:p>
      <w:pPr>
        <w:spacing w:line="360" w:lineRule="auto"/>
        <w:jc w:val="both"/>
        <w:rPr>
          <w:rFonts w:ascii="Book Antiqua" w:hAnsi="Book Antiqua"/>
        </w:rPr>
      </w:pPr>
      <w:r>
        <w:rPr>
          <w:rFonts w:ascii="Book Antiqua" w:hAnsi="Book Antiqua"/>
        </w:rPr>
        <w:t xml:space="preserve">5 </w:t>
      </w:r>
      <w:r>
        <w:rPr>
          <w:rFonts w:ascii="Book Antiqua" w:hAnsi="Book Antiqua"/>
          <w:b/>
          <w:bCs/>
        </w:rPr>
        <w:t>Nadeau KJ</w:t>
      </w:r>
      <w:r>
        <w:rPr>
          <w:rFonts w:ascii="Book Antiqua" w:hAnsi="Book Antiqua"/>
        </w:rPr>
        <w:t xml:space="preserve">, Anderson BJ, Berg EG, Chiang JL, Chou H, Copeland KC, Hannon TS, Huang TT, Lynch JL, Powell J, Sellers E, Tamborlane WV, Zeitler P. Youth-Onset Type 2 Diabetes Consensus Report: Current Status, Challenges, and Priorities. </w:t>
      </w:r>
      <w:r>
        <w:rPr>
          <w:rFonts w:ascii="Book Antiqua" w:hAnsi="Book Antiqua"/>
          <w:i/>
          <w:iCs/>
        </w:rPr>
        <w:t>Diabetes Care</w:t>
      </w:r>
      <w:r>
        <w:rPr>
          <w:rFonts w:ascii="Book Antiqua" w:hAnsi="Book Antiqua"/>
        </w:rPr>
        <w:t xml:space="preserve"> 2016; </w:t>
      </w:r>
      <w:r>
        <w:rPr>
          <w:rFonts w:ascii="Book Antiqua" w:hAnsi="Book Antiqua"/>
          <w:b/>
          <w:bCs/>
        </w:rPr>
        <w:t>39</w:t>
      </w:r>
      <w:r>
        <w:rPr>
          <w:rFonts w:ascii="Book Antiqua" w:hAnsi="Book Antiqua"/>
        </w:rPr>
        <w:t>: 1635-1642 [PMID: 27486237 DOI: 10.2337/dc16-1066]</w:t>
      </w:r>
    </w:p>
    <w:p>
      <w:pPr>
        <w:spacing w:line="360" w:lineRule="auto"/>
        <w:jc w:val="both"/>
        <w:rPr>
          <w:rFonts w:ascii="Book Antiqua" w:hAnsi="Book Antiqua"/>
        </w:rPr>
      </w:pPr>
      <w:r>
        <w:rPr>
          <w:rFonts w:ascii="Book Antiqua" w:hAnsi="Book Antiqua"/>
        </w:rPr>
        <w:t xml:space="preserve">6 </w:t>
      </w:r>
      <w:r>
        <w:rPr>
          <w:rFonts w:ascii="Book Antiqua" w:hAnsi="Book Antiqua"/>
          <w:b/>
          <w:bCs/>
        </w:rPr>
        <w:t>Song SH</w:t>
      </w:r>
      <w:r>
        <w:rPr>
          <w:rFonts w:ascii="Book Antiqua" w:hAnsi="Book Antiqua"/>
        </w:rPr>
        <w:t xml:space="preserve">, Hardisty CA. Early-onset Type 2 diabetes mellitus: an increasing phenomenon of elevated cardiovascular risk. </w:t>
      </w:r>
      <w:r>
        <w:rPr>
          <w:rFonts w:ascii="Book Antiqua" w:hAnsi="Book Antiqua"/>
          <w:i/>
          <w:iCs/>
        </w:rPr>
        <w:t>Expert Rev Cardiovasc Ther</w:t>
      </w:r>
      <w:r>
        <w:rPr>
          <w:rFonts w:ascii="Book Antiqua" w:hAnsi="Book Antiqua"/>
        </w:rPr>
        <w:t xml:space="preserve"> 2008; </w:t>
      </w:r>
      <w:r>
        <w:rPr>
          <w:rFonts w:ascii="Book Antiqua" w:hAnsi="Book Antiqua"/>
          <w:b/>
          <w:bCs/>
        </w:rPr>
        <w:t>6</w:t>
      </w:r>
      <w:r>
        <w:rPr>
          <w:rFonts w:ascii="Book Antiqua" w:hAnsi="Book Antiqua"/>
        </w:rPr>
        <w:t>: 315-322 [PMID: 18327993 DOI: 10.1586/14779072.6.3.315]</w:t>
      </w:r>
    </w:p>
    <w:p>
      <w:pPr>
        <w:spacing w:line="360" w:lineRule="auto"/>
        <w:jc w:val="both"/>
        <w:rPr>
          <w:rFonts w:ascii="Book Antiqua" w:hAnsi="Book Antiqua"/>
        </w:rPr>
      </w:pPr>
      <w:r>
        <w:rPr>
          <w:rFonts w:ascii="Book Antiqua" w:hAnsi="Book Antiqua"/>
        </w:rPr>
        <w:t xml:space="preserve">7 </w:t>
      </w:r>
      <w:r>
        <w:rPr>
          <w:rFonts w:ascii="Book Antiqua" w:hAnsi="Book Antiqua"/>
          <w:b/>
          <w:bCs/>
        </w:rPr>
        <w:t>Dabelea D</w:t>
      </w:r>
      <w:r>
        <w:rPr>
          <w:rFonts w:ascii="Book Antiqua" w:hAnsi="Book Antiqua"/>
        </w:rPr>
        <w:t xml:space="preserve">, Rewers A, Stafford JM, Standiford DA, Lawrence JM, Saydah S, Imperatore G, D'Agostino RB Jr, Mayer-Davis EJ, Pihoker C; SEARCH for Diabetes in Youth Study Group. Trends in the prevalence of ketoacidosis at diabetes diagnosis: the SEARCH for diabetes in youth study. </w:t>
      </w:r>
      <w:r>
        <w:rPr>
          <w:rFonts w:ascii="Book Antiqua" w:hAnsi="Book Antiqua"/>
          <w:i/>
          <w:iCs/>
        </w:rPr>
        <w:t>Pediatrics</w:t>
      </w:r>
      <w:r>
        <w:rPr>
          <w:rFonts w:ascii="Book Antiqua" w:hAnsi="Book Antiqua"/>
        </w:rPr>
        <w:t xml:space="preserve"> 2014; </w:t>
      </w:r>
      <w:r>
        <w:rPr>
          <w:rFonts w:ascii="Book Antiqua" w:hAnsi="Book Antiqua"/>
          <w:b/>
          <w:bCs/>
        </w:rPr>
        <w:t>133</w:t>
      </w:r>
      <w:r>
        <w:rPr>
          <w:rFonts w:ascii="Book Antiqua" w:hAnsi="Book Antiqua"/>
        </w:rPr>
        <w:t>: e938-e945 [PMID: 24685959 DOI: 10.1542/peds.2013-2795]</w:t>
      </w:r>
    </w:p>
    <w:p>
      <w:pPr>
        <w:spacing w:line="360" w:lineRule="auto"/>
        <w:jc w:val="both"/>
        <w:rPr>
          <w:rFonts w:ascii="Book Antiqua" w:hAnsi="Book Antiqua"/>
          <w:lang w:val="es-MX"/>
        </w:rPr>
      </w:pPr>
      <w:r>
        <w:rPr>
          <w:rFonts w:ascii="Book Antiqua" w:hAnsi="Book Antiqua"/>
        </w:rPr>
        <w:t xml:space="preserve">8 </w:t>
      </w:r>
      <w:r>
        <w:rPr>
          <w:rFonts w:ascii="Book Antiqua" w:hAnsi="Book Antiqua"/>
          <w:b/>
          <w:bCs/>
        </w:rPr>
        <w:t>Lascar N</w:t>
      </w:r>
      <w:r>
        <w:rPr>
          <w:rFonts w:ascii="Book Antiqua" w:hAnsi="Book Antiqua"/>
        </w:rPr>
        <w:t xml:space="preserve">, Brown J, Pattison H, Barnett AH, Bailey CJ, Bellary S. Type 2 diabetes in adolescents and young adults. </w:t>
      </w:r>
      <w:r>
        <w:rPr>
          <w:rFonts w:ascii="Book Antiqua" w:hAnsi="Book Antiqua"/>
          <w:i/>
          <w:iCs/>
          <w:lang w:val="es-MX"/>
        </w:rPr>
        <w:t>Lancet Diabetes Endocrinol</w:t>
      </w:r>
      <w:r>
        <w:rPr>
          <w:rFonts w:ascii="Book Antiqua" w:hAnsi="Book Antiqua"/>
          <w:lang w:val="es-MX"/>
        </w:rPr>
        <w:t xml:space="preserve"> 2018; </w:t>
      </w:r>
      <w:r>
        <w:rPr>
          <w:rFonts w:ascii="Book Antiqua" w:hAnsi="Book Antiqua"/>
          <w:b/>
          <w:bCs/>
          <w:lang w:val="es-MX"/>
        </w:rPr>
        <w:t>6</w:t>
      </w:r>
      <w:r>
        <w:rPr>
          <w:rFonts w:ascii="Book Antiqua" w:hAnsi="Book Antiqua"/>
          <w:lang w:val="es-MX"/>
        </w:rPr>
        <w:t>: 69-80 [PMID: 28847479 DOI: 10.1016/S2213-8587(17)30186-9]</w:t>
      </w:r>
    </w:p>
    <w:p>
      <w:pPr>
        <w:spacing w:line="360" w:lineRule="auto"/>
        <w:jc w:val="both"/>
        <w:rPr>
          <w:rFonts w:ascii="Book Antiqua" w:hAnsi="Book Antiqua"/>
          <w:lang w:val="es-MX"/>
        </w:rPr>
      </w:pPr>
      <w:r>
        <w:rPr>
          <w:rFonts w:ascii="Book Antiqua" w:hAnsi="Book Antiqua"/>
          <w:lang w:val="es-MX"/>
        </w:rPr>
        <w:t>9</w:t>
      </w:r>
      <w:r>
        <w:rPr>
          <w:rFonts w:ascii="Book Antiqua" w:hAnsi="Book Antiqua"/>
          <w:b/>
          <w:lang w:val="es-MX"/>
        </w:rPr>
        <w:t xml:space="preserve"> Instituto Nacional de Salud Pública. </w:t>
      </w:r>
      <w:r>
        <w:rPr>
          <w:rFonts w:ascii="Book Antiqua" w:hAnsi="Book Antiqua"/>
          <w:lang w:val="es-MX"/>
        </w:rPr>
        <w:t>Encuesta Nacional de Salud y Nutrición 2018-2019. Resultados Nacionales. Instituto Nacional de Salud Pública. Available from: https://ensanut.insp.mx/encuestas/ensanut2018/doctos/informes/ensanut_2018_informe_final.pdf</w:t>
      </w:r>
    </w:p>
    <w:p>
      <w:pPr>
        <w:spacing w:line="360" w:lineRule="auto"/>
        <w:jc w:val="both"/>
        <w:rPr>
          <w:rFonts w:ascii="Book Antiqua" w:hAnsi="Book Antiqua"/>
        </w:rPr>
      </w:pPr>
      <w:r>
        <w:rPr>
          <w:rFonts w:ascii="Book Antiqua" w:hAnsi="Book Antiqua"/>
        </w:rPr>
        <w:t xml:space="preserve">10 </w:t>
      </w:r>
      <w:r>
        <w:rPr>
          <w:rFonts w:ascii="Book Antiqua" w:hAnsi="Book Antiqua"/>
          <w:bCs/>
        </w:rPr>
        <w:t>Mexican Association of Market Research and Public Opinion Agency,</w:t>
      </w:r>
      <w:r>
        <w:rPr>
          <w:rFonts w:ascii="Book Antiqua" w:hAnsi="Book Antiqua"/>
        </w:rPr>
        <w:t xml:space="preserve"> A.C. AMAI-NSE8X7 Model. AMAI 2014. Available from: http://www.amai.org</w:t>
      </w:r>
    </w:p>
    <w:p>
      <w:pPr>
        <w:spacing w:line="360" w:lineRule="auto"/>
        <w:jc w:val="both"/>
        <w:rPr>
          <w:rFonts w:ascii="Book Antiqua" w:hAnsi="Book Antiqua"/>
        </w:rPr>
      </w:pPr>
      <w:r>
        <w:rPr>
          <w:rFonts w:ascii="Book Antiqua" w:hAnsi="Book Antiqua"/>
        </w:rPr>
        <w:t xml:space="preserve">11 </w:t>
      </w:r>
      <w:r>
        <w:rPr>
          <w:rFonts w:ascii="Book Antiqua" w:hAnsi="Book Antiqua"/>
          <w:b/>
          <w:bCs/>
        </w:rPr>
        <w:t>Urakami T</w:t>
      </w:r>
      <w:r>
        <w:rPr>
          <w:rFonts w:ascii="Book Antiqua" w:hAnsi="Book Antiqua"/>
        </w:rPr>
        <w:t xml:space="preserve">. Pediatric Type 2 Diabetes in Japan: Similarities and Differences from Type 2 Diabetes in Other Pediatric Populations. </w:t>
      </w:r>
      <w:r>
        <w:rPr>
          <w:rFonts w:ascii="Book Antiqua" w:hAnsi="Book Antiqua"/>
          <w:i/>
          <w:iCs/>
        </w:rPr>
        <w:t>Curr Diab Rep</w:t>
      </w:r>
      <w:r>
        <w:rPr>
          <w:rFonts w:ascii="Book Antiqua" w:hAnsi="Book Antiqua"/>
        </w:rPr>
        <w:t xml:space="preserve"> 2018; </w:t>
      </w:r>
      <w:r>
        <w:rPr>
          <w:rFonts w:ascii="Book Antiqua" w:hAnsi="Book Antiqua"/>
          <w:b/>
          <w:bCs/>
        </w:rPr>
        <w:t>18</w:t>
      </w:r>
      <w:r>
        <w:rPr>
          <w:rFonts w:ascii="Book Antiqua" w:hAnsi="Book Antiqua"/>
        </w:rPr>
        <w:t>: 29 [PMID: 29671100 DOI: 10.1007/s11892-018-0999-z]</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Candler TP</w:t>
      </w:r>
      <w:r>
        <w:rPr>
          <w:rFonts w:ascii="Book Antiqua" w:hAnsi="Book Antiqua"/>
        </w:rPr>
        <w:t xml:space="preserve">, Mahmoud O, Lynn RM, Majbar AA, Barrett TG, Shield JPH. Continuing rise of Type 2 diabetes incidence in children and young people in the UK. </w:t>
      </w:r>
      <w:r>
        <w:rPr>
          <w:rFonts w:ascii="Book Antiqua" w:hAnsi="Book Antiqua"/>
          <w:i/>
          <w:iCs/>
        </w:rPr>
        <w:t>Diabet Med</w:t>
      </w:r>
      <w:r>
        <w:rPr>
          <w:rFonts w:ascii="Book Antiqua" w:hAnsi="Book Antiqua"/>
        </w:rPr>
        <w:t xml:space="preserve"> 2018; </w:t>
      </w:r>
      <w:r>
        <w:rPr>
          <w:rFonts w:ascii="Book Antiqua" w:hAnsi="Book Antiqua"/>
          <w:b/>
          <w:bCs/>
        </w:rPr>
        <w:t>35</w:t>
      </w:r>
      <w:r>
        <w:rPr>
          <w:rFonts w:ascii="Book Antiqua" w:hAnsi="Book Antiqua"/>
        </w:rPr>
        <w:t>: 737-744 [PMID: 29460341 DOI: 10.1111/dme.13609]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Zeitler P</w:t>
      </w:r>
      <w:r>
        <w:rPr>
          <w:rFonts w:ascii="Book Antiqua" w:hAnsi="Book Antiqua"/>
        </w:rPr>
        <w:t xml:space="preserve">, Fu J, Tandon N, Nadeau K, Urakami T, Barrett T, Maahs D; International Society for Pediatric and Adolescent Diabetes. ISPAD Clinical Practice Consensus Guidelines 2014. Type 2 diabetes in the child and adolescent. </w:t>
      </w:r>
      <w:r>
        <w:rPr>
          <w:rFonts w:ascii="Book Antiqua" w:hAnsi="Book Antiqua"/>
          <w:i/>
          <w:iCs/>
        </w:rPr>
        <w:t>Pediatr Diabetes</w:t>
      </w:r>
      <w:r>
        <w:rPr>
          <w:rFonts w:ascii="Book Antiqua" w:hAnsi="Book Antiqua"/>
        </w:rPr>
        <w:t xml:space="preserve"> 2014; </w:t>
      </w:r>
      <w:r>
        <w:rPr>
          <w:rFonts w:ascii="Book Antiqua" w:hAnsi="Book Antiqua"/>
          <w:b/>
          <w:bCs/>
        </w:rPr>
        <w:t>15 Suppl 20</w:t>
      </w:r>
      <w:r>
        <w:rPr>
          <w:rFonts w:ascii="Book Antiqua" w:hAnsi="Book Antiqua"/>
        </w:rPr>
        <w:t>: 26-46 [PMID: 25182306 DOI: 10.1111/pedi.12179]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Zeitler P</w:t>
      </w:r>
      <w:r>
        <w:rPr>
          <w:rFonts w:ascii="Book Antiqua" w:hAnsi="Book Antiqua"/>
        </w:rPr>
        <w:t xml:space="preserve">, Arslanian S, Fu J, Pinhas-Hamiel O, Reinehr T, Tandon N, Urakami T, Wong J, Maahs DM. ISPAD Clinical Practice Consensus Guidelines 2018: Type 2 diabetes mellitus in youth.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28-46 [PMID: 29999228 DOI: 10.1111/pedi.12719]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Baldi JC</w:t>
      </w:r>
      <w:r>
        <w:rPr>
          <w:rFonts w:ascii="Book Antiqua" w:hAnsi="Book Antiqua"/>
        </w:rPr>
        <w:t xml:space="preserve">, Manning PJ, Hofman PL, Walker RJ. Comment on: TODAY Study Group. Effects of metformin, metformin plus rosiglitazone, and metformin plus lifestyle on insulin sensitivity and β-cell function in TODAY. Diabetes Care 2013;36:1749-1757.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e223 [PMID: 24265392 DOI: 10.2337/dc13-1426]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Dabelea D</w:t>
      </w:r>
      <w:r>
        <w:rPr>
          <w:rFonts w:ascii="Book Antiqua" w:hAnsi="Book Antiqua"/>
        </w:rPr>
        <w:t xml:space="preserve">, Stafford JM, Mayer-Davis EJ, D'Agostino R Jr, Dolan L, Imperatore G, Linder B, Lawrence JM, Marcovina SM, Mottl AK, Black MH, Pop-Busui R, Saydah S, Hamman RF, Pihoker C; SEARCH for Diabetes in Youth Research Group. Association of Type 1 Diabetes vs Type 2 Diabetes Diagnosed During Childhood and Adolescence With Complications During Teenage Years and Young Adulthood. </w:t>
      </w:r>
      <w:r>
        <w:rPr>
          <w:rFonts w:ascii="Book Antiqua" w:hAnsi="Book Antiqua"/>
          <w:i/>
          <w:iCs/>
        </w:rPr>
        <w:t>JAMA</w:t>
      </w:r>
      <w:r>
        <w:rPr>
          <w:rFonts w:ascii="Book Antiqua" w:hAnsi="Book Antiqua"/>
        </w:rPr>
        <w:t xml:space="preserve"> 2017; </w:t>
      </w:r>
      <w:r>
        <w:rPr>
          <w:rFonts w:ascii="Book Antiqua" w:hAnsi="Book Antiqua"/>
          <w:b/>
          <w:bCs/>
        </w:rPr>
        <w:t>317</w:t>
      </w:r>
      <w:r>
        <w:rPr>
          <w:rFonts w:ascii="Book Antiqua" w:hAnsi="Book Antiqua"/>
        </w:rPr>
        <w:t>: 825-835 [PMID: 28245334 DOI: 10.1001/jama.2017.0686]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Copeland KC</w:t>
      </w:r>
      <w:r>
        <w:rPr>
          <w:rFonts w:ascii="Book Antiqua" w:hAnsi="Book Antiqua"/>
        </w:rPr>
        <w:t xml:space="preserve">, Zeitler P, Geffner M, Guandalini C, Higgins J, Hirst K, Kaufman FR, Linder B, Marcovina S, McGuigan P, Pyle L, Tamborlane W, Willi S; TODAY Study Group. Characteristics of adolescents and youth with recent-onset type 2 diabetes: the TODAY cohort at baseline. </w:t>
      </w:r>
      <w:r>
        <w:rPr>
          <w:rFonts w:ascii="Book Antiqua" w:hAnsi="Book Antiqua"/>
          <w:i/>
          <w:iCs/>
        </w:rPr>
        <w:t>J Clin Endocrinol Metab</w:t>
      </w:r>
      <w:r>
        <w:rPr>
          <w:rFonts w:ascii="Book Antiqua" w:hAnsi="Book Antiqua"/>
        </w:rPr>
        <w:t xml:space="preserve"> 2011; </w:t>
      </w:r>
      <w:r>
        <w:rPr>
          <w:rFonts w:ascii="Book Antiqua" w:hAnsi="Book Antiqua"/>
          <w:b/>
          <w:bCs/>
        </w:rPr>
        <w:t>96</w:t>
      </w:r>
      <w:r>
        <w:rPr>
          <w:rFonts w:ascii="Book Antiqua" w:hAnsi="Book Antiqua"/>
        </w:rPr>
        <w:t>: 159-167 [PMID: 20962021 DOI: 10.1210/jc.2010-1642]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Fu JF</w:t>
      </w:r>
      <w:r>
        <w:rPr>
          <w:rFonts w:ascii="Book Antiqua" w:hAnsi="Book Antiqua"/>
        </w:rPr>
        <w:t xml:space="preserve">, Liang L, Gong CX, Xiong F, Luo FH, Liu GL, Li P, Liu L, Xin Y, Yao H, Cui LW, Shi X, Yang Y, Chen LQ, Wei HY. Status and trends of diabetes in Chinese children: analysis of data from 14 medical centers. </w:t>
      </w:r>
      <w:r>
        <w:rPr>
          <w:rFonts w:ascii="Book Antiqua" w:hAnsi="Book Antiqua"/>
          <w:i/>
          <w:iCs/>
        </w:rPr>
        <w:t>World J Pediatr</w:t>
      </w:r>
      <w:r>
        <w:rPr>
          <w:rFonts w:ascii="Book Antiqua" w:hAnsi="Book Antiqua"/>
        </w:rPr>
        <w:t xml:space="preserve"> 2013; </w:t>
      </w:r>
      <w:r>
        <w:rPr>
          <w:rFonts w:ascii="Book Antiqua" w:hAnsi="Book Antiqua"/>
          <w:b/>
          <w:bCs/>
        </w:rPr>
        <w:t>9</w:t>
      </w:r>
      <w:r>
        <w:rPr>
          <w:rFonts w:ascii="Book Antiqua" w:hAnsi="Book Antiqua"/>
        </w:rPr>
        <w:t>: 127-134 [PMID: 23677831 DOI: 10.1007/s12519-013-0414-4]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Agardh E</w:t>
      </w:r>
      <w:r>
        <w:rPr>
          <w:rFonts w:ascii="Book Antiqua" w:hAnsi="Book Antiqua"/>
        </w:rPr>
        <w:t xml:space="preserve">, Allebeck P, Hallqvist J, Moradi T, Sidorchuk A. Type 2 diabetes incidence and socio-economic position: a systematic review and meta-analysis. </w:t>
      </w:r>
      <w:r>
        <w:rPr>
          <w:rFonts w:ascii="Book Antiqua" w:hAnsi="Book Antiqua"/>
          <w:i/>
          <w:iCs/>
        </w:rPr>
        <w:t>Int J Epidemiol</w:t>
      </w:r>
      <w:r>
        <w:rPr>
          <w:rFonts w:ascii="Book Antiqua" w:hAnsi="Book Antiqua"/>
        </w:rPr>
        <w:t xml:space="preserve"> 2011; </w:t>
      </w:r>
      <w:r>
        <w:rPr>
          <w:rFonts w:ascii="Book Antiqua" w:hAnsi="Book Antiqua"/>
          <w:b/>
          <w:bCs/>
        </w:rPr>
        <w:t>40</w:t>
      </w:r>
      <w:r>
        <w:rPr>
          <w:rFonts w:ascii="Book Antiqua" w:hAnsi="Book Antiqua"/>
        </w:rPr>
        <w:t>: 804-818 [PMID: 21335614 DOI: 10.1093/ije/dyr029]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Bird Y</w:t>
      </w:r>
      <w:r>
        <w:rPr>
          <w:rFonts w:ascii="Book Antiqua" w:hAnsi="Book Antiqua"/>
        </w:rPr>
        <w:t xml:space="preserve">, Lemstra M, Rogers M, Moraros J. The relationship between socioeconomic status/income and prevalence of diabetes and associated conditions: A cross-sectional population-based study in Saskatchewan, Canada. </w:t>
      </w:r>
      <w:r>
        <w:rPr>
          <w:rFonts w:ascii="Book Antiqua" w:hAnsi="Book Antiqua"/>
          <w:i/>
          <w:iCs/>
        </w:rPr>
        <w:t>Int J Equity Health</w:t>
      </w:r>
      <w:r>
        <w:rPr>
          <w:rFonts w:ascii="Book Antiqua" w:hAnsi="Book Antiqua"/>
        </w:rPr>
        <w:t xml:space="preserve"> 2015; </w:t>
      </w:r>
      <w:r>
        <w:rPr>
          <w:rFonts w:ascii="Book Antiqua" w:hAnsi="Book Antiqua"/>
          <w:b/>
          <w:bCs/>
        </w:rPr>
        <w:t>14</w:t>
      </w:r>
      <w:r>
        <w:rPr>
          <w:rFonts w:ascii="Book Antiqua" w:hAnsi="Book Antiqua"/>
        </w:rPr>
        <w:t>: 93 [PMID: 26458543 DOI: 10.1186/s12939-015-0237-0]</w:t>
      </w:r>
    </w:p>
    <w:p>
      <w:pPr>
        <w:spacing w:line="360" w:lineRule="auto"/>
        <w:jc w:val="both"/>
        <w:rPr>
          <w:rFonts w:ascii="Book Antiqua" w:hAnsi="Book Antiqua"/>
          <w:lang w:val="es-MX"/>
        </w:rPr>
      </w:pPr>
      <w:r>
        <w:rPr>
          <w:rFonts w:ascii="Book Antiqua" w:hAnsi="Book Antiqua"/>
        </w:rPr>
        <w:t>21</w:t>
      </w:r>
      <w:r>
        <w:rPr>
          <w:rFonts w:ascii="Book Antiqua" w:hAnsi="Book Antiqua"/>
          <w:b/>
        </w:rPr>
        <w:t xml:space="preserve"> Ortiz N.</w:t>
      </w:r>
      <w:r>
        <w:rPr>
          <w:rFonts w:ascii="Book Antiqua" w:hAnsi="Book Antiqua"/>
        </w:rPr>
        <w:t xml:space="preserve"> Relationships between social inequalities and type 2 diabetes. </w:t>
      </w:r>
      <w:r>
        <w:rPr>
          <w:rFonts w:ascii="Book Antiqua" w:hAnsi="Book Antiqua"/>
          <w:i/>
          <w:lang w:val="es-MX"/>
        </w:rPr>
        <w:t>Revista Gerencia y Políticas de Salud</w:t>
      </w:r>
      <w:r>
        <w:rPr>
          <w:rFonts w:ascii="Book Antiqua" w:hAnsi="Book Antiqua"/>
          <w:lang w:val="es-MX"/>
        </w:rPr>
        <w:t xml:space="preserve"> 2020; </w:t>
      </w:r>
      <w:r>
        <w:rPr>
          <w:rFonts w:ascii="Book Antiqua" w:hAnsi="Book Antiqua"/>
          <w:b/>
          <w:bCs/>
          <w:lang w:val="es-MX"/>
        </w:rPr>
        <w:t>19</w:t>
      </w:r>
      <w:r>
        <w:rPr>
          <w:rFonts w:ascii="Book Antiqua" w:hAnsi="Book Antiqua"/>
          <w:lang w:val="es-MX"/>
        </w:rPr>
        <w:t>: 1-21 [DOI: 10.11144/Javeriana.rgps19.rdsd]</w:t>
      </w:r>
    </w:p>
    <w:p>
      <w:pPr>
        <w:spacing w:line="360" w:lineRule="auto"/>
        <w:jc w:val="both"/>
        <w:rPr>
          <w:rFonts w:ascii="Book Antiqua" w:hAnsi="Book Antiqua"/>
        </w:rPr>
      </w:pPr>
      <w:r>
        <w:rPr>
          <w:rFonts w:ascii="Book Antiqua" w:hAnsi="Book Antiqua"/>
        </w:rPr>
        <w:t xml:space="preserve">22 </w:t>
      </w:r>
      <w:r>
        <w:rPr>
          <w:rFonts w:ascii="Book Antiqua" w:hAnsi="Book Antiqua"/>
          <w:b/>
          <w:bCs/>
        </w:rPr>
        <w:t>Hwang J</w:t>
      </w:r>
      <w:r>
        <w:rPr>
          <w:rFonts w:ascii="Book Antiqua" w:hAnsi="Book Antiqua"/>
        </w:rPr>
        <w:t xml:space="preserve">, Shon C. Relationship between socioeconomic status and type 2 diabetes: results from Korea National Health and Nutrition Examination Survey (KNHANES) 2010-2012. </w:t>
      </w:r>
      <w:r>
        <w:rPr>
          <w:rFonts w:ascii="Book Antiqua" w:hAnsi="Book Antiqua"/>
          <w:i/>
          <w:iCs/>
        </w:rPr>
        <w:t>BMJ Open</w:t>
      </w:r>
      <w:r>
        <w:rPr>
          <w:rFonts w:ascii="Book Antiqua" w:hAnsi="Book Antiqua"/>
        </w:rPr>
        <w:t xml:space="preserve"> 2014; </w:t>
      </w:r>
      <w:r>
        <w:rPr>
          <w:rFonts w:ascii="Book Antiqua" w:hAnsi="Book Antiqua"/>
          <w:b/>
          <w:bCs/>
        </w:rPr>
        <w:t>4</w:t>
      </w:r>
      <w:r>
        <w:rPr>
          <w:rFonts w:ascii="Book Antiqua" w:hAnsi="Book Antiqua"/>
        </w:rPr>
        <w:t>: e005710 [PMID: 25138810 DOI: 10.1136/bmjopen-2014-005710]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Reinehr T</w:t>
      </w:r>
      <w:r>
        <w:rPr>
          <w:rFonts w:ascii="Book Antiqua" w:hAnsi="Book Antiqua"/>
        </w:rPr>
        <w:t xml:space="preserve">, Schober E, Wiegand S, Thon A, Holl R; DPV-Wiss Study Group. Beta-cell autoantibodies in children with type 2 diabetes mellitus: subgroup or misclassification? </w:t>
      </w:r>
      <w:r>
        <w:rPr>
          <w:rFonts w:ascii="Book Antiqua" w:hAnsi="Book Antiqua"/>
          <w:i/>
          <w:iCs/>
        </w:rPr>
        <w:t>Arch Dis Child</w:t>
      </w:r>
      <w:r>
        <w:rPr>
          <w:rFonts w:ascii="Book Antiqua" w:hAnsi="Book Antiqua"/>
        </w:rPr>
        <w:t xml:space="preserve"> 2006; </w:t>
      </w:r>
      <w:r>
        <w:rPr>
          <w:rFonts w:ascii="Book Antiqua" w:hAnsi="Book Antiqua"/>
          <w:b/>
          <w:bCs/>
        </w:rPr>
        <w:t>91</w:t>
      </w:r>
      <w:r>
        <w:rPr>
          <w:rFonts w:ascii="Book Antiqua" w:hAnsi="Book Antiqua"/>
        </w:rPr>
        <w:t>: 473-477 [PMID: 16449253 DOI: 10.1136/adc.2005.088229]</w:t>
      </w:r>
    </w:p>
    <w:p>
      <w:pPr>
        <w:spacing w:line="360" w:lineRule="auto"/>
        <w:jc w:val="both"/>
        <w:rPr>
          <w:rFonts w:ascii="Book Antiqua" w:hAnsi="Book Antiqua"/>
        </w:rPr>
      </w:pPr>
      <w:r>
        <w:rPr>
          <w:rFonts w:ascii="Book Antiqua" w:hAnsi="Book Antiqua"/>
        </w:rPr>
        <w:t xml:space="preserve">24 </w:t>
      </w:r>
      <w:r>
        <w:rPr>
          <w:rFonts w:ascii="Book Antiqua" w:hAnsi="Book Antiqua"/>
          <w:b/>
          <w:bCs/>
        </w:rPr>
        <w:t>Gottschalk M</w:t>
      </w:r>
      <w:r>
        <w:rPr>
          <w:rFonts w:ascii="Book Antiqua" w:hAnsi="Book Antiqua"/>
        </w:rPr>
        <w:t xml:space="preserve">, Danne T, Fuerst-Recktenwald S. Ethnic origin is unrelated to autoimmunity and residual pancreatic function in 471 youth with clinically diagnosed type 2 diabetes. </w:t>
      </w:r>
      <w:r>
        <w:rPr>
          <w:rFonts w:ascii="Book Antiqua" w:hAnsi="Book Antiqua"/>
          <w:i/>
          <w:iCs/>
        </w:rPr>
        <w:t>Pediatr Diabetes</w:t>
      </w:r>
      <w:r>
        <w:rPr>
          <w:rFonts w:ascii="Book Antiqua" w:hAnsi="Book Antiqua"/>
        </w:rPr>
        <w:t xml:space="preserve"> 2009; </w:t>
      </w:r>
      <w:r>
        <w:rPr>
          <w:rFonts w:ascii="Book Antiqua" w:hAnsi="Book Antiqua"/>
          <w:b/>
          <w:bCs/>
        </w:rPr>
        <w:t>10</w:t>
      </w:r>
      <w:r>
        <w:rPr>
          <w:rFonts w:ascii="Book Antiqua" w:hAnsi="Book Antiqua"/>
        </w:rPr>
        <w:t>: 240-247 [PMID: 19493247 DOI: 10.1111/j.1399-5448.2008.00489.x]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authorized by the ethics and research committee of the Federico Gomez Children's Hospital of Mexico.</w:t>
      </w:r>
    </w:p>
    <w:p>
      <w:pPr>
        <w:spacing w:line="360" w:lineRule="auto"/>
        <w:jc w:val="both"/>
        <w:rPr>
          <w:rFonts w:ascii="Book Antiqua" w:hAnsi="Book Antiqua"/>
        </w:rPr>
      </w:pPr>
    </w:p>
    <w:p>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they have no conflict of interest</w:t>
      </w:r>
      <w:r>
        <w:rPr>
          <w:rFonts w:hint="eastAsia" w:ascii="Book Antiqua" w:hAnsi="Book Antiqua" w:eastAsia="宋体" w:cs="Book Antiqua"/>
          <w:color w:val="000000"/>
          <w:lang w:eastAsia="zh-CN"/>
        </w:rPr>
        <w:t xml:space="preserve"> to disclose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bookmarkStart w:id="0" w:name="OLE_LINK507"/>
      <w:bookmarkStart w:id="1" w:name="OLE_LINK496"/>
      <w:bookmarkStart w:id="2" w:name="OLE_LINK506"/>
      <w:bookmarkStart w:id="3"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3,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Endocrinology and metabolism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Mexico</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Asif M, Pakistan; Latiri IO, Tunisia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hint="eastAsia" w:ascii="Book Antiqua" w:hAnsi="Book Antiqua" w:eastAsia="宋体" w:cs="Book Antiqua"/>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widowControl w:val="0"/>
        <w:autoSpaceDE w:val="0"/>
        <w:autoSpaceDN w:val="0"/>
        <w:adjustRightInd w:val="0"/>
        <w:spacing w:line="360" w:lineRule="auto"/>
        <w:jc w:val="both"/>
        <w:rPr>
          <w:rFonts w:ascii="Book Antiqua" w:hAnsi="Book Antiqua" w:cstheme="minorHAnsi"/>
          <w:b/>
          <w:bCs/>
          <w:lang w:val="en-CA"/>
        </w:rPr>
      </w:pPr>
      <w:r>
        <w:rPr>
          <w:rFonts w:ascii="Book Antiqua" w:hAnsi="Book Antiqua" w:eastAsia="Book Antiqua" w:cs="Book Antiqua"/>
          <w:b/>
          <w:color w:val="000000"/>
        </w:rPr>
        <w:br w:type="page"/>
      </w:r>
      <w:r>
        <w:rPr>
          <w:rFonts w:ascii="Book Antiqua" w:hAnsi="Book Antiqua" w:cstheme="minorHAnsi"/>
          <w:b/>
          <w:bCs/>
          <w:lang w:val="en-CA"/>
        </w:rPr>
        <w:t>Table 1 Clinical and biochemical characteristics of patients with type 2 diabetes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70"/>
        <w:gridCol w:w="2865"/>
        <w:gridCol w:w="2474"/>
        <w:gridCol w:w="10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1655" w:type="pct"/>
            <w:vMerge w:val="restart"/>
            <w:tcBorders>
              <w:top w:val="single" w:color="auto" w:sz="4" w:space="0"/>
              <w:bottom w:val="single" w:color="auto" w:sz="4" w:space="0"/>
            </w:tcBorders>
            <w:noWrap/>
          </w:tcPr>
          <w:p>
            <w:pPr>
              <w:spacing w:line="360" w:lineRule="auto"/>
              <w:jc w:val="both"/>
              <w:rPr>
                <w:rFonts w:ascii="Book Antiqua" w:hAnsi="Book Antiqua" w:eastAsia="Times New Roman"/>
                <w:b/>
                <w:bCs/>
              </w:rPr>
            </w:pPr>
            <w:r>
              <w:rPr>
                <w:rFonts w:ascii="Book Antiqua" w:hAnsi="Book Antiqua" w:eastAsia="Times New Roman"/>
                <w:b/>
                <w:bCs/>
              </w:rPr>
              <w:t>Variable</w:t>
            </w:r>
          </w:p>
        </w:tc>
        <w:tc>
          <w:tcPr>
            <w:tcW w:w="1496"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Patients with T2DM (2013)</w:t>
            </w:r>
          </w:p>
        </w:tc>
        <w:tc>
          <w:tcPr>
            <w:tcW w:w="1292"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Patients with T2DM (2018)</w:t>
            </w:r>
          </w:p>
        </w:tc>
        <w:tc>
          <w:tcPr>
            <w:tcW w:w="557" w:type="pct"/>
            <w:vMerge w:val="restart"/>
            <w:tcBorders>
              <w:top w:val="single" w:color="auto" w:sz="4" w:space="0"/>
              <w:bottom w:val="single" w:color="auto" w:sz="4" w:space="0"/>
            </w:tcBorders>
          </w:tcPr>
          <w:p>
            <w:pPr>
              <w:spacing w:line="360" w:lineRule="auto"/>
              <w:jc w:val="both"/>
              <w:rPr>
                <w:rFonts w:ascii="Book Antiqua" w:hAnsi="Book Antiqua" w:eastAsia="Times New Roman"/>
                <w:b/>
                <w:bCs/>
                <w:i/>
              </w:rPr>
            </w:pPr>
            <w:r>
              <w:rPr>
                <w:rFonts w:ascii="Book Antiqua" w:hAnsi="Book Antiqua" w:eastAsia="Times New Roman"/>
                <w:b/>
                <w:bCs/>
                <w:i/>
              </w:rPr>
              <w:t xml:space="preserve">P </w:t>
            </w:r>
            <w:r>
              <w:rPr>
                <w:rFonts w:ascii="Book Antiqua" w:hAnsi="Book Antiqua" w:eastAsia="Times New Roman"/>
                <w:b/>
                <w:bC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655" w:type="pct"/>
            <w:vMerge w:val="continue"/>
            <w:tcBorders>
              <w:top w:val="single" w:color="auto" w:sz="4" w:space="0"/>
              <w:bottom w:val="single" w:color="auto" w:sz="4" w:space="0"/>
            </w:tcBorders>
            <w:noWrap/>
          </w:tcPr>
          <w:p>
            <w:pPr>
              <w:spacing w:line="360" w:lineRule="auto"/>
              <w:jc w:val="both"/>
              <w:rPr>
                <w:rFonts w:ascii="Book Antiqua" w:hAnsi="Book Antiqua" w:eastAsia="Times New Roman"/>
                <w:b/>
                <w:bCs/>
              </w:rPr>
            </w:pPr>
          </w:p>
        </w:tc>
        <w:tc>
          <w:tcPr>
            <w:tcW w:w="1496"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rPr>
              <w:t>n</w:t>
            </w:r>
            <w:r>
              <w:rPr>
                <w:rFonts w:ascii="Book Antiqua" w:hAnsi="Book Antiqua" w:eastAsia="Times New Roman"/>
                <w:b/>
                <w:bCs/>
              </w:rPr>
              <w:t xml:space="preserve"> = 47</w:t>
            </w:r>
          </w:p>
        </w:tc>
        <w:tc>
          <w:tcPr>
            <w:tcW w:w="1292"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rPr>
              <w:t>n</w:t>
            </w:r>
            <w:r>
              <w:rPr>
                <w:rFonts w:ascii="Book Antiqua" w:hAnsi="Book Antiqua" w:eastAsia="Times New Roman"/>
                <w:b/>
                <w:bCs/>
              </w:rPr>
              <w:t xml:space="preserve"> = 104</w:t>
            </w:r>
          </w:p>
        </w:tc>
        <w:tc>
          <w:tcPr>
            <w:tcW w:w="557" w:type="pct"/>
            <w:vMerge w:val="continue"/>
            <w:tcBorders>
              <w:top w:val="single" w:color="auto" w:sz="4" w:space="0"/>
              <w:bottom w:val="single" w:color="auto" w:sz="4" w:space="0"/>
            </w:tcBorders>
          </w:tcPr>
          <w:p>
            <w:pPr>
              <w:spacing w:line="360" w:lineRule="auto"/>
              <w:jc w:val="both"/>
              <w:rPr>
                <w:rFonts w:ascii="Book Antiqua" w:hAnsi="Book Antiqua" w:eastAsia="Times New Roman"/>
                <w:b/>
                <w:bCs/>
                <w: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tcBorders>
              <w:top w:val="single" w:color="auto" w:sz="4" w:space="0"/>
            </w:tcBorders>
            <w:noWrap/>
          </w:tcPr>
          <w:p>
            <w:pPr>
              <w:spacing w:line="360" w:lineRule="auto"/>
              <w:jc w:val="both"/>
              <w:rPr>
                <w:rFonts w:ascii="Book Antiqua" w:hAnsi="Book Antiqua" w:eastAsia="Times New Roman"/>
              </w:rPr>
            </w:pPr>
            <w:r>
              <w:rPr>
                <w:rFonts w:ascii="Book Antiqua" w:hAnsi="Book Antiqua" w:eastAsia="Times New Roman"/>
              </w:rPr>
              <w:t>Sex [H (%)]</w:t>
            </w:r>
          </w:p>
        </w:tc>
        <w:tc>
          <w:tcPr>
            <w:tcW w:w="1496" w:type="pct"/>
            <w:tcBorders>
              <w:top w:val="single" w:color="auto" w:sz="4" w:space="0"/>
            </w:tcBorders>
          </w:tcPr>
          <w:p>
            <w:pPr>
              <w:pStyle w:val="10"/>
              <w:spacing w:after="0" w:line="360" w:lineRule="auto"/>
              <w:jc w:val="both"/>
              <w:rPr>
                <w:rFonts w:ascii="Book Antiqua" w:hAnsi="Book Antiqua"/>
                <w:sz w:val="24"/>
                <w:szCs w:val="24"/>
              </w:rPr>
            </w:pPr>
            <w:r>
              <w:rPr>
                <w:rFonts w:ascii="Book Antiqua" w:hAnsi="Book Antiqua"/>
                <w:sz w:val="24"/>
                <w:szCs w:val="24"/>
              </w:rPr>
              <w:t>26 (55.3)</w:t>
            </w:r>
          </w:p>
        </w:tc>
        <w:tc>
          <w:tcPr>
            <w:tcW w:w="1292" w:type="pct"/>
            <w:tcBorders>
              <w:top w:val="single" w:color="auto" w:sz="4" w:space="0"/>
            </w:tcBorders>
          </w:tcPr>
          <w:p>
            <w:pPr>
              <w:pStyle w:val="10"/>
              <w:spacing w:after="0" w:line="360" w:lineRule="auto"/>
              <w:jc w:val="both"/>
              <w:rPr>
                <w:rFonts w:ascii="Book Antiqua" w:hAnsi="Book Antiqua"/>
                <w:sz w:val="24"/>
                <w:szCs w:val="24"/>
              </w:rPr>
            </w:pPr>
            <w:r>
              <w:rPr>
                <w:rFonts w:ascii="Book Antiqua" w:hAnsi="Book Antiqua"/>
                <w:sz w:val="24"/>
                <w:szCs w:val="24"/>
              </w:rPr>
              <w:t>34 (32.7)</w:t>
            </w:r>
          </w:p>
        </w:tc>
        <w:tc>
          <w:tcPr>
            <w:tcW w:w="557" w:type="pct"/>
            <w:tcBorders>
              <w:top w:val="single" w:color="auto" w:sz="4" w:space="0"/>
            </w:tcBorders>
          </w:tcPr>
          <w:p>
            <w:pPr>
              <w:pStyle w:val="10"/>
              <w:spacing w:after="0" w:line="360" w:lineRule="auto"/>
              <w:jc w:val="both"/>
              <w:rPr>
                <w:rFonts w:ascii="Book Antiqua" w:hAnsi="Book Antiqua"/>
                <w:b/>
                <w:bCs/>
                <w:sz w:val="24"/>
                <w:szCs w:val="24"/>
              </w:rPr>
            </w:pPr>
            <w:r>
              <w:rPr>
                <w:rFonts w:ascii="Book Antiqua" w:hAnsi="Book Antiqua"/>
                <w:b/>
                <w:bCs/>
                <w:sz w:val="24"/>
                <w:szCs w:val="24"/>
              </w:rPr>
              <w:t>0.009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Age (yr)</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12.96 ± 1.9</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14.6 ± 1.9</w:t>
            </w:r>
          </w:p>
        </w:tc>
        <w:tc>
          <w:tcPr>
            <w:tcW w:w="557" w:type="pct"/>
          </w:tcPr>
          <w:p>
            <w:pPr>
              <w:pStyle w:val="10"/>
              <w:spacing w:after="0" w:line="360" w:lineRule="auto"/>
              <w:jc w:val="both"/>
              <w:rPr>
                <w:rFonts w:ascii="Book Antiqua" w:hAnsi="Book Antiqua"/>
                <w:b/>
                <w:bCs/>
                <w:sz w:val="24"/>
                <w:szCs w:val="24"/>
              </w:rPr>
            </w:pPr>
            <w:r>
              <w:rPr>
                <w:rFonts w:ascii="Book Antiqua" w:hAnsi="Book Antiqua"/>
                <w:b/>
                <w:bCs/>
                <w:sz w:val="24"/>
                <w:szCs w:val="24"/>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rPr>
            </w:pPr>
            <w:r>
              <w:rPr>
                <w:rFonts w:ascii="Book Antiqua" w:hAnsi="Book Antiqua" w:eastAsia="Times New Roman"/>
              </w:rPr>
              <w:t>Weight (kg)</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62.6 ± 20.4</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62.8 ± 19.4</w:t>
            </w:r>
          </w:p>
        </w:tc>
        <w:tc>
          <w:tcPr>
            <w:tcW w:w="557" w:type="pct"/>
          </w:tcPr>
          <w:p>
            <w:pPr>
              <w:pStyle w:val="10"/>
              <w:spacing w:after="0" w:line="360" w:lineRule="auto"/>
              <w:jc w:val="both"/>
              <w:rPr>
                <w:rFonts w:ascii="Book Antiqua" w:hAnsi="Book Antiqua"/>
                <w:sz w:val="24"/>
                <w:szCs w:val="24"/>
              </w:rPr>
            </w:pPr>
            <w:r>
              <w:rPr>
                <w:rFonts w:ascii="Book Antiqua" w:hAnsi="Book Antiqua"/>
                <w:sz w:val="24"/>
                <w:szCs w:val="24"/>
              </w:rPr>
              <w:t>0.956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rPr>
            </w:pPr>
            <w:r>
              <w:rPr>
                <w:rFonts w:ascii="Book Antiqua" w:hAnsi="Book Antiqua" w:eastAsia="Times New Roman"/>
              </w:rPr>
              <w:t>Height (cm)</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157.5 ± 14.2</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156.9 ± 11.9</w:t>
            </w:r>
          </w:p>
        </w:tc>
        <w:tc>
          <w:tcPr>
            <w:tcW w:w="557" w:type="pct"/>
          </w:tcPr>
          <w:p>
            <w:pPr>
              <w:pStyle w:val="10"/>
              <w:spacing w:after="0" w:line="360" w:lineRule="auto"/>
              <w:jc w:val="both"/>
              <w:rPr>
                <w:rFonts w:ascii="Book Antiqua" w:hAnsi="Book Antiqua"/>
                <w:sz w:val="24"/>
                <w:szCs w:val="24"/>
              </w:rPr>
            </w:pPr>
            <w:r>
              <w:rPr>
                <w:rFonts w:ascii="Book Antiqua" w:hAnsi="Book Antiqua"/>
                <w:sz w:val="24"/>
                <w:szCs w:val="24"/>
              </w:rPr>
              <w:t>0.773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BMI (kg/m</w:t>
            </w:r>
            <w:r>
              <w:rPr>
                <w:rFonts w:ascii="Book Antiqua" w:hAnsi="Book Antiqua" w:eastAsia="Times New Roman"/>
                <w:vertAlign w:val="superscript"/>
              </w:rPr>
              <w:t>2</w:t>
            </w:r>
            <w:r>
              <w:rPr>
                <w:rFonts w:ascii="Book Antiqua" w:hAnsi="Book Antiqua" w:eastAsia="Times New Roman"/>
              </w:rPr>
              <w:t>)</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25.3 ± 5.3</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24.4 ± 6.7</w:t>
            </w:r>
          </w:p>
        </w:tc>
        <w:tc>
          <w:tcPr>
            <w:tcW w:w="557" w:type="pct"/>
          </w:tcPr>
          <w:p>
            <w:pPr>
              <w:pStyle w:val="10"/>
              <w:spacing w:after="0" w:line="360" w:lineRule="auto"/>
              <w:jc w:val="both"/>
              <w:rPr>
                <w:rFonts w:ascii="Book Antiqua" w:hAnsi="Book Antiqua"/>
                <w:sz w:val="24"/>
                <w:szCs w:val="24"/>
              </w:rPr>
            </w:pPr>
            <w:r>
              <w:rPr>
                <w:rFonts w:ascii="Book Antiqua" w:hAnsi="Book Antiqua"/>
                <w:sz w:val="24"/>
                <w:szCs w:val="24"/>
              </w:rPr>
              <w:t>0.170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Waist (cm)</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84.7 ± 14.2</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84.5 ± 19.2</w:t>
            </w:r>
          </w:p>
        </w:tc>
        <w:tc>
          <w:tcPr>
            <w:tcW w:w="557" w:type="pct"/>
          </w:tcPr>
          <w:p>
            <w:pPr>
              <w:pStyle w:val="10"/>
              <w:spacing w:after="0" w:line="360" w:lineRule="auto"/>
              <w:jc w:val="both"/>
              <w:rPr>
                <w:rFonts w:ascii="Book Antiqua" w:hAnsi="Book Antiqua"/>
                <w:sz w:val="24"/>
                <w:szCs w:val="24"/>
              </w:rPr>
            </w:pPr>
            <w:r>
              <w:rPr>
                <w:rFonts w:ascii="Book Antiqua" w:hAnsi="Book Antiqua"/>
                <w:sz w:val="24"/>
                <w:szCs w:val="24"/>
              </w:rPr>
              <w:t>0.905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rPr>
            </w:pPr>
            <w:r>
              <w:rPr>
                <w:rFonts w:ascii="Book Antiqua" w:hAnsi="Book Antiqua" w:eastAsia="Times New Roman"/>
              </w:rPr>
              <w:t>Cholesterol total (mg/dL)</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163.4 ± 33.1</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172.5 ± 39.8</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HDL-C (mg/dL)</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40.7 ± 12.1</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44.1 ± 8.6</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LDL-C (mg/dL)</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100.0 ± 25.3</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95.9 ± 31.3</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Triglycerides (mg/dL)</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136.7 ± 92.0</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147.7 ± 64.9</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AST (U/L)</w:t>
            </w:r>
            <w:r>
              <w:rPr>
                <w:rFonts w:ascii="Book Antiqua" w:hAnsi="Book Antiqua" w:eastAsia="Times New Roman"/>
                <w:vertAlign w:val="superscript"/>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22.0 (11-143)</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23.0 (11-89)</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0.403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ALT (U/L)</w:t>
            </w:r>
            <w:r>
              <w:rPr>
                <w:rFonts w:ascii="Book Antiqua" w:hAnsi="Book Antiqua" w:eastAsia="Times New Roman"/>
                <w:vertAlign w:val="superscript"/>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43.0 (23-139)</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36.0 (11-79)</w:t>
            </w:r>
          </w:p>
        </w:tc>
        <w:tc>
          <w:tcPr>
            <w:tcW w:w="557" w:type="pct"/>
          </w:tcPr>
          <w:p>
            <w:pPr>
              <w:pStyle w:val="10"/>
              <w:spacing w:after="0" w:line="360" w:lineRule="auto"/>
              <w:jc w:val="both"/>
              <w:rPr>
                <w:rFonts w:ascii="Book Antiqua" w:hAnsi="Book Antiqua"/>
                <w:b/>
                <w:sz w:val="24"/>
                <w:szCs w:val="24"/>
              </w:rPr>
            </w:pPr>
            <w:r>
              <w:rPr>
                <w:rFonts w:ascii="Book Antiqua" w:hAnsi="Book Antiqua"/>
                <w:b/>
                <w:sz w:val="24"/>
                <w:szCs w:val="24"/>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lang w:val="en-CA"/>
              </w:rPr>
            </w:pPr>
            <w:r>
              <w:rPr>
                <w:rFonts w:ascii="Book Antiqua" w:hAnsi="Book Antiqua" w:eastAsia="Times New Roman"/>
                <w:lang w:val="en-CA"/>
              </w:rPr>
              <w:t>Fasting glucose (mg/d</w:t>
            </w:r>
            <w:r>
              <w:rPr>
                <w:rFonts w:ascii="Book Antiqua" w:hAnsi="Book Antiqua" w:eastAsia="Times New Roman"/>
              </w:rPr>
              <w:t>L</w:t>
            </w:r>
            <w:r>
              <w:rPr>
                <w:rFonts w:ascii="Book Antiqua" w:hAnsi="Book Antiqua" w:eastAsia="Times New Roman"/>
                <w:lang w:val="en-CA"/>
              </w:rPr>
              <w:t>)</w:t>
            </w:r>
            <w:r>
              <w:rPr>
                <w:rFonts w:ascii="Book Antiqua" w:hAnsi="Book Antiqua" w:eastAsia="Times New Roman"/>
                <w:vertAlign w:val="superscript"/>
                <w:lang w:val="en-CA"/>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150.9 ± 88.1</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189.0 ± 109.2</w:t>
            </w:r>
          </w:p>
        </w:tc>
        <w:tc>
          <w:tcPr>
            <w:tcW w:w="557" w:type="pct"/>
          </w:tcPr>
          <w:p>
            <w:pPr>
              <w:pStyle w:val="10"/>
              <w:spacing w:after="0" w:line="360" w:lineRule="auto"/>
              <w:jc w:val="both"/>
              <w:rPr>
                <w:rFonts w:ascii="Book Antiqua" w:hAnsi="Book Antiqua"/>
                <w:b/>
                <w:sz w:val="24"/>
                <w:szCs w:val="24"/>
              </w:rPr>
            </w:pPr>
            <w:r>
              <w:rPr>
                <w:rFonts w:ascii="Book Antiqua" w:hAnsi="Book Antiqua"/>
                <w:b/>
                <w:sz w:val="24"/>
                <w:szCs w:val="24"/>
              </w:rPr>
              <w:t>0.038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HbA1c (%)</w:t>
            </w:r>
            <w:r>
              <w:rPr>
                <w:rFonts w:ascii="Book Antiqua" w:hAnsi="Book Antiqua" w:eastAsia="Times New Roman"/>
                <w:vertAlign w:val="superscript"/>
              </w:rPr>
              <w:t>a</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10.5 ± 3.9</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8.9 ± 2.8</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lang w:val="en-CA"/>
              </w:rPr>
            </w:pPr>
            <w:r>
              <w:rPr>
                <w:rFonts w:ascii="Book Antiqua" w:hAnsi="Book Antiqua" w:eastAsia="Times New Roman"/>
                <w:lang w:val="en-CA"/>
              </w:rPr>
              <w:t>Fasting insulin (mUI/m</w:t>
            </w:r>
            <w:r>
              <w:rPr>
                <w:rFonts w:ascii="Book Antiqua" w:hAnsi="Book Antiqua" w:eastAsia="Times New Roman"/>
              </w:rPr>
              <w:t>L</w:t>
            </w:r>
            <w:r>
              <w:rPr>
                <w:rFonts w:ascii="Book Antiqua" w:hAnsi="Book Antiqua" w:eastAsia="Times New Roman"/>
                <w:lang w:val="en-CA"/>
              </w:rPr>
              <w:t>)</w:t>
            </w:r>
            <w:r>
              <w:rPr>
                <w:rFonts w:ascii="Book Antiqua" w:hAnsi="Book Antiqua" w:eastAsia="Times New Roman"/>
                <w:vertAlign w:val="superscript"/>
                <w:lang w:val="en-CA"/>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11.2 (2-71)</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11.2 (2-80)</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0.902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lang w:val="en-CA"/>
              </w:rPr>
            </w:pPr>
            <w:r>
              <w:rPr>
                <w:rFonts w:ascii="Book Antiqua" w:hAnsi="Book Antiqua" w:eastAsia="Times New Roman"/>
                <w:lang w:val="en-CA"/>
              </w:rPr>
              <w:t>C-peptide (ng/d</w:t>
            </w:r>
            <w:r>
              <w:rPr>
                <w:rFonts w:ascii="Book Antiqua" w:hAnsi="Book Antiqua" w:eastAsia="Times New Roman"/>
              </w:rPr>
              <w:t>L</w:t>
            </w:r>
            <w:r>
              <w:rPr>
                <w:rFonts w:ascii="Book Antiqua" w:hAnsi="Book Antiqua" w:eastAsia="Times New Roman"/>
                <w:lang w:val="en-CA"/>
              </w:rPr>
              <w:t>)</w:t>
            </w:r>
            <w:r>
              <w:rPr>
                <w:rFonts w:ascii="Book Antiqua" w:hAnsi="Book Antiqua" w:eastAsia="Times New Roman"/>
                <w:vertAlign w:val="superscript"/>
                <w:lang w:val="en-CA"/>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2.0 (0.09-8.0)</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1.5 (0.1-8.5)</w:t>
            </w:r>
          </w:p>
        </w:tc>
        <w:tc>
          <w:tcPr>
            <w:tcW w:w="557" w:type="pct"/>
          </w:tcPr>
          <w:p>
            <w:pPr>
              <w:pStyle w:val="10"/>
              <w:spacing w:after="0" w:line="360" w:lineRule="auto"/>
              <w:jc w:val="both"/>
              <w:rPr>
                <w:rFonts w:ascii="Book Antiqua" w:hAnsi="Book Antiqua"/>
                <w:b/>
                <w:bCs/>
                <w:sz w:val="24"/>
                <w:szCs w:val="24"/>
              </w:rPr>
            </w:pPr>
            <w:r>
              <w:rPr>
                <w:rFonts w:ascii="Book Antiqua" w:hAnsi="Book Antiqua"/>
                <w:b/>
                <w:bCs/>
                <w:sz w:val="24"/>
                <w:szCs w:val="24"/>
              </w:rPr>
              <w:t>0.014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SBP (mmHg)</w:t>
            </w:r>
            <w:r>
              <w:rPr>
                <w:rFonts w:ascii="Book Antiqua" w:hAnsi="Book Antiqua" w:eastAsia="Times New Roman"/>
                <w:vertAlign w:val="superscript"/>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95.8 (70-130)</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110 (90-150)</w:t>
            </w:r>
          </w:p>
        </w:tc>
        <w:tc>
          <w:tcPr>
            <w:tcW w:w="557" w:type="pct"/>
          </w:tcPr>
          <w:p>
            <w:pPr>
              <w:pStyle w:val="10"/>
              <w:spacing w:after="0" w:line="360" w:lineRule="auto"/>
              <w:jc w:val="both"/>
              <w:rPr>
                <w:rFonts w:ascii="Book Antiqua" w:hAnsi="Book Antiqua"/>
                <w:b/>
                <w:bCs/>
                <w:sz w:val="24"/>
                <w:szCs w:val="24"/>
              </w:rPr>
            </w:pPr>
            <w:r>
              <w:rPr>
                <w:rFonts w:ascii="Book Antiqua" w:hAnsi="Book Antiqua"/>
                <w:b/>
                <w:bCs/>
                <w:sz w:val="24"/>
                <w:szCs w:val="24"/>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DBP (mmHg)</w:t>
            </w:r>
            <w:r>
              <w:rPr>
                <w:rFonts w:ascii="Book Antiqua" w:hAnsi="Book Antiqua" w:eastAsia="Times New Roman"/>
                <w:vertAlign w:val="superscript"/>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62.8 (48-85)</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70.0 (60-90)</w:t>
            </w:r>
          </w:p>
        </w:tc>
        <w:tc>
          <w:tcPr>
            <w:tcW w:w="557" w:type="pct"/>
          </w:tcPr>
          <w:p>
            <w:pPr>
              <w:pStyle w:val="10"/>
              <w:spacing w:after="0" w:line="360" w:lineRule="auto"/>
              <w:jc w:val="both"/>
              <w:rPr>
                <w:rFonts w:ascii="Book Antiqua" w:hAnsi="Book Antiqua"/>
                <w:sz w:val="24"/>
                <w:szCs w:val="24"/>
              </w:rPr>
            </w:pPr>
            <w:r>
              <w:rPr>
                <w:rFonts w:ascii="Book Antiqua" w:hAnsi="Book Antiqua"/>
                <w:sz w:val="24"/>
                <w:szCs w:val="24"/>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655" w:type="pct"/>
            <w:noWrap/>
          </w:tcPr>
          <w:p>
            <w:pPr>
              <w:spacing w:line="360" w:lineRule="auto"/>
              <w:jc w:val="both"/>
              <w:rPr>
                <w:rFonts w:ascii="Book Antiqua" w:hAnsi="Book Antiqua" w:eastAsia="Times New Roman"/>
                <w:vertAlign w:val="superscript"/>
              </w:rPr>
            </w:pPr>
            <w:r>
              <w:rPr>
                <w:rFonts w:ascii="Book Antiqua" w:hAnsi="Book Antiqua" w:eastAsia="Times New Roman"/>
              </w:rPr>
              <w:t>HOMA-</w:t>
            </w:r>
            <w:r>
              <w:rPr>
                <w:rFonts w:ascii="Book Antiqua" w:hAnsi="Book Antiqua" w:eastAsia="Times New Roman" w:cs="Calibri"/>
              </w:rPr>
              <w:t>β</w:t>
            </w:r>
            <w:r>
              <w:rPr>
                <w:rFonts w:ascii="Book Antiqua" w:hAnsi="Book Antiqua" w:eastAsia="Times New Roman" w:cs="Calibri"/>
                <w:vertAlign w:val="superscript"/>
              </w:rPr>
              <w:t>b</w:t>
            </w:r>
          </w:p>
        </w:tc>
        <w:tc>
          <w:tcPr>
            <w:tcW w:w="1496" w:type="pct"/>
          </w:tcPr>
          <w:p>
            <w:pPr>
              <w:pStyle w:val="10"/>
              <w:spacing w:after="0" w:line="360" w:lineRule="auto"/>
              <w:jc w:val="both"/>
              <w:rPr>
                <w:rFonts w:ascii="Book Antiqua" w:hAnsi="Book Antiqua"/>
                <w:sz w:val="24"/>
                <w:szCs w:val="24"/>
              </w:rPr>
            </w:pPr>
            <w:r>
              <w:rPr>
                <w:rFonts w:ascii="Book Antiqua" w:hAnsi="Book Antiqua"/>
                <w:sz w:val="24"/>
                <w:szCs w:val="24"/>
              </w:rPr>
              <w:t>135.9 (23-160.9)</w:t>
            </w:r>
          </w:p>
        </w:tc>
        <w:tc>
          <w:tcPr>
            <w:tcW w:w="1292" w:type="pct"/>
          </w:tcPr>
          <w:p>
            <w:pPr>
              <w:pStyle w:val="10"/>
              <w:spacing w:after="0" w:line="360" w:lineRule="auto"/>
              <w:jc w:val="both"/>
              <w:rPr>
                <w:rFonts w:ascii="Book Antiqua" w:hAnsi="Book Antiqua"/>
                <w:sz w:val="24"/>
                <w:szCs w:val="24"/>
              </w:rPr>
            </w:pPr>
            <w:r>
              <w:rPr>
                <w:rFonts w:ascii="Book Antiqua" w:hAnsi="Book Antiqua"/>
                <w:sz w:val="24"/>
                <w:szCs w:val="24"/>
              </w:rPr>
              <w:t>50.2 (16-145)</w:t>
            </w:r>
          </w:p>
        </w:tc>
        <w:tc>
          <w:tcPr>
            <w:tcW w:w="557" w:type="pct"/>
          </w:tcPr>
          <w:p>
            <w:pPr>
              <w:pStyle w:val="10"/>
              <w:spacing w:after="0" w:line="360" w:lineRule="auto"/>
              <w:jc w:val="both"/>
              <w:rPr>
                <w:rFonts w:ascii="Book Antiqua" w:hAnsi="Book Antiqua"/>
                <w:bCs/>
                <w:sz w:val="24"/>
                <w:szCs w:val="24"/>
              </w:rPr>
            </w:pPr>
            <w:r>
              <w:rPr>
                <w:rFonts w:ascii="Book Antiqua" w:hAnsi="Book Antiqua"/>
                <w:bCs/>
                <w:sz w:val="24"/>
                <w:szCs w:val="24"/>
              </w:rPr>
              <w:t>0.183</w:t>
            </w:r>
          </w:p>
        </w:tc>
      </w:tr>
    </w:tbl>
    <w:p>
      <w:pPr>
        <w:spacing w:line="360" w:lineRule="auto"/>
        <w:jc w:val="both"/>
        <w:rPr>
          <w:rStyle w:val="11"/>
          <w:rFonts w:ascii="Book Antiqua" w:hAnsi="Book Antiqua" w:eastAsia="Calibri"/>
          <w:bCs/>
          <w:i w:val="0"/>
          <w:color w:val="000000" w:themeColor="text1"/>
          <w:szCs w:val="24"/>
          <w:lang w:val="en-CA"/>
          <w14:textFill>
            <w14:solidFill>
              <w14:schemeClr w14:val="tx1"/>
            </w14:solidFill>
          </w14:textFill>
        </w:rPr>
      </w:pPr>
      <w:r>
        <w:rPr>
          <w:rStyle w:val="11"/>
          <w:rFonts w:ascii="Book Antiqua" w:hAnsi="Book Antiqua" w:eastAsia="Calibri"/>
          <w:bCs/>
          <w:i w:val="0"/>
          <w:color w:val="000000" w:themeColor="text1"/>
          <w:szCs w:val="24"/>
          <w:vertAlign w:val="superscript"/>
          <w:lang w:val="en-CA"/>
          <w14:textFill>
            <w14:solidFill>
              <w14:schemeClr w14:val="tx1"/>
            </w14:solidFill>
          </w14:textFill>
        </w:rPr>
        <w:t>a</w:t>
      </w:r>
      <w:r>
        <w:rPr>
          <w:rStyle w:val="11"/>
          <w:rFonts w:ascii="Book Antiqua" w:hAnsi="Book Antiqua" w:eastAsia="Calibri"/>
          <w:bCs/>
          <w:i w:val="0"/>
          <w:color w:val="000000" w:themeColor="text1"/>
          <w:szCs w:val="24"/>
          <w:lang w:val="en-CA"/>
          <w14:textFill>
            <w14:solidFill>
              <w14:schemeClr w14:val="tx1"/>
            </w14:solidFill>
          </w14:textFill>
        </w:rPr>
        <w:t>m</w:t>
      </w:r>
      <w:r>
        <w:rPr>
          <w:rStyle w:val="11"/>
          <w:rFonts w:ascii="Book Antiqua" w:hAnsi="Book Antiqua" w:eastAsia="Calibri"/>
          <w:bCs/>
          <w:i w:val="0"/>
          <w:color w:val="000000" w:themeColor="text1"/>
          <w:szCs w:val="24"/>
          <w:lang w:val="en-US"/>
          <w14:textFill>
            <w14:solidFill>
              <w14:schemeClr w14:val="tx1"/>
            </w14:solidFill>
          </w14:textFill>
        </w:rPr>
        <w:t>ean</w:t>
      </w:r>
      <w:r>
        <w:rPr>
          <w:rStyle w:val="11"/>
          <w:rFonts w:ascii="Book Antiqua" w:hAnsi="Book Antiqua" w:eastAsia="Calibri"/>
          <w:bCs/>
          <w:i w:val="0"/>
          <w:color w:val="000000" w:themeColor="text1"/>
          <w:szCs w:val="24"/>
          <w:lang w:val="en-CA"/>
          <w14:textFill>
            <w14:solidFill>
              <w14:schemeClr w14:val="tx1"/>
            </w14:solidFill>
          </w14:textFill>
        </w:rPr>
        <w:t xml:space="preserve"> ± SD.</w:t>
      </w:r>
    </w:p>
    <w:p>
      <w:pPr>
        <w:spacing w:line="360" w:lineRule="auto"/>
        <w:jc w:val="both"/>
      </w:pPr>
      <w:r>
        <w:rPr>
          <w:rStyle w:val="11"/>
          <w:rFonts w:ascii="Book Antiqua" w:hAnsi="Book Antiqua" w:eastAsia="Calibri"/>
          <w:bCs/>
          <w:i w:val="0"/>
          <w:color w:val="000000"/>
          <w:szCs w:val="24"/>
          <w:vertAlign w:val="superscript"/>
          <w:lang w:val="en-CA"/>
        </w:rPr>
        <w:t>b</w:t>
      </w:r>
      <w:r>
        <w:rPr>
          <w:rStyle w:val="11"/>
          <w:rFonts w:ascii="Book Antiqua" w:hAnsi="Book Antiqua" w:eastAsia="Calibri"/>
          <w:bCs/>
          <w:i w:val="0"/>
          <w:color w:val="000000"/>
          <w:szCs w:val="24"/>
          <w:lang w:val="en-CA"/>
        </w:rPr>
        <w:t>Median (interquartile ranges).</w:t>
      </w:r>
      <w:r>
        <w:t xml:space="preserve"> </w:t>
      </w:r>
    </w:p>
    <w:p>
      <w:pPr>
        <w:spacing w:line="360" w:lineRule="auto"/>
        <w:jc w:val="both"/>
        <w:rPr>
          <w:rFonts w:ascii="Book Antiqua" w:hAnsi="Book Antiqua"/>
          <w:i/>
          <w:lang w:val="en-CA"/>
        </w:rPr>
      </w:pPr>
      <w:r>
        <w:rPr>
          <w:rStyle w:val="11"/>
          <w:rFonts w:ascii="Book Antiqua" w:hAnsi="Book Antiqua" w:eastAsia="Calibri"/>
          <w:bCs/>
          <w:i w:val="0"/>
          <w:color w:val="000000"/>
          <w:szCs w:val="24"/>
          <w:lang w:val="en-CA"/>
        </w:rPr>
        <w:t xml:space="preserve">T2DM: </w:t>
      </w:r>
      <w:r>
        <w:rPr>
          <w:rStyle w:val="11"/>
          <w:rFonts w:hint="eastAsia" w:ascii="Book Antiqua" w:hAnsi="Book Antiqua" w:eastAsia="宋体"/>
          <w:bCs/>
          <w:i w:val="0"/>
          <w:color w:val="000000"/>
          <w:szCs w:val="24"/>
          <w:lang w:val="en-US" w:eastAsia="zh-CN"/>
        </w:rPr>
        <w:t xml:space="preserve">Type 2 </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iabetes mellitus; </w:t>
      </w:r>
      <w:r>
        <w:rPr>
          <w:rFonts w:ascii="Book Antiqua" w:hAnsi="Book Antiqua" w:eastAsia="Times New Roman"/>
        </w:rPr>
        <w:t>BMI:</w:t>
      </w:r>
      <w:r>
        <w:t xml:space="preserve"> </w:t>
      </w:r>
      <w:r>
        <w:rPr>
          <w:rFonts w:ascii="Book Antiqua" w:hAnsi="Book Antiqua" w:eastAsia="Times New Roman"/>
        </w:rPr>
        <w:t xml:space="preserve">Body mass index; HDL-C: </w:t>
      </w:r>
      <w:r>
        <w:rPr>
          <w:rFonts w:ascii="Book Antiqua" w:hAnsi="Book Antiqua" w:eastAsia="Book Antiqua" w:cs="Book Antiqua"/>
          <w:color w:val="000000"/>
        </w:rPr>
        <w:t>HDL cholesterol;</w:t>
      </w:r>
      <w:r>
        <w:rPr>
          <w:rFonts w:ascii="Book Antiqua" w:hAnsi="Book Antiqua" w:eastAsia="Times New Roman"/>
        </w:rPr>
        <w:t xml:space="preserve"> LDL-C: LDL cholesterol</w:t>
      </w:r>
      <w:r>
        <w:rPr>
          <w:rFonts w:ascii="Book Antiqua" w:hAnsi="Book Antiqua" w:eastAsia="Book Antiqua" w:cs="Book Antiqua"/>
          <w:color w:val="000000"/>
        </w:rPr>
        <w:t>;</w:t>
      </w:r>
      <w:r>
        <w:rPr>
          <w:rFonts w:ascii="Book Antiqua" w:hAnsi="Book Antiqua" w:eastAsia="Times New Roman"/>
        </w:rPr>
        <w:t xml:space="preserve"> ALT: Alanine aminotransferase; AST: Aspartate aminotransferase; HbA1c:</w:t>
      </w:r>
      <w:r>
        <w:t xml:space="preserve"> </w:t>
      </w:r>
      <w:r>
        <w:rPr>
          <w:rFonts w:ascii="Book Antiqua" w:hAnsi="Book Antiqua" w:eastAsia="Times New Roman"/>
        </w:rPr>
        <w:t>Hemoglobin A1c; SBP: Systolic blood pressure; DBP: Diastolic blood pressure; HOMA-IR:</w:t>
      </w:r>
      <w:r>
        <w:t xml:space="preserve"> </w:t>
      </w:r>
      <w:r>
        <w:rPr>
          <w:rFonts w:ascii="Book Antiqua" w:hAnsi="Book Antiqua" w:eastAsia="Times New Roman"/>
        </w:rPr>
        <w:t>Homeostatic Model of Assessment-Insulin Resistance</w:t>
      </w:r>
    </w:p>
    <w:p>
      <w:pPr>
        <w:spacing w:line="360" w:lineRule="auto"/>
        <w:jc w:val="both"/>
        <w:rPr>
          <w:rFonts w:ascii="Book Antiqua" w:hAnsi="Book Antiqua"/>
          <w:b/>
          <w:lang w:val="en-CA"/>
        </w:rPr>
      </w:pPr>
    </w:p>
    <w:p>
      <w:pPr>
        <w:spacing w:line="360" w:lineRule="auto"/>
        <w:jc w:val="both"/>
        <w:rPr>
          <w:rFonts w:ascii="Book Antiqua" w:hAnsi="Book Antiqua"/>
          <w:b/>
          <w:lang w:val="en-CA"/>
        </w:rPr>
      </w:pPr>
    </w:p>
    <w:p>
      <w:pPr>
        <w:spacing w:line="360" w:lineRule="auto"/>
        <w:jc w:val="both"/>
        <w:rPr>
          <w:rFonts w:ascii="Book Antiqua" w:hAnsi="Book Antiqua" w:cs="Arial"/>
          <w:color w:val="000000"/>
          <w:lang w:val="en-CA"/>
        </w:rPr>
      </w:pPr>
      <w:r>
        <w:rPr>
          <w:rFonts w:ascii="Book Antiqua" w:hAnsi="Book Antiqua"/>
          <w:b/>
          <w:lang w:val="en-CA"/>
        </w:rPr>
        <w:t xml:space="preserve">Table 2 Family member and perinatal antecedents in the two study groups, </w:t>
      </w:r>
      <w:r>
        <w:rPr>
          <w:rFonts w:ascii="Book Antiqua" w:hAnsi="Book Antiqua"/>
          <w:b/>
          <w:i/>
          <w:iCs/>
          <w:color w:val="000000"/>
        </w:rPr>
        <w:t>n</w:t>
      </w:r>
      <w:r>
        <w:rPr>
          <w:rFonts w:ascii="Book Antiqua" w:hAnsi="Book Antiqua"/>
          <w:b/>
          <w:color w:val="000000"/>
        </w:rPr>
        <w:t xml:space="preserve"> (%)</w:t>
      </w:r>
      <w:r>
        <w:rPr>
          <w:rFonts w:ascii="Book Antiqua" w:hAnsi="Book Antiqua"/>
          <w:b/>
          <w:lang w:val="en-CA"/>
        </w:rPr>
        <w:t xml:space="preserve"> </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24"/>
        <w:gridCol w:w="1840"/>
        <w:gridCol w:w="1096"/>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1833" w:type="pct"/>
            <w:vMerge w:val="restart"/>
            <w:tcBorders>
              <w:top w:val="single" w:color="auto" w:sz="4" w:space="0"/>
            </w:tcBorders>
            <w:noWrap/>
          </w:tcPr>
          <w:p>
            <w:pPr>
              <w:spacing w:line="360" w:lineRule="auto"/>
              <w:jc w:val="both"/>
              <w:rPr>
                <w:rFonts w:ascii="Book Antiqua" w:hAnsi="Book Antiqua" w:eastAsia="Times New Roman"/>
                <w:b/>
                <w:bCs/>
              </w:rPr>
            </w:pPr>
            <w:r>
              <w:rPr>
                <w:rFonts w:ascii="Book Antiqua" w:hAnsi="Book Antiqua" w:eastAsia="Times New Roman"/>
                <w:b/>
                <w:bCs/>
              </w:rPr>
              <w:t>Variable</w:t>
            </w:r>
          </w:p>
        </w:tc>
        <w:tc>
          <w:tcPr>
            <w:tcW w:w="1613"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Patients with T2DM (2013)</w:t>
            </w:r>
          </w:p>
        </w:tc>
        <w:tc>
          <w:tcPr>
            <w:tcW w:w="1005"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Patients with T2DM (2018)</w:t>
            </w:r>
          </w:p>
        </w:tc>
        <w:tc>
          <w:tcPr>
            <w:tcW w:w="549" w:type="pct"/>
            <w:vMerge w:val="restart"/>
            <w:tcBorders>
              <w:top w:val="single" w:color="auto" w:sz="4" w:space="0"/>
            </w:tcBorders>
          </w:tcPr>
          <w:p>
            <w:pPr>
              <w:spacing w:line="360" w:lineRule="auto"/>
              <w:jc w:val="both"/>
              <w:rPr>
                <w:rFonts w:ascii="Book Antiqua" w:hAnsi="Book Antiqua" w:eastAsia="Times New Roman"/>
                <w:b/>
                <w:bCs/>
                <w:i/>
              </w:rPr>
            </w:pPr>
            <w:r>
              <w:rPr>
                <w:rFonts w:ascii="Book Antiqua" w:hAnsi="Book Antiqua" w:eastAsia="Times New Roman"/>
                <w:b/>
                <w:bCs/>
                <w:i/>
              </w:rPr>
              <w:t>P</w:t>
            </w:r>
            <w:r>
              <w:rPr>
                <w:rFonts w:ascii="Book Antiqua" w:hAnsi="Book Antiqua" w:eastAsia="Times New Roman"/>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833" w:type="pct"/>
            <w:vMerge w:val="continue"/>
            <w:tcBorders>
              <w:bottom w:val="single" w:color="auto" w:sz="4" w:space="0"/>
            </w:tcBorders>
            <w:noWrap/>
          </w:tcPr>
          <w:p>
            <w:pPr>
              <w:spacing w:line="360" w:lineRule="auto"/>
              <w:jc w:val="both"/>
              <w:rPr>
                <w:rFonts w:ascii="Book Antiqua" w:hAnsi="Book Antiqua" w:eastAsia="Times New Roman"/>
                <w:b/>
                <w:bCs/>
              </w:rPr>
            </w:pPr>
          </w:p>
        </w:tc>
        <w:tc>
          <w:tcPr>
            <w:tcW w:w="1613"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rPr>
              <w:t>n</w:t>
            </w:r>
            <w:r>
              <w:rPr>
                <w:rFonts w:ascii="Book Antiqua" w:hAnsi="Book Antiqua" w:eastAsia="Times New Roman"/>
                <w:b/>
                <w:bCs/>
              </w:rPr>
              <w:t xml:space="preserve"> = 47</w:t>
            </w:r>
          </w:p>
        </w:tc>
        <w:tc>
          <w:tcPr>
            <w:tcW w:w="1005" w:type="pct"/>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i/>
              </w:rPr>
              <w:t>n</w:t>
            </w:r>
            <w:r>
              <w:rPr>
                <w:rFonts w:ascii="Book Antiqua" w:hAnsi="Book Antiqua" w:eastAsia="Times New Roman"/>
                <w:b/>
                <w:bCs/>
              </w:rPr>
              <w:t xml:space="preserve"> = 104</w:t>
            </w:r>
          </w:p>
        </w:tc>
        <w:tc>
          <w:tcPr>
            <w:tcW w:w="549" w:type="pct"/>
            <w:vMerge w:val="continue"/>
            <w:tcBorders>
              <w:bottom w:val="single" w:color="auto" w:sz="4" w:space="0"/>
            </w:tcBorders>
          </w:tcPr>
          <w:p>
            <w:pPr>
              <w:spacing w:line="360" w:lineRule="auto"/>
              <w:jc w:val="both"/>
              <w:rPr>
                <w:rFonts w:ascii="Book Antiqua" w:hAnsi="Book Antiqua" w:eastAsia="Times New Roman"/>
                <w:b/>
                <w:bCs/>
                <w: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tcBorders>
              <w:top w:val="single" w:color="auto" w:sz="4" w:space="0"/>
            </w:tcBorders>
            <w:noWrap/>
          </w:tcPr>
          <w:p>
            <w:pPr>
              <w:spacing w:line="360" w:lineRule="auto"/>
              <w:jc w:val="both"/>
              <w:rPr>
                <w:rFonts w:ascii="Book Antiqua" w:hAnsi="Book Antiqua" w:eastAsia="Times New Roman"/>
                <w:lang w:val="en-CA"/>
              </w:rPr>
            </w:pPr>
            <w:r>
              <w:rPr>
                <w:rFonts w:ascii="Book Antiqua" w:hAnsi="Book Antiqua" w:eastAsia="Times New Roman"/>
                <w:lang w:val="en-CA"/>
              </w:rPr>
              <w:t>History of T2DM, in relatives of 1° and 2° [</w:t>
            </w:r>
            <w:r>
              <w:rPr>
                <w:rFonts w:ascii="Book Antiqua" w:hAnsi="Book Antiqua" w:eastAsia="Times New Roman"/>
                <w:i/>
                <w:lang w:val="en-CA"/>
              </w:rPr>
              <w:t>n</w:t>
            </w:r>
            <w:r>
              <w:rPr>
                <w:rFonts w:ascii="Book Antiqua" w:hAnsi="Book Antiqua" w:eastAsia="Times New Roman"/>
                <w:lang w:val="en-CA"/>
              </w:rPr>
              <w:t xml:space="preserve"> (%)]</w:t>
            </w:r>
          </w:p>
        </w:tc>
        <w:tc>
          <w:tcPr>
            <w:tcW w:w="1613" w:type="pct"/>
            <w:tcBorders>
              <w:top w:val="single" w:color="auto" w:sz="4" w:space="0"/>
            </w:tcBorders>
          </w:tcPr>
          <w:p>
            <w:pPr>
              <w:pStyle w:val="10"/>
              <w:spacing w:after="0" w:line="360" w:lineRule="auto"/>
              <w:jc w:val="both"/>
              <w:rPr>
                <w:rFonts w:ascii="Book Antiqua" w:hAnsi="Book Antiqua"/>
                <w:sz w:val="24"/>
                <w:szCs w:val="24"/>
              </w:rPr>
            </w:pPr>
            <w:r>
              <w:rPr>
                <w:rFonts w:ascii="Book Antiqua" w:hAnsi="Book Antiqua"/>
                <w:sz w:val="24"/>
                <w:szCs w:val="24"/>
              </w:rPr>
              <w:t>24 (51.1)</w:t>
            </w:r>
          </w:p>
        </w:tc>
        <w:tc>
          <w:tcPr>
            <w:tcW w:w="1005" w:type="pct"/>
            <w:tcBorders>
              <w:top w:val="single" w:color="auto" w:sz="4" w:space="0"/>
            </w:tcBorders>
          </w:tcPr>
          <w:p>
            <w:pPr>
              <w:pStyle w:val="10"/>
              <w:spacing w:after="0" w:line="360" w:lineRule="auto"/>
              <w:jc w:val="both"/>
              <w:rPr>
                <w:rFonts w:ascii="Book Antiqua" w:hAnsi="Book Antiqua"/>
                <w:sz w:val="24"/>
                <w:szCs w:val="24"/>
              </w:rPr>
            </w:pPr>
            <w:r>
              <w:rPr>
                <w:rFonts w:ascii="Book Antiqua" w:hAnsi="Book Antiqua"/>
                <w:sz w:val="24"/>
                <w:szCs w:val="24"/>
              </w:rPr>
              <w:t>79 (75.9)</w:t>
            </w:r>
          </w:p>
        </w:tc>
        <w:tc>
          <w:tcPr>
            <w:tcW w:w="549" w:type="pct"/>
            <w:tcBorders>
              <w:top w:val="single" w:color="auto" w:sz="4" w:space="0"/>
            </w:tcBorders>
          </w:tcPr>
          <w:p>
            <w:pPr>
              <w:pStyle w:val="10"/>
              <w:spacing w:after="0" w:line="360" w:lineRule="auto"/>
              <w:jc w:val="both"/>
              <w:rPr>
                <w:rFonts w:ascii="Book Antiqua" w:hAnsi="Book Antiqua"/>
                <w:b/>
                <w:bCs/>
                <w:sz w:val="24"/>
                <w:szCs w:val="24"/>
              </w:rPr>
            </w:pPr>
            <w:r>
              <w:rPr>
                <w:rFonts w:ascii="Book Antiqua" w:hAnsi="Book Antiqua"/>
                <w:b/>
                <w:bCs/>
                <w:sz w:val="24"/>
                <w:szCs w:val="24"/>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noWrap/>
          </w:tcPr>
          <w:p>
            <w:pPr>
              <w:spacing w:line="360" w:lineRule="auto"/>
              <w:jc w:val="both"/>
              <w:rPr>
                <w:rFonts w:ascii="Book Antiqua" w:hAnsi="Book Antiqua" w:eastAsia="Times New Roman"/>
                <w:vertAlign w:val="superscript"/>
                <w:lang w:val="en-CA"/>
              </w:rPr>
            </w:pPr>
            <w:r>
              <w:rPr>
                <w:rFonts w:ascii="Book Antiqua" w:hAnsi="Book Antiqua" w:eastAsia="Times New Roman"/>
                <w:lang w:val="en-CA"/>
              </w:rPr>
              <w:t xml:space="preserve">Antecedent of obesity </w:t>
            </w:r>
            <w:r>
              <w:rPr>
                <w:rFonts w:hint="eastAsia" w:ascii="Book Antiqua" w:hAnsi="Book Antiqua" w:eastAsia="宋体"/>
                <w:lang w:eastAsia="zh-CN"/>
              </w:rPr>
              <w:t>i</w:t>
            </w:r>
            <w:r>
              <w:rPr>
                <w:rFonts w:ascii="Book Antiqua" w:hAnsi="Book Antiqua" w:eastAsia="Times New Roman"/>
                <w:lang w:val="en-CA"/>
              </w:rPr>
              <w:t>n relatives of 1° and 2° [</w:t>
            </w:r>
            <w:r>
              <w:rPr>
                <w:rFonts w:ascii="Book Antiqua" w:hAnsi="Book Antiqua" w:eastAsia="Times New Roman"/>
                <w:i/>
                <w:lang w:val="en-CA"/>
              </w:rPr>
              <w:t>n</w:t>
            </w:r>
            <w:r>
              <w:rPr>
                <w:rFonts w:ascii="Book Antiqua" w:hAnsi="Book Antiqua" w:eastAsia="Times New Roman"/>
                <w:lang w:val="en-CA"/>
              </w:rPr>
              <w:t xml:space="preserve"> (%)]</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31 (65.9)</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84 (80.7)</w:t>
            </w:r>
          </w:p>
        </w:tc>
        <w:tc>
          <w:tcPr>
            <w:tcW w:w="549" w:type="pct"/>
          </w:tcPr>
          <w:p>
            <w:pPr>
              <w:pStyle w:val="10"/>
              <w:spacing w:after="0" w:line="360" w:lineRule="auto"/>
              <w:jc w:val="both"/>
              <w:rPr>
                <w:rFonts w:ascii="Book Antiqua" w:hAnsi="Book Antiqua"/>
                <w:b/>
                <w:bCs/>
                <w:sz w:val="24"/>
                <w:szCs w:val="24"/>
              </w:rPr>
            </w:pPr>
            <w:r>
              <w:rPr>
                <w:rFonts w:ascii="Book Antiqua" w:hAnsi="Book Antiqua"/>
                <w:b/>
                <w:bCs/>
                <w:sz w:val="24"/>
                <w:szCs w:val="24"/>
              </w:rPr>
              <w:t>0.048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tcBorders>
              <w:bottom w:val="nil"/>
            </w:tcBorders>
            <w:noWrap/>
          </w:tcPr>
          <w:p>
            <w:pPr>
              <w:spacing w:line="360" w:lineRule="auto"/>
              <w:jc w:val="both"/>
              <w:rPr>
                <w:rFonts w:ascii="Book Antiqua" w:hAnsi="Book Antiqua" w:eastAsia="Times New Roman"/>
              </w:rPr>
            </w:pPr>
            <w:r>
              <w:rPr>
                <w:rFonts w:ascii="Book Antiqua" w:hAnsi="Book Antiqua" w:eastAsia="Times New Roman"/>
              </w:rPr>
              <w:t xml:space="preserve">Antecedent of DM </w:t>
            </w:r>
            <w:r>
              <w:rPr>
                <w:rFonts w:ascii="Book Antiqua" w:hAnsi="Book Antiqua" w:eastAsia="Times New Roman"/>
                <w:lang w:val="en-CA"/>
              </w:rPr>
              <w:t>[</w:t>
            </w:r>
            <w:r>
              <w:rPr>
                <w:rFonts w:ascii="Book Antiqua" w:hAnsi="Book Antiqua" w:eastAsia="Times New Roman"/>
                <w:i/>
                <w:lang w:val="en-CA"/>
              </w:rPr>
              <w:t>n</w:t>
            </w:r>
            <w:r>
              <w:rPr>
                <w:rFonts w:ascii="Book Antiqua" w:hAnsi="Book Antiqua" w:eastAsia="Times New Roman"/>
                <w:lang w:val="en-CA"/>
              </w:rPr>
              <w:t xml:space="preserve"> (%)]</w:t>
            </w:r>
          </w:p>
        </w:tc>
        <w:tc>
          <w:tcPr>
            <w:tcW w:w="1613" w:type="pct"/>
            <w:tcBorders>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7 (14.9)</w:t>
            </w:r>
          </w:p>
        </w:tc>
        <w:tc>
          <w:tcPr>
            <w:tcW w:w="1005" w:type="pct"/>
            <w:tcBorders>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9 (8.7)</w:t>
            </w:r>
          </w:p>
        </w:tc>
        <w:tc>
          <w:tcPr>
            <w:tcW w:w="549" w:type="pct"/>
            <w:tcBorders>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0.249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833" w:type="pct"/>
            <w:tcBorders>
              <w:top w:val="nil"/>
              <w:bottom w:val="nil"/>
            </w:tcBorders>
            <w:noWrap/>
          </w:tcPr>
          <w:p>
            <w:pPr>
              <w:spacing w:line="360" w:lineRule="auto"/>
              <w:jc w:val="both"/>
              <w:rPr>
                <w:rFonts w:ascii="Book Antiqua" w:hAnsi="Book Antiqua" w:eastAsia="Times New Roman"/>
              </w:rPr>
            </w:pPr>
            <w:r>
              <w:rPr>
                <w:rFonts w:ascii="Book Antiqua" w:hAnsi="Book Antiqua" w:eastAsia="Times New Roman"/>
              </w:rPr>
              <w:t>Weight at birth (kg)</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3.31 ± 0.66</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3.03 ± 0.44</w:t>
            </w:r>
          </w:p>
        </w:tc>
        <w:tc>
          <w:tcPr>
            <w:tcW w:w="549"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833" w:type="pct"/>
            <w:tcBorders>
              <w:top w:val="nil"/>
              <w:bottom w:val="nil"/>
            </w:tcBorders>
            <w:noWrap/>
          </w:tcPr>
          <w:p>
            <w:pPr>
              <w:spacing w:line="360" w:lineRule="auto"/>
              <w:jc w:val="both"/>
              <w:rPr>
                <w:rFonts w:ascii="Book Antiqua" w:hAnsi="Book Antiqua" w:eastAsia="Times New Roman"/>
              </w:rPr>
            </w:pPr>
            <w:r>
              <w:rPr>
                <w:rFonts w:ascii="Book Antiqua" w:hAnsi="Book Antiqua" w:eastAsia="Times New Roman"/>
              </w:rPr>
              <w:t xml:space="preserve">Socioeconomic </w:t>
            </w:r>
            <w:r>
              <w:rPr>
                <w:rFonts w:hint="eastAsia" w:ascii="Book Antiqua" w:hAnsi="Book Antiqua" w:eastAsia="宋体"/>
                <w:lang w:eastAsia="zh-CN"/>
              </w:rPr>
              <w:t>s</w:t>
            </w:r>
            <w:r>
              <w:rPr>
                <w:rFonts w:ascii="Book Antiqua" w:hAnsi="Book Antiqua" w:eastAsia="Times New Roman"/>
              </w:rPr>
              <w:t>tatus</w:t>
            </w:r>
            <w:r>
              <w:rPr>
                <w:rFonts w:ascii="Book Antiqua" w:hAnsi="Book Antiqua" w:eastAsia="Times New Roman"/>
                <w:vertAlign w:val="superscript"/>
              </w:rPr>
              <w:t>a,b</w:t>
            </w:r>
          </w:p>
        </w:tc>
        <w:tc>
          <w:tcPr>
            <w:tcW w:w="1613" w:type="pct"/>
            <w:tcBorders>
              <w:top w:val="nil"/>
              <w:bottom w:val="nil"/>
            </w:tcBorders>
          </w:tcPr>
          <w:p>
            <w:pPr>
              <w:pStyle w:val="10"/>
              <w:spacing w:after="0" w:line="360" w:lineRule="auto"/>
              <w:jc w:val="both"/>
              <w:rPr>
                <w:rFonts w:ascii="Book Antiqua" w:hAnsi="Book Antiqua"/>
                <w:sz w:val="24"/>
                <w:szCs w:val="24"/>
              </w:rPr>
            </w:pPr>
          </w:p>
        </w:tc>
        <w:tc>
          <w:tcPr>
            <w:tcW w:w="1005" w:type="pct"/>
            <w:tcBorders>
              <w:top w:val="nil"/>
              <w:bottom w:val="nil"/>
            </w:tcBorders>
          </w:tcPr>
          <w:p>
            <w:pPr>
              <w:pStyle w:val="10"/>
              <w:spacing w:after="0" w:line="360" w:lineRule="auto"/>
              <w:jc w:val="both"/>
              <w:rPr>
                <w:rFonts w:ascii="Book Antiqua" w:hAnsi="Book Antiqua"/>
                <w:sz w:val="24"/>
                <w:szCs w:val="24"/>
              </w:rPr>
            </w:pP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 xml:space="preserve">Upper </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5 (10.6)</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6 (5.8)</w:t>
            </w: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Upper-middle</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6 (12.8)</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6 (5.8)</w:t>
            </w: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Middle</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6 (12.8)</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18 (17.3)</w:t>
            </w:r>
          </w:p>
        </w:tc>
        <w:tc>
          <w:tcPr>
            <w:tcW w:w="549" w:type="pct"/>
            <w:tcBorders>
              <w:top w:val="nil"/>
              <w:bottom w:val="nil"/>
            </w:tcBorders>
          </w:tcPr>
          <w:p>
            <w:pPr>
              <w:pStyle w:val="10"/>
              <w:spacing w:after="0" w:line="360" w:lineRule="auto"/>
              <w:jc w:val="both"/>
              <w:rPr>
                <w:rFonts w:ascii="Book Antiqua" w:hAnsi="Book Antiqua"/>
                <w:b/>
                <w:bCs/>
                <w:sz w:val="24"/>
                <w:szCs w:val="24"/>
              </w:rPr>
            </w:pPr>
            <w:r>
              <w:rPr>
                <w:rFonts w:ascii="Book Antiqua" w:hAnsi="Book Antiqua"/>
                <w:b/>
                <w:bCs/>
                <w:sz w:val="24"/>
                <w:szCs w:val="24"/>
              </w:rPr>
              <w:t>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Lower-middle</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16 (34)</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18 (17.3)</w:t>
            </w: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Upper-Lower</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10 (21.3)</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28 (26.9)</w:t>
            </w: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833" w:type="pct"/>
            <w:tcBorders>
              <w:top w:val="nil"/>
              <w:bottom w:val="nil"/>
            </w:tcBorders>
            <w:noWrap/>
          </w:tcPr>
          <w:p>
            <w:pPr>
              <w:spacing w:line="360" w:lineRule="auto"/>
              <w:ind w:left="321"/>
              <w:jc w:val="both"/>
              <w:rPr>
                <w:rFonts w:ascii="Book Antiqua" w:hAnsi="Book Antiqua" w:eastAsia="Times New Roman"/>
              </w:rPr>
            </w:pPr>
            <w:r>
              <w:rPr>
                <w:rFonts w:ascii="Book Antiqua" w:hAnsi="Book Antiqua" w:eastAsia="Times New Roman"/>
              </w:rPr>
              <w:t>Lower</w:t>
            </w:r>
          </w:p>
        </w:tc>
        <w:tc>
          <w:tcPr>
            <w:tcW w:w="1613"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4 (8.5)</w:t>
            </w:r>
          </w:p>
        </w:tc>
        <w:tc>
          <w:tcPr>
            <w:tcW w:w="1005" w:type="pct"/>
            <w:tcBorders>
              <w:top w:val="nil"/>
              <w:bottom w:val="nil"/>
            </w:tcBorders>
          </w:tcPr>
          <w:p>
            <w:pPr>
              <w:pStyle w:val="10"/>
              <w:spacing w:after="0" w:line="360" w:lineRule="auto"/>
              <w:jc w:val="both"/>
              <w:rPr>
                <w:rFonts w:ascii="Book Antiqua" w:hAnsi="Book Antiqua"/>
                <w:sz w:val="24"/>
                <w:szCs w:val="24"/>
              </w:rPr>
            </w:pPr>
            <w:r>
              <w:rPr>
                <w:rFonts w:ascii="Book Antiqua" w:hAnsi="Book Antiqua"/>
                <w:sz w:val="24"/>
                <w:szCs w:val="24"/>
              </w:rPr>
              <w:t>28 (26.9)</w:t>
            </w:r>
          </w:p>
        </w:tc>
        <w:tc>
          <w:tcPr>
            <w:tcW w:w="549" w:type="pct"/>
            <w:tcBorders>
              <w:top w:val="nil"/>
              <w:bottom w:val="nil"/>
            </w:tcBorders>
          </w:tcPr>
          <w:p>
            <w:pPr>
              <w:pStyle w:val="10"/>
              <w:spacing w:after="0" w:line="360" w:lineRule="auto"/>
              <w:jc w:val="both"/>
              <w:rPr>
                <w:rFonts w:ascii="Book Antiqua" w:hAnsi="Book Antiqua"/>
                <w:b/>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tcBorders>
              <w:top w:val="nil"/>
            </w:tcBorders>
            <w:noWrap/>
          </w:tcPr>
          <w:p>
            <w:pPr>
              <w:spacing w:line="360" w:lineRule="auto"/>
              <w:jc w:val="both"/>
              <w:rPr>
                <w:rFonts w:ascii="Book Antiqua" w:hAnsi="Book Antiqua" w:eastAsia="Times New Roman"/>
                <w:vertAlign w:val="superscript"/>
              </w:rPr>
            </w:pPr>
            <w:r>
              <w:rPr>
                <w:rFonts w:ascii="Book Antiqua" w:hAnsi="Book Antiqua" w:eastAsia="Times New Roman"/>
              </w:rPr>
              <w:t>Comorbidities</w:t>
            </w:r>
          </w:p>
        </w:tc>
        <w:tc>
          <w:tcPr>
            <w:tcW w:w="1613" w:type="pct"/>
            <w:tcBorders>
              <w:top w:val="nil"/>
            </w:tcBorders>
          </w:tcPr>
          <w:p>
            <w:pPr>
              <w:pStyle w:val="10"/>
              <w:spacing w:after="0" w:line="360" w:lineRule="auto"/>
              <w:jc w:val="both"/>
              <w:rPr>
                <w:rFonts w:ascii="Book Antiqua" w:hAnsi="Book Antiqua"/>
                <w:sz w:val="24"/>
                <w:szCs w:val="24"/>
              </w:rPr>
            </w:pPr>
          </w:p>
        </w:tc>
        <w:tc>
          <w:tcPr>
            <w:tcW w:w="1005" w:type="pct"/>
            <w:tcBorders>
              <w:top w:val="nil"/>
            </w:tcBorders>
          </w:tcPr>
          <w:p>
            <w:pPr>
              <w:pStyle w:val="10"/>
              <w:spacing w:after="0" w:line="360" w:lineRule="auto"/>
              <w:jc w:val="both"/>
              <w:rPr>
                <w:rFonts w:ascii="Book Antiqua" w:hAnsi="Book Antiqua"/>
                <w:sz w:val="24"/>
                <w:szCs w:val="24"/>
              </w:rPr>
            </w:pPr>
          </w:p>
        </w:tc>
        <w:tc>
          <w:tcPr>
            <w:tcW w:w="549" w:type="pct"/>
            <w:tcBorders>
              <w:top w:val="nil"/>
            </w:tcBorders>
          </w:tcPr>
          <w:p>
            <w:pPr>
              <w:pStyle w:val="10"/>
              <w:spacing w:after="0" w:line="360" w:lineRule="auto"/>
              <w:jc w:val="both"/>
              <w:rPr>
                <w:rFonts w:ascii="Book Antiqua" w:hAnsi="Book Antiqua"/>
                <w:bCs/>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noWrap/>
          </w:tcPr>
          <w:p>
            <w:pPr>
              <w:spacing w:line="360" w:lineRule="auto"/>
              <w:jc w:val="both"/>
              <w:rPr>
                <w:rFonts w:ascii="Book Antiqua" w:hAnsi="Book Antiqua" w:eastAsia="Times New Roman"/>
                <w:vertAlign w:val="superscript"/>
              </w:rPr>
            </w:pPr>
            <w:r>
              <w:rPr>
                <w:rFonts w:ascii="Book Antiqua" w:hAnsi="Book Antiqua" w:eastAsia="Times New Roman"/>
              </w:rPr>
              <w:t xml:space="preserve">Hypercholesterolemia </w:t>
            </w:r>
            <w:r>
              <w:rPr>
                <w:rFonts w:ascii="Book Antiqua" w:hAnsi="Book Antiqua" w:eastAsia="Times New Roman"/>
                <w:lang w:val="en-CA"/>
              </w:rPr>
              <w:t>[</w:t>
            </w:r>
            <w:r>
              <w:rPr>
                <w:rFonts w:ascii="Book Antiqua" w:hAnsi="Book Antiqua" w:eastAsia="Times New Roman"/>
                <w:i/>
                <w:lang w:val="en-CA"/>
              </w:rPr>
              <w:t>n</w:t>
            </w:r>
            <w:r>
              <w:rPr>
                <w:rFonts w:ascii="Book Antiqua" w:hAnsi="Book Antiqua" w:eastAsia="Times New Roman"/>
                <w:lang w:val="en-CA"/>
              </w:rPr>
              <w:t xml:space="preserve"> (%)]</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22 (46.8)</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29 (27.9)</w:t>
            </w:r>
          </w:p>
        </w:tc>
        <w:tc>
          <w:tcPr>
            <w:tcW w:w="549" w:type="pct"/>
          </w:tcPr>
          <w:p>
            <w:pPr>
              <w:pStyle w:val="10"/>
              <w:spacing w:after="0" w:line="360" w:lineRule="auto"/>
              <w:jc w:val="both"/>
              <w:rPr>
                <w:rFonts w:ascii="Book Antiqua" w:hAnsi="Book Antiqua"/>
                <w:b/>
                <w:sz w:val="24"/>
                <w:szCs w:val="24"/>
              </w:rPr>
            </w:pPr>
            <w:r>
              <w:rPr>
                <w:rFonts w:ascii="Book Antiqua" w:hAnsi="Book Antiqua"/>
                <w:b/>
                <w:sz w:val="24"/>
                <w:szCs w:val="24"/>
              </w:rPr>
              <w:t>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noWrap/>
          </w:tcPr>
          <w:p>
            <w:pPr>
              <w:spacing w:line="360" w:lineRule="auto"/>
              <w:jc w:val="both"/>
              <w:rPr>
                <w:rFonts w:ascii="Book Antiqua" w:hAnsi="Book Antiqua" w:eastAsia="Times New Roman"/>
                <w:vertAlign w:val="superscript"/>
              </w:rPr>
            </w:pPr>
            <w:r>
              <w:rPr>
                <w:rFonts w:ascii="Book Antiqua" w:hAnsi="Book Antiqua" w:eastAsia="Times New Roman"/>
              </w:rPr>
              <w:t>Hypertriglyceridemia</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27 (57.4)</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78 (75.0)</w:t>
            </w:r>
          </w:p>
        </w:tc>
        <w:tc>
          <w:tcPr>
            <w:tcW w:w="549" w:type="pct"/>
          </w:tcPr>
          <w:p>
            <w:pPr>
              <w:pStyle w:val="10"/>
              <w:spacing w:after="0" w:line="360" w:lineRule="auto"/>
              <w:jc w:val="both"/>
              <w:rPr>
                <w:rFonts w:ascii="Book Antiqua" w:hAnsi="Book Antiqua"/>
                <w:b/>
                <w:sz w:val="24"/>
                <w:szCs w:val="24"/>
              </w:rPr>
            </w:pPr>
            <w:r>
              <w:rPr>
                <w:rFonts w:ascii="Book Antiqua" w:hAnsi="Book Antiqua"/>
                <w:b/>
                <w:sz w:val="24"/>
                <w:szCs w:val="24"/>
              </w:rPr>
              <w:t>0.030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833" w:type="pct"/>
            <w:noWrap/>
          </w:tcPr>
          <w:p>
            <w:pPr>
              <w:spacing w:line="360" w:lineRule="auto"/>
              <w:jc w:val="both"/>
              <w:rPr>
                <w:rFonts w:ascii="Book Antiqua" w:hAnsi="Book Antiqua" w:eastAsia="Times New Roman"/>
                <w:vertAlign w:val="superscript"/>
              </w:rPr>
            </w:pPr>
            <w:r>
              <w:rPr>
                <w:rFonts w:ascii="Book Antiqua" w:hAnsi="Book Antiqua" w:eastAsia="Times New Roman"/>
              </w:rPr>
              <w:t>Hypoalphalipoproteinemia</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19 (40.4)</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16 (15.4)</w:t>
            </w:r>
          </w:p>
        </w:tc>
        <w:tc>
          <w:tcPr>
            <w:tcW w:w="549" w:type="pct"/>
          </w:tcPr>
          <w:p>
            <w:pPr>
              <w:pStyle w:val="10"/>
              <w:spacing w:after="0" w:line="360" w:lineRule="auto"/>
              <w:jc w:val="both"/>
              <w:rPr>
                <w:rFonts w:ascii="Book Antiqua" w:hAnsi="Book Antiqua"/>
                <w:b/>
                <w:sz w:val="24"/>
                <w:szCs w:val="24"/>
              </w:rPr>
            </w:pPr>
            <w:r>
              <w:rPr>
                <w:rFonts w:ascii="Book Antiqua" w:hAnsi="Book Antiqua"/>
                <w:b/>
                <w:sz w:val="24"/>
                <w:szCs w:val="24"/>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833" w:type="pct"/>
            <w:noWrap/>
          </w:tcPr>
          <w:p>
            <w:pPr>
              <w:spacing w:line="360" w:lineRule="auto"/>
              <w:jc w:val="both"/>
              <w:rPr>
                <w:rFonts w:ascii="Book Antiqua" w:hAnsi="Book Antiqua" w:eastAsia="Times New Roman"/>
                <w:vertAlign w:val="superscript"/>
              </w:rPr>
            </w:pPr>
            <w:r>
              <w:rPr>
                <w:rFonts w:ascii="Book Antiqua" w:hAnsi="Book Antiqua" w:eastAsia="Times New Roman"/>
              </w:rPr>
              <w:t xml:space="preserve">Hepatic </w:t>
            </w:r>
            <w:r>
              <w:rPr>
                <w:rFonts w:hint="eastAsia" w:ascii="Book Antiqua" w:hAnsi="Book Antiqua" w:eastAsia="宋体"/>
                <w:lang w:eastAsia="zh-CN"/>
              </w:rPr>
              <w:t>s</w:t>
            </w:r>
            <w:r>
              <w:rPr>
                <w:rFonts w:ascii="Book Antiqua" w:hAnsi="Book Antiqua" w:eastAsia="Times New Roman"/>
              </w:rPr>
              <w:t>teatosis</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6 (12.8)</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22 (21.2)</w:t>
            </w:r>
          </w:p>
        </w:tc>
        <w:tc>
          <w:tcPr>
            <w:tcW w:w="549" w:type="pct"/>
          </w:tcPr>
          <w:p>
            <w:pPr>
              <w:pStyle w:val="10"/>
              <w:spacing w:after="0" w:line="360" w:lineRule="auto"/>
              <w:jc w:val="both"/>
              <w:rPr>
                <w:rFonts w:ascii="Book Antiqua" w:hAnsi="Book Antiqua"/>
                <w:bCs/>
                <w:sz w:val="24"/>
                <w:szCs w:val="24"/>
              </w:rPr>
            </w:pPr>
            <w:r>
              <w:rPr>
                <w:rFonts w:ascii="Book Antiqua" w:hAnsi="Book Antiqua"/>
                <w:bCs/>
                <w:sz w:val="24"/>
                <w:szCs w:val="24"/>
              </w:rPr>
              <w:t>0.219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833" w:type="pct"/>
            <w:noWrap/>
          </w:tcPr>
          <w:p>
            <w:pPr>
              <w:spacing w:line="360" w:lineRule="auto"/>
              <w:jc w:val="both"/>
              <w:rPr>
                <w:rFonts w:ascii="Book Antiqua" w:hAnsi="Book Antiqua" w:eastAsia="Times New Roman"/>
                <w:vertAlign w:val="superscript"/>
              </w:rPr>
            </w:pPr>
            <w:r>
              <w:rPr>
                <w:rFonts w:ascii="Book Antiqua" w:hAnsi="Book Antiqua" w:eastAsia="Times New Roman"/>
              </w:rPr>
              <w:t>Arterial hypertension</w:t>
            </w:r>
          </w:p>
        </w:tc>
        <w:tc>
          <w:tcPr>
            <w:tcW w:w="1613" w:type="pct"/>
          </w:tcPr>
          <w:p>
            <w:pPr>
              <w:pStyle w:val="10"/>
              <w:spacing w:after="0" w:line="360" w:lineRule="auto"/>
              <w:jc w:val="both"/>
              <w:rPr>
                <w:rFonts w:ascii="Book Antiqua" w:hAnsi="Book Antiqua"/>
                <w:sz w:val="24"/>
                <w:szCs w:val="24"/>
              </w:rPr>
            </w:pPr>
            <w:r>
              <w:rPr>
                <w:rFonts w:ascii="Book Antiqua" w:hAnsi="Book Antiqua"/>
                <w:sz w:val="24"/>
                <w:szCs w:val="24"/>
              </w:rPr>
              <w:t>5 (10.6)</w:t>
            </w:r>
          </w:p>
        </w:tc>
        <w:tc>
          <w:tcPr>
            <w:tcW w:w="1005" w:type="pct"/>
          </w:tcPr>
          <w:p>
            <w:pPr>
              <w:pStyle w:val="10"/>
              <w:spacing w:after="0" w:line="360" w:lineRule="auto"/>
              <w:jc w:val="both"/>
              <w:rPr>
                <w:rFonts w:ascii="Book Antiqua" w:hAnsi="Book Antiqua"/>
                <w:sz w:val="24"/>
                <w:szCs w:val="24"/>
              </w:rPr>
            </w:pPr>
            <w:r>
              <w:rPr>
                <w:rFonts w:ascii="Book Antiqua" w:hAnsi="Book Antiqua"/>
                <w:sz w:val="24"/>
                <w:szCs w:val="24"/>
              </w:rPr>
              <w:t>22 (22.3)</w:t>
            </w:r>
          </w:p>
        </w:tc>
        <w:tc>
          <w:tcPr>
            <w:tcW w:w="549" w:type="pct"/>
          </w:tcPr>
          <w:p>
            <w:pPr>
              <w:pStyle w:val="10"/>
              <w:spacing w:after="0" w:line="360" w:lineRule="auto"/>
              <w:jc w:val="both"/>
              <w:rPr>
                <w:rFonts w:ascii="Book Antiqua" w:hAnsi="Book Antiqua"/>
                <w:b/>
                <w:sz w:val="24"/>
                <w:szCs w:val="24"/>
              </w:rPr>
            </w:pPr>
            <w:r>
              <w:rPr>
                <w:rFonts w:ascii="Book Antiqua" w:hAnsi="Book Antiqua"/>
                <w:b/>
                <w:sz w:val="24"/>
                <w:szCs w:val="24"/>
              </w:rPr>
              <w:t>0.021</w:t>
            </w:r>
          </w:p>
        </w:tc>
      </w:tr>
    </w:tbl>
    <w:p>
      <w:pPr>
        <w:spacing w:line="360" w:lineRule="auto"/>
        <w:jc w:val="both"/>
        <w:rPr>
          <w:rStyle w:val="11"/>
          <w:rFonts w:ascii="Book Antiqua" w:hAnsi="Book Antiqua" w:eastAsiaTheme="minorEastAsia"/>
          <w:bCs/>
          <w:i w:val="0"/>
          <w:color w:val="000000" w:themeColor="text1"/>
          <w:szCs w:val="24"/>
          <w:lang w:val="en-CA" w:eastAsia="zh-CN"/>
          <w14:textFill>
            <w14:solidFill>
              <w14:schemeClr w14:val="tx1"/>
            </w14:solidFill>
          </w14:textFill>
        </w:rPr>
      </w:pPr>
      <w:r>
        <w:rPr>
          <w:rStyle w:val="11"/>
          <w:rFonts w:ascii="Book Antiqua" w:hAnsi="Book Antiqua" w:eastAsia="Calibri"/>
          <w:bCs/>
          <w:i w:val="0"/>
          <w:color w:val="000000" w:themeColor="text1"/>
          <w:szCs w:val="24"/>
          <w:vertAlign w:val="superscript"/>
          <w:lang w:val="en-CA"/>
          <w14:textFill>
            <w14:solidFill>
              <w14:schemeClr w14:val="tx1"/>
            </w14:solidFill>
          </w14:textFill>
        </w:rPr>
        <w:t>a</w:t>
      </w:r>
      <w:r>
        <w:rPr>
          <w:rStyle w:val="11"/>
          <w:rFonts w:ascii="Book Antiqua" w:hAnsi="Book Antiqua" w:eastAsia="Calibri"/>
          <w:bCs/>
          <w:i w:val="0"/>
          <w:color w:val="000000" w:themeColor="text1"/>
          <w:szCs w:val="24"/>
          <w:lang w:val="en-CA"/>
          <w14:textFill>
            <w14:solidFill>
              <w14:schemeClr w14:val="tx1"/>
            </w14:solidFill>
          </w14:textFill>
        </w:rPr>
        <w:t>AMAI/NSE 8 × 7 model</w:t>
      </w:r>
      <w:r>
        <w:rPr>
          <w:rStyle w:val="11"/>
          <w:rFonts w:hint="eastAsia" w:ascii="Book Antiqua" w:hAnsi="Book Antiqua" w:eastAsiaTheme="minorEastAsia"/>
          <w:bCs/>
          <w:i w:val="0"/>
          <w:color w:val="000000" w:themeColor="text1"/>
          <w:szCs w:val="24"/>
          <w:lang w:val="en-CA" w:eastAsia="zh-CN"/>
          <w14:textFill>
            <w14:solidFill>
              <w14:schemeClr w14:val="tx1"/>
            </w14:solidFill>
          </w14:textFill>
        </w:rPr>
        <w:t>.</w:t>
      </w:r>
    </w:p>
    <w:p>
      <w:pPr>
        <w:spacing w:line="360" w:lineRule="auto"/>
        <w:jc w:val="both"/>
        <w:rPr>
          <w:rStyle w:val="11"/>
          <w:rFonts w:ascii="Book Antiqua" w:hAnsi="Book Antiqua" w:eastAsia="Calibri"/>
          <w:bCs/>
          <w:i w:val="0"/>
          <w:color w:val="000000" w:themeColor="text1"/>
          <w:szCs w:val="24"/>
          <w:lang w:val="en-CA"/>
          <w14:textFill>
            <w14:solidFill>
              <w14:schemeClr w14:val="tx1"/>
            </w14:solidFill>
          </w14:textFill>
        </w:rPr>
      </w:pPr>
      <w:r>
        <w:rPr>
          <w:rStyle w:val="11"/>
          <w:rFonts w:ascii="Book Antiqua" w:hAnsi="Book Antiqua" w:eastAsia="Calibri"/>
          <w:bCs/>
          <w:i w:val="0"/>
          <w:color w:val="000000" w:themeColor="text1"/>
          <w:szCs w:val="24"/>
          <w:vertAlign w:val="superscript"/>
          <w:lang w:val="en-CA"/>
          <w14:textFill>
            <w14:solidFill>
              <w14:schemeClr w14:val="tx1"/>
            </w14:solidFill>
          </w14:textFill>
        </w:rPr>
        <w:t>b</w:t>
      </w:r>
      <w:r>
        <w:rPr>
          <w:rStyle w:val="11"/>
          <w:rFonts w:ascii="Book Antiqua" w:hAnsi="Book Antiqua" w:eastAsia="Calibri"/>
          <w:bCs/>
          <w:i w:val="0"/>
          <w:color w:val="000000" w:themeColor="text1"/>
          <w:szCs w:val="24"/>
          <w:lang w:val="en-CA"/>
          <w14:textFill>
            <w14:solidFill>
              <w14:schemeClr w14:val="tx1"/>
            </w14:solidFill>
          </w14:textFill>
        </w:rPr>
        <w:t xml:space="preserve">Pearson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Style w:val="11"/>
          <w:rFonts w:ascii="Book Antiqua" w:hAnsi="Book Antiqua" w:eastAsia="Calibri"/>
          <w:bCs/>
          <w:i w:val="0"/>
          <w:color w:val="000000" w:themeColor="text1"/>
          <w:szCs w:val="24"/>
          <w:lang w:val="en-CA"/>
          <w14:textFill>
            <w14:solidFill>
              <w14:schemeClr w14:val="tx1"/>
            </w14:solidFill>
          </w14:textFill>
        </w:rPr>
        <w:t xml:space="preserve"> test.</w:t>
      </w:r>
    </w:p>
    <w:p>
      <w:pPr>
        <w:spacing w:line="360" w:lineRule="auto"/>
        <w:jc w:val="both"/>
        <w:rPr>
          <w:rFonts w:ascii="Book Antiqua" w:hAnsi="Book Antiqua"/>
          <w:i/>
          <w:color w:val="000000" w:themeColor="text1"/>
          <w14:textFill>
            <w14:solidFill>
              <w14:schemeClr w14:val="tx1"/>
            </w14:solidFill>
          </w14:textFill>
        </w:rPr>
      </w:pPr>
      <w:r>
        <w:rPr>
          <w:rStyle w:val="11"/>
          <w:rFonts w:ascii="Book Antiqua" w:hAnsi="Book Antiqua" w:eastAsia="Calibri"/>
          <w:bCs/>
          <w:i w:val="0"/>
          <w:color w:val="000000"/>
          <w:szCs w:val="24"/>
          <w:lang w:val="en-CA"/>
        </w:rPr>
        <w:t xml:space="preserve">T2DM: </w:t>
      </w:r>
      <w:r>
        <w:rPr>
          <w:rStyle w:val="11"/>
          <w:rFonts w:hint="eastAsia" w:ascii="Book Antiqua" w:hAnsi="Book Antiqua" w:eastAsia="宋体"/>
          <w:bCs/>
          <w:i w:val="0"/>
          <w:color w:val="000000"/>
          <w:szCs w:val="24"/>
          <w:lang w:val="en-US" w:eastAsia="zh-CN"/>
        </w:rPr>
        <w:t xml:space="preserve">Type 2 </w:t>
      </w:r>
      <w:r>
        <w:rPr>
          <w:rFonts w:hint="eastAsia" w:ascii="Book Antiqua" w:hAnsi="Book Antiqua" w:eastAsia="宋体" w:cs="Book Antiqua"/>
          <w:color w:val="000000"/>
          <w:lang w:eastAsia="zh-CN"/>
        </w:rPr>
        <w:t>d</w:t>
      </w:r>
      <w:r>
        <w:rPr>
          <w:rFonts w:ascii="Book Antiqua" w:hAnsi="Book Antiqua" w:eastAsia="Book Antiqua" w:cs="Book Antiqua"/>
          <w:color w:val="000000"/>
        </w:rPr>
        <w:t>iabetes mellitus.</w:t>
      </w:r>
      <w:bookmarkStart w:id="4" w:name="_GoBack"/>
      <w:bookmarkEnd w:id="4"/>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60563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7003"/>
    <w:rsid w:val="000307CE"/>
    <w:rsid w:val="00033E55"/>
    <w:rsid w:val="00053EFB"/>
    <w:rsid w:val="00073A2C"/>
    <w:rsid w:val="000900DA"/>
    <w:rsid w:val="00090951"/>
    <w:rsid w:val="00097FB0"/>
    <w:rsid w:val="000B6CF7"/>
    <w:rsid w:val="000C4C1A"/>
    <w:rsid w:val="000C4E10"/>
    <w:rsid w:val="000D1FAA"/>
    <w:rsid w:val="000E1B64"/>
    <w:rsid w:val="000E6398"/>
    <w:rsid w:val="0013084E"/>
    <w:rsid w:val="00142DC6"/>
    <w:rsid w:val="001434CA"/>
    <w:rsid w:val="0016397A"/>
    <w:rsid w:val="00190630"/>
    <w:rsid w:val="001944D6"/>
    <w:rsid w:val="001A5BD7"/>
    <w:rsid w:val="001A5DBE"/>
    <w:rsid w:val="001C3E13"/>
    <w:rsid w:val="001D121E"/>
    <w:rsid w:val="001D2821"/>
    <w:rsid w:val="001D5CC6"/>
    <w:rsid w:val="001F1F9B"/>
    <w:rsid w:val="00202849"/>
    <w:rsid w:val="0021021A"/>
    <w:rsid w:val="00213634"/>
    <w:rsid w:val="00232F8F"/>
    <w:rsid w:val="00255E19"/>
    <w:rsid w:val="00256B6E"/>
    <w:rsid w:val="00257E9E"/>
    <w:rsid w:val="002671A1"/>
    <w:rsid w:val="002704DC"/>
    <w:rsid w:val="00296996"/>
    <w:rsid w:val="002B0C56"/>
    <w:rsid w:val="002B3C9D"/>
    <w:rsid w:val="002C098A"/>
    <w:rsid w:val="002C44EF"/>
    <w:rsid w:val="002D1470"/>
    <w:rsid w:val="00300038"/>
    <w:rsid w:val="00304096"/>
    <w:rsid w:val="003043AC"/>
    <w:rsid w:val="00305E1B"/>
    <w:rsid w:val="00306EBC"/>
    <w:rsid w:val="00310998"/>
    <w:rsid w:val="00320DA1"/>
    <w:rsid w:val="00330DA4"/>
    <w:rsid w:val="00333866"/>
    <w:rsid w:val="00337C4F"/>
    <w:rsid w:val="00342B91"/>
    <w:rsid w:val="003453E4"/>
    <w:rsid w:val="0035026F"/>
    <w:rsid w:val="0035273E"/>
    <w:rsid w:val="00352DA6"/>
    <w:rsid w:val="00356614"/>
    <w:rsid w:val="0037351D"/>
    <w:rsid w:val="003752B5"/>
    <w:rsid w:val="00380D07"/>
    <w:rsid w:val="00391AFA"/>
    <w:rsid w:val="00395BAD"/>
    <w:rsid w:val="003A4174"/>
    <w:rsid w:val="003B55E7"/>
    <w:rsid w:val="003D1143"/>
    <w:rsid w:val="003E1EC4"/>
    <w:rsid w:val="003E50E3"/>
    <w:rsid w:val="003E6444"/>
    <w:rsid w:val="00434EEB"/>
    <w:rsid w:val="004414CC"/>
    <w:rsid w:val="0044216F"/>
    <w:rsid w:val="00442912"/>
    <w:rsid w:val="00455AC6"/>
    <w:rsid w:val="00460921"/>
    <w:rsid w:val="0046456B"/>
    <w:rsid w:val="00465C05"/>
    <w:rsid w:val="00466BD2"/>
    <w:rsid w:val="004732CF"/>
    <w:rsid w:val="00481F6E"/>
    <w:rsid w:val="0049678D"/>
    <w:rsid w:val="004B7105"/>
    <w:rsid w:val="004B742C"/>
    <w:rsid w:val="004C4FAF"/>
    <w:rsid w:val="004C6D19"/>
    <w:rsid w:val="004D60A5"/>
    <w:rsid w:val="004D6F52"/>
    <w:rsid w:val="004E5BEB"/>
    <w:rsid w:val="004E67A1"/>
    <w:rsid w:val="005371DC"/>
    <w:rsid w:val="00540C7D"/>
    <w:rsid w:val="005537FB"/>
    <w:rsid w:val="00553F48"/>
    <w:rsid w:val="0056119E"/>
    <w:rsid w:val="00566651"/>
    <w:rsid w:val="005670A8"/>
    <w:rsid w:val="00575467"/>
    <w:rsid w:val="00575FE3"/>
    <w:rsid w:val="00591508"/>
    <w:rsid w:val="005956D6"/>
    <w:rsid w:val="005A33AB"/>
    <w:rsid w:val="005A3A71"/>
    <w:rsid w:val="005B7979"/>
    <w:rsid w:val="005C7729"/>
    <w:rsid w:val="005D7083"/>
    <w:rsid w:val="006132E4"/>
    <w:rsid w:val="00617A24"/>
    <w:rsid w:val="00634DF9"/>
    <w:rsid w:val="00643FB4"/>
    <w:rsid w:val="00646E4D"/>
    <w:rsid w:val="0067757A"/>
    <w:rsid w:val="00695694"/>
    <w:rsid w:val="006A2CF1"/>
    <w:rsid w:val="006A3F98"/>
    <w:rsid w:val="006C47E6"/>
    <w:rsid w:val="006D5569"/>
    <w:rsid w:val="006E042E"/>
    <w:rsid w:val="006E239C"/>
    <w:rsid w:val="006E330E"/>
    <w:rsid w:val="006E7036"/>
    <w:rsid w:val="007049BC"/>
    <w:rsid w:val="00714024"/>
    <w:rsid w:val="00714ACA"/>
    <w:rsid w:val="0071641D"/>
    <w:rsid w:val="00740B52"/>
    <w:rsid w:val="0077031B"/>
    <w:rsid w:val="007706A3"/>
    <w:rsid w:val="0077522A"/>
    <w:rsid w:val="007932EB"/>
    <w:rsid w:val="007A19B4"/>
    <w:rsid w:val="007A5359"/>
    <w:rsid w:val="007B18A2"/>
    <w:rsid w:val="007B1CAA"/>
    <w:rsid w:val="007B5A51"/>
    <w:rsid w:val="007B6BEE"/>
    <w:rsid w:val="007E2772"/>
    <w:rsid w:val="007E51AD"/>
    <w:rsid w:val="007E7234"/>
    <w:rsid w:val="007F3699"/>
    <w:rsid w:val="0080130C"/>
    <w:rsid w:val="00802B7C"/>
    <w:rsid w:val="00805AFC"/>
    <w:rsid w:val="0080771F"/>
    <w:rsid w:val="00813551"/>
    <w:rsid w:val="00814F97"/>
    <w:rsid w:val="008153CF"/>
    <w:rsid w:val="00844D00"/>
    <w:rsid w:val="00847FEB"/>
    <w:rsid w:val="00850017"/>
    <w:rsid w:val="00851FB3"/>
    <w:rsid w:val="008600EB"/>
    <w:rsid w:val="00884BB0"/>
    <w:rsid w:val="00894957"/>
    <w:rsid w:val="008A1250"/>
    <w:rsid w:val="008A4640"/>
    <w:rsid w:val="008B4220"/>
    <w:rsid w:val="008C2BCA"/>
    <w:rsid w:val="008C467C"/>
    <w:rsid w:val="008C732C"/>
    <w:rsid w:val="008D4EC8"/>
    <w:rsid w:val="008D6467"/>
    <w:rsid w:val="008F2695"/>
    <w:rsid w:val="008F6290"/>
    <w:rsid w:val="008F6644"/>
    <w:rsid w:val="00906159"/>
    <w:rsid w:val="00906489"/>
    <w:rsid w:val="009079CC"/>
    <w:rsid w:val="009147C9"/>
    <w:rsid w:val="00930919"/>
    <w:rsid w:val="00987C15"/>
    <w:rsid w:val="009B1B62"/>
    <w:rsid w:val="009B1D14"/>
    <w:rsid w:val="009B53D6"/>
    <w:rsid w:val="009C7AE3"/>
    <w:rsid w:val="009D0199"/>
    <w:rsid w:val="009D04D8"/>
    <w:rsid w:val="009E6FA0"/>
    <w:rsid w:val="009F51E5"/>
    <w:rsid w:val="00A05744"/>
    <w:rsid w:val="00A0794E"/>
    <w:rsid w:val="00A35E69"/>
    <w:rsid w:val="00A600A9"/>
    <w:rsid w:val="00A611E2"/>
    <w:rsid w:val="00A65037"/>
    <w:rsid w:val="00A72ABA"/>
    <w:rsid w:val="00A77B3E"/>
    <w:rsid w:val="00A90D4E"/>
    <w:rsid w:val="00A94C29"/>
    <w:rsid w:val="00A94E1C"/>
    <w:rsid w:val="00AA30F1"/>
    <w:rsid w:val="00AA6A0F"/>
    <w:rsid w:val="00AB7ED8"/>
    <w:rsid w:val="00AC4FFF"/>
    <w:rsid w:val="00AC61A2"/>
    <w:rsid w:val="00AD1D64"/>
    <w:rsid w:val="00AD626E"/>
    <w:rsid w:val="00AE4CDE"/>
    <w:rsid w:val="00B043B8"/>
    <w:rsid w:val="00B04942"/>
    <w:rsid w:val="00B0775D"/>
    <w:rsid w:val="00B2248E"/>
    <w:rsid w:val="00B32299"/>
    <w:rsid w:val="00B32CCC"/>
    <w:rsid w:val="00B341AD"/>
    <w:rsid w:val="00B34E57"/>
    <w:rsid w:val="00B416ED"/>
    <w:rsid w:val="00B50A21"/>
    <w:rsid w:val="00B60CF0"/>
    <w:rsid w:val="00B638D1"/>
    <w:rsid w:val="00B65EC9"/>
    <w:rsid w:val="00B91CFE"/>
    <w:rsid w:val="00B923D1"/>
    <w:rsid w:val="00BA7812"/>
    <w:rsid w:val="00BD08AA"/>
    <w:rsid w:val="00BD1997"/>
    <w:rsid w:val="00BE3DC9"/>
    <w:rsid w:val="00BE5EC1"/>
    <w:rsid w:val="00BF1D86"/>
    <w:rsid w:val="00BF3B09"/>
    <w:rsid w:val="00BF58FC"/>
    <w:rsid w:val="00C0182D"/>
    <w:rsid w:val="00C01BD5"/>
    <w:rsid w:val="00C02A9D"/>
    <w:rsid w:val="00C03323"/>
    <w:rsid w:val="00C10242"/>
    <w:rsid w:val="00C15E9D"/>
    <w:rsid w:val="00C34CB2"/>
    <w:rsid w:val="00C41B03"/>
    <w:rsid w:val="00C45673"/>
    <w:rsid w:val="00C503ED"/>
    <w:rsid w:val="00C63451"/>
    <w:rsid w:val="00C63EEF"/>
    <w:rsid w:val="00C66216"/>
    <w:rsid w:val="00C71614"/>
    <w:rsid w:val="00C825AD"/>
    <w:rsid w:val="00C85AA5"/>
    <w:rsid w:val="00C8621E"/>
    <w:rsid w:val="00CA01F7"/>
    <w:rsid w:val="00CA2A55"/>
    <w:rsid w:val="00D240F6"/>
    <w:rsid w:val="00D46E0B"/>
    <w:rsid w:val="00D4747F"/>
    <w:rsid w:val="00D50DCF"/>
    <w:rsid w:val="00D55C2F"/>
    <w:rsid w:val="00D610C1"/>
    <w:rsid w:val="00D65133"/>
    <w:rsid w:val="00D66495"/>
    <w:rsid w:val="00D72FD3"/>
    <w:rsid w:val="00D95A24"/>
    <w:rsid w:val="00DA1471"/>
    <w:rsid w:val="00DA78FB"/>
    <w:rsid w:val="00DB3C07"/>
    <w:rsid w:val="00DC378F"/>
    <w:rsid w:val="00DE46A4"/>
    <w:rsid w:val="00DE6CB8"/>
    <w:rsid w:val="00E0397C"/>
    <w:rsid w:val="00E1592A"/>
    <w:rsid w:val="00E246BA"/>
    <w:rsid w:val="00E325F3"/>
    <w:rsid w:val="00E36630"/>
    <w:rsid w:val="00E44121"/>
    <w:rsid w:val="00E52E50"/>
    <w:rsid w:val="00E53B58"/>
    <w:rsid w:val="00E55FFE"/>
    <w:rsid w:val="00E66524"/>
    <w:rsid w:val="00E72F8D"/>
    <w:rsid w:val="00E911D2"/>
    <w:rsid w:val="00E961C9"/>
    <w:rsid w:val="00EA32D2"/>
    <w:rsid w:val="00EA3A89"/>
    <w:rsid w:val="00EA4C20"/>
    <w:rsid w:val="00EB3B61"/>
    <w:rsid w:val="00EB427B"/>
    <w:rsid w:val="00EB6E6E"/>
    <w:rsid w:val="00EC3DC6"/>
    <w:rsid w:val="00ED4452"/>
    <w:rsid w:val="00EE657A"/>
    <w:rsid w:val="00EE736A"/>
    <w:rsid w:val="00EF1769"/>
    <w:rsid w:val="00EF583F"/>
    <w:rsid w:val="00F21600"/>
    <w:rsid w:val="00F33B78"/>
    <w:rsid w:val="00F361B6"/>
    <w:rsid w:val="00F36E7C"/>
    <w:rsid w:val="00F420B0"/>
    <w:rsid w:val="00F5073E"/>
    <w:rsid w:val="00F96B66"/>
    <w:rsid w:val="00FA3420"/>
    <w:rsid w:val="00FB7724"/>
    <w:rsid w:val="00FC2D78"/>
    <w:rsid w:val="00FC46DC"/>
    <w:rsid w:val="00FC6CC7"/>
    <w:rsid w:val="00FE2955"/>
    <w:rsid w:val="00FE4895"/>
    <w:rsid w:val="00FF48F8"/>
    <w:rsid w:val="00FF709D"/>
    <w:rsid w:val="08BC4BE0"/>
    <w:rsid w:val="12800054"/>
    <w:rsid w:val="1E55624D"/>
    <w:rsid w:val="36DD0D45"/>
    <w:rsid w:val="386019AE"/>
    <w:rsid w:val="4DE70B42"/>
    <w:rsid w:val="7E71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style>
  <w:style w:type="paragraph" w:styleId="3">
    <w:name w:val="Balloon Text"/>
    <w:basedOn w:val="1"/>
    <w:link w:val="14"/>
    <w:semiHidden/>
    <w:unhideWhenUsed/>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uiPriority w:val="0"/>
    <w:rPr>
      <w:sz w:val="21"/>
      <w:szCs w:val="21"/>
    </w:rPr>
  </w:style>
  <w:style w:type="paragraph" w:customStyle="1" w:styleId="10">
    <w:name w:val="Decimal Aligned"/>
    <w:basedOn w:val="1"/>
    <w:qFormat/>
    <w:uiPriority w:val="40"/>
    <w:pPr>
      <w:tabs>
        <w:tab w:val="decimal" w:pos="360"/>
      </w:tabs>
      <w:spacing w:after="200" w:line="276" w:lineRule="auto"/>
    </w:pPr>
    <w:rPr>
      <w:rFonts w:ascii="Calibri" w:hAnsi="Calibri" w:eastAsia="Times New Roman"/>
      <w:sz w:val="22"/>
      <w:szCs w:val="22"/>
      <w:lang w:val="es-ES"/>
    </w:rPr>
  </w:style>
  <w:style w:type="character" w:customStyle="1" w:styleId="11">
    <w:name w:val="Énfasis sutil1"/>
    <w:qFormat/>
    <w:uiPriority w:val="19"/>
    <w:rPr>
      <w:rFonts w:eastAsia="Times New Roman" w:cs="Times New Roman"/>
      <w:i/>
      <w:iCs/>
      <w:color w:val="808080"/>
      <w:szCs w:val="22"/>
      <w:lang w:val="es-ES"/>
    </w:rPr>
  </w:style>
  <w:style w:type="character" w:customStyle="1" w:styleId="12">
    <w:name w:val="Texto comentario Car"/>
    <w:basedOn w:val="8"/>
    <w:link w:val="2"/>
    <w:qFormat/>
    <w:uiPriority w:val="99"/>
    <w:rPr>
      <w:sz w:val="24"/>
      <w:szCs w:val="24"/>
    </w:rPr>
  </w:style>
  <w:style w:type="character" w:customStyle="1" w:styleId="13">
    <w:name w:val="Asunto del comentario Car"/>
    <w:basedOn w:val="12"/>
    <w:link w:val="6"/>
    <w:semiHidden/>
    <w:qFormat/>
    <w:uiPriority w:val="0"/>
    <w:rPr>
      <w:b/>
      <w:bCs/>
      <w:sz w:val="24"/>
      <w:szCs w:val="24"/>
    </w:rPr>
  </w:style>
  <w:style w:type="character" w:customStyle="1" w:styleId="14">
    <w:name w:val="Texto de globo Car"/>
    <w:basedOn w:val="8"/>
    <w:link w:val="3"/>
    <w:semiHidden/>
    <w:uiPriority w:val="0"/>
    <w:rPr>
      <w:sz w:val="18"/>
      <w:szCs w:val="18"/>
    </w:rPr>
  </w:style>
  <w:style w:type="character" w:customStyle="1" w:styleId="15">
    <w:name w:val="Encabezado Car"/>
    <w:basedOn w:val="8"/>
    <w:link w:val="5"/>
    <w:uiPriority w:val="0"/>
    <w:rPr>
      <w:sz w:val="18"/>
      <w:szCs w:val="18"/>
    </w:rPr>
  </w:style>
  <w:style w:type="character" w:customStyle="1" w:styleId="16">
    <w:name w:val="Pie de página Car"/>
    <w:basedOn w:val="8"/>
    <w:link w:val="4"/>
    <w:uiPriority w:val="99"/>
    <w:rPr>
      <w:sz w:val="18"/>
      <w:szCs w:val="18"/>
    </w:rPr>
  </w:style>
  <w:style w:type="paragraph" w:customStyle="1" w:styleId="17">
    <w:name w:val="Revisión1"/>
    <w:hidden/>
    <w:semiHidden/>
    <w:qFormat/>
    <w:uiPriority w:val="99"/>
    <w:rPr>
      <w:rFonts w:ascii="Times New Roman" w:hAnsi="Times New Roman" w:cs="Times New Roman" w:eastAsiaTheme="minorEastAsia"/>
      <w:sz w:val="24"/>
      <w:szCs w:val="24"/>
      <w:lang w:val="en-US" w:eastAsia="en-US" w:bidi="ar-SA"/>
    </w:rPr>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4888</Words>
  <Characters>27267</Characters>
  <Lines>230</Lines>
  <Paragraphs>65</Paragraphs>
  <TotalTime>14</TotalTime>
  <ScaleCrop>false</ScaleCrop>
  <LinksUpToDate>false</LinksUpToDate>
  <CharactersWithSpaces>31896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2023-02-14T18:24:00Z</dcterms:created>
  <dc:creator>Mario Molina Diaz</dc:creator>
  <cp:lastModifiedBy>WPS_1673360041</cp:lastModifiedBy>
  <dcterms:modified xsi:type="dcterms:W3CDTF">2023-02-16T02:12:56Z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B4201CE5756D4E93A10567F487DF51D7</vt:lpwstr>
  </property>
</Properties>
</file>