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76645</w:t>
      </w:r>
    </w:p>
    <w:p>
      <w:pPr>
        <w:spacing w:line="360" w:lineRule="auto"/>
        <w:jc w:val="both"/>
      </w:pPr>
      <w:r>
        <w:rPr>
          <w:rFonts w:ascii="Book Antiqua" w:hAnsi="Book Antiqua" w:eastAsia="Book Antiqua" w:cs="Book Antiqua"/>
          <w:b/>
          <w:color w:val="000000"/>
        </w:rPr>
        <w:t xml:space="preserve">Manuscript Type: </w:t>
      </w:r>
      <w:bookmarkStart w:id="0" w:name="OLE_LINK8"/>
      <w:r>
        <w:rPr>
          <w:rFonts w:ascii="Book Antiqua" w:hAnsi="Book Antiqua" w:eastAsia="Book Antiqua" w:cs="Book Antiqua"/>
          <w:color w:val="000000"/>
        </w:rPr>
        <w:t>CASE REPORT</w:t>
      </w:r>
      <w:bookmarkEnd w:id="0"/>
    </w:p>
    <w:p>
      <w:pPr>
        <w:spacing w:line="360" w:lineRule="auto"/>
        <w:jc w:val="both"/>
      </w:pPr>
    </w:p>
    <w:p>
      <w:pPr>
        <w:spacing w:line="360" w:lineRule="auto"/>
        <w:jc w:val="both"/>
      </w:pPr>
      <w:bookmarkStart w:id="1" w:name="OLE_LINK44"/>
      <w:bookmarkStart w:id="2" w:name="OLE_LINK3"/>
      <w:bookmarkStart w:id="3" w:name="OLE_LINK2"/>
      <w:bookmarkStart w:id="4" w:name="OLE_LINK1"/>
      <w:r>
        <w:rPr>
          <w:rFonts w:ascii="Book Antiqua" w:hAnsi="Book Antiqua" w:eastAsia="Book Antiqua" w:cs="Book Antiqua"/>
          <w:b/>
          <w:color w:val="000000"/>
        </w:rPr>
        <w:t>Simultaneous bilateral floating knee: A case report</w:t>
      </w:r>
    </w:p>
    <w:bookmarkEnd w:id="1"/>
    <w:bookmarkEnd w:id="2"/>
    <w:bookmarkEnd w:id="3"/>
    <w:bookmarkEnd w:id="4"/>
    <w:p>
      <w:pPr>
        <w:spacing w:line="360" w:lineRule="auto"/>
        <w:jc w:val="both"/>
      </w:pPr>
    </w:p>
    <w:p>
      <w:pPr>
        <w:spacing w:line="360" w:lineRule="auto"/>
        <w:jc w:val="both"/>
      </w:pPr>
      <w:r>
        <w:rPr>
          <w:rFonts w:ascii="Book Antiqua" w:hAnsi="Book Antiqua" w:eastAsia="Book Antiqua" w:cs="Book Antiqua"/>
          <w:color w:val="000000"/>
        </w:rPr>
        <w:t xml:space="preserve">Wu </w:t>
      </w:r>
      <w:r>
        <w:rPr>
          <w:rFonts w:hint="eastAsia" w:ascii="Book Antiqua" w:hAnsi="Book Antiqua" w:cs="Book Antiqua"/>
          <w:color w:val="000000"/>
          <w:lang w:eastAsia="zh-CN"/>
        </w:rPr>
        <w:t xml:space="preserve">CM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5" w:name="OLE_LINK45"/>
      <w:bookmarkStart w:id="6" w:name="OLE_LINK5"/>
      <w:bookmarkStart w:id="7" w:name="OLE_LINK4"/>
      <w:r>
        <w:rPr>
          <w:rFonts w:ascii="Book Antiqua" w:hAnsi="Book Antiqua" w:eastAsia="Book Antiqua" w:cs="Book Antiqua"/>
          <w:color w:val="000000"/>
        </w:rPr>
        <w:t>Bilateral floating knee</w:t>
      </w:r>
      <w:bookmarkEnd w:id="5"/>
      <w:bookmarkEnd w:id="6"/>
      <w:bookmarkEnd w:id="7"/>
    </w:p>
    <w:p>
      <w:pPr>
        <w:spacing w:line="360" w:lineRule="auto"/>
        <w:jc w:val="both"/>
      </w:pPr>
    </w:p>
    <w:p>
      <w:pPr>
        <w:spacing w:line="360" w:lineRule="auto"/>
        <w:jc w:val="both"/>
      </w:pPr>
      <w:r>
        <w:rPr>
          <w:rFonts w:ascii="Book Antiqua" w:hAnsi="Book Antiqua" w:eastAsia="Book Antiqua" w:cs="Book Antiqua"/>
          <w:color w:val="000000"/>
        </w:rPr>
        <w:t xml:space="preserve">Chi-Ming </w:t>
      </w:r>
      <w:bookmarkStart w:id="8" w:name="OLE_LINK31"/>
      <w:bookmarkStart w:id="9" w:name="OLE_LINK30"/>
      <w:r>
        <w:rPr>
          <w:rFonts w:ascii="Book Antiqua" w:hAnsi="Book Antiqua" w:eastAsia="Book Antiqua" w:cs="Book Antiqua"/>
          <w:color w:val="000000"/>
        </w:rPr>
        <w:t>Wu</w:t>
      </w:r>
      <w:bookmarkEnd w:id="8"/>
      <w:bookmarkEnd w:id="9"/>
      <w:r>
        <w:rPr>
          <w:rFonts w:ascii="Book Antiqua" w:hAnsi="Book Antiqua" w:eastAsia="Book Antiqua" w:cs="Book Antiqua"/>
          <w:color w:val="000000"/>
        </w:rPr>
        <w:t>, Hung-En Liao, Shou-Jen Lan</w:t>
      </w:r>
    </w:p>
    <w:p>
      <w:pPr>
        <w:spacing w:line="360" w:lineRule="auto"/>
        <w:jc w:val="both"/>
      </w:pPr>
    </w:p>
    <w:p>
      <w:pPr>
        <w:spacing w:line="360" w:lineRule="auto"/>
        <w:jc w:val="both"/>
        <w:rPr>
          <w:rFonts w:ascii="Book Antiqua" w:hAnsi="Book Antiqua" w:cs="Book Antiqua"/>
          <w:color w:val="000000"/>
          <w:lang w:eastAsia="zh-CN"/>
        </w:rPr>
      </w:pPr>
      <w:bookmarkStart w:id="10" w:name="OLE_LINK33"/>
      <w:bookmarkStart w:id="11" w:name="OLE_LINK32"/>
      <w:r>
        <w:rPr>
          <w:rFonts w:ascii="Book Antiqua" w:hAnsi="Book Antiqua" w:eastAsia="Book Antiqua" w:cs="Book Antiqua"/>
          <w:b/>
          <w:bCs/>
          <w:color w:val="000000"/>
        </w:rPr>
        <w:t xml:space="preserve">Chi-Ming Wu, </w:t>
      </w:r>
      <w:bookmarkEnd w:id="10"/>
      <w:bookmarkEnd w:id="11"/>
      <w:bookmarkStart w:id="12" w:name="OLE_LINK15"/>
      <w:bookmarkStart w:id="13" w:name="OLE_LINK16"/>
      <w:r>
        <w:rPr>
          <w:rFonts w:ascii="Book Antiqua" w:hAnsi="Book Antiqua" w:eastAsia="Book Antiqua" w:cs="Book Antiqua"/>
          <w:color w:val="000000"/>
        </w:rPr>
        <w:t xml:space="preserve">Department </w:t>
      </w:r>
      <w:r>
        <w:rPr>
          <w:rFonts w:hint="eastAsia" w:ascii="Book Antiqua" w:hAnsi="Book Antiqua" w:cs="Book Antiqua"/>
          <w:color w:val="000000"/>
          <w:lang w:eastAsia="zh-CN"/>
        </w:rPr>
        <w:t xml:space="preserve">of </w:t>
      </w:r>
      <w:r>
        <w:rPr>
          <w:rFonts w:ascii="Book Antiqua" w:hAnsi="Book Antiqua" w:eastAsia="Book Antiqua" w:cs="Book Antiqua"/>
          <w:color w:val="000000"/>
        </w:rPr>
        <w:t xml:space="preserve">Orthopaedic, </w:t>
      </w:r>
      <w:bookmarkStart w:id="14" w:name="OLE_LINK41"/>
      <w:bookmarkStart w:id="15" w:name="OLE_LINK40"/>
      <w:r>
        <w:rPr>
          <w:rFonts w:ascii="Book Antiqua" w:hAnsi="Book Antiqua" w:eastAsia="Book Antiqua" w:cs="Book Antiqua"/>
          <w:color w:val="000000"/>
        </w:rPr>
        <w:t>Jen-Ai Hospital</w:t>
      </w:r>
      <w:bookmarkEnd w:id="12"/>
      <w:bookmarkEnd w:id="13"/>
      <w:bookmarkEnd w:id="14"/>
      <w:bookmarkEnd w:id="15"/>
      <w:r>
        <w:rPr>
          <w:rFonts w:ascii="Book Antiqua" w:hAnsi="Book Antiqua" w:eastAsia="Book Antiqua" w:cs="Book Antiqua"/>
          <w:color w:val="000000"/>
        </w:rPr>
        <w:t>, Taichung</w:t>
      </w:r>
      <w:r>
        <w:rPr>
          <w:rFonts w:hint="eastAsia" w:ascii="Book Antiqua" w:hAnsi="Book Antiqua" w:cs="Book Antiqua"/>
          <w:color w:val="000000"/>
          <w:lang w:eastAsia="zh-CN"/>
        </w:rPr>
        <w:t xml:space="preserve"> 42481</w:t>
      </w:r>
      <w:r>
        <w:rPr>
          <w:rFonts w:ascii="Book Antiqua" w:hAnsi="Book Antiqua" w:eastAsia="Book Antiqua" w:cs="Book Antiqua"/>
          <w:color w:val="000000"/>
        </w:rPr>
        <w:t>, Taiwan</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bookmarkStart w:id="16" w:name="OLE_LINK35"/>
      <w:bookmarkStart w:id="17" w:name="OLE_LINK34"/>
      <w:r>
        <w:rPr>
          <w:rFonts w:ascii="Book Antiqua" w:hAnsi="Book Antiqua" w:eastAsia="Book Antiqua" w:cs="Book Antiqua"/>
          <w:b/>
          <w:bCs/>
          <w:color w:val="000000"/>
        </w:rPr>
        <w:t>Chi-Ming Wu,</w:t>
      </w:r>
      <w:r>
        <w:rPr>
          <w:rFonts w:ascii="Book Antiqua" w:hAnsi="Book Antiqua" w:eastAsia="Book Antiqua" w:cs="Book Antiqua"/>
          <w:color w:val="000000"/>
        </w:rPr>
        <w:t xml:space="preserve"> </w:t>
      </w:r>
      <w:bookmarkEnd w:id="16"/>
      <w:bookmarkEnd w:id="17"/>
      <w:bookmarkStart w:id="18" w:name="OLE_LINK17"/>
      <w:bookmarkStart w:id="19" w:name="OLE_LINK18"/>
      <w:r>
        <w:rPr>
          <w:rFonts w:ascii="Book Antiqua" w:hAnsi="Book Antiqua" w:eastAsia="Book Antiqua" w:cs="Book Antiqua"/>
          <w:color w:val="000000"/>
        </w:rPr>
        <w:t xml:space="preserve">Department </w:t>
      </w:r>
      <w:r>
        <w:rPr>
          <w:rFonts w:hint="eastAsia" w:ascii="Book Antiqua" w:hAnsi="Book Antiqua" w:cs="Book Antiqua"/>
          <w:color w:val="000000"/>
          <w:lang w:eastAsia="zh-CN"/>
        </w:rPr>
        <w:t xml:space="preserve">of </w:t>
      </w:r>
      <w:r>
        <w:rPr>
          <w:rFonts w:ascii="Book Antiqua" w:hAnsi="Book Antiqua" w:eastAsia="Book Antiqua" w:cs="Book Antiqua"/>
          <w:color w:val="000000"/>
        </w:rPr>
        <w:t xml:space="preserve">Orthopaedic, </w:t>
      </w:r>
      <w:bookmarkStart w:id="20" w:name="OLE_LINK38"/>
      <w:bookmarkStart w:id="21" w:name="OLE_LINK39"/>
      <w:r>
        <w:rPr>
          <w:rFonts w:ascii="Book Antiqua" w:hAnsi="Book Antiqua" w:eastAsia="Book Antiqua" w:cs="Book Antiqua"/>
          <w:color w:val="000000"/>
        </w:rPr>
        <w:t>National Defense Medical Center</w:t>
      </w:r>
      <w:bookmarkEnd w:id="18"/>
      <w:bookmarkEnd w:id="19"/>
      <w:bookmarkEnd w:id="20"/>
      <w:bookmarkEnd w:id="21"/>
      <w:r>
        <w:rPr>
          <w:rFonts w:ascii="Book Antiqua" w:hAnsi="Book Antiqua" w:eastAsia="Book Antiqua" w:cs="Book Antiqua"/>
          <w:color w:val="000000"/>
        </w:rPr>
        <w:t xml:space="preserve">, </w:t>
      </w:r>
      <w:bookmarkStart w:id="22" w:name="OLE_LINK36"/>
      <w:bookmarkStart w:id="23" w:name="OLE_LINK37"/>
      <w:bookmarkStart w:id="24" w:name="OLE_LINK19"/>
      <w:bookmarkStart w:id="25" w:name="OLE_LINK20"/>
      <w:bookmarkStart w:id="26" w:name="OLE_LINK21"/>
      <w:bookmarkStart w:id="27" w:name="OLE_LINK23"/>
      <w:bookmarkStart w:id="28" w:name="OLE_LINK22"/>
      <w:r>
        <w:rPr>
          <w:rFonts w:ascii="Book Antiqua" w:hAnsi="Book Antiqua" w:eastAsia="Book Antiqua" w:cs="Book Antiqua"/>
          <w:color w:val="000000"/>
        </w:rPr>
        <w:t>Taipei</w:t>
      </w:r>
      <w:bookmarkEnd w:id="22"/>
      <w:bookmarkEnd w:id="23"/>
      <w:r>
        <w:rPr>
          <w:rFonts w:hint="eastAsia" w:ascii="Book Antiqua" w:hAnsi="Book Antiqua" w:cs="Book Antiqua"/>
          <w:color w:val="000000"/>
          <w:lang w:eastAsia="zh-CN"/>
        </w:rPr>
        <w:t xml:space="preserve"> </w:t>
      </w:r>
      <w:r>
        <w:rPr>
          <w:rFonts w:ascii="Book Antiqua" w:hAnsi="Book Antiqua" w:cs="Book Antiqua"/>
          <w:color w:val="000000"/>
          <w:lang w:eastAsia="zh-CN"/>
        </w:rPr>
        <w:t>11490</w:t>
      </w:r>
      <w:r>
        <w:rPr>
          <w:rFonts w:ascii="Book Antiqua" w:hAnsi="Book Antiqua" w:eastAsia="Book Antiqua" w:cs="Book Antiqua"/>
          <w:color w:val="000000"/>
        </w:rPr>
        <w:t xml:space="preserve">, </w:t>
      </w:r>
      <w:bookmarkStart w:id="29" w:name="OLE_LINK6"/>
      <w:bookmarkStart w:id="30" w:name="OLE_LINK7"/>
      <w:r>
        <w:rPr>
          <w:rFonts w:ascii="Book Antiqua" w:hAnsi="Book Antiqua" w:eastAsia="Book Antiqua" w:cs="Book Antiqua"/>
          <w:color w:val="000000"/>
        </w:rPr>
        <w:t>Taiwan</w:t>
      </w:r>
      <w:bookmarkEnd w:id="24"/>
      <w:bookmarkEnd w:id="25"/>
      <w:bookmarkEnd w:id="26"/>
      <w:bookmarkEnd w:id="27"/>
      <w:bookmarkEnd w:id="28"/>
      <w:bookmarkEnd w:id="29"/>
      <w:bookmarkEnd w:id="30"/>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bCs/>
          <w:color w:val="000000"/>
        </w:rPr>
        <w:t>Chi-Ming Wu,</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Hung-En Liao, Shou-Jen Lan, </w:t>
      </w:r>
      <w:bookmarkStart w:id="31" w:name="OLE_LINK24"/>
      <w:bookmarkStart w:id="32" w:name="OLE_LINK25"/>
      <w:bookmarkStart w:id="33" w:name="OLE_LINK26"/>
      <w:bookmarkStart w:id="34" w:name="OLE_LINK42"/>
      <w:bookmarkStart w:id="35" w:name="OLE_LINK27"/>
      <w:bookmarkStart w:id="36" w:name="OLE_LINK28"/>
      <w:bookmarkStart w:id="37" w:name="OLE_LINK43"/>
      <w:r>
        <w:rPr>
          <w:rFonts w:ascii="Book Antiqua" w:hAnsi="Book Antiqua" w:eastAsia="Book Antiqua" w:cs="Book Antiqua"/>
          <w:color w:val="000000"/>
        </w:rPr>
        <w:t>Department of Healthcare Administration, Asia University</w:t>
      </w:r>
      <w:bookmarkEnd w:id="31"/>
      <w:bookmarkEnd w:id="32"/>
      <w:bookmarkEnd w:id="33"/>
      <w:r>
        <w:rPr>
          <w:rFonts w:ascii="Book Antiqua" w:hAnsi="Book Antiqua" w:eastAsia="Book Antiqua" w:cs="Book Antiqua"/>
          <w:color w:val="000000"/>
        </w:rPr>
        <w:t>, Taichung 41354, Taiwan</w:t>
      </w:r>
      <w:bookmarkEnd w:id="34"/>
      <w:bookmarkEnd w:id="35"/>
      <w:bookmarkEnd w:id="36"/>
      <w:bookmarkEnd w:id="37"/>
    </w:p>
    <w:p>
      <w:pPr>
        <w:spacing w:line="360" w:lineRule="auto"/>
        <w:jc w:val="both"/>
      </w:pPr>
    </w:p>
    <w:p>
      <w:pPr>
        <w:spacing w:line="360" w:lineRule="auto"/>
        <w:jc w:val="both"/>
      </w:pPr>
      <w:r>
        <w:rPr>
          <w:rFonts w:ascii="Book Antiqua" w:hAnsi="Book Antiqua" w:eastAsia="Book Antiqua" w:cs="Book Antiqua"/>
          <w:b/>
          <w:bCs/>
          <w:color w:val="000000"/>
        </w:rPr>
        <w:t xml:space="preserve">Shou-Jen Lan, </w:t>
      </w:r>
      <w:bookmarkStart w:id="38" w:name="OLE_LINK29"/>
      <w:r>
        <w:rPr>
          <w:rFonts w:ascii="Book Antiqua" w:hAnsi="Book Antiqua" w:eastAsia="Book Antiqua" w:cs="Book Antiqua"/>
          <w:color w:val="000000"/>
        </w:rPr>
        <w:t>Department of Medical Research, China Medical University Hospital, China Medical University, Taichung 40402, Taiwan</w:t>
      </w:r>
      <w:bookmarkEnd w:id="38"/>
    </w:p>
    <w:p>
      <w:pPr>
        <w:spacing w:line="360" w:lineRule="auto"/>
        <w:jc w:val="both"/>
      </w:pPr>
    </w:p>
    <w:p>
      <w:pPr>
        <w:spacing w:line="360" w:lineRule="auto"/>
        <w:jc w:val="both"/>
      </w:pPr>
      <w:r>
        <w:rPr>
          <w:rFonts w:ascii="Book Antiqua" w:hAnsi="Book Antiqua" w:eastAsia="Book Antiqua" w:cs="Book Antiqua"/>
          <w:b/>
          <w:bCs/>
          <w:color w:val="000000"/>
        </w:rPr>
        <w:t xml:space="preserve">Shou-Jen Lan, </w:t>
      </w:r>
      <w:r>
        <w:rPr>
          <w:rFonts w:ascii="Book Antiqua" w:hAnsi="Book Antiqua" w:eastAsia="Book Antiqua" w:cs="Book Antiqua"/>
          <w:color w:val="000000"/>
        </w:rPr>
        <w:t xml:space="preserve">School of Medical Science, Putian University, Putian 351100, </w:t>
      </w:r>
      <w:r>
        <w:rPr>
          <w:rFonts w:hint="eastAsia" w:ascii="Book Antiqua" w:hAnsi="Book Antiqua" w:cs="Book Antiqua"/>
          <w:color w:val="000000"/>
          <w:lang w:eastAsia="zh-CN"/>
        </w:rPr>
        <w:t xml:space="preserve">Fujian Province, </w:t>
      </w:r>
      <w:r>
        <w:rPr>
          <w:rFonts w:ascii="Book Antiqua" w:hAnsi="Book Antiqua" w:eastAsia="Book Antiqua" w:cs="Book Antiqua"/>
          <w:color w:val="000000"/>
        </w:rPr>
        <w:t>China</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Author contributions: </w:t>
      </w:r>
      <w:bookmarkStart w:id="39" w:name="OLE_LINK47"/>
      <w:bookmarkStart w:id="40" w:name="OLE_LINK46"/>
      <w:r>
        <w:rPr>
          <w:rFonts w:ascii="Book Antiqua" w:hAnsi="Book Antiqua" w:eastAsia="Book Antiqua" w:cs="Book Antiqua"/>
          <w:color w:val="000000"/>
        </w:rPr>
        <w:t>Wu CM performed the operation and wrote the manuscript</w:t>
      </w:r>
      <w:r>
        <w:rPr>
          <w:rFonts w:hint="eastAsia" w:ascii="Book Antiqua" w:hAnsi="Book Antiqua" w:cs="Book Antiqua"/>
          <w:color w:val="000000"/>
          <w:lang w:eastAsia="zh-CN"/>
        </w:rPr>
        <w:t>;</w:t>
      </w:r>
      <w:r>
        <w:rPr>
          <w:rFonts w:hint="eastAsia"/>
          <w:lang w:eastAsia="zh-CN"/>
        </w:rPr>
        <w:t xml:space="preserve"> </w:t>
      </w:r>
      <w:r>
        <w:rPr>
          <w:rFonts w:ascii="Book Antiqua" w:hAnsi="Book Antiqua" w:eastAsia="Book Antiqua" w:cs="Book Antiqua"/>
          <w:color w:val="000000"/>
        </w:rPr>
        <w:t>Lan SJ analysed the clinical data and submitted the manuscript</w:t>
      </w:r>
      <w:r>
        <w:rPr>
          <w:rFonts w:hint="eastAsia" w:ascii="Book Antiqua" w:hAnsi="Book Antiqua" w:cs="Book Antiqua"/>
          <w:color w:val="000000"/>
          <w:lang w:eastAsia="zh-CN"/>
        </w:rPr>
        <w:t xml:space="preserve">; </w:t>
      </w:r>
      <w:r>
        <w:rPr>
          <w:rFonts w:ascii="Book Antiqua" w:hAnsi="Book Antiqua" w:eastAsia="Book Antiqua" w:cs="Book Antiqua"/>
          <w:color w:val="000000"/>
        </w:rPr>
        <w:t>Liao HE revised the manuscript</w:t>
      </w:r>
      <w:r>
        <w:rPr>
          <w:rFonts w:hint="eastAsia" w:ascii="Book Antiqua" w:hAnsi="Book Antiqua" w:cs="Book Antiqua"/>
          <w:color w:val="000000"/>
          <w:lang w:eastAsia="zh-CN"/>
        </w:rPr>
        <w:t xml:space="preserve">; </w:t>
      </w:r>
      <w:r>
        <w:rPr>
          <w:rFonts w:ascii="Book Antiqua" w:hAnsi="Book Antiqua" w:eastAsia="Book Antiqua" w:cs="Book Antiqua"/>
          <w:color w:val="000000"/>
        </w:rPr>
        <w:t>All authors approved the final version of this manuscript.</w:t>
      </w:r>
      <w:bookmarkEnd w:id="39"/>
      <w:bookmarkEnd w:id="40"/>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Shou-Jen Lan, PhD, Professor, </w:t>
      </w:r>
      <w:r>
        <w:rPr>
          <w:rFonts w:ascii="Book Antiqua" w:hAnsi="Book Antiqua" w:eastAsia="Book Antiqua" w:cs="Book Antiqua"/>
          <w:color w:val="000000"/>
        </w:rPr>
        <w:t>Department of Healthcare Administration, Asia University, No. 500 Lioufeng Road, Wufeng District, Taichung 41354, Taiwan. shoujenlan@gmail.com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23,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30,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27,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b w:val="0"/>
          <w:bCs w:val="0"/>
          <w:i w:val="0"/>
          <w:iCs w:val="0"/>
        </w:rPr>
      </w:pPr>
      <w:r>
        <w:rPr>
          <w:rFonts w:ascii="Book Antiqua" w:hAnsi="Book Antiqua" w:eastAsia="Book Antiqua" w:cs="Book Antiqua"/>
          <w:b w:val="0"/>
          <w:bCs w:val="0"/>
          <w:i w:val="0"/>
          <w:iCs w:val="0"/>
          <w:color w:val="000000"/>
        </w:rPr>
        <w:t>BACKGROUND</w:t>
      </w:r>
    </w:p>
    <w:p>
      <w:pPr>
        <w:spacing w:line="360" w:lineRule="auto"/>
        <w:jc w:val="both"/>
      </w:pPr>
      <w:bookmarkStart w:id="41" w:name="OLE_LINK51"/>
      <w:bookmarkStart w:id="42" w:name="OLE_LINK52"/>
      <w:r>
        <w:rPr>
          <w:rFonts w:ascii="Book Antiqua" w:hAnsi="Book Antiqua" w:eastAsia="Book Antiqua" w:cs="Book Antiqua"/>
          <w:color w:val="000000"/>
        </w:rPr>
        <w:t>The phrase “floating knee is a flail knee joint,” referring to ipsilateral femoral and tibial fractures, was first used by Blake and McBryde in 1975. This condition is often caused by a high-energy trauma with often extensive injury to the soft tissues, and is accompanied by life-threatening systemic complications, including head, chest or abdominal injuries and a high incidence of fat embolism. Floating knee is a severe and uncommon injury pattern.</w:t>
      </w:r>
    </w:p>
    <w:bookmarkEnd w:id="41"/>
    <w:bookmarkEnd w:id="42"/>
    <w:p>
      <w:pPr>
        <w:spacing w:line="360" w:lineRule="auto"/>
        <w:jc w:val="both"/>
      </w:pPr>
    </w:p>
    <w:p>
      <w:pPr>
        <w:spacing w:line="360" w:lineRule="auto"/>
        <w:jc w:val="both"/>
        <w:rPr>
          <w:b w:val="0"/>
          <w:bCs w:val="0"/>
          <w:i w:val="0"/>
          <w:iCs w:val="0"/>
        </w:rPr>
      </w:pPr>
      <w:r>
        <w:rPr>
          <w:rFonts w:ascii="Book Antiqua" w:hAnsi="Book Antiqua" w:eastAsia="Book Antiqua" w:cs="Book Antiqua"/>
          <w:b w:val="0"/>
          <w:bCs w:val="0"/>
          <w:i w:val="0"/>
          <w:iCs w:val="0"/>
          <w:color w:val="000000"/>
        </w:rPr>
        <w:t>CASE SUMMARY</w:t>
      </w:r>
    </w:p>
    <w:p>
      <w:pPr>
        <w:spacing w:line="360" w:lineRule="auto"/>
        <w:jc w:val="both"/>
      </w:pPr>
      <w:bookmarkStart w:id="43" w:name="OLE_LINK54"/>
      <w:bookmarkStart w:id="44" w:name="OLE_LINK53"/>
      <w:r>
        <w:rPr>
          <w:rFonts w:ascii="Book Antiqua" w:hAnsi="Book Antiqua" w:eastAsia="Book Antiqua" w:cs="Book Antiqua"/>
          <w:color w:val="000000"/>
        </w:rPr>
        <w:t>A 27-year-old man sustained multiple injuries when the electric motorcycle he was riding was hit by a van. His injuries included traumatic hypovolemic shock, comminuted and open type II fractures of the left femoral shaft, fracture of the right femoral shaft, comminuted fracture of the bilateral tibial and fibular shaft, and multiple lacerations and abrasions on his forehead, lower lip, neck and limbs. The diagnosis was simultaneous bilateral floating knee complicated with soft tissue injuries. After emergency treatment and the exclusion of life-threating complications, open reduction and internal fixation were successfully performed using plates and screws in the bilateral femoral and tibial shafts.</w:t>
      </w:r>
    </w:p>
    <w:bookmarkEnd w:id="43"/>
    <w:bookmarkEnd w:id="44"/>
    <w:p>
      <w:pPr>
        <w:spacing w:line="360" w:lineRule="auto"/>
        <w:jc w:val="both"/>
      </w:pPr>
    </w:p>
    <w:p>
      <w:pPr>
        <w:spacing w:line="360" w:lineRule="auto"/>
        <w:jc w:val="both"/>
        <w:rPr>
          <w:b w:val="0"/>
          <w:bCs w:val="0"/>
          <w:i w:val="0"/>
          <w:iCs w:val="0"/>
        </w:rPr>
      </w:pPr>
      <w:r>
        <w:rPr>
          <w:rFonts w:ascii="Book Antiqua" w:hAnsi="Book Antiqua" w:eastAsia="Book Antiqua" w:cs="Book Antiqua"/>
          <w:b w:val="0"/>
          <w:bCs w:val="0"/>
          <w:i w:val="0"/>
          <w:iCs w:val="0"/>
          <w:color w:val="000000"/>
        </w:rPr>
        <w:t>CONCLUSION</w:t>
      </w:r>
    </w:p>
    <w:p>
      <w:pPr>
        <w:spacing w:line="360" w:lineRule="auto"/>
        <w:jc w:val="both"/>
      </w:pPr>
      <w:bookmarkStart w:id="45" w:name="OLE_LINK55"/>
      <w:bookmarkStart w:id="46" w:name="OLE_LINK56"/>
      <w:r>
        <w:rPr>
          <w:rFonts w:ascii="Book Antiqua" w:hAnsi="Book Antiqua" w:eastAsia="Book Antiqua" w:cs="Book Antiqua"/>
          <w:color w:val="000000"/>
        </w:rPr>
        <w:t>Simultaneous bilateral floating knee is a rare and severe injury pattern. The treatment is challenging, and complications. We present a case report of a young adult who suffered from bilateral floating knees during road traffic accident. We also offer our treatment experience of this complex injury and review past literature.</w:t>
      </w:r>
    </w:p>
    <w:bookmarkEnd w:id="45"/>
    <w:bookmarkEnd w:id="46"/>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47" w:name="OLE_LINK9"/>
      <w:bookmarkStart w:id="48" w:name="OLE_LINK10"/>
      <w:bookmarkStart w:id="49" w:name="OLE_LINK49"/>
      <w:bookmarkStart w:id="50" w:name="OLE_LINK48"/>
      <w:r>
        <w:rPr>
          <w:rFonts w:ascii="Book Antiqua" w:hAnsi="Book Antiqua" w:eastAsia="Book Antiqua" w:cs="Book Antiqua"/>
          <w:color w:val="000000"/>
        </w:rPr>
        <w:t>Floating knee; Femoral and tibial fractures; High-energy trauma; Life-threatening complications; Fat embolism syndrome; Case report</w:t>
      </w:r>
      <w:bookmarkEnd w:id="47"/>
      <w:bookmarkEnd w:id="48"/>
    </w:p>
    <w:bookmarkEnd w:id="49"/>
    <w:bookmarkEnd w:id="50"/>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bookmarkStart w:id="51" w:name="OLE_LINK11"/>
      <w:bookmarkStart w:id="52" w:name="OLE_LINK12"/>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 xml:space="preserve">Wu CM, Liao HE, Lan SJ. Simultaneous bilateral floating knee: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10(28): </w:t>
      </w:r>
      <w:r>
        <w:rPr>
          <w:rFonts w:hint="default" w:ascii="Book Antiqua" w:hAnsi="Book Antiqua" w:eastAsia="宋体" w:cs="Book Antiqua"/>
          <w:i w:val="0"/>
          <w:iCs w:val="0"/>
          <w:color w:val="000000"/>
          <w:kern w:val="0"/>
          <w:sz w:val="24"/>
          <w:szCs w:val="24"/>
          <w:u w:val="none"/>
          <w:lang w:val="en-US" w:eastAsia="zh-CN" w:bidi="ar"/>
        </w:rPr>
        <w:t>10172-10179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10172</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10172</w:t>
      </w:r>
    </w:p>
    <w:p>
      <w:pPr>
        <w:spacing w:line="360" w:lineRule="auto"/>
        <w:jc w:val="both"/>
        <w:rPr>
          <w:rFonts w:ascii="Book Antiqua" w:hAnsi="Book Antiqua"/>
        </w:rPr>
      </w:pPr>
    </w:p>
    <w:p>
      <w:pPr>
        <w:spacing w:line="360" w:lineRule="auto"/>
        <w:jc w:val="both"/>
      </w:pPr>
    </w:p>
    <w:bookmarkEnd w:id="51"/>
    <w:bookmarkEnd w:id="52"/>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Core tip: </w:t>
      </w:r>
      <w:bookmarkStart w:id="53" w:name="OLE_LINK50"/>
      <w:bookmarkStart w:id="54" w:name="OLE_LINK14"/>
      <w:bookmarkStart w:id="55" w:name="OLE_LINK13"/>
      <w:r>
        <w:rPr>
          <w:rFonts w:ascii="Book Antiqua" w:hAnsi="Book Antiqua" w:eastAsia="Book Antiqua" w:cs="Book Antiqua"/>
          <w:color w:val="000000"/>
        </w:rPr>
        <w:t>Blake and McBryde first used the term floating knee (FK) in 1975</w:t>
      </w:r>
      <w:r>
        <w:rPr>
          <w:rFonts w:hint="eastAsia" w:ascii="Book Antiqua" w:hAnsi="Book Antiqua" w:cs="Book Antiqua"/>
          <w:color w:val="000000"/>
        </w:rPr>
        <w:t>.</w:t>
      </w:r>
      <w:r>
        <w:rPr>
          <w:rFonts w:ascii="Book Antiqua" w:hAnsi="Book Antiqua" w:cs="Book Antiqua"/>
          <w:color w:val="000000"/>
        </w:rPr>
        <w:t xml:space="preserve"> </w:t>
      </w:r>
      <w:r>
        <w:rPr>
          <w:rFonts w:ascii="Book Antiqua" w:hAnsi="Book Antiqua" w:eastAsia="Book Antiqua" w:cs="Book Antiqua"/>
          <w:color w:val="000000"/>
        </w:rPr>
        <w:t>FK often induces severe life-threatening complications, including head injury, intra-abdominal bleeding, vascular rupture, fat embolism syndrome, and acute respiratory distress syndrome. Treatment of FK is challenging. An urgent primary assessment and resuscitation followed by suitable and timely definitive treatment comprising systemic soft tissue and fracture considerations reduces the risk of complications. Simultaneous bilateral FK is extremely rare. We report a case of simultaneous bilateral FK, which included bilateral femoral, tibial, and fibular fractures caused by an electric motorcycle accident, and discuss its therapy process and associated complications.</w:t>
      </w:r>
    </w:p>
    <w:p>
      <w:pPr>
        <w:spacing w:line="360" w:lineRule="auto"/>
        <w:jc w:val="both"/>
        <w:rPr>
          <w:lang w:eastAsia="zh-CN"/>
        </w:rPr>
      </w:pPr>
    </w:p>
    <w:bookmarkEnd w:id="53"/>
    <w:bookmarkEnd w:id="54"/>
    <w:bookmarkEnd w:id="55"/>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bookmarkStart w:id="56" w:name="OLE_LINK58"/>
      <w:bookmarkStart w:id="57" w:name="OLE_LINK57"/>
      <w:r>
        <w:rPr>
          <w:rFonts w:ascii="Book Antiqua" w:hAnsi="Book Antiqua" w:eastAsia="Book Antiqua" w:cs="Book Antiqua"/>
          <w:color w:val="000000"/>
        </w:rPr>
        <w:t>Blake and McBryde used the term floating knee (FK) in 1975, referring to ipsilateral fractures of the femur and tibia that disconnect the knee joint from the rest of the lower limb</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FK damage is a flail knee joint and includes associated diaphyseal, metaphyseal, and intra-articular fractures</w:t>
      </w:r>
      <w:r>
        <w:rPr>
          <w:rFonts w:ascii="Book Antiqua" w:hAnsi="Book Antiqua" w:eastAsia="Book Antiqua" w:cs="Book Antiqua"/>
          <w:color w:val="000000"/>
          <w:szCs w:val="20"/>
          <w:vertAlign w:val="superscript"/>
        </w:rPr>
        <w:t>[3,4]</w:t>
      </w:r>
      <w:r>
        <w:rPr>
          <w:rFonts w:ascii="Book Antiqua" w:hAnsi="Book Antiqua" w:eastAsia="Book Antiqua" w:cs="Book Antiqua"/>
          <w:color w:val="000000"/>
        </w:rPr>
        <w:t>. The exact incidence of FK remains undetermined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but it is likely to be infrequent, with Letts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20"/>
          <w:vertAlign w:val="superscript"/>
          <w:lang w:eastAsia="zh-CN"/>
        </w:rPr>
        <w:t>6</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reporting an incidence of 2.6% of all fractures in 1986. The incidence of FK, caused by high-velocity and high-energy trauma, is increasing because of changing lifestyles, high-speed motor vehicles, and poor road conditions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FK often induces severe life-threatening complications, such as head injury, intra-abdominal bleeding,</w:t>
      </w:r>
      <w:r>
        <w:rPr>
          <w:rFonts w:hint="eastAsia" w:ascii="Book Antiqua" w:hAnsi="Book Antiqua" w:cs="Book Antiqua"/>
          <w:color w:val="000000"/>
          <w:lang w:eastAsia="zh-CN"/>
        </w:rPr>
        <w:t xml:space="preserve"> </w:t>
      </w:r>
      <w:r>
        <w:rPr>
          <w:rFonts w:ascii="Book Antiqua" w:hAnsi="Book Antiqua" w:eastAsia="Book Antiqua" w:cs="Book Antiqua"/>
          <w:color w:val="000000"/>
        </w:rPr>
        <w:t>vascular rupture, fat embolism syndrome (FES), acute respiratory distress syndrome (ARDS), and soft tissue injury</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10</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Simultaneous bilateral FK is extremely rare, constituting an unusual fracture pattern. No study has reported the exact incidence. In this study, we report a case of simultaneous bilateral FK, which included bilateral femoral, tibial, and fibular midshaft fractures caused by an electric motorcycle accident.</w:t>
      </w:r>
      <w:r>
        <w:rPr>
          <w:rFonts w:hint="eastAsia" w:ascii="Book Antiqua" w:hAnsi="Book Antiqua" w:cs="Book Antiqua"/>
          <w:color w:val="000000"/>
          <w:lang w:eastAsia="zh-CN"/>
        </w:rPr>
        <w:t xml:space="preserve"> </w:t>
      </w:r>
      <w:r>
        <w:rPr>
          <w:rFonts w:ascii="Book Antiqua" w:hAnsi="Book Antiqua" w:eastAsia="Book Antiqua" w:cs="Book Antiqua"/>
          <w:color w:val="000000"/>
        </w:rPr>
        <w:t>We also offer our treatment experience and discuss its associated complications of this complex injury, based on past literature review.</w:t>
      </w:r>
    </w:p>
    <w:bookmarkEnd w:id="56"/>
    <w:bookmarkEnd w:id="57"/>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bookmarkStart w:id="58" w:name="OLE_LINK93"/>
      <w:bookmarkStart w:id="59" w:name="OLE_LINK94"/>
      <w:r>
        <w:rPr>
          <w:rFonts w:ascii="Book Antiqua" w:hAnsi="Book Antiqua" w:eastAsia="Book Antiqua" w:cs="Book Antiqua"/>
          <w:color w:val="000000"/>
        </w:rPr>
        <w:t>A 27-year-old man, a laborer from Vietnam, sustained head injury and severe pain as well as swelling and deformity in both lower limbs as a result of a road traffic accident on July 7, 2018.</w:t>
      </w:r>
    </w:p>
    <w:bookmarkEnd w:id="58"/>
    <w:bookmarkEnd w:id="59"/>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bookmarkStart w:id="60" w:name="OLE_LINK101"/>
      <w:bookmarkStart w:id="61" w:name="OLE_LINK95"/>
      <w:r>
        <w:rPr>
          <w:rFonts w:ascii="Book Antiqua" w:hAnsi="Book Antiqua" w:eastAsia="Book Antiqua" w:cs="Book Antiqua"/>
          <w:color w:val="000000"/>
        </w:rPr>
        <w:t>The patient had no medical history.</w:t>
      </w:r>
    </w:p>
    <w:bookmarkEnd w:id="60"/>
    <w:bookmarkEnd w:id="61"/>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bookmarkStart w:id="62" w:name="OLE_LINK102"/>
      <w:bookmarkStart w:id="63" w:name="OLE_LINK105"/>
      <w:r>
        <w:rPr>
          <w:rFonts w:ascii="Book Antiqua" w:hAnsi="Book Antiqua" w:eastAsia="Book Antiqua" w:cs="Book Antiqua"/>
          <w:color w:val="000000"/>
        </w:rPr>
        <w:t>The patient had no special past illness.</w:t>
      </w:r>
    </w:p>
    <w:bookmarkEnd w:id="62"/>
    <w:bookmarkEnd w:id="63"/>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bookmarkStart w:id="64" w:name="OLE_LINK106"/>
      <w:bookmarkStart w:id="65" w:name="OLE_LINK117"/>
      <w:r>
        <w:rPr>
          <w:rFonts w:ascii="Book Antiqua" w:hAnsi="Book Antiqua" w:eastAsia="Book Antiqua" w:cs="Book Antiqua"/>
          <w:color w:val="000000"/>
        </w:rPr>
        <w:t>The patient had no history of drug allergies, smoking, or drinking, and no relevant family history.</w:t>
      </w:r>
    </w:p>
    <w:bookmarkEnd w:id="64"/>
    <w:bookmarkEnd w:id="65"/>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bookmarkStart w:id="66" w:name="OLE_LINK124"/>
      <w:bookmarkStart w:id="67" w:name="OLE_LINK118"/>
      <w:r>
        <w:rPr>
          <w:rFonts w:ascii="Book Antiqua" w:hAnsi="Book Antiqua" w:eastAsia="Book Antiqua" w:cs="Book Antiqua"/>
          <w:color w:val="000000"/>
        </w:rPr>
        <w:t>The patient was brought by ambulance to our emergency room (ER) for treatment. A general examination revealed that the patient had a head injury with a Glasgow Coma Scale score of E4V5M3 and clear consciousness, and he was able to communicate. The initial vitals revealed hypotension (82/55 mmHg), tachycardia (107 beats/min), and a respiration rate of 26 breaths/min. During the clinical physical examination, the patient was bedridden and was incapable of stepping on or making small motions with either foot. Multiple bleeding lacerations were observed on the left forehead (3.0 × 2.0 cm), lower lip (2.0 × 1.0 cm), anterior neck (4.0 × 1.0 cm), left anterior thigh (2.5 × 2.0 cm), left posterior heel (4.0 × 1.0 cm), and right posterior thigh (3.0 × 1.0 cm). Multiple abrasions were also identified on his face, body and limbs. The thighs and lower limbs appeared deformed, with free floating bone fragments. Distal pulses, including in the bilateral popliteal artery, posterior tibial artery, and pedal dorsal artery, were palpable.</w:t>
      </w:r>
    </w:p>
    <w:bookmarkEnd w:id="66"/>
    <w:bookmarkEnd w:id="67"/>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bookmarkStart w:id="68" w:name="OLE_LINK126"/>
      <w:bookmarkStart w:id="69" w:name="OLE_LINK125"/>
      <w:r>
        <w:rPr>
          <w:rFonts w:ascii="Book Antiqua" w:hAnsi="Book Antiqua" w:eastAsia="Book Antiqua" w:cs="Book Antiqua"/>
          <w:color w:val="000000"/>
        </w:rPr>
        <w:t>Routine blood tests revealed that hemoglobin was 9.5 mg/dL, and other blood chemistry results, including for liver and kidney function and electrolyte assessment, were all within the normal range.</w:t>
      </w:r>
    </w:p>
    <w:bookmarkEnd w:id="68"/>
    <w:bookmarkEnd w:id="69"/>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bookmarkStart w:id="70" w:name="OLE_LINK92"/>
      <w:bookmarkStart w:id="71" w:name="OLE_LINK127"/>
      <w:bookmarkStart w:id="72" w:name="OLE_LINK59"/>
      <w:r>
        <w:rPr>
          <w:rFonts w:ascii="Book Antiqua" w:hAnsi="Book Antiqua" w:eastAsia="Book Antiqua" w:cs="Book Antiqua"/>
          <w:color w:val="000000"/>
        </w:rPr>
        <w:t>A plain radiograph revealed displaced bilateral femoral, tibial, and fibular midshaft fractures (Figure 1). Computed tomography (CT) identified no notable intracranial, intrathoracic, or intra-abdominal bleeding.</w:t>
      </w:r>
    </w:p>
    <w:bookmarkEnd w:id="70"/>
    <w:bookmarkEnd w:id="71"/>
    <w:bookmarkEnd w:id="72"/>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bookmarkStart w:id="73" w:name="OLE_LINK129"/>
      <w:bookmarkStart w:id="74" w:name="OLE_LINK128"/>
      <w:r>
        <w:rPr>
          <w:rFonts w:ascii="Book Antiqua" w:hAnsi="Book Antiqua" w:eastAsia="Book Antiqua" w:cs="Book Antiqua"/>
          <w:color w:val="000000"/>
        </w:rPr>
        <w:t>Based on the examination and imaging findings, the main diagnoses were traumatic hypovolemic shock, comminuted and open type II fracture of the left femoral shaft, fracture of the right femoral shaft, comminuted fracture of the bilateral tibial and fibular shaft, and multiple lacerations and abrasions on the forehead, lower lip, neck and limbs.</w:t>
      </w:r>
    </w:p>
    <w:bookmarkEnd w:id="73"/>
    <w:bookmarkEnd w:id="74"/>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bookmarkStart w:id="75" w:name="OLE_LINK131"/>
      <w:bookmarkStart w:id="76" w:name="OLE_LINK130"/>
      <w:r>
        <w:rPr>
          <w:rFonts w:ascii="Book Antiqua" w:hAnsi="Book Antiqua" w:eastAsia="Book Antiqua" w:cs="Book Antiqua"/>
          <w:color w:val="000000"/>
        </w:rPr>
        <w:t xml:space="preserve">The patient received a blood transfusion of 2 U of packed red blood cells (RBCs) to treat hypovolemic shock. Primary suture of the forehead and lower lip wounds was performed in the ER. Within 4 h of sustaining the injury, after the laboratory data had been received and life-threating complications excluded, the patient was transferred to the operating theater for surgery. The surgical procedure was performed on the left side first because of the greater number of comminuted and open left femoral fractures. The patient received general anesthesia at 08:10 h and was placed on the operating table in the right lateral decubitus position. After sterilization and draping, we performed </w:t>
      </w:r>
      <w:bookmarkStart w:id="77" w:name="OLE_LINK107"/>
      <w:bookmarkStart w:id="78" w:name="OLE_LINK108"/>
      <w:r>
        <w:rPr>
          <w:rFonts w:ascii="Book Antiqua" w:hAnsi="Book Antiqua" w:eastAsia="Book Antiqua" w:cs="Book Antiqua"/>
          <w:color w:val="000000"/>
        </w:rPr>
        <w:t>open reduction and internal fixation</w:t>
      </w:r>
      <w:bookmarkEnd w:id="77"/>
      <w:bookmarkEnd w:id="78"/>
      <w:r>
        <w:rPr>
          <w:rFonts w:ascii="Book Antiqua" w:hAnsi="Book Antiqua" w:eastAsia="Book Antiqua" w:cs="Book Antiqua"/>
          <w:color w:val="000000"/>
        </w:rPr>
        <w:t xml:space="preserve"> (ORIF) with a locking plate in the left femoral shaft. The operating table was then tilted backward approximately 20° to expose the anterior of the leg more fully, and ORIF was performed using a narrow </w:t>
      </w:r>
      <w:bookmarkStart w:id="79" w:name="OLE_LINK116"/>
      <w:r>
        <w:rPr>
          <w:rFonts w:ascii="Book Antiqua" w:hAnsi="Book Antiqua" w:eastAsia="Book Antiqua" w:cs="Book Antiqua"/>
          <w:color w:val="000000"/>
        </w:rPr>
        <w:t>dynamic compression plate</w:t>
      </w:r>
      <w:bookmarkEnd w:id="79"/>
      <w:r>
        <w:rPr>
          <w:rFonts w:ascii="Book Antiqua" w:hAnsi="Book Antiqua" w:eastAsia="Book Antiqua" w:cs="Book Antiqua"/>
          <w:color w:val="000000"/>
        </w:rPr>
        <w:t xml:space="preserve"> (DCP). Two 1/8 Hemovac drains were then inserted into the thighs and calves, and the wound was closed in layers. Finally, with an 18-gauge needle, we punctured hundreds of small holes around the closed wound in the left leg and thigh, imitating a Chinese medicine blood-letting method, to allow the accumulated blood in the tissue to flow out to prevent skin necrosis and compartment syndrome (Figure 2). The same ORIF procedure was performed on the right femoral fracture using a broad DCP and on the tibial fracture using a narrow DCP after changing the patient’s position to left lateral decubitus (Figure 3). The surgical procedure was completed at 02:50 h on the following day. The total operative time was 6 h 40 min. The estimated blood loss was 0.9 L intraoperatively, and the patient received 4 U of packed RBC and 4.2 L of crystalloid solution.</w:t>
      </w:r>
    </w:p>
    <w:bookmarkEnd w:id="75"/>
    <w:bookmarkEnd w:id="76"/>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bookmarkStart w:id="80" w:name="OLE_LINK133"/>
      <w:bookmarkStart w:id="81" w:name="OLE_LINK132"/>
      <w:r>
        <w:rPr>
          <w:rFonts w:ascii="Book Antiqua" w:hAnsi="Book Antiqua" w:eastAsia="Book Antiqua" w:cs="Book Antiqua"/>
          <w:color w:val="000000"/>
        </w:rPr>
        <w:t>The patient remained intubated following surgery, and his ventilatory and vital signs were closely monitored in the surgical intensive care unit. Initially, antibiotics (1.0 g cefazolin every 6 h and 80 mg gentamycin every 12 h) were administered to prevent wound infection, and nonsteroidal anti-inflammatory drugs were administered for 2 d to relieve pain. The patient’s recovery was positive, and his respiratory condition was smooth. We removed the endotracheal tube after weaning him off the ventilator on July 10, 2018, but a petechial rash on both forearms and progressive shortness of breath with dyspnea and hypoxemia were detected, resulting in emergency endotracheal intubation 9 h later. The patient was sedated using propofol infusion. Simultaneously, we performed further tests, including chest X-ray and blood, arterial blood gas, C-reactive protein (CRP), and D-dimer tests, with the following results: body temperature 38.0°C, white blood cell count 11 320/µL, hemoglobin 8.8 g/dL, CRP 14.15 mg/dL, D-dimer 6915 ng/mL, PO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37 mmHg, PCO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43 mmHg, and 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saturation 73%. These results indicated FES and pneumonia, and we therefore consulted a pulmonologist and cardiologist. The cardiologist administered an anticoagulant (6000 IU clexane every 12 h) to improve FES. An infectious disease specialist was also consulted, who prescribed antibiotics (500 mg vancomycin intravenously every 12 h and 500 mg boojum intravenously every 8 h) to treat pneumonia. The patient’s condition improved gradually, and sedation was withdrawn on July 14, 2018. After several days of treatment, chest X-ray and CT with contrast revealed no abnormal findings. The patient was weaned off the ventilator, and the endotracheal tube was removed successfully on July 16, 2018. He was transferred to the ordinary ward the following day, where he remained until his condition was stable. The patient was discharged on July 23, 2018.</w:t>
      </w:r>
    </w:p>
    <w:p>
      <w:pPr>
        <w:spacing w:line="360" w:lineRule="auto"/>
        <w:ind w:firstLine="240" w:firstLineChars="100"/>
        <w:jc w:val="both"/>
      </w:pPr>
      <w:r>
        <w:rPr>
          <w:rFonts w:ascii="Book Antiqua" w:hAnsi="Book Antiqua" w:eastAsia="Book Antiqua" w:cs="Book Antiqua"/>
          <w:color w:val="000000"/>
        </w:rPr>
        <w:t>The patient underwent rehabilitation after being discharged. Approximately 4 mo after surgery, he was able to stand and walk without external support. No limited motion or claudication in the bilateral lower limbs was noted. He then returned to Vietnam, returning to work 6 mo after surgery. An X-ray 13 mo postoperatively demonstrated successful fracture union (Figure 4).</w:t>
      </w:r>
      <w:bookmarkEnd w:id="80"/>
      <w:bookmarkEnd w:id="81"/>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bookmarkStart w:id="82" w:name="OLE_LINK134"/>
      <w:bookmarkStart w:id="83" w:name="OLE_LINK135"/>
      <w:r>
        <w:rPr>
          <w:rFonts w:ascii="Book Antiqua" w:hAnsi="Book Antiqua" w:eastAsia="Book Antiqua" w:cs="Book Antiqua"/>
          <w:color w:val="000000"/>
        </w:rPr>
        <w:t>When Blake and McBryde first developed the concept of FK in 1975, they classified the injured extremities according to the fracture site: type I fractures involved femoral and tibial shaft fractures, type IIA fractures involved the knee joint, and type IIB fractures involved the hip or ankle joints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 xml:space="preserve">In 1978, Fraser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11</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revised the classification system, in which FK injuries involved the intra-articular knee joint, which affects treatment choices. Type I involves simultaneous femoral and tibial shaft fractures without extension into the knee joint, and type II fractures extend into the knee and are subdivided in the following: type IIA involves a tibial plateau fracture and an ipsilateral femoral shaft fracture; type IIB includes distal femoral fractures extending into the knee joint; and type IIC involves both tibial plateau and distal femoral fractures extending into the knee joint.</w:t>
      </w:r>
    </w:p>
    <w:p>
      <w:pPr>
        <w:spacing w:line="360" w:lineRule="auto"/>
        <w:ind w:firstLine="240" w:firstLineChars="100"/>
        <w:jc w:val="both"/>
        <w:rPr>
          <w:lang w:eastAsia="zh-CN"/>
        </w:rPr>
      </w:pPr>
      <w:r>
        <w:rPr>
          <w:rFonts w:ascii="Book Antiqua" w:hAnsi="Book Antiqua" w:eastAsia="Book Antiqua" w:cs="Book Antiqua"/>
          <w:color w:val="000000"/>
        </w:rPr>
        <w:t>An overall incidence of 4.6% and 3.8% has been reported for bilateral femoral and bilateral tibial shaft fractures, respectively</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As the number of motor vehicle accidents increases, a progressive increase in the incidence of ipsilateral femur and tibia fractures has been reported. Concomitant fractures of the ipsilateral femur and tibia are serious because of the high mortality associated with these injuries. Although the incidence of FK is undetermined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the related mortality rates range from 5% to 15%, and amputations are reported in up to 27% of patients. The incidence of knee ligament injuries related to FK is as high as 53% according to the literature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szCs w:val="20"/>
          <w:vertAlign w:val="superscript"/>
        </w:rPr>
        <w:t>14-16</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30"/>
          <w:lang w:eastAsia="zh-CN"/>
        </w:rPr>
        <w:t>.</w:t>
      </w:r>
    </w:p>
    <w:p>
      <w:pPr>
        <w:spacing w:line="360" w:lineRule="auto"/>
        <w:ind w:firstLine="240" w:firstLineChars="100"/>
        <w:jc w:val="both"/>
      </w:pPr>
      <w:r>
        <w:rPr>
          <w:rFonts w:ascii="Book Antiqua" w:hAnsi="Book Antiqua" w:eastAsia="Book Antiqua" w:cs="Book Antiqua"/>
          <w:color w:val="000000"/>
        </w:rPr>
        <w:t>Accurate reduction and firm fixation to regain articular and mechanical alignment are the treatment goals to optimize later function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Generally, femoral fractures should be fixed prior to the tibial fracture, except in the case of an open tibial fracture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The choice of implants for fixation includes intramedullary nails, plates, or a combination of the two. Although Rethnam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reported a short fracture union time and positive functional recovery in patients treated with intramedullary nails for extra-articular fractures and plates for intra-articular fractures in FK, each fracture is unique, and treatment should be decided based on a patient’s individual circumstances, the fracture pattern, and the extent of the soft tissue injury</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The patient in this study had simultaneous bilateral FK, a type I fracture as per Blake </w:t>
      </w:r>
      <w:r>
        <w:rPr>
          <w:rFonts w:ascii="Book Antiqua" w:hAnsi="Book Antiqua" w:eastAsia="Book Antiqua" w:cs="Book Antiqua"/>
          <w:i/>
          <w:color w:val="000000"/>
        </w:rPr>
        <w:t>et al</w:t>
      </w:r>
      <w:r>
        <w:rPr>
          <w:rFonts w:ascii="Book Antiqua" w:hAnsi="Book Antiqua" w:eastAsia="Book Antiqua" w:cs="Book Antiqua"/>
          <w:color w:val="000000"/>
        </w:rPr>
        <w:t xml:space="preserve">’s and Fraser </w:t>
      </w:r>
      <w:r>
        <w:rPr>
          <w:rFonts w:ascii="Book Antiqua" w:hAnsi="Book Antiqua" w:eastAsia="Book Antiqua" w:cs="Book Antiqua"/>
          <w:i/>
          <w:color w:val="000000"/>
        </w:rPr>
        <w:t>et al</w:t>
      </w:r>
      <w:r>
        <w:rPr>
          <w:rFonts w:ascii="Book Antiqua" w:hAnsi="Book Antiqua" w:eastAsia="Book Antiqua" w:cs="Book Antiqua"/>
          <w:color w:val="000000"/>
        </w:rPr>
        <w:t>’s classification</w:t>
      </w:r>
      <w:r>
        <w:rPr>
          <w:rFonts w:hint="eastAsia" w:ascii="Book Antiqua" w:hAnsi="Book Antiqua" w:cs="Book Antiqua"/>
          <w:color w:val="000000"/>
          <w:vertAlign w:val="superscript"/>
          <w:lang w:eastAsia="zh-CN"/>
        </w:rPr>
        <w:t>[1,11]</w:t>
      </w:r>
      <w:r>
        <w:rPr>
          <w:rFonts w:ascii="Book Antiqua" w:hAnsi="Book Antiqua" w:eastAsia="Book Antiqua" w:cs="Book Antiqua"/>
          <w:color w:val="000000"/>
        </w:rPr>
        <w:t>; thus, we decided to use plates and screws for the fixation to reduce the cost of the procedure for the patient, avoid the time involved in changing the patient’s surgical position in the event of pulmonary complications, and avoid any excess radiative exposure for the patient and medical personnel compared with intramedullary nailing.</w:t>
      </w:r>
    </w:p>
    <w:p>
      <w:pPr>
        <w:spacing w:line="360" w:lineRule="auto"/>
        <w:ind w:firstLine="220"/>
        <w:jc w:val="both"/>
      </w:pPr>
      <w:r>
        <w:rPr>
          <w:rFonts w:ascii="Book Antiqua" w:hAnsi="Book Antiqua" w:eastAsia="Book Antiqua" w:cs="Book Antiqua"/>
          <w:color w:val="000000"/>
          <w:szCs w:val="22"/>
        </w:rPr>
        <w:t>Although stabilization of femoral or tibial fracture is considered the gold standard during the first 24 h, a staged approach using damage-control orthopedic (DCO) surgery is also recommended according to the patient’s real condition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2"/>
        </w:rPr>
        <w:t xml:space="preserve">. </w:t>
      </w:r>
      <w:r>
        <w:rPr>
          <w:rFonts w:ascii="Book Antiqua" w:hAnsi="Book Antiqua" w:eastAsia="Book Antiqua" w:cs="Book Antiqua"/>
          <w:color w:val="000000"/>
        </w:rPr>
        <w:t>Patients who sustain major orthopedic trauma, such as FK, must be graded as stable or critical in terms of vital signs, and treatment should follow the evolving DCO approach</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w:t>
      </w:r>
      <w:r>
        <w:rPr>
          <w:rFonts w:hint="eastAsia" w:ascii="Book Antiqua" w:hAnsi="Book Antiqua" w:cs="Book Antiqua"/>
          <w:color w:val="000000"/>
          <w:szCs w:val="20"/>
          <w:vertAlign w:val="superscript"/>
          <w:lang w:eastAsia="zh-CN"/>
        </w:rPr>
        <w:t>19</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Life-threatening systemic complications, including head, chest and abdominal injuries with internal bleeding, popliteal artery ruptures, and open fractures, should be treated first, and femoral and tibial fractures should be temporarily immobilized through splinting, skin traction, or external fixation. Immediate definitive internal reduction and fixation are reserved for hemodynamically stable patients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Because FK is a serious long bone fracture accompanied by a combination of other complex bone, ligamentous, and other soft tissue injuries, patients are at high risk of complications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0</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Early complications such as excessive blood loss, superficial and deep wound infection, limb amputation, pneumonia, FES , pulmonary embolism, ARDS and multiple organ failure have been reported. Late complications include joint stiffness, bone malunion, nonunion, chronic osteomyelitis, heterotopic ossification, implant failure, and post-traumatic arthritis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In fat embolism, fat particles enter the circulatory system with vascular occlusion, causing more serious FES. FES is common in patients with long bone fractures. Its incidence is 1%</w:t>
      </w:r>
      <w:r>
        <w:rPr>
          <w:rFonts w:hint="eastAsia" w:ascii="Book Antiqua" w:hAnsi="Book Antiqua" w:cs="Book Antiqua"/>
          <w:color w:val="000000"/>
          <w:lang w:eastAsia="zh-CN"/>
        </w:rPr>
        <w:t>–</w:t>
      </w:r>
      <w:r>
        <w:rPr>
          <w:rFonts w:ascii="Book Antiqua" w:hAnsi="Book Antiqua" w:eastAsia="Book Antiqua" w:cs="Book Antiqua"/>
          <w:color w:val="000000"/>
        </w:rPr>
        <w:t>3% in patients with single long bone fractures and up to 33% in patients with bilateral femoral fractures. The mortality rate is 5%</w:t>
      </w:r>
      <w:r>
        <w:rPr>
          <w:rFonts w:hint="eastAsia" w:ascii="Book Antiqua" w:hAnsi="Book Antiqua" w:cs="Book Antiqua"/>
          <w:color w:val="000000"/>
          <w:lang w:eastAsia="zh-CN"/>
        </w:rPr>
        <w:t>–</w:t>
      </w:r>
      <w:r>
        <w:rPr>
          <w:rFonts w:ascii="Book Antiqua" w:hAnsi="Book Antiqua" w:eastAsia="Book Antiqua" w:cs="Book Antiqua"/>
          <w:color w:val="000000"/>
        </w:rPr>
        <w:t>15%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w:t>
      </w:r>
      <w:r>
        <w:rPr>
          <w:rFonts w:ascii="Book Antiqua" w:hAnsi="Book Antiqua" w:cs="Book Antiqua"/>
          <w:color w:val="000000"/>
          <w:szCs w:val="20"/>
          <w:vertAlign w:val="superscript"/>
          <w:lang w:eastAsia="zh-CN"/>
        </w:rPr>
        <w:t>1</w:t>
      </w:r>
      <w:r>
        <w:rPr>
          <w:rFonts w:ascii="Book Antiqua" w:hAnsi="Book Antiqua" w:eastAsia="Book Antiqua" w:cs="Book Antiqua"/>
          <w:color w:val="000000"/>
          <w:szCs w:val="20"/>
          <w:vertAlign w:val="superscript"/>
        </w:rPr>
        <w:t>,2</w:t>
      </w:r>
      <w:r>
        <w:rPr>
          <w:rFonts w:ascii="Book Antiqua" w:hAnsi="Book Antiqua" w:cs="Book Antiqua"/>
          <w:color w:val="000000"/>
          <w:szCs w:val="20"/>
          <w:vertAlign w:val="superscript"/>
          <w:lang w:eastAsia="zh-CN"/>
        </w:rPr>
        <w:t>2</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The clinical symptoms of FES usually occur during the first 12</w:t>
      </w:r>
      <w:r>
        <w:rPr>
          <w:rFonts w:hint="eastAsia" w:ascii="Book Antiqua" w:hAnsi="Book Antiqua" w:cs="Book Antiqua"/>
          <w:color w:val="000000"/>
          <w:lang w:eastAsia="zh-CN"/>
        </w:rPr>
        <w:t>–</w:t>
      </w:r>
      <w:r>
        <w:rPr>
          <w:rFonts w:ascii="Book Antiqua" w:hAnsi="Book Antiqua" w:eastAsia="Book Antiqua" w:cs="Book Antiqua"/>
          <w:color w:val="000000"/>
        </w:rPr>
        <w:t>72 h after traumatic injury and include respiratory distress, altered mental status, and skin petechiae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9,2</w:t>
      </w:r>
      <w:r>
        <w:rPr>
          <w:rFonts w:ascii="Book Antiqua" w:hAnsi="Book Antiqua" w:cs="Book Antiqua"/>
          <w:color w:val="000000"/>
          <w:szCs w:val="20"/>
          <w:vertAlign w:val="superscript"/>
          <w:lang w:eastAsia="zh-CN"/>
        </w:rPr>
        <w:t>3</w:t>
      </w:r>
      <w:r>
        <w:rPr>
          <w:rFonts w:ascii="Book Antiqua" w:hAnsi="Book Antiqua" w:eastAsia="Book Antiqua" w:cs="Book Antiqua"/>
          <w:color w:val="000000"/>
          <w:szCs w:val="20"/>
          <w:vertAlign w:val="superscript"/>
        </w:rPr>
        <w:t>,2</w:t>
      </w:r>
      <w:r>
        <w:rPr>
          <w:rFonts w:ascii="Book Antiqua" w:hAnsi="Book Antiqua" w:cs="Book Antiqua"/>
          <w:color w:val="000000"/>
          <w:szCs w:val="20"/>
          <w:vertAlign w:val="superscript"/>
          <w:lang w:eastAsia="zh-CN"/>
        </w:rPr>
        <w:t>4</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Pulmonary dysfunction with dyspnea, tachypnea and hypoxemia is the primary symptom, occurring in 75% of cases. Respiratory failure might develop in more than 10% of cases, and 5%</w:t>
      </w:r>
      <w:r>
        <w:rPr>
          <w:rFonts w:hint="eastAsia" w:ascii="Book Antiqua" w:hAnsi="Book Antiqua" w:cs="Book Antiqua"/>
          <w:color w:val="000000"/>
          <w:lang w:eastAsia="zh-CN"/>
        </w:rPr>
        <w:t>–</w:t>
      </w:r>
      <w:r>
        <w:rPr>
          <w:rFonts w:ascii="Book Antiqua" w:hAnsi="Book Antiqua" w:eastAsia="Book Antiqua" w:cs="Book Antiqua"/>
          <w:color w:val="000000"/>
        </w:rPr>
        <w:t>8% of patients might progress to severe ARDS. Approximately 50% of FES patients develop severe hypoxemia and respiratory insufficiency requiring mechanical ventilation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5-</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patient in our study had simultaneous bilateral FK with complete femoral, tibial and fibular midshaft fractures in six long bones in both lower limbs; type I fracture in the Blake and McBryde classification. Endotracheal intubation with mechanical ventilation was reapplied because of respiratory insufficiency with dyspnea and hypoxemia 9 h after the initial removal of the endotracheal tube. FES was suspected as the cause. No designated therapy exists for FES; prevention, early diagnosis, and adequate symptomatic treatment are the key responses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6</w:t>
      </w:r>
      <w:r>
        <w:rPr>
          <w:rFonts w:ascii="Book Antiqua" w:hAnsi="Book Antiqua" w:eastAsia="Book Antiqua" w:cs="Book Antiqua"/>
          <w:color w:val="000000"/>
          <w:szCs w:val="20"/>
          <w:vertAlign w:val="superscript"/>
        </w:rPr>
        <w:t>,</w:t>
      </w:r>
      <w:r>
        <w:rPr>
          <w:rFonts w:hint="eastAsia" w:ascii="Book Antiqua" w:hAnsi="Book Antiqua" w:cs="Book Antiqua"/>
          <w:color w:val="000000"/>
          <w:szCs w:val="20"/>
          <w:vertAlign w:val="superscript"/>
          <w:lang w:eastAsia="zh-CN"/>
        </w:rPr>
        <w:t>28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Rapid supportive treatment of the patient’s respiratory system and additional pharmaceutical treatment provide positive clinical outcomes.</w:t>
      </w:r>
    </w:p>
    <w:p>
      <w:pPr>
        <w:spacing w:line="360" w:lineRule="auto"/>
        <w:ind w:firstLine="240"/>
        <w:jc w:val="both"/>
      </w:pPr>
      <w:r>
        <w:rPr>
          <w:rFonts w:ascii="Book Antiqua" w:hAnsi="Book Antiqua" w:eastAsia="Book Antiqua" w:cs="Book Antiqua"/>
          <w:color w:val="000000"/>
        </w:rPr>
        <w:t>Because this patient experienced severe bilateral FK, the soft tissue of his legs was severely swollen during surgery. To avoid blisters and skin necrosis, we applied a Chinese medicine blood-letting method after the wound was sutured. The skin around the wound was punctured with hundreds of small holes using an 18-gauge needle to allow the accumulated blood in the tissue to flow out, and a drainage tube was inserted to reduce the continued swelling of the soft tissue and prevent compartment syndrome and tissue necrosis</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20"/>
          <w:vertAlign w:val="superscript"/>
          <w:lang w:eastAsia="zh-CN"/>
        </w:rPr>
        <w:t>29-</w:t>
      </w:r>
      <w:r>
        <w:rPr>
          <w:rFonts w:ascii="Book Antiqua" w:hAnsi="Book Antiqua" w:eastAsia="Book Antiqua" w:cs="Book Antiqua"/>
          <w:color w:val="000000"/>
          <w:szCs w:val="20"/>
          <w:vertAlign w:val="superscript"/>
        </w:rPr>
        <w:t>3</w:t>
      </w:r>
      <w:r>
        <w:rPr>
          <w:rFonts w:hint="eastAsia" w:ascii="Book Antiqua" w:hAnsi="Book Antiqua" w:cs="Book Antiqua"/>
          <w:color w:val="000000"/>
          <w:szCs w:val="20"/>
          <w:vertAlign w:val="superscript"/>
          <w:lang w:eastAsia="zh-CN"/>
        </w:rPr>
        <w:t>1</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After the operation, we administered intravenous antibiotics (1.0 g cefazolin every 8 h for 2 d) and oral antibiotics for the subsequent 3 d. Simultaneously, the wound dressing was changed twice a day for the first 3 d after the operation and then once a day.</w:t>
      </w:r>
    </w:p>
    <w:p>
      <w:pPr>
        <w:spacing w:line="360" w:lineRule="auto"/>
        <w:ind w:firstLine="240" w:firstLineChars="100"/>
        <w:jc w:val="both"/>
      </w:pPr>
      <w:r>
        <w:rPr>
          <w:rFonts w:ascii="Book Antiqua" w:hAnsi="Book Antiqua" w:eastAsia="Book Antiqua" w:cs="Book Antiqua"/>
          <w:color w:val="000000"/>
        </w:rPr>
        <w:t xml:space="preserve">The functional outcomes of FK are measured with seven criteria defined by Karlström and Olerud. </w:t>
      </w:r>
      <w:r>
        <w:rPr>
          <w:rFonts w:ascii="Book Antiqua" w:hAnsi="Book Antiqua" w:eastAsia="Book Antiqua" w:cs="Book Antiqua"/>
          <w:color w:val="000000"/>
          <w:szCs w:val="22"/>
        </w:rPr>
        <w:t xml:space="preserve">The </w:t>
      </w:r>
      <w:r>
        <w:rPr>
          <w:rFonts w:ascii="Book Antiqua" w:hAnsi="Book Antiqua" w:eastAsia="Book Antiqua" w:cs="Book Antiqua"/>
          <w:color w:val="000000"/>
        </w:rPr>
        <w:t>Karlström–Olerud criteria</w:t>
      </w:r>
      <w:r>
        <w:rPr>
          <w:rFonts w:ascii="Book Antiqua" w:hAnsi="Book Antiqua" w:eastAsia="Book Antiqua" w:cs="Book Antiqua"/>
          <w:color w:val="000000"/>
          <w:szCs w:val="22"/>
        </w:rPr>
        <w:t xml:space="preserve"> include the following: subjective symptoms from thigh or leg; sub</w:t>
      </w:r>
      <w:r>
        <w:rPr>
          <w:rFonts w:ascii="Book Antiqua" w:hAnsi="Book Antiqua" w:eastAsia="Book Antiqua" w:cs="Book Antiqua"/>
          <w:color w:val="000000"/>
          <w:szCs w:val="22"/>
        </w:rPr>
        <w:softHyphen/>
      </w:r>
      <w:r>
        <w:rPr>
          <w:rFonts w:ascii="Book Antiqua" w:hAnsi="Book Antiqua" w:eastAsia="Book Antiqua" w:cs="Book Antiqua"/>
          <w:color w:val="000000"/>
          <w:szCs w:val="22"/>
        </w:rPr>
        <w:t xml:space="preserve">jective symptoms from knee or ankle joint walking ability return to preinjury work and sports angulation or rotational deformity or both; and shortening and restricted joint mobility of the hip, knee or ankle joint. Scores for each criterion are </w:t>
      </w:r>
      <w:r>
        <w:rPr>
          <w:rFonts w:ascii="Book Antiqua" w:hAnsi="Book Antiqua" w:eastAsia="Book Antiqua" w:cs="Book Antiqua"/>
          <w:color w:val="000000"/>
        </w:rPr>
        <w:t>divided into</w:t>
      </w:r>
      <w:r>
        <w:rPr>
          <w:rFonts w:ascii="Book Antiqua" w:hAnsi="Book Antiqua" w:eastAsia="Book Antiqua" w:cs="Book Antiqua"/>
          <w:color w:val="000000"/>
          <w:szCs w:val="22"/>
        </w:rPr>
        <w:t xml:space="preserve"> excellent, good, acceptable and poor</w:t>
      </w:r>
      <w:r>
        <w:rPr>
          <w:rFonts w:ascii="Book Antiqua" w:hAnsi="Book Antiqua" w:eastAsia="Book Antiqua" w:cs="Book Antiqua"/>
          <w:color w:val="000000"/>
          <w:szCs w:val="18"/>
          <w:vertAlign w:val="superscript"/>
        </w:rPr>
        <w:t>[3,3</w:t>
      </w:r>
      <w:r>
        <w:rPr>
          <w:rFonts w:hint="eastAsia" w:ascii="Book Antiqua" w:hAnsi="Book Antiqua" w:cs="Book Antiqua"/>
          <w:color w:val="000000"/>
          <w:szCs w:val="18"/>
          <w:vertAlign w:val="superscript"/>
          <w:lang w:eastAsia="zh-CN"/>
        </w:rPr>
        <w:t>2</w:t>
      </w:r>
      <w:r>
        <w:rPr>
          <w:rFonts w:ascii="Book Antiqua" w:hAnsi="Book Antiqua" w:eastAsia="Book Antiqua" w:cs="Book Antiqua"/>
          <w:color w:val="000000"/>
          <w:szCs w:val="18"/>
          <w:vertAlign w:val="superscript"/>
        </w:rPr>
        <w:t>]</w:t>
      </w:r>
      <w:r>
        <w:rPr>
          <w:rFonts w:ascii="Book Antiqua" w:hAnsi="Book Antiqua" w:eastAsia="Book Antiqua" w:cs="Book Antiqua"/>
          <w:color w:val="000000"/>
          <w:szCs w:val="22"/>
        </w:rPr>
        <w:t xml:space="preserve">. Our patient </w:t>
      </w:r>
      <w:r>
        <w:rPr>
          <w:rFonts w:ascii="Book Antiqua" w:hAnsi="Book Antiqua" w:eastAsia="Book Antiqua" w:cs="Book Antiqua"/>
          <w:color w:val="000000"/>
        </w:rPr>
        <w:t xml:space="preserve">was able to walk independently without external support and was free from bilateral hip, ankle and ankle joints at 4 mo postoperatively. He complained of intermittent mild pain in the left calf, but no pain medication was required. He </w:t>
      </w:r>
      <w:r>
        <w:rPr>
          <w:rFonts w:ascii="Book Antiqua" w:hAnsi="Book Antiqua" w:eastAsia="Book Antiqua" w:cs="Book Antiqua"/>
          <w:color w:val="000000"/>
          <w:szCs w:val="22"/>
        </w:rPr>
        <w:t>has returned to most of his preinjury activities, including working</w:t>
      </w:r>
      <w:r>
        <w:rPr>
          <w:rFonts w:ascii="Book Antiqua" w:hAnsi="Book Antiqua" w:eastAsia="Book Antiqua" w:cs="Book Antiqua"/>
          <w:color w:val="000000"/>
        </w:rPr>
        <w:t xml:space="preserve"> 6 mo after surgery. </w:t>
      </w:r>
      <w:r>
        <w:rPr>
          <w:rFonts w:ascii="Book Antiqua" w:hAnsi="Book Antiqua" w:eastAsia="Book Antiqua" w:cs="Book Antiqua"/>
          <w:color w:val="000000"/>
          <w:szCs w:val="22"/>
        </w:rPr>
        <w:t>All of his fractures had healed successfully after 13 mo.</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The patient’s bilateral lower limbs were normal function without shortening, rotation and angulation deformity.</w:t>
      </w:r>
    </w:p>
    <w:bookmarkEnd w:id="82"/>
    <w:bookmarkEnd w:id="83"/>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bookmarkStart w:id="84" w:name="OLE_LINK136"/>
      <w:bookmarkStart w:id="85" w:name="OLE_LINK137"/>
      <w:r>
        <w:rPr>
          <w:rFonts w:ascii="Book Antiqua" w:hAnsi="Book Antiqua" w:eastAsia="Book Antiqua" w:cs="Book Antiqua"/>
          <w:color w:val="000000"/>
        </w:rPr>
        <w:t>We presented a highly unusual case of a young adult with bilateral FK resulting from a severe road traffic accident. The incidence of unilateral FK is rare, and that of simultaneous bilateral FK even more so. FK is a devastating injury with life-threatening complications, and it often results from high-energy trauma. Patients might present in a critical condition with multiple severe injuries. Treatment of FK is challenging and following with DCO protocol. An urgent primary assessment and resuscitation followed by suitable and timely definitive treatment comprising systemic soft tissue and fracture considerations reduces the risk of complications.</w:t>
      </w:r>
    </w:p>
    <w:bookmarkEnd w:id="84"/>
    <w:bookmarkEnd w:id="85"/>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6"/>
        <w:shd w:val="clear" w:color="auto" w:fill="FFFFFF"/>
        <w:adjustRightInd w:val="0"/>
        <w:snapToGrid w:val="0"/>
        <w:spacing w:before="0" w:beforeAutospacing="0" w:after="0" w:afterAutospacing="0" w:line="360" w:lineRule="auto"/>
        <w:jc w:val="both"/>
        <w:rPr>
          <w:rFonts w:ascii="Book Antiqua" w:hAnsi="Book Antiqua"/>
        </w:rPr>
      </w:pPr>
      <w:bookmarkStart w:id="86" w:name="OLE_LINK138"/>
      <w:r>
        <w:rPr>
          <w:rFonts w:ascii="Book Antiqua" w:hAnsi="Book Antiqua"/>
        </w:rPr>
        <w:t xml:space="preserve">1 </w:t>
      </w:r>
      <w:r>
        <w:rPr>
          <w:rFonts w:ascii="Book Antiqua" w:hAnsi="Book Antiqua"/>
          <w:b/>
          <w:bCs/>
        </w:rPr>
        <w:t>Blake R</w:t>
      </w:r>
      <w:r>
        <w:rPr>
          <w:rFonts w:ascii="Book Antiqua" w:hAnsi="Book Antiqua"/>
        </w:rPr>
        <w:t xml:space="preserve">, McBryde A Jr. The floating knee: Ipsilateral fractures of the tibia and femur. </w:t>
      </w:r>
      <w:r>
        <w:rPr>
          <w:rFonts w:ascii="Book Antiqua" w:hAnsi="Book Antiqua"/>
          <w:i/>
          <w:iCs/>
        </w:rPr>
        <w:t>South Med J</w:t>
      </w:r>
      <w:r>
        <w:rPr>
          <w:rFonts w:ascii="Book Antiqua" w:hAnsi="Book Antiqua"/>
        </w:rPr>
        <w:t xml:space="preserve"> 1975; </w:t>
      </w:r>
      <w:r>
        <w:rPr>
          <w:rFonts w:ascii="Book Antiqua" w:hAnsi="Book Antiqua"/>
          <w:b/>
          <w:bCs/>
        </w:rPr>
        <w:t>68</w:t>
      </w:r>
      <w:r>
        <w:rPr>
          <w:rFonts w:ascii="Book Antiqua" w:hAnsi="Book Antiqua"/>
        </w:rPr>
        <w:t>: 13-16 [PMID: 807974]</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Piétu G</w:t>
      </w:r>
      <w:r>
        <w:rPr>
          <w:rFonts w:ascii="Book Antiqua" w:hAnsi="Book Antiqua"/>
          <w:bCs/>
        </w:rPr>
        <w:t xml:space="preserve">, Jacquot F, Féron JM; et les membres du GETRAUM. Le genou flottant: étude rétrospective de 172 cas [The floating knee: a retrospective analysis of 172 cases]. </w:t>
      </w:r>
      <w:r>
        <w:rPr>
          <w:rFonts w:ascii="Book Antiqua" w:hAnsi="Book Antiqua"/>
          <w:bCs/>
          <w:i/>
        </w:rPr>
        <w:t>Rev Chir Orthop Reparatrice Appar Mot</w:t>
      </w:r>
      <w:r>
        <w:rPr>
          <w:rFonts w:ascii="Book Antiqua" w:hAnsi="Book Antiqua"/>
          <w:bCs/>
        </w:rPr>
        <w:t xml:space="preserve"> 2007;</w:t>
      </w:r>
      <w:r>
        <w:rPr>
          <w:rFonts w:hint="eastAsia" w:ascii="Book Antiqua" w:hAnsi="Book Antiqua"/>
          <w:bCs/>
        </w:rPr>
        <w:t xml:space="preserve"> </w:t>
      </w:r>
      <w:r>
        <w:rPr>
          <w:rFonts w:ascii="Book Antiqua" w:hAnsi="Book Antiqua"/>
          <w:b/>
          <w:bCs/>
        </w:rPr>
        <w:t>93</w:t>
      </w:r>
      <w:r>
        <w:rPr>
          <w:rFonts w:ascii="Book Antiqua" w:hAnsi="Book Antiqua"/>
          <w:bCs/>
        </w:rPr>
        <w:t>:</w:t>
      </w:r>
      <w:r>
        <w:rPr>
          <w:rFonts w:hint="eastAsia" w:ascii="Book Antiqua" w:hAnsi="Book Antiqua"/>
          <w:bCs/>
        </w:rPr>
        <w:t xml:space="preserve"> </w:t>
      </w:r>
      <w:r>
        <w:rPr>
          <w:rFonts w:ascii="Book Antiqua" w:hAnsi="Book Antiqua"/>
          <w:bCs/>
        </w:rPr>
        <w:t>627-</w:t>
      </w:r>
      <w:r>
        <w:rPr>
          <w:rFonts w:hint="eastAsia" w:ascii="Book Antiqua" w:hAnsi="Book Antiqua"/>
          <w:bCs/>
        </w:rPr>
        <w:t>6</w:t>
      </w:r>
      <w:r>
        <w:rPr>
          <w:rFonts w:ascii="Book Antiqua" w:hAnsi="Book Antiqua"/>
          <w:bCs/>
        </w:rPr>
        <w:t xml:space="preserve">34 </w:t>
      </w:r>
      <w:r>
        <w:rPr>
          <w:rFonts w:hint="eastAsia" w:ascii="Book Antiqua" w:hAnsi="Book Antiqua"/>
          <w:bCs/>
        </w:rPr>
        <w:t>[</w:t>
      </w:r>
      <w:r>
        <w:rPr>
          <w:rFonts w:ascii="Book Antiqua" w:hAnsi="Book Antiqua"/>
          <w:bCs/>
        </w:rPr>
        <w:t>PMID: 18065874</w:t>
      </w:r>
      <w:r>
        <w:rPr>
          <w:rFonts w:hint="eastAsia" w:ascii="Book Antiqua" w:hAnsi="Book Antiqua"/>
          <w:bCs/>
        </w:rPr>
        <w:t xml:space="preserve"> DOI</w:t>
      </w:r>
      <w:r>
        <w:rPr>
          <w:rFonts w:ascii="Book Antiqua" w:hAnsi="Book Antiqua"/>
          <w:bCs/>
        </w:rPr>
        <w:t>: 10.1016/s0035-1040(07)92687-2</w:t>
      </w:r>
      <w:r>
        <w:rPr>
          <w:rFonts w:hint="eastAsia" w:ascii="Book Antiqua" w:hAnsi="Book Antiqua"/>
          <w:bCs/>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Apostolopoulos AP</w:t>
      </w:r>
      <w:r>
        <w:rPr>
          <w:rFonts w:ascii="Book Antiqua" w:hAnsi="Book Antiqua"/>
        </w:rPr>
        <w:t xml:space="preserve">, Angelis S, Elamin SE, Clewer G. Bilateral Floating Knee Injury-Management of a Complex Injury. </w:t>
      </w:r>
      <w:r>
        <w:rPr>
          <w:rFonts w:ascii="Book Antiqua" w:hAnsi="Book Antiqua"/>
          <w:i/>
          <w:iCs/>
        </w:rPr>
        <w:t>J Long Term Eff Med Implants</w:t>
      </w:r>
      <w:r>
        <w:rPr>
          <w:rFonts w:ascii="Book Antiqua" w:hAnsi="Book Antiqua"/>
        </w:rPr>
        <w:t xml:space="preserve"> 2019; </w:t>
      </w:r>
      <w:r>
        <w:rPr>
          <w:rFonts w:ascii="Book Antiqua" w:hAnsi="Book Antiqua"/>
          <w:b/>
          <w:bCs/>
        </w:rPr>
        <w:t>29</w:t>
      </w:r>
      <w:r>
        <w:rPr>
          <w:rFonts w:ascii="Book Antiqua" w:hAnsi="Book Antiqua"/>
        </w:rPr>
        <w:t>: 1-6 [PMID: 31679195 DOI: 10.1615/JLongTermEffMedImplants.2019030557]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Lundy DW</w:t>
      </w:r>
      <w:r>
        <w:rPr>
          <w:rFonts w:ascii="Book Antiqua" w:hAnsi="Book Antiqua"/>
        </w:rPr>
        <w:t xml:space="preserve">, Johnson KD. "Floating knee" injuries: ipsilateral fractures of the femur and tibia. </w:t>
      </w:r>
      <w:r>
        <w:rPr>
          <w:rFonts w:ascii="Book Antiqua" w:hAnsi="Book Antiqua"/>
          <w:i/>
          <w:iCs/>
        </w:rPr>
        <w:t>J Am Acad Orthop Surg</w:t>
      </w:r>
      <w:r>
        <w:rPr>
          <w:rFonts w:ascii="Book Antiqua" w:hAnsi="Book Antiqua"/>
        </w:rPr>
        <w:t xml:space="preserve"> 2001; </w:t>
      </w:r>
      <w:r>
        <w:rPr>
          <w:rFonts w:ascii="Book Antiqua" w:hAnsi="Book Antiqua"/>
          <w:b/>
          <w:bCs/>
        </w:rPr>
        <w:t>9</w:t>
      </w:r>
      <w:r>
        <w:rPr>
          <w:rFonts w:ascii="Book Antiqua" w:hAnsi="Book Antiqua"/>
        </w:rPr>
        <w:t>: 238-245 [PMID: 11476533 DOI: 10.5435/00124635-200107000-00003]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Bertrand ML</w:t>
      </w:r>
      <w:r>
        <w:rPr>
          <w:rFonts w:ascii="Book Antiqua" w:hAnsi="Book Antiqua"/>
        </w:rPr>
        <w:t xml:space="preserve">, Andrés-Cano P. Management of the Floating Knee in Polytrauma Patients. </w:t>
      </w:r>
      <w:r>
        <w:rPr>
          <w:rFonts w:ascii="Book Antiqua" w:hAnsi="Book Antiqua"/>
          <w:i/>
          <w:iCs/>
        </w:rPr>
        <w:t>Open Orthop J</w:t>
      </w:r>
      <w:r>
        <w:rPr>
          <w:rFonts w:ascii="Book Antiqua" w:hAnsi="Book Antiqua"/>
        </w:rPr>
        <w:t xml:space="preserve"> 2015; </w:t>
      </w:r>
      <w:r>
        <w:rPr>
          <w:rFonts w:ascii="Book Antiqua" w:hAnsi="Book Antiqua"/>
          <w:b/>
          <w:bCs/>
        </w:rPr>
        <w:t>9</w:t>
      </w:r>
      <w:r>
        <w:rPr>
          <w:rFonts w:ascii="Book Antiqua" w:hAnsi="Book Antiqua"/>
        </w:rPr>
        <w:t>: 347-355 [PMID: 26312119 DOI: 10.2174/1874325001509010347]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Letts M</w:t>
      </w:r>
      <w:r>
        <w:rPr>
          <w:rFonts w:ascii="Book Antiqua" w:hAnsi="Book Antiqua"/>
        </w:rPr>
        <w:t xml:space="preserve">, Vincent N, Gouw G. The "floating knee" in children. </w:t>
      </w:r>
      <w:r>
        <w:rPr>
          <w:rFonts w:ascii="Book Antiqua" w:hAnsi="Book Antiqua"/>
          <w:i/>
          <w:iCs/>
        </w:rPr>
        <w:t>J Bone Joint Surg Br</w:t>
      </w:r>
      <w:r>
        <w:rPr>
          <w:rFonts w:ascii="Book Antiqua" w:hAnsi="Book Antiqua"/>
        </w:rPr>
        <w:t xml:space="preserve"> 1986; </w:t>
      </w:r>
      <w:r>
        <w:rPr>
          <w:rFonts w:ascii="Book Antiqua" w:hAnsi="Book Antiqua"/>
          <w:b/>
          <w:bCs/>
        </w:rPr>
        <w:t>68</w:t>
      </w:r>
      <w:r>
        <w:rPr>
          <w:rFonts w:ascii="Book Antiqua" w:hAnsi="Book Antiqua"/>
        </w:rPr>
        <w:t>: 442-446 [PMID: 3733812 DOI: 10.1302/0301-620x.68b3.3733812]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Veith RG,</w:t>
      </w:r>
      <w:r>
        <w:rPr>
          <w:rFonts w:ascii="Book Antiqua" w:hAnsi="Book Antiqua"/>
        </w:rPr>
        <w:t xml:space="preserve"> Winquist RA, Hansen ST Jr. Ipsilateral fractures of the femur and tibia. A report of fifty-seven consecutive cases. </w:t>
      </w:r>
      <w:r>
        <w:rPr>
          <w:rFonts w:ascii="Book Antiqua" w:hAnsi="Book Antiqua"/>
          <w:i/>
        </w:rPr>
        <w:t>J Bone and Joint Surgery</w:t>
      </w:r>
      <w:r>
        <w:rPr>
          <w:rFonts w:ascii="Book Antiqua" w:hAnsi="Book Antiqua"/>
        </w:rPr>
        <w:t xml:space="preserve"> 1984; </w:t>
      </w:r>
      <w:r>
        <w:rPr>
          <w:rFonts w:ascii="Book Antiqua" w:hAnsi="Book Antiqua"/>
          <w:b/>
        </w:rPr>
        <w:t>66</w:t>
      </w:r>
      <w:r>
        <w:rPr>
          <w:rFonts w:ascii="Book Antiqua" w:hAnsi="Book Antiqua"/>
        </w:rPr>
        <w:t>:</w:t>
      </w:r>
      <w:r>
        <w:rPr>
          <w:rFonts w:hint="eastAsia" w:ascii="Book Antiqua" w:hAnsi="Book Antiqua"/>
        </w:rPr>
        <w:t xml:space="preserve"> </w:t>
      </w:r>
      <w:r>
        <w:rPr>
          <w:rFonts w:ascii="Book Antiqua" w:hAnsi="Book Antiqua"/>
        </w:rPr>
        <w:t>991-1002 [</w:t>
      </w:r>
      <w:bookmarkStart w:id="87" w:name="OLE_LINK60"/>
      <w:bookmarkStart w:id="88" w:name="OLE_LINK61"/>
      <w:r>
        <w:rPr>
          <w:rFonts w:ascii="Book Antiqua" w:hAnsi="Book Antiqua"/>
        </w:rPr>
        <w:t>DOI: 10.2106/00004623-198466070-00004</w:t>
      </w:r>
      <w:bookmarkEnd w:id="87"/>
      <w:bookmarkEnd w:id="88"/>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Philip PJ,</w:t>
      </w:r>
      <w:r>
        <w:rPr>
          <w:rFonts w:ascii="Book Antiqua" w:hAnsi="Book Antiqua"/>
        </w:rPr>
        <w:t xml:space="preserve"> Georgekutty, Stephen M, Sultan AS. Functional outcome of floating knee injuries after fixation: A follow up study.</w:t>
      </w:r>
      <w:r>
        <w:rPr>
          <w:rFonts w:ascii="Book Antiqua" w:hAnsi="Book Antiqua"/>
          <w:i/>
        </w:rPr>
        <w:t xml:space="preserve"> </w:t>
      </w:r>
      <w:bookmarkStart w:id="89" w:name="OLE_LINK63"/>
      <w:r>
        <w:rPr>
          <w:rFonts w:ascii="Book Antiqua" w:hAnsi="Book Antiqua"/>
          <w:i/>
        </w:rPr>
        <w:t>Int</w:t>
      </w:r>
      <w:r>
        <w:rPr>
          <w:rFonts w:hint="eastAsia" w:ascii="Book Antiqua" w:hAnsi="Book Antiqua"/>
          <w:i/>
        </w:rPr>
        <w:t xml:space="preserve"> </w:t>
      </w:r>
      <w:r>
        <w:rPr>
          <w:rFonts w:ascii="Book Antiqua" w:hAnsi="Book Antiqua"/>
          <w:i/>
        </w:rPr>
        <w:t>J Orthop Sci</w:t>
      </w:r>
      <w:bookmarkEnd w:id="89"/>
      <w:r>
        <w:rPr>
          <w:rFonts w:ascii="Book Antiqua" w:hAnsi="Book Antiqua"/>
        </w:rPr>
        <w:t xml:space="preserve"> 2020; </w:t>
      </w:r>
      <w:r>
        <w:rPr>
          <w:rFonts w:ascii="Book Antiqua" w:hAnsi="Book Antiqua"/>
          <w:b/>
        </w:rPr>
        <w:t>6</w:t>
      </w:r>
      <w:r>
        <w:rPr>
          <w:rFonts w:ascii="Book Antiqua" w:hAnsi="Book Antiqua"/>
        </w:rPr>
        <w:t>: 336-339 [</w:t>
      </w:r>
      <w:bookmarkStart w:id="90" w:name="OLE_LINK62"/>
      <w:r>
        <w:rPr>
          <w:rFonts w:ascii="Book Antiqua" w:hAnsi="Book Antiqua"/>
        </w:rPr>
        <w:t>DOI:</w:t>
      </w:r>
      <w:r>
        <w:rPr>
          <w:rFonts w:hint="eastAsia" w:ascii="Book Antiqua" w:hAnsi="Book Antiqua"/>
        </w:rPr>
        <w:t xml:space="preserve"> </w:t>
      </w:r>
      <w:r>
        <w:rPr>
          <w:rFonts w:ascii="Book Antiqua" w:hAnsi="Book Antiqua"/>
        </w:rPr>
        <w:t>10.22271/ortho.2020.v6.i2f.2063</w:t>
      </w:r>
      <w:bookmarkEnd w:id="90"/>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Ebina M</w:t>
      </w:r>
      <w:r>
        <w:rPr>
          <w:rFonts w:ascii="Book Antiqua" w:hAnsi="Book Antiqua"/>
        </w:rPr>
        <w:t xml:space="preserve">, Inoue A, Atsumi T, Ariyoshi K. Concomitant fat embolism syndrome and pulmonary embolism in a patient with a femoral shaft fracture. </w:t>
      </w:r>
      <w:r>
        <w:rPr>
          <w:rFonts w:ascii="Book Antiqua" w:hAnsi="Book Antiqua"/>
          <w:i/>
          <w:iCs/>
        </w:rPr>
        <w:t>Acute Med Surg</w:t>
      </w:r>
      <w:r>
        <w:rPr>
          <w:rFonts w:ascii="Book Antiqua" w:hAnsi="Book Antiqua"/>
        </w:rPr>
        <w:t xml:space="preserve"> 2016; </w:t>
      </w:r>
      <w:r>
        <w:rPr>
          <w:rFonts w:ascii="Book Antiqua" w:hAnsi="Book Antiqua"/>
          <w:b/>
          <w:bCs/>
        </w:rPr>
        <w:t>3</w:t>
      </w:r>
      <w:r>
        <w:rPr>
          <w:rFonts w:ascii="Book Antiqua" w:hAnsi="Book Antiqua"/>
        </w:rPr>
        <w:t>: 135-138 [PMID: 29123766 DOI: 10.1002/ams2.127]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Demirtas A</w:t>
      </w:r>
      <w:r>
        <w:rPr>
          <w:rFonts w:ascii="Book Antiqua" w:hAnsi="Book Antiqua"/>
        </w:rPr>
        <w:t xml:space="preserve">, Azboy I, Alemdar C, Gem M, Ozkul E, Bulut M, Uzel K. Functional outcomes and quality of life in adult ipsilateral femur and tibia fractures. </w:t>
      </w:r>
      <w:r>
        <w:rPr>
          <w:rFonts w:ascii="Book Antiqua" w:hAnsi="Book Antiqua"/>
          <w:i/>
          <w:iCs/>
        </w:rPr>
        <w:t>J Orthop Translat</w:t>
      </w:r>
      <w:r>
        <w:rPr>
          <w:rFonts w:ascii="Book Antiqua" w:hAnsi="Book Antiqua"/>
        </w:rPr>
        <w:t xml:space="preserve"> 2019; </w:t>
      </w:r>
      <w:r>
        <w:rPr>
          <w:rFonts w:ascii="Book Antiqua" w:hAnsi="Book Antiqua"/>
          <w:b/>
          <w:bCs/>
        </w:rPr>
        <w:t>16</w:t>
      </w:r>
      <w:r>
        <w:rPr>
          <w:rFonts w:ascii="Book Antiqua" w:hAnsi="Book Antiqua"/>
        </w:rPr>
        <w:t>: 53-61 [PMID: 30723681 DOI: 10.1016/j.jot.2018.08.002]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Fraser RD</w:t>
      </w:r>
      <w:r>
        <w:rPr>
          <w:rFonts w:ascii="Book Antiqua" w:hAnsi="Book Antiqua"/>
        </w:rPr>
        <w:t xml:space="preserve">, Hunter GA, Waddell JP. Ipsilateral fracture of the femur and tibia. </w:t>
      </w:r>
      <w:r>
        <w:rPr>
          <w:rFonts w:ascii="Book Antiqua" w:hAnsi="Book Antiqua"/>
          <w:i/>
          <w:iCs/>
        </w:rPr>
        <w:t>J Bone Joint Surg Br</w:t>
      </w:r>
      <w:r>
        <w:rPr>
          <w:rFonts w:ascii="Book Antiqua" w:hAnsi="Book Antiqua"/>
        </w:rPr>
        <w:t xml:space="preserve"> 1978; </w:t>
      </w:r>
      <w:r>
        <w:rPr>
          <w:rFonts w:ascii="Book Antiqua" w:hAnsi="Book Antiqua"/>
          <w:b/>
          <w:bCs/>
        </w:rPr>
        <w:t>60-B</w:t>
      </w:r>
      <w:r>
        <w:rPr>
          <w:rFonts w:ascii="Book Antiqua" w:hAnsi="Book Antiqua"/>
        </w:rPr>
        <w:t>: 510-515 [PMID: 711798 DOI: 10.1302/0301-620X.60B4.711798]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Kontakis GM</w:t>
      </w:r>
      <w:r>
        <w:rPr>
          <w:rFonts w:ascii="Book Antiqua" w:hAnsi="Book Antiqua"/>
        </w:rPr>
        <w:t xml:space="preserve">, Tossounidis T, Weiss K, Pape HC, Giannoudis PV. Fat embolism: special situations bilateral femoral fractures and pathologic femoral fractures. </w:t>
      </w:r>
      <w:r>
        <w:rPr>
          <w:rFonts w:ascii="Book Antiqua" w:hAnsi="Book Antiqua"/>
          <w:i/>
          <w:iCs/>
        </w:rPr>
        <w:t>Injury</w:t>
      </w:r>
      <w:r>
        <w:rPr>
          <w:rFonts w:ascii="Book Antiqua" w:hAnsi="Book Antiqua"/>
        </w:rPr>
        <w:t xml:space="preserve"> 2006; </w:t>
      </w:r>
      <w:r>
        <w:rPr>
          <w:rFonts w:ascii="Book Antiqua" w:hAnsi="Book Antiqua"/>
          <w:b/>
          <w:bCs/>
        </w:rPr>
        <w:t>37 Suppl 4</w:t>
      </w:r>
      <w:r>
        <w:rPr>
          <w:rFonts w:ascii="Book Antiqua" w:hAnsi="Book Antiqua"/>
        </w:rPr>
        <w:t>: S19-S24 [PMID: 16990057 DOI: 10.1016/j.injury.2006.08.037]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Vallier HA</w:t>
      </w:r>
      <w:r>
        <w:rPr>
          <w:rFonts w:ascii="Book Antiqua" w:hAnsi="Book Antiqua"/>
        </w:rPr>
        <w:t xml:space="preserve">, Manzano GW. Management of the Floating Knee: Ipsilateral Fractures of the Femur and Tibia. </w:t>
      </w:r>
      <w:r>
        <w:rPr>
          <w:rFonts w:ascii="Book Antiqua" w:hAnsi="Book Antiqua"/>
          <w:i/>
          <w:iCs/>
        </w:rPr>
        <w:t>J Am Acad Orthop Surg</w:t>
      </w:r>
      <w:r>
        <w:rPr>
          <w:rFonts w:ascii="Book Antiqua" w:hAnsi="Book Antiqua"/>
        </w:rPr>
        <w:t xml:space="preserve"> 2020; </w:t>
      </w:r>
      <w:r>
        <w:rPr>
          <w:rFonts w:ascii="Book Antiqua" w:hAnsi="Book Antiqua"/>
          <w:b/>
          <w:bCs/>
        </w:rPr>
        <w:t>28</w:t>
      </w:r>
      <w:r>
        <w:rPr>
          <w:rFonts w:ascii="Book Antiqua" w:hAnsi="Book Antiqua"/>
        </w:rPr>
        <w:t>: e47-e54 [PMID: 31305352 DOI: 10.5435/JAAOS-D-18-00740]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Mohamadean A,</w:t>
      </w:r>
      <w:r>
        <w:rPr>
          <w:rFonts w:ascii="Book Antiqua" w:hAnsi="Book Antiqua"/>
        </w:rPr>
        <w:t xml:space="preserve"> Beeh HA. </w:t>
      </w:r>
      <w:bookmarkStart w:id="91" w:name="OLE_LINK64"/>
      <w:bookmarkStart w:id="92" w:name="OLE_LINK65"/>
      <w:r>
        <w:rPr>
          <w:rFonts w:ascii="Book Antiqua" w:hAnsi="Book Antiqua"/>
        </w:rPr>
        <w:t>Floating knee injuries: treatment with a single approach</w:t>
      </w:r>
      <w:bookmarkEnd w:id="91"/>
      <w:bookmarkEnd w:id="92"/>
      <w:r>
        <w:rPr>
          <w:rFonts w:ascii="Book Antiqua" w:hAnsi="Book Antiqua"/>
        </w:rPr>
        <w:t xml:space="preserve">. </w:t>
      </w:r>
      <w:bookmarkStart w:id="93" w:name="OLE_LINK69"/>
      <w:bookmarkStart w:id="94" w:name="OLE_LINK68"/>
      <w:r>
        <w:rPr>
          <w:rFonts w:ascii="Book Antiqua" w:hAnsi="Book Antiqua"/>
          <w:i/>
        </w:rPr>
        <w:t>Egypt Orthop J</w:t>
      </w:r>
      <w:bookmarkEnd w:id="93"/>
      <w:bookmarkEnd w:id="94"/>
      <w:r>
        <w:rPr>
          <w:rFonts w:hint="eastAsia" w:ascii="Book Antiqua" w:hAnsi="Book Antiqua"/>
        </w:rPr>
        <w:t xml:space="preserve"> </w:t>
      </w:r>
      <w:r>
        <w:rPr>
          <w:rFonts w:ascii="Book Antiqua" w:hAnsi="Book Antiqua"/>
        </w:rPr>
        <w:t>2017</w:t>
      </w:r>
      <w:r>
        <w:rPr>
          <w:rFonts w:hint="eastAsia" w:ascii="Book Antiqua" w:hAnsi="Book Antiqua"/>
        </w:rPr>
        <w:t>;</w:t>
      </w:r>
      <w:r>
        <w:rPr>
          <w:rFonts w:ascii="Book Antiqua" w:hAnsi="Book Antiqua"/>
        </w:rPr>
        <w:t xml:space="preserve"> </w:t>
      </w:r>
      <w:r>
        <w:rPr>
          <w:rFonts w:ascii="Book Antiqua" w:hAnsi="Book Antiqua"/>
          <w:b/>
        </w:rPr>
        <w:t>52</w:t>
      </w:r>
      <w:r>
        <w:rPr>
          <w:rFonts w:hint="eastAsia" w:ascii="Book Antiqua" w:hAnsi="Book Antiqua"/>
        </w:rPr>
        <w:t>:</w:t>
      </w:r>
      <w:r>
        <w:rPr>
          <w:rFonts w:ascii="Book Antiqua" w:hAnsi="Book Antiqua"/>
        </w:rPr>
        <w:t xml:space="preserve"> 6 [</w:t>
      </w:r>
      <w:bookmarkStart w:id="95" w:name="OLE_LINK66"/>
      <w:bookmarkStart w:id="96" w:name="OLE_LINK67"/>
      <w:r>
        <w:rPr>
          <w:rFonts w:ascii="Book Antiqua" w:hAnsi="Book Antiqua"/>
        </w:rPr>
        <w:t>DOI:</w:t>
      </w:r>
      <w:r>
        <w:rPr>
          <w:rFonts w:hint="eastAsia" w:ascii="Book Antiqua" w:hAnsi="Book Antiqua"/>
        </w:rPr>
        <w:t xml:space="preserve"> </w:t>
      </w:r>
      <w:r>
        <w:rPr>
          <w:rFonts w:ascii="Book Antiqua" w:hAnsi="Book Antiqua"/>
        </w:rPr>
        <w:t>10.4103/eoj.eoj_8_17</w:t>
      </w:r>
      <w:bookmarkEnd w:id="95"/>
      <w:bookmarkEnd w:id="96"/>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hint="eastAsia" w:ascii="Book Antiqua" w:hAnsi="Book Antiqua"/>
        </w:rPr>
        <w:t xml:space="preserve">5 </w:t>
      </w:r>
      <w:r>
        <w:rPr>
          <w:rFonts w:ascii="Book Antiqua" w:hAnsi="Book Antiqua"/>
          <w:b/>
          <w:bCs/>
        </w:rPr>
        <w:t>Oh CW</w:t>
      </w:r>
      <w:r>
        <w:rPr>
          <w:rFonts w:ascii="Book Antiqua" w:hAnsi="Book Antiqua"/>
        </w:rPr>
        <w:t xml:space="preserve">, Oh JK, Min WK, Jeon IH, Kyung HS, Ahn HS, Park BC, Kim PT. Management of ipsilateral femoral and tibial fractures. </w:t>
      </w:r>
      <w:r>
        <w:rPr>
          <w:rFonts w:ascii="Book Antiqua" w:hAnsi="Book Antiqua"/>
          <w:i/>
          <w:iCs/>
        </w:rPr>
        <w:t>Int Orthop</w:t>
      </w:r>
      <w:r>
        <w:rPr>
          <w:rFonts w:ascii="Book Antiqua" w:hAnsi="Book Antiqua"/>
        </w:rPr>
        <w:t xml:space="preserve"> 2005; </w:t>
      </w:r>
      <w:r>
        <w:rPr>
          <w:rFonts w:ascii="Book Antiqua" w:hAnsi="Book Antiqua"/>
          <w:b/>
          <w:bCs/>
        </w:rPr>
        <w:t>29</w:t>
      </w:r>
      <w:r>
        <w:rPr>
          <w:rFonts w:ascii="Book Antiqua" w:hAnsi="Book Antiqua"/>
        </w:rPr>
        <w:t>: 245-250 [PMID: 15928912 DOI: 10.1007/s00264-005-0661-7]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hint="eastAsia" w:ascii="Book Antiqua" w:hAnsi="Book Antiqua"/>
        </w:rPr>
        <w:t xml:space="preserve">6 </w:t>
      </w:r>
      <w:r>
        <w:rPr>
          <w:rFonts w:ascii="Book Antiqua" w:hAnsi="Book Antiqua"/>
          <w:b/>
          <w:bCs/>
        </w:rPr>
        <w:t>Yadav U,</w:t>
      </w:r>
      <w:r>
        <w:rPr>
          <w:rFonts w:ascii="Book Antiqua" w:hAnsi="Book Antiqua"/>
        </w:rPr>
        <w:t xml:space="preserve"> Dhupper V, Das J, Lamba A, Gaurav, Behera KC, Devgan A, Kumar N. </w:t>
      </w:r>
      <w:bookmarkStart w:id="97" w:name="OLE_LINK71"/>
      <w:bookmarkStart w:id="98" w:name="OLE_LINK70"/>
      <w:bookmarkStart w:id="99" w:name="OLE_LINK76"/>
      <w:r>
        <w:rPr>
          <w:rFonts w:ascii="Book Antiqua" w:hAnsi="Book Antiqua"/>
        </w:rPr>
        <w:t>Bilateral floating knee: a rare case report with review of literature</w:t>
      </w:r>
      <w:bookmarkEnd w:id="97"/>
      <w:bookmarkEnd w:id="98"/>
      <w:bookmarkEnd w:id="99"/>
      <w:r>
        <w:rPr>
          <w:rFonts w:ascii="Book Antiqua" w:hAnsi="Book Antiqua"/>
        </w:rPr>
        <w:t xml:space="preserve">. </w:t>
      </w:r>
      <w:bookmarkStart w:id="100" w:name="OLE_LINK74"/>
      <w:bookmarkStart w:id="101" w:name="OLE_LINK75"/>
      <w:r>
        <w:rPr>
          <w:rFonts w:ascii="Book Antiqua" w:hAnsi="Book Antiqua"/>
          <w:i/>
        </w:rPr>
        <w:t>Int J Res Orthop</w:t>
      </w:r>
      <w:bookmarkEnd w:id="100"/>
      <w:bookmarkEnd w:id="101"/>
      <w:r>
        <w:rPr>
          <w:rFonts w:ascii="Book Antiqua" w:hAnsi="Book Antiqua"/>
        </w:rPr>
        <w:t xml:space="preserve"> 2020; </w:t>
      </w:r>
      <w:r>
        <w:rPr>
          <w:rFonts w:ascii="Book Antiqua" w:hAnsi="Book Antiqua"/>
          <w:b/>
        </w:rPr>
        <w:t>6</w:t>
      </w:r>
      <w:r>
        <w:rPr>
          <w:rFonts w:hint="eastAsia" w:ascii="Book Antiqua" w:hAnsi="Book Antiqua"/>
        </w:rPr>
        <w:t>:</w:t>
      </w:r>
      <w:r>
        <w:rPr>
          <w:rFonts w:ascii="Book Antiqua" w:hAnsi="Book Antiqua"/>
        </w:rPr>
        <w:t xml:space="preserve"> 851 [</w:t>
      </w:r>
      <w:bookmarkStart w:id="102" w:name="OLE_LINK72"/>
      <w:bookmarkStart w:id="103" w:name="OLE_LINK73"/>
      <w:r>
        <w:rPr>
          <w:rFonts w:ascii="Book Antiqua" w:hAnsi="Book Antiqua"/>
        </w:rPr>
        <w:t xml:space="preserve">DOI: </w:t>
      </w:r>
      <w:bookmarkEnd w:id="102"/>
      <w:bookmarkEnd w:id="103"/>
      <w:r>
        <w:rPr>
          <w:rFonts w:ascii="Book Antiqua" w:hAnsi="Book Antiqua"/>
        </w:rPr>
        <w:t>10.18203/issn.2455-4510.IntJResOrthop20202035]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hint="eastAsia" w:ascii="Book Antiqua" w:hAnsi="Book Antiqua"/>
        </w:rPr>
        <w:t xml:space="preserve">7 </w:t>
      </w:r>
      <w:r>
        <w:rPr>
          <w:rFonts w:ascii="Book Antiqua" w:hAnsi="Book Antiqua"/>
          <w:b/>
          <w:bCs/>
        </w:rPr>
        <w:t>Muñoz Vives J</w:t>
      </w:r>
      <w:r>
        <w:rPr>
          <w:rFonts w:ascii="Book Antiqua" w:hAnsi="Book Antiqua"/>
        </w:rPr>
        <w:t xml:space="preserve">, Bel JC, Capel Agundez A, Chana Rodríguez F, Palomo Traver J, Schultz-Larsen M, Tosounidis T. The floating knee: a review on ipsilateral femoral and tibial fractures. </w:t>
      </w:r>
      <w:r>
        <w:rPr>
          <w:rFonts w:ascii="Book Antiqua" w:hAnsi="Book Antiqua"/>
          <w:i/>
          <w:iCs/>
        </w:rPr>
        <w:t>EFORT Open Rev</w:t>
      </w:r>
      <w:r>
        <w:rPr>
          <w:rFonts w:ascii="Book Antiqua" w:hAnsi="Book Antiqua"/>
        </w:rPr>
        <w:t xml:space="preserve"> 2016; </w:t>
      </w:r>
      <w:r>
        <w:rPr>
          <w:rFonts w:ascii="Book Antiqua" w:hAnsi="Book Antiqua"/>
          <w:b/>
          <w:bCs/>
        </w:rPr>
        <w:t>1</w:t>
      </w:r>
      <w:r>
        <w:rPr>
          <w:rFonts w:ascii="Book Antiqua" w:hAnsi="Book Antiqua"/>
        </w:rPr>
        <w:t>: 375-382 [PMID: 28461916 DOI: 10.1302/2058-5241.1.000042]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hint="eastAsia" w:ascii="Book Antiqua" w:hAnsi="Book Antiqua"/>
        </w:rPr>
        <w:t xml:space="preserve">8 </w:t>
      </w:r>
      <w:r>
        <w:rPr>
          <w:rFonts w:ascii="Book Antiqua" w:hAnsi="Book Antiqua"/>
          <w:b/>
          <w:bCs/>
        </w:rPr>
        <w:t>Rethnam U</w:t>
      </w:r>
      <w:r>
        <w:rPr>
          <w:rFonts w:ascii="Book Antiqua" w:hAnsi="Book Antiqua"/>
        </w:rPr>
        <w:t xml:space="preserve">, Yesupalan RS, Nair R. Impact of associated injuries in the floating knee: a retrospective study. </w:t>
      </w:r>
      <w:r>
        <w:rPr>
          <w:rFonts w:ascii="Book Antiqua" w:hAnsi="Book Antiqua"/>
          <w:i/>
          <w:iCs/>
        </w:rPr>
        <w:t>BMC Musculoskelet Disord</w:t>
      </w:r>
      <w:r>
        <w:rPr>
          <w:rFonts w:ascii="Book Antiqua" w:hAnsi="Book Antiqua"/>
        </w:rPr>
        <w:t xml:space="preserve"> 2009; </w:t>
      </w:r>
      <w:r>
        <w:rPr>
          <w:rFonts w:ascii="Book Antiqua" w:hAnsi="Book Antiqua"/>
          <w:b/>
          <w:bCs/>
        </w:rPr>
        <w:t>10</w:t>
      </w:r>
      <w:r>
        <w:rPr>
          <w:rFonts w:ascii="Book Antiqua" w:hAnsi="Book Antiqua"/>
        </w:rPr>
        <w:t>: 7 [PMID: 19144197 DOI: 10.1186/1471-2474-10-7]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hint="eastAsia" w:ascii="Book Antiqua" w:hAnsi="Book Antiqua"/>
        </w:rPr>
        <w:t xml:space="preserve">19 </w:t>
      </w:r>
      <w:r>
        <w:rPr>
          <w:rFonts w:ascii="Book Antiqua" w:hAnsi="Book Antiqua"/>
          <w:b/>
          <w:bCs/>
        </w:rPr>
        <w:t>Roberts CS</w:t>
      </w:r>
      <w:r>
        <w:rPr>
          <w:rFonts w:ascii="Book Antiqua" w:hAnsi="Book Antiqua"/>
        </w:rPr>
        <w:t xml:space="preserve">, Pape HC, Jones AL, Malkani AL, Rodriguez JL, Giannoudis PV. Damage control orthopaedics: evolving concepts in the treatment of patients who have sustained orthopaedic trauma. </w:t>
      </w:r>
      <w:r>
        <w:rPr>
          <w:rFonts w:ascii="Book Antiqua" w:hAnsi="Book Antiqua"/>
          <w:i/>
          <w:iCs/>
        </w:rPr>
        <w:t>Instr Course Lect</w:t>
      </w:r>
      <w:r>
        <w:rPr>
          <w:rFonts w:ascii="Book Antiqua" w:hAnsi="Book Antiqua"/>
        </w:rPr>
        <w:t xml:space="preserve"> 2005; </w:t>
      </w:r>
      <w:r>
        <w:rPr>
          <w:rFonts w:ascii="Book Antiqua" w:hAnsi="Book Antiqua"/>
          <w:b/>
          <w:bCs/>
        </w:rPr>
        <w:t>54</w:t>
      </w:r>
      <w:r>
        <w:rPr>
          <w:rFonts w:ascii="Book Antiqua" w:hAnsi="Book Antiqua"/>
        </w:rPr>
        <w:t>: 447-462 [</w:t>
      </w:r>
      <w:bookmarkStart w:id="104" w:name="OLE_LINK77"/>
      <w:bookmarkStart w:id="105" w:name="OLE_LINK78"/>
      <w:r>
        <w:rPr>
          <w:rFonts w:ascii="Book Antiqua" w:hAnsi="Book Antiqua"/>
        </w:rPr>
        <w:t>PMID: 15948472</w:t>
      </w:r>
      <w:bookmarkEnd w:id="104"/>
      <w:bookmarkEnd w:id="105"/>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0 </w:t>
      </w:r>
      <w:r>
        <w:rPr>
          <w:rFonts w:ascii="Book Antiqua" w:hAnsi="Book Antiqua"/>
          <w:b/>
          <w:bCs/>
        </w:rPr>
        <w:t>Chen AT</w:t>
      </w:r>
      <w:r>
        <w:rPr>
          <w:rFonts w:ascii="Book Antiqua" w:hAnsi="Book Antiqua"/>
        </w:rPr>
        <w:t xml:space="preserve">, Vallier HA. Noncontiguous and open fractures of the lower extremity: Epidemiology, complications, and unplanned procedures. </w:t>
      </w:r>
      <w:r>
        <w:rPr>
          <w:rFonts w:ascii="Book Antiqua" w:hAnsi="Book Antiqua"/>
          <w:i/>
          <w:iCs/>
        </w:rPr>
        <w:t>Injury</w:t>
      </w:r>
      <w:r>
        <w:rPr>
          <w:rFonts w:ascii="Book Antiqua" w:hAnsi="Book Antiqua"/>
        </w:rPr>
        <w:t xml:space="preserve"> 2016; </w:t>
      </w:r>
      <w:r>
        <w:rPr>
          <w:rFonts w:ascii="Book Antiqua" w:hAnsi="Book Antiqua"/>
          <w:b/>
          <w:bCs/>
        </w:rPr>
        <w:t>47</w:t>
      </w:r>
      <w:r>
        <w:rPr>
          <w:rFonts w:ascii="Book Antiqua" w:hAnsi="Book Antiqua"/>
        </w:rPr>
        <w:t>: 742-747 [PMID: 26776462 DOI: 10.1016/j.injury.2015.12.013]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1 </w:t>
      </w:r>
      <w:r>
        <w:rPr>
          <w:rFonts w:ascii="Book Antiqua" w:hAnsi="Book Antiqua"/>
          <w:b/>
          <w:bCs/>
        </w:rPr>
        <w:t>Makarewich CA</w:t>
      </w:r>
      <w:r>
        <w:rPr>
          <w:rFonts w:ascii="Book Antiqua" w:hAnsi="Book Antiqua"/>
          <w:bCs/>
        </w:rPr>
        <w:t xml:space="preserve">, Dwyer KW, Cantu RV. Severe neurologic manifestations of fat embolism syndrome in a polytrauma patient. </w:t>
      </w:r>
      <w:r>
        <w:rPr>
          <w:rFonts w:ascii="Book Antiqua" w:hAnsi="Book Antiqua"/>
          <w:bCs/>
          <w:i/>
        </w:rPr>
        <w:t>Am J Orthop</w:t>
      </w:r>
      <w:r>
        <w:rPr>
          <w:rFonts w:ascii="Book Antiqua" w:hAnsi="Book Antiqua"/>
          <w:bCs/>
        </w:rPr>
        <w:t xml:space="preserve"> 2015;</w:t>
      </w:r>
      <w:r>
        <w:rPr>
          <w:rFonts w:hint="eastAsia" w:ascii="Book Antiqua" w:hAnsi="Book Antiqua"/>
          <w:bCs/>
        </w:rPr>
        <w:t xml:space="preserve"> </w:t>
      </w:r>
      <w:r>
        <w:rPr>
          <w:rFonts w:ascii="Book Antiqua" w:hAnsi="Book Antiqua"/>
          <w:b/>
          <w:bCs/>
        </w:rPr>
        <w:t>44</w:t>
      </w:r>
      <w:r>
        <w:rPr>
          <w:rFonts w:ascii="Book Antiqua" w:hAnsi="Book Antiqua"/>
          <w:bCs/>
        </w:rPr>
        <w:t>:</w:t>
      </w:r>
      <w:r>
        <w:rPr>
          <w:rFonts w:hint="eastAsia" w:ascii="Book Antiqua" w:hAnsi="Book Antiqua"/>
          <w:bCs/>
        </w:rPr>
        <w:t xml:space="preserve"> </w:t>
      </w:r>
      <w:r>
        <w:rPr>
          <w:rFonts w:ascii="Book Antiqua" w:hAnsi="Book Antiqua"/>
          <w:bCs/>
        </w:rPr>
        <w:t xml:space="preserve">E25-8 </w:t>
      </w:r>
      <w:r>
        <w:rPr>
          <w:rFonts w:hint="eastAsia" w:ascii="Book Antiqua" w:hAnsi="Book Antiqua"/>
          <w:bCs/>
        </w:rPr>
        <w:t>[</w:t>
      </w:r>
      <w:r>
        <w:rPr>
          <w:rFonts w:ascii="Book Antiqua" w:hAnsi="Book Antiqua"/>
          <w:bCs/>
        </w:rPr>
        <w:t>PMID: 25566561</w:t>
      </w:r>
      <w:r>
        <w:rPr>
          <w:rFonts w:hint="eastAsia" w:ascii="Book Antiqua" w:hAnsi="Book Antiqua"/>
          <w:bCs/>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2 </w:t>
      </w:r>
      <w:r>
        <w:rPr>
          <w:rFonts w:ascii="Book Antiqua" w:hAnsi="Book Antiqua"/>
          <w:b/>
          <w:bCs/>
        </w:rPr>
        <w:t>Al Shareef K,</w:t>
      </w:r>
      <w:r>
        <w:rPr>
          <w:rFonts w:ascii="Book Antiqua" w:hAnsi="Book Antiqua"/>
        </w:rPr>
        <w:t xml:space="preserve"> Asadullah M, Helal M. Fat Embolism Syndrome Due to Fracture Right Femur: A Case Report. </w:t>
      </w:r>
      <w:bookmarkStart w:id="106" w:name="OLE_LINK82"/>
      <w:bookmarkStart w:id="107" w:name="OLE_LINK83"/>
      <w:bookmarkStart w:id="108" w:name="OLE_LINK81"/>
      <w:r>
        <w:rPr>
          <w:rFonts w:ascii="Book Antiqua" w:hAnsi="Book Antiqua"/>
          <w:i/>
        </w:rPr>
        <w:t>Egypt J Hosp Med</w:t>
      </w:r>
      <w:bookmarkEnd w:id="106"/>
      <w:bookmarkEnd w:id="107"/>
      <w:bookmarkEnd w:id="108"/>
      <w:r>
        <w:rPr>
          <w:rFonts w:ascii="Book Antiqua" w:hAnsi="Book Antiqua"/>
        </w:rPr>
        <w:t xml:space="preserve"> 2017</w:t>
      </w:r>
      <w:r>
        <w:rPr>
          <w:rFonts w:hint="eastAsia" w:ascii="Book Antiqua" w:hAnsi="Book Antiqua"/>
        </w:rPr>
        <w:t>;</w:t>
      </w:r>
      <w:r>
        <w:rPr>
          <w:rFonts w:ascii="Book Antiqua" w:hAnsi="Book Antiqua"/>
        </w:rPr>
        <w:t xml:space="preserve"> </w:t>
      </w:r>
      <w:r>
        <w:rPr>
          <w:rFonts w:ascii="Book Antiqua" w:hAnsi="Book Antiqua"/>
          <w:b/>
        </w:rPr>
        <w:t>68</w:t>
      </w:r>
      <w:r>
        <w:rPr>
          <w:rFonts w:hint="eastAsia" w:ascii="Book Antiqua" w:hAnsi="Book Antiqua"/>
        </w:rPr>
        <w:t>:</w:t>
      </w:r>
      <w:r>
        <w:rPr>
          <w:rFonts w:ascii="Book Antiqua" w:hAnsi="Book Antiqua"/>
        </w:rPr>
        <w:t xml:space="preserve"> 923-928 [</w:t>
      </w:r>
      <w:bookmarkStart w:id="109" w:name="OLE_LINK80"/>
      <w:bookmarkStart w:id="110" w:name="OLE_LINK79"/>
      <w:bookmarkStart w:id="111" w:name="OLE_LINK84"/>
      <w:r>
        <w:rPr>
          <w:rFonts w:ascii="Book Antiqua" w:hAnsi="Book Antiqua"/>
        </w:rPr>
        <w:t>DOI: 10.12816/0038192</w:t>
      </w:r>
      <w:bookmarkEnd w:id="109"/>
      <w:bookmarkEnd w:id="110"/>
      <w:bookmarkEnd w:id="111"/>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3 </w:t>
      </w:r>
      <w:r>
        <w:rPr>
          <w:rFonts w:ascii="Book Antiqua" w:hAnsi="Book Antiqua"/>
          <w:b/>
          <w:bCs/>
        </w:rPr>
        <w:t>Mellor A</w:t>
      </w:r>
      <w:r>
        <w:rPr>
          <w:rFonts w:ascii="Book Antiqua" w:hAnsi="Book Antiqua"/>
        </w:rPr>
        <w:t xml:space="preserve">, Soni N. Fat embolism. </w:t>
      </w:r>
      <w:r>
        <w:rPr>
          <w:rFonts w:ascii="Book Antiqua" w:hAnsi="Book Antiqua"/>
          <w:i/>
          <w:iCs/>
        </w:rPr>
        <w:t>Anaesthesia</w:t>
      </w:r>
      <w:r>
        <w:rPr>
          <w:rFonts w:ascii="Book Antiqua" w:hAnsi="Book Antiqua"/>
        </w:rPr>
        <w:t xml:space="preserve"> 2001; </w:t>
      </w:r>
      <w:r>
        <w:rPr>
          <w:rFonts w:ascii="Book Antiqua" w:hAnsi="Book Antiqua"/>
          <w:b/>
          <w:bCs/>
        </w:rPr>
        <w:t>56</w:t>
      </w:r>
      <w:r>
        <w:rPr>
          <w:rFonts w:ascii="Book Antiqua" w:hAnsi="Book Antiqua"/>
        </w:rPr>
        <w:t>: 145-154 [PMID: 11167474 DOI: 10.1046/j.1365-2044.2001.01724.x]</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4 </w:t>
      </w:r>
      <w:r>
        <w:rPr>
          <w:rFonts w:ascii="Book Antiqua" w:hAnsi="Book Antiqua"/>
          <w:b/>
          <w:bCs/>
        </w:rPr>
        <w:t>Gurd AR</w:t>
      </w:r>
      <w:r>
        <w:rPr>
          <w:rFonts w:ascii="Book Antiqua" w:hAnsi="Book Antiqua"/>
        </w:rPr>
        <w:t xml:space="preserve">. Fat embolism: an aid to diagnosis. </w:t>
      </w:r>
      <w:r>
        <w:rPr>
          <w:rFonts w:ascii="Book Antiqua" w:hAnsi="Book Antiqua"/>
          <w:i/>
          <w:iCs/>
        </w:rPr>
        <w:t>J Bone Joint Surg Br</w:t>
      </w:r>
      <w:r>
        <w:rPr>
          <w:rFonts w:ascii="Book Antiqua" w:hAnsi="Book Antiqua"/>
        </w:rPr>
        <w:t xml:space="preserve"> 1970; </w:t>
      </w:r>
      <w:r>
        <w:rPr>
          <w:rFonts w:ascii="Book Antiqua" w:hAnsi="Book Antiqua"/>
          <w:b/>
          <w:bCs/>
        </w:rPr>
        <w:t>52</w:t>
      </w:r>
      <w:r>
        <w:rPr>
          <w:rFonts w:ascii="Book Antiqua" w:hAnsi="Book Antiqua"/>
        </w:rPr>
        <w:t>: 732-737 [PMID: 5487573 DOI: 10.1302/0301-620X.52B4.732]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5 </w:t>
      </w:r>
      <w:r>
        <w:rPr>
          <w:rFonts w:ascii="Book Antiqua" w:hAnsi="Book Antiqua"/>
          <w:b/>
          <w:bCs/>
        </w:rPr>
        <w:t>Carlson DS</w:t>
      </w:r>
      <w:r>
        <w:rPr>
          <w:rFonts w:ascii="Book Antiqua" w:hAnsi="Book Antiqua"/>
          <w:bCs/>
        </w:rPr>
        <w:t xml:space="preserve">, Pfadt E. Fat embolism syndrome. </w:t>
      </w:r>
      <w:r>
        <w:rPr>
          <w:rFonts w:ascii="Book Antiqua" w:hAnsi="Book Antiqua"/>
          <w:bCs/>
          <w:i/>
        </w:rPr>
        <w:t>Nursing</w:t>
      </w:r>
      <w:r>
        <w:rPr>
          <w:rFonts w:ascii="Book Antiqua" w:hAnsi="Book Antiqua"/>
          <w:bCs/>
        </w:rPr>
        <w:t xml:space="preserve"> 2011;</w:t>
      </w:r>
      <w:r>
        <w:rPr>
          <w:rFonts w:hint="eastAsia" w:ascii="Book Antiqua" w:hAnsi="Book Antiqua"/>
          <w:bCs/>
        </w:rPr>
        <w:t xml:space="preserve"> </w:t>
      </w:r>
      <w:r>
        <w:rPr>
          <w:rFonts w:ascii="Book Antiqua" w:hAnsi="Book Antiqua"/>
          <w:b/>
          <w:bCs/>
        </w:rPr>
        <w:t>41</w:t>
      </w:r>
      <w:r>
        <w:rPr>
          <w:rFonts w:ascii="Book Antiqua" w:hAnsi="Book Antiqua"/>
          <w:bCs/>
        </w:rPr>
        <w:t>:</w:t>
      </w:r>
      <w:r>
        <w:rPr>
          <w:rFonts w:hint="eastAsia" w:ascii="Book Antiqua" w:hAnsi="Book Antiqua"/>
          <w:bCs/>
        </w:rPr>
        <w:t xml:space="preserve"> </w:t>
      </w:r>
      <w:r>
        <w:rPr>
          <w:rFonts w:ascii="Book Antiqua" w:hAnsi="Book Antiqua"/>
          <w:bCs/>
        </w:rPr>
        <w:t xml:space="preserve">72 </w:t>
      </w:r>
      <w:r>
        <w:rPr>
          <w:rFonts w:hint="eastAsia" w:ascii="Book Antiqua" w:hAnsi="Book Antiqua"/>
          <w:bCs/>
        </w:rPr>
        <w:t>[</w:t>
      </w:r>
      <w:r>
        <w:rPr>
          <w:rFonts w:ascii="Book Antiqua" w:hAnsi="Book Antiqua"/>
          <w:bCs/>
        </w:rPr>
        <w:t>PMID: 21403514</w:t>
      </w:r>
      <w:r>
        <w:rPr>
          <w:rFonts w:hint="eastAsia" w:ascii="Book Antiqua" w:hAnsi="Book Antiqua"/>
          <w:bCs/>
        </w:rPr>
        <w:t xml:space="preserve"> DOI</w:t>
      </w:r>
      <w:r>
        <w:rPr>
          <w:rFonts w:ascii="Book Antiqua" w:hAnsi="Book Antiqua"/>
          <w:bCs/>
        </w:rPr>
        <w:t>: 10.1097/01.NURSE.0000395312.91409.7f</w:t>
      </w:r>
      <w:r>
        <w:rPr>
          <w:rFonts w:hint="eastAsia" w:ascii="Book Antiqua" w:hAnsi="Book Antiqua"/>
          <w:bCs/>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6 </w:t>
      </w:r>
      <w:r>
        <w:rPr>
          <w:rFonts w:ascii="Book Antiqua" w:hAnsi="Book Antiqua"/>
          <w:b/>
          <w:bCs/>
        </w:rPr>
        <w:t>Fowler AA</w:t>
      </w:r>
      <w:r>
        <w:rPr>
          <w:rFonts w:ascii="Book Antiqua" w:hAnsi="Book Antiqua"/>
        </w:rPr>
        <w:t xml:space="preserve">, Hamman RF, Good JT, Benson KN, Baird M, Eberle DJ, Petty TL, Hyers TM. Adult respiratory distress syndrome: risk with common predispositions. </w:t>
      </w:r>
      <w:r>
        <w:rPr>
          <w:rFonts w:ascii="Book Antiqua" w:hAnsi="Book Antiqua"/>
          <w:i/>
          <w:iCs/>
        </w:rPr>
        <w:t>Ann Intern Med</w:t>
      </w:r>
      <w:r>
        <w:rPr>
          <w:rFonts w:ascii="Book Antiqua" w:hAnsi="Book Antiqua"/>
        </w:rPr>
        <w:t xml:space="preserve"> 1983; </w:t>
      </w:r>
      <w:r>
        <w:rPr>
          <w:rFonts w:ascii="Book Antiqua" w:hAnsi="Book Antiqua"/>
          <w:b/>
          <w:bCs/>
        </w:rPr>
        <w:t>98</w:t>
      </w:r>
      <w:r>
        <w:rPr>
          <w:rFonts w:ascii="Book Antiqua" w:hAnsi="Book Antiqua"/>
        </w:rPr>
        <w:t>: 593-597 [PMID: 6846973 DOI: 10.7326/0003-4819-98-5-593]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7 </w:t>
      </w:r>
      <w:r>
        <w:rPr>
          <w:rFonts w:ascii="Book Antiqua" w:hAnsi="Book Antiqua"/>
          <w:b/>
          <w:bCs/>
        </w:rPr>
        <w:t>King MB,</w:t>
      </w:r>
      <w:r>
        <w:rPr>
          <w:rFonts w:ascii="Book Antiqua" w:hAnsi="Book Antiqua"/>
        </w:rPr>
        <w:t xml:space="preserve"> Harmon KR. </w:t>
      </w:r>
      <w:bookmarkStart w:id="112" w:name="OLE_LINK86"/>
      <w:bookmarkStart w:id="113" w:name="OLE_LINK85"/>
      <w:r>
        <w:rPr>
          <w:rFonts w:ascii="Book Antiqua" w:hAnsi="Book Antiqua"/>
        </w:rPr>
        <w:t>Usuall forms of Pulmonary embolism</w:t>
      </w:r>
      <w:bookmarkEnd w:id="112"/>
      <w:bookmarkEnd w:id="113"/>
      <w:r>
        <w:rPr>
          <w:rFonts w:ascii="Book Antiqua" w:hAnsi="Book Antiqua"/>
        </w:rPr>
        <w:t xml:space="preserve">. </w:t>
      </w:r>
      <w:r>
        <w:rPr>
          <w:rFonts w:ascii="Book Antiqua" w:hAnsi="Book Antiqua"/>
          <w:i/>
        </w:rPr>
        <w:t>Clin chest Med</w:t>
      </w:r>
      <w:r>
        <w:rPr>
          <w:rFonts w:ascii="Book Antiqua" w:hAnsi="Book Antiqua"/>
        </w:rPr>
        <w:t xml:space="preserve"> 1994</w:t>
      </w:r>
      <w:r>
        <w:rPr>
          <w:rFonts w:hint="eastAsia" w:ascii="Book Antiqua" w:hAnsi="Book Antiqua"/>
        </w:rPr>
        <w:t>;</w:t>
      </w:r>
      <w:r>
        <w:rPr>
          <w:rFonts w:ascii="Book Antiqua" w:hAnsi="Book Antiqua"/>
        </w:rPr>
        <w:t xml:space="preserve"> </w:t>
      </w:r>
      <w:r>
        <w:rPr>
          <w:rFonts w:ascii="Book Antiqua" w:hAnsi="Book Antiqua"/>
          <w:b/>
        </w:rPr>
        <w:t>15</w:t>
      </w:r>
      <w:r>
        <w:rPr>
          <w:rFonts w:ascii="Book Antiqua" w:hAnsi="Book Antiqua"/>
        </w:rPr>
        <w:t>: 561-580 [DOI: 10.1016/s0272-5231(21)00949-7]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hint="eastAsia" w:ascii="Book Antiqua" w:hAnsi="Book Antiqua"/>
        </w:rPr>
        <w:t xml:space="preserve">8 </w:t>
      </w:r>
      <w:r>
        <w:rPr>
          <w:rFonts w:ascii="Book Antiqua" w:hAnsi="Book Antiqua"/>
          <w:b/>
          <w:bCs/>
        </w:rPr>
        <w:t>Porpodis K</w:t>
      </w:r>
      <w:r>
        <w:rPr>
          <w:rFonts w:ascii="Book Antiqua" w:hAnsi="Book Antiqua"/>
        </w:rPr>
        <w:t xml:space="preserve">, Karanikas M, Zarogoulidis P, Konoglou M, Domvri K, Mitrakas A, Boglou P, Bakali S, Iordanidis A, Zervas V, Courcoutsakis N, Katsikogiannis N, Zarogoulidis K. Fat embolism due to bilateral femoral fracture: a case report. </w:t>
      </w:r>
      <w:r>
        <w:rPr>
          <w:rFonts w:ascii="Book Antiqua" w:hAnsi="Book Antiqua"/>
          <w:i/>
          <w:iCs/>
        </w:rPr>
        <w:t>Int J Gen Med</w:t>
      </w:r>
      <w:r>
        <w:rPr>
          <w:rFonts w:ascii="Book Antiqua" w:hAnsi="Book Antiqua"/>
        </w:rPr>
        <w:t xml:space="preserve"> 2012; </w:t>
      </w:r>
      <w:r>
        <w:rPr>
          <w:rFonts w:ascii="Book Antiqua" w:hAnsi="Book Antiqua"/>
          <w:b/>
          <w:bCs/>
        </w:rPr>
        <w:t>5</w:t>
      </w:r>
      <w:r>
        <w:rPr>
          <w:rFonts w:ascii="Book Antiqua" w:hAnsi="Book Antiqua"/>
        </w:rPr>
        <w:t>: 59-63 [PMID: 22287848 DOI: 10.2147/IJGM.S28455]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hint="eastAsia" w:ascii="Book Antiqua" w:hAnsi="Book Antiqua"/>
        </w:rPr>
        <w:t xml:space="preserve">29 </w:t>
      </w:r>
      <w:r>
        <w:rPr>
          <w:rFonts w:ascii="Book Antiqua" w:hAnsi="Book Antiqua"/>
          <w:b/>
          <w:bCs/>
        </w:rPr>
        <w:t>Chen PD</w:t>
      </w:r>
      <w:r>
        <w:rPr>
          <w:rFonts w:ascii="Book Antiqua" w:hAnsi="Book Antiqua"/>
        </w:rPr>
        <w:t xml:space="preserve">, Chen GZ, Xu YX. Study strategies for bloodletting therapy in treatment of acute soft tissue injuries. </w:t>
      </w:r>
      <w:r>
        <w:rPr>
          <w:rFonts w:ascii="Book Antiqua" w:hAnsi="Book Antiqua"/>
          <w:i/>
          <w:iCs/>
        </w:rPr>
        <w:t>Zhong Xi Yi Jie He Xue Bao</w:t>
      </w:r>
      <w:r>
        <w:rPr>
          <w:rFonts w:ascii="Book Antiqua" w:hAnsi="Book Antiqua"/>
        </w:rPr>
        <w:t xml:space="preserve"> 2011; </w:t>
      </w:r>
      <w:r>
        <w:rPr>
          <w:rFonts w:ascii="Book Antiqua" w:hAnsi="Book Antiqua"/>
          <w:b/>
          <w:bCs/>
        </w:rPr>
        <w:t>9</w:t>
      </w:r>
      <w:r>
        <w:rPr>
          <w:rFonts w:ascii="Book Antiqua" w:hAnsi="Book Antiqua"/>
        </w:rPr>
        <w:t>: 237-241 [PMID: 21419074 DOI: 10.3736/jcim20110302]</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hint="eastAsia" w:ascii="Book Antiqua" w:hAnsi="Book Antiqua"/>
        </w:rPr>
        <w:t xml:space="preserve">0 </w:t>
      </w:r>
      <w:r>
        <w:rPr>
          <w:rFonts w:ascii="Book Antiqua" w:hAnsi="Book Antiqua"/>
          <w:b/>
          <w:bCs/>
        </w:rPr>
        <w:t>Erqing D</w:t>
      </w:r>
      <w:r>
        <w:rPr>
          <w:rFonts w:ascii="Book Antiqua" w:hAnsi="Book Antiqua"/>
          <w:bCs/>
        </w:rPr>
        <w:t xml:space="preserve">, Haiying L, Zhankao Z. One hundred and eighty-nine cases of acute articular soft tissue injury treated by blood-letting puncture with plum-blossom needle and cupping. </w:t>
      </w:r>
      <w:r>
        <w:rPr>
          <w:rFonts w:ascii="Book Antiqua" w:hAnsi="Book Antiqua"/>
          <w:bCs/>
          <w:i/>
        </w:rPr>
        <w:t xml:space="preserve">J Tradit Chin Med </w:t>
      </w:r>
      <w:r>
        <w:rPr>
          <w:rFonts w:ascii="Book Antiqua" w:hAnsi="Book Antiqua"/>
          <w:bCs/>
        </w:rPr>
        <w:t>2005;</w:t>
      </w:r>
      <w:r>
        <w:rPr>
          <w:rFonts w:hint="eastAsia" w:ascii="Book Antiqua" w:hAnsi="Book Antiqua"/>
          <w:bCs/>
        </w:rPr>
        <w:t xml:space="preserve"> </w:t>
      </w:r>
      <w:r>
        <w:rPr>
          <w:rFonts w:ascii="Book Antiqua" w:hAnsi="Book Antiqua"/>
          <w:b/>
          <w:bCs/>
        </w:rPr>
        <w:t>25</w:t>
      </w:r>
      <w:r>
        <w:rPr>
          <w:rFonts w:ascii="Book Antiqua" w:hAnsi="Book Antiqua"/>
          <w:bCs/>
        </w:rPr>
        <w:t>:</w:t>
      </w:r>
      <w:r>
        <w:rPr>
          <w:rFonts w:hint="eastAsia" w:ascii="Book Antiqua" w:hAnsi="Book Antiqua"/>
          <w:bCs/>
        </w:rPr>
        <w:t xml:space="preserve"> </w:t>
      </w:r>
      <w:r>
        <w:rPr>
          <w:rFonts w:ascii="Book Antiqua" w:hAnsi="Book Antiqua"/>
          <w:bCs/>
        </w:rPr>
        <w:t>104-</w:t>
      </w:r>
      <w:r>
        <w:rPr>
          <w:rFonts w:hint="eastAsia" w:ascii="Book Antiqua" w:hAnsi="Book Antiqua"/>
          <w:bCs/>
        </w:rPr>
        <w:t>10</w:t>
      </w:r>
      <w:r>
        <w:rPr>
          <w:rFonts w:ascii="Book Antiqua" w:hAnsi="Book Antiqua"/>
          <w:bCs/>
        </w:rPr>
        <w:t xml:space="preserve">5 </w:t>
      </w:r>
      <w:r>
        <w:rPr>
          <w:rFonts w:hint="eastAsia" w:ascii="Book Antiqua" w:hAnsi="Book Antiqua"/>
          <w:bCs/>
        </w:rPr>
        <w:t>[</w:t>
      </w:r>
      <w:r>
        <w:rPr>
          <w:rFonts w:ascii="Book Antiqua" w:hAnsi="Book Antiqua"/>
          <w:bCs/>
        </w:rPr>
        <w:t>PMID: 16136937</w:t>
      </w:r>
      <w:r>
        <w:rPr>
          <w:rFonts w:hint="eastAsia" w:ascii="Book Antiqua" w:hAnsi="Book Antiqua"/>
          <w:bCs/>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hint="eastAsia" w:ascii="Book Antiqua" w:hAnsi="Book Antiqua"/>
        </w:rPr>
        <w:t xml:space="preserve">1 </w:t>
      </w:r>
      <w:r>
        <w:rPr>
          <w:rFonts w:ascii="Book Antiqua" w:hAnsi="Book Antiqua"/>
          <w:b/>
          <w:bCs/>
        </w:rPr>
        <w:t>Zhou W</w:t>
      </w:r>
      <w:r>
        <w:rPr>
          <w:rFonts w:ascii="Book Antiqua" w:hAnsi="Book Antiqua"/>
        </w:rPr>
        <w:t xml:space="preserve">, Niu X, Ma J. [Blood-letting therapy combined with acupuncture for 50 cases of ankle joint sprain]. </w:t>
      </w:r>
      <w:r>
        <w:rPr>
          <w:rFonts w:ascii="Book Antiqua" w:hAnsi="Book Antiqua"/>
          <w:i/>
          <w:iCs/>
        </w:rPr>
        <w:t>Zhongguo Zhen Jiu</w:t>
      </w:r>
      <w:r>
        <w:rPr>
          <w:rFonts w:ascii="Book Antiqua" w:hAnsi="Book Antiqua"/>
        </w:rPr>
        <w:t xml:space="preserve"> 2015; </w:t>
      </w:r>
      <w:r>
        <w:rPr>
          <w:rFonts w:ascii="Book Antiqua" w:hAnsi="Book Antiqua"/>
          <w:b/>
          <w:bCs/>
        </w:rPr>
        <w:t>35</w:t>
      </w:r>
      <w:r>
        <w:rPr>
          <w:rFonts w:ascii="Book Antiqua" w:hAnsi="Book Antiqua"/>
        </w:rPr>
        <w:t>: 43 [</w:t>
      </w:r>
      <w:bookmarkStart w:id="114" w:name="OLE_LINK87"/>
      <w:bookmarkStart w:id="115" w:name="OLE_LINK91"/>
      <w:bookmarkStart w:id="116" w:name="OLE_LINK88"/>
      <w:bookmarkStart w:id="117" w:name="OLE_LINK89"/>
      <w:bookmarkStart w:id="118" w:name="OLE_LINK90"/>
      <w:r>
        <w:rPr>
          <w:rFonts w:ascii="Book Antiqua" w:hAnsi="Book Antiqua"/>
        </w:rPr>
        <w:t>PMID: 25906566</w:t>
      </w:r>
      <w:bookmarkEnd w:id="114"/>
      <w:bookmarkEnd w:id="115"/>
      <w:bookmarkEnd w:id="116"/>
      <w:bookmarkEnd w:id="117"/>
      <w:bookmarkEnd w:id="118"/>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hint="eastAsia" w:ascii="Book Antiqua" w:hAnsi="Book Antiqua"/>
        </w:rPr>
        <w:t xml:space="preserve">2 </w:t>
      </w:r>
      <w:r>
        <w:rPr>
          <w:rFonts w:ascii="Book Antiqua" w:hAnsi="Book Antiqua"/>
          <w:b/>
          <w:bCs/>
        </w:rPr>
        <w:t>Karlström G</w:t>
      </w:r>
      <w:r>
        <w:rPr>
          <w:rFonts w:ascii="Book Antiqua" w:hAnsi="Book Antiqua"/>
        </w:rPr>
        <w:t xml:space="preserve">, Olerud S. Ipsilateral fracture of the femur and tibia. </w:t>
      </w:r>
      <w:r>
        <w:rPr>
          <w:rFonts w:ascii="Book Antiqua" w:hAnsi="Book Antiqua"/>
          <w:i/>
          <w:iCs/>
        </w:rPr>
        <w:t>J Bone Joint Surg Am</w:t>
      </w:r>
      <w:r>
        <w:rPr>
          <w:rFonts w:ascii="Book Antiqua" w:hAnsi="Book Antiqua"/>
        </w:rPr>
        <w:t xml:space="preserve"> 1977; </w:t>
      </w:r>
      <w:r>
        <w:rPr>
          <w:rFonts w:ascii="Book Antiqua" w:hAnsi="Book Antiqua"/>
          <w:b/>
          <w:bCs/>
        </w:rPr>
        <w:t>59</w:t>
      </w:r>
      <w:r>
        <w:rPr>
          <w:rFonts w:ascii="Book Antiqua" w:hAnsi="Book Antiqua"/>
        </w:rPr>
        <w:t>: 240-243 [PMID: 845210 DOI: 10.2106/00004623-197759020-00018]</w:t>
      </w:r>
    </w:p>
    <w:p>
      <w:pPr>
        <w:spacing w:line="360" w:lineRule="auto"/>
        <w:jc w:val="both"/>
        <w:rPr>
          <w:lang w:eastAsia="zh-CN"/>
        </w:rPr>
      </w:pPr>
    </w:p>
    <w:bookmarkEnd w:id="86"/>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bookmarkStart w:id="119" w:name="OLE_LINK140"/>
      <w:bookmarkStart w:id="120" w:name="OLE_LINK139"/>
      <w:r>
        <w:rPr>
          <w:rFonts w:ascii="Book Antiqua" w:hAnsi="Book Antiqua" w:eastAsia="Book Antiqua" w:cs="Book Antiqua"/>
          <w:color w:val="000000"/>
          <w:shd w:val="clear" w:color="auto" w:fill="FFFFFF"/>
        </w:rPr>
        <w:t>All study participants provided informed written consent prior to study enrollment.</w:t>
      </w:r>
    </w:p>
    <w:bookmarkEnd w:id="119"/>
    <w:bookmarkEnd w:id="120"/>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Conflict-of-interest statement: </w:t>
      </w:r>
      <w:bookmarkStart w:id="121" w:name="OLE_LINK142"/>
      <w:bookmarkStart w:id="122" w:name="OLE_LINK141"/>
      <w:r>
        <w:rPr>
          <w:rFonts w:ascii="Book Antiqua" w:hAnsi="Book Antiqua" w:eastAsia="Book Antiqua" w:cs="Book Antiqua"/>
          <w:color w:val="000000"/>
        </w:rPr>
        <w:t>All authors, including Chi-Ming Wu and Shou-Jen Lan, all declare that they have no conflict of interest.</w:t>
      </w:r>
      <w:bookmarkEnd w:id="121"/>
      <w:bookmarkEnd w:id="122"/>
    </w:p>
    <w:p>
      <w:pPr>
        <w:spacing w:line="360" w:lineRule="auto"/>
      </w:pPr>
    </w:p>
    <w:p>
      <w:pPr>
        <w:spacing w:line="360" w:lineRule="auto"/>
        <w:rPr>
          <w:rFonts w:ascii="Book Antiqua" w:hAnsi="Book Antiqua" w:cs="Book Antiqua"/>
          <w:b/>
          <w:bCs/>
          <w:color w:val="000000"/>
          <w:lang w:eastAsia="zh-CN"/>
        </w:rPr>
      </w:pPr>
      <w:r>
        <w:rPr>
          <w:rFonts w:ascii="Book Antiqua" w:hAnsi="Book Antiqua" w:eastAsia="Book Antiqua" w:cs="Book Antiqua"/>
          <w:b/>
          <w:bCs/>
          <w:color w:val="000000"/>
        </w:rPr>
        <w:t xml:space="preserve">CARE Checklist (2016) statement: </w:t>
      </w:r>
      <w:bookmarkStart w:id="123" w:name="OLE_LINK144"/>
      <w:bookmarkStart w:id="124" w:name="OLE_LINK143"/>
      <w:r>
        <w:rPr>
          <w:rFonts w:ascii="Book Antiqua" w:hAnsi="Book Antiqua" w:eastAsia="Book Antiqua" w:cs="Book Antiqua"/>
          <w:bCs/>
          <w:color w:val="000000"/>
        </w:rPr>
        <w:t>The authors have read the CARE Checklist</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(201</w:t>
      </w:r>
      <w:r>
        <w:rPr>
          <w:rFonts w:hint="eastAsia" w:ascii="Book Antiqua" w:hAnsi="Book Antiqua" w:cs="Book Antiqua"/>
          <w:bCs/>
          <w:color w:val="000000"/>
          <w:lang w:eastAsia="zh-CN"/>
        </w:rPr>
        <w:t>6</w:t>
      </w:r>
      <w:r>
        <w:rPr>
          <w:rFonts w:ascii="Book Antiqua" w:hAnsi="Book Antiqua" w:eastAsia="Book Antiqua" w:cs="Book Antiqua"/>
          <w:bCs/>
          <w:color w:val="000000"/>
        </w:rPr>
        <w:t>), and the manuscript was prepared and revised according to the CARE</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Checklist (2016)</w:t>
      </w:r>
      <w:r>
        <w:rPr>
          <w:rFonts w:hint="eastAsia" w:ascii="Book Antiqua" w:hAnsi="Book Antiqua" w:cs="Book Antiqua"/>
          <w:bCs/>
          <w:color w:val="000000"/>
          <w:lang w:eastAsia="zh-CN"/>
        </w:rPr>
        <w:t>.</w:t>
      </w:r>
    </w:p>
    <w:bookmarkEnd w:id="123"/>
    <w:bookmarkEnd w:id="124"/>
    <w:p>
      <w:pPr>
        <w:spacing w:line="360" w:lineRule="auto"/>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23,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27,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Luo ZW, China; </w:t>
      </w:r>
      <w:r>
        <w:rPr>
          <w:rFonts w:hint="eastAsia" w:ascii="Book Antiqua" w:hAnsi="Book Antiqua" w:cs="Book Antiqua"/>
          <w:color w:val="000000"/>
          <w:lang w:eastAsia="zh-CN"/>
        </w:rPr>
        <w:t>S</w:t>
      </w:r>
      <w:r>
        <w:rPr>
          <w:rFonts w:ascii="Book Antiqua" w:hAnsi="Book Antiqua" w:eastAsia="Book Antiqua" w:cs="Book Antiqua"/>
          <w:color w:val="000000"/>
        </w:rPr>
        <w:t>angani V, United States</w:t>
      </w:r>
      <w:r>
        <w:rPr>
          <w:rFonts w:ascii="Book Antiqua" w:hAnsi="Book Antiqua" w:eastAsia="Book Antiqua" w:cs="Book Antiqua"/>
          <w:b/>
          <w:color w:val="000000"/>
        </w:rPr>
        <w:t xml:space="preserve"> S-Editor: </w:t>
      </w:r>
      <w:bookmarkStart w:id="125" w:name="OLE_LINK146"/>
      <w:bookmarkStart w:id="126" w:name="OLE_LINK145"/>
      <w:r>
        <w:rPr>
          <w:rFonts w:hint="eastAsia" w:ascii="Book Antiqua" w:hAnsi="Book Antiqua" w:cs="Book Antiqua"/>
          <w:color w:val="000000"/>
          <w:lang w:eastAsia="zh-CN"/>
        </w:rPr>
        <w:t>Zhang H</w:t>
      </w:r>
      <w:bookmarkEnd w:id="125"/>
      <w:bookmarkEnd w:id="126"/>
      <w:r>
        <w:rPr>
          <w:rFonts w:ascii="Book Antiqua" w:hAnsi="Book Antiqua" w:eastAsia="Book Antiqua" w:cs="Book Antiqua"/>
          <w:b/>
          <w:color w:val="000000"/>
        </w:rPr>
        <w:t xml:space="preserve"> L-Editor: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Kerr C</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Zhang H</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br w:type="page"/>
      </w:r>
      <w:r>
        <w:rPr>
          <w:rFonts w:hint="eastAsia" w:ascii="Book Antiqua" w:hAnsi="Book Antiqua" w:cs="Book Antiqua"/>
          <w:b/>
          <w:color w:val="000000"/>
          <w:lang w:eastAsia="zh-CN"/>
        </w:rPr>
        <w:t>Figure Legends</w:t>
      </w:r>
    </w:p>
    <w:p>
      <w:pPr>
        <w:spacing w:line="360" w:lineRule="auto"/>
        <w:jc w:val="both"/>
        <w:rPr>
          <w:lang w:eastAsia="zh-CN"/>
        </w:rPr>
      </w:pPr>
      <w:r>
        <w:rPr>
          <w:lang w:eastAsia="zh-CN"/>
        </w:rPr>
        <w:drawing>
          <wp:inline distT="0" distB="0" distL="114300" distR="114300">
            <wp:extent cx="3435350" cy="3782695"/>
            <wp:effectExtent l="0" t="0" r="8890" b="12065"/>
            <wp:docPr id="3" name="图片 3" descr="WJCC-10-1017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172-g001"/>
                    <pic:cNvPicPr>
                      <a:picLocks noChangeAspect="1"/>
                    </pic:cNvPicPr>
                  </pic:nvPicPr>
                  <pic:blipFill>
                    <a:blip r:embed="rId5"/>
                    <a:stretch>
                      <a:fillRect/>
                    </a:stretch>
                  </pic:blipFill>
                  <pic:spPr>
                    <a:xfrm>
                      <a:off x="0" y="0"/>
                      <a:ext cx="3435350" cy="3782695"/>
                    </a:xfrm>
                    <a:prstGeom prst="rect">
                      <a:avLst/>
                    </a:prstGeom>
                  </pic:spPr>
                </pic:pic>
              </a:graphicData>
            </a:graphic>
          </wp:inline>
        </w:drawing>
      </w:r>
    </w:p>
    <w:p>
      <w:pPr>
        <w:spacing w:line="360" w:lineRule="auto"/>
        <w:jc w:val="both"/>
        <w:rPr>
          <w:rFonts w:ascii="Book Antiqua" w:hAnsi="Book Antiqua"/>
          <w:lang w:eastAsia="zh-CN"/>
        </w:rPr>
      </w:pPr>
      <w:bookmarkStart w:id="127" w:name="OLE_LINK147"/>
      <w:r>
        <w:rPr>
          <w:rFonts w:ascii="Book Antiqua" w:hAnsi="Book Antiqua"/>
          <w:b/>
          <w:lang w:eastAsia="zh-CN"/>
        </w:rPr>
        <w:t xml:space="preserve">Figure 1 Initial plain radiographs revealed displaced </w:t>
      </w:r>
      <w:bookmarkStart w:id="128" w:name="OLE_LINK96"/>
      <w:r>
        <w:rPr>
          <w:rFonts w:ascii="Book Antiqua" w:hAnsi="Book Antiqua"/>
          <w:b/>
          <w:lang w:eastAsia="zh-CN"/>
        </w:rPr>
        <w:t>bilateral femoral</w:t>
      </w:r>
      <w:bookmarkEnd w:id="128"/>
      <w:r>
        <w:rPr>
          <w:rFonts w:ascii="Book Antiqua" w:hAnsi="Book Antiqua"/>
          <w:b/>
          <w:lang w:eastAsia="zh-CN"/>
        </w:rPr>
        <w:t xml:space="preserve">, </w:t>
      </w:r>
      <w:bookmarkStart w:id="129" w:name="OLE_LINK98"/>
      <w:bookmarkStart w:id="130" w:name="OLE_LINK97"/>
      <w:r>
        <w:rPr>
          <w:rFonts w:ascii="Book Antiqua" w:hAnsi="Book Antiqua"/>
          <w:b/>
          <w:lang w:eastAsia="zh-CN"/>
        </w:rPr>
        <w:t>tibial</w:t>
      </w:r>
      <w:bookmarkEnd w:id="129"/>
      <w:bookmarkEnd w:id="130"/>
      <w:r>
        <w:rPr>
          <w:rFonts w:ascii="Book Antiqua" w:hAnsi="Book Antiqua"/>
          <w:b/>
          <w:lang w:eastAsia="zh-CN"/>
        </w:rPr>
        <w:t xml:space="preserve">, and fibular midshaft </w:t>
      </w:r>
      <w:bookmarkStart w:id="131" w:name="OLE_LINK100"/>
      <w:bookmarkStart w:id="132" w:name="OLE_LINK99"/>
      <w:r>
        <w:rPr>
          <w:rFonts w:ascii="Book Antiqua" w:hAnsi="Book Antiqua"/>
          <w:b/>
          <w:lang w:eastAsia="zh-CN"/>
        </w:rPr>
        <w:t>fractures</w:t>
      </w:r>
      <w:bookmarkEnd w:id="131"/>
      <w:bookmarkEnd w:id="132"/>
      <w:r>
        <w:rPr>
          <w:rFonts w:ascii="Book Antiqua" w:hAnsi="Book Antiqua"/>
          <w:b/>
          <w:lang w:eastAsia="zh-CN"/>
        </w:rPr>
        <w:t>.</w:t>
      </w:r>
      <w:r>
        <w:rPr>
          <w:rFonts w:hint="eastAsia" w:ascii="Book Antiqua" w:hAnsi="Book Antiqua"/>
          <w:b/>
          <w:lang w:eastAsia="zh-CN"/>
        </w:rPr>
        <w:t xml:space="preserve"> </w:t>
      </w:r>
      <w:r>
        <w:rPr>
          <w:rFonts w:hint="eastAsia" w:ascii="Book Antiqua" w:hAnsi="Book Antiqua"/>
          <w:lang w:eastAsia="zh-CN"/>
        </w:rPr>
        <w:t>A and B: B</w:t>
      </w:r>
      <w:r>
        <w:rPr>
          <w:rFonts w:ascii="Book Antiqua" w:hAnsi="Book Antiqua"/>
          <w:lang w:eastAsia="zh-CN"/>
        </w:rPr>
        <w:t>ilateral femoral</w:t>
      </w:r>
      <w:r>
        <w:rPr>
          <w:rFonts w:hint="eastAsia" w:ascii="Book Antiqua" w:hAnsi="Book Antiqua"/>
          <w:lang w:eastAsia="zh-CN"/>
        </w:rPr>
        <w:t xml:space="preserve"> </w:t>
      </w:r>
      <w:r>
        <w:rPr>
          <w:rFonts w:ascii="Book Antiqua" w:hAnsi="Book Antiqua"/>
          <w:lang w:eastAsia="zh-CN"/>
        </w:rPr>
        <w:t>fractures</w:t>
      </w:r>
      <w:r>
        <w:rPr>
          <w:rFonts w:hint="eastAsia" w:ascii="Book Antiqua" w:hAnsi="Book Antiqua"/>
          <w:lang w:eastAsia="zh-CN"/>
        </w:rPr>
        <w:t>; C and D: T</w:t>
      </w:r>
      <w:r>
        <w:rPr>
          <w:rFonts w:ascii="Book Antiqua" w:hAnsi="Book Antiqua"/>
          <w:lang w:eastAsia="zh-CN"/>
        </w:rPr>
        <w:t>ibial</w:t>
      </w:r>
      <w:r>
        <w:rPr>
          <w:rFonts w:hint="eastAsia" w:ascii="Book Antiqua" w:hAnsi="Book Antiqua"/>
          <w:lang w:eastAsia="zh-CN"/>
        </w:rPr>
        <w:t xml:space="preserve"> </w:t>
      </w:r>
      <w:r>
        <w:rPr>
          <w:rFonts w:ascii="Book Antiqua" w:hAnsi="Book Antiqua"/>
          <w:lang w:eastAsia="zh-CN"/>
        </w:rPr>
        <w:t>fracture</w:t>
      </w:r>
      <w:r>
        <w:rPr>
          <w:rFonts w:hint="eastAsia" w:ascii="Book Antiqua" w:hAnsi="Book Antiqua"/>
          <w:lang w:eastAsia="zh-CN"/>
        </w:rPr>
        <w:t>.</w:t>
      </w:r>
    </w:p>
    <w:bookmarkEnd w:id="127"/>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3870960" cy="1588135"/>
            <wp:effectExtent l="0" t="0" r="0" b="12065"/>
            <wp:docPr id="4" name="图片 4" descr="WJCC-10-1017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172-g002"/>
                    <pic:cNvPicPr>
                      <a:picLocks noChangeAspect="1"/>
                    </pic:cNvPicPr>
                  </pic:nvPicPr>
                  <pic:blipFill>
                    <a:blip r:embed="rId6"/>
                    <a:stretch>
                      <a:fillRect/>
                    </a:stretch>
                  </pic:blipFill>
                  <pic:spPr>
                    <a:xfrm>
                      <a:off x="0" y="0"/>
                      <a:ext cx="3870960" cy="1588135"/>
                    </a:xfrm>
                    <a:prstGeom prst="rect">
                      <a:avLst/>
                    </a:prstGeom>
                  </pic:spPr>
                </pic:pic>
              </a:graphicData>
            </a:graphic>
          </wp:inline>
        </w:drawing>
      </w:r>
    </w:p>
    <w:p>
      <w:pPr>
        <w:spacing w:line="360" w:lineRule="auto"/>
        <w:jc w:val="both"/>
        <w:rPr>
          <w:rFonts w:ascii="Book Antiqua" w:hAnsi="Book Antiqua"/>
          <w:lang w:eastAsia="zh-CN"/>
        </w:rPr>
      </w:pPr>
      <w:bookmarkStart w:id="133" w:name="OLE_LINK148"/>
      <w:r>
        <w:rPr>
          <w:rFonts w:ascii="Book Antiqua" w:hAnsi="Book Antiqua"/>
          <w:b/>
          <w:lang w:eastAsia="zh-CN"/>
        </w:rPr>
        <w:t xml:space="preserve">Figure 2 The photographs showed that we punctured hundreds of small holes around the closed wound using an 18-gauge needle in the </w:t>
      </w:r>
      <w:bookmarkStart w:id="134" w:name="OLE_LINK103"/>
      <w:bookmarkStart w:id="135" w:name="OLE_LINK104"/>
      <w:r>
        <w:rPr>
          <w:rFonts w:ascii="Book Antiqua" w:hAnsi="Book Antiqua"/>
          <w:b/>
          <w:lang w:eastAsia="zh-CN"/>
        </w:rPr>
        <w:t>thigh and leg</w:t>
      </w:r>
      <w:bookmarkEnd w:id="134"/>
      <w:bookmarkEnd w:id="135"/>
      <w:r>
        <w:rPr>
          <w:rFonts w:ascii="Book Antiqua" w:hAnsi="Book Antiqua"/>
          <w:b/>
          <w:lang w:eastAsia="zh-CN"/>
        </w:rPr>
        <w:t>, imitating a Chinese medicine bloodletting method, to allow the accumulated blood in the tissue to flow out to prevent skin necrosis and compartment syndrome.</w:t>
      </w:r>
      <w:r>
        <w:rPr>
          <w:rFonts w:ascii="Book Antiqua" w:hAnsi="Book Antiqua"/>
          <w:lang w:eastAsia="zh-CN"/>
        </w:rPr>
        <w:t xml:space="preserve"> </w:t>
      </w:r>
      <w:r>
        <w:rPr>
          <w:rFonts w:hint="eastAsia" w:ascii="Book Antiqua" w:hAnsi="Book Antiqua"/>
          <w:lang w:eastAsia="zh-CN"/>
        </w:rPr>
        <w:t>A: T</w:t>
      </w:r>
      <w:r>
        <w:rPr>
          <w:rFonts w:ascii="Book Antiqua" w:hAnsi="Book Antiqua"/>
          <w:lang w:eastAsia="zh-CN"/>
        </w:rPr>
        <w:t>high</w:t>
      </w:r>
      <w:r>
        <w:rPr>
          <w:rFonts w:hint="eastAsia" w:ascii="Book Antiqua" w:hAnsi="Book Antiqua"/>
          <w:lang w:eastAsia="zh-CN"/>
        </w:rPr>
        <w:t>; B:</w:t>
      </w:r>
      <w:r>
        <w:rPr>
          <w:rFonts w:ascii="Book Antiqua" w:hAnsi="Book Antiqua"/>
          <w:lang w:eastAsia="zh-CN"/>
        </w:rPr>
        <w:t xml:space="preserve"> </w:t>
      </w:r>
      <w:r>
        <w:rPr>
          <w:rFonts w:hint="eastAsia" w:ascii="Book Antiqua" w:hAnsi="Book Antiqua"/>
          <w:lang w:eastAsia="zh-CN"/>
        </w:rPr>
        <w:t>L</w:t>
      </w:r>
      <w:r>
        <w:rPr>
          <w:rFonts w:ascii="Book Antiqua" w:hAnsi="Book Antiqua"/>
          <w:lang w:eastAsia="zh-CN"/>
        </w:rPr>
        <w:t>eg</w:t>
      </w:r>
      <w:r>
        <w:rPr>
          <w:rFonts w:hint="eastAsia" w:ascii="Book Antiqua" w:hAnsi="Book Antiqua"/>
          <w:lang w:eastAsia="zh-CN"/>
        </w:rPr>
        <w:t>.</w:t>
      </w:r>
    </w:p>
    <w:bookmarkEnd w:id="133"/>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2895600" cy="3782695"/>
            <wp:effectExtent l="0" t="0" r="0" b="12065"/>
            <wp:docPr id="6" name="图片 6" descr="WJCC-10-1017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172-g003"/>
                    <pic:cNvPicPr>
                      <a:picLocks noChangeAspect="1"/>
                    </pic:cNvPicPr>
                  </pic:nvPicPr>
                  <pic:blipFill>
                    <a:blip r:embed="rId7"/>
                    <a:stretch>
                      <a:fillRect/>
                    </a:stretch>
                  </pic:blipFill>
                  <pic:spPr>
                    <a:xfrm>
                      <a:off x="0" y="0"/>
                      <a:ext cx="2895600" cy="3782695"/>
                    </a:xfrm>
                    <a:prstGeom prst="rect">
                      <a:avLst/>
                    </a:prstGeom>
                  </pic:spPr>
                </pic:pic>
              </a:graphicData>
            </a:graphic>
          </wp:inline>
        </w:drawing>
      </w:r>
    </w:p>
    <w:p>
      <w:pPr>
        <w:spacing w:line="360" w:lineRule="auto"/>
        <w:jc w:val="both"/>
        <w:rPr>
          <w:rFonts w:ascii="Book Antiqua" w:hAnsi="Book Antiqua"/>
          <w:lang w:eastAsia="zh-CN"/>
        </w:rPr>
      </w:pPr>
      <w:bookmarkStart w:id="136" w:name="OLE_LINK150"/>
      <w:bookmarkStart w:id="137" w:name="OLE_LINK149"/>
      <w:r>
        <w:rPr>
          <w:rFonts w:ascii="Book Antiqua" w:hAnsi="Book Antiqua"/>
          <w:b/>
          <w:lang w:eastAsia="zh-CN"/>
        </w:rPr>
        <w:t xml:space="preserve">Figure 3 Postoperative X-rays illustrated that the patient received open reduction and internal fixation with one locking plate in the </w:t>
      </w:r>
      <w:bookmarkStart w:id="138" w:name="OLE_LINK109"/>
      <w:bookmarkStart w:id="139" w:name="OLE_LINK110"/>
      <w:r>
        <w:rPr>
          <w:rFonts w:ascii="Book Antiqua" w:hAnsi="Book Antiqua"/>
          <w:b/>
          <w:lang w:eastAsia="zh-CN"/>
        </w:rPr>
        <w:t>left femoral shaft</w:t>
      </w:r>
      <w:bookmarkEnd w:id="138"/>
      <w:bookmarkEnd w:id="139"/>
      <w:r>
        <w:rPr>
          <w:rFonts w:ascii="Book Antiqua" w:hAnsi="Book Antiqua"/>
          <w:b/>
          <w:lang w:eastAsia="zh-CN"/>
        </w:rPr>
        <w:t xml:space="preserve">, one broad dynamic compression plate in </w:t>
      </w:r>
      <w:bookmarkStart w:id="140" w:name="OLE_LINK111"/>
      <w:bookmarkStart w:id="141" w:name="OLE_LINK112"/>
      <w:r>
        <w:rPr>
          <w:rFonts w:ascii="Book Antiqua" w:hAnsi="Book Antiqua"/>
          <w:b/>
          <w:lang w:eastAsia="zh-CN"/>
        </w:rPr>
        <w:t>right femoral shaft</w:t>
      </w:r>
      <w:bookmarkEnd w:id="140"/>
      <w:bookmarkEnd w:id="141"/>
      <w:r>
        <w:rPr>
          <w:rFonts w:ascii="Book Antiqua" w:hAnsi="Book Antiqua"/>
          <w:b/>
          <w:lang w:eastAsia="zh-CN"/>
        </w:rPr>
        <w:t xml:space="preserve">, and </w:t>
      </w:r>
      <w:bookmarkStart w:id="142" w:name="OLE_LINK115"/>
      <w:bookmarkStart w:id="143" w:name="OLE_LINK114"/>
      <w:bookmarkStart w:id="144" w:name="OLE_LINK113"/>
      <w:r>
        <w:rPr>
          <w:rFonts w:ascii="Book Antiqua" w:hAnsi="Book Antiqua"/>
          <w:b/>
          <w:lang w:eastAsia="zh-CN"/>
        </w:rPr>
        <w:t>two narrow dynamic compression plates in bilateral tibial shafts</w:t>
      </w:r>
      <w:bookmarkEnd w:id="142"/>
      <w:bookmarkEnd w:id="143"/>
      <w:bookmarkEnd w:id="144"/>
      <w:r>
        <w:rPr>
          <w:rFonts w:ascii="Book Antiqua" w:hAnsi="Book Antiqua"/>
          <w:b/>
          <w:lang w:eastAsia="zh-CN"/>
        </w:rPr>
        <w:t>.</w:t>
      </w:r>
      <w:r>
        <w:rPr>
          <w:rFonts w:hint="eastAsia" w:ascii="Book Antiqua" w:hAnsi="Book Antiqua"/>
          <w:lang w:eastAsia="zh-CN"/>
        </w:rPr>
        <w:t xml:space="preserve"> A: L</w:t>
      </w:r>
      <w:r>
        <w:rPr>
          <w:rFonts w:ascii="Book Antiqua" w:hAnsi="Book Antiqua"/>
          <w:lang w:eastAsia="zh-CN"/>
        </w:rPr>
        <w:t>eft femoral shaft</w:t>
      </w:r>
      <w:r>
        <w:rPr>
          <w:rFonts w:hint="eastAsia" w:ascii="Book Antiqua" w:hAnsi="Book Antiqua"/>
          <w:lang w:eastAsia="zh-CN"/>
        </w:rPr>
        <w:t>; B: R</w:t>
      </w:r>
      <w:r>
        <w:rPr>
          <w:rFonts w:ascii="Book Antiqua" w:hAnsi="Book Antiqua"/>
          <w:lang w:eastAsia="zh-CN"/>
        </w:rPr>
        <w:t>ight femoral shaft</w:t>
      </w:r>
      <w:r>
        <w:rPr>
          <w:rFonts w:hint="eastAsia" w:ascii="Book Antiqua" w:hAnsi="Book Antiqua"/>
          <w:lang w:eastAsia="zh-CN"/>
        </w:rPr>
        <w:t>; C and D: T</w:t>
      </w:r>
      <w:r>
        <w:rPr>
          <w:rFonts w:ascii="Book Antiqua" w:hAnsi="Book Antiqua"/>
          <w:lang w:eastAsia="zh-CN"/>
        </w:rPr>
        <w:t>wo narrow dynamic compression plates in bilateral tibial shafts</w:t>
      </w:r>
      <w:r>
        <w:rPr>
          <w:rFonts w:hint="eastAsia" w:ascii="Book Antiqua" w:hAnsi="Book Antiqua"/>
          <w:lang w:eastAsia="zh-CN"/>
        </w:rPr>
        <w:t>.</w:t>
      </w:r>
    </w:p>
    <w:bookmarkEnd w:id="136"/>
    <w:bookmarkEnd w:id="137"/>
    <w:p>
      <w:pPr>
        <w:spacing w:line="360" w:lineRule="auto"/>
        <w:jc w:val="both"/>
        <w:rPr>
          <w:rFonts w:ascii="Book Antiqua" w:hAnsi="Book Antiqua"/>
          <w:lang w:eastAsia="zh-CN"/>
        </w:rPr>
      </w:pPr>
      <w:r>
        <w:rPr>
          <w:rFonts w:ascii="Book Antiqua" w:hAnsi="Book Antiqua"/>
          <w:lang w:eastAsia="zh-CN"/>
        </w:rPr>
        <w:br w:type="page"/>
      </w:r>
      <w:bookmarkStart w:id="152" w:name="_GoBack"/>
      <w:r>
        <w:rPr>
          <w:rFonts w:ascii="Book Antiqua" w:hAnsi="Book Antiqua"/>
          <w:lang w:eastAsia="zh-CN"/>
        </w:rPr>
        <w:drawing>
          <wp:inline distT="0" distB="0" distL="114300" distR="114300">
            <wp:extent cx="4910455" cy="2307590"/>
            <wp:effectExtent l="0" t="0" r="12065" b="8890"/>
            <wp:docPr id="7" name="图片 7" descr="WJCC-10-1017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172-g004"/>
                    <pic:cNvPicPr>
                      <a:picLocks noChangeAspect="1"/>
                    </pic:cNvPicPr>
                  </pic:nvPicPr>
                  <pic:blipFill>
                    <a:blip r:embed="rId8"/>
                    <a:stretch>
                      <a:fillRect/>
                    </a:stretch>
                  </pic:blipFill>
                  <pic:spPr>
                    <a:xfrm>
                      <a:off x="0" y="0"/>
                      <a:ext cx="4910455" cy="2307590"/>
                    </a:xfrm>
                    <a:prstGeom prst="rect">
                      <a:avLst/>
                    </a:prstGeom>
                  </pic:spPr>
                </pic:pic>
              </a:graphicData>
            </a:graphic>
          </wp:inline>
        </w:drawing>
      </w:r>
      <w:bookmarkEnd w:id="152"/>
    </w:p>
    <w:p>
      <w:pPr>
        <w:spacing w:line="360" w:lineRule="auto"/>
        <w:jc w:val="both"/>
        <w:rPr>
          <w:rFonts w:hint="eastAsia" w:ascii="Book Antiqua" w:hAnsi="Book Antiqua"/>
          <w:lang w:eastAsia="zh-CN"/>
        </w:rPr>
        <w:sectPr>
          <w:pgSz w:w="12240" w:h="15840"/>
          <w:pgMar w:top="1440" w:right="1440" w:bottom="1440" w:left="1440" w:header="720" w:footer="720" w:gutter="0"/>
          <w:cols w:space="720" w:num="1"/>
          <w:docGrid w:linePitch="360" w:charSpace="0"/>
        </w:sectPr>
      </w:pPr>
      <w:bookmarkStart w:id="145" w:name="_Hlk109401155"/>
      <w:bookmarkStart w:id="146" w:name="OLE_LINK151"/>
      <w:r>
        <w:rPr>
          <w:rFonts w:ascii="Book Antiqua" w:hAnsi="Book Antiqua"/>
          <w:b/>
          <w:lang w:eastAsia="zh-CN"/>
        </w:rPr>
        <w:t>Figure 4 Radiography revealed</w:t>
      </w:r>
      <w:bookmarkStart w:id="147" w:name="OLE_LINK120"/>
      <w:bookmarkStart w:id="148" w:name="OLE_LINK119"/>
      <w:r>
        <w:rPr>
          <w:rFonts w:ascii="Book Antiqua" w:hAnsi="Book Antiqua"/>
          <w:b/>
          <w:lang w:eastAsia="zh-CN"/>
        </w:rPr>
        <w:t xml:space="preserve"> bone union of bilateral femoral and tibial fracture</w:t>
      </w:r>
      <w:bookmarkEnd w:id="147"/>
      <w:bookmarkEnd w:id="148"/>
      <w:r>
        <w:rPr>
          <w:rFonts w:ascii="Book Antiqua" w:hAnsi="Book Antiqua"/>
          <w:b/>
          <w:lang w:eastAsia="zh-CN"/>
        </w:rPr>
        <w:t xml:space="preserve"> sites at postoperative 13 mo</w:t>
      </w:r>
      <w:r>
        <w:rPr>
          <w:rFonts w:hint="eastAsia" w:ascii="Book Antiqua" w:hAnsi="Book Antiqua"/>
          <w:b/>
          <w:lang w:eastAsia="zh-CN"/>
        </w:rPr>
        <w:t xml:space="preserve">. </w:t>
      </w:r>
      <w:r>
        <w:rPr>
          <w:rFonts w:hint="eastAsia" w:ascii="Book Antiqua" w:hAnsi="Book Antiqua"/>
          <w:lang w:eastAsia="zh-CN"/>
        </w:rPr>
        <w:t xml:space="preserve">A and B: </w:t>
      </w:r>
      <w:bookmarkStart w:id="149" w:name="OLE_LINK123"/>
      <w:bookmarkStart w:id="150" w:name="OLE_LINK122"/>
      <w:r>
        <w:rPr>
          <w:rFonts w:hint="eastAsia" w:ascii="Book Antiqua" w:hAnsi="Book Antiqua"/>
          <w:lang w:eastAsia="zh-CN"/>
        </w:rPr>
        <w:t>B</w:t>
      </w:r>
      <w:r>
        <w:rPr>
          <w:rFonts w:ascii="Book Antiqua" w:hAnsi="Book Antiqua"/>
          <w:lang w:eastAsia="zh-CN"/>
        </w:rPr>
        <w:t>one union of</w:t>
      </w:r>
      <w:bookmarkEnd w:id="149"/>
      <w:bookmarkEnd w:id="150"/>
      <w:r>
        <w:rPr>
          <w:rFonts w:ascii="Book Antiqua" w:hAnsi="Book Antiqua"/>
          <w:lang w:eastAsia="zh-CN"/>
        </w:rPr>
        <w:t xml:space="preserve"> bilateral femoral</w:t>
      </w:r>
      <w:bookmarkStart w:id="151" w:name="OLE_LINK121"/>
      <w:r>
        <w:rPr>
          <w:rFonts w:hint="eastAsia" w:ascii="Book Antiqua" w:hAnsi="Book Antiqua"/>
          <w:lang w:eastAsia="zh-CN"/>
        </w:rPr>
        <w:t>; C and D:</w:t>
      </w:r>
      <w:r>
        <w:rPr>
          <w:rFonts w:ascii="Book Antiqua" w:hAnsi="Book Antiqua"/>
          <w:lang w:eastAsia="zh-CN"/>
        </w:rPr>
        <w:t xml:space="preserve"> </w:t>
      </w:r>
      <w:bookmarkEnd w:id="151"/>
      <w:r>
        <w:rPr>
          <w:rFonts w:hint="eastAsia" w:ascii="Book Antiqua" w:hAnsi="Book Antiqua"/>
          <w:lang w:eastAsia="zh-CN"/>
        </w:rPr>
        <w:t>B</w:t>
      </w:r>
      <w:r>
        <w:rPr>
          <w:rFonts w:ascii="Book Antiqua" w:hAnsi="Book Antiqua"/>
          <w:lang w:eastAsia="zh-CN"/>
        </w:rPr>
        <w:t>one union of tibial fracture</w:t>
      </w:r>
      <w:r>
        <w:rPr>
          <w:rFonts w:hint="eastAsia" w:ascii="Book Antiqua" w:hAnsi="Book Antiqua"/>
          <w:lang w:eastAsia="zh-CN"/>
        </w:rPr>
        <w:t>.</w:t>
      </w:r>
      <w:bookmarkEnd w:id="145"/>
      <w:bookmarkEnd w:id="146"/>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526203"/>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21</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302AC"/>
    <w:rsid w:val="000A1F29"/>
    <w:rsid w:val="0012708F"/>
    <w:rsid w:val="00134E34"/>
    <w:rsid w:val="0019229A"/>
    <w:rsid w:val="001C57B2"/>
    <w:rsid w:val="001D2853"/>
    <w:rsid w:val="001E2F23"/>
    <w:rsid w:val="002300C6"/>
    <w:rsid w:val="00237FBA"/>
    <w:rsid w:val="00243A65"/>
    <w:rsid w:val="00262F87"/>
    <w:rsid w:val="00271A86"/>
    <w:rsid w:val="00281EEB"/>
    <w:rsid w:val="00295B74"/>
    <w:rsid w:val="002B0F43"/>
    <w:rsid w:val="002C6BC5"/>
    <w:rsid w:val="002D64DD"/>
    <w:rsid w:val="002E0151"/>
    <w:rsid w:val="00314235"/>
    <w:rsid w:val="003433B6"/>
    <w:rsid w:val="003575BC"/>
    <w:rsid w:val="003F0240"/>
    <w:rsid w:val="00401FAB"/>
    <w:rsid w:val="004F18E4"/>
    <w:rsid w:val="0051504F"/>
    <w:rsid w:val="00536B82"/>
    <w:rsid w:val="00536C3B"/>
    <w:rsid w:val="00555E32"/>
    <w:rsid w:val="00583CA3"/>
    <w:rsid w:val="005926AC"/>
    <w:rsid w:val="00602874"/>
    <w:rsid w:val="0060398A"/>
    <w:rsid w:val="006046A1"/>
    <w:rsid w:val="00626986"/>
    <w:rsid w:val="00633866"/>
    <w:rsid w:val="0068437A"/>
    <w:rsid w:val="0069428B"/>
    <w:rsid w:val="00696603"/>
    <w:rsid w:val="006A09D3"/>
    <w:rsid w:val="006C5AD0"/>
    <w:rsid w:val="006D0C39"/>
    <w:rsid w:val="007309E8"/>
    <w:rsid w:val="007501A0"/>
    <w:rsid w:val="0075238F"/>
    <w:rsid w:val="00760BBB"/>
    <w:rsid w:val="00774F08"/>
    <w:rsid w:val="007B77F7"/>
    <w:rsid w:val="007D05C2"/>
    <w:rsid w:val="00800F5F"/>
    <w:rsid w:val="008225DD"/>
    <w:rsid w:val="00853377"/>
    <w:rsid w:val="00860969"/>
    <w:rsid w:val="008C3023"/>
    <w:rsid w:val="008C4692"/>
    <w:rsid w:val="008E63E0"/>
    <w:rsid w:val="00903033"/>
    <w:rsid w:val="00947E48"/>
    <w:rsid w:val="00953CDA"/>
    <w:rsid w:val="00972FFA"/>
    <w:rsid w:val="009D286D"/>
    <w:rsid w:val="00A11490"/>
    <w:rsid w:val="00A54982"/>
    <w:rsid w:val="00A77B3E"/>
    <w:rsid w:val="00AA4100"/>
    <w:rsid w:val="00AB3A29"/>
    <w:rsid w:val="00AE0E80"/>
    <w:rsid w:val="00AE12D5"/>
    <w:rsid w:val="00B05142"/>
    <w:rsid w:val="00B224E9"/>
    <w:rsid w:val="00B373A8"/>
    <w:rsid w:val="00B647DB"/>
    <w:rsid w:val="00C3742F"/>
    <w:rsid w:val="00C62E68"/>
    <w:rsid w:val="00C71958"/>
    <w:rsid w:val="00CA2A55"/>
    <w:rsid w:val="00CA7713"/>
    <w:rsid w:val="00CC46AA"/>
    <w:rsid w:val="00CD7DF7"/>
    <w:rsid w:val="00CF6105"/>
    <w:rsid w:val="00CF794E"/>
    <w:rsid w:val="00D0782C"/>
    <w:rsid w:val="00D139D5"/>
    <w:rsid w:val="00D329DD"/>
    <w:rsid w:val="00D34F35"/>
    <w:rsid w:val="00D367E8"/>
    <w:rsid w:val="00D608E0"/>
    <w:rsid w:val="00D71EB1"/>
    <w:rsid w:val="00D7452E"/>
    <w:rsid w:val="00DB1F24"/>
    <w:rsid w:val="00E029D5"/>
    <w:rsid w:val="00E4673A"/>
    <w:rsid w:val="00E85E89"/>
    <w:rsid w:val="00F61161"/>
    <w:rsid w:val="00F84407"/>
    <w:rsid w:val="00FB4939"/>
    <w:rsid w:val="00FD7B29"/>
    <w:rsid w:val="0B5E2ED0"/>
    <w:rsid w:val="0C9B34EB"/>
    <w:rsid w:val="108D147C"/>
    <w:rsid w:val="12282F79"/>
    <w:rsid w:val="64F4447F"/>
    <w:rsid w:val="6D340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qFormat/>
    <w:uiPriority w:val="0"/>
    <w:rPr>
      <w:sz w:val="18"/>
      <w:szCs w:val="18"/>
    </w:rPr>
  </w:style>
  <w:style w:type="paragraph" w:styleId="4">
    <w:name w:val="footer"/>
    <w:basedOn w:val="1"/>
    <w:link w:val="15"/>
    <w:qFormat/>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2"/>
    <w:qFormat/>
    <w:uiPriority w:val="0"/>
    <w:rPr>
      <w:b/>
      <w:bCs/>
    </w:rPr>
  </w:style>
  <w:style w:type="character" w:styleId="10">
    <w:name w:val="annotation reference"/>
    <w:basedOn w:val="9"/>
    <w:qFormat/>
    <w:uiPriority w:val="0"/>
    <w:rPr>
      <w:sz w:val="21"/>
      <w:szCs w:val="21"/>
    </w:rPr>
  </w:style>
  <w:style w:type="character" w:customStyle="1" w:styleId="11">
    <w:name w:val="註解文字 字元"/>
    <w:basedOn w:val="9"/>
    <w:link w:val="2"/>
    <w:qFormat/>
    <w:uiPriority w:val="0"/>
    <w:rPr>
      <w:sz w:val="24"/>
      <w:szCs w:val="24"/>
    </w:rPr>
  </w:style>
  <w:style w:type="character" w:customStyle="1" w:styleId="12">
    <w:name w:val="註解主旨 字元"/>
    <w:basedOn w:val="11"/>
    <w:link w:val="7"/>
    <w:qFormat/>
    <w:uiPriority w:val="0"/>
    <w:rPr>
      <w:b/>
      <w:bCs/>
      <w:sz w:val="24"/>
      <w:szCs w:val="24"/>
    </w:rPr>
  </w:style>
  <w:style w:type="character" w:customStyle="1" w:styleId="13">
    <w:name w:val="註解方塊文字 字元"/>
    <w:basedOn w:val="9"/>
    <w:link w:val="3"/>
    <w:qFormat/>
    <w:uiPriority w:val="0"/>
    <w:rPr>
      <w:sz w:val="18"/>
      <w:szCs w:val="18"/>
    </w:rPr>
  </w:style>
  <w:style w:type="character" w:customStyle="1" w:styleId="14">
    <w:name w:val="頁首 字元"/>
    <w:basedOn w:val="9"/>
    <w:link w:val="5"/>
    <w:qFormat/>
    <w:uiPriority w:val="0"/>
    <w:rPr>
      <w:sz w:val="18"/>
      <w:szCs w:val="18"/>
    </w:rPr>
  </w:style>
  <w:style w:type="character" w:customStyle="1" w:styleId="15">
    <w:name w:val="頁尾 字元"/>
    <w:basedOn w:val="9"/>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D4A64-5D04-45B0-A9BF-2CEFF2D6A8E5}">
  <ds:schemaRefs/>
</ds:datastoreItem>
</file>

<file path=docProps/app.xml><?xml version="1.0" encoding="utf-8"?>
<Properties xmlns="http://schemas.openxmlformats.org/officeDocument/2006/extended-properties" xmlns:vt="http://schemas.openxmlformats.org/officeDocument/2006/docPropsVTypes">
  <Template>Normal</Template>
  <Pages>22</Pages>
  <Words>4346</Words>
  <Characters>24901</Characters>
  <Lines>353</Lines>
  <Paragraphs>103</Paragraphs>
  <TotalTime>0</TotalTime>
  <ScaleCrop>false</ScaleCrop>
  <LinksUpToDate>false</LinksUpToDate>
  <CharactersWithSpaces>29108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2022-08-24T14:55:00Z</dcterms:created>
  <dc:creator>User</dc:creator>
  <cp:lastModifiedBy>晓晨</cp:lastModifiedBy>
  <dcterms:modified xsi:type="dcterms:W3CDTF">2022-09-27T08:21:01Z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CD1DB5702C5A4DACA4A5D8C4EF7CA273</vt:lpwstr>
  </property>
</Properties>
</file>